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861DA" w:rsidRDefault="0044752E">
      <w:pPr>
        <w:spacing w:line="1200" w:lineRule="exact"/>
        <w:jc w:val="center"/>
        <w:rPr>
          <w:rFonts w:ascii="Times New Roman" w:eastAsia="宋体"/>
          <w:b/>
          <w:color w:val="000000" w:themeColor="text1"/>
          <w:sz w:val="48"/>
          <w:szCs w:val="48"/>
        </w:rPr>
      </w:pPr>
      <w:bookmarkStart w:id="0" w:name="_Toc179714050"/>
      <w:bookmarkStart w:id="1" w:name="_GoBack"/>
      <w:bookmarkEnd w:id="1"/>
      <w:r>
        <w:rPr>
          <w:rFonts w:ascii="Times New Roman" w:eastAsia="宋体" w:hint="eastAsia"/>
          <w:b/>
          <w:color w:val="000000" w:themeColor="text1"/>
          <w:sz w:val="48"/>
          <w:szCs w:val="48"/>
        </w:rPr>
        <w:t>年产</w:t>
      </w:r>
      <w:r>
        <w:rPr>
          <w:rFonts w:ascii="Times New Roman" w:eastAsia="宋体" w:hint="eastAsia"/>
          <w:b/>
          <w:color w:val="000000" w:themeColor="text1"/>
          <w:sz w:val="48"/>
          <w:szCs w:val="48"/>
        </w:rPr>
        <w:t>8</w:t>
      </w:r>
      <w:r>
        <w:rPr>
          <w:rFonts w:ascii="Times New Roman" w:eastAsia="宋体"/>
          <w:b/>
          <w:color w:val="000000" w:themeColor="text1"/>
          <w:sz w:val="48"/>
          <w:szCs w:val="48"/>
        </w:rPr>
        <w:t>0</w:t>
      </w:r>
      <w:r>
        <w:rPr>
          <w:rFonts w:ascii="Times New Roman" w:eastAsia="宋体" w:hint="eastAsia"/>
          <w:b/>
          <w:color w:val="000000" w:themeColor="text1"/>
          <w:sz w:val="48"/>
          <w:szCs w:val="48"/>
        </w:rPr>
        <w:t>万吨新型生态绿色有机肥项目</w:t>
      </w:r>
    </w:p>
    <w:p w:rsidR="00C861DA" w:rsidRDefault="00C861DA">
      <w:pPr>
        <w:pStyle w:val="5Char0"/>
        <w:ind w:firstLine="480"/>
        <w:rPr>
          <w:rFonts w:ascii="Times New Roman" w:eastAsia="宋体"/>
          <w:color w:val="000000" w:themeColor="text1"/>
        </w:rPr>
      </w:pPr>
    </w:p>
    <w:p w:rsidR="00C861DA" w:rsidRDefault="00C861DA">
      <w:pPr>
        <w:pStyle w:val="5Char0"/>
        <w:ind w:firstLine="480"/>
        <w:rPr>
          <w:rFonts w:ascii="Times New Roman" w:eastAsia="宋体"/>
          <w:color w:val="000000" w:themeColor="text1"/>
        </w:rPr>
      </w:pPr>
    </w:p>
    <w:p w:rsidR="00C861DA" w:rsidRDefault="00C861DA">
      <w:pPr>
        <w:pStyle w:val="5Char0"/>
        <w:ind w:firstLine="480"/>
        <w:rPr>
          <w:rFonts w:ascii="Times New Roman" w:eastAsia="宋体"/>
          <w:color w:val="000000" w:themeColor="text1"/>
        </w:rPr>
      </w:pPr>
    </w:p>
    <w:p w:rsidR="00C861DA" w:rsidRDefault="0044752E">
      <w:pPr>
        <w:spacing w:line="1200" w:lineRule="exact"/>
        <w:jc w:val="center"/>
        <w:rPr>
          <w:rFonts w:ascii="Times New Roman" w:eastAsia="宋体"/>
          <w:b/>
          <w:color w:val="000000" w:themeColor="text1"/>
          <w:sz w:val="72"/>
          <w:szCs w:val="72"/>
        </w:rPr>
      </w:pPr>
      <w:r>
        <w:rPr>
          <w:rFonts w:ascii="Times New Roman" w:eastAsia="宋体"/>
          <w:b/>
          <w:color w:val="000000" w:themeColor="text1"/>
          <w:sz w:val="72"/>
          <w:szCs w:val="72"/>
        </w:rPr>
        <w:t>环境影响报告书</w:t>
      </w:r>
      <w:bookmarkEnd w:id="0"/>
    </w:p>
    <w:p w:rsidR="00C861DA" w:rsidRDefault="00C861DA">
      <w:pPr>
        <w:pStyle w:val="afff8"/>
        <w:rPr>
          <w:rFonts w:ascii="Times New Roman" w:eastAsia="宋体"/>
          <w:color w:val="000000" w:themeColor="text1"/>
        </w:rPr>
      </w:pPr>
    </w:p>
    <w:p w:rsidR="00C861DA" w:rsidRDefault="0044752E">
      <w:pPr>
        <w:spacing w:beforeLines="50" w:before="156"/>
        <w:jc w:val="center"/>
        <w:rPr>
          <w:rFonts w:ascii="Times New Roman" w:eastAsia="宋体"/>
          <w:b/>
          <w:color w:val="000000" w:themeColor="text1"/>
          <w:sz w:val="44"/>
          <w:szCs w:val="44"/>
        </w:rPr>
      </w:pPr>
      <w:r>
        <w:rPr>
          <w:rFonts w:ascii="Times New Roman" w:eastAsia="宋体" w:hint="eastAsia"/>
          <w:b/>
          <w:color w:val="000000" w:themeColor="text1"/>
          <w:sz w:val="44"/>
          <w:szCs w:val="44"/>
        </w:rPr>
        <w:t>（送审</w:t>
      </w:r>
      <w:r>
        <w:rPr>
          <w:rFonts w:ascii="Times New Roman" w:eastAsia="宋体"/>
          <w:b/>
          <w:color w:val="000000" w:themeColor="text1"/>
          <w:sz w:val="44"/>
          <w:szCs w:val="44"/>
        </w:rPr>
        <w:t>稿</w:t>
      </w:r>
      <w:r>
        <w:rPr>
          <w:rFonts w:ascii="Times New Roman" w:eastAsia="宋体" w:hint="eastAsia"/>
          <w:b/>
          <w:color w:val="000000" w:themeColor="text1"/>
          <w:sz w:val="44"/>
          <w:szCs w:val="44"/>
        </w:rPr>
        <w:t>）</w:t>
      </w:r>
    </w:p>
    <w:p w:rsidR="00C861DA" w:rsidRDefault="00C861DA">
      <w:pPr>
        <w:ind w:firstLine="640"/>
        <w:rPr>
          <w:rFonts w:ascii="Times New Roman" w:eastAsia="宋体"/>
          <w:color w:val="000000" w:themeColor="text1"/>
          <w:sz w:val="32"/>
          <w:szCs w:val="32"/>
        </w:rPr>
      </w:pPr>
    </w:p>
    <w:p w:rsidR="00C861DA" w:rsidRDefault="00C861DA">
      <w:pPr>
        <w:ind w:firstLine="640"/>
        <w:rPr>
          <w:rFonts w:ascii="Times New Roman" w:eastAsia="宋体"/>
          <w:color w:val="000000" w:themeColor="text1"/>
          <w:sz w:val="32"/>
          <w:szCs w:val="32"/>
        </w:rPr>
      </w:pPr>
    </w:p>
    <w:p w:rsidR="00C861DA" w:rsidRDefault="00C861DA">
      <w:pPr>
        <w:ind w:firstLine="640"/>
        <w:rPr>
          <w:rFonts w:ascii="Times New Roman" w:eastAsia="宋体"/>
          <w:color w:val="000000" w:themeColor="text1"/>
          <w:sz w:val="32"/>
          <w:szCs w:val="32"/>
        </w:rPr>
      </w:pPr>
    </w:p>
    <w:p w:rsidR="00C861DA" w:rsidRDefault="00C861DA">
      <w:pPr>
        <w:ind w:firstLine="640"/>
        <w:rPr>
          <w:rFonts w:ascii="Times New Roman" w:eastAsia="宋体"/>
          <w:color w:val="000000" w:themeColor="text1"/>
          <w:sz w:val="32"/>
          <w:szCs w:val="32"/>
        </w:rPr>
      </w:pPr>
    </w:p>
    <w:p w:rsidR="00C861DA" w:rsidRDefault="00C861DA">
      <w:pPr>
        <w:ind w:firstLine="640"/>
        <w:rPr>
          <w:rFonts w:ascii="Times New Roman" w:eastAsia="宋体"/>
          <w:color w:val="000000" w:themeColor="text1"/>
          <w:sz w:val="32"/>
          <w:szCs w:val="32"/>
        </w:rPr>
      </w:pPr>
    </w:p>
    <w:p w:rsidR="00C861DA" w:rsidRDefault="00C861DA">
      <w:pPr>
        <w:ind w:firstLine="640"/>
        <w:rPr>
          <w:rFonts w:ascii="Times New Roman" w:eastAsia="宋体"/>
          <w:color w:val="000000" w:themeColor="text1"/>
          <w:sz w:val="32"/>
          <w:szCs w:val="32"/>
        </w:rPr>
      </w:pPr>
    </w:p>
    <w:p w:rsidR="00C861DA" w:rsidRDefault="00C861DA">
      <w:pPr>
        <w:ind w:firstLine="640"/>
        <w:rPr>
          <w:rFonts w:ascii="Times New Roman" w:eastAsia="宋体"/>
          <w:color w:val="000000" w:themeColor="text1"/>
          <w:sz w:val="32"/>
          <w:szCs w:val="32"/>
        </w:rPr>
      </w:pPr>
    </w:p>
    <w:p w:rsidR="00C861DA" w:rsidRDefault="00C861DA">
      <w:pPr>
        <w:pStyle w:val="5Char0"/>
        <w:ind w:firstLine="640"/>
        <w:rPr>
          <w:rFonts w:ascii="Times New Roman" w:eastAsia="宋体"/>
          <w:color w:val="000000" w:themeColor="text1"/>
          <w:sz w:val="32"/>
          <w:szCs w:val="32"/>
        </w:rPr>
      </w:pPr>
    </w:p>
    <w:p w:rsidR="00C861DA" w:rsidRDefault="00C861DA">
      <w:pPr>
        <w:pStyle w:val="5Char0"/>
        <w:ind w:firstLine="640"/>
        <w:rPr>
          <w:rFonts w:ascii="Times New Roman" w:eastAsia="宋体"/>
          <w:color w:val="000000" w:themeColor="text1"/>
          <w:sz w:val="32"/>
          <w:szCs w:val="32"/>
        </w:rPr>
      </w:pPr>
    </w:p>
    <w:p w:rsidR="00C861DA" w:rsidRDefault="00C861DA">
      <w:pPr>
        <w:pStyle w:val="5Char0"/>
        <w:ind w:firstLine="640"/>
        <w:rPr>
          <w:rFonts w:ascii="Times New Roman" w:eastAsia="宋体"/>
          <w:color w:val="000000" w:themeColor="text1"/>
          <w:sz w:val="32"/>
          <w:szCs w:val="32"/>
        </w:rPr>
      </w:pPr>
    </w:p>
    <w:p w:rsidR="00C861DA" w:rsidRDefault="00C861DA">
      <w:pPr>
        <w:pStyle w:val="afff8"/>
        <w:rPr>
          <w:rFonts w:ascii="Times New Roman" w:eastAsia="宋体"/>
          <w:color w:val="000000" w:themeColor="text1"/>
        </w:rPr>
      </w:pPr>
    </w:p>
    <w:p w:rsidR="00C861DA" w:rsidRDefault="0044752E">
      <w:pPr>
        <w:spacing w:line="360" w:lineRule="auto"/>
        <w:ind w:firstLineChars="200" w:firstLine="643"/>
        <w:rPr>
          <w:rFonts w:ascii="Times New Roman" w:eastAsia="宋体"/>
          <w:b/>
          <w:color w:val="000000" w:themeColor="text1"/>
          <w:sz w:val="32"/>
          <w:szCs w:val="32"/>
        </w:rPr>
      </w:pPr>
      <w:r>
        <w:rPr>
          <w:rFonts w:ascii="Times New Roman" w:eastAsia="宋体"/>
          <w:b/>
          <w:color w:val="000000" w:themeColor="text1"/>
          <w:sz w:val="32"/>
          <w:szCs w:val="32"/>
        </w:rPr>
        <w:t>建设单位：</w:t>
      </w:r>
      <w:bookmarkStart w:id="2" w:name="_Toc179714054"/>
      <w:r>
        <w:rPr>
          <w:rFonts w:ascii="Times New Roman" w:eastAsia="宋体" w:hint="eastAsia"/>
          <w:b/>
          <w:color w:val="000000" w:themeColor="text1"/>
          <w:sz w:val="32"/>
          <w:szCs w:val="32"/>
        </w:rPr>
        <w:t>云南祥丰石化有限公司</w:t>
      </w:r>
    </w:p>
    <w:p w:rsidR="00C861DA" w:rsidRDefault="0044752E">
      <w:pPr>
        <w:spacing w:line="360" w:lineRule="auto"/>
        <w:ind w:firstLineChars="200" w:firstLine="643"/>
        <w:rPr>
          <w:rFonts w:ascii="Times New Roman" w:eastAsia="宋体"/>
          <w:color w:val="000000" w:themeColor="text1"/>
        </w:rPr>
      </w:pPr>
      <w:r>
        <w:rPr>
          <w:rFonts w:ascii="Times New Roman" w:eastAsia="宋体"/>
          <w:b/>
          <w:color w:val="000000" w:themeColor="text1"/>
          <w:sz w:val="32"/>
          <w:szCs w:val="32"/>
        </w:rPr>
        <w:t>环评单位：云南</w:t>
      </w:r>
      <w:r>
        <w:rPr>
          <w:rFonts w:ascii="Times New Roman" w:eastAsia="宋体" w:hint="eastAsia"/>
          <w:b/>
          <w:color w:val="000000" w:themeColor="text1"/>
          <w:sz w:val="32"/>
          <w:szCs w:val="32"/>
        </w:rPr>
        <w:t>绿色环境科技开发</w:t>
      </w:r>
      <w:r>
        <w:rPr>
          <w:rFonts w:ascii="Times New Roman" w:eastAsia="宋体"/>
          <w:b/>
          <w:color w:val="000000" w:themeColor="text1"/>
          <w:sz w:val="32"/>
          <w:szCs w:val="32"/>
        </w:rPr>
        <w:t>有限公司</w:t>
      </w:r>
    </w:p>
    <w:p w:rsidR="00C861DA" w:rsidRDefault="0044752E">
      <w:pPr>
        <w:spacing w:line="360" w:lineRule="auto"/>
        <w:jc w:val="center"/>
        <w:rPr>
          <w:rFonts w:ascii="Times New Roman" w:eastAsia="宋体"/>
          <w:b/>
          <w:color w:val="000000" w:themeColor="text1"/>
          <w:sz w:val="32"/>
          <w:szCs w:val="32"/>
        </w:rPr>
        <w:sectPr w:rsidR="00C861DA">
          <w:headerReference w:type="even" r:id="rId10"/>
          <w:headerReference w:type="default" r:id="rId11"/>
          <w:pgSz w:w="11906" w:h="16838"/>
          <w:pgMar w:top="1440" w:right="1800" w:bottom="1440" w:left="1800" w:header="851" w:footer="992" w:gutter="0"/>
          <w:cols w:space="425"/>
          <w:docGrid w:type="lines" w:linePitch="312"/>
        </w:sectPr>
      </w:pPr>
      <w:r>
        <w:rPr>
          <w:rFonts w:ascii="Times New Roman" w:eastAsia="宋体"/>
          <w:b/>
          <w:color w:val="000000" w:themeColor="text1"/>
          <w:sz w:val="32"/>
          <w:szCs w:val="32"/>
        </w:rPr>
        <w:t>2019</w:t>
      </w:r>
      <w:r>
        <w:rPr>
          <w:rFonts w:ascii="Times New Roman" w:eastAsia="宋体"/>
          <w:b/>
          <w:color w:val="000000" w:themeColor="text1"/>
          <w:sz w:val="32"/>
          <w:szCs w:val="32"/>
        </w:rPr>
        <w:t>年</w:t>
      </w:r>
      <w:r>
        <w:rPr>
          <w:rFonts w:ascii="Times New Roman" w:eastAsia="宋体" w:hint="eastAsia"/>
          <w:b/>
          <w:color w:val="000000" w:themeColor="text1"/>
          <w:sz w:val="32"/>
          <w:szCs w:val="32"/>
        </w:rPr>
        <w:t>3</w:t>
      </w:r>
      <w:r>
        <w:rPr>
          <w:rFonts w:ascii="Times New Roman" w:eastAsia="宋体"/>
          <w:b/>
          <w:color w:val="000000" w:themeColor="text1"/>
          <w:sz w:val="32"/>
          <w:szCs w:val="32"/>
        </w:rPr>
        <w:t>月</w:t>
      </w:r>
      <w:bookmarkEnd w:id="2"/>
    </w:p>
    <w:bookmarkStart w:id="3" w:name="_Toc8690"/>
    <w:bookmarkStart w:id="4" w:name="_Toc26049"/>
    <w:bookmarkStart w:id="5" w:name="_Toc10812"/>
    <w:bookmarkStart w:id="6" w:name="_Toc9852"/>
    <w:p w:rsidR="00C861DA" w:rsidRDefault="0044752E">
      <w:pPr>
        <w:pStyle w:val="13"/>
        <w:tabs>
          <w:tab w:val="right" w:leader="dot" w:pos="8296"/>
        </w:tabs>
        <w:rPr>
          <w:rFonts w:asciiTheme="minorHAnsi" w:eastAsiaTheme="minorEastAsia"/>
          <w:b w:val="0"/>
          <w:bCs w:val="0"/>
          <w:caps w:val="0"/>
          <w:sz w:val="21"/>
          <w:szCs w:val="22"/>
        </w:rPr>
      </w:pPr>
      <w:r>
        <w:lastRenderedPageBreak/>
        <w:fldChar w:fldCharType="begin"/>
      </w:r>
      <w:r>
        <w:instrText xml:space="preserve"> TOC \u \t "</w:instrText>
      </w:r>
      <w:r>
        <w:instrText>标题</w:instrText>
      </w:r>
      <w:r>
        <w:instrText xml:space="preserve"> 1,1,</w:instrText>
      </w:r>
      <w:r>
        <w:instrText>标题</w:instrText>
      </w:r>
      <w:r>
        <w:instrText xml:space="preserve"> 2,2,</w:instrText>
      </w:r>
      <w:r>
        <w:instrText>标题</w:instrText>
      </w:r>
      <w:r>
        <w:instrText xml:space="preserve"> 3,3" </w:instrText>
      </w:r>
      <w:r>
        <w:fldChar w:fldCharType="separate"/>
      </w:r>
      <w:r>
        <w:rPr>
          <w:rFonts w:ascii="Times New Roman" w:eastAsia="宋体"/>
          <w:color w:val="000000" w:themeColor="text1"/>
        </w:rPr>
        <w:t>1</w:t>
      </w:r>
      <w:r>
        <w:rPr>
          <w:rFonts w:ascii="Times New Roman" w:eastAsia="宋体"/>
          <w:color w:val="000000" w:themeColor="text1"/>
        </w:rPr>
        <w:t>、概述</w:t>
      </w:r>
      <w:r>
        <w:tab/>
      </w:r>
      <w:r>
        <w:fldChar w:fldCharType="begin"/>
      </w:r>
      <w:r>
        <w:instrText xml:space="preserve"> PAGEREF _Toc6826745 \h </w:instrText>
      </w:r>
      <w:r>
        <w:fldChar w:fldCharType="separate"/>
      </w:r>
      <w:r>
        <w:t>15</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1.1</w:t>
      </w:r>
      <w:r>
        <w:rPr>
          <w:rFonts w:ascii="Times New Roman" w:eastAsia="宋体" w:hAnsi="Times New Roman"/>
          <w:bCs w:val="0"/>
          <w:color w:val="000000" w:themeColor="text1"/>
        </w:rPr>
        <w:t>项目背景及特点</w:t>
      </w:r>
      <w:r>
        <w:tab/>
      </w:r>
      <w:r>
        <w:fldChar w:fldCharType="begin"/>
      </w:r>
      <w:r>
        <w:instrText xml:space="preserve"> PAGEREF _Toc6826746 \h </w:instrText>
      </w:r>
      <w:r>
        <w:fldChar w:fldCharType="separate"/>
      </w:r>
      <w:r>
        <w:t>15</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1.2</w:t>
      </w:r>
      <w:r>
        <w:rPr>
          <w:rFonts w:ascii="Times New Roman" w:eastAsia="宋体" w:hAnsi="Times New Roman"/>
          <w:bCs w:val="0"/>
          <w:color w:val="000000" w:themeColor="text1"/>
        </w:rPr>
        <w:t>评价的主要工作过程</w:t>
      </w:r>
      <w:r>
        <w:tab/>
      </w:r>
      <w:r>
        <w:fldChar w:fldCharType="begin"/>
      </w:r>
      <w:r>
        <w:instrText xml:space="preserve"> PAGEREF _Toc6826747 \h </w:instrText>
      </w:r>
      <w:r>
        <w:fldChar w:fldCharType="separate"/>
      </w:r>
      <w:r>
        <w:t>16</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1.3</w:t>
      </w:r>
      <w:r>
        <w:rPr>
          <w:rFonts w:ascii="Times New Roman" w:eastAsia="宋体" w:hAnsi="Times New Roman"/>
          <w:bCs w:val="0"/>
          <w:color w:val="000000" w:themeColor="text1"/>
        </w:rPr>
        <w:t>项目分析判定情况</w:t>
      </w:r>
      <w:r>
        <w:tab/>
      </w:r>
      <w:r>
        <w:fldChar w:fldCharType="begin"/>
      </w:r>
      <w:r>
        <w:instrText xml:space="preserve"> PAGEREF _Toc6826748 \h </w:instrText>
      </w:r>
      <w:r>
        <w:fldChar w:fldCharType="separate"/>
      </w:r>
      <w:r>
        <w:t>17</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1.4</w:t>
      </w:r>
      <w:r>
        <w:rPr>
          <w:rFonts w:ascii="Times New Roman" w:eastAsia="宋体" w:hAnsi="Times New Roman"/>
          <w:bCs w:val="0"/>
          <w:color w:val="000000" w:themeColor="text1"/>
        </w:rPr>
        <w:t>主要建设内容</w:t>
      </w:r>
      <w:r>
        <w:tab/>
      </w:r>
      <w:r>
        <w:fldChar w:fldCharType="begin"/>
      </w:r>
      <w:r>
        <w:instrText xml:space="preserve"> PAGEREF _Toc6826749 \h </w:instrText>
      </w:r>
      <w:r>
        <w:fldChar w:fldCharType="separate"/>
      </w:r>
      <w:r>
        <w:t>18</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1.5</w:t>
      </w:r>
      <w:r>
        <w:rPr>
          <w:rFonts w:ascii="Times New Roman" w:eastAsia="宋体" w:hAnsi="Times New Roman"/>
          <w:bCs w:val="0"/>
          <w:color w:val="000000" w:themeColor="text1"/>
        </w:rPr>
        <w:t>与产业政策、区域规划相符性分析</w:t>
      </w:r>
      <w:r>
        <w:tab/>
      </w:r>
      <w:r>
        <w:fldChar w:fldCharType="begin"/>
      </w:r>
      <w:r>
        <w:instrText xml:space="preserve"> PAGEREF _Toc6826750 \h </w:instrText>
      </w:r>
      <w:r>
        <w:fldChar w:fldCharType="separate"/>
      </w:r>
      <w:r>
        <w:t>18</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1.6</w:t>
      </w:r>
      <w:r>
        <w:rPr>
          <w:rFonts w:ascii="Times New Roman" w:eastAsia="宋体" w:hAnsi="Times New Roman"/>
          <w:bCs w:val="0"/>
          <w:color w:val="000000" w:themeColor="text1"/>
        </w:rPr>
        <w:t>主要关注的环境问题</w:t>
      </w:r>
      <w:r>
        <w:tab/>
      </w:r>
      <w:r>
        <w:fldChar w:fldCharType="begin"/>
      </w:r>
      <w:r>
        <w:instrText xml:space="preserve"> PAGEREF _To</w:instrText>
      </w:r>
      <w:r>
        <w:instrText xml:space="preserve">c6826751 \h </w:instrText>
      </w:r>
      <w:r>
        <w:fldChar w:fldCharType="separate"/>
      </w:r>
      <w:r>
        <w:t>20</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1.7</w:t>
      </w:r>
      <w:r>
        <w:rPr>
          <w:rFonts w:ascii="Times New Roman" w:eastAsia="宋体" w:hAnsi="Times New Roman"/>
          <w:bCs w:val="0"/>
          <w:color w:val="000000" w:themeColor="text1"/>
        </w:rPr>
        <w:t>环境影响评价的主要结论</w:t>
      </w:r>
      <w:r>
        <w:tab/>
      </w:r>
      <w:r>
        <w:fldChar w:fldCharType="begin"/>
      </w:r>
      <w:r>
        <w:instrText xml:space="preserve"> PAGEREF _Toc6826752 \h </w:instrText>
      </w:r>
      <w:r>
        <w:fldChar w:fldCharType="separate"/>
      </w:r>
      <w:r>
        <w:t>21</w:t>
      </w:r>
      <w:r>
        <w:fldChar w:fldCharType="end"/>
      </w:r>
    </w:p>
    <w:p w:rsidR="00C861DA" w:rsidRDefault="0044752E">
      <w:pPr>
        <w:pStyle w:val="13"/>
        <w:tabs>
          <w:tab w:val="right" w:leader="dot" w:pos="8296"/>
        </w:tabs>
        <w:rPr>
          <w:rFonts w:asciiTheme="minorHAnsi" w:eastAsiaTheme="minorEastAsia"/>
          <w:b w:val="0"/>
          <w:bCs w:val="0"/>
          <w:caps w:val="0"/>
          <w:sz w:val="21"/>
          <w:szCs w:val="22"/>
        </w:rPr>
      </w:pPr>
      <w:r>
        <w:rPr>
          <w:rFonts w:ascii="Times New Roman" w:eastAsia="宋体"/>
          <w:color w:val="000000" w:themeColor="text1"/>
        </w:rPr>
        <w:t>2</w:t>
      </w:r>
      <w:r>
        <w:rPr>
          <w:rFonts w:ascii="Times New Roman" w:eastAsia="宋体"/>
          <w:color w:val="000000" w:themeColor="text1"/>
        </w:rPr>
        <w:t>、总则</w:t>
      </w:r>
      <w:r>
        <w:tab/>
      </w:r>
      <w:r>
        <w:fldChar w:fldCharType="begin"/>
      </w:r>
      <w:r>
        <w:instrText xml:space="preserve"> PAGEREF _Toc6826753 \h </w:instrText>
      </w:r>
      <w:r>
        <w:fldChar w:fldCharType="separate"/>
      </w:r>
      <w:r>
        <w:t>21</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2.1</w:t>
      </w:r>
      <w:r>
        <w:rPr>
          <w:rFonts w:ascii="Times New Roman" w:eastAsia="宋体" w:hAnsi="Times New Roman"/>
          <w:bCs w:val="0"/>
          <w:color w:val="000000" w:themeColor="text1"/>
        </w:rPr>
        <w:t>编制依据</w:t>
      </w:r>
      <w:r>
        <w:tab/>
      </w:r>
      <w:r>
        <w:fldChar w:fldCharType="begin"/>
      </w:r>
      <w:r>
        <w:instrText xml:space="preserve"> PAGEREF _Toc6826754 \h </w:instrText>
      </w:r>
      <w:r>
        <w:fldChar w:fldCharType="separate"/>
      </w:r>
      <w:r>
        <w:t>21</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2.1.1</w:t>
      </w:r>
      <w:r>
        <w:rPr>
          <w:rFonts w:ascii="Times New Roman" w:eastAsia="宋体"/>
          <w:color w:val="000000" w:themeColor="text1"/>
        </w:rPr>
        <w:t>法律依据</w:t>
      </w:r>
      <w:r>
        <w:tab/>
      </w:r>
      <w:r>
        <w:fldChar w:fldCharType="begin"/>
      </w:r>
      <w:r>
        <w:instrText xml:space="preserve"> PAGEREF _Toc6826755 \h </w:instrText>
      </w:r>
      <w:r>
        <w:fldChar w:fldCharType="separate"/>
      </w:r>
      <w:r>
        <w:t>21</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2.1.2</w:t>
      </w:r>
      <w:r>
        <w:rPr>
          <w:rFonts w:ascii="Times New Roman" w:eastAsia="宋体"/>
          <w:color w:val="000000" w:themeColor="text1"/>
        </w:rPr>
        <w:t>行政法规</w:t>
      </w:r>
      <w:r>
        <w:tab/>
      </w:r>
      <w:r>
        <w:fldChar w:fldCharType="begin"/>
      </w:r>
      <w:r>
        <w:instrText xml:space="preserve"> PAGEREF _Toc6826756 \h </w:instrText>
      </w:r>
      <w:r>
        <w:fldChar w:fldCharType="separate"/>
      </w:r>
      <w:r>
        <w:t>22</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2.1.3</w:t>
      </w:r>
      <w:r>
        <w:rPr>
          <w:rFonts w:ascii="Times New Roman" w:eastAsia="宋体"/>
          <w:color w:val="000000" w:themeColor="text1"/>
        </w:rPr>
        <w:t>部门规章</w:t>
      </w:r>
      <w:r>
        <w:tab/>
      </w:r>
      <w:r>
        <w:fldChar w:fldCharType="begin"/>
      </w:r>
      <w:r>
        <w:instrText xml:space="preserve"> PAGEREF _Toc6826757 \h </w:instrText>
      </w:r>
      <w:r>
        <w:fldChar w:fldCharType="separate"/>
      </w:r>
      <w:r>
        <w:t>23</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2.1.4</w:t>
      </w:r>
      <w:r>
        <w:rPr>
          <w:rFonts w:ascii="Times New Roman" w:eastAsia="宋体"/>
          <w:color w:val="000000" w:themeColor="text1"/>
        </w:rPr>
        <w:t>地方法规、规章</w:t>
      </w:r>
      <w:r>
        <w:tab/>
      </w:r>
      <w:r>
        <w:fldChar w:fldCharType="begin"/>
      </w:r>
      <w:r>
        <w:instrText xml:space="preserve"> PAGEREF _Toc6826758 \h </w:instrText>
      </w:r>
      <w:r>
        <w:fldChar w:fldCharType="separate"/>
      </w:r>
      <w:r>
        <w:t>24</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2.1.5</w:t>
      </w:r>
      <w:r>
        <w:rPr>
          <w:rFonts w:ascii="Times New Roman" w:eastAsia="宋体"/>
          <w:color w:val="000000" w:themeColor="text1"/>
        </w:rPr>
        <w:t>技术规范</w:t>
      </w:r>
      <w:r>
        <w:tab/>
      </w:r>
      <w:r>
        <w:fldChar w:fldCharType="begin"/>
      </w:r>
      <w:r>
        <w:instrText xml:space="preserve"> PAGEREF _Toc6826759 \h </w:instrText>
      </w:r>
      <w:r>
        <w:fldChar w:fldCharType="separate"/>
      </w:r>
      <w:r>
        <w:t>25</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2.1.6</w:t>
      </w:r>
      <w:r>
        <w:rPr>
          <w:rFonts w:ascii="Times New Roman" w:eastAsia="宋体"/>
          <w:color w:val="000000" w:themeColor="text1"/>
        </w:rPr>
        <w:t>项目资料</w:t>
      </w:r>
      <w:r>
        <w:tab/>
      </w:r>
      <w:r>
        <w:fldChar w:fldCharType="begin"/>
      </w:r>
      <w:r>
        <w:instrText xml:space="preserve"> PAGEREF _Toc6826760 \h </w:instrText>
      </w:r>
      <w:r>
        <w:fldChar w:fldCharType="separate"/>
      </w:r>
      <w:r>
        <w:t>25</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2.2</w:t>
      </w:r>
      <w:r>
        <w:rPr>
          <w:rFonts w:ascii="Times New Roman" w:eastAsia="宋体" w:hAnsi="Times New Roman"/>
          <w:bCs w:val="0"/>
          <w:color w:val="000000" w:themeColor="text1"/>
        </w:rPr>
        <w:t>评价目的和原则</w:t>
      </w:r>
      <w:r>
        <w:tab/>
      </w:r>
      <w:r>
        <w:fldChar w:fldCharType="begin"/>
      </w:r>
      <w:r>
        <w:instrText xml:space="preserve"> PAGEREF _Toc6826761 \h </w:instrText>
      </w:r>
      <w:r>
        <w:fldChar w:fldCharType="separate"/>
      </w:r>
      <w:r>
        <w:t>26</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lastRenderedPageBreak/>
        <w:t>2.2.1</w:t>
      </w:r>
      <w:r>
        <w:rPr>
          <w:rFonts w:ascii="Times New Roman" w:eastAsia="宋体"/>
          <w:color w:val="000000" w:themeColor="text1"/>
        </w:rPr>
        <w:t>评价目的</w:t>
      </w:r>
      <w:r>
        <w:tab/>
      </w:r>
      <w:r>
        <w:fldChar w:fldCharType="begin"/>
      </w:r>
      <w:r>
        <w:instrText xml:space="preserve"> PAGEREF _Toc6826762 \h </w:instrText>
      </w:r>
      <w:r>
        <w:fldChar w:fldCharType="separate"/>
      </w:r>
      <w:r>
        <w:t>26</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2.2.2</w:t>
      </w:r>
      <w:r>
        <w:rPr>
          <w:rFonts w:ascii="Times New Roman" w:eastAsia="宋体"/>
          <w:color w:val="000000" w:themeColor="text1"/>
        </w:rPr>
        <w:t>评价原则</w:t>
      </w:r>
      <w:r>
        <w:tab/>
      </w:r>
      <w:r>
        <w:fldChar w:fldCharType="begin"/>
      </w:r>
      <w:r>
        <w:instrText xml:space="preserve"> PAGEREF _Toc6826763 \h </w:instrText>
      </w:r>
      <w:r>
        <w:fldChar w:fldCharType="separate"/>
      </w:r>
      <w:r>
        <w:t>26</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2.3</w:t>
      </w:r>
      <w:r>
        <w:rPr>
          <w:rFonts w:ascii="Times New Roman" w:eastAsia="宋体" w:hAnsi="Times New Roman"/>
          <w:bCs w:val="0"/>
          <w:color w:val="000000" w:themeColor="text1"/>
        </w:rPr>
        <w:t>评价内容及重点</w:t>
      </w:r>
      <w:r>
        <w:tab/>
      </w:r>
      <w:r>
        <w:fldChar w:fldCharType="begin"/>
      </w:r>
      <w:r>
        <w:instrText xml:space="preserve"> PAGEREF _Toc6826764 \h </w:instrText>
      </w:r>
      <w:r>
        <w:fldChar w:fldCharType="separate"/>
      </w:r>
      <w:r>
        <w:t>27</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2.3.1</w:t>
      </w:r>
      <w:r>
        <w:rPr>
          <w:rFonts w:ascii="Times New Roman" w:eastAsia="宋体"/>
          <w:color w:val="000000" w:themeColor="text1"/>
        </w:rPr>
        <w:t>评价内容</w:t>
      </w:r>
      <w:r>
        <w:tab/>
      </w:r>
      <w:r>
        <w:fldChar w:fldCharType="begin"/>
      </w:r>
      <w:r>
        <w:instrText xml:space="preserve"> PAGEREF _Toc6826765 \h </w:instrText>
      </w:r>
      <w:r>
        <w:fldChar w:fldCharType="separate"/>
      </w:r>
      <w:r>
        <w:t>27</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2.3.2</w:t>
      </w:r>
      <w:r>
        <w:rPr>
          <w:rFonts w:ascii="Times New Roman" w:eastAsia="宋体"/>
          <w:color w:val="000000" w:themeColor="text1"/>
        </w:rPr>
        <w:t>评价重点</w:t>
      </w:r>
      <w:r>
        <w:tab/>
      </w:r>
      <w:r>
        <w:fldChar w:fldCharType="begin"/>
      </w:r>
      <w:r>
        <w:instrText xml:space="preserve"> PAGEREF _Toc6826766 \h </w:instrText>
      </w:r>
      <w:r>
        <w:fldChar w:fldCharType="separate"/>
      </w:r>
      <w:r>
        <w:t>28</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2.4</w:t>
      </w:r>
      <w:r>
        <w:rPr>
          <w:rFonts w:ascii="Times New Roman" w:eastAsia="宋体" w:hAnsi="Times New Roman"/>
          <w:bCs w:val="0"/>
          <w:color w:val="000000" w:themeColor="text1"/>
        </w:rPr>
        <w:t>环境影响因素识别及评价因子筛选</w:t>
      </w:r>
      <w:r>
        <w:tab/>
      </w:r>
      <w:r>
        <w:fldChar w:fldCharType="begin"/>
      </w:r>
      <w:r>
        <w:instrText xml:space="preserve"> PAGEREF _Toc6826767 \h </w:instrText>
      </w:r>
      <w:r>
        <w:fldChar w:fldCharType="separate"/>
      </w:r>
      <w:r>
        <w:t>28</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2.4.1</w:t>
      </w:r>
      <w:r>
        <w:rPr>
          <w:rFonts w:ascii="Times New Roman" w:eastAsia="宋体"/>
          <w:color w:val="000000" w:themeColor="text1"/>
        </w:rPr>
        <w:t>环境影响因素识别</w:t>
      </w:r>
      <w:r>
        <w:tab/>
      </w:r>
      <w:r>
        <w:fldChar w:fldCharType="begin"/>
      </w:r>
      <w:r>
        <w:instrText xml:space="preserve"> PAGEREF _Toc6826768 \h </w:instrText>
      </w:r>
      <w:r>
        <w:fldChar w:fldCharType="separate"/>
      </w:r>
      <w:r>
        <w:t>28</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2.4.2</w:t>
      </w:r>
      <w:r>
        <w:rPr>
          <w:rFonts w:ascii="Times New Roman" w:eastAsia="宋体"/>
          <w:color w:val="000000" w:themeColor="text1"/>
        </w:rPr>
        <w:t>评价因子筛选</w:t>
      </w:r>
      <w:r>
        <w:tab/>
      </w:r>
      <w:r>
        <w:fldChar w:fldCharType="begin"/>
      </w:r>
      <w:r>
        <w:instrText xml:space="preserve"> PAGEREF _Toc6826769 \h </w:instrText>
      </w:r>
      <w:r>
        <w:fldChar w:fldCharType="separate"/>
      </w:r>
      <w:r>
        <w:t>29</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2.5</w:t>
      </w:r>
      <w:r>
        <w:rPr>
          <w:rFonts w:ascii="Times New Roman" w:eastAsia="宋体" w:hAnsi="Times New Roman"/>
          <w:bCs w:val="0"/>
          <w:color w:val="000000" w:themeColor="text1"/>
        </w:rPr>
        <w:t>评价标准</w:t>
      </w:r>
      <w:r>
        <w:tab/>
      </w:r>
      <w:r>
        <w:fldChar w:fldCharType="begin"/>
      </w:r>
      <w:r>
        <w:instrText xml:space="preserve"> PAGEREF _Toc6826770 \h </w:instrText>
      </w:r>
      <w:r>
        <w:fldChar w:fldCharType="separate"/>
      </w:r>
      <w:r>
        <w:t>30</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2.5.1</w:t>
      </w:r>
      <w:r>
        <w:rPr>
          <w:rFonts w:ascii="Times New Roman" w:eastAsia="宋体"/>
          <w:color w:val="000000" w:themeColor="text1"/>
        </w:rPr>
        <w:t>环境质量标准</w:t>
      </w:r>
      <w:r>
        <w:tab/>
      </w:r>
      <w:r>
        <w:fldChar w:fldCharType="begin"/>
      </w:r>
      <w:r>
        <w:instrText xml:space="preserve"> PAGEREF _Toc6826771 \h </w:instrText>
      </w:r>
      <w:r>
        <w:fldChar w:fldCharType="separate"/>
      </w:r>
      <w:r>
        <w:t>30</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2.5.2</w:t>
      </w:r>
      <w:r>
        <w:rPr>
          <w:rFonts w:ascii="Times New Roman" w:eastAsia="宋体"/>
          <w:color w:val="000000" w:themeColor="text1"/>
        </w:rPr>
        <w:t>污染物排放标准</w:t>
      </w:r>
      <w:r>
        <w:tab/>
      </w:r>
      <w:r>
        <w:fldChar w:fldCharType="begin"/>
      </w:r>
      <w:r>
        <w:instrText xml:space="preserve"> PAGEREF _Toc6826772 \h </w:instrText>
      </w:r>
      <w:r>
        <w:fldChar w:fldCharType="separate"/>
      </w:r>
      <w:r>
        <w:t>33</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2.6</w:t>
      </w:r>
      <w:r>
        <w:rPr>
          <w:rFonts w:ascii="Times New Roman" w:eastAsia="宋体" w:hAnsi="Times New Roman"/>
          <w:bCs w:val="0"/>
          <w:color w:val="000000" w:themeColor="text1"/>
        </w:rPr>
        <w:t>评价工作等级及评价范围</w:t>
      </w:r>
      <w:r>
        <w:tab/>
      </w:r>
      <w:r>
        <w:fldChar w:fldCharType="begin"/>
      </w:r>
      <w:r>
        <w:instrText xml:space="preserve"> PAGEREF _Toc6826773</w:instrText>
      </w:r>
      <w:r>
        <w:instrText xml:space="preserve"> \h </w:instrText>
      </w:r>
      <w:r>
        <w:fldChar w:fldCharType="separate"/>
      </w:r>
      <w:r>
        <w:t>35</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2.6.1</w:t>
      </w:r>
      <w:r>
        <w:rPr>
          <w:rFonts w:ascii="Times New Roman" w:eastAsia="宋体"/>
          <w:color w:val="000000" w:themeColor="text1"/>
        </w:rPr>
        <w:t>评价工作等级</w:t>
      </w:r>
      <w:r>
        <w:tab/>
      </w:r>
      <w:r>
        <w:fldChar w:fldCharType="begin"/>
      </w:r>
      <w:r>
        <w:instrText xml:space="preserve"> PAGEREF _Toc6826774 \h </w:instrText>
      </w:r>
      <w:r>
        <w:fldChar w:fldCharType="separate"/>
      </w:r>
      <w:r>
        <w:t>35</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2.6.2</w:t>
      </w:r>
      <w:r>
        <w:rPr>
          <w:rFonts w:ascii="Times New Roman" w:eastAsia="宋体"/>
          <w:color w:val="000000" w:themeColor="text1"/>
        </w:rPr>
        <w:t>评价范围</w:t>
      </w:r>
      <w:r>
        <w:tab/>
      </w:r>
      <w:r>
        <w:fldChar w:fldCharType="begin"/>
      </w:r>
      <w:r>
        <w:instrText xml:space="preserve"> PAGEREF _Toc6826775 \h </w:instrText>
      </w:r>
      <w:r>
        <w:fldChar w:fldCharType="separate"/>
      </w:r>
      <w:r>
        <w:t>46</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2.7</w:t>
      </w:r>
      <w:r>
        <w:rPr>
          <w:rFonts w:ascii="Times New Roman" w:eastAsia="宋体" w:hAnsi="Times New Roman"/>
          <w:bCs w:val="0"/>
          <w:color w:val="000000" w:themeColor="text1"/>
        </w:rPr>
        <w:t>主要环境保护目标</w:t>
      </w:r>
      <w:r>
        <w:tab/>
      </w:r>
      <w:r>
        <w:fldChar w:fldCharType="begin"/>
      </w:r>
      <w:r>
        <w:instrText xml:space="preserve"> PAGEREF _Toc6826776 \h </w:instrText>
      </w:r>
      <w:r>
        <w:fldChar w:fldCharType="separate"/>
      </w:r>
      <w:r>
        <w:t>47</w:t>
      </w:r>
      <w:r>
        <w:fldChar w:fldCharType="end"/>
      </w:r>
    </w:p>
    <w:p w:rsidR="00C861DA" w:rsidRDefault="0044752E">
      <w:pPr>
        <w:pStyle w:val="13"/>
        <w:tabs>
          <w:tab w:val="right" w:leader="dot" w:pos="8296"/>
        </w:tabs>
        <w:rPr>
          <w:rFonts w:asciiTheme="minorHAnsi" w:eastAsiaTheme="minorEastAsia"/>
          <w:b w:val="0"/>
          <w:bCs w:val="0"/>
          <w:caps w:val="0"/>
          <w:sz w:val="21"/>
          <w:szCs w:val="22"/>
        </w:rPr>
      </w:pPr>
      <w:r>
        <w:rPr>
          <w:rFonts w:ascii="Times New Roman" w:eastAsia="宋体"/>
          <w:color w:val="000000" w:themeColor="text1"/>
        </w:rPr>
        <w:t>3</w:t>
      </w:r>
      <w:r>
        <w:rPr>
          <w:rFonts w:ascii="Times New Roman" w:eastAsia="宋体"/>
          <w:color w:val="000000" w:themeColor="text1"/>
        </w:rPr>
        <w:t>、项目概况</w:t>
      </w:r>
      <w:r>
        <w:tab/>
      </w:r>
      <w:r>
        <w:fldChar w:fldCharType="begin"/>
      </w:r>
      <w:r>
        <w:instrText xml:space="preserve"> PAGEREF _Toc6826777 \h </w:instrText>
      </w:r>
      <w:r>
        <w:fldChar w:fldCharType="separate"/>
      </w:r>
      <w:r>
        <w:t>49</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3.1</w:t>
      </w:r>
      <w:r>
        <w:rPr>
          <w:rFonts w:ascii="Times New Roman" w:eastAsia="宋体" w:hAnsi="Times New Roman"/>
          <w:bCs w:val="0"/>
          <w:color w:val="000000" w:themeColor="text1"/>
        </w:rPr>
        <w:t>项目基本情况</w:t>
      </w:r>
      <w:r>
        <w:tab/>
      </w:r>
      <w:r>
        <w:fldChar w:fldCharType="begin"/>
      </w:r>
      <w:r>
        <w:instrText xml:space="preserve"> PAGEREF _Toc6826778 \h </w:instrText>
      </w:r>
      <w:r>
        <w:fldChar w:fldCharType="separate"/>
      </w:r>
      <w:r>
        <w:t>49</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3.2</w:t>
      </w:r>
      <w:r>
        <w:rPr>
          <w:rFonts w:ascii="Times New Roman" w:eastAsia="宋体" w:hAnsi="Times New Roman"/>
          <w:bCs w:val="0"/>
          <w:color w:val="000000" w:themeColor="text1"/>
        </w:rPr>
        <w:t>拟建项目建设内容及规模</w:t>
      </w:r>
      <w:r>
        <w:tab/>
      </w:r>
      <w:r>
        <w:fldChar w:fldCharType="begin"/>
      </w:r>
      <w:r>
        <w:instrText xml:space="preserve"> PAGEREF _Toc6826779 \h </w:instrText>
      </w:r>
      <w:r>
        <w:fldChar w:fldCharType="separate"/>
      </w:r>
      <w:r>
        <w:t>49</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3.2.1</w:t>
      </w:r>
      <w:r>
        <w:rPr>
          <w:rFonts w:ascii="Times New Roman" w:eastAsia="宋体"/>
          <w:color w:val="000000" w:themeColor="text1"/>
        </w:rPr>
        <w:t>工程内容</w:t>
      </w:r>
      <w:r>
        <w:tab/>
      </w:r>
      <w:r>
        <w:fldChar w:fldCharType="begin"/>
      </w:r>
      <w:r>
        <w:instrText xml:space="preserve"> PAGEREF _Toc6826780 \h </w:instrText>
      </w:r>
      <w:r>
        <w:fldChar w:fldCharType="separate"/>
      </w:r>
      <w:r>
        <w:t>4</w:t>
      </w:r>
      <w:r>
        <w:t>9</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lastRenderedPageBreak/>
        <w:t>3.2.2</w:t>
      </w:r>
      <w:r>
        <w:rPr>
          <w:rFonts w:ascii="Times New Roman" w:eastAsia="宋体"/>
          <w:color w:val="000000" w:themeColor="text1"/>
        </w:rPr>
        <w:t>工程规模</w:t>
      </w:r>
      <w:r>
        <w:tab/>
      </w:r>
      <w:r>
        <w:fldChar w:fldCharType="begin"/>
      </w:r>
      <w:r>
        <w:instrText xml:space="preserve"> PAGEREF _Toc6826781 \h </w:instrText>
      </w:r>
      <w:r>
        <w:fldChar w:fldCharType="separate"/>
      </w:r>
      <w:r>
        <w:t>49</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3.2.3</w:t>
      </w:r>
      <w:r>
        <w:rPr>
          <w:rFonts w:ascii="Times New Roman" w:eastAsia="宋体"/>
          <w:color w:val="000000" w:themeColor="text1"/>
        </w:rPr>
        <w:t>主体工程</w:t>
      </w:r>
      <w:r>
        <w:tab/>
      </w:r>
      <w:r>
        <w:fldChar w:fldCharType="begin"/>
      </w:r>
      <w:r>
        <w:instrText xml:space="preserve"> PAGEREF _Toc6826782 \h </w:instrText>
      </w:r>
      <w:r>
        <w:fldChar w:fldCharType="separate"/>
      </w:r>
      <w:r>
        <w:t>51</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3.2.4</w:t>
      </w:r>
      <w:r>
        <w:rPr>
          <w:rFonts w:ascii="Times New Roman" w:eastAsia="宋体"/>
          <w:color w:val="000000" w:themeColor="text1"/>
        </w:rPr>
        <w:t>公用工程</w:t>
      </w:r>
      <w:r>
        <w:tab/>
      </w:r>
      <w:r>
        <w:fldChar w:fldCharType="begin"/>
      </w:r>
      <w:r>
        <w:instrText xml:space="preserve"> PAGEREF _Toc6826783 \h </w:instrText>
      </w:r>
      <w:r>
        <w:fldChar w:fldCharType="separate"/>
      </w:r>
      <w:r>
        <w:t>52</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3.2.5</w:t>
      </w:r>
      <w:r>
        <w:rPr>
          <w:rFonts w:ascii="Times New Roman" w:eastAsia="宋体"/>
          <w:color w:val="000000" w:themeColor="text1"/>
        </w:rPr>
        <w:t>辅助工程</w:t>
      </w:r>
      <w:r>
        <w:tab/>
      </w:r>
      <w:r>
        <w:fldChar w:fldCharType="begin"/>
      </w:r>
      <w:r>
        <w:instrText xml:space="preserve"> PAGEREF _Toc6826784 \h </w:instrText>
      </w:r>
      <w:r>
        <w:fldChar w:fldCharType="separate"/>
      </w:r>
      <w:r>
        <w:t>52</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3.2.6</w:t>
      </w:r>
      <w:r>
        <w:rPr>
          <w:rFonts w:ascii="Times New Roman" w:eastAsia="宋体"/>
          <w:color w:val="000000" w:themeColor="text1"/>
        </w:rPr>
        <w:t>依托工程</w:t>
      </w:r>
      <w:r>
        <w:tab/>
      </w:r>
      <w:r>
        <w:fldChar w:fldCharType="begin"/>
      </w:r>
      <w:r>
        <w:instrText xml:space="preserve"> PAGEREF _Toc6826785 \h </w:instrText>
      </w:r>
      <w:r>
        <w:fldChar w:fldCharType="separate"/>
      </w:r>
      <w:r>
        <w:t>53</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3.2.7</w:t>
      </w:r>
      <w:r>
        <w:rPr>
          <w:rFonts w:ascii="Times New Roman" w:eastAsia="宋体"/>
          <w:color w:val="000000" w:themeColor="text1"/>
        </w:rPr>
        <w:t>环保工程</w:t>
      </w:r>
      <w:r>
        <w:tab/>
      </w:r>
      <w:r>
        <w:fldChar w:fldCharType="begin"/>
      </w:r>
      <w:r>
        <w:instrText xml:space="preserve"> PAGEREF _Toc6826786 \h </w:instrText>
      </w:r>
      <w:r>
        <w:fldChar w:fldCharType="separate"/>
      </w:r>
      <w:r>
        <w:t>53</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3.2.8</w:t>
      </w:r>
      <w:r>
        <w:rPr>
          <w:rFonts w:ascii="Times New Roman" w:eastAsia="宋体"/>
          <w:color w:val="000000" w:themeColor="text1"/>
        </w:rPr>
        <w:t>主要设备</w:t>
      </w:r>
      <w:r>
        <w:tab/>
      </w:r>
      <w:r>
        <w:fldChar w:fldCharType="begin"/>
      </w:r>
      <w:r>
        <w:instrText xml:space="preserve"> PAGEREF _Toc6826787 \h </w:instrText>
      </w:r>
      <w:r>
        <w:fldChar w:fldCharType="separate"/>
      </w:r>
      <w:r>
        <w:t>54</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3.2.9</w:t>
      </w:r>
      <w:r>
        <w:rPr>
          <w:rFonts w:ascii="Times New Roman" w:eastAsia="宋体"/>
          <w:color w:val="000000" w:themeColor="text1"/>
        </w:rPr>
        <w:t>生产规模和产品方案</w:t>
      </w:r>
      <w:r>
        <w:tab/>
      </w:r>
      <w:r>
        <w:fldChar w:fldCharType="begin"/>
      </w:r>
      <w:r>
        <w:instrText xml:space="preserve"> PAGEREF _Toc6826788 \h </w:instrText>
      </w:r>
      <w:r>
        <w:fldChar w:fldCharType="separate"/>
      </w:r>
      <w:r>
        <w:t>54</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3.2.10</w:t>
      </w:r>
      <w:r>
        <w:rPr>
          <w:rFonts w:ascii="Times New Roman" w:eastAsia="宋体"/>
          <w:color w:val="000000" w:themeColor="text1"/>
        </w:rPr>
        <w:t>原辅料及能源消耗</w:t>
      </w:r>
      <w:r>
        <w:tab/>
      </w:r>
      <w:r>
        <w:fldChar w:fldCharType="begin"/>
      </w:r>
      <w:r>
        <w:instrText xml:space="preserve"> PAGEREF _Toc6826789</w:instrText>
      </w:r>
      <w:r>
        <w:instrText xml:space="preserve"> \h </w:instrText>
      </w:r>
      <w:r>
        <w:fldChar w:fldCharType="separate"/>
      </w:r>
      <w:r>
        <w:t>54</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3.2.11</w:t>
      </w:r>
      <w:r>
        <w:rPr>
          <w:rFonts w:ascii="Times New Roman" w:eastAsia="宋体"/>
          <w:color w:val="000000" w:themeColor="text1"/>
        </w:rPr>
        <w:t>能耗</w:t>
      </w:r>
      <w:r>
        <w:tab/>
      </w:r>
      <w:r>
        <w:fldChar w:fldCharType="begin"/>
      </w:r>
      <w:r>
        <w:instrText xml:space="preserve"> PAGEREF _Toc6826790 \h </w:instrText>
      </w:r>
      <w:r>
        <w:fldChar w:fldCharType="separate"/>
      </w:r>
      <w:r>
        <w:t>55</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3.2.12</w:t>
      </w:r>
      <w:r>
        <w:rPr>
          <w:rFonts w:ascii="Times New Roman" w:eastAsia="宋体"/>
          <w:color w:val="000000" w:themeColor="text1"/>
        </w:rPr>
        <w:t>总平面布置</w:t>
      </w:r>
      <w:r>
        <w:tab/>
      </w:r>
      <w:r>
        <w:fldChar w:fldCharType="begin"/>
      </w:r>
      <w:r>
        <w:instrText xml:space="preserve"> PAGEREF _Toc6826791 \h </w:instrText>
      </w:r>
      <w:r>
        <w:fldChar w:fldCharType="separate"/>
      </w:r>
      <w:r>
        <w:t>55</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3.2.13</w:t>
      </w:r>
      <w:r>
        <w:rPr>
          <w:rFonts w:ascii="Times New Roman" w:eastAsia="宋体"/>
          <w:color w:val="000000" w:themeColor="text1"/>
        </w:rPr>
        <w:t>工作制度及劳动定员</w:t>
      </w:r>
      <w:r>
        <w:tab/>
      </w:r>
      <w:r>
        <w:fldChar w:fldCharType="begin"/>
      </w:r>
      <w:r>
        <w:instrText xml:space="preserve"> PAGEREF _Toc6826792 \h </w:instrText>
      </w:r>
      <w:r>
        <w:fldChar w:fldCharType="separate"/>
      </w:r>
      <w:r>
        <w:t>55</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3.2.14</w:t>
      </w:r>
      <w:r>
        <w:rPr>
          <w:rFonts w:ascii="Times New Roman" w:eastAsia="宋体"/>
          <w:color w:val="000000" w:themeColor="text1"/>
        </w:rPr>
        <w:t>项目实施进度安排</w:t>
      </w:r>
      <w:r>
        <w:tab/>
      </w:r>
      <w:r>
        <w:fldChar w:fldCharType="begin"/>
      </w:r>
      <w:r>
        <w:instrText xml:space="preserve"> PAGEREF _Toc6826793 \h </w:instrText>
      </w:r>
      <w:r>
        <w:fldChar w:fldCharType="separate"/>
      </w:r>
      <w:r>
        <w:t>56</w:t>
      </w:r>
      <w:r>
        <w:fldChar w:fldCharType="end"/>
      </w:r>
    </w:p>
    <w:p w:rsidR="00C861DA" w:rsidRDefault="0044752E">
      <w:pPr>
        <w:pStyle w:val="13"/>
        <w:tabs>
          <w:tab w:val="right" w:leader="dot" w:pos="8296"/>
        </w:tabs>
        <w:rPr>
          <w:rFonts w:asciiTheme="minorHAnsi" w:eastAsiaTheme="minorEastAsia"/>
          <w:b w:val="0"/>
          <w:bCs w:val="0"/>
          <w:caps w:val="0"/>
          <w:sz w:val="21"/>
          <w:szCs w:val="22"/>
        </w:rPr>
      </w:pPr>
      <w:r>
        <w:rPr>
          <w:rFonts w:ascii="Times New Roman" w:eastAsia="宋体"/>
          <w:color w:val="000000" w:themeColor="text1"/>
        </w:rPr>
        <w:t>4</w:t>
      </w:r>
      <w:r>
        <w:rPr>
          <w:rFonts w:ascii="Times New Roman" w:eastAsia="宋体"/>
          <w:color w:val="000000" w:themeColor="text1"/>
        </w:rPr>
        <w:t>、工程分析</w:t>
      </w:r>
      <w:r>
        <w:tab/>
      </w:r>
      <w:r>
        <w:fldChar w:fldCharType="begin"/>
      </w:r>
      <w:r>
        <w:instrText xml:space="preserve"> PAGEREF _Toc6826794 \h </w:instrText>
      </w:r>
      <w:r>
        <w:fldChar w:fldCharType="separate"/>
      </w:r>
      <w:r>
        <w:t>58</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4.1</w:t>
      </w:r>
      <w:r>
        <w:rPr>
          <w:rFonts w:ascii="Times New Roman" w:eastAsia="宋体" w:hAnsi="Times New Roman"/>
          <w:bCs w:val="0"/>
          <w:color w:val="000000" w:themeColor="text1"/>
        </w:rPr>
        <w:t>工艺流程及产污环节</w:t>
      </w:r>
      <w:r>
        <w:tab/>
      </w:r>
      <w:r>
        <w:fldChar w:fldCharType="begin"/>
      </w:r>
      <w:r>
        <w:instrText xml:space="preserve"> PAGEREF _Toc682</w:instrText>
      </w:r>
      <w:r>
        <w:instrText xml:space="preserve">6795 \h </w:instrText>
      </w:r>
      <w:r>
        <w:fldChar w:fldCharType="separate"/>
      </w:r>
      <w:r>
        <w:t>58</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4.1.1</w:t>
      </w:r>
      <w:r>
        <w:rPr>
          <w:rFonts w:ascii="Times New Roman" w:eastAsia="宋体"/>
          <w:color w:val="000000" w:themeColor="text1"/>
        </w:rPr>
        <w:t>硝基复合肥生产工艺流程及产污环节</w:t>
      </w:r>
      <w:r>
        <w:tab/>
      </w:r>
      <w:r>
        <w:fldChar w:fldCharType="begin"/>
      </w:r>
      <w:r>
        <w:instrText xml:space="preserve"> PAGEREF _Toc6826796 \h </w:instrText>
      </w:r>
      <w:r>
        <w:fldChar w:fldCharType="separate"/>
      </w:r>
      <w:r>
        <w:t>58</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 xml:space="preserve">4.1.2 </w:t>
      </w:r>
      <w:r>
        <w:rPr>
          <w:rFonts w:ascii="Times New Roman" w:eastAsia="宋体"/>
          <w:color w:val="000000" w:themeColor="text1"/>
        </w:rPr>
        <w:t>尿基复合肥生产工艺流程及产污环节</w:t>
      </w:r>
      <w:r>
        <w:tab/>
      </w:r>
      <w:r>
        <w:fldChar w:fldCharType="begin"/>
      </w:r>
      <w:r>
        <w:instrText xml:space="preserve"> PAGEREF _Toc6826797 \h </w:instrText>
      </w:r>
      <w:r>
        <w:fldChar w:fldCharType="separate"/>
      </w:r>
      <w:r>
        <w:t>65</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4.2</w:t>
      </w:r>
      <w:r>
        <w:rPr>
          <w:rFonts w:ascii="Times New Roman" w:eastAsia="宋体" w:hAnsi="Times New Roman"/>
          <w:bCs w:val="0"/>
          <w:color w:val="000000" w:themeColor="text1"/>
        </w:rPr>
        <w:t>原辅材料及能源消耗</w:t>
      </w:r>
      <w:r>
        <w:tab/>
      </w:r>
      <w:r>
        <w:fldChar w:fldCharType="begin"/>
      </w:r>
      <w:r>
        <w:instrText xml:space="preserve"> PAGEREF _Toc6826798 \h </w:instrText>
      </w:r>
      <w:r>
        <w:fldChar w:fldCharType="separate"/>
      </w:r>
      <w:r>
        <w:t>74</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4.3</w:t>
      </w:r>
      <w:r>
        <w:rPr>
          <w:rFonts w:ascii="Times New Roman" w:eastAsia="宋体" w:hAnsi="Times New Roman"/>
          <w:bCs w:val="0"/>
          <w:color w:val="000000" w:themeColor="text1"/>
        </w:rPr>
        <w:t>物料平衡及水平衡</w:t>
      </w:r>
      <w:r>
        <w:tab/>
      </w:r>
      <w:r>
        <w:fldChar w:fldCharType="begin"/>
      </w:r>
      <w:r>
        <w:instrText xml:space="preserve"> PAGEREF _Toc6826799 \h </w:instrText>
      </w:r>
      <w:r>
        <w:fldChar w:fldCharType="separate"/>
      </w:r>
      <w:r>
        <w:t>75</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4.3.1</w:t>
      </w:r>
      <w:r>
        <w:rPr>
          <w:rFonts w:ascii="Times New Roman" w:eastAsia="宋体"/>
          <w:color w:val="000000" w:themeColor="text1"/>
        </w:rPr>
        <w:t>物料平衡</w:t>
      </w:r>
      <w:r>
        <w:tab/>
      </w:r>
      <w:r>
        <w:fldChar w:fldCharType="begin"/>
      </w:r>
      <w:r>
        <w:instrText xml:space="preserve"> PAGEREF _Toc6826800 \h </w:instrText>
      </w:r>
      <w:r>
        <w:fldChar w:fldCharType="separate"/>
      </w:r>
      <w:r>
        <w:t>75</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lastRenderedPageBreak/>
        <w:t>4.3.2</w:t>
      </w:r>
      <w:r>
        <w:rPr>
          <w:rFonts w:ascii="Times New Roman" w:eastAsia="宋体"/>
          <w:color w:val="000000" w:themeColor="text1"/>
        </w:rPr>
        <w:t>水平衡</w:t>
      </w:r>
      <w:r>
        <w:tab/>
      </w:r>
      <w:r>
        <w:fldChar w:fldCharType="begin"/>
      </w:r>
      <w:r>
        <w:instrText xml:space="preserve"> PAGEREF _Toc6826801 \h </w:instrText>
      </w:r>
      <w:r>
        <w:fldChar w:fldCharType="separate"/>
      </w:r>
      <w:r>
        <w:t>77</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4.4</w:t>
      </w:r>
      <w:r>
        <w:rPr>
          <w:rFonts w:ascii="Times New Roman" w:eastAsia="宋体" w:hAnsi="Times New Roman"/>
          <w:bCs w:val="0"/>
          <w:color w:val="000000" w:themeColor="text1"/>
        </w:rPr>
        <w:t>污染治理措施及污染物排放核算</w:t>
      </w:r>
      <w:r>
        <w:tab/>
      </w:r>
      <w:r>
        <w:fldChar w:fldCharType="begin"/>
      </w:r>
      <w:r>
        <w:instrText xml:space="preserve"> PAGEREF _Toc6826</w:instrText>
      </w:r>
      <w:r>
        <w:instrText xml:space="preserve">802 \h </w:instrText>
      </w:r>
      <w:r>
        <w:fldChar w:fldCharType="separate"/>
      </w:r>
      <w:r>
        <w:t>79</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4.4.1</w:t>
      </w:r>
      <w:r>
        <w:rPr>
          <w:rFonts w:ascii="Times New Roman" w:eastAsia="宋体"/>
          <w:color w:val="000000" w:themeColor="text1"/>
        </w:rPr>
        <w:t>废气</w:t>
      </w:r>
      <w:r>
        <w:tab/>
      </w:r>
      <w:r>
        <w:fldChar w:fldCharType="begin"/>
      </w:r>
      <w:r>
        <w:instrText xml:space="preserve"> PAGEREF _Toc6826803 \h </w:instrText>
      </w:r>
      <w:r>
        <w:fldChar w:fldCharType="separate"/>
      </w:r>
      <w:r>
        <w:t>79</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4.4.2</w:t>
      </w:r>
      <w:r>
        <w:rPr>
          <w:rFonts w:ascii="Times New Roman" w:eastAsia="宋体"/>
          <w:color w:val="000000" w:themeColor="text1"/>
        </w:rPr>
        <w:t>废水</w:t>
      </w:r>
      <w:r>
        <w:tab/>
      </w:r>
      <w:r>
        <w:fldChar w:fldCharType="begin"/>
      </w:r>
      <w:r>
        <w:instrText xml:space="preserve"> PAGEREF _Toc6826804 \h </w:instrText>
      </w:r>
      <w:r>
        <w:fldChar w:fldCharType="separate"/>
      </w:r>
      <w:r>
        <w:t>86</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4.4.3</w:t>
      </w:r>
      <w:r>
        <w:rPr>
          <w:rFonts w:ascii="Times New Roman" w:eastAsia="宋体"/>
          <w:color w:val="000000" w:themeColor="text1"/>
        </w:rPr>
        <w:t>噪声</w:t>
      </w:r>
      <w:r>
        <w:tab/>
      </w:r>
      <w:r>
        <w:fldChar w:fldCharType="begin"/>
      </w:r>
      <w:r>
        <w:instrText xml:space="preserve"> PAGEREF _Toc6826805 \h </w:instrText>
      </w:r>
      <w:r>
        <w:fldChar w:fldCharType="separate"/>
      </w:r>
      <w:r>
        <w:t>88</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4.4.4</w:t>
      </w:r>
      <w:r>
        <w:rPr>
          <w:rFonts w:ascii="Times New Roman" w:eastAsia="宋体"/>
          <w:color w:val="000000" w:themeColor="text1"/>
        </w:rPr>
        <w:t>固体废物</w:t>
      </w:r>
      <w:r>
        <w:tab/>
      </w:r>
      <w:r>
        <w:fldChar w:fldCharType="begin"/>
      </w:r>
      <w:r>
        <w:instrText xml:space="preserve"> PAGEREF _Toc6826806 \h </w:instrText>
      </w:r>
      <w:r>
        <w:fldChar w:fldCharType="separate"/>
      </w:r>
      <w:r>
        <w:t>89</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4.5</w:t>
      </w:r>
      <w:r>
        <w:rPr>
          <w:rFonts w:ascii="Times New Roman" w:eastAsia="宋体" w:hAnsi="Times New Roman"/>
          <w:bCs w:val="0"/>
          <w:color w:val="000000" w:themeColor="text1"/>
        </w:rPr>
        <w:t>小结</w:t>
      </w:r>
      <w:r>
        <w:tab/>
      </w:r>
      <w:r>
        <w:fldChar w:fldCharType="begin"/>
      </w:r>
      <w:r>
        <w:instrText xml:space="preserve"> PAGEREF _Toc6826807 \h </w:instrText>
      </w:r>
      <w:r>
        <w:fldChar w:fldCharType="separate"/>
      </w:r>
      <w:r>
        <w:t>90</w:t>
      </w:r>
      <w:r>
        <w:fldChar w:fldCharType="end"/>
      </w:r>
    </w:p>
    <w:p w:rsidR="00C861DA" w:rsidRDefault="0044752E">
      <w:pPr>
        <w:pStyle w:val="13"/>
        <w:tabs>
          <w:tab w:val="right" w:leader="dot" w:pos="8296"/>
        </w:tabs>
        <w:rPr>
          <w:rFonts w:asciiTheme="minorHAnsi" w:eastAsiaTheme="minorEastAsia"/>
          <w:b w:val="0"/>
          <w:bCs w:val="0"/>
          <w:caps w:val="0"/>
          <w:sz w:val="21"/>
          <w:szCs w:val="22"/>
        </w:rPr>
      </w:pPr>
      <w:r>
        <w:rPr>
          <w:rFonts w:ascii="Times New Roman" w:eastAsia="宋体"/>
          <w:color w:val="000000" w:themeColor="text1"/>
        </w:rPr>
        <w:t>5</w:t>
      </w:r>
      <w:r>
        <w:rPr>
          <w:rFonts w:ascii="Times New Roman" w:eastAsia="宋体"/>
          <w:color w:val="000000" w:themeColor="text1"/>
        </w:rPr>
        <w:t>、环境现状调查与评价</w:t>
      </w:r>
      <w:r>
        <w:tab/>
      </w:r>
      <w:r>
        <w:fldChar w:fldCharType="begin"/>
      </w:r>
      <w:r>
        <w:instrText xml:space="preserve"> PAGEREF _Toc6826808 \h </w:instrText>
      </w:r>
      <w:r>
        <w:fldChar w:fldCharType="separate"/>
      </w:r>
      <w:r>
        <w:t>92</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5.1</w:t>
      </w:r>
      <w:r>
        <w:rPr>
          <w:rFonts w:ascii="Times New Roman" w:eastAsia="宋体" w:hAnsi="Times New Roman"/>
          <w:bCs w:val="0"/>
          <w:color w:val="000000" w:themeColor="text1"/>
        </w:rPr>
        <w:t>区域污染源调查与评价</w:t>
      </w:r>
      <w:r>
        <w:tab/>
      </w:r>
      <w:r>
        <w:fldChar w:fldCharType="begin"/>
      </w:r>
      <w:r>
        <w:instrText xml:space="preserve"> PAGEREF _Toc6826809 \h </w:instrText>
      </w:r>
      <w:r>
        <w:fldChar w:fldCharType="separate"/>
      </w:r>
      <w:r>
        <w:t>92</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5.1.1</w:t>
      </w:r>
      <w:r>
        <w:rPr>
          <w:rFonts w:ascii="Times New Roman" w:eastAsia="宋体"/>
          <w:color w:val="000000" w:themeColor="text1"/>
        </w:rPr>
        <w:t>周边项目基本情况</w:t>
      </w:r>
      <w:r>
        <w:tab/>
      </w:r>
      <w:r>
        <w:fldChar w:fldCharType="begin"/>
      </w:r>
      <w:r>
        <w:instrText xml:space="preserve"> PAGEREF _Toc6826810 \h </w:instrText>
      </w:r>
      <w:r>
        <w:fldChar w:fldCharType="separate"/>
      </w:r>
      <w:r>
        <w:t>92</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5.1.2</w:t>
      </w:r>
      <w:r>
        <w:rPr>
          <w:rFonts w:ascii="Times New Roman" w:eastAsia="宋体"/>
          <w:color w:val="000000" w:themeColor="text1"/>
        </w:rPr>
        <w:t>区域主要环境问题分析</w:t>
      </w:r>
      <w:r>
        <w:tab/>
      </w:r>
      <w:r>
        <w:fldChar w:fldCharType="begin"/>
      </w:r>
      <w:r>
        <w:instrText xml:space="preserve"> PAGEREF _Toc6826811 \h </w:instrText>
      </w:r>
      <w:r>
        <w:fldChar w:fldCharType="separate"/>
      </w:r>
      <w:r>
        <w:t>92</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5.2</w:t>
      </w:r>
      <w:r>
        <w:rPr>
          <w:rFonts w:ascii="Times New Roman" w:eastAsia="宋体" w:hAnsi="Times New Roman"/>
          <w:bCs w:val="0"/>
          <w:color w:val="000000" w:themeColor="text1"/>
        </w:rPr>
        <w:t>自然环境概况</w:t>
      </w:r>
      <w:r>
        <w:tab/>
      </w:r>
      <w:r>
        <w:fldChar w:fldCharType="begin"/>
      </w:r>
      <w:r>
        <w:instrText xml:space="preserve"> PAGEREF _Toc6826812 \h </w:instrText>
      </w:r>
      <w:r>
        <w:fldChar w:fldCharType="separate"/>
      </w:r>
      <w:r>
        <w:t>93</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5.2.1</w:t>
      </w:r>
      <w:r>
        <w:rPr>
          <w:rFonts w:ascii="Times New Roman" w:eastAsia="宋体"/>
          <w:color w:val="000000" w:themeColor="text1"/>
        </w:rPr>
        <w:t>地理位置</w:t>
      </w:r>
      <w:r>
        <w:tab/>
      </w:r>
      <w:r>
        <w:fldChar w:fldCharType="begin"/>
      </w:r>
      <w:r>
        <w:instrText xml:space="preserve"> PAGEREF _Toc6826813 \h </w:instrText>
      </w:r>
      <w:r>
        <w:fldChar w:fldCharType="separate"/>
      </w:r>
      <w:r>
        <w:t>93</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5.2.2</w:t>
      </w:r>
      <w:r>
        <w:rPr>
          <w:rFonts w:ascii="Times New Roman" w:eastAsia="宋体"/>
          <w:color w:val="000000" w:themeColor="text1"/>
        </w:rPr>
        <w:t>地形、地貌、地质</w:t>
      </w:r>
      <w:r>
        <w:tab/>
      </w:r>
      <w:r>
        <w:fldChar w:fldCharType="begin"/>
      </w:r>
      <w:r>
        <w:instrText xml:space="preserve"> PAGEREF _Toc6826814 \h </w:instrText>
      </w:r>
      <w:r>
        <w:fldChar w:fldCharType="separate"/>
      </w:r>
      <w:r>
        <w:t>93</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5.2.3</w:t>
      </w:r>
      <w:r>
        <w:rPr>
          <w:rFonts w:ascii="Times New Roman" w:eastAsia="宋体"/>
          <w:color w:val="000000" w:themeColor="text1"/>
        </w:rPr>
        <w:t>气候气象</w:t>
      </w:r>
      <w:r>
        <w:tab/>
      </w:r>
      <w:r>
        <w:fldChar w:fldCharType="begin"/>
      </w:r>
      <w:r>
        <w:instrText xml:space="preserve"> PAGEREF _Toc6826815 \h </w:instrText>
      </w:r>
      <w:r>
        <w:fldChar w:fldCharType="separate"/>
      </w:r>
      <w:r>
        <w:t>96</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5.2.4</w:t>
      </w:r>
      <w:r>
        <w:rPr>
          <w:rFonts w:ascii="Times New Roman" w:eastAsia="宋体"/>
          <w:color w:val="000000" w:themeColor="text1"/>
        </w:rPr>
        <w:t>水文、水系</w:t>
      </w:r>
      <w:r>
        <w:tab/>
      </w:r>
      <w:r>
        <w:fldChar w:fldCharType="begin"/>
      </w:r>
      <w:r>
        <w:instrText xml:space="preserve"> PAGEREF _Toc6826816 \h </w:instrText>
      </w:r>
      <w:r>
        <w:fldChar w:fldCharType="separate"/>
      </w:r>
      <w:r>
        <w:t>96</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5.2.5</w:t>
      </w:r>
      <w:r>
        <w:rPr>
          <w:rFonts w:ascii="Times New Roman" w:eastAsia="宋体"/>
          <w:color w:val="000000" w:themeColor="text1"/>
        </w:rPr>
        <w:t>植被、生物多样性</w:t>
      </w:r>
      <w:r>
        <w:tab/>
      </w:r>
      <w:r>
        <w:fldChar w:fldCharType="begin"/>
      </w:r>
      <w:r>
        <w:instrText xml:space="preserve"> PAGEREF _Toc6826817 \h </w:instrText>
      </w:r>
      <w:r>
        <w:fldChar w:fldCharType="separate"/>
      </w:r>
      <w:r>
        <w:t>98</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5.3</w:t>
      </w:r>
      <w:r>
        <w:rPr>
          <w:rFonts w:ascii="Times New Roman" w:eastAsia="宋体" w:hAnsi="Times New Roman"/>
          <w:bCs w:val="0"/>
          <w:color w:val="000000" w:themeColor="text1"/>
        </w:rPr>
        <w:t>环境质量状况</w:t>
      </w:r>
      <w:r>
        <w:tab/>
      </w:r>
      <w:r>
        <w:fldChar w:fldCharType="begin"/>
      </w:r>
      <w:r>
        <w:instrText xml:space="preserve"> PAGEREF _Toc6826818 \h </w:instrText>
      </w:r>
      <w:r>
        <w:fldChar w:fldCharType="separate"/>
      </w:r>
      <w:r>
        <w:t>98</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5.3.1</w:t>
      </w:r>
      <w:r>
        <w:rPr>
          <w:rFonts w:ascii="Times New Roman" w:eastAsia="宋体"/>
          <w:color w:val="000000" w:themeColor="text1"/>
        </w:rPr>
        <w:t>大气环境质量现状</w:t>
      </w:r>
      <w:r>
        <w:tab/>
      </w:r>
      <w:r>
        <w:fldChar w:fldCharType="begin"/>
      </w:r>
      <w:r>
        <w:instrText xml:space="preserve"> PAGEREF _Toc6826819 \h </w:instrText>
      </w:r>
      <w:r>
        <w:fldChar w:fldCharType="separate"/>
      </w:r>
      <w:r>
        <w:t>98</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lastRenderedPageBreak/>
        <w:t>5.3.2</w:t>
      </w:r>
      <w:r>
        <w:rPr>
          <w:rFonts w:ascii="Times New Roman" w:eastAsia="宋体"/>
          <w:color w:val="000000" w:themeColor="text1"/>
        </w:rPr>
        <w:t>地表水环境质量现状</w:t>
      </w:r>
      <w:r>
        <w:tab/>
      </w:r>
      <w:r>
        <w:fldChar w:fldCharType="begin"/>
      </w:r>
      <w:r>
        <w:instrText xml:space="preserve"> PAGEREF _Toc6826820 \h </w:instrText>
      </w:r>
      <w:r>
        <w:fldChar w:fldCharType="separate"/>
      </w:r>
      <w:r>
        <w:t>101</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5.3.3</w:t>
      </w:r>
      <w:r>
        <w:rPr>
          <w:rFonts w:ascii="Times New Roman" w:eastAsia="宋体"/>
          <w:color w:val="000000" w:themeColor="text1"/>
        </w:rPr>
        <w:t>地下水环境质量现状</w:t>
      </w:r>
      <w:r>
        <w:tab/>
      </w:r>
      <w:r>
        <w:fldChar w:fldCharType="begin"/>
      </w:r>
      <w:r>
        <w:instrText xml:space="preserve"> PAGEREF _Toc6826821 \h </w:instrText>
      </w:r>
      <w:r>
        <w:fldChar w:fldCharType="separate"/>
      </w:r>
      <w:r>
        <w:t>103</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5.3.4</w:t>
      </w:r>
      <w:r>
        <w:rPr>
          <w:rFonts w:ascii="Times New Roman" w:eastAsia="宋体"/>
          <w:color w:val="000000" w:themeColor="text1"/>
        </w:rPr>
        <w:t>声环境质量现状</w:t>
      </w:r>
      <w:r>
        <w:tab/>
      </w:r>
      <w:r>
        <w:fldChar w:fldCharType="begin"/>
      </w:r>
      <w:r>
        <w:instrText xml:space="preserve"> PAGEREF _To</w:instrText>
      </w:r>
      <w:r>
        <w:instrText xml:space="preserve">c6826822 \h </w:instrText>
      </w:r>
      <w:r>
        <w:fldChar w:fldCharType="separate"/>
      </w:r>
      <w:r>
        <w:t>107</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5.3.5</w:t>
      </w:r>
      <w:r>
        <w:rPr>
          <w:rFonts w:ascii="Times New Roman" w:eastAsia="宋体"/>
          <w:color w:val="000000" w:themeColor="text1"/>
        </w:rPr>
        <w:t>土壤环境质量现状</w:t>
      </w:r>
      <w:r>
        <w:tab/>
      </w:r>
      <w:r>
        <w:fldChar w:fldCharType="begin"/>
      </w:r>
      <w:r>
        <w:instrText xml:space="preserve"> PAGEREF _Toc6826823 \h </w:instrText>
      </w:r>
      <w:r>
        <w:fldChar w:fldCharType="separate"/>
      </w:r>
      <w:r>
        <w:t>108</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5.3.6</w:t>
      </w:r>
      <w:r>
        <w:rPr>
          <w:rFonts w:ascii="Times New Roman" w:eastAsia="宋体"/>
          <w:color w:val="000000" w:themeColor="text1"/>
        </w:rPr>
        <w:t>区域生态环境现状分析评价</w:t>
      </w:r>
      <w:r>
        <w:tab/>
      </w:r>
      <w:r>
        <w:fldChar w:fldCharType="begin"/>
      </w:r>
      <w:r>
        <w:instrText xml:space="preserve"> PAGEREF _Toc6826824 \h </w:instrText>
      </w:r>
      <w:r>
        <w:fldChar w:fldCharType="separate"/>
      </w:r>
      <w:r>
        <w:t>109</w:t>
      </w:r>
      <w:r>
        <w:fldChar w:fldCharType="end"/>
      </w:r>
    </w:p>
    <w:p w:rsidR="00C861DA" w:rsidRDefault="0044752E">
      <w:pPr>
        <w:pStyle w:val="13"/>
        <w:tabs>
          <w:tab w:val="right" w:leader="dot" w:pos="8296"/>
        </w:tabs>
        <w:rPr>
          <w:rFonts w:asciiTheme="minorHAnsi" w:eastAsiaTheme="minorEastAsia"/>
          <w:b w:val="0"/>
          <w:bCs w:val="0"/>
          <w:caps w:val="0"/>
          <w:sz w:val="21"/>
          <w:szCs w:val="22"/>
        </w:rPr>
      </w:pPr>
      <w:r>
        <w:rPr>
          <w:rFonts w:ascii="Times New Roman" w:eastAsia="宋体"/>
          <w:color w:val="000000" w:themeColor="text1"/>
        </w:rPr>
        <w:t>6</w:t>
      </w:r>
      <w:r>
        <w:rPr>
          <w:rFonts w:ascii="Times New Roman" w:eastAsia="宋体"/>
          <w:color w:val="000000" w:themeColor="text1"/>
        </w:rPr>
        <w:t>、施工期环境影响分析</w:t>
      </w:r>
      <w:r>
        <w:tab/>
      </w:r>
      <w:r>
        <w:fldChar w:fldCharType="begin"/>
      </w:r>
      <w:r>
        <w:instrText xml:space="preserve"> PAGEREF _Toc6826825 \h </w:instrText>
      </w:r>
      <w:r>
        <w:fldChar w:fldCharType="separate"/>
      </w:r>
      <w:r>
        <w:t>110</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6.1</w:t>
      </w:r>
      <w:r>
        <w:rPr>
          <w:rFonts w:ascii="Times New Roman" w:eastAsia="宋体" w:hAnsi="Times New Roman"/>
          <w:bCs w:val="0"/>
          <w:color w:val="000000" w:themeColor="text1"/>
        </w:rPr>
        <w:t>施工期对环境空气影响分析</w:t>
      </w:r>
      <w:r>
        <w:tab/>
      </w:r>
      <w:r>
        <w:fldChar w:fldCharType="begin"/>
      </w:r>
      <w:r>
        <w:instrText xml:space="preserve"> PAGEREF _Toc6826826 \h </w:instrText>
      </w:r>
      <w:r>
        <w:fldChar w:fldCharType="separate"/>
      </w:r>
      <w:r>
        <w:t>110</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6.1.1</w:t>
      </w:r>
      <w:r>
        <w:rPr>
          <w:rFonts w:ascii="Times New Roman" w:eastAsia="宋体"/>
          <w:color w:val="000000" w:themeColor="text1"/>
        </w:rPr>
        <w:t>污染源及污染物</w:t>
      </w:r>
      <w:r>
        <w:tab/>
      </w:r>
      <w:r>
        <w:fldChar w:fldCharType="begin"/>
      </w:r>
      <w:r>
        <w:instrText xml:space="preserve"> PAGEREF _Toc6826827 \h </w:instrText>
      </w:r>
      <w:r>
        <w:fldChar w:fldCharType="separate"/>
      </w:r>
      <w:r>
        <w:t>110</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6.1.2</w:t>
      </w:r>
      <w:r>
        <w:rPr>
          <w:rFonts w:ascii="Times New Roman" w:eastAsia="宋体"/>
          <w:color w:val="000000" w:themeColor="text1"/>
        </w:rPr>
        <w:t>影响分析</w:t>
      </w:r>
      <w:r>
        <w:tab/>
      </w:r>
      <w:r>
        <w:fldChar w:fldCharType="begin"/>
      </w:r>
      <w:r>
        <w:instrText xml:space="preserve"> PAGEREF _Toc6826828 \h </w:instrText>
      </w:r>
      <w:r>
        <w:fldChar w:fldCharType="separate"/>
      </w:r>
      <w:r>
        <w:t>110</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6.1.3</w:t>
      </w:r>
      <w:r>
        <w:rPr>
          <w:rFonts w:ascii="Times New Roman" w:eastAsia="宋体"/>
          <w:color w:val="000000" w:themeColor="text1"/>
        </w:rPr>
        <w:t>污染防治措施</w:t>
      </w:r>
      <w:r>
        <w:tab/>
      </w:r>
      <w:r>
        <w:fldChar w:fldCharType="begin"/>
      </w:r>
      <w:r>
        <w:instrText xml:space="preserve"> PAGEREF _T</w:instrText>
      </w:r>
      <w:r>
        <w:instrText xml:space="preserve">oc6826829 \h </w:instrText>
      </w:r>
      <w:r>
        <w:fldChar w:fldCharType="separate"/>
      </w:r>
      <w:r>
        <w:t>112</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6.2</w:t>
      </w:r>
      <w:r>
        <w:rPr>
          <w:rFonts w:ascii="Times New Roman" w:eastAsia="宋体" w:hAnsi="Times New Roman"/>
          <w:bCs w:val="0"/>
          <w:color w:val="000000" w:themeColor="text1"/>
        </w:rPr>
        <w:t>施工期对水环境影响分析</w:t>
      </w:r>
      <w:r>
        <w:tab/>
      </w:r>
      <w:r>
        <w:fldChar w:fldCharType="begin"/>
      </w:r>
      <w:r>
        <w:instrText xml:space="preserve"> PAGEREF _Toc6826830 \h </w:instrText>
      </w:r>
      <w:r>
        <w:fldChar w:fldCharType="separate"/>
      </w:r>
      <w:r>
        <w:t>113</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6.2.1</w:t>
      </w:r>
      <w:r>
        <w:rPr>
          <w:rFonts w:ascii="Times New Roman" w:eastAsia="宋体"/>
          <w:color w:val="000000" w:themeColor="text1"/>
        </w:rPr>
        <w:t>施工废水</w:t>
      </w:r>
      <w:r>
        <w:tab/>
      </w:r>
      <w:r>
        <w:fldChar w:fldCharType="begin"/>
      </w:r>
      <w:r>
        <w:instrText xml:space="preserve"> PAGEREF _Toc6826831 \h </w:instrText>
      </w:r>
      <w:r>
        <w:fldChar w:fldCharType="separate"/>
      </w:r>
      <w:r>
        <w:t>113</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6.2.2</w:t>
      </w:r>
      <w:r>
        <w:rPr>
          <w:rFonts w:ascii="Times New Roman" w:eastAsia="宋体"/>
          <w:color w:val="000000" w:themeColor="text1"/>
        </w:rPr>
        <w:t>场地含泥雨水</w:t>
      </w:r>
      <w:r>
        <w:tab/>
      </w:r>
      <w:r>
        <w:fldChar w:fldCharType="begin"/>
      </w:r>
      <w:r>
        <w:instrText xml:space="preserve"> PAGEREF _Toc6826832 \h </w:instrText>
      </w:r>
      <w:r>
        <w:fldChar w:fldCharType="separate"/>
      </w:r>
      <w:r>
        <w:t>114</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6.2.3</w:t>
      </w:r>
      <w:r>
        <w:rPr>
          <w:rFonts w:ascii="Times New Roman" w:eastAsia="宋体"/>
          <w:color w:val="000000" w:themeColor="text1"/>
        </w:rPr>
        <w:t>施工人员生活污水</w:t>
      </w:r>
      <w:r>
        <w:tab/>
      </w:r>
      <w:r>
        <w:fldChar w:fldCharType="begin"/>
      </w:r>
      <w:r>
        <w:instrText xml:space="preserve"> PAGEREF _Toc6826833 \h </w:instrText>
      </w:r>
      <w:r>
        <w:fldChar w:fldCharType="separate"/>
      </w:r>
      <w:r>
        <w:t>114</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6.3</w:t>
      </w:r>
      <w:r>
        <w:rPr>
          <w:rFonts w:ascii="Times New Roman" w:eastAsia="宋体" w:hAnsi="Times New Roman"/>
          <w:bCs w:val="0"/>
          <w:color w:val="000000" w:themeColor="text1"/>
        </w:rPr>
        <w:t>施工期对地下水环境影响分析</w:t>
      </w:r>
      <w:r>
        <w:tab/>
      </w:r>
      <w:r>
        <w:fldChar w:fldCharType="begin"/>
      </w:r>
      <w:r>
        <w:instrText xml:space="preserve"> PAGEREF _Toc6826834 \h </w:instrText>
      </w:r>
      <w:r>
        <w:fldChar w:fldCharType="separate"/>
      </w:r>
      <w:r>
        <w:t>115</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6.4</w:t>
      </w:r>
      <w:r>
        <w:rPr>
          <w:rFonts w:ascii="Times New Roman" w:eastAsia="宋体" w:hAnsi="Times New Roman"/>
          <w:bCs w:val="0"/>
          <w:color w:val="000000" w:themeColor="text1"/>
        </w:rPr>
        <w:t>施工期固体废弃物对环境影响分析</w:t>
      </w:r>
      <w:r>
        <w:tab/>
      </w:r>
      <w:r>
        <w:fldChar w:fldCharType="begin"/>
      </w:r>
      <w:r>
        <w:instrText xml:space="preserve"> P</w:instrText>
      </w:r>
      <w:r>
        <w:instrText xml:space="preserve">AGEREF _Toc6826835 \h </w:instrText>
      </w:r>
      <w:r>
        <w:fldChar w:fldCharType="separate"/>
      </w:r>
      <w:r>
        <w:t>115</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6.5</w:t>
      </w:r>
      <w:r>
        <w:rPr>
          <w:rFonts w:ascii="Times New Roman" w:eastAsia="宋体" w:hAnsi="Times New Roman"/>
          <w:bCs w:val="0"/>
          <w:color w:val="000000" w:themeColor="text1"/>
        </w:rPr>
        <w:t>施工期噪声对环境影响分析</w:t>
      </w:r>
      <w:r>
        <w:tab/>
      </w:r>
      <w:r>
        <w:fldChar w:fldCharType="begin"/>
      </w:r>
      <w:r>
        <w:instrText xml:space="preserve"> PAGEREF _Toc6826836 \h </w:instrText>
      </w:r>
      <w:r>
        <w:fldChar w:fldCharType="separate"/>
      </w:r>
      <w:r>
        <w:t>116</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6.6</w:t>
      </w:r>
      <w:r>
        <w:rPr>
          <w:rFonts w:ascii="Times New Roman" w:eastAsia="宋体" w:hAnsi="Times New Roman"/>
          <w:bCs w:val="0"/>
          <w:color w:val="000000" w:themeColor="text1"/>
        </w:rPr>
        <w:t>施工期对生态环境影响分析</w:t>
      </w:r>
      <w:r>
        <w:tab/>
      </w:r>
      <w:r>
        <w:fldChar w:fldCharType="begin"/>
      </w:r>
      <w:r>
        <w:instrText xml:space="preserve"> PAGEREF _Toc6826837 \h </w:instrText>
      </w:r>
      <w:r>
        <w:fldChar w:fldCharType="separate"/>
      </w:r>
      <w:r>
        <w:t>118</w:t>
      </w:r>
      <w:r>
        <w:fldChar w:fldCharType="end"/>
      </w:r>
    </w:p>
    <w:p w:rsidR="00C861DA" w:rsidRDefault="0044752E">
      <w:pPr>
        <w:pStyle w:val="13"/>
        <w:tabs>
          <w:tab w:val="right" w:leader="dot" w:pos="8296"/>
        </w:tabs>
        <w:rPr>
          <w:rFonts w:asciiTheme="minorHAnsi" w:eastAsiaTheme="minorEastAsia"/>
          <w:b w:val="0"/>
          <w:bCs w:val="0"/>
          <w:caps w:val="0"/>
          <w:sz w:val="21"/>
          <w:szCs w:val="22"/>
        </w:rPr>
      </w:pPr>
      <w:r>
        <w:rPr>
          <w:rFonts w:ascii="Times New Roman" w:eastAsia="宋体"/>
          <w:color w:val="000000" w:themeColor="text1"/>
        </w:rPr>
        <w:lastRenderedPageBreak/>
        <w:t>7</w:t>
      </w:r>
      <w:r>
        <w:rPr>
          <w:rFonts w:ascii="Times New Roman" w:eastAsia="宋体"/>
          <w:color w:val="000000" w:themeColor="text1"/>
        </w:rPr>
        <w:t>、运营期环境影响预测与评价</w:t>
      </w:r>
      <w:r>
        <w:tab/>
      </w:r>
      <w:r>
        <w:fldChar w:fldCharType="begin"/>
      </w:r>
      <w:r>
        <w:instrText xml:space="preserve"> PAGEREF _Toc6826838 \h </w:instrText>
      </w:r>
      <w:r>
        <w:fldChar w:fldCharType="separate"/>
      </w:r>
      <w:r>
        <w:t>121</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7.1</w:t>
      </w:r>
      <w:r>
        <w:rPr>
          <w:rFonts w:ascii="Times New Roman" w:eastAsia="宋体" w:hAnsi="Times New Roman"/>
          <w:bCs w:val="0"/>
          <w:color w:val="000000" w:themeColor="text1"/>
        </w:rPr>
        <w:t>大气环境影响预测与评价</w:t>
      </w:r>
      <w:r>
        <w:tab/>
      </w:r>
      <w:r>
        <w:fldChar w:fldCharType="begin"/>
      </w:r>
      <w:r>
        <w:instrText xml:space="preserve"> PAGEREF _Toc6826839 \h </w:instrText>
      </w:r>
      <w:r>
        <w:fldChar w:fldCharType="separate"/>
      </w:r>
      <w:r>
        <w:t>121</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7.1.1</w:t>
      </w:r>
      <w:r>
        <w:rPr>
          <w:rFonts w:ascii="Times New Roman" w:eastAsia="宋体"/>
          <w:color w:val="000000" w:themeColor="text1"/>
        </w:rPr>
        <w:t>污染气象分析</w:t>
      </w:r>
      <w:r>
        <w:tab/>
      </w:r>
      <w:r>
        <w:fldChar w:fldCharType="begin"/>
      </w:r>
      <w:r>
        <w:instrText xml:space="preserve"> PAGEREF _Toc6826840 \h </w:instrText>
      </w:r>
      <w:r>
        <w:fldChar w:fldCharType="separate"/>
      </w:r>
      <w:r>
        <w:t>121</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7.1.2</w:t>
      </w:r>
      <w:r>
        <w:rPr>
          <w:rFonts w:ascii="Times New Roman" w:eastAsia="宋体"/>
          <w:color w:val="000000" w:themeColor="text1"/>
        </w:rPr>
        <w:t>预测模式及参数</w:t>
      </w:r>
      <w:r>
        <w:tab/>
      </w:r>
      <w:r>
        <w:fldChar w:fldCharType="begin"/>
      </w:r>
      <w:r>
        <w:instrText xml:space="preserve"> PAGEREF _Toc6826841 \h </w:instrText>
      </w:r>
      <w:r>
        <w:fldChar w:fldCharType="separate"/>
      </w:r>
      <w:r>
        <w:t>128</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7.1.3</w:t>
      </w:r>
      <w:r>
        <w:rPr>
          <w:rFonts w:ascii="Times New Roman" w:eastAsia="宋体"/>
          <w:color w:val="000000" w:themeColor="text1"/>
        </w:rPr>
        <w:t>预测结果及评价</w:t>
      </w:r>
      <w:r>
        <w:tab/>
      </w:r>
      <w:r>
        <w:fldChar w:fldCharType="begin"/>
      </w:r>
      <w:r>
        <w:instrText xml:space="preserve"> PAGEREF _Toc6826842 \h </w:instrText>
      </w:r>
      <w:r>
        <w:fldChar w:fldCharType="separate"/>
      </w:r>
      <w:r>
        <w:t>134</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7.1.4</w:t>
      </w:r>
      <w:r>
        <w:rPr>
          <w:rFonts w:ascii="Times New Roman" w:eastAsia="宋体"/>
          <w:color w:val="000000" w:themeColor="text1"/>
        </w:rPr>
        <w:t>大气环境及卫生防护防护距离</w:t>
      </w:r>
      <w:r>
        <w:tab/>
      </w:r>
      <w:r>
        <w:fldChar w:fldCharType="begin"/>
      </w:r>
      <w:r>
        <w:instrText xml:space="preserve"> PAGEREF _Toc6826843 \h </w:instrText>
      </w:r>
      <w:r>
        <w:fldChar w:fldCharType="separate"/>
      </w:r>
      <w:r>
        <w:t>143</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7.1.5</w:t>
      </w:r>
      <w:r>
        <w:rPr>
          <w:rFonts w:ascii="Times New Roman" w:eastAsia="宋体"/>
          <w:color w:val="000000" w:themeColor="text1"/>
        </w:rPr>
        <w:t>小结</w:t>
      </w:r>
      <w:r>
        <w:tab/>
      </w:r>
      <w:r>
        <w:fldChar w:fldCharType="begin"/>
      </w:r>
      <w:r>
        <w:instrText xml:space="preserve"> PAGEREF _Toc6826844 \h </w:instrText>
      </w:r>
      <w:r>
        <w:fldChar w:fldCharType="separate"/>
      </w:r>
      <w:r>
        <w:t>143</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7.2</w:t>
      </w:r>
      <w:r>
        <w:rPr>
          <w:rFonts w:ascii="Times New Roman" w:eastAsia="宋体" w:hAnsi="Times New Roman"/>
          <w:bCs w:val="0"/>
          <w:color w:val="000000" w:themeColor="text1"/>
        </w:rPr>
        <w:t>地表水环境影响分析</w:t>
      </w:r>
      <w:r>
        <w:tab/>
      </w:r>
      <w:r>
        <w:fldChar w:fldCharType="begin"/>
      </w:r>
      <w:r>
        <w:instrText xml:space="preserve"> PAGEREF _Toc6826845 \h </w:instrText>
      </w:r>
      <w:r>
        <w:fldChar w:fldCharType="separate"/>
      </w:r>
      <w:r>
        <w:t>144</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7.2.1</w:t>
      </w:r>
      <w:r>
        <w:rPr>
          <w:rFonts w:ascii="Times New Roman" w:eastAsia="宋体"/>
          <w:color w:val="000000" w:themeColor="text1"/>
        </w:rPr>
        <w:t>排水量及排水去向</w:t>
      </w:r>
      <w:r>
        <w:tab/>
      </w:r>
      <w:r>
        <w:fldChar w:fldCharType="begin"/>
      </w:r>
      <w:r>
        <w:instrText xml:space="preserve"> PAGEREF _Toc6826846 \h </w:instrText>
      </w:r>
      <w:r>
        <w:fldChar w:fldCharType="separate"/>
      </w:r>
      <w:r>
        <w:t>144</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7.2.2</w:t>
      </w:r>
      <w:r>
        <w:rPr>
          <w:rFonts w:ascii="Times New Roman" w:eastAsia="宋体"/>
          <w:color w:val="000000" w:themeColor="text1"/>
        </w:rPr>
        <w:t>事故废水不外排可行性分析</w:t>
      </w:r>
      <w:r>
        <w:tab/>
      </w:r>
      <w:r>
        <w:fldChar w:fldCharType="begin"/>
      </w:r>
      <w:r>
        <w:instrText xml:space="preserve"> PAGEREF _Toc6826847 \h </w:instrText>
      </w:r>
      <w:r>
        <w:fldChar w:fldCharType="separate"/>
      </w:r>
      <w:r>
        <w:t>146</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7.3</w:t>
      </w:r>
      <w:r>
        <w:rPr>
          <w:rFonts w:ascii="Times New Roman" w:eastAsia="宋体" w:hAnsi="Times New Roman"/>
          <w:bCs w:val="0"/>
          <w:color w:val="000000" w:themeColor="text1"/>
        </w:rPr>
        <w:t>声环境影响预测与评价</w:t>
      </w:r>
      <w:r>
        <w:tab/>
      </w:r>
      <w:r>
        <w:fldChar w:fldCharType="begin"/>
      </w:r>
      <w:r>
        <w:instrText xml:space="preserve"> PAGEREF _Toc6826848 \h </w:instrText>
      </w:r>
      <w:r>
        <w:fldChar w:fldCharType="separate"/>
      </w:r>
      <w:r>
        <w:t>146</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7.3.1</w:t>
      </w:r>
      <w:r>
        <w:rPr>
          <w:rFonts w:ascii="Times New Roman" w:eastAsia="宋体"/>
          <w:color w:val="000000" w:themeColor="text1"/>
        </w:rPr>
        <w:t>声源分析</w:t>
      </w:r>
      <w:r>
        <w:tab/>
      </w:r>
      <w:r>
        <w:fldChar w:fldCharType="begin"/>
      </w:r>
      <w:r>
        <w:instrText xml:space="preserve"> PAGEREF _Toc6826849 \h </w:instrText>
      </w:r>
      <w:r>
        <w:fldChar w:fldCharType="separate"/>
      </w:r>
      <w:r>
        <w:t>146</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7.3.2</w:t>
      </w:r>
      <w:r>
        <w:rPr>
          <w:rFonts w:ascii="Times New Roman" w:eastAsia="宋体"/>
          <w:color w:val="000000" w:themeColor="text1"/>
        </w:rPr>
        <w:t>预测时段、预测因子、评价标准</w:t>
      </w:r>
      <w:r>
        <w:tab/>
      </w:r>
      <w:r>
        <w:fldChar w:fldCharType="begin"/>
      </w:r>
      <w:r>
        <w:instrText xml:space="preserve"> PAGEREF _Toc6826850 \h </w:instrText>
      </w:r>
      <w:r>
        <w:fldChar w:fldCharType="separate"/>
      </w:r>
      <w:r>
        <w:t>147</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7.3.3</w:t>
      </w:r>
      <w:r>
        <w:rPr>
          <w:rFonts w:ascii="Times New Roman" w:eastAsia="宋体"/>
          <w:color w:val="000000" w:themeColor="text1"/>
        </w:rPr>
        <w:t>预测模式</w:t>
      </w:r>
      <w:r>
        <w:tab/>
      </w:r>
      <w:r>
        <w:fldChar w:fldCharType="begin"/>
      </w:r>
      <w:r>
        <w:instrText xml:space="preserve"> PAGEREF _Toc6826851 \h </w:instrText>
      </w:r>
      <w:r>
        <w:fldChar w:fldCharType="separate"/>
      </w:r>
      <w:r>
        <w:t>147</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7.3.4</w:t>
      </w:r>
      <w:r>
        <w:rPr>
          <w:rFonts w:ascii="Times New Roman" w:eastAsia="宋体"/>
          <w:color w:val="000000" w:themeColor="text1"/>
        </w:rPr>
        <w:t>预测内容及预测结果统计</w:t>
      </w:r>
      <w:r>
        <w:tab/>
      </w:r>
      <w:r>
        <w:fldChar w:fldCharType="begin"/>
      </w:r>
      <w:r>
        <w:instrText xml:space="preserve"> PAGEREF _Toc6826852 \h </w:instrText>
      </w:r>
      <w:r>
        <w:fldChar w:fldCharType="separate"/>
      </w:r>
      <w:r>
        <w:t>149</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7.3.5</w:t>
      </w:r>
      <w:r>
        <w:rPr>
          <w:rFonts w:ascii="Times New Roman" w:eastAsia="宋体"/>
          <w:color w:val="000000" w:themeColor="text1"/>
        </w:rPr>
        <w:t>小结</w:t>
      </w:r>
      <w:r>
        <w:tab/>
      </w:r>
      <w:r>
        <w:fldChar w:fldCharType="begin"/>
      </w:r>
      <w:r>
        <w:instrText xml:space="preserve"> PAGEREF _Toc6826853 \h </w:instrText>
      </w:r>
      <w:r>
        <w:fldChar w:fldCharType="separate"/>
      </w:r>
      <w:r>
        <w:t>150</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7.4</w:t>
      </w:r>
      <w:r>
        <w:rPr>
          <w:rFonts w:ascii="Times New Roman" w:eastAsia="宋体" w:hAnsi="Times New Roman"/>
          <w:bCs w:val="0"/>
          <w:color w:val="000000" w:themeColor="text1"/>
        </w:rPr>
        <w:t>地下水环境影响评价</w:t>
      </w:r>
      <w:r>
        <w:tab/>
      </w:r>
      <w:r>
        <w:fldChar w:fldCharType="begin"/>
      </w:r>
      <w:r>
        <w:instrText xml:space="preserve"> PAGEREF _Toc6826854 \h </w:instrText>
      </w:r>
      <w:r>
        <w:fldChar w:fldCharType="separate"/>
      </w:r>
      <w:r>
        <w:t>151</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7.4.1</w:t>
      </w:r>
      <w:r>
        <w:rPr>
          <w:rFonts w:ascii="Times New Roman" w:eastAsia="宋体"/>
          <w:color w:val="000000" w:themeColor="text1"/>
        </w:rPr>
        <w:t>项目区地质条件</w:t>
      </w:r>
      <w:r>
        <w:tab/>
      </w:r>
      <w:r>
        <w:fldChar w:fldCharType="begin"/>
      </w:r>
      <w:r>
        <w:instrText xml:space="preserve"> PAGEREF _Toc6826855 \h </w:instrText>
      </w:r>
      <w:r>
        <w:fldChar w:fldCharType="separate"/>
      </w:r>
      <w:r>
        <w:t>151</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7.4.2</w:t>
      </w:r>
      <w:r>
        <w:rPr>
          <w:rFonts w:ascii="Times New Roman" w:eastAsia="宋体"/>
          <w:color w:val="000000" w:themeColor="text1"/>
        </w:rPr>
        <w:t>拟建厂区水文地质条件</w:t>
      </w:r>
      <w:r>
        <w:tab/>
      </w:r>
      <w:r>
        <w:fldChar w:fldCharType="begin"/>
      </w:r>
      <w:r>
        <w:instrText xml:space="preserve"> PAGEREF _Toc6826856 \h </w:instrText>
      </w:r>
      <w:r>
        <w:fldChar w:fldCharType="separate"/>
      </w:r>
      <w:r>
        <w:t>155</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7.4.3</w:t>
      </w:r>
      <w:r>
        <w:rPr>
          <w:rFonts w:ascii="Times New Roman" w:eastAsia="宋体"/>
          <w:color w:val="000000" w:themeColor="text1"/>
        </w:rPr>
        <w:t>测区内泉（眼）点的分布及特征</w:t>
      </w:r>
      <w:r>
        <w:tab/>
      </w:r>
      <w:r>
        <w:fldChar w:fldCharType="begin"/>
      </w:r>
      <w:r>
        <w:instrText xml:space="preserve"> PAGEREF _Toc6826857 \h </w:instrText>
      </w:r>
      <w:r>
        <w:fldChar w:fldCharType="separate"/>
      </w:r>
      <w:r>
        <w:t>156</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lastRenderedPageBreak/>
        <w:t>7.4.4</w:t>
      </w:r>
      <w:r>
        <w:rPr>
          <w:rFonts w:ascii="Times New Roman" w:eastAsia="宋体"/>
          <w:color w:val="000000" w:themeColor="text1"/>
        </w:rPr>
        <w:t>环境水文地质问题及区域污染源状况</w:t>
      </w:r>
      <w:r>
        <w:tab/>
      </w:r>
      <w:r>
        <w:fldChar w:fldCharType="begin"/>
      </w:r>
      <w:r>
        <w:instrText xml:space="preserve"> PAGEREF _Toc6826858 \h </w:instrText>
      </w:r>
      <w:r>
        <w:fldChar w:fldCharType="separate"/>
      </w:r>
      <w:r>
        <w:t>156</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7.4.5</w:t>
      </w:r>
      <w:r>
        <w:rPr>
          <w:rFonts w:ascii="Times New Roman" w:eastAsia="宋体"/>
          <w:color w:val="000000" w:themeColor="text1"/>
        </w:rPr>
        <w:t>影响分析</w:t>
      </w:r>
      <w:r>
        <w:tab/>
      </w:r>
      <w:r>
        <w:fldChar w:fldCharType="begin"/>
      </w:r>
      <w:r>
        <w:instrText xml:space="preserve"> PAGEREF _Toc6826859 \h </w:instrText>
      </w:r>
      <w:r>
        <w:fldChar w:fldCharType="separate"/>
      </w:r>
      <w:r>
        <w:t>157</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7.4.6</w:t>
      </w:r>
      <w:r>
        <w:rPr>
          <w:rFonts w:ascii="Times New Roman" w:eastAsia="宋体"/>
          <w:color w:val="000000" w:themeColor="text1"/>
        </w:rPr>
        <w:t>地下水环境影响预测评价</w:t>
      </w:r>
      <w:r>
        <w:tab/>
      </w:r>
      <w:r>
        <w:fldChar w:fldCharType="begin"/>
      </w:r>
      <w:r>
        <w:instrText xml:space="preserve"> PAGEREF _Toc6826860 \h </w:instrText>
      </w:r>
      <w:r>
        <w:fldChar w:fldCharType="separate"/>
      </w:r>
      <w:r>
        <w:t>159</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7.4.7</w:t>
      </w:r>
      <w:r>
        <w:rPr>
          <w:rFonts w:ascii="Times New Roman" w:eastAsia="宋体"/>
          <w:color w:val="000000" w:themeColor="text1"/>
        </w:rPr>
        <w:t>地下水污染防治措施</w:t>
      </w:r>
      <w:r>
        <w:tab/>
      </w:r>
      <w:r>
        <w:fldChar w:fldCharType="begin"/>
      </w:r>
      <w:r>
        <w:instrText xml:space="preserve"> PAGEREF _Toc6826861 \h </w:instrText>
      </w:r>
      <w:r>
        <w:fldChar w:fldCharType="separate"/>
      </w:r>
      <w:r>
        <w:t>164</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7.4.8</w:t>
      </w:r>
      <w:r>
        <w:rPr>
          <w:rFonts w:ascii="Times New Roman" w:eastAsia="宋体"/>
          <w:color w:val="000000" w:themeColor="text1"/>
        </w:rPr>
        <w:t>地下水评价结论</w:t>
      </w:r>
      <w:r>
        <w:tab/>
      </w:r>
      <w:r>
        <w:fldChar w:fldCharType="begin"/>
      </w:r>
      <w:r>
        <w:instrText xml:space="preserve"> PAGEREF _Toc6826862 \h </w:instrText>
      </w:r>
      <w:r>
        <w:fldChar w:fldCharType="separate"/>
      </w:r>
      <w:r>
        <w:t>167</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7.5</w:t>
      </w:r>
      <w:r>
        <w:rPr>
          <w:rFonts w:ascii="Times New Roman" w:eastAsia="宋体" w:hAnsi="Times New Roman"/>
          <w:bCs w:val="0"/>
          <w:color w:val="000000" w:themeColor="text1"/>
        </w:rPr>
        <w:t>固体废物对环境的影响分析</w:t>
      </w:r>
      <w:r>
        <w:tab/>
      </w:r>
      <w:r>
        <w:fldChar w:fldCharType="begin"/>
      </w:r>
      <w:r>
        <w:instrText xml:space="preserve"> PAGEREF _Toc6826863 \h </w:instrText>
      </w:r>
      <w:r>
        <w:fldChar w:fldCharType="separate"/>
      </w:r>
      <w:r>
        <w:t>168</w:t>
      </w:r>
      <w:r>
        <w:fldChar w:fldCharType="end"/>
      </w:r>
    </w:p>
    <w:p w:rsidR="00C861DA" w:rsidRDefault="0044752E">
      <w:pPr>
        <w:pStyle w:val="37"/>
        <w:tabs>
          <w:tab w:val="right" w:leader="dot" w:pos="8296"/>
        </w:tabs>
        <w:rPr>
          <w:rFonts w:eastAsiaTheme="minorEastAsia"/>
          <w:sz w:val="21"/>
          <w:szCs w:val="22"/>
        </w:rPr>
      </w:pPr>
      <w:r>
        <w:rPr>
          <w:rFonts w:ascii="Times New Roman" w:eastAsia="宋体" w:hAnsi="Times New Roman" w:cs="Times New Roman"/>
          <w:color w:val="000000" w:themeColor="text1"/>
        </w:rPr>
        <w:t>7.</w:t>
      </w:r>
      <w:r>
        <w:rPr>
          <w:rFonts w:ascii="Times New Roman" w:eastAsia="宋体"/>
          <w:color w:val="000000" w:themeColor="text1"/>
        </w:rPr>
        <w:t>5.1</w:t>
      </w:r>
      <w:r>
        <w:rPr>
          <w:rFonts w:ascii="Times New Roman" w:eastAsia="宋体"/>
          <w:color w:val="000000" w:themeColor="text1"/>
        </w:rPr>
        <w:t>固体废物的产生量及种类</w:t>
      </w:r>
      <w:r>
        <w:tab/>
      </w:r>
      <w:r>
        <w:fldChar w:fldCharType="begin"/>
      </w:r>
      <w:r>
        <w:instrText xml:space="preserve"> PAGEREF _Toc6826864 \h </w:instrText>
      </w:r>
      <w:r>
        <w:fldChar w:fldCharType="separate"/>
      </w:r>
      <w:r>
        <w:t>168</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7.5.2</w:t>
      </w:r>
      <w:r>
        <w:rPr>
          <w:rFonts w:ascii="Times New Roman" w:eastAsia="宋体"/>
          <w:color w:val="000000" w:themeColor="text1"/>
        </w:rPr>
        <w:t>固体废物的影响分析</w:t>
      </w:r>
      <w:r>
        <w:tab/>
      </w:r>
      <w:r>
        <w:fldChar w:fldCharType="begin"/>
      </w:r>
      <w:r>
        <w:instrText xml:space="preserve"> PAGEREF _Toc6826865 \h </w:instrText>
      </w:r>
      <w:r>
        <w:fldChar w:fldCharType="separate"/>
      </w:r>
      <w:r>
        <w:t>168</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7.5.3</w:t>
      </w:r>
      <w:r>
        <w:rPr>
          <w:rFonts w:ascii="Times New Roman" w:eastAsia="宋体"/>
          <w:color w:val="000000" w:themeColor="text1"/>
        </w:rPr>
        <w:t>固体废物的处置</w:t>
      </w:r>
      <w:r>
        <w:tab/>
      </w:r>
      <w:r>
        <w:fldChar w:fldCharType="begin"/>
      </w:r>
      <w:r>
        <w:instrText xml:space="preserve"> PAGEREF _Toc6826866 \h </w:instrText>
      </w:r>
      <w:r>
        <w:fldChar w:fldCharType="separate"/>
      </w:r>
      <w:r>
        <w:t>168</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7.5.4</w:t>
      </w:r>
      <w:r>
        <w:rPr>
          <w:rFonts w:ascii="Times New Roman" w:eastAsia="宋体"/>
          <w:color w:val="000000" w:themeColor="text1"/>
        </w:rPr>
        <w:t>小结</w:t>
      </w:r>
      <w:r>
        <w:tab/>
      </w:r>
      <w:r>
        <w:fldChar w:fldCharType="begin"/>
      </w:r>
      <w:r>
        <w:instrText xml:space="preserve"> PAGEREF _Toc6826867 \h </w:instrText>
      </w:r>
      <w:r>
        <w:fldChar w:fldCharType="separate"/>
      </w:r>
      <w:r>
        <w:t>169</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7.6</w:t>
      </w:r>
      <w:r>
        <w:rPr>
          <w:rFonts w:ascii="Times New Roman" w:eastAsia="宋体" w:hAnsi="Times New Roman"/>
          <w:bCs w:val="0"/>
          <w:color w:val="000000" w:themeColor="text1"/>
        </w:rPr>
        <w:t>土壤环境影响分析</w:t>
      </w:r>
      <w:r>
        <w:tab/>
      </w:r>
      <w:r>
        <w:fldChar w:fldCharType="begin"/>
      </w:r>
      <w:r>
        <w:instrText xml:space="preserve"> PAGEREF _Toc6826868 \h </w:instrText>
      </w:r>
      <w:r>
        <w:fldChar w:fldCharType="separate"/>
      </w:r>
      <w:r>
        <w:t>169</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7.7</w:t>
      </w:r>
      <w:r>
        <w:rPr>
          <w:rFonts w:ascii="Times New Roman" w:eastAsia="宋体" w:hAnsi="Times New Roman"/>
          <w:bCs w:val="0"/>
          <w:color w:val="000000" w:themeColor="text1"/>
        </w:rPr>
        <w:t>生态环境影响分析</w:t>
      </w:r>
      <w:r>
        <w:tab/>
      </w:r>
      <w:r>
        <w:fldChar w:fldCharType="begin"/>
      </w:r>
      <w:r>
        <w:instrText xml:space="preserve"> PAGEREF _Toc6826869 \h </w:instrText>
      </w:r>
      <w:r>
        <w:fldChar w:fldCharType="separate"/>
      </w:r>
      <w:r>
        <w:t>170</w:t>
      </w:r>
      <w:r>
        <w:fldChar w:fldCharType="end"/>
      </w:r>
    </w:p>
    <w:p w:rsidR="00C861DA" w:rsidRDefault="0044752E">
      <w:pPr>
        <w:pStyle w:val="13"/>
        <w:tabs>
          <w:tab w:val="right" w:leader="dot" w:pos="8296"/>
        </w:tabs>
        <w:rPr>
          <w:rFonts w:asciiTheme="minorHAnsi" w:eastAsiaTheme="minorEastAsia"/>
          <w:b w:val="0"/>
          <w:bCs w:val="0"/>
          <w:caps w:val="0"/>
          <w:sz w:val="21"/>
          <w:szCs w:val="22"/>
        </w:rPr>
      </w:pPr>
      <w:r>
        <w:rPr>
          <w:rFonts w:ascii="Times New Roman" w:eastAsia="宋体"/>
          <w:color w:val="000000" w:themeColor="text1"/>
        </w:rPr>
        <w:t>8</w:t>
      </w:r>
      <w:r>
        <w:rPr>
          <w:rFonts w:ascii="Times New Roman" w:eastAsia="宋体"/>
          <w:color w:val="000000" w:themeColor="text1"/>
        </w:rPr>
        <w:t>、环境风险评价</w:t>
      </w:r>
      <w:r>
        <w:tab/>
      </w:r>
      <w:r>
        <w:fldChar w:fldCharType="begin"/>
      </w:r>
      <w:r>
        <w:instrText xml:space="preserve"> PAGEREF _Toc6826870 \h </w:instrText>
      </w:r>
      <w:r>
        <w:fldChar w:fldCharType="separate"/>
      </w:r>
      <w:r>
        <w:t>171</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8.1</w:t>
      </w:r>
      <w:r>
        <w:rPr>
          <w:rFonts w:ascii="Times New Roman" w:eastAsia="宋体" w:hAnsi="Times New Roman"/>
          <w:bCs w:val="0"/>
          <w:color w:val="000000" w:themeColor="text1"/>
        </w:rPr>
        <w:t>、风险识别</w:t>
      </w:r>
      <w:r>
        <w:tab/>
      </w:r>
      <w:r>
        <w:fldChar w:fldCharType="begin"/>
      </w:r>
      <w:r>
        <w:instrText xml:space="preserve"> PAGEREF _Toc6826871 \h </w:instrText>
      </w:r>
      <w:r>
        <w:fldChar w:fldCharType="separate"/>
      </w:r>
      <w:r>
        <w:t>171</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8.1.1</w:t>
      </w:r>
      <w:r>
        <w:rPr>
          <w:rFonts w:ascii="Times New Roman" w:eastAsia="宋体"/>
          <w:color w:val="000000" w:themeColor="text1"/>
        </w:rPr>
        <w:t>物质风险性识别</w:t>
      </w:r>
      <w:r>
        <w:tab/>
      </w:r>
      <w:r>
        <w:fldChar w:fldCharType="begin"/>
      </w:r>
      <w:r>
        <w:instrText xml:space="preserve"> PAGEREF _Toc6826872 \h </w:instrText>
      </w:r>
      <w:r>
        <w:fldChar w:fldCharType="separate"/>
      </w:r>
      <w:r>
        <w:t>171</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8.1.2</w:t>
      </w:r>
      <w:r>
        <w:rPr>
          <w:rFonts w:ascii="Times New Roman" w:eastAsia="宋体"/>
          <w:color w:val="000000" w:themeColor="text1"/>
        </w:rPr>
        <w:t>生产系统危险性识别</w:t>
      </w:r>
      <w:r>
        <w:tab/>
      </w:r>
      <w:r>
        <w:fldChar w:fldCharType="begin"/>
      </w:r>
      <w:r>
        <w:instrText xml:space="preserve"> PAGEREF _Toc6826873 \h </w:instrText>
      </w:r>
      <w:r>
        <w:fldChar w:fldCharType="separate"/>
      </w:r>
      <w:r>
        <w:t>174</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8.1.3</w:t>
      </w:r>
      <w:r>
        <w:rPr>
          <w:rFonts w:ascii="Times New Roman" w:eastAsia="宋体"/>
          <w:color w:val="000000" w:themeColor="text1"/>
        </w:rPr>
        <w:t>危险物质向环境转移途径识别</w:t>
      </w:r>
      <w:r>
        <w:tab/>
      </w:r>
      <w:r>
        <w:fldChar w:fldCharType="begin"/>
      </w:r>
      <w:r>
        <w:instrText xml:space="preserve"> PAGEREF _To</w:instrText>
      </w:r>
      <w:r>
        <w:instrText xml:space="preserve">c6826874 \h </w:instrText>
      </w:r>
      <w:r>
        <w:fldChar w:fldCharType="separate"/>
      </w:r>
      <w:r>
        <w:t>174</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8.1.4</w:t>
      </w:r>
      <w:r>
        <w:rPr>
          <w:rFonts w:ascii="Times New Roman" w:eastAsia="宋体"/>
          <w:color w:val="000000" w:themeColor="text1"/>
        </w:rPr>
        <w:t>风险识别结果</w:t>
      </w:r>
      <w:r>
        <w:tab/>
      </w:r>
      <w:r>
        <w:fldChar w:fldCharType="begin"/>
      </w:r>
      <w:r>
        <w:instrText xml:space="preserve"> PAGEREF _Toc6826875 \h </w:instrText>
      </w:r>
      <w:r>
        <w:fldChar w:fldCharType="separate"/>
      </w:r>
      <w:r>
        <w:t>176</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8.2</w:t>
      </w:r>
      <w:r>
        <w:rPr>
          <w:rFonts w:ascii="Times New Roman" w:eastAsia="宋体" w:hAnsi="Times New Roman"/>
          <w:bCs w:val="0"/>
          <w:color w:val="000000" w:themeColor="text1"/>
        </w:rPr>
        <w:t>风险事故情形分析</w:t>
      </w:r>
      <w:r>
        <w:tab/>
      </w:r>
      <w:r>
        <w:fldChar w:fldCharType="begin"/>
      </w:r>
      <w:r>
        <w:instrText xml:space="preserve"> PAGEREF _Toc6826876 \h </w:instrText>
      </w:r>
      <w:r>
        <w:fldChar w:fldCharType="separate"/>
      </w:r>
      <w:r>
        <w:t>176</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lastRenderedPageBreak/>
        <w:t>8.2.1</w:t>
      </w:r>
      <w:r>
        <w:rPr>
          <w:rFonts w:ascii="Times New Roman" w:eastAsia="宋体"/>
          <w:color w:val="000000" w:themeColor="text1"/>
        </w:rPr>
        <w:t>可能发生的环境风险事故</w:t>
      </w:r>
      <w:r>
        <w:tab/>
      </w:r>
      <w:r>
        <w:fldChar w:fldCharType="begin"/>
      </w:r>
      <w:r>
        <w:instrText xml:space="preserve"> PAGEREF _Toc6826877 \h </w:instrText>
      </w:r>
      <w:r>
        <w:fldChar w:fldCharType="separate"/>
      </w:r>
      <w:r>
        <w:t>176</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8.2.2</w:t>
      </w:r>
      <w:r>
        <w:rPr>
          <w:rFonts w:ascii="Times New Roman" w:eastAsia="宋体"/>
          <w:color w:val="000000" w:themeColor="text1"/>
        </w:rPr>
        <w:t>最具代表性事故</w:t>
      </w:r>
      <w:r>
        <w:tab/>
      </w:r>
      <w:r>
        <w:fldChar w:fldCharType="begin"/>
      </w:r>
      <w:r>
        <w:instrText xml:space="preserve"> PAGEREF _Toc6826878 \h </w:instrText>
      </w:r>
      <w:r>
        <w:fldChar w:fldCharType="separate"/>
      </w:r>
      <w:r>
        <w:t>176</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8.3</w:t>
      </w:r>
      <w:r>
        <w:rPr>
          <w:rFonts w:ascii="Times New Roman" w:eastAsia="宋体" w:hAnsi="Times New Roman"/>
          <w:bCs w:val="0"/>
          <w:color w:val="000000" w:themeColor="text1"/>
        </w:rPr>
        <w:t>源项分析</w:t>
      </w:r>
      <w:r>
        <w:tab/>
      </w:r>
      <w:r>
        <w:fldChar w:fldCharType="begin"/>
      </w:r>
      <w:r>
        <w:instrText xml:space="preserve"> PAGEREF _Toc6826879 \h </w:instrText>
      </w:r>
      <w:r>
        <w:fldChar w:fldCharType="separate"/>
      </w:r>
      <w:r>
        <w:t>177</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8.3.1</w:t>
      </w:r>
      <w:r>
        <w:rPr>
          <w:rFonts w:ascii="Times New Roman" w:eastAsia="宋体"/>
          <w:color w:val="000000" w:themeColor="text1"/>
        </w:rPr>
        <w:t>最具代表性事故发生概率</w:t>
      </w:r>
      <w:r>
        <w:tab/>
      </w:r>
      <w:r>
        <w:fldChar w:fldCharType="begin"/>
      </w:r>
      <w:r>
        <w:instrText xml:space="preserve"> PAGEREF</w:instrText>
      </w:r>
      <w:r>
        <w:instrText xml:space="preserve"> _Toc6826880 \h </w:instrText>
      </w:r>
      <w:r>
        <w:fldChar w:fldCharType="separate"/>
      </w:r>
      <w:r>
        <w:t>177</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8.3.2</w:t>
      </w:r>
      <w:r>
        <w:rPr>
          <w:rFonts w:ascii="Times New Roman" w:eastAsia="宋体"/>
          <w:color w:val="000000" w:themeColor="text1"/>
        </w:rPr>
        <w:t>事故泄漏量估算</w:t>
      </w:r>
      <w:r>
        <w:tab/>
      </w:r>
      <w:r>
        <w:fldChar w:fldCharType="begin"/>
      </w:r>
      <w:r>
        <w:instrText xml:space="preserve"> PAGEREF _Toc6826881 \h </w:instrText>
      </w:r>
      <w:r>
        <w:fldChar w:fldCharType="separate"/>
      </w:r>
      <w:r>
        <w:t>178</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8.4</w:t>
      </w:r>
      <w:r>
        <w:rPr>
          <w:rFonts w:ascii="Times New Roman" w:eastAsia="宋体" w:hAnsi="Times New Roman"/>
          <w:bCs w:val="0"/>
          <w:color w:val="000000" w:themeColor="text1"/>
        </w:rPr>
        <w:t>风险预测与评价</w:t>
      </w:r>
      <w:r>
        <w:tab/>
      </w:r>
      <w:r>
        <w:fldChar w:fldCharType="begin"/>
      </w:r>
      <w:r>
        <w:instrText xml:space="preserve"> PAGEREF _Toc6826882 \h </w:instrText>
      </w:r>
      <w:r>
        <w:fldChar w:fldCharType="separate"/>
      </w:r>
      <w:r>
        <w:t>179</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8.4.1</w:t>
      </w:r>
      <w:r>
        <w:rPr>
          <w:rFonts w:ascii="Times New Roman" w:eastAsia="宋体"/>
          <w:color w:val="000000" w:themeColor="text1"/>
        </w:rPr>
        <w:t>预测模型筛选</w:t>
      </w:r>
      <w:r>
        <w:tab/>
      </w:r>
      <w:r>
        <w:fldChar w:fldCharType="begin"/>
      </w:r>
      <w:r>
        <w:instrText xml:space="preserve"> PAGEREF _Toc6826883 \h </w:instrText>
      </w:r>
      <w:r>
        <w:fldChar w:fldCharType="separate"/>
      </w:r>
      <w:r>
        <w:t>179</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8.4.2</w:t>
      </w:r>
      <w:r>
        <w:rPr>
          <w:rFonts w:ascii="Times New Roman" w:eastAsia="宋体"/>
          <w:color w:val="000000" w:themeColor="text1"/>
        </w:rPr>
        <w:t>预测范围与计算点</w:t>
      </w:r>
      <w:r>
        <w:tab/>
      </w:r>
      <w:r>
        <w:fldChar w:fldCharType="begin"/>
      </w:r>
      <w:r>
        <w:instrText xml:space="preserve"> PAGEREF _Toc6826884 \h </w:instrText>
      </w:r>
      <w:r>
        <w:fldChar w:fldCharType="separate"/>
      </w:r>
      <w:r>
        <w:t>179</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8.4.3</w:t>
      </w:r>
      <w:r>
        <w:rPr>
          <w:rFonts w:ascii="Times New Roman" w:eastAsia="宋体"/>
          <w:color w:val="000000" w:themeColor="text1"/>
        </w:rPr>
        <w:t>事故源参数</w:t>
      </w:r>
      <w:r>
        <w:tab/>
      </w:r>
      <w:r>
        <w:fldChar w:fldCharType="begin"/>
      </w:r>
      <w:r>
        <w:instrText xml:space="preserve"> PAGEREF _Toc6826885 \h </w:instrText>
      </w:r>
      <w:r>
        <w:fldChar w:fldCharType="separate"/>
      </w:r>
      <w:r>
        <w:t>179</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8.4.4</w:t>
      </w:r>
      <w:r>
        <w:rPr>
          <w:rFonts w:ascii="Times New Roman" w:eastAsia="宋体"/>
          <w:color w:val="000000" w:themeColor="text1"/>
        </w:rPr>
        <w:t>气象参数</w:t>
      </w:r>
      <w:r>
        <w:tab/>
      </w:r>
      <w:r>
        <w:fldChar w:fldCharType="begin"/>
      </w:r>
      <w:r>
        <w:instrText xml:space="preserve"> PAGEREF _Toc6826886 \h </w:instrText>
      </w:r>
      <w:r>
        <w:fldChar w:fldCharType="separate"/>
      </w:r>
      <w:r>
        <w:t>180</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8.4.5</w:t>
      </w:r>
      <w:r>
        <w:rPr>
          <w:rFonts w:ascii="Times New Roman" w:eastAsia="宋体"/>
          <w:color w:val="000000" w:themeColor="text1"/>
        </w:rPr>
        <w:t>环境风险预测</w:t>
      </w:r>
      <w:r>
        <w:tab/>
      </w:r>
      <w:r>
        <w:fldChar w:fldCharType="begin"/>
      </w:r>
      <w:r>
        <w:instrText xml:space="preserve"> PAGEREF _Toc68</w:instrText>
      </w:r>
      <w:r>
        <w:instrText xml:space="preserve">26887 \h </w:instrText>
      </w:r>
      <w:r>
        <w:fldChar w:fldCharType="separate"/>
      </w:r>
      <w:r>
        <w:t>180</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8.5</w:t>
      </w:r>
      <w:r>
        <w:rPr>
          <w:rFonts w:ascii="Times New Roman" w:eastAsia="宋体" w:hAnsi="Times New Roman"/>
          <w:bCs w:val="0"/>
          <w:color w:val="000000" w:themeColor="text1"/>
        </w:rPr>
        <w:t>环境风险管理</w:t>
      </w:r>
      <w:r>
        <w:tab/>
      </w:r>
      <w:r>
        <w:fldChar w:fldCharType="begin"/>
      </w:r>
      <w:r>
        <w:instrText xml:space="preserve"> PAGEREF _Toc6826888 \h </w:instrText>
      </w:r>
      <w:r>
        <w:fldChar w:fldCharType="separate"/>
      </w:r>
      <w:r>
        <w:t>182</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8.5.1</w:t>
      </w:r>
      <w:r>
        <w:rPr>
          <w:rFonts w:ascii="Times New Roman" w:eastAsia="宋体"/>
          <w:color w:val="000000" w:themeColor="text1"/>
        </w:rPr>
        <w:t>风险防范措施</w:t>
      </w:r>
      <w:r>
        <w:tab/>
      </w:r>
      <w:r>
        <w:fldChar w:fldCharType="begin"/>
      </w:r>
      <w:r>
        <w:instrText xml:space="preserve"> PAGEREF _Toc6826889 \h </w:instrText>
      </w:r>
      <w:r>
        <w:fldChar w:fldCharType="separate"/>
      </w:r>
      <w:r>
        <w:t>182</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8.5.2</w:t>
      </w:r>
      <w:r>
        <w:rPr>
          <w:rFonts w:ascii="Times New Roman" w:eastAsia="宋体"/>
          <w:color w:val="000000" w:themeColor="text1"/>
        </w:rPr>
        <w:t>落实安全生产</w:t>
      </w:r>
      <w:r>
        <w:rPr>
          <w:rFonts w:ascii="Times New Roman" w:eastAsia="宋体"/>
          <w:color w:val="000000" w:themeColor="text1"/>
        </w:rPr>
        <w:t>“</w:t>
      </w:r>
      <w:r>
        <w:rPr>
          <w:rFonts w:ascii="Times New Roman" w:eastAsia="宋体"/>
          <w:color w:val="000000" w:themeColor="text1"/>
        </w:rPr>
        <w:t>三同时</w:t>
      </w:r>
      <w:r>
        <w:rPr>
          <w:rFonts w:ascii="Times New Roman" w:eastAsia="宋体"/>
          <w:color w:val="000000" w:themeColor="text1"/>
        </w:rPr>
        <w:t>”</w:t>
      </w:r>
      <w:r>
        <w:tab/>
      </w:r>
      <w:r>
        <w:fldChar w:fldCharType="begin"/>
      </w:r>
      <w:r>
        <w:instrText xml:space="preserve"> PAGEREF _Toc6826890 \h </w:instrText>
      </w:r>
      <w:r>
        <w:fldChar w:fldCharType="separate"/>
      </w:r>
      <w:r>
        <w:t>183</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8.6</w:t>
      </w:r>
      <w:r>
        <w:rPr>
          <w:rFonts w:ascii="Times New Roman" w:eastAsia="宋体" w:hAnsi="Times New Roman"/>
          <w:bCs w:val="0"/>
          <w:color w:val="000000" w:themeColor="text1"/>
        </w:rPr>
        <w:t>应急预案</w:t>
      </w:r>
      <w:r>
        <w:tab/>
      </w:r>
      <w:r>
        <w:fldChar w:fldCharType="begin"/>
      </w:r>
      <w:r>
        <w:instrText xml:space="preserve"> PAGEREF _Toc6826891 \h </w:instrText>
      </w:r>
      <w:r>
        <w:fldChar w:fldCharType="separate"/>
      </w:r>
      <w:r>
        <w:t>183</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8.6.1</w:t>
      </w:r>
      <w:r>
        <w:rPr>
          <w:rFonts w:ascii="Times New Roman" w:eastAsia="宋体"/>
          <w:color w:val="000000" w:themeColor="text1"/>
        </w:rPr>
        <w:t>应急计划区</w:t>
      </w:r>
      <w:r>
        <w:tab/>
      </w:r>
      <w:r>
        <w:fldChar w:fldCharType="begin"/>
      </w:r>
      <w:r>
        <w:instrText xml:space="preserve"> PAGEREF _Toc6826892 \h </w:instrText>
      </w:r>
      <w:r>
        <w:fldChar w:fldCharType="separate"/>
      </w:r>
      <w:r>
        <w:t>184</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8.6.2</w:t>
      </w:r>
      <w:r>
        <w:rPr>
          <w:rFonts w:ascii="Times New Roman" w:eastAsia="宋体"/>
          <w:color w:val="000000" w:themeColor="text1"/>
        </w:rPr>
        <w:t>应急组织机构、人员分工及职责</w:t>
      </w:r>
      <w:r>
        <w:tab/>
      </w:r>
      <w:r>
        <w:fldChar w:fldCharType="begin"/>
      </w:r>
      <w:r>
        <w:instrText xml:space="preserve"> PAGEREF _Toc6826893 \h </w:instrText>
      </w:r>
      <w:r>
        <w:fldChar w:fldCharType="separate"/>
      </w:r>
      <w:r>
        <w:t>184</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8.6.3</w:t>
      </w:r>
      <w:r>
        <w:rPr>
          <w:rFonts w:ascii="Times New Roman" w:eastAsia="宋体"/>
          <w:color w:val="000000" w:themeColor="text1"/>
        </w:rPr>
        <w:t>预案分级响应条件</w:t>
      </w:r>
      <w:r>
        <w:tab/>
      </w:r>
      <w:r>
        <w:fldChar w:fldCharType="begin"/>
      </w:r>
      <w:r>
        <w:instrText xml:space="preserve"> PAGEREF _Toc6826894 \h </w:instrText>
      </w:r>
      <w:r>
        <w:fldChar w:fldCharType="separate"/>
      </w:r>
      <w:r>
        <w:t>186</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8.6.4</w:t>
      </w:r>
      <w:r>
        <w:rPr>
          <w:rFonts w:ascii="Times New Roman" w:eastAsia="宋体"/>
          <w:color w:val="000000" w:themeColor="text1"/>
        </w:rPr>
        <w:t>应急救援保障</w:t>
      </w:r>
      <w:r>
        <w:tab/>
      </w:r>
      <w:r>
        <w:fldChar w:fldCharType="begin"/>
      </w:r>
      <w:r>
        <w:instrText xml:space="preserve"> PAGEREF _Toc6826895 \h </w:instrText>
      </w:r>
      <w:r>
        <w:fldChar w:fldCharType="separate"/>
      </w:r>
      <w:r>
        <w:t>187</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8.6.5</w:t>
      </w:r>
      <w:r>
        <w:rPr>
          <w:rFonts w:ascii="Times New Roman" w:eastAsia="宋体"/>
          <w:color w:val="000000" w:themeColor="text1"/>
        </w:rPr>
        <w:t>报警、通信联络方式</w:t>
      </w:r>
      <w:r>
        <w:tab/>
      </w:r>
      <w:r>
        <w:fldChar w:fldCharType="begin"/>
      </w:r>
      <w:r>
        <w:instrText xml:space="preserve"> PAGEREF _Toc6826896 \h </w:instrText>
      </w:r>
      <w:r>
        <w:fldChar w:fldCharType="separate"/>
      </w:r>
      <w:r>
        <w:t>187</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lastRenderedPageBreak/>
        <w:t>8.6.6</w:t>
      </w:r>
      <w:r>
        <w:rPr>
          <w:rFonts w:ascii="Times New Roman" w:eastAsia="宋体"/>
          <w:color w:val="000000" w:themeColor="text1"/>
        </w:rPr>
        <w:t>危险化学品风险事故发生后应采取的应急处理措施</w:t>
      </w:r>
      <w:r>
        <w:tab/>
      </w:r>
      <w:r>
        <w:fldChar w:fldCharType="begin"/>
      </w:r>
      <w:r>
        <w:instrText xml:space="preserve"> PAGEREF _Toc6826897 \h </w:instrText>
      </w:r>
      <w:r>
        <w:fldChar w:fldCharType="separate"/>
      </w:r>
      <w:r>
        <w:t>187</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8.6.7</w:t>
      </w:r>
      <w:r>
        <w:rPr>
          <w:rFonts w:ascii="Times New Roman" w:eastAsia="宋体"/>
          <w:color w:val="000000" w:themeColor="text1"/>
        </w:rPr>
        <w:t>应急环境监测、救护措施</w:t>
      </w:r>
      <w:r>
        <w:tab/>
      </w:r>
      <w:r>
        <w:fldChar w:fldCharType="begin"/>
      </w:r>
      <w:r>
        <w:instrText xml:space="preserve"> PAGEREF _Toc6826898 \h </w:instrText>
      </w:r>
      <w:r>
        <w:fldChar w:fldCharType="separate"/>
      </w:r>
      <w:r>
        <w:t>189</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8.6.8</w:t>
      </w:r>
      <w:r>
        <w:rPr>
          <w:rFonts w:ascii="Times New Roman" w:eastAsia="宋体"/>
          <w:color w:val="000000" w:themeColor="text1"/>
        </w:rPr>
        <w:t>应急撤离、疏散组织计划</w:t>
      </w:r>
      <w:r>
        <w:tab/>
      </w:r>
      <w:r>
        <w:fldChar w:fldCharType="begin"/>
      </w:r>
      <w:r>
        <w:instrText xml:space="preserve"> PAGEREF _Toc6826899 \h </w:instrText>
      </w:r>
      <w:r>
        <w:fldChar w:fldCharType="separate"/>
      </w:r>
      <w:r>
        <w:t>190</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8.6.9</w:t>
      </w:r>
      <w:r>
        <w:rPr>
          <w:rFonts w:ascii="Times New Roman" w:eastAsia="宋体"/>
          <w:color w:val="000000" w:themeColor="text1"/>
        </w:rPr>
        <w:t>应急救援关闭程序与恢复措施</w:t>
      </w:r>
      <w:r>
        <w:tab/>
      </w:r>
      <w:r>
        <w:fldChar w:fldCharType="begin"/>
      </w:r>
      <w:r>
        <w:instrText xml:space="preserve"> PAGEREF _Toc6826900 \h </w:instrText>
      </w:r>
      <w:r>
        <w:fldChar w:fldCharType="separate"/>
      </w:r>
      <w:r>
        <w:t>190</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8.6.10</w:t>
      </w:r>
      <w:r>
        <w:rPr>
          <w:rFonts w:ascii="Times New Roman" w:eastAsia="宋体"/>
          <w:color w:val="000000" w:themeColor="text1"/>
        </w:rPr>
        <w:t>应急培训计划</w:t>
      </w:r>
      <w:r>
        <w:tab/>
      </w:r>
      <w:r>
        <w:fldChar w:fldCharType="begin"/>
      </w:r>
      <w:r>
        <w:instrText xml:space="preserve"> PAGEREF _Toc6826901 \h </w:instrText>
      </w:r>
      <w:r>
        <w:fldChar w:fldCharType="separate"/>
      </w:r>
      <w:r>
        <w:t>190</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8.6.11</w:t>
      </w:r>
      <w:r>
        <w:rPr>
          <w:rFonts w:ascii="Times New Roman" w:eastAsia="宋体"/>
          <w:color w:val="000000" w:themeColor="text1"/>
        </w:rPr>
        <w:t>公众教育和信息</w:t>
      </w:r>
      <w:r>
        <w:tab/>
      </w:r>
      <w:r>
        <w:fldChar w:fldCharType="begin"/>
      </w:r>
      <w:r>
        <w:instrText xml:space="preserve"> PAGEREF _Toc6826902 \h </w:instrText>
      </w:r>
      <w:r>
        <w:fldChar w:fldCharType="separate"/>
      </w:r>
      <w:r>
        <w:t>191</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8.6.12</w:t>
      </w:r>
      <w:r>
        <w:rPr>
          <w:rFonts w:ascii="Times New Roman" w:eastAsia="宋体"/>
          <w:color w:val="000000" w:themeColor="text1"/>
        </w:rPr>
        <w:t>与当地政府突发环境事件应急预案的对接及联动</w:t>
      </w:r>
      <w:r>
        <w:tab/>
      </w:r>
      <w:r>
        <w:fldChar w:fldCharType="begin"/>
      </w:r>
      <w:r>
        <w:instrText xml:space="preserve"> PAGEREF </w:instrText>
      </w:r>
      <w:r>
        <w:instrText xml:space="preserve">_Toc6826903 \h </w:instrText>
      </w:r>
      <w:r>
        <w:fldChar w:fldCharType="separate"/>
      </w:r>
      <w:r>
        <w:t>191</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8.7</w:t>
      </w:r>
      <w:r>
        <w:rPr>
          <w:rFonts w:ascii="Times New Roman" w:eastAsia="宋体" w:hAnsi="Times New Roman"/>
          <w:bCs w:val="0"/>
          <w:color w:val="000000" w:themeColor="text1"/>
        </w:rPr>
        <w:t>风险评价结论与建议</w:t>
      </w:r>
      <w:r>
        <w:tab/>
      </w:r>
      <w:r>
        <w:fldChar w:fldCharType="begin"/>
      </w:r>
      <w:r>
        <w:instrText xml:space="preserve"> PAGEREF _Toc6826904 \h </w:instrText>
      </w:r>
      <w:r>
        <w:fldChar w:fldCharType="separate"/>
      </w:r>
      <w:r>
        <w:t>191</w:t>
      </w:r>
      <w:r>
        <w:fldChar w:fldCharType="end"/>
      </w:r>
    </w:p>
    <w:p w:rsidR="00C861DA" w:rsidRDefault="0044752E">
      <w:pPr>
        <w:pStyle w:val="13"/>
        <w:tabs>
          <w:tab w:val="right" w:leader="dot" w:pos="8296"/>
        </w:tabs>
        <w:rPr>
          <w:rFonts w:asciiTheme="minorHAnsi" w:eastAsiaTheme="minorEastAsia"/>
          <w:b w:val="0"/>
          <w:bCs w:val="0"/>
          <w:caps w:val="0"/>
          <w:sz w:val="21"/>
          <w:szCs w:val="22"/>
        </w:rPr>
      </w:pPr>
      <w:r>
        <w:rPr>
          <w:rFonts w:ascii="Times New Roman" w:eastAsia="宋体"/>
          <w:color w:val="000000" w:themeColor="text1"/>
        </w:rPr>
        <w:t>9</w:t>
      </w:r>
      <w:r>
        <w:rPr>
          <w:rFonts w:ascii="Times New Roman" w:eastAsia="宋体"/>
          <w:color w:val="000000" w:themeColor="text1"/>
        </w:rPr>
        <w:t>、产业政策及选址合理性</w:t>
      </w:r>
      <w:r>
        <w:tab/>
      </w:r>
      <w:r>
        <w:fldChar w:fldCharType="begin"/>
      </w:r>
      <w:r>
        <w:instrText xml:space="preserve"> PAGEREF _Toc6826905 \h </w:instrText>
      </w:r>
      <w:r>
        <w:fldChar w:fldCharType="separate"/>
      </w:r>
      <w:r>
        <w:t>193</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9.1</w:t>
      </w:r>
      <w:r>
        <w:rPr>
          <w:rFonts w:ascii="Times New Roman" w:eastAsia="宋体" w:hAnsi="Times New Roman"/>
          <w:bCs w:val="0"/>
          <w:color w:val="000000" w:themeColor="text1"/>
        </w:rPr>
        <w:t>与国家产业政策符合性分析</w:t>
      </w:r>
      <w:r>
        <w:tab/>
      </w:r>
      <w:r>
        <w:fldChar w:fldCharType="begin"/>
      </w:r>
      <w:r>
        <w:instrText xml:space="preserve"> PAGEREF _Toc6826906 \h </w:instrText>
      </w:r>
      <w:r>
        <w:fldChar w:fldCharType="separate"/>
      </w:r>
      <w:r>
        <w:t>193</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9.1.1</w:t>
      </w:r>
      <w:r>
        <w:rPr>
          <w:rFonts w:ascii="Times New Roman" w:eastAsia="宋体"/>
          <w:color w:val="000000" w:themeColor="text1"/>
        </w:rPr>
        <w:t>与《产业结构调整指导目录（</w:t>
      </w:r>
      <w:r>
        <w:rPr>
          <w:rFonts w:ascii="Times New Roman" w:eastAsia="宋体"/>
          <w:color w:val="000000" w:themeColor="text1"/>
        </w:rPr>
        <w:t>2011</w:t>
      </w:r>
      <w:r>
        <w:rPr>
          <w:rFonts w:ascii="Times New Roman" w:eastAsia="宋体"/>
          <w:color w:val="000000" w:themeColor="text1"/>
        </w:rPr>
        <w:t>年本）》（</w:t>
      </w:r>
      <w:r>
        <w:rPr>
          <w:rFonts w:ascii="Times New Roman" w:eastAsia="宋体"/>
          <w:color w:val="000000" w:themeColor="text1"/>
        </w:rPr>
        <w:t>2013</w:t>
      </w:r>
      <w:r>
        <w:rPr>
          <w:rFonts w:ascii="Times New Roman" w:eastAsia="宋体"/>
          <w:color w:val="000000" w:themeColor="text1"/>
        </w:rPr>
        <w:t>年修正）符合性分析</w:t>
      </w:r>
      <w:r>
        <w:tab/>
      </w:r>
      <w:r>
        <w:fldChar w:fldCharType="begin"/>
      </w:r>
      <w:r>
        <w:instrText xml:space="preserve"> PAGEREF _Toc6826907 \h </w:instrText>
      </w:r>
      <w:r>
        <w:fldChar w:fldCharType="separate"/>
      </w:r>
      <w:r>
        <w:t>193</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9.2</w:t>
      </w:r>
      <w:r>
        <w:rPr>
          <w:rFonts w:ascii="Times New Roman" w:eastAsia="宋体" w:hAnsi="Times New Roman"/>
          <w:bCs w:val="0"/>
          <w:color w:val="000000" w:themeColor="text1"/>
        </w:rPr>
        <w:t>区域规划相符性分析</w:t>
      </w:r>
      <w:r>
        <w:tab/>
      </w:r>
      <w:r>
        <w:fldChar w:fldCharType="begin"/>
      </w:r>
      <w:r>
        <w:instrText xml:space="preserve"> PAGEREF _Toc6826908 \h </w:instrText>
      </w:r>
      <w:r>
        <w:fldChar w:fldCharType="separate"/>
      </w:r>
      <w:r>
        <w:t>193</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9.2.1</w:t>
      </w:r>
      <w:r>
        <w:rPr>
          <w:rFonts w:ascii="Times New Roman" w:eastAsia="宋体"/>
          <w:color w:val="000000" w:themeColor="text1"/>
        </w:rPr>
        <w:t>与安宁市城市总体规划（</w:t>
      </w:r>
      <w:r>
        <w:rPr>
          <w:rFonts w:ascii="Times New Roman" w:eastAsia="宋体"/>
          <w:color w:val="000000" w:themeColor="text1"/>
        </w:rPr>
        <w:t>2008</w:t>
      </w:r>
      <w:r>
        <w:rPr>
          <w:rFonts w:ascii="Times New Roman" w:eastAsia="宋体"/>
          <w:color w:val="000000" w:themeColor="text1"/>
        </w:rPr>
        <w:t>－</w:t>
      </w:r>
      <w:r>
        <w:rPr>
          <w:rFonts w:ascii="Times New Roman" w:eastAsia="宋体"/>
          <w:color w:val="000000" w:themeColor="text1"/>
        </w:rPr>
        <w:t>2020</w:t>
      </w:r>
      <w:r>
        <w:rPr>
          <w:rFonts w:ascii="Times New Roman" w:eastAsia="宋体"/>
          <w:color w:val="000000" w:themeColor="text1"/>
        </w:rPr>
        <w:t>）符合性分析</w:t>
      </w:r>
      <w:r>
        <w:tab/>
      </w:r>
      <w:r>
        <w:fldChar w:fldCharType="begin"/>
      </w:r>
      <w:r>
        <w:instrText xml:space="preserve"> PAGEREF _Toc6826909 \h </w:instrText>
      </w:r>
      <w:r>
        <w:fldChar w:fldCharType="separate"/>
      </w:r>
      <w:r>
        <w:t>193</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9.2.2</w:t>
      </w:r>
      <w:r>
        <w:rPr>
          <w:rFonts w:ascii="Times New Roman" w:eastAsia="宋体"/>
          <w:color w:val="000000" w:themeColor="text1"/>
        </w:rPr>
        <w:t>与《安宁工业园区规划修编（</w:t>
      </w:r>
      <w:r>
        <w:rPr>
          <w:rFonts w:ascii="Times New Roman" w:eastAsia="宋体"/>
          <w:color w:val="000000" w:themeColor="text1"/>
        </w:rPr>
        <w:t>2012-2020</w:t>
      </w:r>
      <w:r>
        <w:rPr>
          <w:rFonts w:ascii="Times New Roman" w:eastAsia="宋体"/>
          <w:color w:val="000000" w:themeColor="text1"/>
        </w:rPr>
        <w:t>）》符合性分析</w:t>
      </w:r>
      <w:r>
        <w:tab/>
      </w:r>
      <w:r>
        <w:fldChar w:fldCharType="begin"/>
      </w:r>
      <w:r>
        <w:instrText xml:space="preserve"> PAGEREF _Toc6826910 \h </w:instrText>
      </w:r>
      <w:r>
        <w:fldChar w:fldCharType="separate"/>
      </w:r>
      <w:r>
        <w:t>194</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9.2.3</w:t>
      </w:r>
      <w:r>
        <w:rPr>
          <w:rFonts w:ascii="Times New Roman" w:eastAsia="宋体"/>
          <w:color w:val="000000" w:themeColor="text1"/>
        </w:rPr>
        <w:t>与《云南省安宁工业园区总体规划修编（</w:t>
      </w:r>
      <w:r>
        <w:rPr>
          <w:rFonts w:ascii="Times New Roman" w:eastAsia="宋体"/>
          <w:color w:val="000000" w:themeColor="text1"/>
        </w:rPr>
        <w:t>2012-2020</w:t>
      </w:r>
      <w:r>
        <w:rPr>
          <w:rFonts w:ascii="Times New Roman" w:eastAsia="宋体"/>
          <w:color w:val="000000" w:themeColor="text1"/>
        </w:rPr>
        <w:t>）环境影响报告书》符合性分析</w:t>
      </w:r>
      <w:r>
        <w:tab/>
      </w:r>
      <w:r>
        <w:fldChar w:fldCharType="begin"/>
      </w:r>
      <w:r>
        <w:instrText xml:space="preserve"> PAGEREF _Toc6826911 \h </w:instrText>
      </w:r>
      <w:r>
        <w:fldChar w:fldCharType="separate"/>
      </w:r>
      <w:r>
        <w:t>195</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9.3</w:t>
      </w:r>
      <w:r>
        <w:rPr>
          <w:rFonts w:ascii="Times New Roman" w:eastAsia="宋体" w:hAnsi="Times New Roman"/>
          <w:bCs w:val="0"/>
          <w:color w:val="000000" w:themeColor="text1"/>
        </w:rPr>
        <w:t>环境影响的可接受分析</w:t>
      </w:r>
      <w:r>
        <w:tab/>
      </w:r>
      <w:r>
        <w:fldChar w:fldCharType="begin"/>
      </w:r>
      <w:r>
        <w:instrText xml:space="preserve"> PAGEREF _Toc6826912 \h </w:instrText>
      </w:r>
      <w:r>
        <w:fldChar w:fldCharType="separate"/>
      </w:r>
      <w:r>
        <w:t>195</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9.4</w:t>
      </w:r>
      <w:r>
        <w:rPr>
          <w:rFonts w:ascii="Times New Roman" w:eastAsia="宋体" w:hAnsi="Times New Roman"/>
          <w:bCs w:val="0"/>
          <w:color w:val="000000" w:themeColor="text1"/>
        </w:rPr>
        <w:t>建设项目的公众可接受程度</w:t>
      </w:r>
      <w:r>
        <w:tab/>
      </w:r>
      <w:r>
        <w:fldChar w:fldCharType="begin"/>
      </w:r>
      <w:r>
        <w:instrText xml:space="preserve"> PAGEREF _Toc6826913 \h </w:instrText>
      </w:r>
      <w:r>
        <w:fldChar w:fldCharType="separate"/>
      </w:r>
      <w:r>
        <w:t>196</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9.5</w:t>
      </w:r>
      <w:r>
        <w:rPr>
          <w:rFonts w:ascii="Times New Roman" w:eastAsia="宋体" w:hAnsi="Times New Roman"/>
          <w:bCs w:val="0"/>
          <w:color w:val="000000" w:themeColor="text1"/>
        </w:rPr>
        <w:t>厂区平面布置的合理性分析</w:t>
      </w:r>
      <w:r>
        <w:tab/>
      </w:r>
      <w:r>
        <w:fldChar w:fldCharType="begin"/>
      </w:r>
      <w:r>
        <w:instrText xml:space="preserve"> PAGEREF _Toc6826914 \h </w:instrText>
      </w:r>
      <w:r>
        <w:fldChar w:fldCharType="separate"/>
      </w:r>
      <w:r>
        <w:t>197</w:t>
      </w:r>
      <w:r>
        <w:fldChar w:fldCharType="end"/>
      </w:r>
    </w:p>
    <w:p w:rsidR="00C861DA" w:rsidRDefault="0044752E">
      <w:pPr>
        <w:pStyle w:val="13"/>
        <w:tabs>
          <w:tab w:val="right" w:leader="dot" w:pos="8296"/>
        </w:tabs>
        <w:rPr>
          <w:rFonts w:asciiTheme="minorHAnsi" w:eastAsiaTheme="minorEastAsia"/>
          <w:b w:val="0"/>
          <w:bCs w:val="0"/>
          <w:caps w:val="0"/>
          <w:sz w:val="21"/>
          <w:szCs w:val="22"/>
        </w:rPr>
      </w:pPr>
      <w:r>
        <w:rPr>
          <w:rFonts w:ascii="Times New Roman" w:eastAsia="宋体"/>
          <w:color w:val="000000" w:themeColor="text1"/>
        </w:rPr>
        <w:lastRenderedPageBreak/>
        <w:t>10</w:t>
      </w:r>
      <w:r>
        <w:rPr>
          <w:rFonts w:ascii="Times New Roman" w:eastAsia="宋体"/>
          <w:color w:val="000000" w:themeColor="text1"/>
        </w:rPr>
        <w:t>、污染防治对策措施及建议</w:t>
      </w:r>
      <w:r>
        <w:tab/>
      </w:r>
      <w:r>
        <w:fldChar w:fldCharType="begin"/>
      </w:r>
      <w:r>
        <w:instrText xml:space="preserve"> PAGEREF _Toc6826915 \h </w:instrText>
      </w:r>
      <w:r>
        <w:fldChar w:fldCharType="separate"/>
      </w:r>
      <w:r>
        <w:t>198</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10.1</w:t>
      </w:r>
      <w:r>
        <w:rPr>
          <w:rFonts w:ascii="Times New Roman" w:eastAsia="宋体" w:hAnsi="Times New Roman"/>
          <w:bCs w:val="0"/>
          <w:color w:val="000000" w:themeColor="text1"/>
        </w:rPr>
        <w:t>施工期环境保护措施</w:t>
      </w:r>
      <w:r>
        <w:tab/>
      </w:r>
      <w:r>
        <w:fldChar w:fldCharType="begin"/>
      </w:r>
      <w:r>
        <w:instrText xml:space="preserve"> PAGEREF _Toc6826916 \h </w:instrText>
      </w:r>
      <w:r>
        <w:fldChar w:fldCharType="separate"/>
      </w:r>
      <w:r>
        <w:t>198</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10.1.1</w:t>
      </w:r>
      <w:r>
        <w:rPr>
          <w:rFonts w:ascii="Times New Roman" w:eastAsia="宋体"/>
          <w:color w:val="000000" w:themeColor="text1"/>
        </w:rPr>
        <w:t>废气污染防治措施</w:t>
      </w:r>
      <w:r>
        <w:tab/>
      </w:r>
      <w:r>
        <w:fldChar w:fldCharType="begin"/>
      </w:r>
      <w:r>
        <w:instrText xml:space="preserve"> PAGEREF _Toc6826917 \h </w:instrText>
      </w:r>
      <w:r>
        <w:fldChar w:fldCharType="separate"/>
      </w:r>
      <w:r>
        <w:t>198</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10.1.2</w:t>
      </w:r>
      <w:r>
        <w:rPr>
          <w:rFonts w:ascii="Times New Roman" w:eastAsia="宋体"/>
          <w:color w:val="000000" w:themeColor="text1"/>
        </w:rPr>
        <w:t>水环境保护对策措施</w:t>
      </w:r>
      <w:r>
        <w:tab/>
      </w:r>
      <w:r>
        <w:fldChar w:fldCharType="begin"/>
      </w:r>
      <w:r>
        <w:instrText xml:space="preserve"> PAGEREF _Toc6826918 \h </w:instrText>
      </w:r>
      <w:r>
        <w:fldChar w:fldCharType="separate"/>
      </w:r>
      <w:r>
        <w:t>199</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10.1.3</w:t>
      </w:r>
      <w:r>
        <w:rPr>
          <w:rFonts w:ascii="Times New Roman" w:eastAsia="宋体"/>
          <w:color w:val="000000" w:themeColor="text1"/>
        </w:rPr>
        <w:t>减轻噪声影响的优化措施</w:t>
      </w:r>
      <w:r>
        <w:tab/>
      </w:r>
      <w:r>
        <w:fldChar w:fldCharType="begin"/>
      </w:r>
      <w:r>
        <w:instrText xml:space="preserve"> PAGEREF _Toc6826919 \h </w:instrText>
      </w:r>
      <w:r>
        <w:fldChar w:fldCharType="separate"/>
      </w:r>
      <w:r>
        <w:t>199</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10.1.4</w:t>
      </w:r>
      <w:r>
        <w:rPr>
          <w:rFonts w:ascii="Times New Roman" w:eastAsia="宋体"/>
          <w:color w:val="000000" w:themeColor="text1"/>
        </w:rPr>
        <w:t>固体废物的防治措施</w:t>
      </w:r>
      <w:r>
        <w:tab/>
      </w:r>
      <w:r>
        <w:fldChar w:fldCharType="begin"/>
      </w:r>
      <w:r>
        <w:instrText xml:space="preserve"> PAGEREF _Toc6826920 \h </w:instrText>
      </w:r>
      <w:r>
        <w:fldChar w:fldCharType="separate"/>
      </w:r>
      <w:r>
        <w:t>200</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10.1.5</w:t>
      </w:r>
      <w:r>
        <w:rPr>
          <w:rFonts w:ascii="Times New Roman" w:eastAsia="宋体"/>
          <w:color w:val="000000" w:themeColor="text1"/>
        </w:rPr>
        <w:t>生态环境保护措施</w:t>
      </w:r>
      <w:r>
        <w:tab/>
      </w:r>
      <w:r>
        <w:fldChar w:fldCharType="begin"/>
      </w:r>
      <w:r>
        <w:instrText xml:space="preserve"> PAGEREF _Toc6826921 \h </w:instrText>
      </w:r>
      <w:r>
        <w:fldChar w:fldCharType="separate"/>
      </w:r>
      <w:r>
        <w:t>200</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10.1.6</w:t>
      </w:r>
      <w:r>
        <w:rPr>
          <w:rFonts w:ascii="Times New Roman" w:eastAsia="宋体"/>
          <w:color w:val="000000" w:themeColor="text1"/>
        </w:rPr>
        <w:t>水土保持措施</w:t>
      </w:r>
      <w:r>
        <w:tab/>
      </w:r>
      <w:r>
        <w:fldChar w:fldCharType="begin"/>
      </w:r>
      <w:r>
        <w:instrText xml:space="preserve"> PAGEREF _Toc6826922 \h </w:instrText>
      </w:r>
      <w:r>
        <w:fldChar w:fldCharType="separate"/>
      </w:r>
      <w:r>
        <w:t>201</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10.1.7</w:t>
      </w:r>
      <w:r>
        <w:rPr>
          <w:rFonts w:ascii="Times New Roman" w:eastAsia="宋体"/>
          <w:color w:val="000000" w:themeColor="text1"/>
        </w:rPr>
        <w:t>其他防治措施</w:t>
      </w:r>
      <w:r>
        <w:tab/>
      </w:r>
      <w:r>
        <w:fldChar w:fldCharType="begin"/>
      </w:r>
      <w:r>
        <w:instrText xml:space="preserve"> PAGEREF _Toc6826923 \h </w:instrText>
      </w:r>
      <w:r>
        <w:fldChar w:fldCharType="separate"/>
      </w:r>
      <w:r>
        <w:t>201</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10.2</w:t>
      </w:r>
      <w:r>
        <w:rPr>
          <w:rFonts w:ascii="Times New Roman" w:eastAsia="宋体" w:hAnsi="Times New Roman"/>
          <w:bCs w:val="0"/>
          <w:color w:val="000000" w:themeColor="text1"/>
        </w:rPr>
        <w:t>运营期环境保护措施</w:t>
      </w:r>
      <w:r>
        <w:tab/>
      </w:r>
      <w:r>
        <w:fldChar w:fldCharType="begin"/>
      </w:r>
      <w:r>
        <w:instrText xml:space="preserve"> PAGEREF _Toc6826924 \h </w:instrText>
      </w:r>
      <w:r>
        <w:fldChar w:fldCharType="separate"/>
      </w:r>
      <w:r>
        <w:t>202</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10.2.1</w:t>
      </w:r>
      <w:r>
        <w:rPr>
          <w:rFonts w:ascii="Times New Roman" w:eastAsia="宋体"/>
          <w:color w:val="000000" w:themeColor="text1"/>
        </w:rPr>
        <w:t>废气污染防治措施</w:t>
      </w:r>
      <w:r>
        <w:tab/>
      </w:r>
      <w:r>
        <w:fldChar w:fldCharType="begin"/>
      </w:r>
      <w:r>
        <w:instrText xml:space="preserve"> PAGEREF _Toc6826925 \h </w:instrText>
      </w:r>
      <w:r>
        <w:fldChar w:fldCharType="separate"/>
      </w:r>
      <w:r>
        <w:t>202</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10.2.2</w:t>
      </w:r>
      <w:r>
        <w:rPr>
          <w:rFonts w:ascii="Times New Roman" w:eastAsia="宋体"/>
          <w:color w:val="000000" w:themeColor="text1"/>
        </w:rPr>
        <w:t>废水污染防治措施</w:t>
      </w:r>
      <w:r>
        <w:tab/>
      </w:r>
      <w:r>
        <w:fldChar w:fldCharType="begin"/>
      </w:r>
      <w:r>
        <w:instrText xml:space="preserve"> PAGEREF _Toc6826926 \h </w:instrText>
      </w:r>
      <w:r>
        <w:fldChar w:fldCharType="separate"/>
      </w:r>
      <w:r>
        <w:t>206</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10.2.3</w:t>
      </w:r>
      <w:r>
        <w:rPr>
          <w:rFonts w:ascii="Times New Roman" w:eastAsia="宋体"/>
          <w:color w:val="000000" w:themeColor="text1"/>
        </w:rPr>
        <w:t>噪声污染防治措施</w:t>
      </w:r>
      <w:r>
        <w:tab/>
      </w:r>
      <w:r>
        <w:fldChar w:fldCharType="begin"/>
      </w:r>
      <w:r>
        <w:instrText xml:space="preserve"> PAGEREF _Toc6826927 \h </w:instrText>
      </w:r>
      <w:r>
        <w:fldChar w:fldCharType="separate"/>
      </w:r>
      <w:r>
        <w:t>207</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10.2.4</w:t>
      </w:r>
      <w:r>
        <w:rPr>
          <w:rFonts w:ascii="Times New Roman" w:eastAsia="宋体"/>
          <w:color w:val="000000" w:themeColor="text1"/>
        </w:rPr>
        <w:t>固体废物污染防治措施</w:t>
      </w:r>
      <w:r>
        <w:tab/>
      </w:r>
      <w:r>
        <w:fldChar w:fldCharType="begin"/>
      </w:r>
      <w:r>
        <w:instrText xml:space="preserve"> PAGEREF _Toc6826928 \h </w:instrText>
      </w:r>
      <w:r>
        <w:fldChar w:fldCharType="separate"/>
      </w:r>
      <w:r>
        <w:t>207</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10.2.5</w:t>
      </w:r>
      <w:r>
        <w:rPr>
          <w:rFonts w:ascii="Times New Roman" w:eastAsia="宋体"/>
          <w:color w:val="000000" w:themeColor="text1"/>
        </w:rPr>
        <w:t>地下水污染防治措施</w:t>
      </w:r>
      <w:r>
        <w:tab/>
      </w:r>
      <w:r>
        <w:fldChar w:fldCharType="begin"/>
      </w:r>
      <w:r>
        <w:instrText xml:space="preserve"> PAGEREF _Toc6826929 \h </w:instrText>
      </w:r>
      <w:r>
        <w:fldChar w:fldCharType="separate"/>
      </w:r>
      <w:r>
        <w:t>207</w:t>
      </w:r>
      <w:r>
        <w:fldChar w:fldCharType="end"/>
      </w:r>
    </w:p>
    <w:p w:rsidR="00C861DA" w:rsidRDefault="0044752E">
      <w:pPr>
        <w:pStyle w:val="13"/>
        <w:tabs>
          <w:tab w:val="right" w:leader="dot" w:pos="8296"/>
        </w:tabs>
        <w:rPr>
          <w:rFonts w:asciiTheme="minorHAnsi" w:eastAsiaTheme="minorEastAsia"/>
          <w:b w:val="0"/>
          <w:bCs w:val="0"/>
          <w:caps w:val="0"/>
          <w:sz w:val="21"/>
          <w:szCs w:val="22"/>
        </w:rPr>
      </w:pPr>
      <w:r>
        <w:rPr>
          <w:rFonts w:ascii="Times New Roman" w:eastAsia="宋体"/>
          <w:color w:val="000000" w:themeColor="text1"/>
        </w:rPr>
        <w:t>11</w:t>
      </w:r>
      <w:r>
        <w:rPr>
          <w:rFonts w:ascii="Times New Roman" w:eastAsia="宋体"/>
          <w:color w:val="000000" w:themeColor="text1"/>
        </w:rPr>
        <w:t>、环境经济损益分析</w:t>
      </w:r>
      <w:r>
        <w:tab/>
      </w:r>
      <w:r>
        <w:fldChar w:fldCharType="begin"/>
      </w:r>
      <w:r>
        <w:instrText xml:space="preserve"> PAGEREF _Toc6826930 \h </w:instrText>
      </w:r>
      <w:r>
        <w:fldChar w:fldCharType="separate"/>
      </w:r>
      <w:r>
        <w:t>209</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11.1</w:t>
      </w:r>
      <w:r>
        <w:rPr>
          <w:rFonts w:ascii="Times New Roman" w:eastAsia="宋体" w:hAnsi="Times New Roman"/>
          <w:bCs w:val="0"/>
          <w:color w:val="000000" w:themeColor="text1"/>
        </w:rPr>
        <w:t>环境经济损益分析</w:t>
      </w:r>
      <w:r>
        <w:tab/>
      </w:r>
      <w:r>
        <w:fldChar w:fldCharType="begin"/>
      </w:r>
      <w:r>
        <w:instrText xml:space="preserve"> PAGEREF _Toc6826931 \h </w:instrText>
      </w:r>
      <w:r>
        <w:fldChar w:fldCharType="separate"/>
      </w:r>
      <w:r>
        <w:t>209</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11.1.1</w:t>
      </w:r>
      <w:r>
        <w:rPr>
          <w:rFonts w:ascii="Times New Roman" w:eastAsia="宋体"/>
          <w:color w:val="000000" w:themeColor="text1"/>
        </w:rPr>
        <w:t>环保投资概算</w:t>
      </w:r>
      <w:r>
        <w:tab/>
      </w:r>
      <w:r>
        <w:fldChar w:fldCharType="begin"/>
      </w:r>
      <w:r>
        <w:instrText xml:space="preserve"> PAGEREF _Toc6826932 \h </w:instrText>
      </w:r>
      <w:r>
        <w:fldChar w:fldCharType="separate"/>
      </w:r>
      <w:r>
        <w:t>209</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11.1.2</w:t>
      </w:r>
      <w:r>
        <w:rPr>
          <w:rFonts w:ascii="Times New Roman" w:eastAsia="宋体"/>
          <w:color w:val="000000" w:themeColor="text1"/>
        </w:rPr>
        <w:t>环境效益</w:t>
      </w:r>
      <w:r>
        <w:tab/>
      </w:r>
      <w:r>
        <w:fldChar w:fldCharType="begin"/>
      </w:r>
      <w:r>
        <w:instrText xml:space="preserve"> PAGEREF _Toc6826933 \h </w:instrText>
      </w:r>
      <w:r>
        <w:fldChar w:fldCharType="separate"/>
      </w:r>
      <w:r>
        <w:t>210</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11.2</w:t>
      </w:r>
      <w:r>
        <w:rPr>
          <w:rFonts w:ascii="Times New Roman" w:eastAsia="宋体" w:hAnsi="Times New Roman"/>
          <w:bCs w:val="0"/>
          <w:color w:val="000000" w:themeColor="text1"/>
        </w:rPr>
        <w:t>经济效益</w:t>
      </w:r>
      <w:r>
        <w:tab/>
      </w:r>
      <w:r>
        <w:fldChar w:fldCharType="begin"/>
      </w:r>
      <w:r>
        <w:instrText xml:space="preserve"> PAGEREF _Toc6826934 \h </w:instrText>
      </w:r>
      <w:r>
        <w:fldChar w:fldCharType="separate"/>
      </w:r>
      <w:r>
        <w:t>210</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lastRenderedPageBreak/>
        <w:t>11.3</w:t>
      </w:r>
      <w:r>
        <w:rPr>
          <w:rFonts w:ascii="Times New Roman" w:eastAsia="宋体" w:hAnsi="Times New Roman"/>
          <w:bCs w:val="0"/>
          <w:color w:val="000000" w:themeColor="text1"/>
        </w:rPr>
        <w:t>社会效益</w:t>
      </w:r>
      <w:r>
        <w:tab/>
      </w:r>
      <w:r>
        <w:fldChar w:fldCharType="begin"/>
      </w:r>
      <w:r>
        <w:instrText xml:space="preserve"> PAGEREF _Toc6826935 \h </w:instrText>
      </w:r>
      <w:r>
        <w:fldChar w:fldCharType="separate"/>
      </w:r>
      <w:r>
        <w:t>211</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11.4</w:t>
      </w:r>
      <w:r>
        <w:rPr>
          <w:rFonts w:ascii="Times New Roman" w:eastAsia="宋体" w:hAnsi="Times New Roman"/>
          <w:bCs w:val="0"/>
          <w:color w:val="000000" w:themeColor="text1"/>
        </w:rPr>
        <w:t>小</w:t>
      </w:r>
      <w:r>
        <w:rPr>
          <w:rFonts w:ascii="Times New Roman" w:eastAsia="宋体" w:hAnsi="Times New Roman"/>
          <w:bCs w:val="0"/>
          <w:color w:val="000000" w:themeColor="text1"/>
        </w:rPr>
        <w:t>结</w:t>
      </w:r>
      <w:r>
        <w:tab/>
      </w:r>
      <w:r>
        <w:fldChar w:fldCharType="begin"/>
      </w:r>
      <w:r>
        <w:instrText xml:space="preserve"> PAGEREF _Toc6826936 \h </w:instrText>
      </w:r>
      <w:r>
        <w:fldChar w:fldCharType="separate"/>
      </w:r>
      <w:r>
        <w:t>211</w:t>
      </w:r>
      <w:r>
        <w:fldChar w:fldCharType="end"/>
      </w:r>
    </w:p>
    <w:p w:rsidR="00C861DA" w:rsidRDefault="0044752E">
      <w:pPr>
        <w:pStyle w:val="13"/>
        <w:tabs>
          <w:tab w:val="right" w:leader="dot" w:pos="8296"/>
        </w:tabs>
        <w:rPr>
          <w:rFonts w:asciiTheme="minorHAnsi" w:eastAsiaTheme="minorEastAsia"/>
          <w:b w:val="0"/>
          <w:bCs w:val="0"/>
          <w:caps w:val="0"/>
          <w:sz w:val="21"/>
          <w:szCs w:val="22"/>
        </w:rPr>
      </w:pPr>
      <w:r>
        <w:rPr>
          <w:rFonts w:ascii="Times New Roman" w:eastAsia="宋体"/>
          <w:color w:val="000000" w:themeColor="text1"/>
        </w:rPr>
        <w:t>12</w:t>
      </w:r>
      <w:r>
        <w:rPr>
          <w:rFonts w:ascii="Times New Roman" w:eastAsia="宋体"/>
          <w:color w:val="000000" w:themeColor="text1"/>
        </w:rPr>
        <w:t>、环境管理与监测计划</w:t>
      </w:r>
      <w:r>
        <w:tab/>
      </w:r>
      <w:r>
        <w:fldChar w:fldCharType="begin"/>
      </w:r>
      <w:r>
        <w:instrText xml:space="preserve"> PAGEREF _Toc6826937 \h </w:instrText>
      </w:r>
      <w:r>
        <w:fldChar w:fldCharType="separate"/>
      </w:r>
      <w:r>
        <w:t>212</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12.1</w:t>
      </w:r>
      <w:r>
        <w:rPr>
          <w:rFonts w:ascii="Times New Roman" w:eastAsia="宋体" w:hAnsi="Times New Roman"/>
          <w:bCs w:val="0"/>
          <w:color w:val="000000" w:themeColor="text1"/>
        </w:rPr>
        <w:t>环境管理</w:t>
      </w:r>
      <w:r>
        <w:tab/>
      </w:r>
      <w:r>
        <w:fldChar w:fldCharType="begin"/>
      </w:r>
      <w:r>
        <w:instrText xml:space="preserve"> PAGEREF _Toc6826938 \h </w:instrText>
      </w:r>
      <w:r>
        <w:fldChar w:fldCharType="separate"/>
      </w:r>
      <w:r>
        <w:t>212</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12.1.1</w:t>
      </w:r>
      <w:r>
        <w:rPr>
          <w:rFonts w:ascii="Times New Roman" w:eastAsia="宋体"/>
          <w:color w:val="000000" w:themeColor="text1"/>
        </w:rPr>
        <w:t>施工期环境管理与监测</w:t>
      </w:r>
      <w:r>
        <w:tab/>
      </w:r>
      <w:r>
        <w:fldChar w:fldCharType="begin"/>
      </w:r>
      <w:r>
        <w:instrText xml:space="preserve"> PAGEREF _Toc6826939 \h </w:instrText>
      </w:r>
      <w:r>
        <w:fldChar w:fldCharType="separate"/>
      </w:r>
      <w:r>
        <w:t>212</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12.1.2</w:t>
      </w:r>
      <w:r>
        <w:rPr>
          <w:rFonts w:ascii="Times New Roman" w:eastAsia="宋体"/>
          <w:color w:val="000000" w:themeColor="text1"/>
        </w:rPr>
        <w:t>营运期环境管理</w:t>
      </w:r>
      <w:r>
        <w:tab/>
      </w:r>
      <w:r>
        <w:fldChar w:fldCharType="begin"/>
      </w:r>
      <w:r>
        <w:instrText xml:space="preserve"> PAGEREF _Toc6826940 \h </w:instrText>
      </w:r>
      <w:r>
        <w:fldChar w:fldCharType="separate"/>
      </w:r>
      <w:r>
        <w:t>212</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12.1.3</w:t>
      </w:r>
      <w:r>
        <w:rPr>
          <w:rFonts w:ascii="Times New Roman" w:eastAsia="宋体"/>
          <w:color w:val="000000" w:themeColor="text1"/>
        </w:rPr>
        <w:t>环境管理计划</w:t>
      </w:r>
      <w:r>
        <w:tab/>
      </w:r>
      <w:r>
        <w:fldChar w:fldCharType="begin"/>
      </w:r>
      <w:r>
        <w:instrText xml:space="preserve"> PAGEREF _Toc6826941 \h </w:instrText>
      </w:r>
      <w:r>
        <w:fldChar w:fldCharType="separate"/>
      </w:r>
      <w:r>
        <w:t>215</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12.1.4</w:t>
      </w:r>
      <w:r>
        <w:rPr>
          <w:rFonts w:ascii="Times New Roman" w:eastAsia="宋体"/>
          <w:color w:val="000000" w:themeColor="text1"/>
        </w:rPr>
        <w:t>排污口规范化管理</w:t>
      </w:r>
      <w:r>
        <w:tab/>
      </w:r>
      <w:r>
        <w:fldChar w:fldCharType="begin"/>
      </w:r>
      <w:r>
        <w:instrText xml:space="preserve"> PAGEREF _Toc6826942 \h </w:instrText>
      </w:r>
      <w:r>
        <w:fldChar w:fldCharType="separate"/>
      </w:r>
      <w:r>
        <w:t>215</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12.2</w:t>
      </w:r>
      <w:r>
        <w:rPr>
          <w:rFonts w:ascii="Times New Roman" w:eastAsia="宋体" w:hAnsi="Times New Roman"/>
          <w:bCs w:val="0"/>
          <w:color w:val="000000" w:themeColor="text1"/>
        </w:rPr>
        <w:t>环境监测计划</w:t>
      </w:r>
      <w:r>
        <w:tab/>
      </w:r>
      <w:r>
        <w:fldChar w:fldCharType="begin"/>
      </w:r>
      <w:r>
        <w:instrText xml:space="preserve"> PAGER</w:instrText>
      </w:r>
      <w:r>
        <w:instrText xml:space="preserve">EF _Toc6826943 \h </w:instrText>
      </w:r>
      <w:r>
        <w:fldChar w:fldCharType="separate"/>
      </w:r>
      <w:r>
        <w:t>217</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12.2.1</w:t>
      </w:r>
      <w:r>
        <w:rPr>
          <w:rFonts w:ascii="Times New Roman" w:eastAsia="宋体"/>
          <w:color w:val="000000" w:themeColor="text1"/>
        </w:rPr>
        <w:t>监测目的和原则</w:t>
      </w:r>
      <w:r>
        <w:tab/>
      </w:r>
      <w:r>
        <w:fldChar w:fldCharType="begin"/>
      </w:r>
      <w:r>
        <w:instrText xml:space="preserve"> PAGEREF _Toc6826944 \h </w:instrText>
      </w:r>
      <w:r>
        <w:fldChar w:fldCharType="separate"/>
      </w:r>
      <w:r>
        <w:t>217</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12.2.2</w:t>
      </w:r>
      <w:r>
        <w:rPr>
          <w:rFonts w:ascii="Times New Roman" w:eastAsia="宋体"/>
          <w:color w:val="000000" w:themeColor="text1"/>
        </w:rPr>
        <w:t>环境监测机构设置</w:t>
      </w:r>
      <w:r>
        <w:tab/>
      </w:r>
      <w:r>
        <w:fldChar w:fldCharType="begin"/>
      </w:r>
      <w:r>
        <w:instrText xml:space="preserve"> PAGEREF _Toc6826945 \h </w:instrText>
      </w:r>
      <w:r>
        <w:fldChar w:fldCharType="separate"/>
      </w:r>
      <w:r>
        <w:t>217</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12.2.3</w:t>
      </w:r>
      <w:r>
        <w:rPr>
          <w:rFonts w:ascii="Times New Roman" w:eastAsia="宋体"/>
          <w:color w:val="000000" w:themeColor="text1"/>
        </w:rPr>
        <w:t>监测计划</w:t>
      </w:r>
      <w:r>
        <w:tab/>
      </w:r>
      <w:r>
        <w:fldChar w:fldCharType="begin"/>
      </w:r>
      <w:r>
        <w:instrText xml:space="preserve"> PAGEREF _Toc6826946 \h </w:instrText>
      </w:r>
      <w:r>
        <w:fldChar w:fldCharType="separate"/>
      </w:r>
      <w:r>
        <w:t>217</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12.3</w:t>
      </w:r>
      <w:r>
        <w:rPr>
          <w:rFonts w:ascii="Times New Roman" w:eastAsia="宋体" w:hAnsi="Times New Roman"/>
          <w:bCs w:val="0"/>
          <w:color w:val="000000" w:themeColor="text1"/>
        </w:rPr>
        <w:t>竣工验收</w:t>
      </w:r>
      <w:r>
        <w:tab/>
      </w:r>
      <w:r>
        <w:fldChar w:fldCharType="begin"/>
      </w:r>
      <w:r>
        <w:instrText xml:space="preserve"> PAGEREF _Toc6826947 \h </w:instrText>
      </w:r>
      <w:r>
        <w:fldChar w:fldCharType="separate"/>
      </w:r>
      <w:r>
        <w:t>218</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12.3.1</w:t>
      </w:r>
      <w:r>
        <w:rPr>
          <w:rFonts w:ascii="Times New Roman" w:eastAsia="宋体"/>
          <w:color w:val="000000" w:themeColor="text1"/>
        </w:rPr>
        <w:t>环境工程设计与验收重点</w:t>
      </w:r>
      <w:r>
        <w:tab/>
      </w:r>
      <w:r>
        <w:fldChar w:fldCharType="begin"/>
      </w:r>
      <w:r>
        <w:instrText xml:space="preserve"> PAGEREF _Toc6826948 \h </w:instrText>
      </w:r>
      <w:r>
        <w:fldChar w:fldCharType="separate"/>
      </w:r>
      <w:r>
        <w:t>218</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12.3.2</w:t>
      </w:r>
      <w:r>
        <w:rPr>
          <w:rFonts w:ascii="Times New Roman" w:eastAsia="宋体"/>
          <w:color w:val="000000" w:themeColor="text1"/>
        </w:rPr>
        <w:t>环保设施竣工验收建议</w:t>
      </w:r>
      <w:r>
        <w:tab/>
      </w:r>
      <w:r>
        <w:fldChar w:fldCharType="begin"/>
      </w:r>
      <w:r>
        <w:instrText xml:space="preserve"> PAGEREF _Toc6826949 \h </w:instrText>
      </w:r>
      <w:r>
        <w:fldChar w:fldCharType="separate"/>
      </w:r>
      <w:r>
        <w:t>218</w:t>
      </w:r>
      <w:r>
        <w:fldChar w:fldCharType="end"/>
      </w:r>
    </w:p>
    <w:p w:rsidR="00C861DA" w:rsidRDefault="0044752E">
      <w:pPr>
        <w:pStyle w:val="13"/>
        <w:tabs>
          <w:tab w:val="right" w:leader="dot" w:pos="8296"/>
        </w:tabs>
        <w:rPr>
          <w:rFonts w:asciiTheme="minorHAnsi" w:eastAsiaTheme="minorEastAsia"/>
          <w:b w:val="0"/>
          <w:bCs w:val="0"/>
          <w:caps w:val="0"/>
          <w:sz w:val="21"/>
          <w:szCs w:val="22"/>
        </w:rPr>
      </w:pPr>
      <w:r>
        <w:rPr>
          <w:rFonts w:ascii="Times New Roman" w:eastAsia="宋体"/>
          <w:color w:val="000000" w:themeColor="text1"/>
        </w:rPr>
        <w:t>13</w:t>
      </w:r>
      <w:r>
        <w:rPr>
          <w:rFonts w:ascii="Times New Roman" w:eastAsia="宋体"/>
          <w:color w:val="000000" w:themeColor="text1"/>
        </w:rPr>
        <w:t>、污染物总量控制</w:t>
      </w:r>
      <w:r>
        <w:tab/>
      </w:r>
      <w:r>
        <w:fldChar w:fldCharType="begin"/>
      </w:r>
      <w:r>
        <w:instrText xml:space="preserve"> PAGEREF _Toc6826950 \h </w:instrText>
      </w:r>
      <w:r>
        <w:fldChar w:fldCharType="separate"/>
      </w:r>
      <w:r>
        <w:t>221</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13.1</w:t>
      </w:r>
      <w:r>
        <w:rPr>
          <w:rFonts w:ascii="Times New Roman" w:eastAsia="宋体" w:hAnsi="Times New Roman"/>
          <w:bCs w:val="0"/>
          <w:color w:val="000000" w:themeColor="text1"/>
        </w:rPr>
        <w:t>总量控制基本原则</w:t>
      </w:r>
      <w:r>
        <w:tab/>
      </w:r>
      <w:r>
        <w:fldChar w:fldCharType="begin"/>
      </w:r>
      <w:r>
        <w:instrText xml:space="preserve"> PAGEREF _Toc6826951 \h </w:instrText>
      </w:r>
      <w:r>
        <w:fldChar w:fldCharType="separate"/>
      </w:r>
      <w:r>
        <w:t>221</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13.2</w:t>
      </w:r>
      <w:r>
        <w:rPr>
          <w:rFonts w:ascii="Times New Roman" w:eastAsia="宋体" w:hAnsi="Times New Roman"/>
          <w:bCs w:val="0"/>
          <w:color w:val="000000" w:themeColor="text1"/>
        </w:rPr>
        <w:t>总量控制指标分析</w:t>
      </w:r>
      <w:r>
        <w:tab/>
      </w:r>
      <w:r>
        <w:fldChar w:fldCharType="begin"/>
      </w:r>
      <w:r>
        <w:instrText xml:space="preserve"> PAGEREF _Toc6826952 \h </w:instrText>
      </w:r>
      <w:r>
        <w:fldChar w:fldCharType="separate"/>
      </w:r>
      <w:r>
        <w:t>221</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lastRenderedPageBreak/>
        <w:t>13.3</w:t>
      </w:r>
      <w:r>
        <w:rPr>
          <w:rFonts w:ascii="Times New Roman" w:eastAsia="宋体" w:hAnsi="Times New Roman"/>
          <w:bCs w:val="0"/>
          <w:color w:val="000000" w:themeColor="text1"/>
        </w:rPr>
        <w:t>建设项目污染物总量控制指标</w:t>
      </w:r>
      <w:r>
        <w:tab/>
      </w:r>
      <w:r>
        <w:fldChar w:fldCharType="begin"/>
      </w:r>
      <w:r>
        <w:instrText xml:space="preserve"> PAGEREF _Toc6826953 \h </w:instrText>
      </w:r>
      <w:r>
        <w:fldChar w:fldCharType="separate"/>
      </w:r>
      <w:r>
        <w:t>221</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13.4</w:t>
      </w:r>
      <w:r>
        <w:rPr>
          <w:rFonts w:ascii="Times New Roman" w:eastAsia="宋体" w:hAnsi="Times New Roman"/>
          <w:bCs w:val="0"/>
          <w:color w:val="000000" w:themeColor="text1"/>
        </w:rPr>
        <w:t>污染物总量控制分析</w:t>
      </w:r>
      <w:r>
        <w:tab/>
      </w:r>
      <w:r>
        <w:fldChar w:fldCharType="begin"/>
      </w:r>
      <w:r>
        <w:instrText xml:space="preserve"> PAGEREF _Toc6826954 \h </w:instrText>
      </w:r>
      <w:r>
        <w:fldChar w:fldCharType="separate"/>
      </w:r>
      <w:r>
        <w:t>226</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13.4.1</w:t>
      </w:r>
      <w:r>
        <w:rPr>
          <w:rFonts w:ascii="Times New Roman" w:eastAsia="宋体"/>
          <w:color w:val="000000" w:themeColor="text1"/>
        </w:rPr>
        <w:t>大气污染物总量控制分析</w:t>
      </w:r>
      <w:r>
        <w:tab/>
      </w:r>
      <w:r>
        <w:fldChar w:fldCharType="begin"/>
      </w:r>
      <w:r>
        <w:instrText xml:space="preserve"> PAGEREF _Toc6826955 \h </w:instrText>
      </w:r>
      <w:r>
        <w:fldChar w:fldCharType="separate"/>
      </w:r>
      <w:r>
        <w:t>226</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13.4.2</w:t>
      </w:r>
      <w:r>
        <w:rPr>
          <w:rFonts w:ascii="Times New Roman" w:eastAsia="宋体"/>
          <w:color w:val="000000" w:themeColor="text1"/>
        </w:rPr>
        <w:t>水污染物总量控制分析</w:t>
      </w:r>
      <w:r>
        <w:tab/>
      </w:r>
      <w:r>
        <w:fldChar w:fldCharType="begin"/>
      </w:r>
      <w:r>
        <w:instrText xml:space="preserve"> PAGEREF _Toc6826956 \h </w:instrText>
      </w:r>
      <w:r>
        <w:fldChar w:fldCharType="separate"/>
      </w:r>
      <w:r>
        <w:t>226</w:t>
      </w:r>
      <w:r>
        <w:fldChar w:fldCharType="end"/>
      </w:r>
    </w:p>
    <w:p w:rsidR="00C861DA" w:rsidRDefault="0044752E">
      <w:pPr>
        <w:pStyle w:val="37"/>
        <w:tabs>
          <w:tab w:val="right" w:leader="dot" w:pos="8296"/>
        </w:tabs>
        <w:rPr>
          <w:rFonts w:eastAsiaTheme="minorEastAsia"/>
          <w:sz w:val="21"/>
          <w:szCs w:val="22"/>
        </w:rPr>
      </w:pPr>
      <w:r>
        <w:rPr>
          <w:rFonts w:ascii="Times New Roman" w:eastAsia="宋体"/>
          <w:color w:val="000000" w:themeColor="text1"/>
        </w:rPr>
        <w:t>13.4.3</w:t>
      </w:r>
      <w:r>
        <w:rPr>
          <w:rFonts w:ascii="Times New Roman" w:eastAsia="宋体"/>
          <w:color w:val="000000" w:themeColor="text1"/>
        </w:rPr>
        <w:t>工业固体废物总量控制分析</w:t>
      </w:r>
      <w:r>
        <w:tab/>
      </w:r>
      <w:r>
        <w:fldChar w:fldCharType="begin"/>
      </w:r>
      <w:r>
        <w:instrText xml:space="preserve"> PAGEREF _Toc6826957 \h </w:instrText>
      </w:r>
      <w:r>
        <w:fldChar w:fldCharType="separate"/>
      </w:r>
      <w:r>
        <w:t>226</w:t>
      </w:r>
      <w:r>
        <w:fldChar w:fldCharType="end"/>
      </w:r>
    </w:p>
    <w:p w:rsidR="00C861DA" w:rsidRDefault="0044752E">
      <w:pPr>
        <w:pStyle w:val="13"/>
        <w:tabs>
          <w:tab w:val="right" w:leader="dot" w:pos="8296"/>
        </w:tabs>
        <w:rPr>
          <w:rFonts w:asciiTheme="minorHAnsi" w:eastAsiaTheme="minorEastAsia"/>
          <w:b w:val="0"/>
          <w:bCs w:val="0"/>
          <w:caps w:val="0"/>
          <w:sz w:val="21"/>
          <w:szCs w:val="22"/>
        </w:rPr>
      </w:pPr>
      <w:r>
        <w:rPr>
          <w:rFonts w:ascii="Times New Roman" w:eastAsia="宋体"/>
          <w:color w:val="000000" w:themeColor="text1"/>
        </w:rPr>
        <w:t>14</w:t>
      </w:r>
      <w:r>
        <w:rPr>
          <w:rFonts w:ascii="Times New Roman" w:eastAsia="宋体"/>
          <w:color w:val="000000" w:themeColor="text1"/>
        </w:rPr>
        <w:t>、结论</w:t>
      </w:r>
      <w:r>
        <w:tab/>
      </w:r>
      <w:r>
        <w:fldChar w:fldCharType="begin"/>
      </w:r>
      <w:r>
        <w:instrText xml:space="preserve"> PAGEREF _Toc6826958 \h </w:instrText>
      </w:r>
      <w:r>
        <w:fldChar w:fldCharType="separate"/>
      </w:r>
      <w:r>
        <w:t>227</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14.1</w:t>
      </w:r>
      <w:r>
        <w:rPr>
          <w:rFonts w:ascii="Times New Roman" w:eastAsia="宋体" w:hAnsi="Times New Roman"/>
          <w:bCs w:val="0"/>
          <w:color w:val="000000" w:themeColor="text1"/>
        </w:rPr>
        <w:t>产业政策相符性</w:t>
      </w:r>
      <w:r>
        <w:tab/>
      </w:r>
      <w:r>
        <w:fldChar w:fldCharType="begin"/>
      </w:r>
      <w:r>
        <w:instrText xml:space="preserve"> PAGEREF _Toc6826959 \h </w:instrText>
      </w:r>
      <w:r>
        <w:fldChar w:fldCharType="separate"/>
      </w:r>
      <w:r>
        <w:t>227</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14.2</w:t>
      </w:r>
      <w:r>
        <w:rPr>
          <w:rFonts w:ascii="Times New Roman" w:eastAsia="宋体" w:hAnsi="Times New Roman"/>
          <w:bCs w:val="0"/>
          <w:color w:val="000000" w:themeColor="text1"/>
        </w:rPr>
        <w:t>选址合理性</w:t>
      </w:r>
      <w:r>
        <w:tab/>
      </w:r>
      <w:r>
        <w:fldChar w:fldCharType="begin"/>
      </w:r>
      <w:r>
        <w:instrText xml:space="preserve"> PAGEREF _Toc6826960 \h </w:instrText>
      </w:r>
      <w:r>
        <w:fldChar w:fldCharType="separate"/>
      </w:r>
      <w:r>
        <w:t>227</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14.3</w:t>
      </w:r>
      <w:r>
        <w:rPr>
          <w:rFonts w:ascii="Times New Roman" w:eastAsia="宋体" w:hAnsi="Times New Roman"/>
          <w:bCs w:val="0"/>
          <w:color w:val="000000" w:themeColor="text1"/>
        </w:rPr>
        <w:t>环境质量现状</w:t>
      </w:r>
      <w:r>
        <w:tab/>
      </w:r>
      <w:r>
        <w:fldChar w:fldCharType="begin"/>
      </w:r>
      <w:r>
        <w:instrText xml:space="preserve"> PAGEREF _Toc6826961 \h </w:instrText>
      </w:r>
      <w:r>
        <w:fldChar w:fldCharType="separate"/>
      </w:r>
      <w:r>
        <w:t>227</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14.4</w:t>
      </w:r>
      <w:r>
        <w:rPr>
          <w:rFonts w:ascii="Times New Roman" w:eastAsia="宋体" w:hAnsi="Times New Roman"/>
          <w:bCs w:val="0"/>
          <w:color w:val="000000" w:themeColor="text1"/>
        </w:rPr>
        <w:t>污染物排放达标情况</w:t>
      </w:r>
      <w:r>
        <w:tab/>
      </w:r>
      <w:r>
        <w:fldChar w:fldCharType="begin"/>
      </w:r>
      <w:r>
        <w:instrText xml:space="preserve"> PAGEREF _Toc6826962 \h </w:instrText>
      </w:r>
      <w:r>
        <w:fldChar w:fldCharType="separate"/>
      </w:r>
      <w:r>
        <w:t>228</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14.5</w:t>
      </w:r>
      <w:r>
        <w:rPr>
          <w:rFonts w:ascii="Times New Roman" w:eastAsia="宋体" w:hAnsi="Times New Roman"/>
          <w:bCs w:val="0"/>
          <w:color w:val="000000" w:themeColor="text1"/>
        </w:rPr>
        <w:t>项目建设对环境的影响</w:t>
      </w:r>
      <w:r>
        <w:tab/>
      </w:r>
      <w:r>
        <w:fldChar w:fldCharType="begin"/>
      </w:r>
      <w:r>
        <w:instrText xml:space="preserve"> PAGEREF _Toc6826963 \h </w:instrText>
      </w:r>
      <w:r>
        <w:fldChar w:fldCharType="separate"/>
      </w:r>
      <w:r>
        <w:t>229</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14.6</w:t>
      </w:r>
      <w:r>
        <w:rPr>
          <w:rFonts w:ascii="Times New Roman" w:eastAsia="宋体" w:hAnsi="Times New Roman"/>
          <w:bCs w:val="0"/>
          <w:color w:val="000000" w:themeColor="text1"/>
        </w:rPr>
        <w:t>公众参与</w:t>
      </w:r>
      <w:r>
        <w:tab/>
      </w:r>
      <w:r>
        <w:fldChar w:fldCharType="begin"/>
      </w:r>
      <w:r>
        <w:instrText xml:space="preserve"> PAGEREF _Toc6826964 \h </w:instrText>
      </w:r>
      <w:r>
        <w:fldChar w:fldCharType="separate"/>
      </w:r>
      <w:r>
        <w:t>231</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14.7</w:t>
      </w:r>
      <w:r>
        <w:rPr>
          <w:rFonts w:ascii="Times New Roman" w:eastAsia="宋体" w:hAnsi="Times New Roman"/>
          <w:bCs w:val="0"/>
          <w:color w:val="000000" w:themeColor="text1"/>
        </w:rPr>
        <w:t>污染物总量控制</w:t>
      </w:r>
      <w:r>
        <w:tab/>
      </w:r>
      <w:r>
        <w:fldChar w:fldCharType="begin"/>
      </w:r>
      <w:r>
        <w:instrText xml:space="preserve"> PAGEREF _Toc6826965 \h </w:instrText>
      </w:r>
      <w:r>
        <w:fldChar w:fldCharType="separate"/>
      </w:r>
      <w:r>
        <w:t>231</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14.8</w:t>
      </w:r>
      <w:r>
        <w:rPr>
          <w:rFonts w:ascii="Times New Roman" w:eastAsia="宋体" w:hAnsi="Times New Roman"/>
          <w:bCs w:val="0"/>
          <w:color w:val="000000" w:themeColor="text1"/>
        </w:rPr>
        <w:t>总结论</w:t>
      </w:r>
      <w:r>
        <w:tab/>
      </w:r>
      <w:r>
        <w:fldChar w:fldCharType="begin"/>
      </w:r>
      <w:r>
        <w:instrText xml:space="preserve"> PAGEREF _Toc6826966 \h </w:instrText>
      </w:r>
      <w:r>
        <w:fldChar w:fldCharType="separate"/>
      </w:r>
      <w:r>
        <w:t>231</w:t>
      </w:r>
      <w:r>
        <w:fldChar w:fldCharType="end"/>
      </w:r>
    </w:p>
    <w:p w:rsidR="00C861DA" w:rsidRDefault="0044752E">
      <w:pPr>
        <w:pStyle w:val="26"/>
        <w:tabs>
          <w:tab w:val="right" w:leader="dot" w:pos="8296"/>
        </w:tabs>
        <w:rPr>
          <w:rFonts w:eastAsiaTheme="minorEastAsia"/>
          <w:b w:val="0"/>
          <w:bCs w:val="0"/>
          <w:sz w:val="21"/>
          <w:szCs w:val="22"/>
        </w:rPr>
      </w:pPr>
      <w:r>
        <w:rPr>
          <w:rFonts w:ascii="Times New Roman" w:eastAsia="宋体" w:hAnsi="Times New Roman"/>
          <w:bCs w:val="0"/>
          <w:color w:val="000000" w:themeColor="text1"/>
        </w:rPr>
        <w:t>14.9</w:t>
      </w:r>
      <w:r>
        <w:rPr>
          <w:rFonts w:ascii="Times New Roman" w:eastAsia="宋体" w:hAnsi="Times New Roman"/>
          <w:bCs w:val="0"/>
          <w:color w:val="000000" w:themeColor="text1"/>
        </w:rPr>
        <w:t>建议</w:t>
      </w:r>
      <w:r>
        <w:tab/>
      </w:r>
      <w:r>
        <w:fldChar w:fldCharType="begin"/>
      </w:r>
      <w:r>
        <w:instrText xml:space="preserve"> PAGEREF _Toc6826967 \h </w:instrText>
      </w:r>
      <w:r>
        <w:fldChar w:fldCharType="separate"/>
      </w:r>
      <w:r>
        <w:t>231</w:t>
      </w:r>
      <w:r>
        <w:fldChar w:fldCharType="end"/>
      </w:r>
    </w:p>
    <w:p w:rsidR="00C861DA" w:rsidRDefault="0044752E">
      <w:pPr>
        <w:sectPr w:rsidR="00C861DA">
          <w:footerReference w:type="default" r:id="rId12"/>
          <w:pgSz w:w="11906" w:h="16838"/>
          <w:pgMar w:top="1440" w:right="1800" w:bottom="1440" w:left="1800" w:header="851" w:footer="992" w:gutter="0"/>
          <w:cols w:space="425"/>
          <w:docGrid w:type="lines" w:linePitch="312"/>
        </w:sectPr>
      </w:pPr>
      <w:r>
        <w:fldChar w:fldCharType="end"/>
      </w:r>
    </w:p>
    <w:p w:rsidR="00C861DA" w:rsidRDefault="00C861DA"/>
    <w:p w:rsidR="00C861DA" w:rsidRDefault="00C861DA">
      <w:pPr>
        <w:pStyle w:val="21"/>
        <w:sectPr w:rsidR="00C861DA">
          <w:pgSz w:w="11906" w:h="16838"/>
          <w:pgMar w:top="1440" w:right="1800" w:bottom="1440" w:left="1800" w:header="851" w:footer="992" w:gutter="0"/>
          <w:cols w:space="425"/>
          <w:docGrid w:type="lines" w:linePitch="312"/>
        </w:sectPr>
      </w:pPr>
    </w:p>
    <w:p w:rsidR="00C861DA" w:rsidRDefault="0044752E">
      <w:pPr>
        <w:pStyle w:val="12"/>
        <w:jc w:val="center"/>
        <w:rPr>
          <w:rFonts w:ascii="Times New Roman" w:eastAsia="宋体"/>
          <w:b/>
          <w:color w:val="000000" w:themeColor="text1"/>
          <w:sz w:val="28"/>
          <w:szCs w:val="24"/>
        </w:rPr>
      </w:pPr>
      <w:bookmarkStart w:id="7" w:name="_Toc6826745"/>
      <w:r>
        <w:rPr>
          <w:rFonts w:ascii="Times New Roman" w:eastAsia="宋体" w:hint="eastAsia"/>
          <w:b/>
          <w:color w:val="000000" w:themeColor="text1"/>
          <w:sz w:val="28"/>
          <w:szCs w:val="24"/>
        </w:rPr>
        <w:lastRenderedPageBreak/>
        <w:t>1</w:t>
      </w:r>
      <w:r>
        <w:rPr>
          <w:rFonts w:ascii="Times New Roman" w:eastAsia="宋体" w:hint="eastAsia"/>
          <w:b/>
          <w:color w:val="000000" w:themeColor="text1"/>
          <w:sz w:val="28"/>
          <w:szCs w:val="24"/>
        </w:rPr>
        <w:t>、概述</w:t>
      </w:r>
      <w:bookmarkEnd w:id="3"/>
      <w:bookmarkEnd w:id="4"/>
      <w:bookmarkEnd w:id="5"/>
      <w:bookmarkEnd w:id="6"/>
      <w:bookmarkEnd w:id="7"/>
    </w:p>
    <w:p w:rsidR="00C861DA" w:rsidRDefault="0044752E">
      <w:pPr>
        <w:pStyle w:val="22"/>
        <w:rPr>
          <w:rFonts w:ascii="Times New Roman" w:eastAsia="宋体" w:hAnsi="Times New Roman"/>
          <w:bCs w:val="0"/>
          <w:color w:val="000000" w:themeColor="text1"/>
          <w:sz w:val="28"/>
          <w:szCs w:val="28"/>
        </w:rPr>
      </w:pPr>
      <w:bookmarkStart w:id="8" w:name="_Toc18618"/>
      <w:bookmarkStart w:id="9" w:name="_Toc30433"/>
      <w:bookmarkStart w:id="10" w:name="_Toc6826746"/>
      <w:bookmarkStart w:id="11" w:name="_Toc17657"/>
      <w:bookmarkStart w:id="12" w:name="_Toc17559"/>
      <w:r>
        <w:rPr>
          <w:rFonts w:ascii="Times New Roman" w:eastAsia="宋体" w:hAnsi="Times New Roman"/>
          <w:bCs w:val="0"/>
          <w:color w:val="000000" w:themeColor="text1"/>
          <w:sz w:val="28"/>
          <w:szCs w:val="28"/>
        </w:rPr>
        <w:t>1.1</w:t>
      </w:r>
      <w:r>
        <w:rPr>
          <w:rFonts w:ascii="Times New Roman" w:eastAsia="宋体" w:hAnsi="Times New Roman"/>
          <w:bCs w:val="0"/>
          <w:color w:val="000000" w:themeColor="text1"/>
          <w:sz w:val="28"/>
          <w:szCs w:val="28"/>
        </w:rPr>
        <w:t>项目背景及特点</w:t>
      </w:r>
      <w:bookmarkEnd w:id="8"/>
      <w:bookmarkEnd w:id="9"/>
      <w:bookmarkEnd w:id="10"/>
      <w:bookmarkEnd w:id="11"/>
      <w:bookmarkEnd w:id="12"/>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color w:val="000000" w:themeColor="text1"/>
          <w:sz w:val="24"/>
          <w:szCs w:val="24"/>
        </w:rPr>
        <w:t>复合高效是化肥行业发展方向，化肥复合化率则是衡量一个国家化肥工业发展水平和农业发展水平的重要标志。</w:t>
      </w:r>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color w:val="000000" w:themeColor="text1"/>
          <w:sz w:val="24"/>
          <w:szCs w:val="24"/>
        </w:rPr>
        <w:t>在我国这样一个用占世界</w:t>
      </w:r>
      <w:r>
        <w:rPr>
          <w:rFonts w:ascii="Times New Roman" w:eastAsia="宋体"/>
          <w:color w:val="000000" w:themeColor="text1"/>
          <w:sz w:val="24"/>
          <w:szCs w:val="24"/>
        </w:rPr>
        <w:t>7%</w:t>
      </w:r>
      <w:r>
        <w:rPr>
          <w:rFonts w:ascii="Times New Roman" w:eastAsia="宋体"/>
          <w:color w:val="000000" w:themeColor="text1"/>
          <w:sz w:val="24"/>
          <w:szCs w:val="24"/>
        </w:rPr>
        <w:t>的耕地养活占世界</w:t>
      </w:r>
      <w:r>
        <w:rPr>
          <w:rFonts w:ascii="Times New Roman" w:eastAsia="宋体"/>
          <w:color w:val="000000" w:themeColor="text1"/>
          <w:sz w:val="24"/>
          <w:szCs w:val="24"/>
        </w:rPr>
        <w:t>22%</w:t>
      </w:r>
      <w:r>
        <w:rPr>
          <w:rFonts w:ascii="Times New Roman" w:eastAsia="宋体"/>
          <w:color w:val="000000" w:themeColor="text1"/>
          <w:sz w:val="24"/>
          <w:szCs w:val="24"/>
        </w:rPr>
        <w:t>人口的大国，化肥的发展满足不了农业发展的需求。从世界复合肥料产量占化肥总产量的比例来看，复合肥料产量约占</w:t>
      </w:r>
      <w:r>
        <w:rPr>
          <w:rFonts w:ascii="Times New Roman" w:eastAsia="宋体"/>
          <w:color w:val="000000" w:themeColor="text1"/>
          <w:sz w:val="24"/>
          <w:szCs w:val="24"/>
        </w:rPr>
        <w:t>30%</w:t>
      </w:r>
      <w:r>
        <w:rPr>
          <w:rFonts w:ascii="Times New Roman" w:eastAsia="宋体"/>
          <w:color w:val="000000" w:themeColor="text1"/>
          <w:sz w:val="24"/>
          <w:szCs w:val="24"/>
        </w:rPr>
        <w:t>。一些发达国家复合肥料产量占化肥总产量的比例则高达</w:t>
      </w:r>
      <w:r>
        <w:rPr>
          <w:rFonts w:ascii="Times New Roman" w:eastAsia="宋体"/>
          <w:color w:val="000000" w:themeColor="text1"/>
          <w:sz w:val="24"/>
          <w:szCs w:val="24"/>
        </w:rPr>
        <w:t>70%~80%</w:t>
      </w:r>
      <w:r>
        <w:rPr>
          <w:rFonts w:ascii="Times New Roman" w:eastAsia="宋体"/>
          <w:color w:val="000000" w:themeColor="text1"/>
          <w:sz w:val="24"/>
          <w:szCs w:val="24"/>
        </w:rPr>
        <w:t>。依据国家绿色农业发展的相关政策，因而大力发展绿色有机</w:t>
      </w:r>
      <w:r>
        <w:rPr>
          <w:rFonts w:ascii="Times New Roman" w:eastAsia="宋体"/>
          <w:color w:val="000000" w:themeColor="text1"/>
          <w:sz w:val="24"/>
          <w:szCs w:val="24"/>
        </w:rPr>
        <w:t>NPK</w:t>
      </w:r>
      <w:r>
        <w:rPr>
          <w:rFonts w:ascii="Times New Roman" w:eastAsia="宋体"/>
          <w:color w:val="000000" w:themeColor="text1"/>
          <w:sz w:val="24"/>
          <w:szCs w:val="24"/>
        </w:rPr>
        <w:t>复合肥料生产，是摆在化肥企业面前一项艰巨的任务。发展绿色有机复合肥生产，产品市场前景十分广阔。</w:t>
      </w:r>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color w:val="000000" w:themeColor="text1"/>
          <w:sz w:val="24"/>
          <w:szCs w:val="24"/>
        </w:rPr>
        <w:t>云南蔬菜种植面积</w:t>
      </w:r>
      <w:r>
        <w:rPr>
          <w:rFonts w:ascii="Times New Roman" w:eastAsia="宋体"/>
          <w:color w:val="000000" w:themeColor="text1"/>
          <w:sz w:val="24"/>
          <w:szCs w:val="24"/>
        </w:rPr>
        <w:t>1351</w:t>
      </w:r>
      <w:r>
        <w:rPr>
          <w:rFonts w:ascii="Times New Roman" w:eastAsia="宋体"/>
          <w:color w:val="000000" w:themeColor="text1"/>
          <w:sz w:val="24"/>
          <w:szCs w:val="24"/>
        </w:rPr>
        <w:t>万亩，水果</w:t>
      </w:r>
      <w:r>
        <w:rPr>
          <w:rFonts w:ascii="Times New Roman" w:eastAsia="宋体"/>
          <w:color w:val="000000" w:themeColor="text1"/>
          <w:sz w:val="24"/>
          <w:szCs w:val="24"/>
        </w:rPr>
        <w:t>650</w:t>
      </w:r>
      <w:r>
        <w:rPr>
          <w:rFonts w:ascii="Times New Roman" w:eastAsia="宋体"/>
          <w:color w:val="000000" w:themeColor="text1"/>
          <w:sz w:val="24"/>
          <w:szCs w:val="24"/>
        </w:rPr>
        <w:t>多万亩、甘蔗</w:t>
      </w:r>
      <w:r>
        <w:rPr>
          <w:rFonts w:ascii="Times New Roman" w:eastAsia="宋体"/>
          <w:color w:val="000000" w:themeColor="text1"/>
          <w:sz w:val="24"/>
          <w:szCs w:val="24"/>
        </w:rPr>
        <w:t>520</w:t>
      </w:r>
      <w:r>
        <w:rPr>
          <w:rFonts w:ascii="Times New Roman" w:eastAsia="宋体"/>
          <w:color w:val="000000" w:themeColor="text1"/>
          <w:sz w:val="24"/>
          <w:szCs w:val="24"/>
        </w:rPr>
        <w:t>多万亩，再加上全国独一无二的三七种植，特别是从</w:t>
      </w:r>
      <w:r>
        <w:rPr>
          <w:rFonts w:ascii="Times New Roman" w:eastAsia="宋体"/>
          <w:color w:val="000000" w:themeColor="text1"/>
          <w:sz w:val="24"/>
          <w:szCs w:val="24"/>
        </w:rPr>
        <w:t>2011</w:t>
      </w:r>
      <w:r>
        <w:rPr>
          <w:rFonts w:ascii="Times New Roman" w:eastAsia="宋体"/>
          <w:color w:val="000000" w:themeColor="text1"/>
          <w:sz w:val="24"/>
          <w:szCs w:val="24"/>
        </w:rPr>
        <w:t>年开始，云南开始大面积</w:t>
      </w:r>
      <w:r>
        <w:rPr>
          <w:rFonts w:ascii="Times New Roman" w:eastAsia="宋体"/>
          <w:color w:val="000000" w:themeColor="text1"/>
          <w:sz w:val="24"/>
          <w:szCs w:val="24"/>
        </w:rPr>
        <w:t>种植经济作物，经过这几年爆发式增长，不仅表现出了云南</w:t>
      </w:r>
      <w:hyperlink r:id="rId13" w:history="1">
        <w:r>
          <w:rPr>
            <w:rFonts w:ascii="Times New Roman" w:eastAsia="宋体"/>
            <w:color w:val="000000" w:themeColor="text1"/>
            <w:sz w:val="24"/>
            <w:szCs w:val="24"/>
          </w:rPr>
          <w:t>农业</w:t>
        </w:r>
      </w:hyperlink>
      <w:r>
        <w:rPr>
          <w:rFonts w:ascii="Times New Roman" w:eastAsia="宋体"/>
          <w:color w:val="000000" w:themeColor="text1"/>
          <w:sz w:val="24"/>
          <w:szCs w:val="24"/>
        </w:rPr>
        <w:t>的发达，也反映出云南肥料巨大的市场。</w:t>
      </w:r>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color w:val="000000" w:themeColor="text1"/>
          <w:sz w:val="24"/>
          <w:szCs w:val="24"/>
        </w:rPr>
        <w:t>绿色有机复合肥按氮的来源主要分为有机绿色</w:t>
      </w:r>
      <w:r>
        <w:rPr>
          <w:rFonts w:ascii="Times New Roman" w:eastAsia="宋体" w:hint="eastAsia"/>
          <w:color w:val="000000" w:themeColor="text1"/>
          <w:sz w:val="24"/>
          <w:szCs w:val="24"/>
        </w:rPr>
        <w:t>有机</w:t>
      </w:r>
      <w:r>
        <w:rPr>
          <w:rFonts w:ascii="Times New Roman" w:eastAsia="宋体"/>
          <w:color w:val="000000" w:themeColor="text1"/>
          <w:sz w:val="24"/>
          <w:szCs w:val="24"/>
        </w:rPr>
        <w:t>硝基复合肥和</w:t>
      </w:r>
      <w:r>
        <w:rPr>
          <w:rFonts w:ascii="Times New Roman" w:eastAsia="宋体" w:hint="eastAsia"/>
          <w:color w:val="000000" w:themeColor="text1"/>
          <w:sz w:val="24"/>
          <w:szCs w:val="24"/>
        </w:rPr>
        <w:t>绿色有机</w:t>
      </w:r>
      <w:r>
        <w:rPr>
          <w:rFonts w:ascii="Times New Roman" w:eastAsia="宋体"/>
          <w:color w:val="000000" w:themeColor="text1"/>
          <w:sz w:val="24"/>
          <w:szCs w:val="24"/>
        </w:rPr>
        <w:t>尿基复合肥，有机硝基复肥是以硝铵为氮源，有机尿基复肥是以尿素为氮源，添加磷、钾、有机质、腐植酸等复肥原料，对肥料进行二次加工生产出总养分</w:t>
      </w:r>
      <w:r>
        <w:rPr>
          <w:rFonts w:ascii="Times New Roman" w:eastAsia="宋体"/>
          <w:color w:val="000000" w:themeColor="text1"/>
          <w:sz w:val="24"/>
          <w:szCs w:val="24"/>
        </w:rPr>
        <w:t>30%</w:t>
      </w:r>
      <w:r>
        <w:rPr>
          <w:rFonts w:ascii="Times New Roman" w:eastAsia="宋体"/>
          <w:color w:val="000000" w:themeColor="text1"/>
          <w:sz w:val="24"/>
          <w:szCs w:val="24"/>
        </w:rPr>
        <w:t>的高效绿色复合肥料。在生产复肥的原料中，硝铵及尿素含氮量高、来源广、易得价廉。云南磷矿资源丰富，集团自有原料磷完全可以满足企业生产需求。原料钾国际市场供应充足，而且进口不受配额限制。原料有机质</w:t>
      </w:r>
      <w:r>
        <w:rPr>
          <w:rFonts w:ascii="Times New Roman" w:eastAsia="宋体" w:hint="eastAsia"/>
          <w:color w:val="000000" w:themeColor="text1"/>
          <w:sz w:val="24"/>
          <w:szCs w:val="24"/>
        </w:rPr>
        <w:t>为</w:t>
      </w:r>
      <w:r>
        <w:rPr>
          <w:rFonts w:ascii="Times New Roman" w:eastAsia="宋体"/>
          <w:color w:val="000000" w:themeColor="text1"/>
          <w:sz w:val="24"/>
          <w:szCs w:val="24"/>
        </w:rPr>
        <w:t>腐植酸，云南森林植被、作物秸秆及风化煤等资源丰富，供应充足。因此化肥企业完全有条件因地制宜开发生产绿色有机复合肥。</w:t>
      </w:r>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color w:val="000000" w:themeColor="text1"/>
          <w:sz w:val="24"/>
          <w:szCs w:val="24"/>
        </w:rPr>
        <w:t>云南祥丰集团，是中国优秀的磷复肥、氮肥等产品的生产商，是云南</w:t>
      </w:r>
      <w:r>
        <w:rPr>
          <w:rFonts w:ascii="Times New Roman" w:eastAsia="宋体"/>
          <w:color w:val="000000" w:themeColor="text1"/>
          <w:sz w:val="24"/>
          <w:szCs w:val="24"/>
        </w:rPr>
        <w:t>省最大的民营磷复肥企业。公司旗下拥有云南祥丰化肥股份有限公司、云南祥丰金麦化工有限公司（中外合资）、云南祥丰石化有限公司等</w:t>
      </w:r>
      <w:r>
        <w:rPr>
          <w:rFonts w:ascii="Times New Roman" w:eastAsia="宋体"/>
          <w:color w:val="000000" w:themeColor="text1"/>
          <w:sz w:val="24"/>
          <w:szCs w:val="24"/>
        </w:rPr>
        <w:t>23</w:t>
      </w:r>
      <w:r>
        <w:rPr>
          <w:rFonts w:ascii="Times New Roman" w:eastAsia="宋体"/>
          <w:color w:val="000000" w:themeColor="text1"/>
          <w:sz w:val="24"/>
          <w:szCs w:val="24"/>
        </w:rPr>
        <w:t>个子公司。</w:t>
      </w:r>
    </w:p>
    <w:p w:rsidR="00C861DA" w:rsidRDefault="0044752E">
      <w:pPr>
        <w:pStyle w:val="21"/>
        <w:rPr>
          <w:rFonts w:ascii="Times New Roman" w:eastAsia="宋体"/>
          <w:color w:val="000000" w:themeColor="text1"/>
          <w:sz w:val="24"/>
          <w:szCs w:val="24"/>
        </w:rPr>
      </w:pPr>
      <w:r>
        <w:rPr>
          <w:rFonts w:ascii="Times New Roman" w:eastAsia="宋体" w:hint="eastAsia"/>
          <w:color w:val="000000" w:themeColor="text1"/>
          <w:sz w:val="24"/>
          <w:szCs w:val="24"/>
        </w:rPr>
        <w:t>现有在建《</w:t>
      </w:r>
      <w:r>
        <w:rPr>
          <w:rFonts w:ascii="Times New Roman" w:eastAsia="宋体" w:hint="eastAsia"/>
          <w:color w:val="000000" w:themeColor="text1"/>
          <w:sz w:val="24"/>
          <w:szCs w:val="24"/>
        </w:rPr>
        <w:t>3</w:t>
      </w:r>
      <w:r>
        <w:rPr>
          <w:rFonts w:ascii="Times New Roman" w:eastAsia="宋体"/>
          <w:color w:val="000000" w:themeColor="text1"/>
          <w:sz w:val="24"/>
          <w:szCs w:val="24"/>
        </w:rPr>
        <w:t>0</w:t>
      </w:r>
      <w:r>
        <w:rPr>
          <w:rFonts w:ascii="Times New Roman" w:eastAsia="宋体" w:hint="eastAsia"/>
          <w:color w:val="000000" w:themeColor="text1"/>
          <w:sz w:val="24"/>
          <w:szCs w:val="24"/>
        </w:rPr>
        <w:t>万吨合成氨装置项目》原为祥丰金麦化工有限公司的改扩建项目，由于税务问题，祥丰集团于</w:t>
      </w:r>
      <w:r>
        <w:rPr>
          <w:rFonts w:ascii="Times New Roman" w:eastAsia="宋体" w:hint="eastAsia"/>
          <w:color w:val="000000" w:themeColor="text1"/>
          <w:sz w:val="24"/>
          <w:szCs w:val="24"/>
        </w:rPr>
        <w:t>2</w:t>
      </w:r>
      <w:r>
        <w:rPr>
          <w:rFonts w:ascii="Times New Roman" w:eastAsia="宋体"/>
          <w:color w:val="000000" w:themeColor="text1"/>
          <w:sz w:val="24"/>
          <w:szCs w:val="24"/>
        </w:rPr>
        <w:t>017</w:t>
      </w:r>
      <w:r>
        <w:rPr>
          <w:rFonts w:ascii="Times New Roman" w:eastAsia="宋体" w:hint="eastAsia"/>
          <w:color w:val="000000" w:themeColor="text1"/>
          <w:sz w:val="24"/>
          <w:szCs w:val="24"/>
        </w:rPr>
        <w:t>年成立云南祥丰石化有限公司，原祥丰金</w:t>
      </w:r>
      <w:r>
        <w:rPr>
          <w:rFonts w:ascii="Times New Roman" w:eastAsia="宋体" w:hint="eastAsia"/>
          <w:color w:val="000000" w:themeColor="text1"/>
          <w:sz w:val="24"/>
          <w:szCs w:val="24"/>
        </w:rPr>
        <w:lastRenderedPageBreak/>
        <w:t>麦化工有限公司《</w:t>
      </w:r>
      <w:r>
        <w:rPr>
          <w:rFonts w:ascii="Times New Roman" w:eastAsia="宋体" w:hint="eastAsia"/>
          <w:color w:val="000000" w:themeColor="text1"/>
          <w:sz w:val="24"/>
          <w:szCs w:val="24"/>
        </w:rPr>
        <w:t>3</w:t>
      </w:r>
      <w:r>
        <w:rPr>
          <w:rFonts w:ascii="Times New Roman" w:eastAsia="宋体"/>
          <w:color w:val="000000" w:themeColor="text1"/>
          <w:sz w:val="24"/>
          <w:szCs w:val="24"/>
        </w:rPr>
        <w:t>0</w:t>
      </w:r>
      <w:r>
        <w:rPr>
          <w:rFonts w:ascii="Times New Roman" w:eastAsia="宋体" w:hint="eastAsia"/>
          <w:color w:val="000000" w:themeColor="text1"/>
          <w:sz w:val="24"/>
          <w:szCs w:val="24"/>
        </w:rPr>
        <w:t>万吨合成氨装置项目》转由云南祥丰石化有限公司单独管理并配套提升产能和延长生产线项目《年产</w:t>
      </w:r>
      <w:r>
        <w:rPr>
          <w:rFonts w:ascii="Times New Roman" w:eastAsia="宋体" w:hint="eastAsia"/>
          <w:color w:val="000000" w:themeColor="text1"/>
          <w:sz w:val="24"/>
          <w:szCs w:val="24"/>
        </w:rPr>
        <w:t>8</w:t>
      </w:r>
      <w:r>
        <w:rPr>
          <w:rFonts w:ascii="Times New Roman" w:eastAsia="宋体"/>
          <w:color w:val="000000" w:themeColor="text1"/>
          <w:sz w:val="24"/>
          <w:szCs w:val="24"/>
        </w:rPr>
        <w:t>0</w:t>
      </w:r>
      <w:r>
        <w:rPr>
          <w:rFonts w:ascii="Times New Roman" w:eastAsia="宋体" w:hint="eastAsia"/>
          <w:color w:val="000000" w:themeColor="text1"/>
          <w:sz w:val="24"/>
          <w:szCs w:val="24"/>
        </w:rPr>
        <w:t>万吨新型生态绿色有机肥项目》统一归属祥丰石化有限公司管理，</w:t>
      </w:r>
      <w:r>
        <w:rPr>
          <w:rFonts w:ascii="Times New Roman" w:eastAsia="宋体"/>
          <w:color w:val="000000" w:themeColor="text1"/>
          <w:sz w:val="24"/>
          <w:szCs w:val="24"/>
        </w:rPr>
        <w:t>实现企业产品结构化、智能化升级。</w:t>
      </w:r>
    </w:p>
    <w:p w:rsidR="00C861DA" w:rsidRDefault="0044752E">
      <w:pPr>
        <w:pStyle w:val="22"/>
        <w:rPr>
          <w:rFonts w:ascii="Times New Roman" w:eastAsia="宋体" w:hAnsi="Times New Roman"/>
          <w:bCs w:val="0"/>
          <w:color w:val="000000" w:themeColor="text1"/>
          <w:sz w:val="28"/>
          <w:szCs w:val="28"/>
        </w:rPr>
      </w:pPr>
      <w:bookmarkStart w:id="13" w:name="_Toc1888"/>
      <w:bookmarkStart w:id="14" w:name="_Toc20691"/>
      <w:bookmarkStart w:id="15" w:name="_Toc497620083"/>
      <w:bookmarkStart w:id="16" w:name="_Toc5923"/>
      <w:bookmarkStart w:id="17" w:name="_Toc17606"/>
      <w:bookmarkStart w:id="18" w:name="_Toc10051"/>
      <w:bookmarkStart w:id="19" w:name="_Toc6826747"/>
      <w:r>
        <w:rPr>
          <w:rFonts w:ascii="Times New Roman" w:eastAsia="宋体" w:hAnsi="Times New Roman"/>
          <w:bCs w:val="0"/>
          <w:color w:val="000000" w:themeColor="text1"/>
          <w:sz w:val="28"/>
          <w:szCs w:val="28"/>
        </w:rPr>
        <w:t>1.2</w:t>
      </w:r>
      <w:r>
        <w:rPr>
          <w:rFonts w:ascii="Times New Roman" w:eastAsia="宋体" w:hAnsi="Times New Roman"/>
          <w:bCs w:val="0"/>
          <w:color w:val="000000" w:themeColor="text1"/>
          <w:sz w:val="28"/>
          <w:szCs w:val="28"/>
        </w:rPr>
        <w:t>评价的主要工作过程</w:t>
      </w:r>
      <w:bookmarkEnd w:id="13"/>
      <w:bookmarkEnd w:id="14"/>
      <w:bookmarkEnd w:id="15"/>
      <w:bookmarkEnd w:id="16"/>
      <w:bookmarkEnd w:id="17"/>
      <w:bookmarkEnd w:id="18"/>
      <w:bookmarkEnd w:id="19"/>
    </w:p>
    <w:p w:rsidR="00C861DA" w:rsidRDefault="0044752E">
      <w:pPr>
        <w:pStyle w:val="afff9"/>
        <w:snapToGrid w:val="0"/>
        <w:spacing w:beforeLines="0" w:before="0" w:afterLines="0" w:after="0"/>
        <w:ind w:firstLineChars="200" w:firstLine="480"/>
        <w:rPr>
          <w:rFonts w:ascii="Times New Roman" w:eastAsia="宋体" w:cs="Times New Roman"/>
          <w:color w:val="000000" w:themeColor="text1"/>
          <w:szCs w:val="24"/>
        </w:rPr>
      </w:pPr>
      <w:r>
        <w:rPr>
          <w:rFonts w:ascii="Times New Roman" w:eastAsia="宋体" w:cs="Times New Roman"/>
          <w:color w:val="000000" w:themeColor="text1"/>
          <w:szCs w:val="24"/>
        </w:rPr>
        <w:t>本项</w:t>
      </w:r>
      <w:r>
        <w:rPr>
          <w:rFonts w:ascii="Times New Roman" w:eastAsia="宋体" w:cs="Times New Roman"/>
          <w:color w:val="000000" w:themeColor="text1"/>
          <w:szCs w:val="24"/>
        </w:rPr>
        <w:t>目环境影响评价工作按照总纲要求分为三个阶段，即前期准备、调研和工作方案阶段，分析论证和预测评价阶段</w:t>
      </w:r>
      <w:r>
        <w:rPr>
          <w:rFonts w:ascii="Times New Roman" w:eastAsia="宋体" w:cs="Times New Roman" w:hint="eastAsia"/>
          <w:color w:val="000000" w:themeColor="text1"/>
          <w:szCs w:val="24"/>
        </w:rPr>
        <w:t>以及</w:t>
      </w:r>
      <w:r>
        <w:rPr>
          <w:rFonts w:ascii="Times New Roman" w:eastAsia="宋体" w:cs="Times New Roman"/>
          <w:color w:val="000000" w:themeColor="text1"/>
          <w:szCs w:val="24"/>
        </w:rPr>
        <w:t>环境影响评价文件编制阶段。本次评价过程首先在研究相关文件，包括国家和地方有关环保法律法规、政策、标准、相关规划、工程技术文件的基础上，进行了初步工程分析，开展初步的环境状况调查；根据相关要求及项目特点进行了环境影响因素识别与评价因子筛选，明确了评价重点和环境保护目标，确定工作等级、评价范围和评价标准，同时制定了工作方案；然后进行评价范围内的环境状况调查、监测与评价，建设项目工程分析，之后进行各环境要素环境影响预测与评价、各专题环境影响分析与评价，最后提出环境保护措施，进行技术经济论证，给出建设项目环境可行性</w:t>
      </w:r>
      <w:r>
        <w:rPr>
          <w:rFonts w:ascii="Times New Roman" w:eastAsia="宋体" w:cs="Times New Roman"/>
          <w:color w:val="000000" w:themeColor="text1"/>
          <w:szCs w:val="24"/>
        </w:rPr>
        <w:t>的评价结论。项目环境影响评价工作程序见图</w:t>
      </w:r>
      <w:r>
        <w:rPr>
          <w:rFonts w:ascii="Times New Roman" w:eastAsia="宋体" w:cs="Times New Roman"/>
          <w:color w:val="000000" w:themeColor="text1"/>
          <w:szCs w:val="24"/>
        </w:rPr>
        <w:t>1.2-1</w:t>
      </w:r>
      <w:r>
        <w:rPr>
          <w:rFonts w:ascii="Times New Roman" w:eastAsia="宋体" w:cs="Times New Roman"/>
          <w:color w:val="000000" w:themeColor="text1"/>
          <w:szCs w:val="24"/>
        </w:rPr>
        <w:t>。</w:t>
      </w:r>
    </w:p>
    <w:p w:rsidR="00C861DA" w:rsidRDefault="0044752E">
      <w:pPr>
        <w:spacing w:line="360" w:lineRule="auto"/>
        <w:jc w:val="center"/>
        <w:rPr>
          <w:rFonts w:ascii="Times New Roman" w:eastAsia="宋体"/>
          <w:color w:val="000000" w:themeColor="text1"/>
        </w:rPr>
      </w:pPr>
      <w:r>
        <w:rPr>
          <w:rFonts w:ascii="Times New Roman" w:eastAsia="宋体"/>
          <w:noProof/>
          <w:color w:val="000000" w:themeColor="text1"/>
        </w:rPr>
        <w:drawing>
          <wp:inline distT="0" distB="0" distL="0" distR="0">
            <wp:extent cx="4233545" cy="3851910"/>
            <wp:effectExtent l="0" t="0" r="0" b="0"/>
            <wp:docPr id="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8715" cy="3856325"/>
                    </a:xfrm>
                    <a:prstGeom prst="rect">
                      <a:avLst/>
                    </a:prstGeom>
                    <a:noFill/>
                    <a:ln>
                      <a:noFill/>
                    </a:ln>
                    <a:effectLst/>
                  </pic:spPr>
                </pic:pic>
              </a:graphicData>
            </a:graphic>
          </wp:inline>
        </w:drawing>
      </w:r>
    </w:p>
    <w:p w:rsidR="00C861DA" w:rsidRDefault="0044752E">
      <w:pPr>
        <w:pStyle w:val="afff9"/>
        <w:snapToGrid w:val="0"/>
        <w:spacing w:beforeLines="0" w:before="0" w:afterLines="0" w:after="0"/>
        <w:ind w:firstLineChars="0" w:firstLine="0"/>
        <w:jc w:val="center"/>
        <w:rPr>
          <w:rFonts w:ascii="Times New Roman" w:eastAsia="宋体"/>
          <w:b/>
          <w:color w:val="000000" w:themeColor="text1"/>
          <w:lang w:bidi="ar"/>
        </w:rPr>
      </w:pPr>
      <w:r>
        <w:rPr>
          <w:rFonts w:ascii="Times New Roman" w:eastAsia="宋体"/>
          <w:b/>
          <w:color w:val="000000" w:themeColor="text1"/>
          <w:lang w:bidi="ar"/>
        </w:rPr>
        <w:lastRenderedPageBreak/>
        <w:t>图</w:t>
      </w:r>
      <w:r>
        <w:rPr>
          <w:rFonts w:ascii="Times New Roman" w:eastAsia="宋体"/>
          <w:b/>
          <w:color w:val="000000" w:themeColor="text1"/>
          <w:lang w:bidi="ar"/>
        </w:rPr>
        <w:t>1.2-1</w:t>
      </w:r>
      <w:r>
        <w:rPr>
          <w:rFonts w:ascii="Times New Roman" w:eastAsia="宋体" w:hint="eastAsia"/>
          <w:b/>
          <w:color w:val="000000" w:themeColor="text1"/>
          <w:lang w:bidi="ar"/>
        </w:rPr>
        <w:t xml:space="preserve">      </w:t>
      </w:r>
      <w:r>
        <w:rPr>
          <w:rFonts w:ascii="Times New Roman" w:eastAsia="宋体"/>
          <w:b/>
          <w:color w:val="000000" w:themeColor="text1"/>
          <w:lang w:bidi="ar"/>
        </w:rPr>
        <w:t>评价工作程序图</w:t>
      </w:r>
    </w:p>
    <w:p w:rsidR="00C861DA" w:rsidRDefault="0044752E">
      <w:pPr>
        <w:pStyle w:val="afff9"/>
        <w:snapToGrid w:val="0"/>
        <w:spacing w:beforeLines="0" w:before="0" w:afterLines="0" w:after="0"/>
        <w:ind w:firstLineChars="200" w:firstLine="480"/>
        <w:rPr>
          <w:rFonts w:ascii="Times New Roman" w:eastAsia="宋体" w:cs="Times New Roman"/>
          <w:color w:val="000000" w:themeColor="text1"/>
          <w:szCs w:val="24"/>
        </w:rPr>
      </w:pPr>
      <w:r>
        <w:rPr>
          <w:rFonts w:ascii="Times New Roman" w:eastAsia="宋体" w:cs="Times New Roman"/>
          <w:color w:val="000000" w:themeColor="text1"/>
          <w:szCs w:val="24"/>
        </w:rPr>
        <w:t>环评的主要工作过程如下：</w:t>
      </w:r>
    </w:p>
    <w:p w:rsidR="00C861DA" w:rsidRDefault="0044752E">
      <w:pPr>
        <w:pStyle w:val="afff9"/>
        <w:snapToGrid w:val="0"/>
        <w:spacing w:beforeLines="0" w:before="0" w:afterLines="0" w:after="0"/>
        <w:ind w:firstLineChars="200" w:firstLine="480"/>
        <w:rPr>
          <w:rFonts w:ascii="Times New Roman" w:eastAsia="宋体" w:cs="Times New Roman"/>
          <w:color w:val="000000" w:themeColor="text1"/>
          <w:szCs w:val="24"/>
        </w:rPr>
      </w:pPr>
      <w:r>
        <w:rPr>
          <w:rFonts w:ascii="Times New Roman" w:eastAsia="宋体" w:cs="Times New Roman"/>
          <w:color w:val="000000" w:themeColor="text1"/>
          <w:szCs w:val="24"/>
        </w:rPr>
        <w:t>（</w:t>
      </w:r>
      <w:r>
        <w:rPr>
          <w:rFonts w:ascii="Times New Roman" w:eastAsia="宋体" w:cs="Times New Roman"/>
          <w:color w:val="000000" w:themeColor="text1"/>
          <w:szCs w:val="24"/>
        </w:rPr>
        <w:t>1</w:t>
      </w:r>
      <w:r>
        <w:rPr>
          <w:rFonts w:ascii="Times New Roman" w:eastAsia="宋体" w:cs="Times New Roman"/>
          <w:color w:val="000000" w:themeColor="text1"/>
          <w:szCs w:val="24"/>
        </w:rPr>
        <w:t>）根据《中华人民共和国环境保护法》、《中华人民共和国环境影响评价法》中的有关规定，建设单位于</w:t>
      </w:r>
      <w:r>
        <w:rPr>
          <w:rFonts w:ascii="Times New Roman" w:eastAsia="宋体" w:cs="Times New Roman"/>
          <w:color w:val="000000" w:themeColor="text1"/>
          <w:szCs w:val="24"/>
        </w:rPr>
        <w:t>2019</w:t>
      </w:r>
      <w:r>
        <w:rPr>
          <w:rFonts w:ascii="Times New Roman" w:eastAsia="宋体" w:cs="Times New Roman"/>
          <w:color w:val="000000" w:themeColor="text1"/>
          <w:szCs w:val="24"/>
        </w:rPr>
        <w:t>年</w:t>
      </w:r>
      <w:r>
        <w:rPr>
          <w:rFonts w:ascii="Times New Roman" w:eastAsia="宋体" w:cs="Times New Roman"/>
          <w:color w:val="000000" w:themeColor="text1"/>
          <w:szCs w:val="24"/>
        </w:rPr>
        <w:t>1</w:t>
      </w:r>
      <w:r>
        <w:rPr>
          <w:rFonts w:ascii="Times New Roman" w:eastAsia="宋体" w:cs="Times New Roman"/>
          <w:color w:val="000000" w:themeColor="text1"/>
          <w:szCs w:val="24"/>
        </w:rPr>
        <w:t>月</w:t>
      </w:r>
      <w:r>
        <w:rPr>
          <w:rFonts w:ascii="Times New Roman" w:eastAsia="宋体" w:cs="Times New Roman"/>
          <w:color w:val="000000" w:themeColor="text1"/>
          <w:szCs w:val="24"/>
        </w:rPr>
        <w:t>9</w:t>
      </w:r>
      <w:r>
        <w:rPr>
          <w:rFonts w:ascii="Times New Roman" w:eastAsia="宋体" w:cs="Times New Roman"/>
          <w:color w:val="000000" w:themeColor="text1"/>
          <w:szCs w:val="24"/>
        </w:rPr>
        <w:t>日委托我单位承担本项目的环境影响评价工作</w:t>
      </w:r>
      <w:r>
        <w:rPr>
          <w:rFonts w:ascii="Times New Roman" w:eastAsia="宋体" w:cs="Times New Roman" w:hint="eastAsia"/>
          <w:color w:val="000000" w:themeColor="text1"/>
          <w:szCs w:val="24"/>
        </w:rPr>
        <w:t>（见附件</w:t>
      </w:r>
      <w:r>
        <w:rPr>
          <w:rFonts w:ascii="Times New Roman" w:eastAsia="宋体" w:cs="Times New Roman" w:hint="eastAsia"/>
          <w:color w:val="000000" w:themeColor="text1"/>
          <w:szCs w:val="24"/>
        </w:rPr>
        <w:t>1</w:t>
      </w:r>
      <w:r>
        <w:rPr>
          <w:rFonts w:ascii="Times New Roman" w:eastAsia="宋体" w:cs="Times New Roman" w:hint="eastAsia"/>
          <w:color w:val="000000" w:themeColor="text1"/>
          <w:szCs w:val="24"/>
        </w:rPr>
        <w:t>）</w:t>
      </w:r>
      <w:r>
        <w:rPr>
          <w:rFonts w:ascii="Times New Roman" w:eastAsia="宋体" w:cs="Times New Roman"/>
          <w:color w:val="000000" w:themeColor="text1"/>
          <w:szCs w:val="24"/>
        </w:rPr>
        <w:t>。</w:t>
      </w:r>
    </w:p>
    <w:p w:rsidR="00C861DA" w:rsidRDefault="0044752E">
      <w:pPr>
        <w:pStyle w:val="afff9"/>
        <w:snapToGrid w:val="0"/>
        <w:spacing w:beforeLines="0" w:before="0" w:afterLines="0" w:after="0"/>
        <w:ind w:firstLineChars="200" w:firstLine="480"/>
        <w:rPr>
          <w:rFonts w:ascii="Times New Roman" w:eastAsia="宋体" w:cs="Times New Roman"/>
          <w:color w:val="000000" w:themeColor="text1"/>
          <w:szCs w:val="24"/>
        </w:rPr>
      </w:pPr>
      <w:r>
        <w:rPr>
          <w:rFonts w:ascii="Times New Roman" w:eastAsia="宋体" w:cs="Times New Roman"/>
          <w:color w:val="000000" w:themeColor="text1"/>
          <w:szCs w:val="24"/>
        </w:rPr>
        <w:t>（</w:t>
      </w:r>
      <w:r>
        <w:rPr>
          <w:rFonts w:ascii="Times New Roman" w:eastAsia="宋体" w:cs="Times New Roman"/>
          <w:color w:val="000000" w:themeColor="text1"/>
          <w:szCs w:val="24"/>
        </w:rPr>
        <w:t>2</w:t>
      </w:r>
      <w:r>
        <w:rPr>
          <w:rFonts w:ascii="Times New Roman" w:eastAsia="宋体" w:cs="Times New Roman"/>
          <w:color w:val="000000" w:themeColor="text1"/>
          <w:szCs w:val="24"/>
        </w:rPr>
        <w:t>）我单位根据建设单位提供的前期可研报告等基础资料，于</w:t>
      </w:r>
      <w:r>
        <w:rPr>
          <w:rFonts w:ascii="Times New Roman" w:eastAsia="宋体" w:cs="Times New Roman"/>
          <w:color w:val="000000" w:themeColor="text1"/>
          <w:szCs w:val="24"/>
        </w:rPr>
        <w:t>2019</w:t>
      </w:r>
      <w:r>
        <w:rPr>
          <w:rFonts w:ascii="Times New Roman" w:eastAsia="宋体" w:cs="Times New Roman"/>
          <w:color w:val="000000" w:themeColor="text1"/>
          <w:szCs w:val="24"/>
        </w:rPr>
        <w:t>年</w:t>
      </w:r>
      <w:r>
        <w:rPr>
          <w:rFonts w:ascii="Times New Roman" w:eastAsia="宋体" w:cs="Times New Roman"/>
          <w:color w:val="000000" w:themeColor="text1"/>
          <w:szCs w:val="24"/>
        </w:rPr>
        <w:t>1</w:t>
      </w:r>
      <w:r>
        <w:rPr>
          <w:rFonts w:ascii="Times New Roman" w:eastAsia="宋体" w:cs="Times New Roman"/>
          <w:color w:val="000000" w:themeColor="text1"/>
          <w:szCs w:val="24"/>
        </w:rPr>
        <w:t>月</w:t>
      </w:r>
      <w:r>
        <w:rPr>
          <w:rFonts w:ascii="Times New Roman" w:eastAsia="宋体" w:cs="Times New Roman"/>
          <w:color w:val="000000" w:themeColor="text1"/>
          <w:szCs w:val="24"/>
        </w:rPr>
        <w:t>10</w:t>
      </w:r>
      <w:r>
        <w:rPr>
          <w:rFonts w:ascii="Times New Roman" w:eastAsia="宋体" w:cs="Times New Roman" w:hint="eastAsia"/>
          <w:color w:val="000000" w:themeColor="text1"/>
          <w:szCs w:val="24"/>
        </w:rPr>
        <w:t>日</w:t>
      </w:r>
      <w:r>
        <w:rPr>
          <w:rFonts w:ascii="Times New Roman" w:eastAsia="宋体" w:cs="Times New Roman"/>
          <w:color w:val="000000" w:themeColor="text1"/>
          <w:szCs w:val="24"/>
        </w:rPr>
        <w:t>进行实地踏勘，并提交了环境影响评价资料清单，制定了环境质量现状监测方案。</w:t>
      </w:r>
    </w:p>
    <w:p w:rsidR="00C861DA" w:rsidRDefault="0044752E">
      <w:pPr>
        <w:pStyle w:val="afff9"/>
        <w:snapToGrid w:val="0"/>
        <w:spacing w:beforeLines="0" w:before="0" w:afterLines="0" w:after="0"/>
        <w:ind w:firstLineChars="200" w:firstLine="480"/>
        <w:rPr>
          <w:rFonts w:ascii="Times New Roman" w:eastAsia="宋体" w:cs="Times New Roman"/>
          <w:color w:val="000000" w:themeColor="text1"/>
          <w:szCs w:val="24"/>
        </w:rPr>
      </w:pPr>
      <w:r>
        <w:rPr>
          <w:rFonts w:ascii="Times New Roman" w:eastAsia="宋体" w:cs="Times New Roman"/>
          <w:color w:val="000000" w:themeColor="text1"/>
          <w:szCs w:val="24"/>
        </w:rPr>
        <w:t>（</w:t>
      </w:r>
      <w:r>
        <w:rPr>
          <w:rFonts w:ascii="Times New Roman" w:eastAsia="宋体" w:cs="Times New Roman"/>
          <w:color w:val="000000" w:themeColor="text1"/>
          <w:szCs w:val="24"/>
        </w:rPr>
        <w:t>3</w:t>
      </w:r>
      <w:r>
        <w:rPr>
          <w:rFonts w:ascii="Times New Roman" w:eastAsia="宋体" w:cs="Times New Roman"/>
          <w:color w:val="000000" w:themeColor="text1"/>
          <w:szCs w:val="24"/>
        </w:rPr>
        <w:t>）建设单位于</w:t>
      </w:r>
      <w:r>
        <w:rPr>
          <w:rFonts w:ascii="Times New Roman" w:eastAsia="宋体" w:cs="Times New Roman"/>
          <w:color w:val="000000" w:themeColor="text1"/>
          <w:szCs w:val="24"/>
        </w:rPr>
        <w:t>2019</w:t>
      </w:r>
      <w:r>
        <w:rPr>
          <w:rFonts w:ascii="Times New Roman" w:eastAsia="宋体" w:cs="Times New Roman"/>
          <w:color w:val="000000" w:themeColor="text1"/>
          <w:szCs w:val="24"/>
        </w:rPr>
        <w:t>年</w:t>
      </w:r>
      <w:r>
        <w:rPr>
          <w:rFonts w:ascii="Times New Roman" w:eastAsia="宋体" w:cs="Times New Roman"/>
          <w:color w:val="000000" w:themeColor="text1"/>
          <w:szCs w:val="24"/>
        </w:rPr>
        <w:t>1</w:t>
      </w:r>
      <w:r>
        <w:rPr>
          <w:rFonts w:ascii="Times New Roman" w:eastAsia="宋体" w:cs="Times New Roman"/>
          <w:color w:val="000000" w:themeColor="text1"/>
          <w:szCs w:val="24"/>
        </w:rPr>
        <w:t>月</w:t>
      </w:r>
      <w:r>
        <w:rPr>
          <w:rFonts w:ascii="Times New Roman" w:eastAsia="宋体" w:cs="Times New Roman" w:hint="eastAsia"/>
          <w:color w:val="000000" w:themeColor="text1"/>
          <w:szCs w:val="24"/>
        </w:rPr>
        <w:t>1</w:t>
      </w:r>
      <w:r>
        <w:rPr>
          <w:rFonts w:ascii="Times New Roman" w:eastAsia="宋体" w:cs="Times New Roman"/>
          <w:color w:val="000000" w:themeColor="text1"/>
          <w:szCs w:val="24"/>
        </w:rPr>
        <w:t>0</w:t>
      </w:r>
      <w:r>
        <w:rPr>
          <w:rFonts w:ascii="Times New Roman" w:eastAsia="宋体" w:cs="Times New Roman"/>
          <w:color w:val="000000" w:themeColor="text1"/>
          <w:szCs w:val="24"/>
        </w:rPr>
        <w:t>日在周边村委会信息公告栏进行了公众参与信息公示，向周边居民公开了解项目的基本情况。</w:t>
      </w:r>
    </w:p>
    <w:p w:rsidR="00C861DA" w:rsidRDefault="0044752E">
      <w:pPr>
        <w:pStyle w:val="afff9"/>
        <w:snapToGrid w:val="0"/>
        <w:spacing w:beforeLines="0" w:before="0" w:afterLines="0" w:after="0"/>
        <w:ind w:firstLineChars="200" w:firstLine="480"/>
        <w:rPr>
          <w:rFonts w:ascii="Times New Roman" w:eastAsia="宋体" w:cs="Times New Roman"/>
          <w:color w:val="000000" w:themeColor="text1"/>
          <w:szCs w:val="24"/>
        </w:rPr>
      </w:pPr>
      <w:r>
        <w:rPr>
          <w:rFonts w:ascii="Times New Roman" w:eastAsia="宋体" w:cs="Times New Roman"/>
          <w:color w:val="000000" w:themeColor="text1"/>
          <w:szCs w:val="24"/>
        </w:rPr>
        <w:t>（</w:t>
      </w:r>
      <w:r>
        <w:rPr>
          <w:rFonts w:ascii="Times New Roman" w:eastAsia="宋体" w:cs="Times New Roman"/>
          <w:color w:val="000000" w:themeColor="text1"/>
          <w:szCs w:val="24"/>
        </w:rPr>
        <w:t>4</w:t>
      </w:r>
      <w:r>
        <w:rPr>
          <w:rFonts w:ascii="Times New Roman" w:eastAsia="宋体" w:cs="Times New Roman"/>
          <w:color w:val="000000" w:themeColor="text1"/>
          <w:szCs w:val="24"/>
        </w:rPr>
        <w:t>）</w:t>
      </w:r>
      <w:r>
        <w:rPr>
          <w:rFonts w:ascii="Times New Roman" w:eastAsia="宋体" w:cs="Times New Roman" w:hint="eastAsia"/>
          <w:bCs/>
          <w:color w:val="000000" w:themeColor="text1"/>
          <w:szCs w:val="24"/>
        </w:rPr>
        <w:t>201</w:t>
      </w:r>
      <w:r>
        <w:rPr>
          <w:rFonts w:ascii="Times New Roman" w:eastAsia="宋体" w:cs="Times New Roman"/>
          <w:color w:val="000000" w:themeColor="text1"/>
          <w:szCs w:val="24"/>
        </w:rPr>
        <w:t>9</w:t>
      </w:r>
      <w:r>
        <w:rPr>
          <w:rFonts w:ascii="Times New Roman" w:eastAsia="宋体" w:cs="Times New Roman"/>
          <w:color w:val="000000" w:themeColor="text1"/>
          <w:szCs w:val="24"/>
        </w:rPr>
        <w:t>年</w:t>
      </w:r>
      <w:r>
        <w:rPr>
          <w:rFonts w:ascii="Times New Roman" w:eastAsia="宋体" w:cs="Times New Roman"/>
          <w:color w:val="000000" w:themeColor="text1"/>
          <w:szCs w:val="24"/>
        </w:rPr>
        <w:t>1</w:t>
      </w:r>
      <w:r>
        <w:rPr>
          <w:rFonts w:ascii="Times New Roman" w:eastAsia="宋体" w:cs="Times New Roman"/>
          <w:color w:val="000000" w:themeColor="text1"/>
          <w:szCs w:val="24"/>
        </w:rPr>
        <w:t>月</w:t>
      </w:r>
      <w:r>
        <w:rPr>
          <w:rFonts w:ascii="Times New Roman" w:eastAsia="宋体" w:cs="Times New Roman"/>
          <w:color w:val="000000" w:themeColor="text1"/>
          <w:szCs w:val="24"/>
        </w:rPr>
        <w:t>15</w:t>
      </w:r>
      <w:r>
        <w:rPr>
          <w:rFonts w:ascii="Times New Roman" w:eastAsia="宋体" w:cs="Times New Roman"/>
          <w:color w:val="000000" w:themeColor="text1"/>
          <w:szCs w:val="24"/>
        </w:rPr>
        <w:t>日，我单位</w:t>
      </w:r>
      <w:r>
        <w:rPr>
          <w:rFonts w:ascii="Times New Roman" w:eastAsia="宋体" w:cs="Times New Roman" w:hint="eastAsia"/>
          <w:color w:val="000000" w:themeColor="text1"/>
          <w:szCs w:val="24"/>
        </w:rPr>
        <w:t>编制组与</w:t>
      </w:r>
      <w:r>
        <w:rPr>
          <w:rFonts w:ascii="Times New Roman" w:eastAsia="宋体" w:cs="Times New Roman"/>
          <w:color w:val="000000" w:themeColor="text1"/>
          <w:szCs w:val="24"/>
        </w:rPr>
        <w:t>建设单位</w:t>
      </w:r>
      <w:r>
        <w:rPr>
          <w:rFonts w:ascii="Times New Roman" w:eastAsia="宋体" w:cs="Times New Roman" w:hint="eastAsia"/>
          <w:color w:val="000000" w:themeColor="text1"/>
          <w:szCs w:val="24"/>
        </w:rPr>
        <w:t>相关技术负责人进行技术交流。</w:t>
      </w:r>
    </w:p>
    <w:p w:rsidR="00C861DA" w:rsidRDefault="0044752E">
      <w:pPr>
        <w:pStyle w:val="afff9"/>
        <w:snapToGrid w:val="0"/>
        <w:spacing w:beforeLines="0" w:before="0" w:afterLines="0" w:after="0"/>
        <w:ind w:firstLineChars="200" w:firstLine="480"/>
        <w:rPr>
          <w:rFonts w:ascii="Times New Roman" w:eastAsia="宋体" w:cs="Times New Roman"/>
          <w:color w:val="000000" w:themeColor="text1"/>
          <w:szCs w:val="24"/>
        </w:rPr>
      </w:pPr>
      <w:r>
        <w:rPr>
          <w:rFonts w:ascii="Times New Roman" w:eastAsia="宋体" w:cs="Times New Roman" w:hint="eastAsia"/>
          <w:bCs/>
          <w:color w:val="000000" w:themeColor="text1"/>
          <w:szCs w:val="24"/>
        </w:rPr>
        <w:t>（</w:t>
      </w:r>
      <w:r>
        <w:rPr>
          <w:rFonts w:ascii="Times New Roman" w:eastAsia="宋体" w:cs="Times New Roman" w:hint="eastAsia"/>
          <w:bCs/>
          <w:color w:val="000000" w:themeColor="text1"/>
          <w:szCs w:val="24"/>
        </w:rPr>
        <w:t>5</w:t>
      </w:r>
      <w:r>
        <w:rPr>
          <w:rFonts w:ascii="Times New Roman" w:eastAsia="宋体" w:cs="Times New Roman" w:hint="eastAsia"/>
          <w:bCs/>
          <w:color w:val="000000" w:themeColor="text1"/>
          <w:szCs w:val="24"/>
        </w:rPr>
        <w:t>）</w:t>
      </w:r>
      <w:r>
        <w:rPr>
          <w:rFonts w:ascii="Times New Roman" w:eastAsia="宋体" w:cs="Times New Roman" w:hint="eastAsia"/>
          <w:bCs/>
          <w:color w:val="000000" w:themeColor="text1"/>
          <w:szCs w:val="24"/>
        </w:rPr>
        <w:t>201</w:t>
      </w:r>
      <w:r>
        <w:rPr>
          <w:rFonts w:ascii="Times New Roman" w:eastAsia="宋体" w:cs="Times New Roman"/>
          <w:color w:val="000000" w:themeColor="text1"/>
          <w:szCs w:val="24"/>
        </w:rPr>
        <w:t>9</w:t>
      </w:r>
      <w:r>
        <w:rPr>
          <w:rFonts w:ascii="Times New Roman" w:eastAsia="宋体" w:cs="Times New Roman"/>
          <w:color w:val="000000" w:themeColor="text1"/>
          <w:szCs w:val="24"/>
        </w:rPr>
        <w:t>年</w:t>
      </w:r>
      <w:r>
        <w:rPr>
          <w:rFonts w:ascii="Times New Roman" w:eastAsia="宋体" w:cs="Times New Roman" w:hint="eastAsia"/>
          <w:color w:val="000000" w:themeColor="text1"/>
          <w:szCs w:val="24"/>
        </w:rPr>
        <w:t>1</w:t>
      </w:r>
      <w:r>
        <w:rPr>
          <w:rFonts w:ascii="Times New Roman" w:eastAsia="宋体" w:cs="Times New Roman"/>
          <w:color w:val="000000" w:themeColor="text1"/>
          <w:szCs w:val="24"/>
        </w:rPr>
        <w:t>月</w:t>
      </w:r>
      <w:r>
        <w:rPr>
          <w:rFonts w:ascii="Times New Roman" w:eastAsia="宋体" w:cs="Times New Roman" w:hint="eastAsia"/>
          <w:color w:val="000000" w:themeColor="text1"/>
          <w:szCs w:val="24"/>
        </w:rPr>
        <w:t>24</w:t>
      </w:r>
      <w:r>
        <w:rPr>
          <w:rFonts w:ascii="Times New Roman" w:eastAsia="宋体" w:cs="Times New Roman"/>
          <w:color w:val="000000" w:themeColor="text1"/>
          <w:szCs w:val="24"/>
        </w:rPr>
        <w:t>日，我单位</w:t>
      </w:r>
      <w:r>
        <w:rPr>
          <w:rFonts w:ascii="Times New Roman" w:eastAsia="宋体" w:cs="Times New Roman" w:hint="eastAsia"/>
          <w:color w:val="000000" w:themeColor="text1"/>
          <w:szCs w:val="24"/>
        </w:rPr>
        <w:t>编制组与</w:t>
      </w:r>
      <w:r>
        <w:rPr>
          <w:rFonts w:ascii="Times New Roman" w:eastAsia="宋体" w:cs="Times New Roman"/>
          <w:color w:val="000000" w:themeColor="text1"/>
          <w:szCs w:val="24"/>
        </w:rPr>
        <w:t>建设单位</w:t>
      </w:r>
      <w:r>
        <w:rPr>
          <w:rFonts w:ascii="Times New Roman" w:eastAsia="宋体" w:cs="Times New Roman" w:hint="eastAsia"/>
          <w:color w:val="000000" w:themeColor="text1"/>
          <w:szCs w:val="24"/>
        </w:rPr>
        <w:t>相关技术负责人、设计单位（中国五环工程有限公司）技术负责人进行技术交流。</w:t>
      </w:r>
    </w:p>
    <w:p w:rsidR="00C861DA" w:rsidRDefault="0044752E">
      <w:pPr>
        <w:pStyle w:val="afff9"/>
        <w:snapToGrid w:val="0"/>
        <w:spacing w:beforeLines="0" w:before="0" w:afterLines="0" w:after="0"/>
        <w:ind w:firstLineChars="200" w:firstLine="480"/>
        <w:rPr>
          <w:rFonts w:ascii="Times New Roman" w:eastAsia="宋体" w:cs="Times New Roman"/>
          <w:color w:val="000000" w:themeColor="text1"/>
          <w:szCs w:val="24"/>
        </w:rPr>
      </w:pPr>
      <w:r>
        <w:rPr>
          <w:rFonts w:ascii="Times New Roman" w:eastAsia="宋体" w:cs="Times New Roman" w:hint="eastAsia"/>
          <w:bCs/>
          <w:color w:val="000000" w:themeColor="text1"/>
          <w:szCs w:val="24"/>
        </w:rPr>
        <w:t>（</w:t>
      </w:r>
      <w:r>
        <w:rPr>
          <w:rFonts w:ascii="Times New Roman" w:eastAsia="宋体" w:cs="Times New Roman" w:hint="eastAsia"/>
          <w:bCs/>
          <w:color w:val="000000" w:themeColor="text1"/>
          <w:szCs w:val="24"/>
        </w:rPr>
        <w:t>6</w:t>
      </w:r>
      <w:r>
        <w:rPr>
          <w:rFonts w:ascii="Times New Roman" w:eastAsia="宋体" w:cs="Times New Roman" w:hint="eastAsia"/>
          <w:bCs/>
          <w:color w:val="000000" w:themeColor="text1"/>
          <w:szCs w:val="24"/>
        </w:rPr>
        <w:t>）</w:t>
      </w:r>
      <w:r>
        <w:rPr>
          <w:rFonts w:ascii="Times New Roman" w:eastAsia="宋体" w:cs="Times New Roman"/>
          <w:color w:val="000000" w:themeColor="text1"/>
          <w:szCs w:val="24"/>
        </w:rPr>
        <w:t>2019</w:t>
      </w:r>
      <w:r>
        <w:rPr>
          <w:rFonts w:ascii="Times New Roman" w:eastAsia="宋体" w:cs="Times New Roman"/>
          <w:color w:val="000000" w:themeColor="text1"/>
          <w:szCs w:val="24"/>
        </w:rPr>
        <w:t>年</w:t>
      </w:r>
      <w:r>
        <w:rPr>
          <w:rFonts w:ascii="Times New Roman" w:eastAsia="宋体" w:cs="Times New Roman"/>
          <w:color w:val="000000" w:themeColor="text1"/>
          <w:szCs w:val="24"/>
        </w:rPr>
        <w:t>4</w:t>
      </w:r>
      <w:r>
        <w:rPr>
          <w:rFonts w:ascii="Times New Roman" w:eastAsia="宋体" w:cs="Times New Roman"/>
          <w:color w:val="000000" w:themeColor="text1"/>
          <w:szCs w:val="24"/>
        </w:rPr>
        <w:t>月</w:t>
      </w:r>
      <w:r>
        <w:rPr>
          <w:rFonts w:ascii="Times New Roman" w:eastAsia="宋体" w:cs="Times New Roman"/>
          <w:color w:val="000000" w:themeColor="text1"/>
          <w:szCs w:val="24"/>
        </w:rPr>
        <w:t>2</w:t>
      </w:r>
      <w:r>
        <w:rPr>
          <w:rFonts w:ascii="Times New Roman" w:eastAsia="宋体" w:cs="Times New Roman" w:hint="eastAsia"/>
          <w:color w:val="000000" w:themeColor="text1"/>
          <w:szCs w:val="24"/>
        </w:rPr>
        <w:t>1</w:t>
      </w:r>
      <w:r>
        <w:rPr>
          <w:rFonts w:ascii="Times New Roman" w:eastAsia="宋体" w:cs="Times New Roman"/>
          <w:color w:val="000000" w:themeColor="text1"/>
          <w:szCs w:val="24"/>
        </w:rPr>
        <w:t>日，</w:t>
      </w:r>
      <w:r>
        <w:rPr>
          <w:rFonts w:ascii="Times New Roman" w:eastAsia="宋体" w:cs="Times New Roman" w:hint="eastAsia"/>
          <w:color w:val="000000" w:themeColor="text1"/>
          <w:szCs w:val="24"/>
        </w:rPr>
        <w:t>我</w:t>
      </w:r>
      <w:r>
        <w:rPr>
          <w:rFonts w:ascii="Times New Roman" w:eastAsia="宋体" w:cs="Times New Roman"/>
          <w:color w:val="000000" w:themeColor="text1"/>
          <w:szCs w:val="24"/>
        </w:rPr>
        <w:t>单位完成了《</w:t>
      </w:r>
      <w:r>
        <w:rPr>
          <w:rFonts w:ascii="Times New Roman" w:eastAsia="宋体" w:cs="Times New Roman" w:hint="eastAsia"/>
          <w:bCs/>
          <w:color w:val="000000" w:themeColor="text1"/>
          <w:szCs w:val="24"/>
        </w:rPr>
        <w:t>年产</w:t>
      </w:r>
      <w:r>
        <w:rPr>
          <w:rFonts w:ascii="Times New Roman" w:eastAsia="宋体" w:cs="Times New Roman" w:hint="eastAsia"/>
          <w:bCs/>
          <w:color w:val="000000" w:themeColor="text1"/>
          <w:szCs w:val="24"/>
        </w:rPr>
        <w:t>8</w:t>
      </w:r>
      <w:r>
        <w:rPr>
          <w:rFonts w:ascii="Times New Roman" w:eastAsia="宋体" w:cs="Times New Roman"/>
          <w:bCs/>
          <w:color w:val="000000" w:themeColor="text1"/>
          <w:szCs w:val="24"/>
        </w:rPr>
        <w:t>0</w:t>
      </w:r>
      <w:r>
        <w:rPr>
          <w:rFonts w:ascii="Times New Roman" w:eastAsia="宋体" w:cs="Times New Roman" w:hint="eastAsia"/>
          <w:bCs/>
          <w:color w:val="000000" w:themeColor="text1"/>
          <w:szCs w:val="24"/>
        </w:rPr>
        <w:t>万吨新型生态绿色有机肥项目环境影响报告书</w:t>
      </w:r>
      <w:r>
        <w:rPr>
          <w:rFonts w:ascii="Times New Roman" w:eastAsia="宋体" w:cs="Times New Roman"/>
          <w:color w:val="000000" w:themeColor="text1"/>
          <w:szCs w:val="24"/>
        </w:rPr>
        <w:t>》</w:t>
      </w:r>
      <w:r>
        <w:rPr>
          <w:rFonts w:ascii="Times New Roman" w:eastAsia="宋体" w:cs="Times New Roman" w:hint="eastAsia"/>
          <w:color w:val="000000" w:themeColor="text1"/>
          <w:szCs w:val="24"/>
        </w:rPr>
        <w:t>（内审稿）</w:t>
      </w:r>
      <w:r>
        <w:rPr>
          <w:rFonts w:ascii="Times New Roman" w:eastAsia="宋体" w:cs="Times New Roman"/>
          <w:color w:val="000000" w:themeColor="text1"/>
          <w:szCs w:val="24"/>
        </w:rPr>
        <w:t>的编制，进行专家技术咨询。</w:t>
      </w:r>
    </w:p>
    <w:p w:rsidR="00C861DA" w:rsidRDefault="0044752E">
      <w:pPr>
        <w:pStyle w:val="22"/>
        <w:rPr>
          <w:rFonts w:ascii="Times New Roman" w:eastAsia="宋体" w:hAnsi="Times New Roman"/>
          <w:bCs w:val="0"/>
          <w:color w:val="000000" w:themeColor="text1"/>
          <w:sz w:val="28"/>
          <w:szCs w:val="28"/>
        </w:rPr>
      </w:pPr>
      <w:bookmarkStart w:id="20" w:name="_Toc6826748"/>
      <w:bookmarkStart w:id="21" w:name="_Toc6142"/>
      <w:bookmarkStart w:id="22" w:name="_Toc2343"/>
      <w:bookmarkStart w:id="23" w:name="_Toc7681"/>
      <w:bookmarkStart w:id="24" w:name="_Toc1002"/>
      <w:bookmarkStart w:id="25" w:name="_Toc497620084"/>
      <w:bookmarkStart w:id="26" w:name="_Toc14687"/>
      <w:r>
        <w:rPr>
          <w:rFonts w:ascii="Times New Roman" w:eastAsia="宋体" w:hAnsi="Times New Roman"/>
          <w:bCs w:val="0"/>
          <w:color w:val="000000" w:themeColor="text1"/>
          <w:sz w:val="28"/>
          <w:szCs w:val="28"/>
        </w:rPr>
        <w:t>1.3</w:t>
      </w:r>
      <w:r>
        <w:rPr>
          <w:rFonts w:ascii="Times New Roman" w:eastAsia="宋体" w:hAnsi="Times New Roman"/>
          <w:bCs w:val="0"/>
          <w:color w:val="000000" w:themeColor="text1"/>
          <w:sz w:val="28"/>
          <w:szCs w:val="28"/>
        </w:rPr>
        <w:t>项目分析判定情况</w:t>
      </w:r>
      <w:bookmarkEnd w:id="20"/>
      <w:bookmarkEnd w:id="21"/>
      <w:bookmarkEnd w:id="22"/>
      <w:bookmarkEnd w:id="23"/>
      <w:bookmarkEnd w:id="24"/>
      <w:bookmarkEnd w:id="25"/>
      <w:bookmarkEnd w:id="26"/>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w:t>
      </w:r>
      <w:r>
        <w:rPr>
          <w:rFonts w:ascii="Times New Roman" w:eastAsia="宋体" w:hint="eastAsia"/>
          <w:color w:val="000000" w:themeColor="text1"/>
          <w:sz w:val="24"/>
          <w:szCs w:val="24"/>
        </w:rPr>
        <w:t>1</w:t>
      </w:r>
      <w:r>
        <w:rPr>
          <w:rFonts w:ascii="Times New Roman" w:eastAsia="宋体" w:hint="eastAsia"/>
          <w:color w:val="000000" w:themeColor="text1"/>
          <w:sz w:val="24"/>
          <w:szCs w:val="24"/>
        </w:rPr>
        <w:t>）</w:t>
      </w:r>
      <w:r>
        <w:rPr>
          <w:rFonts w:ascii="Times New Roman" w:eastAsia="宋体"/>
          <w:color w:val="000000" w:themeColor="text1"/>
          <w:sz w:val="24"/>
          <w:szCs w:val="24"/>
        </w:rPr>
        <w:t>行业类别</w:t>
      </w:r>
    </w:p>
    <w:p w:rsidR="00C861DA" w:rsidRDefault="0044752E">
      <w:pPr>
        <w:snapToGrid w:val="0"/>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本项目以液氨、磷酸一铵、硫酸钾和有机质、腐殖酸及二氧化碳气等生产绿色有机硝基复合肥和绿色有机尿基复合肥，根据《国民经济行业分类（</w:t>
      </w:r>
      <w:r>
        <w:rPr>
          <w:rFonts w:ascii="Times New Roman" w:eastAsia="宋体" w:hint="eastAsia"/>
          <w:color w:val="000000" w:themeColor="text1"/>
          <w:sz w:val="24"/>
          <w:szCs w:val="24"/>
        </w:rPr>
        <w:t>GB/T 4754-2017</w:t>
      </w:r>
      <w:r>
        <w:rPr>
          <w:rFonts w:ascii="Times New Roman" w:eastAsia="宋体" w:hint="eastAsia"/>
          <w:color w:val="000000" w:themeColor="text1"/>
          <w:sz w:val="24"/>
          <w:szCs w:val="24"/>
        </w:rPr>
        <w:t>）》，行业类别属于</w:t>
      </w:r>
      <w:r>
        <w:rPr>
          <w:rFonts w:ascii="Times New Roman" w:eastAsia="宋体" w:hint="eastAsia"/>
          <w:color w:val="000000" w:themeColor="text1"/>
          <w:sz w:val="24"/>
          <w:szCs w:val="24"/>
        </w:rPr>
        <w:t>C</w:t>
      </w:r>
      <w:r>
        <w:rPr>
          <w:rFonts w:ascii="Times New Roman" w:eastAsia="宋体"/>
          <w:color w:val="000000" w:themeColor="text1"/>
          <w:sz w:val="24"/>
          <w:szCs w:val="24"/>
        </w:rPr>
        <w:t>262</w:t>
      </w:r>
      <w:r>
        <w:rPr>
          <w:rFonts w:ascii="Times New Roman" w:eastAsia="宋体" w:hint="eastAsia"/>
          <w:color w:val="000000" w:themeColor="text1"/>
          <w:sz w:val="24"/>
          <w:szCs w:val="24"/>
        </w:rPr>
        <w:t>肥料制造。</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w:t>
      </w:r>
      <w:r>
        <w:rPr>
          <w:rFonts w:ascii="Times New Roman" w:eastAsia="宋体" w:hint="eastAsia"/>
          <w:color w:val="000000" w:themeColor="text1"/>
          <w:sz w:val="24"/>
          <w:szCs w:val="24"/>
        </w:rPr>
        <w:t>2</w:t>
      </w:r>
      <w:r>
        <w:rPr>
          <w:rFonts w:ascii="Times New Roman" w:eastAsia="宋体" w:hint="eastAsia"/>
          <w:color w:val="000000" w:themeColor="text1"/>
          <w:sz w:val="24"/>
          <w:szCs w:val="24"/>
        </w:rPr>
        <w:t>）</w:t>
      </w:r>
      <w:r>
        <w:rPr>
          <w:rFonts w:ascii="Times New Roman" w:eastAsia="宋体"/>
          <w:color w:val="000000" w:themeColor="text1"/>
          <w:sz w:val="24"/>
          <w:szCs w:val="24"/>
        </w:rPr>
        <w:t>环评类别</w:t>
      </w:r>
    </w:p>
    <w:p w:rsidR="00C861DA" w:rsidRDefault="0044752E">
      <w:pPr>
        <w:spacing w:line="360" w:lineRule="auto"/>
        <w:ind w:firstLineChars="200" w:firstLine="480"/>
        <w:jc w:val="both"/>
        <w:rPr>
          <w:rFonts w:ascii="Times New Roman" w:eastAsia="宋体"/>
          <w:color w:val="000000" w:themeColor="text1"/>
          <w:sz w:val="24"/>
        </w:rPr>
      </w:pPr>
      <w:r>
        <w:rPr>
          <w:rFonts w:ascii="Times New Roman" w:eastAsia="宋体"/>
          <w:color w:val="000000" w:themeColor="text1"/>
          <w:sz w:val="24"/>
        </w:rPr>
        <w:t>根据《建设项目环境影响评价分类管理名录》（环境保护部令</w:t>
      </w:r>
      <w:r>
        <w:rPr>
          <w:rFonts w:ascii="Times New Roman" w:eastAsia="宋体"/>
          <w:color w:val="000000" w:themeColor="text1"/>
          <w:sz w:val="24"/>
        </w:rPr>
        <w:t xml:space="preserve"> </w:t>
      </w:r>
      <w:r>
        <w:rPr>
          <w:rFonts w:ascii="Times New Roman" w:eastAsia="宋体"/>
          <w:color w:val="000000" w:themeColor="text1"/>
          <w:sz w:val="24"/>
        </w:rPr>
        <w:t>第</w:t>
      </w:r>
      <w:r>
        <w:rPr>
          <w:rFonts w:ascii="Times New Roman" w:eastAsia="宋体"/>
          <w:color w:val="000000" w:themeColor="text1"/>
          <w:sz w:val="24"/>
        </w:rPr>
        <w:t>44</w:t>
      </w:r>
      <w:r>
        <w:rPr>
          <w:rFonts w:ascii="Times New Roman" w:eastAsia="宋体"/>
          <w:color w:val="000000" w:themeColor="text1"/>
          <w:sz w:val="24"/>
        </w:rPr>
        <w:t>号）和</w:t>
      </w:r>
      <w:r>
        <w:rPr>
          <w:rFonts w:ascii="Times New Roman" w:eastAsia="宋体"/>
          <w:color w:val="000000" w:themeColor="text1"/>
          <w:sz w:val="24"/>
        </w:rPr>
        <w:t>2018</w:t>
      </w:r>
      <w:r>
        <w:rPr>
          <w:rFonts w:ascii="Times New Roman" w:eastAsia="宋体"/>
          <w:color w:val="000000" w:themeColor="text1"/>
          <w:sz w:val="24"/>
        </w:rPr>
        <w:t>年</w:t>
      </w:r>
      <w:r>
        <w:rPr>
          <w:rFonts w:ascii="Times New Roman" w:eastAsia="宋体"/>
          <w:color w:val="000000" w:themeColor="text1"/>
          <w:sz w:val="24"/>
        </w:rPr>
        <w:t>4</w:t>
      </w:r>
      <w:r>
        <w:rPr>
          <w:rFonts w:ascii="Times New Roman" w:eastAsia="宋体"/>
          <w:color w:val="000000" w:themeColor="text1"/>
          <w:sz w:val="24"/>
        </w:rPr>
        <w:t>月</w:t>
      </w:r>
      <w:r>
        <w:rPr>
          <w:rFonts w:ascii="Times New Roman" w:eastAsia="宋体"/>
          <w:color w:val="000000" w:themeColor="text1"/>
          <w:sz w:val="24"/>
        </w:rPr>
        <w:t>28</w:t>
      </w:r>
      <w:r>
        <w:rPr>
          <w:rFonts w:ascii="Times New Roman" w:eastAsia="宋体"/>
          <w:color w:val="000000" w:themeColor="text1"/>
          <w:sz w:val="24"/>
        </w:rPr>
        <w:t>日公布的《关于修改</w:t>
      </w:r>
      <w:r>
        <w:rPr>
          <w:rFonts w:ascii="Times New Roman" w:eastAsia="宋体"/>
          <w:color w:val="000000" w:themeColor="text1"/>
          <w:sz w:val="24"/>
        </w:rPr>
        <w:t>&lt;</w:t>
      </w:r>
      <w:r>
        <w:rPr>
          <w:rFonts w:ascii="Times New Roman" w:eastAsia="宋体"/>
          <w:color w:val="000000" w:themeColor="text1"/>
          <w:sz w:val="24"/>
        </w:rPr>
        <w:t>建设项目环境影响评价分类管理名录</w:t>
      </w:r>
      <w:r>
        <w:rPr>
          <w:rFonts w:ascii="Times New Roman" w:eastAsia="宋体"/>
          <w:color w:val="000000" w:themeColor="text1"/>
          <w:sz w:val="24"/>
        </w:rPr>
        <w:t>&gt;</w:t>
      </w:r>
      <w:r>
        <w:rPr>
          <w:rFonts w:ascii="Times New Roman" w:eastAsia="宋体"/>
          <w:color w:val="000000" w:themeColor="text1"/>
          <w:sz w:val="24"/>
        </w:rPr>
        <w:t>部分内容的决定》修正，本项目为</w:t>
      </w:r>
      <w:r>
        <w:rPr>
          <w:rFonts w:ascii="Times New Roman" w:eastAsia="宋体"/>
          <w:color w:val="000000" w:themeColor="text1"/>
          <w:sz w:val="24"/>
        </w:rPr>
        <w:t>“</w:t>
      </w:r>
      <w:r>
        <w:rPr>
          <w:rFonts w:ascii="Times New Roman" w:eastAsia="宋体"/>
          <w:color w:val="000000" w:themeColor="text1"/>
          <w:sz w:val="24"/>
        </w:rPr>
        <w:t>37</w:t>
      </w:r>
      <w:r>
        <w:rPr>
          <w:rFonts w:ascii="Times New Roman" w:eastAsia="宋体"/>
          <w:color w:val="000000" w:themeColor="text1"/>
          <w:sz w:val="24"/>
        </w:rPr>
        <w:t>肥料制造</w:t>
      </w:r>
      <w:r>
        <w:rPr>
          <w:rFonts w:ascii="Times New Roman" w:eastAsia="宋体"/>
          <w:color w:val="000000" w:themeColor="text1"/>
          <w:sz w:val="24"/>
        </w:rPr>
        <w:t>”</w:t>
      </w:r>
      <w:r>
        <w:rPr>
          <w:rFonts w:ascii="Times New Roman" w:eastAsia="宋体"/>
          <w:color w:val="000000" w:themeColor="text1"/>
          <w:sz w:val="24"/>
        </w:rPr>
        <w:t>项目为有机复合肥涉及部分化学肥料，环评类别为</w:t>
      </w:r>
      <w:r>
        <w:rPr>
          <w:rFonts w:ascii="Times New Roman" w:eastAsia="宋体"/>
          <w:color w:val="000000" w:themeColor="text1"/>
          <w:sz w:val="24"/>
        </w:rPr>
        <w:t>“</w:t>
      </w:r>
      <w:r>
        <w:rPr>
          <w:rFonts w:ascii="Times New Roman" w:eastAsia="宋体"/>
          <w:color w:val="000000" w:themeColor="text1"/>
          <w:sz w:val="24"/>
        </w:rPr>
        <w:t>编制环境影响报告书</w:t>
      </w:r>
      <w:r>
        <w:rPr>
          <w:rFonts w:ascii="Times New Roman" w:eastAsia="宋体"/>
          <w:color w:val="000000" w:themeColor="text1"/>
          <w:sz w:val="24"/>
        </w:rPr>
        <w:t>”</w:t>
      </w:r>
      <w:r>
        <w:rPr>
          <w:rFonts w:ascii="Times New Roman" w:eastAsia="宋体"/>
          <w:color w:val="000000" w:themeColor="text1"/>
          <w:sz w:val="24"/>
        </w:rPr>
        <w:t>。</w:t>
      </w:r>
    </w:p>
    <w:p w:rsidR="00C861DA" w:rsidRDefault="0044752E">
      <w:pPr>
        <w:pStyle w:val="22"/>
        <w:rPr>
          <w:rFonts w:ascii="Times New Roman" w:eastAsia="宋体" w:hAnsi="Times New Roman"/>
          <w:bCs w:val="0"/>
          <w:color w:val="000000" w:themeColor="text1"/>
          <w:sz w:val="28"/>
          <w:szCs w:val="28"/>
        </w:rPr>
      </w:pPr>
      <w:bookmarkStart w:id="27" w:name="_Toc6826749"/>
      <w:bookmarkStart w:id="28" w:name="_Toc242"/>
      <w:bookmarkStart w:id="29" w:name="_Toc1678"/>
      <w:bookmarkStart w:id="30" w:name="_Toc18604"/>
      <w:bookmarkStart w:id="31" w:name="_Toc21495"/>
      <w:r>
        <w:rPr>
          <w:rFonts w:ascii="Times New Roman" w:eastAsia="宋体" w:hAnsi="Times New Roman" w:hint="eastAsia"/>
          <w:bCs w:val="0"/>
          <w:color w:val="000000" w:themeColor="text1"/>
          <w:sz w:val="28"/>
          <w:szCs w:val="28"/>
        </w:rPr>
        <w:lastRenderedPageBreak/>
        <w:t>1.4</w:t>
      </w:r>
      <w:r>
        <w:rPr>
          <w:rFonts w:ascii="Times New Roman" w:eastAsia="宋体" w:hAnsi="Times New Roman" w:hint="eastAsia"/>
          <w:bCs w:val="0"/>
          <w:color w:val="000000" w:themeColor="text1"/>
          <w:sz w:val="28"/>
          <w:szCs w:val="28"/>
        </w:rPr>
        <w:t>主要建设内容</w:t>
      </w:r>
      <w:bookmarkEnd w:id="27"/>
      <w:bookmarkEnd w:id="28"/>
      <w:bookmarkEnd w:id="29"/>
      <w:bookmarkEnd w:id="30"/>
      <w:bookmarkEnd w:id="31"/>
    </w:p>
    <w:p w:rsidR="00C861DA" w:rsidRDefault="0044752E">
      <w:pPr>
        <w:spacing w:line="360" w:lineRule="auto"/>
        <w:ind w:firstLineChars="200" w:firstLine="480"/>
        <w:jc w:val="both"/>
        <w:rPr>
          <w:rFonts w:ascii="宋体" w:eastAsia="宋体" w:hAnsi="宋体"/>
          <w:color w:val="000000" w:themeColor="text1"/>
          <w:sz w:val="24"/>
        </w:rPr>
      </w:pPr>
      <w:r>
        <w:rPr>
          <w:rFonts w:ascii="宋体" w:eastAsia="宋体" w:hAnsi="宋体" w:hint="eastAsia"/>
          <w:color w:val="000000" w:themeColor="text1"/>
          <w:sz w:val="24"/>
        </w:rPr>
        <w:t>本项目建设主要分主体工程、辅助工程、公用工程和环保工程，其中主体工程包括一条绿色有硝绿色有机硝基复合肥生产线和一条绿色有机尿基复合肥生产线，辅助工程包括中间产物及最终产品仓储设施，环保设施包括</w:t>
      </w:r>
      <w:r>
        <w:rPr>
          <w:rFonts w:ascii="宋体" w:eastAsia="宋体" w:hAnsi="宋体" w:hint="eastAsia"/>
          <w:color w:val="000000" w:themeColor="text1"/>
          <w:sz w:val="24"/>
        </w:rPr>
        <w:t>7</w:t>
      </w:r>
      <w:r>
        <w:rPr>
          <w:rFonts w:ascii="宋体" w:eastAsia="宋体" w:hAnsi="宋体" w:hint="eastAsia"/>
          <w:color w:val="000000" w:themeColor="text1"/>
          <w:sz w:val="24"/>
        </w:rPr>
        <w:t>个排气筒、</w:t>
      </w:r>
      <w:r>
        <w:rPr>
          <w:rFonts w:ascii="宋体" w:eastAsia="宋体" w:hAnsi="宋体" w:hint="eastAsia"/>
          <w:color w:val="000000" w:themeColor="text1"/>
          <w:sz w:val="24"/>
        </w:rPr>
        <w:t>4</w:t>
      </w:r>
      <w:r>
        <w:rPr>
          <w:rFonts w:ascii="宋体" w:eastAsia="宋体" w:hAnsi="宋体" w:hint="eastAsia"/>
          <w:color w:val="000000" w:themeColor="text1"/>
          <w:sz w:val="24"/>
        </w:rPr>
        <w:t>套布袋除尘系统、</w:t>
      </w:r>
      <w:r>
        <w:rPr>
          <w:rFonts w:ascii="宋体" w:eastAsia="宋体" w:hAnsi="宋体" w:hint="eastAsia"/>
          <w:color w:val="000000" w:themeColor="text1"/>
          <w:sz w:val="24"/>
        </w:rPr>
        <w:t>2</w:t>
      </w:r>
      <w:r>
        <w:rPr>
          <w:rFonts w:ascii="宋体" w:eastAsia="宋体" w:hAnsi="宋体" w:hint="eastAsia"/>
          <w:color w:val="000000" w:themeColor="text1"/>
          <w:sz w:val="24"/>
        </w:rPr>
        <w:t>个氨洗涤塔和</w:t>
      </w:r>
      <w:r>
        <w:rPr>
          <w:rFonts w:ascii="宋体" w:eastAsia="宋体" w:hAnsi="宋体" w:hint="eastAsia"/>
          <w:color w:val="000000" w:themeColor="text1"/>
          <w:sz w:val="24"/>
        </w:rPr>
        <w:t>1</w:t>
      </w:r>
      <w:r>
        <w:rPr>
          <w:rFonts w:ascii="宋体" w:eastAsia="宋体" w:hAnsi="宋体" w:hint="eastAsia"/>
          <w:color w:val="000000" w:themeColor="text1"/>
          <w:sz w:val="24"/>
        </w:rPr>
        <w:t>个生产废水收集池</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color w:val="000000" w:themeColor="text1"/>
          <w:kern w:val="1"/>
          <w:sz w:val="24"/>
          <w:szCs w:val="24"/>
        </w:rPr>
        <w:t>000m</w:t>
      </w:r>
      <w:r>
        <w:rPr>
          <w:rFonts w:ascii="Times New Roman" w:eastAsia="宋体" w:hAnsi="Times New Roman" w:cs="Times New Roman"/>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个初期雨水收集池（</w:t>
      </w:r>
      <w:r>
        <w:rPr>
          <w:rFonts w:ascii="Times New Roman" w:eastAsia="宋体" w:hAnsi="Times New Roman" w:cs="Times New Roman" w:hint="eastAsia"/>
          <w:color w:val="000000" w:themeColor="text1"/>
          <w:kern w:val="1"/>
          <w:sz w:val="24"/>
          <w:szCs w:val="24"/>
        </w:rPr>
        <w:t>4</w:t>
      </w:r>
      <w:r>
        <w:rPr>
          <w:rFonts w:ascii="Times New Roman" w:eastAsia="宋体" w:hAnsi="Times New Roman" w:cs="Times New Roman"/>
          <w:color w:val="000000" w:themeColor="text1"/>
          <w:kern w:val="1"/>
          <w:sz w:val="24"/>
          <w:szCs w:val="24"/>
        </w:rPr>
        <w:t>300m</w:t>
      </w:r>
      <w:r>
        <w:rPr>
          <w:rFonts w:ascii="Times New Roman" w:eastAsia="宋体" w:hAnsi="Times New Roman" w:cs="Times New Roman"/>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个事故池（</w:t>
      </w:r>
      <w:r>
        <w:rPr>
          <w:rFonts w:ascii="Times New Roman" w:eastAsia="宋体" w:hAnsi="Times New Roman" w:cs="Times New Roman"/>
          <w:color w:val="000000" w:themeColor="text1"/>
          <w:kern w:val="1"/>
          <w:sz w:val="24"/>
          <w:szCs w:val="24"/>
        </w:rPr>
        <w:t>2600m</w:t>
      </w:r>
      <w:r>
        <w:rPr>
          <w:rFonts w:ascii="Times New Roman" w:eastAsia="宋体" w:hAnsi="Times New Roman" w:cs="Times New Roman"/>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w:t>
      </w:r>
      <w:r>
        <w:rPr>
          <w:rFonts w:ascii="宋体" w:eastAsia="宋体" w:hAnsi="宋体" w:hint="eastAsia"/>
          <w:color w:val="000000" w:themeColor="text1"/>
          <w:sz w:val="24"/>
        </w:rPr>
        <w:t>。</w:t>
      </w:r>
    </w:p>
    <w:p w:rsidR="00C861DA" w:rsidRDefault="0044752E">
      <w:pPr>
        <w:pStyle w:val="22"/>
        <w:rPr>
          <w:rFonts w:ascii="Times New Roman" w:eastAsia="宋体" w:hAnsi="Times New Roman"/>
          <w:bCs w:val="0"/>
          <w:color w:val="000000" w:themeColor="text1"/>
          <w:sz w:val="28"/>
          <w:szCs w:val="28"/>
        </w:rPr>
      </w:pPr>
      <w:bookmarkStart w:id="32" w:name="_Toc11537"/>
      <w:bookmarkStart w:id="33" w:name="_Toc6826750"/>
      <w:bookmarkStart w:id="34" w:name="_Toc2600"/>
      <w:bookmarkStart w:id="35" w:name="_Toc11746"/>
      <w:bookmarkStart w:id="36" w:name="_Toc31263"/>
      <w:r>
        <w:rPr>
          <w:rFonts w:ascii="Times New Roman" w:eastAsia="宋体" w:hAnsi="Times New Roman" w:hint="eastAsia"/>
          <w:bCs w:val="0"/>
          <w:color w:val="000000" w:themeColor="text1"/>
          <w:sz w:val="28"/>
          <w:szCs w:val="28"/>
        </w:rPr>
        <w:t>1.5</w:t>
      </w:r>
      <w:r>
        <w:rPr>
          <w:rFonts w:ascii="Times New Roman" w:eastAsia="宋体" w:hAnsi="Times New Roman" w:hint="eastAsia"/>
          <w:bCs w:val="0"/>
          <w:color w:val="000000" w:themeColor="text1"/>
          <w:sz w:val="28"/>
          <w:szCs w:val="28"/>
        </w:rPr>
        <w:t>与产业政策、区域规划相符性分析</w:t>
      </w:r>
      <w:bookmarkEnd w:id="32"/>
      <w:bookmarkEnd w:id="33"/>
      <w:bookmarkEnd w:id="34"/>
      <w:bookmarkEnd w:id="35"/>
      <w:bookmarkEnd w:id="36"/>
    </w:p>
    <w:p w:rsidR="00C861DA" w:rsidRDefault="0044752E">
      <w:pPr>
        <w:keepNext/>
        <w:keepLines/>
        <w:spacing w:line="360" w:lineRule="auto"/>
        <w:outlineLvl w:val="2"/>
        <w:rPr>
          <w:rFonts w:ascii="Times New Roman" w:eastAsia="宋体"/>
          <w:b/>
          <w:bCs/>
          <w:color w:val="000000" w:themeColor="text1"/>
          <w:sz w:val="24"/>
          <w:szCs w:val="24"/>
        </w:rPr>
      </w:pPr>
      <w:bookmarkStart w:id="37" w:name="_Toc10382"/>
      <w:bookmarkStart w:id="38" w:name="_Toc30815"/>
      <w:bookmarkStart w:id="39" w:name="_Toc17960"/>
      <w:bookmarkStart w:id="40" w:name="_Toc30378"/>
      <w:r>
        <w:rPr>
          <w:rFonts w:ascii="Times New Roman" w:eastAsia="宋体" w:hint="eastAsia"/>
          <w:b/>
          <w:bCs/>
          <w:color w:val="000000" w:themeColor="text1"/>
          <w:sz w:val="24"/>
          <w:szCs w:val="24"/>
        </w:rPr>
        <w:t>1.5.1</w:t>
      </w:r>
      <w:r>
        <w:rPr>
          <w:rFonts w:ascii="Times New Roman" w:eastAsia="宋体" w:hint="eastAsia"/>
          <w:b/>
          <w:bCs/>
          <w:color w:val="000000" w:themeColor="text1"/>
          <w:sz w:val="24"/>
          <w:szCs w:val="24"/>
        </w:rPr>
        <w:t>产业政策相符性分析</w:t>
      </w:r>
      <w:bookmarkEnd w:id="37"/>
      <w:bookmarkEnd w:id="38"/>
      <w:bookmarkEnd w:id="39"/>
      <w:bookmarkEnd w:id="40"/>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rPr>
        <w:t>本项目以液氨、磷酸一铵、硫酸钾和有机质、腐殖酸及二氧化碳气等生产绿色有机硝基复合肥和绿色有机尿基复合肥，根据国家发改委</w:t>
      </w:r>
      <w:r>
        <w:rPr>
          <w:rFonts w:ascii="Times New Roman" w:eastAsia="宋体"/>
          <w:color w:val="000000" w:themeColor="text1"/>
          <w:sz w:val="24"/>
        </w:rPr>
        <w:t>2011</w:t>
      </w:r>
      <w:r>
        <w:rPr>
          <w:rFonts w:ascii="Times New Roman" w:eastAsia="宋体"/>
          <w:color w:val="000000" w:themeColor="text1"/>
          <w:sz w:val="24"/>
        </w:rPr>
        <w:t>年</w:t>
      </w:r>
      <w:r>
        <w:rPr>
          <w:rFonts w:ascii="Times New Roman" w:eastAsia="宋体"/>
          <w:color w:val="000000" w:themeColor="text1"/>
          <w:sz w:val="24"/>
        </w:rPr>
        <w:t>9</w:t>
      </w:r>
      <w:r>
        <w:rPr>
          <w:rFonts w:ascii="Times New Roman" w:eastAsia="宋体"/>
          <w:color w:val="000000" w:themeColor="text1"/>
          <w:sz w:val="24"/>
        </w:rPr>
        <w:t>号令及</w:t>
      </w:r>
      <w:r>
        <w:rPr>
          <w:rFonts w:ascii="Times New Roman" w:eastAsia="宋体"/>
          <w:color w:val="000000" w:themeColor="text1"/>
          <w:sz w:val="24"/>
        </w:rPr>
        <w:t>2013</w:t>
      </w:r>
      <w:r>
        <w:rPr>
          <w:rFonts w:ascii="Times New Roman" w:eastAsia="宋体"/>
          <w:color w:val="000000" w:themeColor="text1"/>
          <w:sz w:val="24"/>
        </w:rPr>
        <w:t>年</w:t>
      </w:r>
      <w:r>
        <w:rPr>
          <w:rFonts w:ascii="Times New Roman" w:eastAsia="宋体"/>
          <w:color w:val="000000" w:themeColor="text1"/>
          <w:sz w:val="24"/>
        </w:rPr>
        <w:t>21</w:t>
      </w:r>
      <w:r>
        <w:rPr>
          <w:rFonts w:ascii="Times New Roman" w:eastAsia="宋体"/>
          <w:color w:val="000000" w:themeColor="text1"/>
          <w:sz w:val="24"/>
        </w:rPr>
        <w:t>号令公布的《产业结构调整指导目录》（</w:t>
      </w:r>
      <w:r>
        <w:rPr>
          <w:rFonts w:ascii="Times New Roman" w:eastAsia="宋体"/>
          <w:color w:val="000000" w:themeColor="text1"/>
          <w:sz w:val="24"/>
        </w:rPr>
        <w:t>2011</w:t>
      </w:r>
      <w:r>
        <w:rPr>
          <w:rFonts w:ascii="Times New Roman" w:eastAsia="宋体"/>
          <w:color w:val="000000" w:themeColor="text1"/>
          <w:sz w:val="24"/>
        </w:rPr>
        <w:t>年本）（</w:t>
      </w:r>
      <w:r>
        <w:rPr>
          <w:rFonts w:ascii="Times New Roman" w:eastAsia="宋体"/>
          <w:color w:val="000000" w:themeColor="text1"/>
          <w:sz w:val="24"/>
        </w:rPr>
        <w:t>2013</w:t>
      </w:r>
      <w:r>
        <w:rPr>
          <w:rFonts w:ascii="Times New Roman" w:eastAsia="宋体"/>
          <w:color w:val="000000" w:themeColor="text1"/>
          <w:sz w:val="24"/>
        </w:rPr>
        <w:t>年修正）为鼓励类</w:t>
      </w:r>
      <w:r>
        <w:rPr>
          <w:rFonts w:ascii="Times New Roman" w:eastAsia="宋体"/>
          <w:color w:val="000000" w:themeColor="text1"/>
          <w:sz w:val="24"/>
        </w:rPr>
        <w:t>“</w:t>
      </w:r>
      <w:r>
        <w:rPr>
          <w:rFonts w:ascii="Times New Roman" w:eastAsia="宋体"/>
          <w:color w:val="000000" w:themeColor="text1"/>
          <w:sz w:val="24"/>
        </w:rPr>
        <w:t>有机废弃物无害化处理及有机肥料产业化技术开发与应用</w:t>
      </w:r>
      <w:r>
        <w:rPr>
          <w:rFonts w:ascii="Times New Roman" w:eastAsia="宋体"/>
          <w:color w:val="000000" w:themeColor="text1"/>
          <w:sz w:val="24"/>
        </w:rPr>
        <w:t>”</w:t>
      </w:r>
      <w:r>
        <w:rPr>
          <w:rFonts w:ascii="Times New Roman" w:eastAsia="宋体"/>
          <w:color w:val="000000" w:themeColor="text1"/>
          <w:sz w:val="24"/>
        </w:rPr>
        <w:t>。通过查阅《淘汰落后生产能力、工艺和产品的目录》本项目生产的工艺、产品及制造过程中涉及的设备均不在目录规定的范围内；且项目位于安宁工业园区内</w:t>
      </w:r>
      <w:r>
        <w:rPr>
          <w:rFonts w:ascii="Times New Roman" w:eastAsia="宋体" w:hint="eastAsia"/>
          <w:color w:val="000000" w:themeColor="text1"/>
          <w:sz w:val="24"/>
        </w:rPr>
        <w:t>（见附件</w:t>
      </w:r>
      <w:r>
        <w:rPr>
          <w:rFonts w:ascii="Times New Roman" w:eastAsia="宋体" w:hint="eastAsia"/>
          <w:color w:val="000000" w:themeColor="text1"/>
          <w:sz w:val="24"/>
        </w:rPr>
        <w:t>8</w:t>
      </w:r>
      <w:r>
        <w:rPr>
          <w:rFonts w:ascii="Times New Roman" w:eastAsia="宋体" w:hint="eastAsia"/>
          <w:color w:val="000000" w:themeColor="text1"/>
          <w:sz w:val="24"/>
        </w:rPr>
        <w:t>：项目位于工业园区的说明）</w:t>
      </w:r>
      <w:r>
        <w:rPr>
          <w:rFonts w:ascii="Times New Roman" w:eastAsia="宋体"/>
          <w:color w:val="000000" w:themeColor="text1"/>
          <w:sz w:val="24"/>
        </w:rPr>
        <w:t>，园区基础设施完善，不涉及生态红线，不在负面准入清单内，</w:t>
      </w:r>
      <w:r>
        <w:rPr>
          <w:rFonts w:ascii="Times New Roman" w:eastAsia="宋体"/>
          <w:color w:val="000000" w:themeColor="text1"/>
          <w:sz w:val="24"/>
        </w:rPr>
        <w:t>符合安宁工业园区的相关规划，不存在制约因素。</w:t>
      </w:r>
    </w:p>
    <w:p w:rsidR="00C861DA" w:rsidRDefault="0044752E">
      <w:pPr>
        <w:keepNext/>
        <w:keepLines/>
        <w:spacing w:line="360" w:lineRule="auto"/>
        <w:outlineLvl w:val="2"/>
        <w:rPr>
          <w:rFonts w:ascii="Times New Roman" w:eastAsia="宋体"/>
          <w:b/>
          <w:bCs/>
          <w:color w:val="000000" w:themeColor="text1"/>
          <w:sz w:val="24"/>
          <w:szCs w:val="24"/>
        </w:rPr>
      </w:pPr>
      <w:bookmarkStart w:id="41" w:name="_Toc32248"/>
      <w:bookmarkStart w:id="42" w:name="_Toc18298"/>
      <w:bookmarkStart w:id="43" w:name="_Toc16008"/>
      <w:bookmarkStart w:id="44" w:name="_Toc28330"/>
      <w:r>
        <w:rPr>
          <w:rFonts w:ascii="Times New Roman" w:eastAsia="宋体" w:hint="eastAsia"/>
          <w:b/>
          <w:bCs/>
          <w:color w:val="000000" w:themeColor="text1"/>
          <w:sz w:val="24"/>
          <w:szCs w:val="24"/>
        </w:rPr>
        <w:t>1.5.2</w:t>
      </w:r>
      <w:r>
        <w:rPr>
          <w:rFonts w:ascii="Times New Roman" w:eastAsia="宋体" w:hint="eastAsia"/>
          <w:b/>
          <w:bCs/>
          <w:color w:val="000000" w:themeColor="text1"/>
          <w:sz w:val="24"/>
          <w:szCs w:val="24"/>
        </w:rPr>
        <w:t>区域规划相符性分析</w:t>
      </w:r>
      <w:bookmarkEnd w:id="41"/>
      <w:bookmarkEnd w:id="42"/>
      <w:bookmarkEnd w:id="43"/>
      <w:bookmarkEnd w:id="44"/>
    </w:p>
    <w:p w:rsidR="00C861DA" w:rsidRDefault="0044752E">
      <w:pPr>
        <w:spacing w:line="360" w:lineRule="auto"/>
        <w:ind w:leftChars="50" w:left="105" w:rightChars="50" w:right="105" w:firstLineChars="200" w:firstLine="482"/>
        <w:rPr>
          <w:rFonts w:ascii="Times New Roman" w:eastAsia="宋体"/>
          <w:b/>
          <w:color w:val="000000" w:themeColor="text1"/>
          <w:sz w:val="24"/>
          <w:szCs w:val="24"/>
        </w:rPr>
      </w:pPr>
      <w:r>
        <w:rPr>
          <w:rFonts w:ascii="Times New Roman" w:eastAsia="宋体"/>
          <w:b/>
          <w:color w:val="000000" w:themeColor="text1"/>
          <w:sz w:val="24"/>
          <w:szCs w:val="24"/>
        </w:rPr>
        <w:t>1</w:t>
      </w:r>
      <w:r>
        <w:rPr>
          <w:rFonts w:ascii="Times New Roman" w:eastAsia="宋体"/>
          <w:b/>
          <w:color w:val="000000" w:themeColor="text1"/>
          <w:sz w:val="24"/>
          <w:szCs w:val="24"/>
        </w:rPr>
        <w:t>、</w:t>
      </w:r>
      <w:r>
        <w:rPr>
          <w:rFonts w:ascii="Times New Roman" w:eastAsia="宋体" w:hint="eastAsia"/>
          <w:b/>
          <w:color w:val="000000" w:themeColor="text1"/>
          <w:sz w:val="24"/>
          <w:szCs w:val="24"/>
        </w:rPr>
        <w:t>与</w:t>
      </w:r>
      <w:r>
        <w:rPr>
          <w:rFonts w:ascii="Times New Roman" w:eastAsia="宋体"/>
          <w:b/>
          <w:color w:val="000000" w:themeColor="text1"/>
          <w:sz w:val="24"/>
          <w:szCs w:val="24"/>
        </w:rPr>
        <w:t>安宁市城市总体规划（</w:t>
      </w:r>
      <w:r>
        <w:rPr>
          <w:rFonts w:ascii="Times New Roman" w:eastAsia="宋体"/>
          <w:b/>
          <w:color w:val="000000" w:themeColor="text1"/>
          <w:sz w:val="24"/>
          <w:szCs w:val="24"/>
        </w:rPr>
        <w:t>2008</w:t>
      </w:r>
      <w:r>
        <w:rPr>
          <w:rFonts w:ascii="Times New Roman" w:eastAsia="宋体"/>
          <w:b/>
          <w:color w:val="000000" w:themeColor="text1"/>
          <w:sz w:val="24"/>
          <w:szCs w:val="24"/>
        </w:rPr>
        <w:t>－</w:t>
      </w:r>
      <w:r>
        <w:rPr>
          <w:rFonts w:ascii="Times New Roman" w:eastAsia="宋体"/>
          <w:b/>
          <w:color w:val="000000" w:themeColor="text1"/>
          <w:sz w:val="24"/>
          <w:szCs w:val="24"/>
        </w:rPr>
        <w:t>2020</w:t>
      </w:r>
      <w:r>
        <w:rPr>
          <w:rFonts w:ascii="Times New Roman" w:eastAsia="宋体"/>
          <w:b/>
          <w:color w:val="000000" w:themeColor="text1"/>
          <w:sz w:val="24"/>
          <w:szCs w:val="24"/>
        </w:rPr>
        <w:t>）</w:t>
      </w:r>
      <w:r>
        <w:rPr>
          <w:rFonts w:ascii="Times New Roman" w:eastAsia="宋体" w:hint="eastAsia"/>
          <w:b/>
          <w:color w:val="000000" w:themeColor="text1"/>
          <w:sz w:val="24"/>
          <w:szCs w:val="24"/>
        </w:rPr>
        <w:t>符合性分析</w:t>
      </w:r>
    </w:p>
    <w:p w:rsidR="00C861DA" w:rsidRDefault="0044752E">
      <w:pPr>
        <w:spacing w:line="360" w:lineRule="auto"/>
        <w:ind w:leftChars="50" w:left="105" w:rightChars="50" w:right="105" w:firstLineChars="200" w:firstLine="482"/>
        <w:rPr>
          <w:rFonts w:ascii="Times New Roman" w:eastAsia="宋体"/>
          <w:color w:val="000000" w:themeColor="text1"/>
          <w:sz w:val="24"/>
          <w:szCs w:val="24"/>
        </w:rPr>
      </w:pPr>
      <w:r>
        <w:rPr>
          <w:rFonts w:ascii="Times New Roman" w:eastAsia="宋体"/>
          <w:b/>
          <w:color w:val="000000" w:themeColor="text1"/>
          <w:sz w:val="24"/>
          <w:szCs w:val="24"/>
        </w:rPr>
        <w:t>总体布局结构：</w:t>
      </w:r>
      <w:r>
        <w:rPr>
          <w:rFonts w:ascii="Times New Roman" w:eastAsia="宋体"/>
          <w:color w:val="000000" w:themeColor="text1"/>
          <w:sz w:val="24"/>
          <w:szCs w:val="24"/>
        </w:rPr>
        <w:t>形成</w:t>
      </w:r>
      <w:r>
        <w:rPr>
          <w:rFonts w:ascii="Times New Roman" w:eastAsia="宋体"/>
          <w:color w:val="000000" w:themeColor="text1"/>
          <w:sz w:val="24"/>
          <w:szCs w:val="24"/>
        </w:rPr>
        <w:t>“</w:t>
      </w:r>
      <w:r>
        <w:rPr>
          <w:rFonts w:ascii="Times New Roman" w:eastAsia="宋体"/>
          <w:color w:val="000000" w:themeColor="text1"/>
          <w:sz w:val="24"/>
          <w:szCs w:val="24"/>
        </w:rPr>
        <w:t>三区一带</w:t>
      </w:r>
      <w:r>
        <w:rPr>
          <w:rFonts w:ascii="Times New Roman" w:eastAsia="宋体"/>
          <w:color w:val="000000" w:themeColor="text1"/>
          <w:sz w:val="24"/>
          <w:szCs w:val="24"/>
        </w:rPr>
        <w:t>”</w:t>
      </w:r>
      <w:r>
        <w:rPr>
          <w:rFonts w:ascii="Times New Roman" w:eastAsia="宋体"/>
          <w:color w:val="000000" w:themeColor="text1"/>
          <w:sz w:val="24"/>
          <w:szCs w:val="24"/>
        </w:rPr>
        <w:t>的城市空间发展布局结构，三区为城市中心区、工业园区、水资源保护及生态农业区，一带为螳螂川旅游度假与景观带。</w:t>
      </w:r>
    </w:p>
    <w:p w:rsidR="00C861DA" w:rsidRDefault="0044752E">
      <w:pPr>
        <w:spacing w:line="360" w:lineRule="auto"/>
        <w:ind w:leftChars="50" w:left="105" w:rightChars="50" w:right="105" w:firstLineChars="200" w:firstLine="482"/>
        <w:rPr>
          <w:rFonts w:ascii="Times New Roman" w:eastAsia="宋体"/>
          <w:color w:val="000000" w:themeColor="text1"/>
          <w:sz w:val="24"/>
          <w:szCs w:val="24"/>
        </w:rPr>
      </w:pPr>
      <w:r>
        <w:rPr>
          <w:rFonts w:ascii="Times New Roman" w:eastAsia="宋体"/>
          <w:b/>
          <w:color w:val="000000" w:themeColor="text1"/>
          <w:sz w:val="24"/>
          <w:szCs w:val="24"/>
        </w:rPr>
        <w:t>城市中心区：</w:t>
      </w:r>
      <w:r>
        <w:rPr>
          <w:rFonts w:ascii="Times New Roman" w:eastAsia="宋体"/>
          <w:color w:val="000000" w:themeColor="text1"/>
          <w:sz w:val="24"/>
          <w:szCs w:val="24"/>
        </w:rPr>
        <w:t>包括连然街道办事处、金方街道办事处、温泉镇南部、县街镇北部及草铺镇东部，是安宁市城市建设的重点区域，主要布局商贸物流业、会展业、商业、信息服务业、教育培训业、房地产业等服务业，是安宁市现代服务业的核心区域。同时促进现状产业的升级，在武家庄、安晋线片区适度发展高新技术、先进装备制造等产业。</w:t>
      </w:r>
    </w:p>
    <w:p w:rsidR="00C861DA" w:rsidRDefault="0044752E">
      <w:pPr>
        <w:spacing w:line="360" w:lineRule="auto"/>
        <w:ind w:leftChars="50" w:left="105" w:rightChars="50" w:right="105" w:firstLineChars="200" w:firstLine="482"/>
        <w:rPr>
          <w:rFonts w:ascii="Times New Roman" w:eastAsia="宋体"/>
          <w:color w:val="000000" w:themeColor="text1"/>
          <w:sz w:val="24"/>
          <w:szCs w:val="24"/>
        </w:rPr>
      </w:pPr>
      <w:r>
        <w:rPr>
          <w:rFonts w:ascii="Times New Roman" w:eastAsia="宋体"/>
          <w:b/>
          <w:color w:val="000000" w:themeColor="text1"/>
          <w:sz w:val="24"/>
          <w:szCs w:val="24"/>
        </w:rPr>
        <w:t>工业园区：</w:t>
      </w:r>
      <w:r>
        <w:rPr>
          <w:rFonts w:ascii="Times New Roman" w:eastAsia="宋体"/>
          <w:color w:val="000000" w:themeColor="text1"/>
          <w:sz w:val="24"/>
          <w:szCs w:val="24"/>
        </w:rPr>
        <w:t>包括安晋线部分，禄脿中南部、草铺镇</w:t>
      </w:r>
      <w:r>
        <w:rPr>
          <w:rFonts w:ascii="Times New Roman" w:eastAsia="宋体"/>
          <w:color w:val="000000" w:themeColor="text1"/>
          <w:sz w:val="24"/>
          <w:szCs w:val="24"/>
        </w:rPr>
        <w:t>320</w:t>
      </w:r>
      <w:r>
        <w:rPr>
          <w:rFonts w:ascii="Times New Roman" w:eastAsia="宋体"/>
          <w:color w:val="000000" w:themeColor="text1"/>
          <w:sz w:val="24"/>
          <w:szCs w:val="24"/>
        </w:rPr>
        <w:t>国道两侧区域以及</w:t>
      </w:r>
      <w:r>
        <w:rPr>
          <w:rFonts w:ascii="Times New Roman" w:eastAsia="宋体"/>
          <w:color w:val="000000" w:themeColor="text1"/>
          <w:sz w:val="24"/>
          <w:szCs w:val="24"/>
        </w:rPr>
        <w:lastRenderedPageBreak/>
        <w:t>青龙镇南部。以安楚高速公路为轴线，在连然、金方街道及安晋线重点发展新型材料制造、物流业和高新技术产业；在草铺重点发展钢铁产业、精细磷盐化工产业和石化工业；在</w:t>
      </w:r>
      <w:r>
        <w:rPr>
          <w:rFonts w:ascii="Times New Roman" w:eastAsia="宋体"/>
          <w:color w:val="000000" w:themeColor="text1"/>
          <w:sz w:val="24"/>
          <w:szCs w:val="24"/>
        </w:rPr>
        <w:t>青龙南部重点发展钢铁生产与电力生产业，在禄脿镇安丰营地区战略预留石化与装备制造业用地。</w:t>
      </w:r>
    </w:p>
    <w:p w:rsidR="00C861DA" w:rsidRDefault="0044752E">
      <w:pPr>
        <w:spacing w:line="360" w:lineRule="auto"/>
        <w:ind w:leftChars="50" w:left="105" w:rightChars="50" w:right="105" w:firstLineChars="200" w:firstLine="480"/>
        <w:rPr>
          <w:rFonts w:ascii="Times New Roman" w:eastAsia="宋体"/>
          <w:color w:val="000000" w:themeColor="text1"/>
          <w:sz w:val="24"/>
          <w:szCs w:val="24"/>
        </w:rPr>
      </w:pPr>
      <w:r>
        <w:rPr>
          <w:rFonts w:ascii="Times New Roman" w:eastAsia="宋体"/>
          <w:color w:val="000000" w:themeColor="text1"/>
          <w:sz w:val="24"/>
          <w:szCs w:val="24"/>
        </w:rPr>
        <w:t>本项目位于安宁工业园区禄脿街道安丰营村委会，属于安宁市总体规划中工业园区规划范围，符合《安宁市城市总体规划（</w:t>
      </w:r>
      <w:r>
        <w:rPr>
          <w:rFonts w:ascii="Times New Roman" w:eastAsia="宋体"/>
          <w:color w:val="000000" w:themeColor="text1"/>
          <w:sz w:val="24"/>
          <w:szCs w:val="24"/>
        </w:rPr>
        <w:t>2008</w:t>
      </w:r>
      <w:r>
        <w:rPr>
          <w:rFonts w:ascii="Times New Roman" w:eastAsia="宋体"/>
          <w:color w:val="000000" w:themeColor="text1"/>
          <w:sz w:val="24"/>
          <w:szCs w:val="24"/>
        </w:rPr>
        <w:t>－</w:t>
      </w:r>
      <w:r>
        <w:rPr>
          <w:rFonts w:ascii="Times New Roman" w:eastAsia="宋体"/>
          <w:color w:val="000000" w:themeColor="text1"/>
          <w:sz w:val="24"/>
          <w:szCs w:val="24"/>
        </w:rPr>
        <w:t>2020</w:t>
      </w:r>
      <w:r>
        <w:rPr>
          <w:rFonts w:ascii="Times New Roman" w:eastAsia="宋体"/>
          <w:color w:val="000000" w:themeColor="text1"/>
          <w:sz w:val="24"/>
          <w:szCs w:val="24"/>
        </w:rPr>
        <w:t>）》工业园区的有关规划。</w:t>
      </w:r>
    </w:p>
    <w:p w:rsidR="00C861DA" w:rsidRDefault="0044752E">
      <w:pPr>
        <w:spacing w:line="360" w:lineRule="auto"/>
        <w:ind w:leftChars="50" w:left="105" w:rightChars="50" w:right="105" w:firstLineChars="200" w:firstLine="482"/>
        <w:rPr>
          <w:rFonts w:ascii="Times New Roman" w:eastAsia="宋体"/>
          <w:b/>
          <w:color w:val="000000" w:themeColor="text1"/>
          <w:sz w:val="24"/>
          <w:szCs w:val="24"/>
        </w:rPr>
      </w:pPr>
      <w:r>
        <w:rPr>
          <w:rFonts w:ascii="Times New Roman" w:eastAsia="宋体"/>
          <w:b/>
          <w:color w:val="000000" w:themeColor="text1"/>
          <w:sz w:val="24"/>
          <w:szCs w:val="24"/>
        </w:rPr>
        <w:t>2</w:t>
      </w:r>
      <w:r>
        <w:rPr>
          <w:rFonts w:ascii="Times New Roman" w:eastAsia="宋体"/>
          <w:b/>
          <w:color w:val="000000" w:themeColor="text1"/>
          <w:sz w:val="24"/>
          <w:szCs w:val="24"/>
        </w:rPr>
        <w:t>、</w:t>
      </w:r>
      <w:r>
        <w:rPr>
          <w:rFonts w:ascii="Times New Roman" w:eastAsia="宋体" w:hint="eastAsia"/>
          <w:b/>
          <w:color w:val="000000" w:themeColor="text1"/>
          <w:sz w:val="24"/>
          <w:szCs w:val="24"/>
        </w:rPr>
        <w:t>与</w:t>
      </w:r>
      <w:r>
        <w:rPr>
          <w:rFonts w:ascii="Times New Roman" w:eastAsia="宋体"/>
          <w:b/>
          <w:color w:val="000000" w:themeColor="text1"/>
          <w:sz w:val="24"/>
          <w:szCs w:val="24"/>
        </w:rPr>
        <w:t>《安宁工业园区规划修编（</w:t>
      </w:r>
      <w:r>
        <w:rPr>
          <w:rFonts w:ascii="Times New Roman" w:eastAsia="宋体"/>
          <w:b/>
          <w:color w:val="000000" w:themeColor="text1"/>
          <w:sz w:val="24"/>
          <w:szCs w:val="24"/>
        </w:rPr>
        <w:t>2012-2020</w:t>
      </w:r>
      <w:r>
        <w:rPr>
          <w:rFonts w:ascii="Times New Roman" w:eastAsia="宋体"/>
          <w:b/>
          <w:color w:val="000000" w:themeColor="text1"/>
          <w:sz w:val="24"/>
          <w:szCs w:val="24"/>
        </w:rPr>
        <w:t>）》</w:t>
      </w:r>
      <w:r>
        <w:rPr>
          <w:rFonts w:ascii="Times New Roman" w:eastAsia="宋体" w:hint="eastAsia"/>
          <w:b/>
          <w:color w:val="000000" w:themeColor="text1"/>
          <w:sz w:val="24"/>
          <w:szCs w:val="24"/>
        </w:rPr>
        <w:t>符合性分析</w:t>
      </w:r>
    </w:p>
    <w:p w:rsidR="00C861DA" w:rsidRDefault="0044752E">
      <w:pPr>
        <w:spacing w:line="360" w:lineRule="auto"/>
        <w:ind w:leftChars="50" w:left="105" w:rightChars="50" w:right="105" w:firstLineChars="200" w:firstLine="480"/>
        <w:rPr>
          <w:rFonts w:ascii="Times New Roman" w:eastAsia="宋体"/>
          <w:color w:val="000000" w:themeColor="text1"/>
          <w:sz w:val="24"/>
          <w:szCs w:val="24"/>
        </w:rPr>
      </w:pPr>
      <w:r>
        <w:rPr>
          <w:rFonts w:ascii="Times New Roman" w:eastAsia="宋体"/>
          <w:color w:val="000000" w:themeColor="text1"/>
          <w:sz w:val="24"/>
          <w:szCs w:val="24"/>
        </w:rPr>
        <w:t>安宁工业园区作为云南省重点发展的</w:t>
      </w:r>
      <w:r>
        <w:rPr>
          <w:rFonts w:ascii="Times New Roman" w:eastAsia="宋体"/>
          <w:color w:val="000000" w:themeColor="text1"/>
          <w:sz w:val="24"/>
          <w:szCs w:val="24"/>
        </w:rPr>
        <w:t>30</w:t>
      </w:r>
      <w:r>
        <w:rPr>
          <w:rFonts w:ascii="Times New Roman" w:eastAsia="宋体"/>
          <w:color w:val="000000" w:themeColor="text1"/>
          <w:sz w:val="24"/>
          <w:szCs w:val="24"/>
        </w:rPr>
        <w:t>个工业园区和</w:t>
      </w:r>
      <w:r>
        <w:rPr>
          <w:rFonts w:ascii="Times New Roman" w:eastAsia="宋体"/>
          <w:color w:val="000000" w:themeColor="text1"/>
          <w:sz w:val="24"/>
          <w:szCs w:val="24"/>
        </w:rPr>
        <w:t>10</w:t>
      </w:r>
      <w:r>
        <w:rPr>
          <w:rFonts w:ascii="Times New Roman" w:eastAsia="宋体"/>
          <w:color w:val="000000" w:themeColor="text1"/>
          <w:sz w:val="24"/>
          <w:szCs w:val="24"/>
        </w:rPr>
        <w:t>个循环经济发展试点单位之一，肩负着安宁市工业经济发展的历史使命，并在一定程度上影响着昆明市乃至云南省的工业发展战略部署。</w:t>
      </w:r>
    </w:p>
    <w:p w:rsidR="00C861DA" w:rsidRDefault="0044752E">
      <w:pPr>
        <w:spacing w:line="360" w:lineRule="auto"/>
        <w:ind w:leftChars="50" w:left="105" w:rightChars="50" w:right="105" w:firstLineChars="200" w:firstLine="482"/>
        <w:rPr>
          <w:rFonts w:ascii="Times New Roman" w:eastAsia="宋体"/>
          <w:b/>
          <w:color w:val="000000" w:themeColor="text1"/>
          <w:sz w:val="24"/>
          <w:szCs w:val="24"/>
        </w:rPr>
      </w:pPr>
      <w:r>
        <w:rPr>
          <w:rFonts w:ascii="Times New Roman" w:eastAsia="宋体"/>
          <w:b/>
          <w:color w:val="000000" w:themeColor="text1"/>
          <w:sz w:val="24"/>
          <w:szCs w:val="24"/>
        </w:rPr>
        <w:t>（</w:t>
      </w:r>
      <w:r>
        <w:rPr>
          <w:rFonts w:ascii="Times New Roman" w:eastAsia="宋体"/>
          <w:b/>
          <w:color w:val="000000" w:themeColor="text1"/>
          <w:sz w:val="24"/>
          <w:szCs w:val="24"/>
        </w:rPr>
        <w:t>1</w:t>
      </w:r>
      <w:r>
        <w:rPr>
          <w:rFonts w:ascii="Times New Roman" w:eastAsia="宋体"/>
          <w:b/>
          <w:color w:val="000000" w:themeColor="text1"/>
          <w:sz w:val="24"/>
          <w:szCs w:val="24"/>
        </w:rPr>
        <w:t>）园区位置及规划范围</w:t>
      </w:r>
    </w:p>
    <w:p w:rsidR="00C861DA" w:rsidRDefault="0044752E">
      <w:pPr>
        <w:spacing w:line="360" w:lineRule="auto"/>
        <w:ind w:leftChars="50" w:left="105" w:rightChars="50" w:right="105" w:firstLineChars="200" w:firstLine="480"/>
        <w:rPr>
          <w:rFonts w:ascii="Times New Roman" w:eastAsia="宋体"/>
          <w:color w:val="000000" w:themeColor="text1"/>
          <w:sz w:val="24"/>
          <w:szCs w:val="24"/>
        </w:rPr>
      </w:pPr>
      <w:r>
        <w:rPr>
          <w:rFonts w:ascii="Times New Roman" w:eastAsia="宋体"/>
          <w:color w:val="000000" w:themeColor="text1"/>
          <w:sz w:val="24"/>
          <w:szCs w:val="24"/>
        </w:rPr>
        <w:t>安宁工业园区地处安宁市西北部，距安宁城区</w:t>
      </w:r>
      <w:r>
        <w:rPr>
          <w:rFonts w:ascii="Times New Roman" w:eastAsia="宋体"/>
          <w:color w:val="000000" w:themeColor="text1"/>
          <w:sz w:val="24"/>
          <w:szCs w:val="24"/>
        </w:rPr>
        <w:t>12</w:t>
      </w:r>
      <w:r>
        <w:rPr>
          <w:rFonts w:ascii="Times New Roman" w:eastAsia="宋体"/>
          <w:color w:val="000000" w:themeColor="text1"/>
          <w:sz w:val="24"/>
          <w:szCs w:val="24"/>
        </w:rPr>
        <w:t>公里，距昆明城区</w:t>
      </w:r>
      <w:r>
        <w:rPr>
          <w:rFonts w:ascii="Times New Roman" w:eastAsia="宋体"/>
          <w:color w:val="000000" w:themeColor="text1"/>
          <w:sz w:val="24"/>
          <w:szCs w:val="24"/>
        </w:rPr>
        <w:t>45</w:t>
      </w:r>
      <w:r>
        <w:rPr>
          <w:rFonts w:ascii="Times New Roman" w:eastAsia="宋体"/>
          <w:color w:val="000000" w:themeColor="text1"/>
          <w:sz w:val="24"/>
          <w:szCs w:val="24"/>
        </w:rPr>
        <w:t>公里。东与安宁中心城区接壤，西与楚雄市禄丰县的土官镇相邻，西北与禄丰县勤丰镇为邻，东北与西山区团结镇接壤，南与易门县六街镇相接。园区范围包括青龙镇、禄脿镇、草铺镇三镇行政辖区范围，规划面积</w:t>
      </w:r>
      <w:r>
        <w:rPr>
          <w:rFonts w:ascii="Times New Roman" w:eastAsia="宋体"/>
          <w:color w:val="000000" w:themeColor="text1"/>
          <w:sz w:val="24"/>
          <w:szCs w:val="24"/>
        </w:rPr>
        <w:t>395.26</w:t>
      </w:r>
      <w:r>
        <w:rPr>
          <w:rFonts w:ascii="Times New Roman" w:eastAsia="宋体"/>
          <w:color w:val="000000" w:themeColor="text1"/>
          <w:sz w:val="24"/>
          <w:szCs w:val="24"/>
        </w:rPr>
        <w:t>平方公里。</w:t>
      </w:r>
    </w:p>
    <w:p w:rsidR="00C861DA" w:rsidRDefault="0044752E">
      <w:pPr>
        <w:spacing w:line="360" w:lineRule="auto"/>
        <w:ind w:leftChars="50" w:left="105" w:rightChars="50" w:right="105" w:firstLineChars="200" w:firstLine="482"/>
        <w:rPr>
          <w:rFonts w:ascii="Times New Roman" w:eastAsia="宋体"/>
          <w:b/>
          <w:color w:val="000000" w:themeColor="text1"/>
          <w:sz w:val="24"/>
          <w:szCs w:val="24"/>
        </w:rPr>
      </w:pPr>
      <w:r>
        <w:rPr>
          <w:rFonts w:ascii="Times New Roman" w:eastAsia="宋体"/>
          <w:b/>
          <w:color w:val="000000" w:themeColor="text1"/>
          <w:sz w:val="24"/>
          <w:szCs w:val="24"/>
        </w:rPr>
        <w:t>（</w:t>
      </w:r>
      <w:r>
        <w:rPr>
          <w:rFonts w:ascii="Times New Roman" w:eastAsia="宋体"/>
          <w:b/>
          <w:color w:val="000000" w:themeColor="text1"/>
          <w:sz w:val="24"/>
          <w:szCs w:val="24"/>
        </w:rPr>
        <w:t>2</w:t>
      </w:r>
      <w:r>
        <w:rPr>
          <w:rFonts w:ascii="Times New Roman" w:eastAsia="宋体"/>
          <w:b/>
          <w:color w:val="000000" w:themeColor="text1"/>
          <w:sz w:val="24"/>
          <w:szCs w:val="24"/>
        </w:rPr>
        <w:t>）规划布局</w:t>
      </w:r>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color w:val="000000" w:themeColor="text1"/>
          <w:sz w:val="24"/>
          <w:szCs w:val="24"/>
        </w:rPr>
        <w:t>产业布局立足现有的产业分布并着眼未来发展，实施</w:t>
      </w:r>
      <w:r>
        <w:rPr>
          <w:rFonts w:ascii="Times New Roman" w:eastAsia="宋体"/>
          <w:color w:val="000000" w:themeColor="text1"/>
          <w:sz w:val="24"/>
          <w:szCs w:val="24"/>
        </w:rPr>
        <w:t>“</w:t>
      </w:r>
      <w:r>
        <w:rPr>
          <w:rFonts w:ascii="Times New Roman" w:eastAsia="宋体"/>
          <w:color w:val="000000" w:themeColor="text1"/>
          <w:sz w:val="24"/>
          <w:szCs w:val="24"/>
        </w:rPr>
        <w:t>三区</w:t>
      </w:r>
      <w:r>
        <w:rPr>
          <w:rFonts w:ascii="Times New Roman" w:eastAsia="宋体"/>
          <w:color w:val="000000" w:themeColor="text1"/>
          <w:sz w:val="24"/>
          <w:szCs w:val="24"/>
        </w:rPr>
        <w:t>”</w:t>
      </w:r>
      <w:r>
        <w:rPr>
          <w:rFonts w:ascii="Times New Roman" w:eastAsia="宋体"/>
          <w:color w:val="000000" w:themeColor="text1"/>
          <w:sz w:val="24"/>
          <w:szCs w:val="24"/>
        </w:rPr>
        <w:t>（工业园区、生态农业区、城市中心区）、</w:t>
      </w:r>
      <w:r>
        <w:rPr>
          <w:rFonts w:ascii="Times New Roman" w:eastAsia="宋体"/>
          <w:color w:val="000000" w:themeColor="text1"/>
          <w:sz w:val="24"/>
          <w:szCs w:val="24"/>
        </w:rPr>
        <w:t>“</w:t>
      </w:r>
      <w:r>
        <w:rPr>
          <w:rFonts w:ascii="Times New Roman" w:eastAsia="宋体"/>
          <w:color w:val="000000" w:themeColor="text1"/>
          <w:sz w:val="24"/>
          <w:szCs w:val="24"/>
        </w:rPr>
        <w:t>一带</w:t>
      </w:r>
      <w:r>
        <w:rPr>
          <w:rFonts w:ascii="Times New Roman" w:eastAsia="宋体"/>
          <w:color w:val="000000" w:themeColor="text1"/>
          <w:sz w:val="24"/>
          <w:szCs w:val="24"/>
        </w:rPr>
        <w:t>”</w:t>
      </w:r>
      <w:r>
        <w:rPr>
          <w:rFonts w:ascii="Times New Roman" w:eastAsia="宋体"/>
          <w:color w:val="000000" w:themeColor="text1"/>
          <w:sz w:val="24"/>
          <w:szCs w:val="24"/>
        </w:rPr>
        <w:t>（沿川旅游休闲带）组团式、集群式产业布局，为产业规模化、规范化、现代化发展奠定基础。</w:t>
      </w:r>
    </w:p>
    <w:p w:rsidR="00C861DA" w:rsidRDefault="0044752E">
      <w:pPr>
        <w:spacing w:line="360" w:lineRule="auto"/>
        <w:ind w:leftChars="50" w:left="105" w:rightChars="50" w:right="105" w:firstLineChars="200" w:firstLine="480"/>
        <w:rPr>
          <w:rFonts w:ascii="Times New Roman" w:eastAsia="宋体"/>
          <w:color w:val="000000" w:themeColor="text1"/>
          <w:sz w:val="24"/>
          <w:szCs w:val="24"/>
        </w:rPr>
      </w:pPr>
      <w:r>
        <w:rPr>
          <w:rFonts w:ascii="Times New Roman" w:eastAsia="宋体"/>
          <w:color w:val="000000" w:themeColor="text1"/>
          <w:sz w:val="24"/>
          <w:szCs w:val="24"/>
        </w:rPr>
        <w:t>项目所在的禄脿镇属安宁工业园区规划</w:t>
      </w:r>
      <w:r>
        <w:rPr>
          <w:rFonts w:ascii="Times New Roman" w:eastAsia="宋体"/>
          <w:color w:val="000000" w:themeColor="text1"/>
          <w:sz w:val="24"/>
          <w:szCs w:val="24"/>
        </w:rPr>
        <w:t>“</w:t>
      </w:r>
      <w:r>
        <w:rPr>
          <w:rFonts w:ascii="Times New Roman" w:eastAsia="宋体"/>
          <w:color w:val="000000" w:themeColor="text1"/>
          <w:sz w:val="24"/>
          <w:szCs w:val="24"/>
        </w:rPr>
        <w:t>三区</w:t>
      </w:r>
      <w:r>
        <w:rPr>
          <w:rFonts w:ascii="Times New Roman" w:eastAsia="宋体"/>
          <w:color w:val="000000" w:themeColor="text1"/>
          <w:sz w:val="24"/>
          <w:szCs w:val="24"/>
        </w:rPr>
        <w:t>”</w:t>
      </w:r>
      <w:r>
        <w:rPr>
          <w:rFonts w:ascii="Times New Roman" w:eastAsia="宋体"/>
          <w:color w:val="000000" w:themeColor="text1"/>
          <w:sz w:val="24"/>
          <w:szCs w:val="24"/>
        </w:rPr>
        <w:t>中工业园区范围，规划重点发展钢铁、机电装备制造、高浓度磷复肥、精细磷盐化工、新型建材、工业物流业和高新技术产业。本项目储存的液氨为磷复合肥的生产原料，属高浓度磷复肥的配套项目，符合片区产业定位。</w:t>
      </w:r>
    </w:p>
    <w:p w:rsidR="00C861DA" w:rsidRDefault="0044752E">
      <w:pPr>
        <w:spacing w:line="360" w:lineRule="auto"/>
        <w:ind w:leftChars="50" w:left="105" w:rightChars="50" w:right="105" w:firstLineChars="200" w:firstLine="480"/>
        <w:rPr>
          <w:rFonts w:ascii="Times New Roman" w:eastAsia="宋体"/>
          <w:color w:val="000000" w:themeColor="text1"/>
          <w:sz w:val="24"/>
          <w:szCs w:val="24"/>
        </w:rPr>
      </w:pPr>
      <w:r>
        <w:rPr>
          <w:rFonts w:ascii="Times New Roman" w:eastAsia="宋体"/>
          <w:color w:val="000000" w:themeColor="text1"/>
          <w:sz w:val="24"/>
          <w:szCs w:val="24"/>
        </w:rPr>
        <w:t>综上，本项目位于安宁工业园区禄脿片区，周边不涉及生态红线，不在负面准入清单内，不涉及饮用水水源保护区，符合安宁工业园区的相关规划，不存在制约因素。</w:t>
      </w:r>
    </w:p>
    <w:p w:rsidR="00C861DA" w:rsidRDefault="0044752E">
      <w:pPr>
        <w:spacing w:line="360" w:lineRule="auto"/>
        <w:ind w:leftChars="50" w:left="105" w:rightChars="50" w:right="105" w:firstLineChars="200" w:firstLine="482"/>
        <w:rPr>
          <w:rFonts w:ascii="Times New Roman" w:eastAsia="宋体"/>
          <w:b/>
          <w:color w:val="000000" w:themeColor="text1"/>
          <w:sz w:val="24"/>
          <w:szCs w:val="24"/>
        </w:rPr>
      </w:pPr>
      <w:r>
        <w:rPr>
          <w:rFonts w:ascii="Times New Roman" w:eastAsia="宋体"/>
          <w:b/>
          <w:color w:val="000000" w:themeColor="text1"/>
          <w:sz w:val="24"/>
          <w:szCs w:val="24"/>
        </w:rPr>
        <w:t>3</w:t>
      </w:r>
      <w:r>
        <w:rPr>
          <w:rFonts w:ascii="Times New Roman" w:eastAsia="宋体"/>
          <w:b/>
          <w:color w:val="000000" w:themeColor="text1"/>
          <w:sz w:val="24"/>
          <w:szCs w:val="24"/>
        </w:rPr>
        <w:t>、与《云南省安宁工业园区总体规划修编（</w:t>
      </w:r>
      <w:r>
        <w:rPr>
          <w:rFonts w:ascii="Times New Roman" w:eastAsia="宋体"/>
          <w:b/>
          <w:color w:val="000000" w:themeColor="text1"/>
          <w:sz w:val="24"/>
          <w:szCs w:val="24"/>
        </w:rPr>
        <w:t>2012-2020</w:t>
      </w:r>
      <w:r>
        <w:rPr>
          <w:rFonts w:ascii="Times New Roman" w:eastAsia="宋体"/>
          <w:b/>
          <w:color w:val="000000" w:themeColor="text1"/>
          <w:sz w:val="24"/>
          <w:szCs w:val="24"/>
        </w:rPr>
        <w:t>）环境影响报告书》</w:t>
      </w:r>
      <w:r>
        <w:rPr>
          <w:rFonts w:ascii="Times New Roman" w:eastAsia="宋体"/>
          <w:b/>
          <w:color w:val="000000" w:themeColor="text1"/>
          <w:sz w:val="24"/>
          <w:szCs w:val="24"/>
        </w:rPr>
        <w:lastRenderedPageBreak/>
        <w:t>符合性分析</w:t>
      </w:r>
    </w:p>
    <w:p w:rsidR="00C861DA" w:rsidRDefault="0044752E">
      <w:pPr>
        <w:spacing w:line="360" w:lineRule="auto"/>
        <w:ind w:firstLine="480"/>
        <w:rPr>
          <w:rFonts w:ascii="Times New Roman" w:eastAsia="宋体"/>
          <w:color w:val="000000" w:themeColor="text1"/>
          <w:sz w:val="24"/>
          <w:szCs w:val="24"/>
        </w:rPr>
      </w:pPr>
      <w:r>
        <w:rPr>
          <w:rFonts w:ascii="Times New Roman" w:eastAsia="宋体"/>
          <w:color w:val="000000" w:themeColor="text1"/>
          <w:sz w:val="24"/>
          <w:szCs w:val="24"/>
        </w:rPr>
        <w:t>2017</w:t>
      </w:r>
      <w:r>
        <w:rPr>
          <w:rFonts w:ascii="Times New Roman" w:eastAsia="宋体"/>
          <w:color w:val="000000" w:themeColor="text1"/>
          <w:sz w:val="24"/>
          <w:szCs w:val="24"/>
        </w:rPr>
        <w:t>年</w:t>
      </w:r>
      <w:r>
        <w:rPr>
          <w:rFonts w:ascii="Times New Roman" w:eastAsia="宋体"/>
          <w:color w:val="000000" w:themeColor="text1"/>
          <w:sz w:val="24"/>
          <w:szCs w:val="24"/>
        </w:rPr>
        <w:t>8</w:t>
      </w:r>
      <w:r>
        <w:rPr>
          <w:rFonts w:ascii="Times New Roman" w:eastAsia="宋体"/>
          <w:color w:val="000000" w:themeColor="text1"/>
          <w:sz w:val="24"/>
          <w:szCs w:val="24"/>
        </w:rPr>
        <w:t>月</w:t>
      </w:r>
      <w:r>
        <w:rPr>
          <w:rFonts w:ascii="Times New Roman" w:eastAsia="宋体"/>
          <w:color w:val="000000" w:themeColor="text1"/>
          <w:sz w:val="24"/>
          <w:szCs w:val="24"/>
        </w:rPr>
        <w:t>4</w:t>
      </w:r>
      <w:r>
        <w:rPr>
          <w:rFonts w:ascii="Times New Roman" w:eastAsia="宋体"/>
          <w:color w:val="000000" w:themeColor="text1"/>
          <w:sz w:val="24"/>
          <w:szCs w:val="24"/>
        </w:rPr>
        <w:t>日，云南省环保厅同省工信委在昆明市组织召开了《云南省安宁工业园总体规划修编（</w:t>
      </w:r>
      <w:r>
        <w:rPr>
          <w:rFonts w:ascii="Times New Roman" w:eastAsia="宋体"/>
          <w:color w:val="000000" w:themeColor="text1"/>
          <w:sz w:val="24"/>
          <w:szCs w:val="24"/>
        </w:rPr>
        <w:t>2012-2020</w:t>
      </w:r>
      <w:r>
        <w:rPr>
          <w:rFonts w:ascii="Times New Roman" w:eastAsia="宋体"/>
          <w:color w:val="000000" w:themeColor="text1"/>
          <w:sz w:val="24"/>
          <w:szCs w:val="24"/>
        </w:rPr>
        <w:t>）环境影响报告书》审查会，形成的审查小组意见，本次环评通过摘取与本项目相关的措施意见进行对比分析。经过对比分析，项目的建设符合《云南省安宁工业园总体规划修编（</w:t>
      </w:r>
      <w:r>
        <w:rPr>
          <w:rFonts w:ascii="Times New Roman" w:eastAsia="宋体"/>
          <w:color w:val="000000" w:themeColor="text1"/>
          <w:sz w:val="24"/>
          <w:szCs w:val="24"/>
        </w:rPr>
        <w:t>2012-2020</w:t>
      </w:r>
      <w:r>
        <w:rPr>
          <w:rFonts w:ascii="Times New Roman" w:eastAsia="宋体"/>
          <w:color w:val="000000" w:themeColor="text1"/>
          <w:sz w:val="24"/>
          <w:szCs w:val="24"/>
        </w:rPr>
        <w:t>）环境影响报告书》及其审查意见的措施意见要求。</w:t>
      </w:r>
    </w:p>
    <w:p w:rsidR="00C861DA" w:rsidRDefault="0044752E">
      <w:pPr>
        <w:spacing w:line="360" w:lineRule="auto"/>
        <w:ind w:firstLine="480"/>
        <w:rPr>
          <w:rFonts w:ascii="Times New Roman" w:eastAsia="宋体"/>
          <w:color w:val="000000" w:themeColor="text1"/>
          <w:sz w:val="24"/>
          <w:szCs w:val="24"/>
        </w:rPr>
      </w:pPr>
      <w:r>
        <w:rPr>
          <w:rFonts w:ascii="Times New Roman" w:eastAsia="宋体"/>
          <w:color w:val="000000" w:themeColor="text1"/>
          <w:sz w:val="24"/>
          <w:szCs w:val="24"/>
        </w:rPr>
        <w:t>详见表</w:t>
      </w:r>
      <w:r>
        <w:rPr>
          <w:rFonts w:ascii="Times New Roman" w:eastAsia="宋体"/>
          <w:color w:val="000000" w:themeColor="text1"/>
          <w:sz w:val="24"/>
          <w:szCs w:val="24"/>
        </w:rPr>
        <w:t>1-1</w:t>
      </w:r>
      <w:r>
        <w:rPr>
          <w:rFonts w:ascii="Times New Roman" w:eastAsia="宋体"/>
          <w:color w:val="000000" w:themeColor="text1"/>
          <w:sz w:val="24"/>
          <w:szCs w:val="24"/>
        </w:rPr>
        <w:t>。</w:t>
      </w:r>
    </w:p>
    <w:p w:rsidR="00C861DA" w:rsidRDefault="00C861DA">
      <w:pPr>
        <w:pStyle w:val="21"/>
        <w:rPr>
          <w:color w:val="000000" w:themeColor="text1"/>
        </w:rPr>
      </w:pPr>
    </w:p>
    <w:p w:rsidR="00C861DA" w:rsidRDefault="0044752E">
      <w:pPr>
        <w:jc w:val="center"/>
        <w:rPr>
          <w:rFonts w:ascii="Times New Roman" w:eastAsia="宋体"/>
          <w:color w:val="000000" w:themeColor="text1"/>
          <w:sz w:val="24"/>
          <w:szCs w:val="24"/>
        </w:rPr>
      </w:pPr>
      <w:r>
        <w:rPr>
          <w:rFonts w:ascii="Times New Roman" w:eastAsia="宋体"/>
          <w:b/>
          <w:bCs/>
          <w:color w:val="000000" w:themeColor="text1"/>
          <w:sz w:val="24"/>
          <w:szCs w:val="24"/>
        </w:rPr>
        <w:t>表</w:t>
      </w:r>
      <w:r>
        <w:rPr>
          <w:rFonts w:ascii="Times New Roman" w:eastAsia="宋体"/>
          <w:b/>
          <w:bCs/>
          <w:color w:val="000000" w:themeColor="text1"/>
          <w:sz w:val="24"/>
          <w:szCs w:val="24"/>
        </w:rPr>
        <w:t xml:space="preserve">1-1  </w:t>
      </w:r>
      <w:r>
        <w:rPr>
          <w:rFonts w:ascii="Times New Roman" w:eastAsia="宋体"/>
          <w:b/>
          <w:bCs/>
          <w:color w:val="000000" w:themeColor="text1"/>
          <w:sz w:val="24"/>
          <w:szCs w:val="24"/>
        </w:rPr>
        <w:t>项目与规划环评措施意见的对比分析</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4249"/>
        <w:gridCol w:w="2744"/>
        <w:gridCol w:w="561"/>
      </w:tblGrid>
      <w:tr w:rsidR="00C861DA">
        <w:trPr>
          <w:trHeight w:val="369"/>
          <w:jc w:val="center"/>
        </w:trPr>
        <w:tc>
          <w:tcPr>
            <w:tcW w:w="4991" w:type="dxa"/>
            <w:gridSpan w:val="2"/>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措施意见</w:t>
            </w:r>
          </w:p>
        </w:tc>
        <w:tc>
          <w:tcPr>
            <w:tcW w:w="2744"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本项目</w:t>
            </w:r>
          </w:p>
        </w:tc>
        <w:tc>
          <w:tcPr>
            <w:tcW w:w="561"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符合性</w:t>
            </w:r>
          </w:p>
        </w:tc>
      </w:tr>
      <w:tr w:rsidR="00C861DA">
        <w:trPr>
          <w:trHeight w:val="369"/>
          <w:jc w:val="center"/>
        </w:trPr>
        <w:tc>
          <w:tcPr>
            <w:tcW w:w="742"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大气</w:t>
            </w:r>
          </w:p>
        </w:tc>
        <w:tc>
          <w:tcPr>
            <w:tcW w:w="4249" w:type="dxa"/>
            <w:vAlign w:val="center"/>
          </w:tcPr>
          <w:p w:rsidR="00C861DA" w:rsidRDefault="0044752E">
            <w:pPr>
              <w:ind w:firstLineChars="200" w:firstLine="420"/>
              <w:jc w:val="both"/>
              <w:rPr>
                <w:rFonts w:ascii="Times New Roman" w:eastAsia="宋体"/>
                <w:color w:val="000000" w:themeColor="text1"/>
                <w:szCs w:val="24"/>
              </w:rPr>
            </w:pPr>
            <w:r>
              <w:rPr>
                <w:rFonts w:ascii="Times New Roman" w:eastAsia="宋体"/>
                <w:color w:val="000000" w:themeColor="text1"/>
                <w:szCs w:val="24"/>
              </w:rPr>
              <w:t>拟入住企业在进行项目环评时应将特征废气污染因子作为评价重点。</w:t>
            </w:r>
          </w:p>
        </w:tc>
        <w:tc>
          <w:tcPr>
            <w:tcW w:w="2744" w:type="dxa"/>
            <w:vAlign w:val="center"/>
          </w:tcPr>
          <w:p w:rsidR="00C861DA" w:rsidRDefault="0044752E">
            <w:pPr>
              <w:jc w:val="center"/>
              <w:rPr>
                <w:rFonts w:ascii="Times New Roman" w:eastAsia="宋体"/>
                <w:color w:val="000000" w:themeColor="text1"/>
                <w:szCs w:val="24"/>
                <w:highlight w:val="yellow"/>
              </w:rPr>
            </w:pPr>
            <w:r>
              <w:rPr>
                <w:rFonts w:ascii="Times New Roman" w:eastAsia="宋体"/>
                <w:color w:val="000000" w:themeColor="text1"/>
                <w:szCs w:val="24"/>
              </w:rPr>
              <w:t>本次环评将废气污染因子氨作为评价重点。</w:t>
            </w:r>
          </w:p>
        </w:tc>
        <w:tc>
          <w:tcPr>
            <w:tcW w:w="561"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符合</w:t>
            </w:r>
          </w:p>
        </w:tc>
      </w:tr>
      <w:tr w:rsidR="00C861DA">
        <w:trPr>
          <w:trHeight w:val="369"/>
          <w:jc w:val="center"/>
        </w:trPr>
        <w:tc>
          <w:tcPr>
            <w:tcW w:w="742"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废</w:t>
            </w:r>
            <w:r>
              <w:rPr>
                <w:rFonts w:ascii="Times New Roman" w:eastAsia="宋体"/>
                <w:color w:val="000000" w:themeColor="text1"/>
                <w:szCs w:val="24"/>
              </w:rPr>
              <w:t xml:space="preserve"> </w:t>
            </w:r>
            <w:r>
              <w:rPr>
                <w:rFonts w:ascii="Times New Roman" w:eastAsia="宋体"/>
                <w:color w:val="000000" w:themeColor="text1"/>
                <w:szCs w:val="24"/>
              </w:rPr>
              <w:t>水</w:t>
            </w:r>
          </w:p>
        </w:tc>
        <w:tc>
          <w:tcPr>
            <w:tcW w:w="4249" w:type="dxa"/>
            <w:vAlign w:val="center"/>
          </w:tcPr>
          <w:p w:rsidR="00C861DA" w:rsidRDefault="0044752E">
            <w:pPr>
              <w:ind w:firstLineChars="200" w:firstLine="420"/>
              <w:jc w:val="both"/>
              <w:rPr>
                <w:rFonts w:ascii="Times New Roman" w:eastAsia="宋体"/>
                <w:color w:val="000000" w:themeColor="text1"/>
                <w:szCs w:val="24"/>
              </w:rPr>
            </w:pPr>
            <w:r>
              <w:rPr>
                <w:rFonts w:ascii="Times New Roman" w:eastAsia="宋体"/>
                <w:color w:val="000000" w:themeColor="text1"/>
                <w:szCs w:val="24"/>
              </w:rPr>
              <w:t>生产废水排放应达到</w:t>
            </w:r>
            <w:r>
              <w:rPr>
                <w:rFonts w:ascii="Times New Roman" w:eastAsia="宋体"/>
                <w:color w:val="000000" w:themeColor="text1"/>
                <w:szCs w:val="24"/>
              </w:rPr>
              <w:t>GB13456-92</w:t>
            </w:r>
            <w:r>
              <w:rPr>
                <w:rFonts w:ascii="Times New Roman" w:eastAsia="宋体"/>
                <w:color w:val="000000" w:themeColor="text1"/>
                <w:szCs w:val="24"/>
              </w:rPr>
              <w:t>中一级标准要求</w:t>
            </w:r>
          </w:p>
        </w:tc>
        <w:tc>
          <w:tcPr>
            <w:tcW w:w="2744"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本项目生产废水不外排</w:t>
            </w:r>
          </w:p>
        </w:tc>
        <w:tc>
          <w:tcPr>
            <w:tcW w:w="561"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符合</w:t>
            </w:r>
          </w:p>
        </w:tc>
      </w:tr>
      <w:tr w:rsidR="00C861DA">
        <w:trPr>
          <w:trHeight w:val="369"/>
          <w:jc w:val="center"/>
        </w:trPr>
        <w:tc>
          <w:tcPr>
            <w:tcW w:w="742"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噪</w:t>
            </w:r>
            <w:r>
              <w:rPr>
                <w:rFonts w:ascii="Times New Roman" w:eastAsia="宋体"/>
                <w:color w:val="000000" w:themeColor="text1"/>
                <w:szCs w:val="24"/>
              </w:rPr>
              <w:t xml:space="preserve"> </w:t>
            </w:r>
            <w:r>
              <w:rPr>
                <w:rFonts w:ascii="Times New Roman" w:eastAsia="宋体"/>
                <w:color w:val="000000" w:themeColor="text1"/>
                <w:szCs w:val="24"/>
              </w:rPr>
              <w:t>声</w:t>
            </w:r>
          </w:p>
        </w:tc>
        <w:tc>
          <w:tcPr>
            <w:tcW w:w="4249" w:type="dxa"/>
            <w:vAlign w:val="center"/>
          </w:tcPr>
          <w:p w:rsidR="00C861DA" w:rsidRDefault="0044752E">
            <w:pPr>
              <w:ind w:firstLineChars="200" w:firstLine="420"/>
              <w:jc w:val="both"/>
              <w:rPr>
                <w:rFonts w:ascii="Times New Roman" w:eastAsia="宋体"/>
                <w:color w:val="000000" w:themeColor="text1"/>
                <w:szCs w:val="24"/>
              </w:rPr>
            </w:pPr>
            <w:r>
              <w:rPr>
                <w:rFonts w:ascii="Times New Roman" w:eastAsia="宋体"/>
                <w:color w:val="000000" w:themeColor="text1"/>
                <w:szCs w:val="24"/>
              </w:rPr>
              <w:t>在二类声功能区内禁止有高噪声设备的项目进入</w:t>
            </w:r>
          </w:p>
        </w:tc>
        <w:tc>
          <w:tcPr>
            <w:tcW w:w="2744"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本项目处于三类功能区</w:t>
            </w:r>
          </w:p>
        </w:tc>
        <w:tc>
          <w:tcPr>
            <w:tcW w:w="561"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符合</w:t>
            </w:r>
          </w:p>
        </w:tc>
      </w:tr>
      <w:tr w:rsidR="00C861DA">
        <w:trPr>
          <w:trHeight w:val="369"/>
          <w:jc w:val="center"/>
        </w:trPr>
        <w:tc>
          <w:tcPr>
            <w:tcW w:w="742" w:type="dxa"/>
            <w:vMerge w:val="restart"/>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固</w:t>
            </w:r>
            <w:r>
              <w:rPr>
                <w:rFonts w:ascii="Times New Roman" w:eastAsia="宋体"/>
                <w:color w:val="000000" w:themeColor="text1"/>
                <w:szCs w:val="24"/>
              </w:rPr>
              <w:t xml:space="preserve"> </w:t>
            </w:r>
            <w:r>
              <w:rPr>
                <w:rFonts w:ascii="Times New Roman" w:eastAsia="宋体"/>
                <w:color w:val="000000" w:themeColor="text1"/>
                <w:szCs w:val="24"/>
              </w:rPr>
              <w:t>废</w:t>
            </w:r>
          </w:p>
        </w:tc>
        <w:tc>
          <w:tcPr>
            <w:tcW w:w="4249" w:type="dxa"/>
            <w:vAlign w:val="center"/>
          </w:tcPr>
          <w:p w:rsidR="00C861DA" w:rsidRDefault="0044752E">
            <w:pPr>
              <w:ind w:firstLineChars="200" w:firstLine="420"/>
              <w:jc w:val="both"/>
              <w:rPr>
                <w:rFonts w:ascii="Times New Roman" w:eastAsia="宋体"/>
                <w:color w:val="000000" w:themeColor="text1"/>
                <w:szCs w:val="24"/>
              </w:rPr>
            </w:pPr>
            <w:r>
              <w:rPr>
                <w:rFonts w:ascii="Times New Roman" w:eastAsia="宋体"/>
                <w:color w:val="000000" w:themeColor="text1"/>
                <w:szCs w:val="24"/>
              </w:rPr>
              <w:t>1</w:t>
            </w:r>
            <w:r>
              <w:rPr>
                <w:rFonts w:ascii="Times New Roman" w:eastAsia="宋体"/>
                <w:color w:val="000000" w:themeColor="text1"/>
                <w:szCs w:val="24"/>
              </w:rPr>
              <w:t>、鼓励在企业内部和企业之间加强固体废物的回收与循环利用，合理开发和充分利用再生资源，开展工业废物跨行业，跨部门的综合利用，变废物为新的资源，使一般固体废物综合利用率达到</w:t>
            </w:r>
            <w:r>
              <w:rPr>
                <w:rFonts w:ascii="Times New Roman" w:eastAsia="宋体"/>
                <w:color w:val="000000" w:themeColor="text1"/>
                <w:szCs w:val="24"/>
              </w:rPr>
              <w:t>60%</w:t>
            </w:r>
            <w:r>
              <w:rPr>
                <w:rFonts w:ascii="Times New Roman" w:eastAsia="宋体"/>
                <w:color w:val="000000" w:themeColor="text1"/>
                <w:szCs w:val="24"/>
              </w:rPr>
              <w:t>以上</w:t>
            </w:r>
          </w:p>
        </w:tc>
        <w:tc>
          <w:tcPr>
            <w:tcW w:w="2744"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本项目运营期不产生一般固体废物</w:t>
            </w:r>
          </w:p>
        </w:tc>
        <w:tc>
          <w:tcPr>
            <w:tcW w:w="561"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符合</w:t>
            </w:r>
          </w:p>
        </w:tc>
      </w:tr>
      <w:tr w:rsidR="00C861DA">
        <w:trPr>
          <w:trHeight w:val="369"/>
          <w:jc w:val="center"/>
        </w:trPr>
        <w:tc>
          <w:tcPr>
            <w:tcW w:w="742" w:type="dxa"/>
            <w:vMerge/>
            <w:vAlign w:val="center"/>
          </w:tcPr>
          <w:p w:rsidR="00C861DA" w:rsidRDefault="00C861DA">
            <w:pPr>
              <w:jc w:val="center"/>
              <w:rPr>
                <w:rFonts w:ascii="Times New Roman" w:eastAsia="宋体"/>
                <w:color w:val="000000" w:themeColor="text1"/>
                <w:szCs w:val="24"/>
              </w:rPr>
            </w:pPr>
          </w:p>
        </w:tc>
        <w:tc>
          <w:tcPr>
            <w:tcW w:w="4249" w:type="dxa"/>
            <w:vAlign w:val="center"/>
          </w:tcPr>
          <w:p w:rsidR="00C861DA" w:rsidRDefault="0044752E">
            <w:pPr>
              <w:ind w:firstLineChars="200" w:firstLine="420"/>
              <w:jc w:val="both"/>
              <w:rPr>
                <w:rFonts w:ascii="Times New Roman" w:eastAsia="宋体"/>
                <w:color w:val="000000" w:themeColor="text1"/>
                <w:szCs w:val="24"/>
              </w:rPr>
            </w:pPr>
            <w:r>
              <w:rPr>
                <w:rFonts w:ascii="Times New Roman" w:eastAsia="宋体"/>
                <w:color w:val="000000" w:themeColor="text1"/>
                <w:szCs w:val="24"/>
              </w:rPr>
              <w:t>2</w:t>
            </w:r>
            <w:r>
              <w:rPr>
                <w:rFonts w:ascii="Times New Roman" w:eastAsia="宋体"/>
                <w:color w:val="000000" w:themeColor="text1"/>
                <w:szCs w:val="24"/>
              </w:rPr>
              <w:t>、危险废物处置需满足</w:t>
            </w:r>
            <w:r>
              <w:rPr>
                <w:rFonts w:ascii="Times New Roman" w:eastAsia="宋体"/>
                <w:color w:val="000000" w:themeColor="text1"/>
                <w:szCs w:val="24"/>
              </w:rPr>
              <w:t>GB18597-2001</w:t>
            </w:r>
            <w:r>
              <w:rPr>
                <w:rFonts w:ascii="Times New Roman" w:eastAsia="宋体"/>
                <w:color w:val="000000" w:themeColor="text1"/>
                <w:szCs w:val="24"/>
              </w:rPr>
              <w:t>《危险废物贮存污染控制标准》有关要求</w:t>
            </w:r>
          </w:p>
        </w:tc>
        <w:tc>
          <w:tcPr>
            <w:tcW w:w="2744"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本项目不涉及危险废物暂存</w:t>
            </w:r>
          </w:p>
        </w:tc>
        <w:tc>
          <w:tcPr>
            <w:tcW w:w="561"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符合</w:t>
            </w:r>
          </w:p>
        </w:tc>
      </w:tr>
      <w:tr w:rsidR="00C861DA">
        <w:trPr>
          <w:trHeight w:val="369"/>
          <w:jc w:val="center"/>
        </w:trPr>
        <w:tc>
          <w:tcPr>
            <w:tcW w:w="742" w:type="dxa"/>
            <w:vMerge w:val="restart"/>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生</w:t>
            </w:r>
            <w:r>
              <w:rPr>
                <w:rFonts w:ascii="Times New Roman" w:eastAsia="宋体"/>
                <w:color w:val="000000" w:themeColor="text1"/>
                <w:szCs w:val="24"/>
              </w:rPr>
              <w:t xml:space="preserve"> </w:t>
            </w:r>
            <w:r>
              <w:rPr>
                <w:rFonts w:ascii="Times New Roman" w:eastAsia="宋体"/>
                <w:color w:val="000000" w:themeColor="text1"/>
                <w:szCs w:val="24"/>
              </w:rPr>
              <w:t>态</w:t>
            </w:r>
            <w:r>
              <w:rPr>
                <w:rFonts w:ascii="Times New Roman" w:eastAsia="宋体"/>
                <w:color w:val="000000" w:themeColor="text1"/>
                <w:szCs w:val="24"/>
              </w:rPr>
              <w:t xml:space="preserve"> </w:t>
            </w:r>
            <w:r>
              <w:rPr>
                <w:rFonts w:ascii="Times New Roman" w:eastAsia="宋体"/>
                <w:color w:val="000000" w:themeColor="text1"/>
                <w:szCs w:val="24"/>
              </w:rPr>
              <w:t>保</w:t>
            </w:r>
            <w:r>
              <w:rPr>
                <w:rFonts w:ascii="Times New Roman" w:eastAsia="宋体"/>
                <w:color w:val="000000" w:themeColor="text1"/>
                <w:szCs w:val="24"/>
              </w:rPr>
              <w:t xml:space="preserve"> </w:t>
            </w:r>
            <w:r>
              <w:rPr>
                <w:rFonts w:ascii="Times New Roman" w:eastAsia="宋体"/>
                <w:color w:val="000000" w:themeColor="text1"/>
                <w:szCs w:val="24"/>
              </w:rPr>
              <w:t>护</w:t>
            </w:r>
          </w:p>
        </w:tc>
        <w:tc>
          <w:tcPr>
            <w:tcW w:w="4249" w:type="dxa"/>
            <w:vAlign w:val="center"/>
          </w:tcPr>
          <w:p w:rsidR="00C861DA" w:rsidRDefault="0044752E">
            <w:pPr>
              <w:ind w:firstLineChars="200" w:firstLine="420"/>
              <w:jc w:val="both"/>
              <w:rPr>
                <w:rFonts w:ascii="Times New Roman" w:eastAsia="宋体"/>
                <w:color w:val="000000" w:themeColor="text1"/>
                <w:szCs w:val="24"/>
              </w:rPr>
            </w:pPr>
            <w:r>
              <w:rPr>
                <w:rFonts w:ascii="Times New Roman" w:eastAsia="宋体"/>
                <w:color w:val="000000" w:themeColor="text1"/>
                <w:szCs w:val="24"/>
              </w:rPr>
              <w:t>1</w:t>
            </w:r>
            <w:r>
              <w:rPr>
                <w:rFonts w:ascii="Times New Roman" w:eastAsia="宋体"/>
                <w:color w:val="000000" w:themeColor="text1"/>
                <w:szCs w:val="24"/>
              </w:rPr>
              <w:t>、对于地表裸露且短时间无法利用的土地，应采取切实可行的水土保持措施，防治水土流失</w:t>
            </w:r>
          </w:p>
        </w:tc>
        <w:tc>
          <w:tcPr>
            <w:tcW w:w="2744"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本项目已编制水土保持报告，采取水土保持措施</w:t>
            </w:r>
          </w:p>
        </w:tc>
        <w:tc>
          <w:tcPr>
            <w:tcW w:w="561"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符合</w:t>
            </w:r>
          </w:p>
        </w:tc>
      </w:tr>
      <w:tr w:rsidR="00C861DA">
        <w:trPr>
          <w:trHeight w:val="369"/>
          <w:jc w:val="center"/>
        </w:trPr>
        <w:tc>
          <w:tcPr>
            <w:tcW w:w="742" w:type="dxa"/>
            <w:vMerge/>
            <w:vAlign w:val="center"/>
          </w:tcPr>
          <w:p w:rsidR="00C861DA" w:rsidRDefault="00C861DA">
            <w:pPr>
              <w:jc w:val="center"/>
              <w:rPr>
                <w:rFonts w:ascii="Times New Roman" w:eastAsia="宋体"/>
                <w:color w:val="000000" w:themeColor="text1"/>
                <w:szCs w:val="24"/>
              </w:rPr>
            </w:pPr>
          </w:p>
        </w:tc>
        <w:tc>
          <w:tcPr>
            <w:tcW w:w="4249" w:type="dxa"/>
            <w:vAlign w:val="center"/>
          </w:tcPr>
          <w:p w:rsidR="00C861DA" w:rsidRDefault="0044752E">
            <w:pPr>
              <w:ind w:firstLineChars="200" w:firstLine="420"/>
              <w:jc w:val="both"/>
              <w:rPr>
                <w:rFonts w:ascii="Times New Roman" w:eastAsia="宋体"/>
                <w:color w:val="000000" w:themeColor="text1"/>
                <w:szCs w:val="24"/>
              </w:rPr>
            </w:pPr>
            <w:r>
              <w:rPr>
                <w:rFonts w:ascii="Times New Roman" w:eastAsia="宋体"/>
                <w:color w:val="000000" w:themeColor="text1"/>
                <w:szCs w:val="24"/>
              </w:rPr>
              <w:t>2</w:t>
            </w:r>
            <w:r>
              <w:rPr>
                <w:rFonts w:ascii="Times New Roman" w:eastAsia="宋体"/>
                <w:color w:val="000000" w:themeColor="text1"/>
                <w:szCs w:val="24"/>
              </w:rPr>
              <w:t>、区域内绿化工程应注重选择和使用乡土植物，园林植物应特别注意选择抗性较强的品种</w:t>
            </w:r>
          </w:p>
        </w:tc>
        <w:tc>
          <w:tcPr>
            <w:tcW w:w="2744"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建设单位在建设过程中遵照执行</w:t>
            </w:r>
          </w:p>
        </w:tc>
        <w:tc>
          <w:tcPr>
            <w:tcW w:w="561"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符合</w:t>
            </w:r>
          </w:p>
        </w:tc>
      </w:tr>
    </w:tbl>
    <w:p w:rsidR="00C861DA" w:rsidRDefault="0044752E">
      <w:pPr>
        <w:spacing w:line="360" w:lineRule="auto"/>
        <w:ind w:firstLine="480"/>
        <w:rPr>
          <w:rFonts w:ascii="Times New Roman" w:eastAsia="宋体"/>
          <w:color w:val="000000" w:themeColor="text1"/>
          <w:sz w:val="24"/>
          <w:szCs w:val="24"/>
        </w:rPr>
      </w:pPr>
      <w:r>
        <w:rPr>
          <w:rFonts w:ascii="Times New Roman" w:eastAsia="宋体"/>
          <w:color w:val="000000" w:themeColor="text1"/>
          <w:sz w:val="24"/>
          <w:szCs w:val="24"/>
        </w:rPr>
        <w:t>由上表可知，项目符合《云南省安宁工业园总体规划修编（</w:t>
      </w:r>
      <w:r>
        <w:rPr>
          <w:rFonts w:ascii="Times New Roman" w:eastAsia="宋体"/>
          <w:color w:val="000000" w:themeColor="text1"/>
          <w:sz w:val="24"/>
          <w:szCs w:val="24"/>
        </w:rPr>
        <w:t>2012-2020</w:t>
      </w:r>
      <w:r>
        <w:rPr>
          <w:rFonts w:ascii="Times New Roman" w:eastAsia="宋体"/>
          <w:color w:val="000000" w:themeColor="text1"/>
          <w:sz w:val="24"/>
          <w:szCs w:val="24"/>
        </w:rPr>
        <w:t>）环境影响报告书》及其补充报告要求。</w:t>
      </w:r>
    </w:p>
    <w:p w:rsidR="00C861DA" w:rsidRDefault="0044752E">
      <w:pPr>
        <w:pStyle w:val="22"/>
        <w:rPr>
          <w:rFonts w:ascii="Times New Roman" w:eastAsia="宋体" w:hAnsi="Times New Roman"/>
          <w:bCs w:val="0"/>
          <w:color w:val="000000" w:themeColor="text1"/>
          <w:sz w:val="28"/>
          <w:szCs w:val="28"/>
        </w:rPr>
      </w:pPr>
      <w:bookmarkStart w:id="45" w:name="_Toc497620085"/>
      <w:bookmarkStart w:id="46" w:name="_Toc30340"/>
      <w:bookmarkStart w:id="47" w:name="_Toc513125244"/>
      <w:bookmarkStart w:id="48" w:name="_Toc23360"/>
      <w:bookmarkStart w:id="49" w:name="_Toc12054"/>
      <w:bookmarkStart w:id="50" w:name="_Toc8835"/>
      <w:bookmarkStart w:id="51" w:name="_Toc6826751"/>
      <w:r>
        <w:rPr>
          <w:rFonts w:ascii="Times New Roman" w:eastAsia="宋体" w:hAnsi="Times New Roman" w:hint="eastAsia"/>
          <w:bCs w:val="0"/>
          <w:color w:val="000000" w:themeColor="text1"/>
          <w:sz w:val="28"/>
          <w:szCs w:val="28"/>
        </w:rPr>
        <w:t>1.6</w:t>
      </w:r>
      <w:r>
        <w:rPr>
          <w:rFonts w:ascii="Times New Roman" w:eastAsia="宋体" w:hAnsi="Times New Roman" w:hint="eastAsia"/>
          <w:bCs w:val="0"/>
          <w:color w:val="000000" w:themeColor="text1"/>
          <w:sz w:val="28"/>
          <w:szCs w:val="28"/>
        </w:rPr>
        <w:t>主要关注的环境问题</w:t>
      </w:r>
      <w:bookmarkEnd w:id="45"/>
      <w:bookmarkEnd w:id="46"/>
      <w:bookmarkEnd w:id="47"/>
      <w:bookmarkEnd w:id="48"/>
      <w:bookmarkEnd w:id="49"/>
      <w:bookmarkEnd w:id="50"/>
      <w:bookmarkEnd w:id="51"/>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环境空气：重点关注项目建设对区域环境空气质量以及敏感点的影响，卫生</w:t>
      </w:r>
      <w:r>
        <w:rPr>
          <w:rFonts w:ascii="Times New Roman" w:eastAsia="宋体" w:hint="eastAsia"/>
          <w:color w:val="000000" w:themeColor="text1"/>
          <w:sz w:val="24"/>
          <w:szCs w:val="24"/>
        </w:rPr>
        <w:lastRenderedPageBreak/>
        <w:t>防护距离和环境防护距离的符合性分析。</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水环境：重点关注项目废水（液）收集、处理措施的可行性、区域污水处理厂的可依托性。</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土壤环境：重点关注项目实施后对区域土壤环境的影响。</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声环境：重点关注项目实施后高噪声设备对区域声环境的影响。</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固体废物：重点关注危险固废的收集、暂存、处置措施的合理性，防止二次污染。</w:t>
      </w:r>
    </w:p>
    <w:p w:rsidR="00C861DA" w:rsidRDefault="0044752E">
      <w:pPr>
        <w:pStyle w:val="22"/>
        <w:rPr>
          <w:rFonts w:ascii="Times New Roman" w:eastAsia="宋体" w:hAnsi="Times New Roman"/>
          <w:bCs w:val="0"/>
          <w:color w:val="000000" w:themeColor="text1"/>
          <w:sz w:val="28"/>
          <w:szCs w:val="28"/>
        </w:rPr>
      </w:pPr>
      <w:bookmarkStart w:id="52" w:name="_Toc6826752"/>
      <w:bookmarkStart w:id="53" w:name="_Toc8253"/>
      <w:bookmarkStart w:id="54" w:name="_Toc25265"/>
      <w:bookmarkStart w:id="55" w:name="_Toc32043"/>
      <w:bookmarkStart w:id="56" w:name="_Toc24724"/>
      <w:r>
        <w:rPr>
          <w:rFonts w:ascii="Times New Roman" w:eastAsia="宋体" w:hAnsi="Times New Roman" w:hint="eastAsia"/>
          <w:bCs w:val="0"/>
          <w:color w:val="000000" w:themeColor="text1"/>
          <w:sz w:val="28"/>
          <w:szCs w:val="28"/>
        </w:rPr>
        <w:t>1.7</w:t>
      </w:r>
      <w:r>
        <w:rPr>
          <w:rFonts w:ascii="Times New Roman" w:eastAsia="宋体" w:hAnsi="Times New Roman" w:hint="eastAsia"/>
          <w:bCs w:val="0"/>
          <w:color w:val="000000" w:themeColor="text1"/>
          <w:sz w:val="28"/>
          <w:szCs w:val="28"/>
        </w:rPr>
        <w:t>环境影响评价的主要结论</w:t>
      </w:r>
      <w:bookmarkEnd w:id="52"/>
      <w:bookmarkEnd w:id="53"/>
      <w:bookmarkEnd w:id="54"/>
      <w:bookmarkEnd w:id="55"/>
      <w:bookmarkEnd w:id="56"/>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本项目符合国家、地方产业政策和行业发展规划，拟选厂址符合城市总体规划和环境功能区划；产</w:t>
      </w:r>
      <w:r>
        <w:rPr>
          <w:rFonts w:ascii="Times New Roman" w:eastAsia="宋体" w:hint="eastAsia"/>
          <w:color w:val="000000" w:themeColor="text1"/>
          <w:sz w:val="24"/>
          <w:szCs w:val="24"/>
        </w:rPr>
        <w:t>品性能先进，适应市场需要，经济效益显著，有利于企业和地方经济的发展；生产过程中采用低污染的原材料，工艺和设备先进，符合清洁生产要求；废气、废水、噪声、固体废物处理措施先进可靠，产生的各类污染物能够达标排放并满足总量控制要求，对各环境敏感点不会产生明显影响；公众赞成项目的建设，未对项目建设提出异议。</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本项目的建设是评价区域整体环境可以承纳的，建设单位应认真落实报告书提出的各项污染治理措施和建议，从环保角度，本项目的建设可行。</w:t>
      </w:r>
    </w:p>
    <w:bookmarkStart w:id="57" w:name="_Toc6799"/>
    <w:bookmarkStart w:id="58" w:name="_Toc26511"/>
    <w:bookmarkStart w:id="59" w:name="_Toc7621"/>
    <w:bookmarkStart w:id="60" w:name="_Toc16680"/>
    <w:p w:rsidR="00C861DA" w:rsidRDefault="0044752E">
      <w:pPr>
        <w:pStyle w:val="12"/>
        <w:jc w:val="center"/>
        <w:rPr>
          <w:rFonts w:ascii="Times New Roman" w:eastAsia="宋体"/>
          <w:b/>
          <w:color w:val="000000" w:themeColor="text1"/>
          <w:sz w:val="28"/>
          <w:szCs w:val="24"/>
        </w:rPr>
      </w:pPr>
      <w:r>
        <w:rPr>
          <w:rFonts w:ascii="Times New Roman" w:eastAsia="宋体" w:hint="eastAsia"/>
          <w:b/>
          <w:color w:val="000000" w:themeColor="text1"/>
          <w:sz w:val="28"/>
          <w:szCs w:val="24"/>
        </w:rPr>
        <w:fldChar w:fldCharType="begin"/>
      </w:r>
      <w:r>
        <w:rPr>
          <w:rFonts w:ascii="Times New Roman" w:eastAsia="宋体" w:hint="eastAsia"/>
          <w:b/>
          <w:color w:val="000000" w:themeColor="text1"/>
          <w:sz w:val="28"/>
          <w:szCs w:val="24"/>
        </w:rPr>
        <w:instrText xml:space="preserve"> HYPERLINK \l "_Toc512505392" </w:instrText>
      </w:r>
      <w:r>
        <w:rPr>
          <w:rFonts w:ascii="Times New Roman" w:eastAsia="宋体" w:hint="eastAsia"/>
          <w:b/>
          <w:color w:val="000000" w:themeColor="text1"/>
          <w:sz w:val="28"/>
          <w:szCs w:val="24"/>
        </w:rPr>
        <w:fldChar w:fldCharType="separate"/>
      </w:r>
      <w:bookmarkStart w:id="61" w:name="_Toc6826753"/>
      <w:r>
        <w:rPr>
          <w:rFonts w:ascii="Times New Roman" w:eastAsia="宋体" w:hint="eastAsia"/>
          <w:b/>
          <w:color w:val="000000" w:themeColor="text1"/>
          <w:sz w:val="28"/>
          <w:szCs w:val="24"/>
        </w:rPr>
        <w:t>2</w:t>
      </w:r>
      <w:r>
        <w:rPr>
          <w:rFonts w:ascii="Times New Roman" w:eastAsia="宋体" w:hint="eastAsia"/>
          <w:b/>
          <w:color w:val="000000" w:themeColor="text1"/>
          <w:sz w:val="28"/>
          <w:szCs w:val="24"/>
        </w:rPr>
        <w:t>、总则</w:t>
      </w:r>
      <w:bookmarkEnd w:id="61"/>
      <w:r>
        <w:rPr>
          <w:rFonts w:ascii="Times New Roman" w:eastAsia="宋体" w:hint="eastAsia"/>
          <w:b/>
          <w:color w:val="000000" w:themeColor="text1"/>
          <w:sz w:val="28"/>
          <w:szCs w:val="24"/>
        </w:rPr>
        <w:fldChar w:fldCharType="end"/>
      </w:r>
      <w:bookmarkEnd w:id="57"/>
      <w:bookmarkEnd w:id="58"/>
      <w:bookmarkEnd w:id="59"/>
      <w:bookmarkEnd w:id="60"/>
    </w:p>
    <w:bookmarkStart w:id="62" w:name="_Toc12588"/>
    <w:bookmarkStart w:id="63" w:name="_Toc20166"/>
    <w:bookmarkStart w:id="64" w:name="_Toc3948"/>
    <w:bookmarkStart w:id="65" w:name="_Toc13154"/>
    <w:p w:rsidR="00C861DA" w:rsidRDefault="0044752E">
      <w:pPr>
        <w:pStyle w:val="22"/>
        <w:rPr>
          <w:rFonts w:ascii="Times New Roman" w:eastAsia="宋体" w:hAnsi="Times New Roman"/>
          <w:bCs w:val="0"/>
          <w:color w:val="000000" w:themeColor="text1"/>
          <w:sz w:val="28"/>
          <w:szCs w:val="28"/>
        </w:rPr>
      </w:pPr>
      <w:r>
        <w:rPr>
          <w:rFonts w:ascii="Times New Roman" w:eastAsia="宋体" w:hAnsi="Times New Roman" w:hint="eastAsia"/>
          <w:bCs w:val="0"/>
          <w:color w:val="000000" w:themeColor="text1"/>
          <w:sz w:val="28"/>
          <w:szCs w:val="28"/>
        </w:rPr>
        <w:fldChar w:fldCharType="begin"/>
      </w:r>
      <w:r>
        <w:rPr>
          <w:rFonts w:ascii="Times New Roman" w:eastAsia="宋体" w:hAnsi="Times New Roman" w:hint="eastAsia"/>
          <w:bCs w:val="0"/>
          <w:color w:val="000000" w:themeColor="text1"/>
          <w:sz w:val="28"/>
          <w:szCs w:val="28"/>
        </w:rPr>
        <w:instrText xml:space="preserve"> HYPERLINK \l "_Toc512505393" </w:instrText>
      </w:r>
      <w:r>
        <w:rPr>
          <w:rFonts w:ascii="Times New Roman" w:eastAsia="宋体" w:hAnsi="Times New Roman" w:hint="eastAsia"/>
          <w:bCs w:val="0"/>
          <w:color w:val="000000" w:themeColor="text1"/>
          <w:sz w:val="28"/>
          <w:szCs w:val="28"/>
        </w:rPr>
        <w:fldChar w:fldCharType="separate"/>
      </w:r>
      <w:bookmarkStart w:id="66" w:name="_Toc6826754"/>
      <w:r>
        <w:rPr>
          <w:rFonts w:ascii="Times New Roman" w:eastAsia="宋体" w:hAnsi="Times New Roman" w:hint="eastAsia"/>
          <w:bCs w:val="0"/>
          <w:color w:val="000000" w:themeColor="text1"/>
          <w:sz w:val="28"/>
          <w:szCs w:val="28"/>
        </w:rPr>
        <w:t>2.1</w:t>
      </w:r>
      <w:r>
        <w:rPr>
          <w:rFonts w:ascii="Times New Roman" w:eastAsia="宋体" w:hAnsi="Times New Roman" w:hint="eastAsia"/>
          <w:bCs w:val="0"/>
          <w:color w:val="000000" w:themeColor="text1"/>
          <w:sz w:val="28"/>
          <w:szCs w:val="28"/>
        </w:rPr>
        <w:t>编制依据</w:t>
      </w:r>
      <w:bookmarkEnd w:id="66"/>
      <w:r>
        <w:rPr>
          <w:rFonts w:ascii="Times New Roman" w:eastAsia="宋体" w:hAnsi="Times New Roman" w:hint="eastAsia"/>
          <w:bCs w:val="0"/>
          <w:color w:val="000000" w:themeColor="text1"/>
          <w:sz w:val="28"/>
          <w:szCs w:val="28"/>
        </w:rPr>
        <w:fldChar w:fldCharType="end"/>
      </w:r>
      <w:bookmarkEnd w:id="62"/>
      <w:bookmarkEnd w:id="63"/>
      <w:bookmarkEnd w:id="64"/>
      <w:bookmarkEnd w:id="65"/>
    </w:p>
    <w:bookmarkStart w:id="67" w:name="_Toc1133"/>
    <w:bookmarkStart w:id="68" w:name="_Toc21395"/>
    <w:bookmarkStart w:id="69" w:name="_Toc30795"/>
    <w:bookmarkStart w:id="70" w:name="_Toc424"/>
    <w:p w:rsidR="00C861DA" w:rsidRDefault="0044752E">
      <w:pPr>
        <w:pStyle w:val="32"/>
        <w:rPr>
          <w:rFonts w:ascii="Times New Roman" w:eastAsia="宋体"/>
          <w:b w:val="0"/>
          <w:bCs w:val="0"/>
          <w:color w:val="000000" w:themeColor="text1"/>
          <w:sz w:val="24"/>
          <w:szCs w:val="24"/>
        </w:rPr>
      </w:pPr>
      <w:r>
        <w:rPr>
          <w:rFonts w:ascii="Times New Roman" w:eastAsia="宋体" w:hint="eastAsia"/>
          <w:b w:val="0"/>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"_Toc512505394" </w:instrText>
      </w:r>
      <w:r>
        <w:rPr>
          <w:rFonts w:ascii="Times New Roman" w:eastAsia="宋体" w:hint="eastAsia"/>
          <w:b w:val="0"/>
          <w:bCs w:val="0"/>
          <w:color w:val="000000" w:themeColor="text1"/>
          <w:sz w:val="24"/>
          <w:szCs w:val="24"/>
        </w:rPr>
        <w:fldChar w:fldCharType="separate"/>
      </w:r>
      <w:bookmarkStart w:id="71" w:name="_Toc6826755"/>
      <w:r>
        <w:rPr>
          <w:rFonts w:ascii="Times New Roman" w:eastAsia="宋体" w:hint="eastAsia"/>
          <w:bCs w:val="0"/>
          <w:color w:val="000000" w:themeColor="text1"/>
          <w:sz w:val="24"/>
          <w:szCs w:val="24"/>
        </w:rPr>
        <w:t>2.1.1</w:t>
      </w:r>
      <w:r>
        <w:rPr>
          <w:rFonts w:ascii="Times New Roman" w:eastAsia="宋体" w:hint="eastAsia"/>
          <w:bCs w:val="0"/>
          <w:color w:val="000000" w:themeColor="text1"/>
          <w:sz w:val="24"/>
          <w:szCs w:val="24"/>
        </w:rPr>
        <w:t>法律依据</w:t>
      </w:r>
      <w:bookmarkEnd w:id="71"/>
      <w:r>
        <w:rPr>
          <w:rFonts w:ascii="Times New Roman" w:eastAsia="宋体" w:hint="eastAsia"/>
          <w:b w:val="0"/>
          <w:bCs w:val="0"/>
          <w:color w:val="000000" w:themeColor="text1"/>
          <w:sz w:val="24"/>
          <w:szCs w:val="24"/>
        </w:rPr>
        <w:fldChar w:fldCharType="end"/>
      </w:r>
      <w:bookmarkEnd w:id="67"/>
      <w:bookmarkEnd w:id="68"/>
      <w:bookmarkEnd w:id="69"/>
      <w:bookmarkEnd w:id="70"/>
    </w:p>
    <w:p w:rsidR="00C861DA" w:rsidRDefault="0044752E">
      <w:pPr>
        <w:snapToGrid w:val="0"/>
        <w:spacing w:line="360" w:lineRule="auto"/>
        <w:ind w:firstLineChars="200" w:firstLine="480"/>
        <w:rPr>
          <w:rFonts w:ascii="Times New Roman" w:eastAsia="宋体" w:cs="仿宋"/>
          <w:color w:val="000000" w:themeColor="text1"/>
          <w:sz w:val="24"/>
        </w:rPr>
      </w:pPr>
      <w:bookmarkStart w:id="72" w:name="_Toc234391126"/>
      <w:bookmarkStart w:id="73" w:name="_Toc242958629"/>
      <w:bookmarkStart w:id="74" w:name="_Toc287863630"/>
      <w:bookmarkStart w:id="75" w:name="_Toc275964541"/>
      <w:r>
        <w:rPr>
          <w:rFonts w:ascii="Times New Roman" w:eastAsia="宋体" w:cs="仿宋" w:hint="eastAsia"/>
          <w:color w:val="000000" w:themeColor="text1"/>
          <w:sz w:val="24"/>
        </w:rPr>
        <w:t>（</w:t>
      </w:r>
      <w:r>
        <w:rPr>
          <w:rFonts w:ascii="Times New Roman" w:eastAsia="宋体" w:cs="仿宋" w:hint="eastAsia"/>
          <w:color w:val="000000" w:themeColor="text1"/>
          <w:sz w:val="24"/>
        </w:rPr>
        <w:t>1</w:t>
      </w:r>
      <w:r>
        <w:rPr>
          <w:rFonts w:ascii="Times New Roman" w:eastAsia="宋体" w:cs="仿宋" w:hint="eastAsia"/>
          <w:color w:val="000000" w:themeColor="text1"/>
          <w:sz w:val="24"/>
        </w:rPr>
        <w:t>）《中华人民共和国环境保护法》（</w:t>
      </w:r>
      <w:r>
        <w:rPr>
          <w:rFonts w:ascii="Times New Roman" w:eastAsia="宋体" w:cs="仿宋" w:hint="eastAsia"/>
          <w:color w:val="000000" w:themeColor="text1"/>
          <w:sz w:val="24"/>
        </w:rPr>
        <w:t>2015.1.1</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2</w:t>
      </w:r>
      <w:r>
        <w:rPr>
          <w:rFonts w:ascii="Times New Roman" w:eastAsia="宋体" w:cs="仿宋" w:hint="eastAsia"/>
          <w:color w:val="000000" w:themeColor="text1"/>
          <w:sz w:val="24"/>
        </w:rPr>
        <w:t>）《中华人民共和国环境影响评价法》（</w:t>
      </w:r>
      <w:r>
        <w:rPr>
          <w:rFonts w:ascii="Times New Roman" w:eastAsia="宋体" w:cs="仿宋" w:hint="eastAsia"/>
          <w:color w:val="000000" w:themeColor="text1"/>
          <w:sz w:val="24"/>
        </w:rPr>
        <w:t>201</w:t>
      </w:r>
      <w:r>
        <w:rPr>
          <w:rFonts w:ascii="Times New Roman" w:eastAsia="宋体" w:cs="仿宋"/>
          <w:color w:val="000000" w:themeColor="text1"/>
          <w:sz w:val="24"/>
        </w:rPr>
        <w:t>8.12.29</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3</w:t>
      </w:r>
      <w:r>
        <w:rPr>
          <w:rFonts w:ascii="Times New Roman" w:eastAsia="宋体" w:cs="仿宋" w:hint="eastAsia"/>
          <w:color w:val="000000" w:themeColor="text1"/>
          <w:sz w:val="24"/>
        </w:rPr>
        <w:t>）《中华人民共和国水法》</w:t>
      </w:r>
      <w:r>
        <w:rPr>
          <w:rFonts w:ascii="Times New Roman" w:eastAsia="宋体" w:cs="仿宋" w:hint="eastAsia"/>
          <w:color w:val="000000" w:themeColor="text1"/>
          <w:sz w:val="24"/>
        </w:rPr>
        <w:t>2016</w:t>
      </w:r>
      <w:r>
        <w:rPr>
          <w:rFonts w:ascii="Times New Roman" w:eastAsia="宋体" w:cs="仿宋" w:hint="eastAsia"/>
          <w:color w:val="000000" w:themeColor="text1"/>
          <w:sz w:val="24"/>
        </w:rPr>
        <w:t>年</w:t>
      </w:r>
      <w:r>
        <w:rPr>
          <w:rFonts w:ascii="Times New Roman" w:eastAsia="宋体" w:cs="仿宋" w:hint="eastAsia"/>
          <w:color w:val="000000" w:themeColor="text1"/>
          <w:sz w:val="24"/>
        </w:rPr>
        <w:t>7</w:t>
      </w:r>
      <w:r>
        <w:rPr>
          <w:rFonts w:ascii="Times New Roman" w:eastAsia="宋体" w:cs="仿宋" w:hint="eastAsia"/>
          <w:color w:val="000000" w:themeColor="text1"/>
          <w:sz w:val="24"/>
        </w:rPr>
        <w:t>月</w:t>
      </w:r>
      <w:r>
        <w:rPr>
          <w:rFonts w:ascii="Times New Roman" w:eastAsia="宋体" w:cs="仿宋" w:hint="eastAsia"/>
          <w:color w:val="000000" w:themeColor="text1"/>
          <w:sz w:val="24"/>
        </w:rPr>
        <w:t>2</w:t>
      </w:r>
      <w:r>
        <w:rPr>
          <w:rFonts w:ascii="Times New Roman" w:eastAsia="宋体" w:cs="仿宋" w:hint="eastAsia"/>
          <w:color w:val="000000" w:themeColor="text1"/>
          <w:sz w:val="24"/>
        </w:rPr>
        <w:t>日修订；</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4</w:t>
      </w:r>
      <w:r>
        <w:rPr>
          <w:rFonts w:ascii="Times New Roman" w:eastAsia="宋体" w:cs="仿宋" w:hint="eastAsia"/>
          <w:color w:val="000000" w:themeColor="text1"/>
          <w:sz w:val="24"/>
        </w:rPr>
        <w:t>）《中华人民共和国水土保持法》（</w:t>
      </w:r>
      <w:r>
        <w:rPr>
          <w:rFonts w:ascii="Times New Roman" w:eastAsia="宋体" w:cs="仿宋" w:hint="eastAsia"/>
          <w:color w:val="000000" w:themeColor="text1"/>
          <w:sz w:val="24"/>
        </w:rPr>
        <w:t>2011.3.1</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5</w:t>
      </w:r>
      <w:r>
        <w:rPr>
          <w:rFonts w:ascii="Times New Roman" w:eastAsia="宋体" w:cs="仿宋" w:hint="eastAsia"/>
          <w:color w:val="000000" w:themeColor="text1"/>
          <w:sz w:val="24"/>
        </w:rPr>
        <w:t>）《中华人民共和国土地管理法》（</w:t>
      </w:r>
      <w:r>
        <w:rPr>
          <w:rFonts w:ascii="Times New Roman" w:eastAsia="宋体" w:cs="仿宋" w:hint="eastAsia"/>
          <w:color w:val="000000" w:themeColor="text1"/>
          <w:sz w:val="24"/>
        </w:rPr>
        <w:t>2004.8.28</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6</w:t>
      </w:r>
      <w:r>
        <w:rPr>
          <w:rFonts w:ascii="Times New Roman" w:eastAsia="宋体" w:cs="仿宋" w:hint="eastAsia"/>
          <w:color w:val="000000" w:themeColor="text1"/>
          <w:sz w:val="24"/>
        </w:rPr>
        <w:t>）《中华人民共和国城乡规划法》（</w:t>
      </w:r>
      <w:r>
        <w:rPr>
          <w:rFonts w:ascii="Times New Roman" w:eastAsia="宋体" w:cs="仿宋" w:hint="eastAsia"/>
          <w:color w:val="000000" w:themeColor="text1"/>
          <w:sz w:val="24"/>
        </w:rPr>
        <w:t>2008.1.1</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lastRenderedPageBreak/>
        <w:t>（</w:t>
      </w:r>
      <w:r>
        <w:rPr>
          <w:rFonts w:ascii="Times New Roman" w:eastAsia="宋体" w:cs="仿宋" w:hint="eastAsia"/>
          <w:color w:val="000000" w:themeColor="text1"/>
          <w:sz w:val="24"/>
        </w:rPr>
        <w:t>7</w:t>
      </w:r>
      <w:r>
        <w:rPr>
          <w:rFonts w:ascii="Times New Roman" w:eastAsia="宋体" w:cs="仿宋" w:hint="eastAsia"/>
          <w:color w:val="000000" w:themeColor="text1"/>
          <w:sz w:val="24"/>
        </w:rPr>
        <w:t>）《中华人民共和国大气污染防治法》（</w:t>
      </w:r>
      <w:r>
        <w:rPr>
          <w:rFonts w:ascii="Times New Roman" w:eastAsia="宋体" w:cs="仿宋" w:hint="eastAsia"/>
          <w:color w:val="000000" w:themeColor="text1"/>
          <w:sz w:val="24"/>
        </w:rPr>
        <w:t>2016.1.1</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8</w:t>
      </w:r>
      <w:r>
        <w:rPr>
          <w:rFonts w:ascii="Times New Roman" w:eastAsia="宋体" w:cs="仿宋" w:hint="eastAsia"/>
          <w:color w:val="000000" w:themeColor="text1"/>
          <w:sz w:val="24"/>
        </w:rPr>
        <w:t>）《中华人民共和国水污染防治法》（</w:t>
      </w:r>
      <w:r>
        <w:rPr>
          <w:rFonts w:ascii="Times New Roman" w:eastAsia="宋体" w:cs="仿宋" w:hint="eastAsia"/>
          <w:color w:val="000000" w:themeColor="text1"/>
          <w:sz w:val="24"/>
        </w:rPr>
        <w:t>2018.1.1</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9</w:t>
      </w:r>
      <w:r>
        <w:rPr>
          <w:rFonts w:ascii="Times New Roman" w:eastAsia="宋体" w:cs="仿宋" w:hint="eastAsia"/>
          <w:color w:val="000000" w:themeColor="text1"/>
          <w:sz w:val="24"/>
        </w:rPr>
        <w:t>）《中华人民共和国环境噪声污染防治法》（</w:t>
      </w:r>
      <w:r>
        <w:rPr>
          <w:rFonts w:ascii="Times New Roman" w:eastAsia="宋体" w:cs="仿宋" w:hint="eastAsia"/>
          <w:color w:val="000000" w:themeColor="text1"/>
          <w:sz w:val="24"/>
        </w:rPr>
        <w:t>1997.3.1</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10</w:t>
      </w:r>
      <w:r>
        <w:rPr>
          <w:rFonts w:ascii="Times New Roman" w:eastAsia="宋体" w:cs="仿宋" w:hint="eastAsia"/>
          <w:color w:val="000000" w:themeColor="text1"/>
          <w:sz w:val="24"/>
        </w:rPr>
        <w:t>）《中华人民共和国固体废物污染环境防治法》，</w:t>
      </w:r>
      <w:r>
        <w:rPr>
          <w:rFonts w:ascii="Times New Roman" w:eastAsia="宋体" w:cs="仿宋" w:hint="eastAsia"/>
          <w:color w:val="000000" w:themeColor="text1"/>
          <w:sz w:val="24"/>
        </w:rPr>
        <w:t>2016</w:t>
      </w:r>
      <w:r>
        <w:rPr>
          <w:rFonts w:ascii="Times New Roman" w:eastAsia="宋体" w:cs="仿宋" w:hint="eastAsia"/>
          <w:color w:val="000000" w:themeColor="text1"/>
          <w:sz w:val="24"/>
        </w:rPr>
        <w:t>年</w:t>
      </w:r>
      <w:r>
        <w:rPr>
          <w:rFonts w:ascii="Times New Roman" w:eastAsia="宋体" w:cs="仿宋" w:hint="eastAsia"/>
          <w:color w:val="000000" w:themeColor="text1"/>
          <w:sz w:val="24"/>
        </w:rPr>
        <w:t>11</w:t>
      </w:r>
      <w:r>
        <w:rPr>
          <w:rFonts w:ascii="Times New Roman" w:eastAsia="宋体" w:cs="仿宋" w:hint="eastAsia"/>
          <w:color w:val="000000" w:themeColor="text1"/>
          <w:sz w:val="24"/>
        </w:rPr>
        <w:t>月</w:t>
      </w:r>
      <w:r>
        <w:rPr>
          <w:rFonts w:ascii="Times New Roman" w:eastAsia="宋体" w:cs="仿宋" w:hint="eastAsia"/>
          <w:color w:val="000000" w:themeColor="text1"/>
          <w:sz w:val="24"/>
        </w:rPr>
        <w:t>7</w:t>
      </w:r>
      <w:r>
        <w:rPr>
          <w:rFonts w:ascii="Times New Roman" w:eastAsia="宋体" w:cs="仿宋" w:hint="eastAsia"/>
          <w:color w:val="000000" w:themeColor="text1"/>
          <w:sz w:val="24"/>
        </w:rPr>
        <w:t>日修订；</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11</w:t>
      </w:r>
      <w:r>
        <w:rPr>
          <w:rFonts w:ascii="Times New Roman" w:eastAsia="宋体" w:cs="仿宋" w:hint="eastAsia"/>
          <w:color w:val="000000" w:themeColor="text1"/>
          <w:sz w:val="24"/>
        </w:rPr>
        <w:t>）《中华人民共和国水污染防治法实施细则》（</w:t>
      </w:r>
      <w:r>
        <w:rPr>
          <w:rFonts w:ascii="Times New Roman" w:eastAsia="宋体" w:cs="仿宋" w:hint="eastAsia"/>
          <w:color w:val="000000" w:themeColor="text1"/>
          <w:sz w:val="24"/>
        </w:rPr>
        <w:t>2009.6</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12</w:t>
      </w:r>
      <w:r>
        <w:rPr>
          <w:rFonts w:ascii="Times New Roman" w:eastAsia="宋体" w:cs="仿宋" w:hint="eastAsia"/>
          <w:color w:val="000000" w:themeColor="text1"/>
          <w:sz w:val="24"/>
        </w:rPr>
        <w:t>）《中华人民共和国土地管理法实施条例》（</w:t>
      </w:r>
      <w:r>
        <w:rPr>
          <w:rFonts w:ascii="Times New Roman" w:eastAsia="宋体" w:cs="仿宋" w:hint="eastAsia"/>
          <w:color w:val="000000" w:themeColor="text1"/>
          <w:sz w:val="24"/>
        </w:rPr>
        <w:t>2014.7</w:t>
      </w:r>
      <w:r>
        <w:rPr>
          <w:rFonts w:ascii="Times New Roman" w:eastAsia="宋体" w:cs="仿宋" w:hint="eastAsia"/>
          <w:color w:val="000000" w:themeColor="text1"/>
          <w:sz w:val="24"/>
        </w:rPr>
        <w:t>修订）；</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13</w:t>
      </w:r>
      <w:r>
        <w:rPr>
          <w:rFonts w:ascii="Times New Roman" w:eastAsia="宋体" w:cs="仿宋" w:hint="eastAsia"/>
          <w:color w:val="000000" w:themeColor="text1"/>
          <w:sz w:val="24"/>
        </w:rPr>
        <w:t>）《中华人民共和国水土保持法实施条例》（</w:t>
      </w:r>
      <w:r>
        <w:rPr>
          <w:rFonts w:ascii="Times New Roman" w:eastAsia="宋体" w:cs="仿宋" w:hint="eastAsia"/>
          <w:color w:val="000000" w:themeColor="text1"/>
          <w:sz w:val="24"/>
        </w:rPr>
        <w:t>2011</w:t>
      </w:r>
      <w:r>
        <w:rPr>
          <w:rFonts w:ascii="Times New Roman" w:eastAsia="宋体" w:cs="仿宋" w:hint="eastAsia"/>
          <w:color w:val="000000" w:themeColor="text1"/>
          <w:sz w:val="24"/>
        </w:rPr>
        <w:t>.1</w:t>
      </w:r>
      <w:r>
        <w:rPr>
          <w:rFonts w:ascii="Times New Roman" w:eastAsia="宋体" w:cs="仿宋" w:hint="eastAsia"/>
          <w:color w:val="000000" w:themeColor="text1"/>
          <w:sz w:val="24"/>
        </w:rPr>
        <w:t>修订）；</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14</w:t>
      </w:r>
      <w:r>
        <w:rPr>
          <w:rFonts w:ascii="Times New Roman" w:eastAsia="宋体" w:cs="仿宋" w:hint="eastAsia"/>
          <w:color w:val="000000" w:themeColor="text1"/>
          <w:sz w:val="24"/>
        </w:rPr>
        <w:t>）《建设项目环境保护管理条例》（根据</w:t>
      </w:r>
      <w:r>
        <w:rPr>
          <w:rFonts w:ascii="Times New Roman" w:eastAsia="宋体" w:cs="仿宋" w:hint="eastAsia"/>
          <w:color w:val="000000" w:themeColor="text1"/>
          <w:sz w:val="24"/>
        </w:rPr>
        <w:t>2017</w:t>
      </w:r>
      <w:r>
        <w:rPr>
          <w:rFonts w:ascii="Times New Roman" w:eastAsia="宋体" w:cs="仿宋" w:hint="eastAsia"/>
          <w:color w:val="000000" w:themeColor="text1"/>
          <w:sz w:val="24"/>
        </w:rPr>
        <w:t>年</w:t>
      </w:r>
      <w:r>
        <w:rPr>
          <w:rFonts w:ascii="Times New Roman" w:eastAsia="宋体" w:cs="仿宋" w:hint="eastAsia"/>
          <w:color w:val="000000" w:themeColor="text1"/>
          <w:sz w:val="24"/>
        </w:rPr>
        <w:t>7</w:t>
      </w:r>
      <w:r>
        <w:rPr>
          <w:rFonts w:ascii="Times New Roman" w:eastAsia="宋体" w:cs="仿宋" w:hint="eastAsia"/>
          <w:color w:val="000000" w:themeColor="text1"/>
          <w:sz w:val="24"/>
        </w:rPr>
        <w:t>月</w:t>
      </w:r>
      <w:r>
        <w:rPr>
          <w:rFonts w:ascii="Times New Roman" w:eastAsia="宋体" w:cs="仿宋" w:hint="eastAsia"/>
          <w:color w:val="000000" w:themeColor="text1"/>
          <w:sz w:val="24"/>
        </w:rPr>
        <w:t>16</w:t>
      </w:r>
      <w:r>
        <w:rPr>
          <w:rFonts w:ascii="Times New Roman" w:eastAsia="宋体" w:cs="仿宋" w:hint="eastAsia"/>
          <w:color w:val="000000" w:themeColor="text1"/>
          <w:sz w:val="24"/>
        </w:rPr>
        <w:t>日《国务院关于修改〈建设项目环境保护管理条例〉的决定》修订）；</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15</w:t>
      </w:r>
      <w:r>
        <w:rPr>
          <w:rFonts w:ascii="Times New Roman" w:eastAsia="宋体" w:cs="仿宋" w:hint="eastAsia"/>
          <w:color w:val="000000" w:themeColor="text1"/>
          <w:sz w:val="24"/>
        </w:rPr>
        <w:t>）《关于落实科学发展观加强环境保护的决定》（国发〔</w:t>
      </w:r>
      <w:r>
        <w:rPr>
          <w:rFonts w:ascii="Times New Roman" w:eastAsia="宋体" w:cs="仿宋" w:hint="eastAsia"/>
          <w:color w:val="000000" w:themeColor="text1"/>
          <w:sz w:val="24"/>
        </w:rPr>
        <w:t>2005</w:t>
      </w:r>
      <w:r>
        <w:rPr>
          <w:rFonts w:ascii="Times New Roman" w:eastAsia="宋体" w:cs="仿宋" w:hint="eastAsia"/>
          <w:color w:val="000000" w:themeColor="text1"/>
          <w:sz w:val="24"/>
        </w:rPr>
        <w:t>〕</w:t>
      </w:r>
      <w:r>
        <w:rPr>
          <w:rFonts w:ascii="Times New Roman" w:eastAsia="宋体" w:cs="仿宋" w:hint="eastAsia"/>
          <w:color w:val="000000" w:themeColor="text1"/>
          <w:sz w:val="24"/>
        </w:rPr>
        <w:t>39</w:t>
      </w:r>
      <w:r>
        <w:rPr>
          <w:rFonts w:ascii="Times New Roman" w:eastAsia="宋体" w:cs="仿宋" w:hint="eastAsia"/>
          <w:color w:val="000000" w:themeColor="text1"/>
          <w:sz w:val="24"/>
        </w:rPr>
        <w:t>号）；</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16</w:t>
      </w:r>
      <w:r>
        <w:rPr>
          <w:rFonts w:ascii="Times New Roman" w:eastAsia="宋体" w:cs="仿宋" w:hint="eastAsia"/>
          <w:color w:val="000000" w:themeColor="text1"/>
          <w:sz w:val="24"/>
        </w:rPr>
        <w:t>）《国务院关于印发全国生态保护纲要的通知》（国发〔</w:t>
      </w:r>
      <w:r>
        <w:rPr>
          <w:rFonts w:ascii="Times New Roman" w:eastAsia="宋体" w:cs="仿宋" w:hint="eastAsia"/>
          <w:color w:val="000000" w:themeColor="text1"/>
          <w:sz w:val="24"/>
        </w:rPr>
        <w:t>2000</w:t>
      </w:r>
      <w:r>
        <w:rPr>
          <w:rFonts w:ascii="Times New Roman" w:eastAsia="宋体" w:cs="仿宋" w:hint="eastAsia"/>
          <w:color w:val="000000" w:themeColor="text1"/>
          <w:sz w:val="24"/>
        </w:rPr>
        <w:t>〕</w:t>
      </w:r>
      <w:r>
        <w:rPr>
          <w:rFonts w:ascii="Times New Roman" w:eastAsia="宋体" w:cs="仿宋" w:hint="eastAsia"/>
          <w:color w:val="000000" w:themeColor="text1"/>
          <w:sz w:val="24"/>
        </w:rPr>
        <w:t>38</w:t>
      </w:r>
      <w:r>
        <w:rPr>
          <w:rFonts w:ascii="Times New Roman" w:eastAsia="宋体" w:cs="仿宋" w:hint="eastAsia"/>
          <w:color w:val="000000" w:themeColor="text1"/>
          <w:sz w:val="24"/>
        </w:rPr>
        <w:t>号</w:t>
      </w:r>
      <w:r>
        <w:rPr>
          <w:rFonts w:ascii="Times New Roman" w:eastAsia="宋体" w:cs="仿宋" w:hint="eastAsia"/>
          <w:color w:val="000000" w:themeColor="text1"/>
          <w:sz w:val="24"/>
        </w:rPr>
        <w:t>2000.11</w:t>
      </w:r>
      <w:r>
        <w:rPr>
          <w:rFonts w:ascii="Times New Roman" w:eastAsia="宋体" w:cs="仿宋" w:hint="eastAsia"/>
          <w:color w:val="000000" w:themeColor="text1"/>
          <w:sz w:val="24"/>
        </w:rPr>
        <w:t>）。</w:t>
      </w:r>
      <w:bookmarkEnd w:id="72"/>
      <w:bookmarkEnd w:id="73"/>
      <w:bookmarkEnd w:id="74"/>
      <w:bookmarkEnd w:id="75"/>
    </w:p>
    <w:bookmarkStart w:id="76" w:name="_Toc12121"/>
    <w:bookmarkStart w:id="77" w:name="_Toc30331"/>
    <w:bookmarkStart w:id="78" w:name="_Toc23648"/>
    <w:bookmarkStart w:id="79" w:name="_Toc28409"/>
    <w:p w:rsidR="00C861DA" w:rsidRDefault="0044752E">
      <w:pPr>
        <w:pStyle w:val="32"/>
        <w:rPr>
          <w:rFonts w:ascii="Times New Roman" w:eastAsia="宋体"/>
          <w:b w:val="0"/>
          <w:bCs w:val="0"/>
          <w:color w:val="000000" w:themeColor="text1"/>
          <w:sz w:val="24"/>
          <w:szCs w:val="24"/>
        </w:rPr>
      </w:pPr>
      <w:r>
        <w:rPr>
          <w:rFonts w:ascii="Times New Roman" w:eastAsia="宋体" w:hint="eastAsia"/>
          <w:b w:val="0"/>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"_Toc512505395" </w:instrText>
      </w:r>
      <w:r>
        <w:rPr>
          <w:rFonts w:ascii="Times New Roman" w:eastAsia="宋体" w:hint="eastAsia"/>
          <w:b w:val="0"/>
          <w:bCs w:val="0"/>
          <w:color w:val="000000" w:themeColor="text1"/>
          <w:sz w:val="24"/>
          <w:szCs w:val="24"/>
        </w:rPr>
        <w:fldChar w:fldCharType="separate"/>
      </w:r>
      <w:bookmarkStart w:id="80" w:name="_Toc6826756"/>
      <w:r>
        <w:rPr>
          <w:rFonts w:ascii="Times New Roman" w:eastAsia="宋体" w:hint="eastAsia"/>
          <w:bCs w:val="0"/>
          <w:color w:val="000000" w:themeColor="text1"/>
          <w:sz w:val="24"/>
          <w:szCs w:val="24"/>
        </w:rPr>
        <w:t>2.1.2</w:t>
      </w:r>
      <w:r>
        <w:rPr>
          <w:rFonts w:ascii="Times New Roman" w:eastAsia="宋体" w:hint="eastAsia"/>
          <w:bCs w:val="0"/>
          <w:color w:val="000000" w:themeColor="text1"/>
          <w:sz w:val="24"/>
          <w:szCs w:val="24"/>
        </w:rPr>
        <w:t>行政法规</w:t>
      </w:r>
      <w:bookmarkEnd w:id="80"/>
      <w:r>
        <w:rPr>
          <w:rFonts w:ascii="Times New Roman" w:eastAsia="宋体" w:hint="eastAsia"/>
          <w:b w:val="0"/>
          <w:bCs w:val="0"/>
          <w:color w:val="000000" w:themeColor="text1"/>
          <w:sz w:val="24"/>
          <w:szCs w:val="24"/>
        </w:rPr>
        <w:fldChar w:fldCharType="end"/>
      </w:r>
      <w:bookmarkEnd w:id="76"/>
      <w:bookmarkEnd w:id="77"/>
      <w:bookmarkEnd w:id="78"/>
      <w:bookmarkEnd w:id="79"/>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w:t>
      </w:r>
      <w:r>
        <w:rPr>
          <w:rFonts w:ascii="Times New Roman" w:eastAsia="宋体" w:cs="仿宋" w:hint="eastAsia"/>
          <w:color w:val="000000" w:themeColor="text1"/>
          <w:sz w:val="24"/>
        </w:rPr>
        <w:t>）《建设项目环境保护管理条例》，国务院令第</w:t>
      </w:r>
      <w:r>
        <w:rPr>
          <w:rFonts w:ascii="Times New Roman" w:eastAsia="宋体" w:cs="仿宋" w:hint="eastAsia"/>
          <w:color w:val="000000" w:themeColor="text1"/>
          <w:sz w:val="24"/>
        </w:rPr>
        <w:t>682</w:t>
      </w:r>
      <w:r>
        <w:rPr>
          <w:rFonts w:ascii="Times New Roman" w:eastAsia="宋体" w:cs="仿宋" w:hint="eastAsia"/>
          <w:color w:val="000000" w:themeColor="text1"/>
          <w:sz w:val="24"/>
        </w:rPr>
        <w:t>号，</w:t>
      </w:r>
      <w:r>
        <w:rPr>
          <w:rFonts w:ascii="Times New Roman" w:eastAsia="宋体" w:cs="仿宋" w:hint="eastAsia"/>
          <w:color w:val="000000" w:themeColor="text1"/>
          <w:sz w:val="24"/>
        </w:rPr>
        <w:t>2017</w:t>
      </w:r>
      <w:r>
        <w:rPr>
          <w:rFonts w:ascii="Times New Roman" w:eastAsia="宋体" w:cs="仿宋" w:hint="eastAsia"/>
          <w:color w:val="000000" w:themeColor="text1"/>
          <w:sz w:val="24"/>
        </w:rPr>
        <w:t>年</w:t>
      </w:r>
      <w:r>
        <w:rPr>
          <w:rFonts w:ascii="Times New Roman" w:eastAsia="宋体" w:cs="仿宋" w:hint="eastAsia"/>
          <w:color w:val="000000" w:themeColor="text1"/>
          <w:sz w:val="24"/>
        </w:rPr>
        <w:t>10</w:t>
      </w:r>
      <w:r>
        <w:rPr>
          <w:rFonts w:ascii="Times New Roman" w:eastAsia="宋体" w:cs="仿宋" w:hint="eastAsia"/>
          <w:color w:val="000000" w:themeColor="text1"/>
          <w:sz w:val="24"/>
        </w:rPr>
        <w:t>月</w:t>
      </w:r>
      <w:r>
        <w:rPr>
          <w:rFonts w:ascii="Times New Roman" w:eastAsia="宋体" w:cs="仿宋" w:hint="eastAsia"/>
          <w:color w:val="000000" w:themeColor="text1"/>
          <w:sz w:val="24"/>
        </w:rPr>
        <w:t>1</w:t>
      </w:r>
      <w:r>
        <w:rPr>
          <w:rFonts w:ascii="Times New Roman" w:eastAsia="宋体" w:cs="仿宋" w:hint="eastAsia"/>
          <w:color w:val="000000" w:themeColor="text1"/>
          <w:sz w:val="24"/>
        </w:rPr>
        <w:t>日施行；</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2</w:t>
      </w:r>
      <w:r>
        <w:rPr>
          <w:rFonts w:ascii="Times New Roman" w:eastAsia="宋体" w:cs="仿宋" w:hint="eastAsia"/>
          <w:color w:val="000000" w:themeColor="text1"/>
          <w:sz w:val="24"/>
        </w:rPr>
        <w:t>）《基本农田保护条例》国务院令第</w:t>
      </w:r>
      <w:r>
        <w:rPr>
          <w:rFonts w:ascii="Times New Roman" w:eastAsia="宋体" w:cs="仿宋" w:hint="eastAsia"/>
          <w:color w:val="000000" w:themeColor="text1"/>
          <w:sz w:val="24"/>
        </w:rPr>
        <w:t>257</w:t>
      </w:r>
      <w:r>
        <w:rPr>
          <w:rFonts w:ascii="Times New Roman" w:eastAsia="宋体" w:cs="仿宋" w:hint="eastAsia"/>
          <w:color w:val="000000" w:themeColor="text1"/>
          <w:sz w:val="24"/>
        </w:rPr>
        <w:t>号）</w:t>
      </w:r>
      <w:r>
        <w:rPr>
          <w:rFonts w:ascii="Times New Roman" w:eastAsia="宋体" w:cs="仿宋" w:hint="eastAsia"/>
          <w:color w:val="000000" w:themeColor="text1"/>
          <w:sz w:val="24"/>
        </w:rPr>
        <w:t>2011</w:t>
      </w:r>
      <w:r>
        <w:rPr>
          <w:rFonts w:ascii="Times New Roman" w:eastAsia="宋体" w:cs="仿宋" w:hint="eastAsia"/>
          <w:color w:val="000000" w:themeColor="text1"/>
          <w:sz w:val="24"/>
        </w:rPr>
        <w:t>年</w:t>
      </w:r>
      <w:r>
        <w:rPr>
          <w:rFonts w:ascii="Times New Roman" w:eastAsia="宋体" w:cs="仿宋" w:hint="eastAsia"/>
          <w:color w:val="000000" w:themeColor="text1"/>
          <w:sz w:val="24"/>
        </w:rPr>
        <w:t>1</w:t>
      </w:r>
      <w:r>
        <w:rPr>
          <w:rFonts w:ascii="Times New Roman" w:eastAsia="宋体" w:cs="仿宋" w:hint="eastAsia"/>
          <w:color w:val="000000" w:themeColor="text1"/>
          <w:sz w:val="24"/>
        </w:rPr>
        <w:t>月修改；</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3</w:t>
      </w:r>
      <w:r>
        <w:rPr>
          <w:rFonts w:ascii="Times New Roman" w:eastAsia="宋体" w:cs="仿宋" w:hint="eastAsia"/>
          <w:color w:val="000000" w:themeColor="text1"/>
          <w:sz w:val="24"/>
        </w:rPr>
        <w:t>）国务院国发（</w:t>
      </w:r>
      <w:r>
        <w:rPr>
          <w:rFonts w:ascii="Times New Roman" w:eastAsia="宋体" w:cs="仿宋" w:hint="eastAsia"/>
          <w:color w:val="000000" w:themeColor="text1"/>
          <w:sz w:val="24"/>
        </w:rPr>
        <w:t>2000</w:t>
      </w:r>
      <w:r>
        <w:rPr>
          <w:rFonts w:ascii="Times New Roman" w:eastAsia="宋体" w:cs="仿宋" w:hint="eastAsia"/>
          <w:color w:val="000000" w:themeColor="text1"/>
          <w:sz w:val="24"/>
        </w:rPr>
        <w:t>）</w:t>
      </w:r>
      <w:r>
        <w:rPr>
          <w:rFonts w:ascii="Times New Roman" w:eastAsia="宋体" w:cs="仿宋" w:hint="eastAsia"/>
          <w:color w:val="000000" w:themeColor="text1"/>
          <w:sz w:val="24"/>
        </w:rPr>
        <w:t>38</w:t>
      </w:r>
      <w:r>
        <w:rPr>
          <w:rFonts w:ascii="Times New Roman" w:eastAsia="宋体" w:cs="仿宋" w:hint="eastAsia"/>
          <w:color w:val="000000" w:themeColor="text1"/>
          <w:sz w:val="24"/>
        </w:rPr>
        <w:t>号《全国生态环境保护纲要》，</w:t>
      </w:r>
      <w:r>
        <w:rPr>
          <w:rFonts w:ascii="Times New Roman" w:eastAsia="宋体" w:cs="仿宋" w:hint="eastAsia"/>
          <w:color w:val="000000" w:themeColor="text1"/>
          <w:sz w:val="24"/>
        </w:rPr>
        <w:t>2000</w:t>
      </w:r>
      <w:r>
        <w:rPr>
          <w:rFonts w:ascii="Times New Roman" w:eastAsia="宋体" w:cs="仿宋" w:hint="eastAsia"/>
          <w:color w:val="000000" w:themeColor="text1"/>
          <w:sz w:val="24"/>
        </w:rPr>
        <w:t>年</w:t>
      </w:r>
      <w:r>
        <w:rPr>
          <w:rFonts w:ascii="Times New Roman" w:eastAsia="宋体" w:cs="仿宋" w:hint="eastAsia"/>
          <w:color w:val="000000" w:themeColor="text1"/>
          <w:sz w:val="24"/>
        </w:rPr>
        <w:t>11</w:t>
      </w:r>
      <w:r>
        <w:rPr>
          <w:rFonts w:ascii="Times New Roman" w:eastAsia="宋体" w:cs="仿宋" w:hint="eastAsia"/>
          <w:color w:val="000000" w:themeColor="text1"/>
          <w:sz w:val="24"/>
        </w:rPr>
        <w:t>月；</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4</w:t>
      </w:r>
      <w:r>
        <w:rPr>
          <w:rFonts w:ascii="Times New Roman" w:eastAsia="宋体" w:cs="仿宋" w:hint="eastAsia"/>
          <w:color w:val="000000" w:themeColor="text1"/>
          <w:sz w:val="24"/>
        </w:rPr>
        <w:t>）国发〔</w:t>
      </w:r>
      <w:r>
        <w:rPr>
          <w:rFonts w:ascii="Times New Roman" w:eastAsia="宋体" w:cs="仿宋" w:hint="eastAsia"/>
          <w:color w:val="000000" w:themeColor="text1"/>
          <w:sz w:val="24"/>
        </w:rPr>
        <w:t>2006</w:t>
      </w:r>
      <w:r>
        <w:rPr>
          <w:rFonts w:ascii="Times New Roman" w:eastAsia="宋体" w:cs="仿宋" w:hint="eastAsia"/>
          <w:color w:val="000000" w:themeColor="text1"/>
          <w:sz w:val="24"/>
        </w:rPr>
        <w:t>〕</w:t>
      </w:r>
      <w:r>
        <w:rPr>
          <w:rFonts w:ascii="Times New Roman" w:eastAsia="宋体" w:cs="仿宋" w:hint="eastAsia"/>
          <w:color w:val="000000" w:themeColor="text1"/>
          <w:sz w:val="24"/>
        </w:rPr>
        <w:t>28</w:t>
      </w:r>
      <w:r>
        <w:rPr>
          <w:rFonts w:ascii="Times New Roman" w:eastAsia="宋体" w:cs="仿宋" w:hint="eastAsia"/>
          <w:color w:val="000000" w:themeColor="text1"/>
          <w:sz w:val="24"/>
        </w:rPr>
        <w:t>号《国务院关于加强节能工作的决定》，</w:t>
      </w:r>
      <w:r>
        <w:rPr>
          <w:rFonts w:ascii="Times New Roman" w:eastAsia="宋体" w:cs="仿宋" w:hint="eastAsia"/>
          <w:color w:val="000000" w:themeColor="text1"/>
          <w:sz w:val="24"/>
        </w:rPr>
        <w:t>2006</w:t>
      </w:r>
      <w:r>
        <w:rPr>
          <w:rFonts w:ascii="Times New Roman" w:eastAsia="宋体" w:cs="仿宋" w:hint="eastAsia"/>
          <w:color w:val="000000" w:themeColor="text1"/>
          <w:sz w:val="24"/>
        </w:rPr>
        <w:t>年</w:t>
      </w:r>
      <w:r>
        <w:rPr>
          <w:rFonts w:ascii="Times New Roman" w:eastAsia="宋体" w:cs="仿宋" w:hint="eastAsia"/>
          <w:color w:val="000000" w:themeColor="text1"/>
          <w:sz w:val="24"/>
        </w:rPr>
        <w:t>8</w:t>
      </w:r>
      <w:r>
        <w:rPr>
          <w:rFonts w:ascii="Times New Roman" w:eastAsia="宋体" w:cs="仿宋" w:hint="eastAsia"/>
          <w:color w:val="000000" w:themeColor="text1"/>
          <w:sz w:val="24"/>
        </w:rPr>
        <w:t>月</w:t>
      </w:r>
      <w:r>
        <w:rPr>
          <w:rFonts w:ascii="Times New Roman" w:eastAsia="宋体" w:cs="仿宋" w:hint="eastAsia"/>
          <w:color w:val="000000" w:themeColor="text1"/>
          <w:sz w:val="24"/>
        </w:rPr>
        <w:t>6</w:t>
      </w:r>
      <w:r>
        <w:rPr>
          <w:rFonts w:ascii="Times New Roman" w:eastAsia="宋体" w:cs="仿宋" w:hint="eastAsia"/>
          <w:color w:val="000000" w:themeColor="text1"/>
          <w:sz w:val="24"/>
        </w:rPr>
        <w:t>日；</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5</w:t>
      </w:r>
      <w:r>
        <w:rPr>
          <w:rFonts w:ascii="Times New Roman" w:eastAsia="宋体" w:cs="仿宋" w:hint="eastAsia"/>
          <w:color w:val="000000" w:themeColor="text1"/>
          <w:sz w:val="24"/>
        </w:rPr>
        <w:t>）《国务院关于加快发展循环经济的若干意见》，国发〔</w:t>
      </w:r>
      <w:r>
        <w:rPr>
          <w:rFonts w:ascii="Times New Roman" w:eastAsia="宋体" w:cs="仿宋" w:hint="eastAsia"/>
          <w:color w:val="000000" w:themeColor="text1"/>
          <w:sz w:val="24"/>
        </w:rPr>
        <w:t>2005</w:t>
      </w:r>
      <w:r>
        <w:rPr>
          <w:rFonts w:ascii="Times New Roman" w:eastAsia="宋体" w:cs="仿宋" w:hint="eastAsia"/>
          <w:color w:val="000000" w:themeColor="text1"/>
          <w:sz w:val="24"/>
        </w:rPr>
        <w:t>〕</w:t>
      </w:r>
      <w:r>
        <w:rPr>
          <w:rFonts w:ascii="Times New Roman" w:eastAsia="宋体" w:cs="仿宋" w:hint="eastAsia"/>
          <w:color w:val="000000" w:themeColor="text1"/>
          <w:sz w:val="24"/>
        </w:rPr>
        <w:t>22</w:t>
      </w:r>
      <w:r>
        <w:rPr>
          <w:rFonts w:ascii="Times New Roman" w:eastAsia="宋体" w:cs="仿宋" w:hint="eastAsia"/>
          <w:color w:val="000000" w:themeColor="text1"/>
          <w:sz w:val="24"/>
        </w:rPr>
        <w:t>号；</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6</w:t>
      </w:r>
      <w:r>
        <w:rPr>
          <w:rFonts w:ascii="Times New Roman" w:eastAsia="宋体" w:cs="仿宋" w:hint="eastAsia"/>
          <w:color w:val="000000" w:themeColor="text1"/>
          <w:sz w:val="24"/>
        </w:rPr>
        <w:t>）《国务院关于落实科学发展观加强环境保护的决定》，国发〔</w:t>
      </w:r>
      <w:r>
        <w:rPr>
          <w:rFonts w:ascii="Times New Roman" w:eastAsia="宋体" w:cs="仿宋" w:hint="eastAsia"/>
          <w:color w:val="000000" w:themeColor="text1"/>
          <w:sz w:val="24"/>
        </w:rPr>
        <w:t>2005</w:t>
      </w:r>
      <w:r>
        <w:rPr>
          <w:rFonts w:ascii="Times New Roman" w:eastAsia="宋体" w:cs="仿宋" w:hint="eastAsia"/>
          <w:color w:val="000000" w:themeColor="text1"/>
          <w:sz w:val="24"/>
        </w:rPr>
        <w:t>〕</w:t>
      </w:r>
      <w:r>
        <w:rPr>
          <w:rFonts w:ascii="Times New Roman" w:eastAsia="宋体" w:cs="仿宋" w:hint="eastAsia"/>
          <w:color w:val="000000" w:themeColor="text1"/>
          <w:sz w:val="24"/>
        </w:rPr>
        <w:t>39</w:t>
      </w:r>
      <w:r>
        <w:rPr>
          <w:rFonts w:ascii="Times New Roman" w:eastAsia="宋体" w:cs="仿宋" w:hint="eastAsia"/>
          <w:color w:val="000000" w:themeColor="text1"/>
          <w:sz w:val="24"/>
        </w:rPr>
        <w:t>号；</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7</w:t>
      </w:r>
      <w:r>
        <w:rPr>
          <w:rFonts w:ascii="Times New Roman" w:eastAsia="宋体" w:cs="仿宋" w:hint="eastAsia"/>
          <w:color w:val="000000" w:themeColor="text1"/>
          <w:sz w:val="24"/>
        </w:rPr>
        <w:t>）《国务院关于加强环境保护重点工作的意见》，国发〔</w:t>
      </w:r>
      <w:r>
        <w:rPr>
          <w:rFonts w:ascii="Times New Roman" w:eastAsia="宋体" w:cs="仿宋" w:hint="eastAsia"/>
          <w:color w:val="000000" w:themeColor="text1"/>
          <w:sz w:val="24"/>
        </w:rPr>
        <w:t>2011</w:t>
      </w:r>
      <w:r>
        <w:rPr>
          <w:rFonts w:ascii="Times New Roman" w:eastAsia="宋体" w:cs="仿宋" w:hint="eastAsia"/>
          <w:color w:val="000000" w:themeColor="text1"/>
          <w:sz w:val="24"/>
        </w:rPr>
        <w:t>〕</w:t>
      </w:r>
      <w:r>
        <w:rPr>
          <w:rFonts w:ascii="Times New Roman" w:eastAsia="宋体" w:cs="仿宋" w:hint="eastAsia"/>
          <w:color w:val="000000" w:themeColor="text1"/>
          <w:sz w:val="24"/>
        </w:rPr>
        <w:t>35</w:t>
      </w:r>
      <w:r>
        <w:rPr>
          <w:rFonts w:ascii="Times New Roman" w:eastAsia="宋体" w:cs="仿宋" w:hint="eastAsia"/>
          <w:color w:val="000000" w:themeColor="text1"/>
          <w:sz w:val="24"/>
        </w:rPr>
        <w:t>号；</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8</w:t>
      </w:r>
      <w:r>
        <w:rPr>
          <w:rFonts w:ascii="Times New Roman" w:eastAsia="宋体" w:cs="仿宋" w:hint="eastAsia"/>
          <w:color w:val="000000" w:themeColor="text1"/>
          <w:sz w:val="24"/>
        </w:rPr>
        <w:t>）《中华人民共和国水土保持法实施条例》，</w:t>
      </w:r>
      <w:r>
        <w:rPr>
          <w:rFonts w:ascii="Times New Roman" w:eastAsia="宋体" w:cs="仿宋" w:hint="eastAsia"/>
          <w:color w:val="000000" w:themeColor="text1"/>
          <w:sz w:val="24"/>
        </w:rPr>
        <w:t>2010</w:t>
      </w:r>
      <w:r>
        <w:rPr>
          <w:rFonts w:ascii="Times New Roman" w:eastAsia="宋体" w:cs="仿宋" w:hint="eastAsia"/>
          <w:color w:val="000000" w:themeColor="text1"/>
          <w:sz w:val="24"/>
        </w:rPr>
        <w:t>年</w:t>
      </w:r>
      <w:r>
        <w:rPr>
          <w:rFonts w:ascii="Times New Roman" w:eastAsia="宋体" w:cs="仿宋" w:hint="eastAsia"/>
          <w:color w:val="000000" w:themeColor="text1"/>
          <w:sz w:val="24"/>
        </w:rPr>
        <w:t>12</w:t>
      </w:r>
      <w:r>
        <w:rPr>
          <w:rFonts w:ascii="Times New Roman" w:eastAsia="宋体" w:cs="仿宋" w:hint="eastAsia"/>
          <w:color w:val="000000" w:themeColor="text1"/>
          <w:sz w:val="24"/>
        </w:rPr>
        <w:t>月</w:t>
      </w:r>
      <w:r>
        <w:rPr>
          <w:rFonts w:ascii="Times New Roman" w:eastAsia="宋体" w:cs="仿宋" w:hint="eastAsia"/>
          <w:color w:val="000000" w:themeColor="text1"/>
          <w:sz w:val="24"/>
        </w:rPr>
        <w:t>25</w:t>
      </w:r>
      <w:r>
        <w:rPr>
          <w:rFonts w:ascii="Times New Roman" w:eastAsia="宋体" w:cs="仿宋" w:hint="eastAsia"/>
          <w:color w:val="000000" w:themeColor="text1"/>
          <w:sz w:val="24"/>
        </w:rPr>
        <w:t>日；</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9</w:t>
      </w:r>
      <w:r>
        <w:rPr>
          <w:rFonts w:ascii="Times New Roman" w:eastAsia="宋体" w:cs="仿宋" w:hint="eastAsia"/>
          <w:color w:val="000000" w:themeColor="text1"/>
          <w:sz w:val="24"/>
        </w:rPr>
        <w:t>）《中华人民共和国水污染防治法实施细则》（</w:t>
      </w:r>
      <w:r>
        <w:rPr>
          <w:rFonts w:ascii="Times New Roman" w:eastAsia="宋体" w:cs="仿宋" w:hint="eastAsia"/>
          <w:color w:val="000000" w:themeColor="text1"/>
          <w:sz w:val="24"/>
        </w:rPr>
        <w:t>2000.3</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10</w:t>
      </w:r>
      <w:r>
        <w:rPr>
          <w:rFonts w:ascii="Times New Roman" w:eastAsia="宋体" w:cs="仿宋" w:hint="eastAsia"/>
          <w:color w:val="000000" w:themeColor="text1"/>
          <w:sz w:val="24"/>
        </w:rPr>
        <w:t>）《中华人民共和国土地管理法实施条例》（国务院令第</w:t>
      </w:r>
      <w:r>
        <w:rPr>
          <w:rFonts w:ascii="Times New Roman" w:eastAsia="宋体" w:cs="仿宋" w:hint="eastAsia"/>
          <w:color w:val="000000" w:themeColor="text1"/>
          <w:sz w:val="24"/>
        </w:rPr>
        <w:t>256</w:t>
      </w:r>
      <w:r>
        <w:rPr>
          <w:rFonts w:ascii="Times New Roman" w:eastAsia="宋体" w:cs="仿宋" w:hint="eastAsia"/>
          <w:color w:val="000000" w:themeColor="text1"/>
          <w:sz w:val="24"/>
        </w:rPr>
        <w:t>号，</w:t>
      </w:r>
      <w:r>
        <w:rPr>
          <w:rFonts w:ascii="Times New Roman" w:eastAsia="宋体" w:cs="仿宋" w:hint="eastAsia"/>
          <w:color w:val="000000" w:themeColor="text1"/>
          <w:sz w:val="24"/>
        </w:rPr>
        <w:t>2014</w:t>
      </w:r>
      <w:r>
        <w:rPr>
          <w:rFonts w:ascii="Times New Roman" w:eastAsia="宋体" w:cs="仿宋" w:hint="eastAsia"/>
          <w:color w:val="000000" w:themeColor="text1"/>
          <w:sz w:val="24"/>
        </w:rPr>
        <w:t>年</w:t>
      </w:r>
      <w:r>
        <w:rPr>
          <w:rFonts w:ascii="Times New Roman" w:eastAsia="宋体" w:cs="仿宋" w:hint="eastAsia"/>
          <w:color w:val="000000" w:themeColor="text1"/>
          <w:sz w:val="24"/>
        </w:rPr>
        <w:t>7</w:t>
      </w:r>
      <w:r>
        <w:rPr>
          <w:rFonts w:ascii="Times New Roman" w:eastAsia="宋体" w:cs="仿宋" w:hint="eastAsia"/>
          <w:color w:val="000000" w:themeColor="text1"/>
          <w:sz w:val="24"/>
        </w:rPr>
        <w:t>月修订）；</w:t>
      </w:r>
    </w:p>
    <w:p w:rsidR="00C861DA" w:rsidRDefault="0044752E">
      <w:pPr>
        <w:snapToGrid w:val="0"/>
        <w:spacing w:line="360" w:lineRule="auto"/>
        <w:ind w:firstLineChars="200" w:firstLine="480"/>
        <w:rPr>
          <w:rFonts w:ascii="Times New Roman" w:eastAsia="宋体" w:cs="仿宋"/>
          <w:color w:val="000000" w:themeColor="text1"/>
          <w:sz w:val="24"/>
          <w:lang w:val="zh-CN"/>
        </w:rPr>
      </w:pPr>
      <w:r>
        <w:rPr>
          <w:rFonts w:ascii="Times New Roman" w:eastAsia="宋体" w:cs="仿宋" w:hint="eastAsia"/>
          <w:color w:val="000000" w:themeColor="text1"/>
          <w:sz w:val="24"/>
          <w:lang w:val="zh-CN"/>
        </w:rPr>
        <w:t>（</w:t>
      </w:r>
      <w:r>
        <w:rPr>
          <w:rFonts w:ascii="Times New Roman" w:eastAsia="宋体" w:cs="仿宋" w:hint="eastAsia"/>
          <w:color w:val="000000" w:themeColor="text1"/>
          <w:sz w:val="24"/>
          <w:lang w:val="zh-CN"/>
        </w:rPr>
        <w:t>1</w:t>
      </w:r>
      <w:r>
        <w:rPr>
          <w:rFonts w:ascii="Times New Roman" w:eastAsia="宋体" w:cs="仿宋" w:hint="eastAsia"/>
          <w:color w:val="000000" w:themeColor="text1"/>
          <w:sz w:val="24"/>
        </w:rPr>
        <w:t>1</w:t>
      </w:r>
      <w:r>
        <w:rPr>
          <w:rFonts w:ascii="Times New Roman" w:eastAsia="宋体" w:cs="仿宋" w:hint="eastAsia"/>
          <w:color w:val="000000" w:themeColor="text1"/>
          <w:sz w:val="24"/>
          <w:lang w:val="zh-CN"/>
        </w:rPr>
        <w:t>）《地质灾害防治条例》（国务院令第</w:t>
      </w:r>
      <w:r>
        <w:rPr>
          <w:rFonts w:ascii="Times New Roman" w:eastAsia="宋体" w:cs="仿宋" w:hint="eastAsia"/>
          <w:color w:val="000000" w:themeColor="text1"/>
          <w:sz w:val="24"/>
          <w:lang w:val="zh-CN"/>
        </w:rPr>
        <w:t>394</w:t>
      </w:r>
      <w:r>
        <w:rPr>
          <w:rFonts w:ascii="Times New Roman" w:eastAsia="宋体" w:cs="仿宋" w:hint="eastAsia"/>
          <w:color w:val="000000" w:themeColor="text1"/>
          <w:sz w:val="24"/>
          <w:lang w:val="zh-CN"/>
        </w:rPr>
        <w:t>号）</w:t>
      </w:r>
      <w:r>
        <w:rPr>
          <w:rFonts w:ascii="Times New Roman" w:eastAsia="宋体" w:cs="仿宋" w:hint="eastAsia"/>
          <w:color w:val="000000" w:themeColor="text1"/>
          <w:sz w:val="24"/>
          <w:lang w:val="zh-CN"/>
        </w:rPr>
        <w:t>2004</w:t>
      </w:r>
      <w:r>
        <w:rPr>
          <w:rFonts w:ascii="Times New Roman" w:eastAsia="宋体" w:cs="仿宋" w:hint="eastAsia"/>
          <w:color w:val="000000" w:themeColor="text1"/>
          <w:sz w:val="24"/>
          <w:lang w:val="zh-CN"/>
        </w:rPr>
        <w:t>年</w:t>
      </w:r>
      <w:r>
        <w:rPr>
          <w:rFonts w:ascii="Times New Roman" w:eastAsia="宋体" w:cs="仿宋" w:hint="eastAsia"/>
          <w:color w:val="000000" w:themeColor="text1"/>
          <w:sz w:val="24"/>
          <w:lang w:val="zh-CN"/>
        </w:rPr>
        <w:t>3</w:t>
      </w:r>
      <w:r>
        <w:rPr>
          <w:rFonts w:ascii="Times New Roman" w:eastAsia="宋体" w:cs="仿宋" w:hint="eastAsia"/>
          <w:color w:val="000000" w:themeColor="text1"/>
          <w:sz w:val="24"/>
          <w:lang w:val="zh-CN"/>
        </w:rPr>
        <w:t>月</w:t>
      </w:r>
      <w:r>
        <w:rPr>
          <w:rFonts w:ascii="Times New Roman" w:eastAsia="宋体" w:cs="仿宋" w:hint="eastAsia"/>
          <w:color w:val="000000" w:themeColor="text1"/>
          <w:sz w:val="24"/>
          <w:lang w:val="zh-CN"/>
        </w:rPr>
        <w:t>1</w:t>
      </w:r>
      <w:r>
        <w:rPr>
          <w:rFonts w:ascii="Times New Roman" w:eastAsia="宋体" w:cs="仿宋" w:hint="eastAsia"/>
          <w:color w:val="000000" w:themeColor="text1"/>
          <w:sz w:val="24"/>
          <w:lang w:val="zh-CN"/>
        </w:rPr>
        <w:t>日；</w:t>
      </w:r>
    </w:p>
    <w:p w:rsidR="00C861DA" w:rsidRDefault="0044752E">
      <w:pPr>
        <w:snapToGrid w:val="0"/>
        <w:spacing w:line="360" w:lineRule="auto"/>
        <w:ind w:firstLineChars="200" w:firstLine="480"/>
        <w:rPr>
          <w:rFonts w:ascii="Times New Roman" w:eastAsia="宋体" w:cs="仿宋"/>
          <w:color w:val="000000" w:themeColor="text1"/>
          <w:sz w:val="24"/>
          <w:lang w:val="zh-CN"/>
        </w:rPr>
      </w:pPr>
      <w:r>
        <w:rPr>
          <w:rFonts w:ascii="Times New Roman" w:eastAsia="宋体" w:cs="仿宋" w:hint="eastAsia"/>
          <w:color w:val="000000" w:themeColor="text1"/>
          <w:sz w:val="24"/>
          <w:lang w:val="zh-CN"/>
        </w:rPr>
        <w:lastRenderedPageBreak/>
        <w:t>（</w:t>
      </w:r>
      <w:r>
        <w:rPr>
          <w:rFonts w:ascii="Times New Roman" w:eastAsia="宋体" w:cs="仿宋" w:hint="eastAsia"/>
          <w:color w:val="000000" w:themeColor="text1"/>
          <w:sz w:val="24"/>
          <w:lang w:val="zh-CN"/>
        </w:rPr>
        <w:t>1</w:t>
      </w:r>
      <w:r>
        <w:rPr>
          <w:rFonts w:ascii="Times New Roman" w:eastAsia="宋体" w:cs="仿宋" w:hint="eastAsia"/>
          <w:color w:val="000000" w:themeColor="text1"/>
          <w:sz w:val="24"/>
        </w:rPr>
        <w:t>2</w:t>
      </w:r>
      <w:r>
        <w:rPr>
          <w:rFonts w:ascii="Times New Roman" w:eastAsia="宋体" w:cs="仿宋" w:hint="eastAsia"/>
          <w:color w:val="000000" w:themeColor="text1"/>
          <w:sz w:val="24"/>
          <w:lang w:val="zh-CN"/>
        </w:rPr>
        <w:t>）《国务院关于印发大气污染防治行动计划的通知》，国发</w:t>
      </w:r>
      <w:r>
        <w:rPr>
          <w:rFonts w:ascii="Times New Roman" w:eastAsia="宋体" w:cs="仿宋" w:hint="eastAsia"/>
          <w:color w:val="000000" w:themeColor="text1"/>
          <w:sz w:val="24"/>
        </w:rPr>
        <w:t>〔</w:t>
      </w:r>
      <w:r>
        <w:rPr>
          <w:rFonts w:ascii="Times New Roman" w:eastAsia="宋体" w:cs="仿宋" w:hint="eastAsia"/>
          <w:color w:val="000000" w:themeColor="text1"/>
          <w:sz w:val="24"/>
          <w:lang w:val="zh-CN"/>
        </w:rPr>
        <w:t>2013</w:t>
      </w:r>
      <w:r>
        <w:rPr>
          <w:rFonts w:ascii="Times New Roman" w:eastAsia="宋体" w:cs="仿宋" w:hint="eastAsia"/>
          <w:color w:val="000000" w:themeColor="text1"/>
          <w:sz w:val="24"/>
        </w:rPr>
        <w:t>〕</w:t>
      </w:r>
      <w:r>
        <w:rPr>
          <w:rFonts w:ascii="Times New Roman" w:eastAsia="宋体" w:cs="仿宋" w:hint="eastAsia"/>
          <w:color w:val="000000" w:themeColor="text1"/>
          <w:sz w:val="24"/>
          <w:lang w:val="zh-CN"/>
        </w:rPr>
        <w:t>37</w:t>
      </w:r>
      <w:r>
        <w:rPr>
          <w:rFonts w:ascii="Times New Roman" w:eastAsia="宋体" w:cs="仿宋" w:hint="eastAsia"/>
          <w:color w:val="000000" w:themeColor="text1"/>
          <w:sz w:val="24"/>
          <w:lang w:val="zh-CN"/>
        </w:rPr>
        <w:t>号；</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13</w:t>
      </w:r>
      <w:r>
        <w:rPr>
          <w:rFonts w:ascii="Times New Roman" w:eastAsia="宋体" w:cs="仿宋" w:hint="eastAsia"/>
          <w:color w:val="000000" w:themeColor="text1"/>
          <w:sz w:val="24"/>
        </w:rPr>
        <w:t>）《</w:t>
      </w:r>
      <w:r>
        <w:rPr>
          <w:rFonts w:ascii="Times New Roman" w:eastAsia="宋体" w:cs="仿宋" w:hint="eastAsia"/>
          <w:color w:val="000000" w:themeColor="text1"/>
          <w:sz w:val="24"/>
          <w:lang w:val="zh-CN"/>
        </w:rPr>
        <w:t>国务院关于印发</w:t>
      </w:r>
      <w:r>
        <w:rPr>
          <w:rFonts w:ascii="Times New Roman" w:eastAsia="宋体" w:cs="仿宋" w:hint="eastAsia"/>
          <w:color w:val="000000" w:themeColor="text1"/>
          <w:sz w:val="24"/>
        </w:rPr>
        <w:t>水污染防治行动计划</w:t>
      </w:r>
      <w:r>
        <w:rPr>
          <w:rFonts w:ascii="Times New Roman" w:eastAsia="宋体" w:cs="仿宋" w:hint="eastAsia"/>
          <w:color w:val="000000" w:themeColor="text1"/>
          <w:sz w:val="24"/>
          <w:lang w:val="zh-CN"/>
        </w:rPr>
        <w:t>的通知</w:t>
      </w:r>
      <w:r>
        <w:rPr>
          <w:rFonts w:ascii="Times New Roman" w:eastAsia="宋体" w:cs="仿宋" w:hint="eastAsia"/>
          <w:color w:val="000000" w:themeColor="text1"/>
          <w:sz w:val="24"/>
        </w:rPr>
        <w:t>》，国发〔</w:t>
      </w:r>
      <w:r>
        <w:rPr>
          <w:rFonts w:ascii="Times New Roman" w:eastAsia="宋体" w:cs="仿宋" w:hint="eastAsia"/>
          <w:color w:val="000000" w:themeColor="text1"/>
          <w:sz w:val="24"/>
        </w:rPr>
        <w:t>2015</w:t>
      </w:r>
      <w:r>
        <w:rPr>
          <w:rFonts w:ascii="Times New Roman" w:eastAsia="宋体" w:cs="仿宋" w:hint="eastAsia"/>
          <w:color w:val="000000" w:themeColor="text1"/>
          <w:sz w:val="24"/>
        </w:rPr>
        <w:t>〕</w:t>
      </w:r>
      <w:r>
        <w:rPr>
          <w:rFonts w:ascii="Times New Roman" w:eastAsia="宋体" w:cs="仿宋" w:hint="eastAsia"/>
          <w:color w:val="000000" w:themeColor="text1"/>
          <w:sz w:val="24"/>
        </w:rPr>
        <w:t>17</w:t>
      </w:r>
      <w:r>
        <w:rPr>
          <w:rFonts w:ascii="Times New Roman" w:eastAsia="宋体" w:cs="仿宋" w:hint="eastAsia"/>
          <w:color w:val="000000" w:themeColor="text1"/>
          <w:sz w:val="24"/>
        </w:rPr>
        <w:t>号，</w:t>
      </w:r>
      <w:r>
        <w:rPr>
          <w:rFonts w:ascii="Times New Roman" w:eastAsia="宋体" w:cs="仿宋" w:hint="eastAsia"/>
          <w:color w:val="000000" w:themeColor="text1"/>
          <w:sz w:val="24"/>
        </w:rPr>
        <w:t>2015</w:t>
      </w:r>
      <w:r>
        <w:rPr>
          <w:rFonts w:ascii="Times New Roman" w:eastAsia="宋体" w:cs="仿宋" w:hint="eastAsia"/>
          <w:color w:val="000000" w:themeColor="text1"/>
          <w:sz w:val="24"/>
        </w:rPr>
        <w:t>年</w:t>
      </w:r>
      <w:r>
        <w:rPr>
          <w:rFonts w:ascii="Times New Roman" w:eastAsia="宋体" w:cs="仿宋" w:hint="eastAsia"/>
          <w:color w:val="000000" w:themeColor="text1"/>
          <w:sz w:val="24"/>
        </w:rPr>
        <w:t>4</w:t>
      </w:r>
      <w:r>
        <w:rPr>
          <w:rFonts w:ascii="Times New Roman" w:eastAsia="宋体" w:cs="仿宋" w:hint="eastAsia"/>
          <w:color w:val="000000" w:themeColor="text1"/>
          <w:sz w:val="24"/>
        </w:rPr>
        <w:t>月</w:t>
      </w:r>
      <w:r>
        <w:rPr>
          <w:rFonts w:ascii="Times New Roman" w:eastAsia="宋体" w:cs="仿宋" w:hint="eastAsia"/>
          <w:color w:val="000000" w:themeColor="text1"/>
          <w:sz w:val="24"/>
        </w:rPr>
        <w:t>2</w:t>
      </w:r>
      <w:r>
        <w:rPr>
          <w:rFonts w:ascii="Times New Roman" w:eastAsia="宋体" w:cs="仿宋" w:hint="eastAsia"/>
          <w:color w:val="000000" w:themeColor="text1"/>
          <w:sz w:val="24"/>
        </w:rPr>
        <w:t>日；</w:t>
      </w:r>
    </w:p>
    <w:p w:rsidR="00C861DA" w:rsidRDefault="0044752E">
      <w:pPr>
        <w:snapToGrid w:val="0"/>
        <w:spacing w:line="360" w:lineRule="auto"/>
        <w:ind w:firstLineChars="200" w:firstLine="480"/>
        <w:rPr>
          <w:rFonts w:ascii="Times New Roman" w:eastAsia="宋体" w:cs="仿宋"/>
          <w:color w:val="000000" w:themeColor="text1"/>
          <w:sz w:val="24"/>
          <w:lang w:val="zh-CN"/>
        </w:rPr>
      </w:pPr>
      <w:r>
        <w:rPr>
          <w:rFonts w:ascii="Times New Roman" w:eastAsia="宋体" w:cs="仿宋" w:hint="eastAsia"/>
          <w:color w:val="000000" w:themeColor="text1"/>
          <w:sz w:val="24"/>
          <w:lang w:val="zh-CN"/>
        </w:rPr>
        <w:t>（</w:t>
      </w:r>
      <w:r>
        <w:rPr>
          <w:rFonts w:ascii="Times New Roman" w:eastAsia="宋体" w:cs="仿宋" w:hint="eastAsia"/>
          <w:color w:val="000000" w:themeColor="text1"/>
          <w:sz w:val="24"/>
          <w:lang w:val="zh-CN"/>
        </w:rPr>
        <w:t>1</w:t>
      </w:r>
      <w:r>
        <w:rPr>
          <w:rFonts w:ascii="Times New Roman" w:eastAsia="宋体" w:cs="仿宋" w:hint="eastAsia"/>
          <w:color w:val="000000" w:themeColor="text1"/>
          <w:sz w:val="24"/>
        </w:rPr>
        <w:t>4</w:t>
      </w:r>
      <w:r>
        <w:rPr>
          <w:rFonts w:ascii="Times New Roman" w:eastAsia="宋体" w:cs="仿宋" w:hint="eastAsia"/>
          <w:color w:val="000000" w:themeColor="text1"/>
          <w:sz w:val="24"/>
          <w:lang w:val="zh-CN"/>
        </w:rPr>
        <w:t>）《国务院关于印发土壤污染防治行动计划的通知》，国发〔</w:t>
      </w:r>
      <w:r>
        <w:rPr>
          <w:rFonts w:ascii="Times New Roman" w:eastAsia="宋体" w:cs="仿宋" w:hint="eastAsia"/>
          <w:color w:val="000000" w:themeColor="text1"/>
          <w:sz w:val="24"/>
          <w:lang w:val="zh-CN"/>
        </w:rPr>
        <w:t>201</w:t>
      </w:r>
      <w:r>
        <w:rPr>
          <w:rFonts w:ascii="Times New Roman" w:eastAsia="宋体" w:cs="仿宋" w:hint="eastAsia"/>
          <w:color w:val="000000" w:themeColor="text1"/>
          <w:sz w:val="24"/>
        </w:rPr>
        <w:t>6</w:t>
      </w:r>
      <w:r>
        <w:rPr>
          <w:rFonts w:ascii="Times New Roman" w:eastAsia="宋体" w:cs="仿宋" w:hint="eastAsia"/>
          <w:color w:val="000000" w:themeColor="text1"/>
          <w:sz w:val="24"/>
          <w:lang w:val="zh-CN"/>
        </w:rPr>
        <w:t>〕</w:t>
      </w:r>
      <w:r>
        <w:rPr>
          <w:rFonts w:ascii="Times New Roman" w:eastAsia="宋体" w:cs="仿宋" w:hint="eastAsia"/>
          <w:color w:val="000000" w:themeColor="text1"/>
          <w:sz w:val="24"/>
          <w:lang w:val="zh-CN"/>
        </w:rPr>
        <w:t>31</w:t>
      </w:r>
      <w:r>
        <w:rPr>
          <w:rFonts w:ascii="Times New Roman" w:eastAsia="宋体" w:cs="仿宋" w:hint="eastAsia"/>
          <w:color w:val="000000" w:themeColor="text1"/>
          <w:sz w:val="24"/>
          <w:lang w:val="zh-CN"/>
        </w:rPr>
        <w:t>号，</w:t>
      </w:r>
      <w:r>
        <w:rPr>
          <w:rFonts w:ascii="Times New Roman" w:eastAsia="宋体" w:cs="仿宋" w:hint="eastAsia"/>
          <w:color w:val="000000" w:themeColor="text1"/>
          <w:sz w:val="24"/>
          <w:lang w:val="zh-CN"/>
        </w:rPr>
        <w:t>2016</w:t>
      </w:r>
      <w:r>
        <w:rPr>
          <w:rFonts w:ascii="Times New Roman" w:eastAsia="宋体" w:cs="仿宋" w:hint="eastAsia"/>
          <w:color w:val="000000" w:themeColor="text1"/>
          <w:sz w:val="24"/>
          <w:lang w:val="zh-CN"/>
        </w:rPr>
        <w:t>年</w:t>
      </w:r>
      <w:r>
        <w:rPr>
          <w:rFonts w:ascii="Times New Roman" w:eastAsia="宋体" w:cs="仿宋" w:hint="eastAsia"/>
          <w:color w:val="000000" w:themeColor="text1"/>
          <w:sz w:val="24"/>
          <w:lang w:val="zh-CN"/>
        </w:rPr>
        <w:t>5</w:t>
      </w:r>
      <w:r>
        <w:rPr>
          <w:rFonts w:ascii="Times New Roman" w:eastAsia="宋体" w:cs="仿宋" w:hint="eastAsia"/>
          <w:color w:val="000000" w:themeColor="text1"/>
          <w:sz w:val="24"/>
          <w:lang w:val="zh-CN"/>
        </w:rPr>
        <w:t>月</w:t>
      </w:r>
      <w:r>
        <w:rPr>
          <w:rFonts w:ascii="Times New Roman" w:eastAsia="宋体" w:cs="仿宋" w:hint="eastAsia"/>
          <w:color w:val="000000" w:themeColor="text1"/>
          <w:sz w:val="24"/>
          <w:lang w:val="zh-CN"/>
        </w:rPr>
        <w:t>31</w:t>
      </w:r>
      <w:r>
        <w:rPr>
          <w:rFonts w:ascii="Times New Roman" w:eastAsia="宋体" w:cs="仿宋" w:hint="eastAsia"/>
          <w:color w:val="000000" w:themeColor="text1"/>
          <w:sz w:val="24"/>
          <w:lang w:val="zh-CN"/>
        </w:rPr>
        <w:t>日；</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15</w:t>
      </w:r>
      <w:r>
        <w:rPr>
          <w:rFonts w:ascii="Times New Roman" w:eastAsia="宋体" w:cs="仿宋" w:hint="eastAsia"/>
          <w:color w:val="000000" w:themeColor="text1"/>
          <w:sz w:val="24"/>
        </w:rPr>
        <w:t>）《关于加强资源环境生态红线管控的指导意见》，发改环资〔</w:t>
      </w:r>
      <w:r>
        <w:rPr>
          <w:rFonts w:ascii="Times New Roman" w:eastAsia="宋体" w:cs="仿宋" w:hint="eastAsia"/>
          <w:color w:val="000000" w:themeColor="text1"/>
          <w:sz w:val="24"/>
        </w:rPr>
        <w:t>2016</w:t>
      </w:r>
      <w:r>
        <w:rPr>
          <w:rFonts w:ascii="Times New Roman" w:eastAsia="宋体" w:cs="仿宋" w:hint="eastAsia"/>
          <w:color w:val="000000" w:themeColor="text1"/>
          <w:sz w:val="24"/>
        </w:rPr>
        <w:t>〕</w:t>
      </w:r>
      <w:r>
        <w:rPr>
          <w:rFonts w:ascii="Times New Roman" w:eastAsia="宋体" w:cs="仿宋" w:hint="eastAsia"/>
          <w:color w:val="000000" w:themeColor="text1"/>
          <w:sz w:val="24"/>
        </w:rPr>
        <w:t>1162</w:t>
      </w:r>
      <w:r>
        <w:rPr>
          <w:rFonts w:ascii="Times New Roman" w:eastAsia="宋体" w:cs="仿宋" w:hint="eastAsia"/>
          <w:color w:val="000000" w:themeColor="text1"/>
          <w:sz w:val="24"/>
        </w:rPr>
        <w:t>号，</w:t>
      </w:r>
      <w:r>
        <w:rPr>
          <w:rFonts w:ascii="Times New Roman" w:eastAsia="宋体" w:cs="仿宋" w:hint="eastAsia"/>
          <w:color w:val="000000" w:themeColor="text1"/>
          <w:sz w:val="24"/>
        </w:rPr>
        <w:t>2016</w:t>
      </w:r>
      <w:r>
        <w:rPr>
          <w:rFonts w:ascii="Times New Roman" w:eastAsia="宋体" w:cs="仿宋" w:hint="eastAsia"/>
          <w:color w:val="000000" w:themeColor="text1"/>
          <w:sz w:val="24"/>
        </w:rPr>
        <w:t>年</w:t>
      </w:r>
      <w:r>
        <w:rPr>
          <w:rFonts w:ascii="Times New Roman" w:eastAsia="宋体" w:cs="仿宋" w:hint="eastAsia"/>
          <w:color w:val="000000" w:themeColor="text1"/>
          <w:sz w:val="24"/>
        </w:rPr>
        <w:t>06</w:t>
      </w:r>
      <w:r>
        <w:rPr>
          <w:rFonts w:ascii="Times New Roman" w:eastAsia="宋体" w:cs="仿宋" w:hint="eastAsia"/>
          <w:color w:val="000000" w:themeColor="text1"/>
          <w:sz w:val="24"/>
        </w:rPr>
        <w:t>月</w:t>
      </w:r>
      <w:r>
        <w:rPr>
          <w:rFonts w:ascii="Times New Roman" w:eastAsia="宋体" w:cs="仿宋" w:hint="eastAsia"/>
          <w:color w:val="000000" w:themeColor="text1"/>
          <w:sz w:val="24"/>
        </w:rPr>
        <w:t>02</w:t>
      </w:r>
      <w:r>
        <w:rPr>
          <w:rFonts w:ascii="Times New Roman" w:eastAsia="宋体" w:cs="仿宋" w:hint="eastAsia"/>
          <w:color w:val="000000" w:themeColor="text1"/>
          <w:sz w:val="24"/>
        </w:rPr>
        <w:t>日；</w:t>
      </w:r>
    </w:p>
    <w:bookmarkStart w:id="81" w:name="_Toc2845"/>
    <w:bookmarkStart w:id="82" w:name="_Toc6495"/>
    <w:bookmarkStart w:id="83" w:name="_Toc8186"/>
    <w:bookmarkStart w:id="84" w:name="_Toc11088"/>
    <w:p w:rsidR="00C861DA" w:rsidRDefault="0044752E">
      <w:pPr>
        <w:pStyle w:val="32"/>
        <w:rPr>
          <w:rFonts w:ascii="Times New Roman" w:eastAsia="宋体"/>
          <w:b w:val="0"/>
          <w:bCs w:val="0"/>
          <w:color w:val="000000" w:themeColor="text1"/>
          <w:sz w:val="24"/>
          <w:szCs w:val="24"/>
        </w:rPr>
      </w:pPr>
      <w:r>
        <w:rPr>
          <w:rFonts w:ascii="Times New Roman" w:eastAsia="宋体" w:hint="eastAsia"/>
          <w:b w:val="0"/>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"_Toc512505396" </w:instrText>
      </w:r>
      <w:r>
        <w:rPr>
          <w:rFonts w:ascii="Times New Roman" w:eastAsia="宋体" w:hint="eastAsia"/>
          <w:b w:val="0"/>
          <w:bCs w:val="0"/>
          <w:color w:val="000000" w:themeColor="text1"/>
          <w:sz w:val="24"/>
          <w:szCs w:val="24"/>
        </w:rPr>
        <w:fldChar w:fldCharType="separate"/>
      </w:r>
      <w:bookmarkStart w:id="85" w:name="_Toc6826757"/>
      <w:r>
        <w:rPr>
          <w:rFonts w:ascii="Times New Roman" w:eastAsia="宋体" w:hint="eastAsia"/>
          <w:bCs w:val="0"/>
          <w:color w:val="000000" w:themeColor="text1"/>
          <w:sz w:val="24"/>
          <w:szCs w:val="24"/>
        </w:rPr>
        <w:t>2.1.3</w:t>
      </w:r>
      <w:r>
        <w:rPr>
          <w:rFonts w:ascii="Times New Roman" w:eastAsia="宋体" w:hint="eastAsia"/>
          <w:bCs w:val="0"/>
          <w:color w:val="000000" w:themeColor="text1"/>
          <w:sz w:val="24"/>
          <w:szCs w:val="24"/>
        </w:rPr>
        <w:t>部门规章</w:t>
      </w:r>
      <w:bookmarkEnd w:id="85"/>
      <w:r>
        <w:rPr>
          <w:rFonts w:ascii="Times New Roman" w:eastAsia="宋体" w:hint="eastAsia"/>
          <w:b w:val="0"/>
          <w:bCs w:val="0"/>
          <w:color w:val="000000" w:themeColor="text1"/>
          <w:sz w:val="24"/>
          <w:szCs w:val="24"/>
        </w:rPr>
        <w:fldChar w:fldCharType="end"/>
      </w:r>
      <w:bookmarkEnd w:id="81"/>
      <w:bookmarkEnd w:id="82"/>
      <w:bookmarkEnd w:id="83"/>
      <w:bookmarkEnd w:id="84"/>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w:t>
      </w:r>
      <w:r>
        <w:rPr>
          <w:rFonts w:ascii="Times New Roman" w:eastAsia="宋体" w:cs="仿宋" w:hint="eastAsia"/>
          <w:color w:val="000000" w:themeColor="text1"/>
          <w:sz w:val="24"/>
          <w:szCs w:val="22"/>
        </w:rPr>
        <w:t>）《建设项目环境影响评价分类管理目录》，生态环境部令第</w:t>
      </w:r>
      <w:r>
        <w:rPr>
          <w:rFonts w:ascii="Times New Roman" w:eastAsia="宋体" w:cs="仿宋"/>
          <w:color w:val="000000" w:themeColor="text1"/>
          <w:sz w:val="24"/>
          <w:szCs w:val="22"/>
        </w:rPr>
        <w:t>1</w:t>
      </w:r>
      <w:r>
        <w:rPr>
          <w:rFonts w:ascii="Times New Roman" w:eastAsia="宋体" w:cs="仿宋" w:hint="eastAsia"/>
          <w:color w:val="000000" w:themeColor="text1"/>
          <w:sz w:val="24"/>
          <w:szCs w:val="22"/>
        </w:rPr>
        <w:t>号，</w:t>
      </w:r>
      <w:r>
        <w:rPr>
          <w:rFonts w:ascii="Times New Roman" w:eastAsia="宋体" w:cs="仿宋" w:hint="eastAsia"/>
          <w:color w:val="000000" w:themeColor="text1"/>
          <w:sz w:val="24"/>
          <w:szCs w:val="22"/>
        </w:rPr>
        <w:t>201</w:t>
      </w:r>
      <w:r>
        <w:rPr>
          <w:rFonts w:ascii="Times New Roman" w:eastAsia="宋体" w:cs="仿宋"/>
          <w:color w:val="000000" w:themeColor="text1"/>
          <w:sz w:val="24"/>
          <w:szCs w:val="22"/>
        </w:rPr>
        <w:t>8</w:t>
      </w:r>
      <w:r>
        <w:rPr>
          <w:rFonts w:ascii="Times New Roman" w:eastAsia="宋体" w:cs="仿宋" w:hint="eastAsia"/>
          <w:color w:val="000000" w:themeColor="text1"/>
          <w:sz w:val="24"/>
          <w:szCs w:val="22"/>
        </w:rPr>
        <w:t>年</w:t>
      </w:r>
      <w:r>
        <w:rPr>
          <w:rFonts w:ascii="Times New Roman" w:eastAsia="宋体" w:cs="仿宋"/>
          <w:color w:val="000000" w:themeColor="text1"/>
          <w:sz w:val="24"/>
          <w:szCs w:val="22"/>
        </w:rPr>
        <w:t>5</w:t>
      </w:r>
      <w:r>
        <w:rPr>
          <w:rFonts w:ascii="Times New Roman" w:eastAsia="宋体" w:cs="仿宋" w:hint="eastAsia"/>
          <w:color w:val="000000" w:themeColor="text1"/>
          <w:sz w:val="24"/>
          <w:szCs w:val="22"/>
        </w:rPr>
        <w:t>月</w:t>
      </w:r>
      <w:r>
        <w:rPr>
          <w:rFonts w:ascii="Times New Roman" w:eastAsia="宋体" w:cs="仿宋"/>
          <w:color w:val="000000" w:themeColor="text1"/>
          <w:sz w:val="24"/>
          <w:szCs w:val="22"/>
        </w:rPr>
        <w:t>2</w:t>
      </w:r>
      <w:r>
        <w:rPr>
          <w:rFonts w:ascii="Times New Roman" w:eastAsia="宋体" w:cs="仿宋" w:hint="eastAsia"/>
          <w:color w:val="000000" w:themeColor="text1"/>
          <w:sz w:val="24"/>
          <w:szCs w:val="22"/>
        </w:rPr>
        <w:t>日实施；</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2</w:t>
      </w:r>
      <w:r>
        <w:rPr>
          <w:rFonts w:ascii="Times New Roman" w:eastAsia="宋体" w:cs="仿宋" w:hint="eastAsia"/>
          <w:color w:val="000000" w:themeColor="text1"/>
          <w:sz w:val="24"/>
          <w:szCs w:val="22"/>
        </w:rPr>
        <w:t>）《产业结构调整指导目录（</w:t>
      </w:r>
      <w:r>
        <w:rPr>
          <w:rFonts w:ascii="Times New Roman" w:eastAsia="宋体" w:cs="仿宋" w:hint="eastAsia"/>
          <w:color w:val="000000" w:themeColor="text1"/>
          <w:sz w:val="24"/>
          <w:szCs w:val="22"/>
        </w:rPr>
        <w:t>2011</w:t>
      </w:r>
      <w:r>
        <w:rPr>
          <w:rFonts w:ascii="Times New Roman" w:eastAsia="宋体" w:cs="仿宋" w:hint="eastAsia"/>
          <w:color w:val="000000" w:themeColor="text1"/>
          <w:sz w:val="24"/>
          <w:szCs w:val="22"/>
        </w:rPr>
        <w:t>年本）》（</w:t>
      </w:r>
      <w:r>
        <w:rPr>
          <w:rFonts w:ascii="Times New Roman" w:eastAsia="宋体" w:cs="仿宋" w:hint="eastAsia"/>
          <w:color w:val="000000" w:themeColor="text1"/>
          <w:sz w:val="24"/>
          <w:szCs w:val="22"/>
        </w:rPr>
        <w:t>2013</w:t>
      </w:r>
      <w:r>
        <w:rPr>
          <w:rFonts w:ascii="Times New Roman" w:eastAsia="宋体" w:cs="仿宋" w:hint="eastAsia"/>
          <w:color w:val="000000" w:themeColor="text1"/>
          <w:sz w:val="24"/>
          <w:szCs w:val="22"/>
        </w:rPr>
        <w:t>年修正），国家发展和改革委员会令第</w:t>
      </w:r>
      <w:r>
        <w:rPr>
          <w:rFonts w:ascii="Times New Roman" w:eastAsia="宋体" w:cs="仿宋" w:hint="eastAsia"/>
          <w:color w:val="000000" w:themeColor="text1"/>
          <w:sz w:val="24"/>
          <w:szCs w:val="22"/>
        </w:rPr>
        <w:t>21</w:t>
      </w:r>
      <w:r>
        <w:rPr>
          <w:rFonts w:ascii="Times New Roman" w:eastAsia="宋体" w:cs="仿宋" w:hint="eastAsia"/>
          <w:color w:val="000000" w:themeColor="text1"/>
          <w:sz w:val="24"/>
          <w:szCs w:val="22"/>
        </w:rPr>
        <w:t>号；</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3</w:t>
      </w:r>
      <w:r>
        <w:rPr>
          <w:rFonts w:ascii="Times New Roman" w:eastAsia="宋体" w:cs="仿宋" w:hint="eastAsia"/>
          <w:color w:val="000000" w:themeColor="text1"/>
          <w:sz w:val="24"/>
          <w:szCs w:val="22"/>
        </w:rPr>
        <w:t>）《关于加强生态保护工作的意见》，环发〔</w:t>
      </w:r>
      <w:r>
        <w:rPr>
          <w:rFonts w:ascii="Times New Roman" w:eastAsia="宋体" w:cs="仿宋" w:hint="eastAsia"/>
          <w:color w:val="000000" w:themeColor="text1"/>
          <w:sz w:val="24"/>
          <w:szCs w:val="22"/>
        </w:rPr>
        <w:t>1997</w:t>
      </w: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758</w:t>
      </w:r>
      <w:r>
        <w:rPr>
          <w:rFonts w:ascii="Times New Roman" w:eastAsia="宋体" w:cs="仿宋" w:hint="eastAsia"/>
          <w:color w:val="000000" w:themeColor="text1"/>
          <w:sz w:val="24"/>
          <w:szCs w:val="22"/>
        </w:rPr>
        <w:t>号；</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4</w:t>
      </w:r>
      <w:r>
        <w:rPr>
          <w:rFonts w:ascii="Times New Roman" w:eastAsia="宋体" w:cs="仿宋" w:hint="eastAsia"/>
          <w:color w:val="000000" w:themeColor="text1"/>
          <w:sz w:val="24"/>
          <w:szCs w:val="22"/>
        </w:rPr>
        <w:t>）《关于加强工业节水工作的意见》，国经贸资源〔</w:t>
      </w:r>
      <w:r>
        <w:rPr>
          <w:rFonts w:ascii="Times New Roman" w:eastAsia="宋体" w:cs="仿宋" w:hint="eastAsia"/>
          <w:color w:val="000000" w:themeColor="text1"/>
          <w:sz w:val="24"/>
          <w:szCs w:val="22"/>
        </w:rPr>
        <w:t>2000</w:t>
      </w: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1015</w:t>
      </w:r>
      <w:r>
        <w:rPr>
          <w:rFonts w:ascii="Times New Roman" w:eastAsia="宋体" w:cs="仿宋" w:hint="eastAsia"/>
          <w:color w:val="000000" w:themeColor="text1"/>
          <w:sz w:val="24"/>
          <w:szCs w:val="22"/>
        </w:rPr>
        <w:t>号；</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5</w:t>
      </w:r>
      <w:r>
        <w:rPr>
          <w:rFonts w:ascii="Times New Roman" w:eastAsia="宋体" w:cs="仿宋" w:hint="eastAsia"/>
          <w:color w:val="000000" w:themeColor="text1"/>
          <w:sz w:val="24"/>
          <w:szCs w:val="22"/>
        </w:rPr>
        <w:t>）《关于加强自然资源开发建设项目的生态环境管理的通知》，</w:t>
      </w:r>
      <w:r>
        <w:rPr>
          <w:rFonts w:ascii="Times New Roman" w:eastAsia="宋体" w:cs="仿宋" w:hint="eastAsia"/>
          <w:color w:val="000000" w:themeColor="text1"/>
          <w:sz w:val="24"/>
          <w:szCs w:val="22"/>
        </w:rPr>
        <w:t>1994</w:t>
      </w:r>
      <w:r>
        <w:rPr>
          <w:rFonts w:ascii="Times New Roman" w:eastAsia="宋体" w:cs="仿宋" w:hint="eastAsia"/>
          <w:color w:val="000000" w:themeColor="text1"/>
          <w:sz w:val="24"/>
          <w:szCs w:val="22"/>
        </w:rPr>
        <w:t>年</w:t>
      </w:r>
      <w:r>
        <w:rPr>
          <w:rFonts w:ascii="Times New Roman" w:eastAsia="宋体" w:cs="仿宋" w:hint="eastAsia"/>
          <w:color w:val="000000" w:themeColor="text1"/>
          <w:sz w:val="24"/>
          <w:szCs w:val="22"/>
        </w:rPr>
        <w:t>12</w:t>
      </w:r>
      <w:r>
        <w:rPr>
          <w:rFonts w:ascii="Times New Roman" w:eastAsia="宋体" w:cs="仿宋" w:hint="eastAsia"/>
          <w:color w:val="000000" w:themeColor="text1"/>
          <w:sz w:val="24"/>
          <w:szCs w:val="22"/>
        </w:rPr>
        <w:t>月</w:t>
      </w:r>
      <w:r>
        <w:rPr>
          <w:rFonts w:ascii="Times New Roman" w:eastAsia="宋体" w:cs="仿宋" w:hint="eastAsia"/>
          <w:color w:val="000000" w:themeColor="text1"/>
          <w:sz w:val="24"/>
          <w:szCs w:val="22"/>
        </w:rPr>
        <w:t>21</w:t>
      </w:r>
      <w:r>
        <w:rPr>
          <w:rFonts w:ascii="Times New Roman" w:eastAsia="宋体" w:cs="仿宋" w:hint="eastAsia"/>
          <w:color w:val="000000" w:themeColor="text1"/>
          <w:sz w:val="24"/>
          <w:szCs w:val="22"/>
        </w:rPr>
        <w:t>日；</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6</w:t>
      </w:r>
      <w:r>
        <w:rPr>
          <w:rFonts w:ascii="Times New Roman" w:eastAsia="宋体" w:cs="仿宋" w:hint="eastAsia"/>
          <w:color w:val="000000" w:themeColor="text1"/>
          <w:sz w:val="24"/>
          <w:szCs w:val="22"/>
        </w:rPr>
        <w:t>）《关于加强资源开发生态环境保护监管工作的意见》，环发〔</w:t>
      </w:r>
      <w:r>
        <w:rPr>
          <w:rFonts w:ascii="Times New Roman" w:eastAsia="宋体" w:cs="仿宋" w:hint="eastAsia"/>
          <w:color w:val="000000" w:themeColor="text1"/>
          <w:sz w:val="24"/>
          <w:szCs w:val="22"/>
        </w:rPr>
        <w:t>2004</w:t>
      </w: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24</w:t>
      </w:r>
      <w:r>
        <w:rPr>
          <w:rFonts w:ascii="Times New Roman" w:eastAsia="宋体" w:cs="仿宋" w:hint="eastAsia"/>
          <w:color w:val="000000" w:themeColor="text1"/>
          <w:sz w:val="24"/>
          <w:szCs w:val="22"/>
        </w:rPr>
        <w:t>号；</w:t>
      </w:r>
      <w:r>
        <w:rPr>
          <w:rFonts w:ascii="Times New Roman" w:eastAsia="宋体" w:cs="仿宋" w:hint="eastAsia"/>
          <w:color w:val="000000" w:themeColor="text1"/>
          <w:sz w:val="24"/>
          <w:szCs w:val="22"/>
        </w:rPr>
        <w:t xml:space="preserve"> </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7</w:t>
      </w:r>
      <w:r>
        <w:rPr>
          <w:rFonts w:ascii="Times New Roman" w:eastAsia="宋体" w:cs="仿宋" w:hint="eastAsia"/>
          <w:color w:val="000000" w:themeColor="text1"/>
          <w:sz w:val="24"/>
          <w:szCs w:val="22"/>
        </w:rPr>
        <w:t>）《关于加强西部地区环境影响评价工作的通知》，环发〔</w:t>
      </w:r>
      <w:r>
        <w:rPr>
          <w:rFonts w:ascii="Times New Roman" w:eastAsia="宋体" w:cs="仿宋" w:hint="eastAsia"/>
          <w:color w:val="000000" w:themeColor="text1"/>
          <w:sz w:val="24"/>
          <w:szCs w:val="22"/>
        </w:rPr>
        <w:t>2011</w:t>
      </w: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150</w:t>
      </w:r>
      <w:r>
        <w:rPr>
          <w:rFonts w:ascii="Times New Roman" w:eastAsia="宋体" w:cs="仿宋" w:hint="eastAsia"/>
          <w:color w:val="000000" w:themeColor="text1"/>
          <w:sz w:val="24"/>
          <w:szCs w:val="22"/>
        </w:rPr>
        <w:t>号；</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8</w:t>
      </w:r>
      <w:r>
        <w:rPr>
          <w:rFonts w:ascii="Times New Roman" w:eastAsia="宋体" w:cs="仿宋" w:hint="eastAsia"/>
          <w:color w:val="000000" w:themeColor="text1"/>
          <w:sz w:val="24"/>
          <w:szCs w:val="22"/>
        </w:rPr>
        <w:t>）《关于印发</w:t>
      </w:r>
      <w:r>
        <w:rPr>
          <w:rFonts w:ascii="Times New Roman" w:eastAsia="宋体" w:cs="仿宋" w:hint="eastAsia"/>
          <w:color w:val="000000" w:themeColor="text1"/>
          <w:sz w:val="24"/>
          <w:szCs w:val="22"/>
        </w:rPr>
        <w:t>&lt;</w:t>
      </w:r>
      <w:r>
        <w:rPr>
          <w:rFonts w:ascii="Times New Roman" w:eastAsia="宋体" w:cs="仿宋" w:hint="eastAsia"/>
          <w:color w:val="000000" w:themeColor="text1"/>
          <w:sz w:val="24"/>
          <w:szCs w:val="22"/>
        </w:rPr>
        <w:t>建设项目环境影响评价政府信息公开指南（试行）</w:t>
      </w:r>
      <w:r>
        <w:rPr>
          <w:rFonts w:ascii="Times New Roman" w:eastAsia="宋体" w:cs="仿宋" w:hint="eastAsia"/>
          <w:color w:val="000000" w:themeColor="text1"/>
          <w:sz w:val="24"/>
          <w:szCs w:val="22"/>
        </w:rPr>
        <w:t>&gt;</w:t>
      </w:r>
      <w:r>
        <w:rPr>
          <w:rFonts w:ascii="Times New Roman" w:eastAsia="宋体" w:cs="仿宋" w:hint="eastAsia"/>
          <w:color w:val="000000" w:themeColor="text1"/>
          <w:sz w:val="24"/>
          <w:szCs w:val="22"/>
        </w:rPr>
        <w:t>的通知》，环办〔</w:t>
      </w:r>
      <w:r>
        <w:rPr>
          <w:rFonts w:ascii="Times New Roman" w:eastAsia="宋体" w:cs="仿宋" w:hint="eastAsia"/>
          <w:color w:val="000000" w:themeColor="text1"/>
          <w:sz w:val="24"/>
          <w:szCs w:val="22"/>
        </w:rPr>
        <w:t>2013</w:t>
      </w: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103</w:t>
      </w:r>
      <w:r>
        <w:rPr>
          <w:rFonts w:ascii="Times New Roman" w:eastAsia="宋体" w:cs="仿宋" w:hint="eastAsia"/>
          <w:color w:val="000000" w:themeColor="text1"/>
          <w:sz w:val="24"/>
          <w:szCs w:val="22"/>
        </w:rPr>
        <w:t>号，</w:t>
      </w:r>
      <w:r>
        <w:rPr>
          <w:rFonts w:ascii="Times New Roman" w:eastAsia="宋体" w:cs="仿宋" w:hint="eastAsia"/>
          <w:color w:val="000000" w:themeColor="text1"/>
          <w:sz w:val="24"/>
          <w:szCs w:val="22"/>
        </w:rPr>
        <w:t>2013</w:t>
      </w:r>
      <w:r>
        <w:rPr>
          <w:rFonts w:ascii="Times New Roman" w:eastAsia="宋体" w:cs="仿宋" w:hint="eastAsia"/>
          <w:color w:val="000000" w:themeColor="text1"/>
          <w:sz w:val="24"/>
          <w:szCs w:val="22"/>
        </w:rPr>
        <w:t>年</w:t>
      </w:r>
      <w:r>
        <w:rPr>
          <w:rFonts w:ascii="Times New Roman" w:eastAsia="宋体" w:cs="仿宋" w:hint="eastAsia"/>
          <w:color w:val="000000" w:themeColor="text1"/>
          <w:sz w:val="24"/>
          <w:szCs w:val="22"/>
        </w:rPr>
        <w:t>11</w:t>
      </w:r>
      <w:r>
        <w:rPr>
          <w:rFonts w:ascii="Times New Roman" w:eastAsia="宋体" w:cs="仿宋" w:hint="eastAsia"/>
          <w:color w:val="000000" w:themeColor="text1"/>
          <w:sz w:val="24"/>
          <w:szCs w:val="22"/>
        </w:rPr>
        <w:t>月</w:t>
      </w:r>
      <w:r>
        <w:rPr>
          <w:rFonts w:ascii="Times New Roman" w:eastAsia="宋体" w:cs="仿宋" w:hint="eastAsia"/>
          <w:color w:val="000000" w:themeColor="text1"/>
          <w:sz w:val="24"/>
          <w:szCs w:val="22"/>
        </w:rPr>
        <w:t>14</w:t>
      </w:r>
      <w:r>
        <w:rPr>
          <w:rFonts w:ascii="Times New Roman" w:eastAsia="宋体" w:cs="仿宋" w:hint="eastAsia"/>
          <w:color w:val="000000" w:themeColor="text1"/>
          <w:sz w:val="24"/>
          <w:szCs w:val="22"/>
        </w:rPr>
        <w:t>日；</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9</w:t>
      </w:r>
      <w:r>
        <w:rPr>
          <w:rFonts w:ascii="Times New Roman" w:eastAsia="宋体" w:cs="仿宋" w:hint="eastAsia"/>
          <w:color w:val="000000" w:themeColor="text1"/>
          <w:sz w:val="24"/>
          <w:szCs w:val="22"/>
        </w:rPr>
        <w:t>）《建设项目环境影响评价文件分级审批规定》，国家环境保护部令第</w:t>
      </w:r>
      <w:r>
        <w:rPr>
          <w:rFonts w:ascii="Times New Roman" w:eastAsia="宋体" w:cs="仿宋" w:hint="eastAsia"/>
          <w:color w:val="000000" w:themeColor="text1"/>
          <w:sz w:val="24"/>
          <w:szCs w:val="22"/>
        </w:rPr>
        <w:t>5</w:t>
      </w:r>
      <w:r>
        <w:rPr>
          <w:rFonts w:ascii="Times New Roman" w:eastAsia="宋体" w:cs="仿宋" w:hint="eastAsia"/>
          <w:color w:val="000000" w:themeColor="text1"/>
          <w:sz w:val="24"/>
          <w:szCs w:val="22"/>
        </w:rPr>
        <w:t>号；</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10</w:t>
      </w:r>
      <w:r>
        <w:rPr>
          <w:rFonts w:ascii="Times New Roman" w:eastAsia="宋体" w:cs="仿宋" w:hint="eastAsia"/>
          <w:color w:val="000000" w:themeColor="text1"/>
          <w:sz w:val="24"/>
          <w:szCs w:val="22"/>
        </w:rPr>
        <w:t>）《国家危险废物名录》（</w:t>
      </w:r>
      <w:r>
        <w:rPr>
          <w:rFonts w:ascii="Times New Roman" w:eastAsia="宋体" w:cs="仿宋" w:hint="eastAsia"/>
          <w:color w:val="000000" w:themeColor="text1"/>
          <w:sz w:val="24"/>
          <w:szCs w:val="22"/>
        </w:rPr>
        <w:t>2</w:t>
      </w:r>
      <w:r>
        <w:rPr>
          <w:rFonts w:ascii="Times New Roman" w:eastAsia="宋体" w:cs="仿宋"/>
          <w:color w:val="000000" w:themeColor="text1"/>
          <w:sz w:val="24"/>
          <w:szCs w:val="22"/>
        </w:rPr>
        <w:t>016</w:t>
      </w:r>
      <w:r>
        <w:rPr>
          <w:rFonts w:ascii="Times New Roman" w:eastAsia="宋体" w:cs="仿宋" w:hint="eastAsia"/>
          <w:color w:val="000000" w:themeColor="text1"/>
          <w:sz w:val="24"/>
          <w:szCs w:val="22"/>
        </w:rPr>
        <w:t>版），</w:t>
      </w:r>
      <w:r>
        <w:rPr>
          <w:rFonts w:ascii="Times New Roman" w:eastAsia="宋体" w:cs="仿宋" w:hint="eastAsia"/>
          <w:color w:val="000000" w:themeColor="text1"/>
          <w:sz w:val="24"/>
          <w:szCs w:val="22"/>
        </w:rPr>
        <w:t>2016</w:t>
      </w:r>
      <w:r>
        <w:rPr>
          <w:rFonts w:ascii="Times New Roman" w:eastAsia="宋体" w:cs="仿宋" w:hint="eastAsia"/>
          <w:color w:val="000000" w:themeColor="text1"/>
          <w:sz w:val="24"/>
          <w:szCs w:val="22"/>
        </w:rPr>
        <w:t>年</w:t>
      </w:r>
      <w:r>
        <w:rPr>
          <w:rFonts w:ascii="Times New Roman" w:eastAsia="宋体" w:cs="仿宋" w:hint="eastAsia"/>
          <w:color w:val="000000" w:themeColor="text1"/>
          <w:sz w:val="24"/>
          <w:szCs w:val="22"/>
        </w:rPr>
        <w:t>8</w:t>
      </w:r>
      <w:r>
        <w:rPr>
          <w:rFonts w:ascii="Times New Roman" w:eastAsia="宋体" w:cs="仿宋" w:hint="eastAsia"/>
          <w:color w:val="000000" w:themeColor="text1"/>
          <w:sz w:val="24"/>
          <w:szCs w:val="22"/>
        </w:rPr>
        <w:t>月</w:t>
      </w:r>
      <w:r>
        <w:rPr>
          <w:rFonts w:ascii="Times New Roman" w:eastAsia="宋体" w:cs="仿宋" w:hint="eastAsia"/>
          <w:color w:val="000000" w:themeColor="text1"/>
          <w:sz w:val="24"/>
          <w:szCs w:val="22"/>
        </w:rPr>
        <w:t>1</w:t>
      </w:r>
      <w:r>
        <w:rPr>
          <w:rFonts w:ascii="Times New Roman" w:eastAsia="宋体" w:cs="仿宋" w:hint="eastAsia"/>
          <w:color w:val="000000" w:themeColor="text1"/>
          <w:sz w:val="24"/>
          <w:szCs w:val="22"/>
        </w:rPr>
        <w:t>日起施行；</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11</w:t>
      </w:r>
      <w:r>
        <w:rPr>
          <w:rFonts w:ascii="Times New Roman" w:eastAsia="宋体" w:cs="仿宋" w:hint="eastAsia"/>
          <w:color w:val="000000" w:themeColor="text1"/>
          <w:sz w:val="24"/>
          <w:szCs w:val="22"/>
        </w:rPr>
        <w:t>）《关于印发环境保护部落实</w:t>
      </w:r>
      <w:r>
        <w:rPr>
          <w:rFonts w:ascii="Times New Roman" w:eastAsia="宋体" w:cs="仿宋" w:hint="eastAsia"/>
          <w:color w:val="000000" w:themeColor="text1"/>
          <w:sz w:val="24"/>
          <w:szCs w:val="22"/>
        </w:rPr>
        <w:t>&lt;</w:t>
      </w:r>
      <w:r>
        <w:rPr>
          <w:rFonts w:ascii="Times New Roman" w:eastAsia="宋体" w:cs="仿宋" w:hint="eastAsia"/>
          <w:color w:val="000000" w:themeColor="text1"/>
          <w:sz w:val="24"/>
          <w:szCs w:val="22"/>
        </w:rPr>
        <w:t>大气污染防治行动计划</w:t>
      </w:r>
      <w:r>
        <w:rPr>
          <w:rFonts w:ascii="Times New Roman" w:eastAsia="宋体" w:cs="仿宋" w:hint="eastAsia"/>
          <w:color w:val="000000" w:themeColor="text1"/>
          <w:sz w:val="24"/>
          <w:szCs w:val="22"/>
        </w:rPr>
        <w:t>&gt;</w:t>
      </w:r>
      <w:r>
        <w:rPr>
          <w:rFonts w:ascii="Times New Roman" w:eastAsia="宋体" w:cs="仿宋" w:hint="eastAsia"/>
          <w:color w:val="000000" w:themeColor="text1"/>
          <w:sz w:val="24"/>
          <w:szCs w:val="22"/>
        </w:rPr>
        <w:t>实施方案的通知》，（环办〔</w:t>
      </w:r>
      <w:r>
        <w:rPr>
          <w:rFonts w:ascii="Times New Roman" w:eastAsia="宋体" w:cs="仿宋" w:hint="eastAsia"/>
          <w:color w:val="000000" w:themeColor="text1"/>
          <w:sz w:val="24"/>
          <w:szCs w:val="22"/>
        </w:rPr>
        <w:t>2013</w:t>
      </w: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118</w:t>
      </w:r>
      <w:r>
        <w:rPr>
          <w:rFonts w:ascii="Times New Roman" w:eastAsia="宋体" w:cs="仿宋" w:hint="eastAsia"/>
          <w:color w:val="000000" w:themeColor="text1"/>
          <w:sz w:val="24"/>
          <w:szCs w:val="22"/>
        </w:rPr>
        <w:t>号）；</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12</w:t>
      </w:r>
      <w:r>
        <w:rPr>
          <w:rFonts w:ascii="Times New Roman" w:eastAsia="宋体" w:cs="仿宋" w:hint="eastAsia"/>
          <w:color w:val="000000" w:themeColor="text1"/>
          <w:sz w:val="24"/>
          <w:szCs w:val="22"/>
        </w:rPr>
        <w:t>）《关于落实大气污染防治行动计划严格环境影响评价准入的通知》，环</w:t>
      </w:r>
      <w:r>
        <w:rPr>
          <w:rFonts w:ascii="Times New Roman" w:eastAsia="宋体" w:cs="仿宋" w:hint="eastAsia"/>
          <w:color w:val="000000" w:themeColor="text1"/>
          <w:sz w:val="24"/>
          <w:szCs w:val="22"/>
        </w:rPr>
        <w:lastRenderedPageBreak/>
        <w:t>办〔</w:t>
      </w:r>
      <w:r>
        <w:rPr>
          <w:rFonts w:ascii="Times New Roman" w:eastAsia="宋体" w:cs="仿宋" w:hint="eastAsia"/>
          <w:color w:val="000000" w:themeColor="text1"/>
          <w:sz w:val="24"/>
          <w:szCs w:val="22"/>
        </w:rPr>
        <w:t>2014</w:t>
      </w: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30</w:t>
      </w:r>
      <w:r>
        <w:rPr>
          <w:rFonts w:ascii="Times New Roman" w:eastAsia="宋体" w:cs="仿宋" w:hint="eastAsia"/>
          <w:color w:val="000000" w:themeColor="text1"/>
          <w:sz w:val="24"/>
          <w:szCs w:val="22"/>
        </w:rPr>
        <w:t>号；</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13</w:t>
      </w:r>
      <w:r>
        <w:rPr>
          <w:rFonts w:ascii="Times New Roman" w:eastAsia="宋体" w:cs="仿宋" w:hint="eastAsia"/>
          <w:color w:val="000000" w:themeColor="text1"/>
          <w:sz w:val="24"/>
          <w:szCs w:val="22"/>
        </w:rPr>
        <w:t>）《突发环境事件应急管理办法部令第</w:t>
      </w:r>
      <w:r>
        <w:rPr>
          <w:rFonts w:ascii="Times New Roman" w:eastAsia="宋体" w:cs="仿宋" w:hint="eastAsia"/>
          <w:color w:val="000000" w:themeColor="text1"/>
          <w:sz w:val="24"/>
          <w:szCs w:val="22"/>
        </w:rPr>
        <w:t>34</w:t>
      </w:r>
      <w:r>
        <w:rPr>
          <w:rFonts w:ascii="Times New Roman" w:eastAsia="宋体" w:cs="仿宋" w:hint="eastAsia"/>
          <w:color w:val="000000" w:themeColor="text1"/>
          <w:sz w:val="24"/>
          <w:szCs w:val="22"/>
        </w:rPr>
        <w:t>号</w:t>
      </w:r>
      <w:r>
        <w:rPr>
          <w:rFonts w:ascii="Times New Roman" w:eastAsia="宋体" w:cs="仿宋" w:hint="eastAsia"/>
          <w:color w:val="000000" w:themeColor="text1"/>
          <w:sz w:val="24"/>
          <w:szCs w:val="22"/>
        </w:rPr>
        <w:t>2015</w:t>
      </w:r>
      <w:r>
        <w:rPr>
          <w:rFonts w:ascii="Times New Roman" w:eastAsia="宋体" w:cs="仿宋" w:hint="eastAsia"/>
          <w:color w:val="000000" w:themeColor="text1"/>
          <w:sz w:val="24"/>
          <w:szCs w:val="22"/>
        </w:rPr>
        <w:t>年</w:t>
      </w:r>
      <w:r>
        <w:rPr>
          <w:rFonts w:ascii="Times New Roman" w:eastAsia="宋体" w:cs="仿宋" w:hint="eastAsia"/>
          <w:color w:val="000000" w:themeColor="text1"/>
          <w:sz w:val="24"/>
          <w:szCs w:val="22"/>
        </w:rPr>
        <w:t>4</w:t>
      </w:r>
      <w:r>
        <w:rPr>
          <w:rFonts w:ascii="Times New Roman" w:eastAsia="宋体" w:cs="仿宋" w:hint="eastAsia"/>
          <w:color w:val="000000" w:themeColor="text1"/>
          <w:sz w:val="24"/>
          <w:szCs w:val="22"/>
        </w:rPr>
        <w:t>月</w:t>
      </w:r>
      <w:r>
        <w:rPr>
          <w:rFonts w:ascii="Times New Roman" w:eastAsia="宋体" w:cs="仿宋" w:hint="eastAsia"/>
          <w:color w:val="000000" w:themeColor="text1"/>
          <w:sz w:val="24"/>
          <w:szCs w:val="22"/>
        </w:rPr>
        <w:t>16</w:t>
      </w:r>
      <w:r>
        <w:rPr>
          <w:rFonts w:ascii="Times New Roman" w:eastAsia="宋体" w:cs="仿宋" w:hint="eastAsia"/>
          <w:color w:val="000000" w:themeColor="text1"/>
          <w:sz w:val="24"/>
          <w:szCs w:val="22"/>
        </w:rPr>
        <w:t>日；</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14</w:t>
      </w:r>
      <w:r>
        <w:rPr>
          <w:rFonts w:ascii="Times New Roman" w:eastAsia="宋体" w:cs="仿宋" w:hint="eastAsia"/>
          <w:color w:val="000000" w:themeColor="text1"/>
          <w:sz w:val="24"/>
          <w:szCs w:val="22"/>
        </w:rPr>
        <w:t>）《危险废物污染防治技术政策》（国家环保总局、国家经贸委、科技部，环发〔</w:t>
      </w:r>
      <w:r>
        <w:rPr>
          <w:rFonts w:ascii="Times New Roman" w:eastAsia="宋体" w:cs="仿宋" w:hint="eastAsia"/>
          <w:color w:val="000000" w:themeColor="text1"/>
          <w:sz w:val="24"/>
          <w:szCs w:val="22"/>
        </w:rPr>
        <w:t>2001</w:t>
      </w: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199</w:t>
      </w:r>
      <w:r>
        <w:rPr>
          <w:rFonts w:ascii="Times New Roman" w:eastAsia="宋体" w:cs="仿宋" w:hint="eastAsia"/>
          <w:color w:val="000000" w:themeColor="text1"/>
          <w:sz w:val="24"/>
          <w:szCs w:val="22"/>
        </w:rPr>
        <w:t>号）；</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15</w:t>
      </w:r>
      <w:r>
        <w:rPr>
          <w:rFonts w:ascii="Times New Roman" w:eastAsia="宋体" w:cs="仿宋" w:hint="eastAsia"/>
          <w:color w:val="000000" w:themeColor="text1"/>
          <w:sz w:val="24"/>
          <w:szCs w:val="22"/>
        </w:rPr>
        <w:t>）《危险化学品重大危险源辨识》（</w:t>
      </w:r>
      <w:r>
        <w:rPr>
          <w:rFonts w:ascii="Times New Roman" w:eastAsia="宋体" w:cs="仿宋" w:hint="eastAsia"/>
          <w:color w:val="000000" w:themeColor="text1"/>
          <w:sz w:val="24"/>
          <w:szCs w:val="22"/>
        </w:rPr>
        <w:t>GB18218-20</w:t>
      </w:r>
      <w:r>
        <w:rPr>
          <w:rFonts w:ascii="Times New Roman" w:eastAsia="宋体" w:cs="仿宋"/>
          <w:color w:val="000000" w:themeColor="text1"/>
          <w:sz w:val="24"/>
          <w:szCs w:val="22"/>
        </w:rPr>
        <w:t>1</w:t>
      </w:r>
      <w:r>
        <w:rPr>
          <w:rFonts w:ascii="Times New Roman" w:eastAsia="宋体" w:cs="仿宋"/>
          <w:color w:val="000000" w:themeColor="text1"/>
          <w:sz w:val="24"/>
          <w:szCs w:val="22"/>
        </w:rPr>
        <w:t>8</w:t>
      </w: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20</w:t>
      </w:r>
      <w:r>
        <w:rPr>
          <w:rFonts w:ascii="Times New Roman" w:eastAsia="宋体" w:cs="仿宋"/>
          <w:color w:val="000000" w:themeColor="text1"/>
          <w:sz w:val="24"/>
          <w:szCs w:val="22"/>
        </w:rPr>
        <w:t>1</w:t>
      </w:r>
      <w:r>
        <w:rPr>
          <w:rFonts w:ascii="Times New Roman" w:eastAsia="宋体" w:cs="仿宋" w:hint="eastAsia"/>
          <w:color w:val="000000" w:themeColor="text1"/>
          <w:sz w:val="24"/>
          <w:szCs w:val="22"/>
        </w:rPr>
        <w:t>9</w:t>
      </w:r>
      <w:r>
        <w:rPr>
          <w:rFonts w:ascii="Times New Roman" w:eastAsia="宋体" w:cs="仿宋" w:hint="eastAsia"/>
          <w:color w:val="000000" w:themeColor="text1"/>
          <w:sz w:val="24"/>
          <w:szCs w:val="22"/>
        </w:rPr>
        <w:t>年</w:t>
      </w:r>
      <w:r>
        <w:rPr>
          <w:rFonts w:ascii="Times New Roman" w:eastAsia="宋体" w:cs="仿宋"/>
          <w:color w:val="000000" w:themeColor="text1"/>
          <w:sz w:val="24"/>
          <w:szCs w:val="22"/>
        </w:rPr>
        <w:t>3</w:t>
      </w:r>
      <w:r>
        <w:rPr>
          <w:rFonts w:ascii="Times New Roman" w:eastAsia="宋体" w:cs="仿宋" w:hint="eastAsia"/>
          <w:color w:val="000000" w:themeColor="text1"/>
          <w:sz w:val="24"/>
          <w:szCs w:val="22"/>
        </w:rPr>
        <w:t>月</w:t>
      </w:r>
      <w:r>
        <w:rPr>
          <w:rFonts w:ascii="Times New Roman" w:eastAsia="宋体" w:cs="仿宋" w:hint="eastAsia"/>
          <w:color w:val="000000" w:themeColor="text1"/>
          <w:sz w:val="24"/>
          <w:szCs w:val="22"/>
        </w:rPr>
        <w:t>01</w:t>
      </w:r>
      <w:r>
        <w:rPr>
          <w:rFonts w:ascii="Times New Roman" w:eastAsia="宋体" w:cs="仿宋" w:hint="eastAsia"/>
          <w:color w:val="000000" w:themeColor="text1"/>
          <w:sz w:val="24"/>
          <w:szCs w:val="22"/>
        </w:rPr>
        <w:t>日实施；</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16</w:t>
      </w:r>
      <w:r>
        <w:rPr>
          <w:rFonts w:ascii="Times New Roman" w:eastAsia="宋体" w:cs="仿宋" w:hint="eastAsia"/>
          <w:color w:val="000000" w:themeColor="text1"/>
          <w:sz w:val="24"/>
          <w:szCs w:val="22"/>
        </w:rPr>
        <w:t>）《危险化学品安全管理条例》，国务院令第</w:t>
      </w:r>
      <w:r>
        <w:rPr>
          <w:rFonts w:ascii="Times New Roman" w:eastAsia="宋体" w:cs="仿宋" w:hint="eastAsia"/>
          <w:color w:val="000000" w:themeColor="text1"/>
          <w:sz w:val="24"/>
          <w:szCs w:val="22"/>
        </w:rPr>
        <w:t>591</w:t>
      </w:r>
      <w:r>
        <w:rPr>
          <w:rFonts w:ascii="Times New Roman" w:eastAsia="宋体" w:cs="仿宋" w:hint="eastAsia"/>
          <w:color w:val="000000" w:themeColor="text1"/>
          <w:sz w:val="24"/>
          <w:szCs w:val="22"/>
        </w:rPr>
        <w:t>号，</w:t>
      </w:r>
      <w:r>
        <w:rPr>
          <w:rFonts w:ascii="Times New Roman" w:eastAsia="宋体" w:cs="仿宋" w:hint="eastAsia"/>
          <w:color w:val="000000" w:themeColor="text1"/>
          <w:sz w:val="24"/>
          <w:szCs w:val="22"/>
        </w:rPr>
        <w:t>2011</w:t>
      </w:r>
      <w:r>
        <w:rPr>
          <w:rFonts w:ascii="Times New Roman" w:eastAsia="宋体" w:cs="仿宋" w:hint="eastAsia"/>
          <w:color w:val="000000" w:themeColor="text1"/>
          <w:sz w:val="24"/>
          <w:szCs w:val="22"/>
        </w:rPr>
        <w:t>年</w:t>
      </w:r>
      <w:r>
        <w:rPr>
          <w:rFonts w:ascii="Times New Roman" w:eastAsia="宋体" w:cs="仿宋" w:hint="eastAsia"/>
          <w:color w:val="000000" w:themeColor="text1"/>
          <w:sz w:val="24"/>
          <w:szCs w:val="22"/>
        </w:rPr>
        <w:t>2</w:t>
      </w:r>
      <w:r>
        <w:rPr>
          <w:rFonts w:ascii="Times New Roman" w:eastAsia="宋体" w:cs="仿宋" w:hint="eastAsia"/>
          <w:color w:val="000000" w:themeColor="text1"/>
          <w:sz w:val="24"/>
          <w:szCs w:val="22"/>
        </w:rPr>
        <w:t>月</w:t>
      </w:r>
      <w:r>
        <w:rPr>
          <w:rFonts w:ascii="Times New Roman" w:eastAsia="宋体" w:cs="仿宋" w:hint="eastAsia"/>
          <w:color w:val="000000" w:themeColor="text1"/>
          <w:sz w:val="24"/>
          <w:szCs w:val="22"/>
        </w:rPr>
        <w:t>16</w:t>
      </w:r>
      <w:r>
        <w:rPr>
          <w:rFonts w:ascii="Times New Roman" w:eastAsia="宋体" w:cs="仿宋" w:hint="eastAsia"/>
          <w:color w:val="000000" w:themeColor="text1"/>
          <w:sz w:val="24"/>
          <w:szCs w:val="22"/>
        </w:rPr>
        <w:t>日修订，</w:t>
      </w:r>
      <w:r>
        <w:rPr>
          <w:rFonts w:ascii="Times New Roman" w:eastAsia="宋体" w:cs="仿宋" w:hint="eastAsia"/>
          <w:color w:val="000000" w:themeColor="text1"/>
          <w:sz w:val="24"/>
          <w:szCs w:val="22"/>
        </w:rPr>
        <w:t>2011</w:t>
      </w:r>
      <w:r>
        <w:rPr>
          <w:rFonts w:ascii="Times New Roman" w:eastAsia="宋体" w:cs="仿宋" w:hint="eastAsia"/>
          <w:color w:val="000000" w:themeColor="text1"/>
          <w:sz w:val="24"/>
          <w:szCs w:val="22"/>
        </w:rPr>
        <w:t>年</w:t>
      </w:r>
      <w:r>
        <w:rPr>
          <w:rFonts w:ascii="Times New Roman" w:eastAsia="宋体" w:cs="仿宋" w:hint="eastAsia"/>
          <w:color w:val="000000" w:themeColor="text1"/>
          <w:sz w:val="24"/>
          <w:szCs w:val="22"/>
        </w:rPr>
        <w:t>12</w:t>
      </w:r>
      <w:r>
        <w:rPr>
          <w:rFonts w:ascii="Times New Roman" w:eastAsia="宋体" w:cs="仿宋" w:hint="eastAsia"/>
          <w:color w:val="000000" w:themeColor="text1"/>
          <w:sz w:val="24"/>
          <w:szCs w:val="22"/>
        </w:rPr>
        <w:t>月</w:t>
      </w:r>
      <w:r>
        <w:rPr>
          <w:rFonts w:ascii="Times New Roman" w:eastAsia="宋体" w:cs="仿宋" w:hint="eastAsia"/>
          <w:color w:val="000000" w:themeColor="text1"/>
          <w:sz w:val="24"/>
          <w:szCs w:val="22"/>
        </w:rPr>
        <w:t>1</w:t>
      </w:r>
      <w:r>
        <w:rPr>
          <w:rFonts w:ascii="Times New Roman" w:eastAsia="宋体" w:cs="仿宋" w:hint="eastAsia"/>
          <w:color w:val="000000" w:themeColor="text1"/>
          <w:sz w:val="24"/>
          <w:szCs w:val="22"/>
        </w:rPr>
        <w:t>日起实施；</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17</w:t>
      </w:r>
      <w:r>
        <w:rPr>
          <w:rFonts w:ascii="Times New Roman" w:eastAsia="宋体" w:cs="仿宋" w:hint="eastAsia"/>
          <w:color w:val="000000" w:themeColor="text1"/>
          <w:sz w:val="24"/>
          <w:szCs w:val="22"/>
        </w:rPr>
        <w:t>）《危险废物转移联单管理办法》，国家环保总局，</w:t>
      </w:r>
      <w:r>
        <w:rPr>
          <w:rFonts w:ascii="Times New Roman" w:eastAsia="宋体" w:cs="仿宋" w:hint="eastAsia"/>
          <w:color w:val="000000" w:themeColor="text1"/>
          <w:sz w:val="24"/>
          <w:szCs w:val="22"/>
        </w:rPr>
        <w:t>1999</w:t>
      </w:r>
      <w:r>
        <w:rPr>
          <w:rFonts w:ascii="Times New Roman" w:eastAsia="宋体" w:cs="仿宋" w:hint="eastAsia"/>
          <w:color w:val="000000" w:themeColor="text1"/>
          <w:sz w:val="24"/>
          <w:szCs w:val="22"/>
        </w:rPr>
        <w:t>年</w:t>
      </w:r>
      <w:r>
        <w:rPr>
          <w:rFonts w:ascii="Times New Roman" w:eastAsia="宋体" w:cs="仿宋" w:hint="eastAsia"/>
          <w:color w:val="000000" w:themeColor="text1"/>
          <w:sz w:val="24"/>
          <w:szCs w:val="22"/>
        </w:rPr>
        <w:t>10</w:t>
      </w:r>
      <w:r>
        <w:rPr>
          <w:rFonts w:ascii="Times New Roman" w:eastAsia="宋体" w:cs="仿宋" w:hint="eastAsia"/>
          <w:color w:val="000000" w:themeColor="text1"/>
          <w:sz w:val="24"/>
          <w:szCs w:val="22"/>
        </w:rPr>
        <w:t>月</w:t>
      </w:r>
      <w:r>
        <w:rPr>
          <w:rFonts w:ascii="Times New Roman" w:eastAsia="宋体" w:cs="仿宋" w:hint="eastAsia"/>
          <w:color w:val="000000" w:themeColor="text1"/>
          <w:sz w:val="24"/>
          <w:szCs w:val="22"/>
        </w:rPr>
        <w:t>1</w:t>
      </w:r>
      <w:r>
        <w:rPr>
          <w:rFonts w:ascii="Times New Roman" w:eastAsia="宋体" w:cs="仿宋" w:hint="eastAsia"/>
          <w:color w:val="000000" w:themeColor="text1"/>
          <w:sz w:val="24"/>
          <w:szCs w:val="22"/>
        </w:rPr>
        <w:t>日；</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18</w:t>
      </w:r>
      <w:r>
        <w:rPr>
          <w:rFonts w:ascii="Times New Roman" w:eastAsia="宋体" w:cs="仿宋" w:hint="eastAsia"/>
          <w:color w:val="000000" w:themeColor="text1"/>
          <w:sz w:val="24"/>
          <w:szCs w:val="22"/>
        </w:rPr>
        <w:t>）《关于切实加强风险防范严格环境影响评价管理的通知》（环发〔</w:t>
      </w:r>
      <w:r>
        <w:rPr>
          <w:rFonts w:ascii="Times New Roman" w:eastAsia="宋体" w:cs="仿宋" w:hint="eastAsia"/>
          <w:color w:val="000000" w:themeColor="text1"/>
          <w:sz w:val="24"/>
          <w:szCs w:val="22"/>
        </w:rPr>
        <w:t>2012</w:t>
      </w: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98</w:t>
      </w:r>
      <w:r>
        <w:rPr>
          <w:rFonts w:ascii="Times New Roman" w:eastAsia="宋体" w:cs="仿宋" w:hint="eastAsia"/>
          <w:color w:val="000000" w:themeColor="text1"/>
          <w:sz w:val="24"/>
          <w:szCs w:val="22"/>
        </w:rPr>
        <w:t>号）；</w:t>
      </w:r>
    </w:p>
    <w:p w:rsidR="00C861DA" w:rsidRDefault="0044752E">
      <w:pPr>
        <w:snapToGrid w:val="0"/>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19</w:t>
      </w:r>
      <w:r>
        <w:rPr>
          <w:rFonts w:ascii="Times New Roman" w:eastAsia="宋体" w:cs="仿宋" w:hint="eastAsia"/>
          <w:color w:val="000000" w:themeColor="text1"/>
          <w:sz w:val="24"/>
          <w:szCs w:val="22"/>
        </w:rPr>
        <w:t>）《关于进一步加强环境保护信息公开工作的通知》，环发〔</w:t>
      </w:r>
      <w:r>
        <w:rPr>
          <w:rFonts w:ascii="Times New Roman" w:eastAsia="宋体" w:cs="仿宋" w:hint="eastAsia"/>
          <w:color w:val="000000" w:themeColor="text1"/>
          <w:sz w:val="24"/>
          <w:szCs w:val="22"/>
        </w:rPr>
        <w:t>2012</w:t>
      </w:r>
      <w:r>
        <w:rPr>
          <w:rFonts w:ascii="Times New Roman" w:eastAsia="宋体" w:cs="仿宋" w:hint="eastAsia"/>
          <w:color w:val="000000" w:themeColor="text1"/>
          <w:sz w:val="24"/>
          <w:szCs w:val="22"/>
        </w:rPr>
        <w:t>〕</w:t>
      </w:r>
      <w:r>
        <w:rPr>
          <w:rFonts w:ascii="Times New Roman" w:eastAsia="宋体" w:cs="仿宋" w:hint="eastAsia"/>
          <w:color w:val="000000" w:themeColor="text1"/>
          <w:sz w:val="24"/>
          <w:szCs w:val="22"/>
        </w:rPr>
        <w:t>134</w:t>
      </w:r>
      <w:r>
        <w:rPr>
          <w:rFonts w:ascii="Times New Roman" w:eastAsia="宋体" w:cs="仿宋" w:hint="eastAsia"/>
          <w:color w:val="000000" w:themeColor="text1"/>
          <w:sz w:val="24"/>
          <w:szCs w:val="22"/>
        </w:rPr>
        <w:t>号。</w:t>
      </w:r>
    </w:p>
    <w:bookmarkStart w:id="86" w:name="_Toc13730"/>
    <w:bookmarkStart w:id="87" w:name="_Toc13011"/>
    <w:bookmarkStart w:id="88" w:name="_Toc3102"/>
    <w:bookmarkStart w:id="89" w:name="_Toc8775"/>
    <w:p w:rsidR="00C861DA" w:rsidRDefault="0044752E">
      <w:pPr>
        <w:pStyle w:val="32"/>
        <w:rPr>
          <w:rFonts w:ascii="Times New Roman" w:eastAsia="宋体"/>
          <w:b w:val="0"/>
          <w:bCs w:val="0"/>
          <w:color w:val="000000" w:themeColor="text1"/>
          <w:sz w:val="24"/>
          <w:szCs w:val="24"/>
        </w:rPr>
      </w:pPr>
      <w:r>
        <w:rPr>
          <w:rFonts w:ascii="Times New Roman" w:eastAsia="宋体" w:hint="eastAsia"/>
          <w:b w:val="0"/>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"_Toc512505397" </w:instrText>
      </w:r>
      <w:r>
        <w:rPr>
          <w:rFonts w:ascii="Times New Roman" w:eastAsia="宋体" w:hint="eastAsia"/>
          <w:b w:val="0"/>
          <w:bCs w:val="0"/>
          <w:color w:val="000000" w:themeColor="text1"/>
          <w:sz w:val="24"/>
          <w:szCs w:val="24"/>
        </w:rPr>
        <w:fldChar w:fldCharType="separate"/>
      </w:r>
      <w:bookmarkStart w:id="90" w:name="_Toc6826758"/>
      <w:r>
        <w:rPr>
          <w:rFonts w:ascii="Times New Roman" w:eastAsia="宋体" w:hint="eastAsia"/>
          <w:bCs w:val="0"/>
          <w:color w:val="000000" w:themeColor="text1"/>
          <w:sz w:val="24"/>
          <w:szCs w:val="24"/>
        </w:rPr>
        <w:t>2.1.4</w:t>
      </w:r>
      <w:r>
        <w:rPr>
          <w:rFonts w:ascii="Times New Roman" w:eastAsia="宋体" w:hint="eastAsia"/>
          <w:bCs w:val="0"/>
          <w:color w:val="000000" w:themeColor="text1"/>
          <w:sz w:val="24"/>
          <w:szCs w:val="24"/>
        </w:rPr>
        <w:t>地方法规、规章</w:t>
      </w:r>
      <w:bookmarkEnd w:id="90"/>
      <w:r>
        <w:rPr>
          <w:rFonts w:ascii="Times New Roman" w:eastAsia="宋体" w:hint="eastAsia"/>
          <w:b w:val="0"/>
          <w:bCs w:val="0"/>
          <w:color w:val="000000" w:themeColor="text1"/>
          <w:sz w:val="24"/>
          <w:szCs w:val="24"/>
        </w:rPr>
        <w:fldChar w:fldCharType="end"/>
      </w:r>
      <w:bookmarkEnd w:id="86"/>
      <w:bookmarkEnd w:id="87"/>
      <w:bookmarkEnd w:id="88"/>
      <w:bookmarkEnd w:id="89"/>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w:t>
      </w:r>
      <w:r>
        <w:rPr>
          <w:rFonts w:ascii="Times New Roman" w:eastAsia="宋体" w:cs="仿宋" w:hint="eastAsia"/>
          <w:color w:val="000000" w:themeColor="text1"/>
          <w:sz w:val="24"/>
        </w:rPr>
        <w:t>）《云南省环境保护条例》（</w:t>
      </w:r>
      <w:r>
        <w:rPr>
          <w:rFonts w:ascii="Times New Roman" w:eastAsia="宋体" w:cs="仿宋" w:hint="eastAsia"/>
          <w:color w:val="000000" w:themeColor="text1"/>
          <w:sz w:val="24"/>
        </w:rPr>
        <w:t>2004</w:t>
      </w:r>
      <w:r>
        <w:rPr>
          <w:rFonts w:ascii="Times New Roman" w:eastAsia="宋体" w:cs="仿宋" w:hint="eastAsia"/>
          <w:color w:val="000000" w:themeColor="text1"/>
          <w:sz w:val="24"/>
        </w:rPr>
        <w:t>修正）；</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2</w:t>
      </w:r>
      <w:r>
        <w:rPr>
          <w:rFonts w:ascii="Times New Roman" w:eastAsia="宋体" w:cs="仿宋" w:hint="eastAsia"/>
          <w:color w:val="000000" w:themeColor="text1"/>
          <w:sz w:val="24"/>
        </w:rPr>
        <w:t>）《云南省土地管理条例》（</w:t>
      </w:r>
      <w:r>
        <w:rPr>
          <w:rFonts w:ascii="Times New Roman" w:eastAsia="宋体" w:cs="仿宋" w:hint="eastAsia"/>
          <w:color w:val="000000" w:themeColor="text1"/>
          <w:sz w:val="24"/>
        </w:rPr>
        <w:t>1999</w:t>
      </w:r>
      <w:r>
        <w:rPr>
          <w:rFonts w:ascii="Times New Roman" w:eastAsia="宋体" w:cs="仿宋" w:hint="eastAsia"/>
          <w:color w:val="000000" w:themeColor="text1"/>
          <w:sz w:val="24"/>
        </w:rPr>
        <w:t>年</w:t>
      </w:r>
      <w:r>
        <w:rPr>
          <w:rFonts w:ascii="Times New Roman" w:eastAsia="宋体" w:cs="仿宋" w:hint="eastAsia"/>
          <w:color w:val="000000" w:themeColor="text1"/>
          <w:sz w:val="24"/>
        </w:rPr>
        <w:t>9</w:t>
      </w:r>
      <w:r>
        <w:rPr>
          <w:rFonts w:ascii="Times New Roman" w:eastAsia="宋体" w:cs="仿宋" w:hint="eastAsia"/>
          <w:color w:val="000000" w:themeColor="text1"/>
          <w:sz w:val="24"/>
        </w:rPr>
        <w:t>月）；</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3</w:t>
      </w:r>
      <w:r>
        <w:rPr>
          <w:rFonts w:ascii="Times New Roman" w:eastAsia="宋体" w:cs="仿宋" w:hint="eastAsia"/>
          <w:color w:val="000000" w:themeColor="text1"/>
          <w:sz w:val="24"/>
        </w:rPr>
        <w:t>）《云南省城市建设管理条例》（</w:t>
      </w:r>
      <w:r>
        <w:rPr>
          <w:rFonts w:ascii="Times New Roman" w:eastAsia="宋体" w:cs="仿宋" w:hint="eastAsia"/>
          <w:color w:val="000000" w:themeColor="text1"/>
          <w:sz w:val="24"/>
        </w:rPr>
        <w:t>2006</w:t>
      </w:r>
      <w:r>
        <w:rPr>
          <w:rFonts w:ascii="Times New Roman" w:eastAsia="宋体" w:cs="仿宋" w:hint="eastAsia"/>
          <w:color w:val="000000" w:themeColor="text1"/>
          <w:sz w:val="24"/>
        </w:rPr>
        <w:t>年</w:t>
      </w:r>
      <w:r>
        <w:rPr>
          <w:rFonts w:ascii="Times New Roman" w:eastAsia="宋体" w:cs="仿宋" w:hint="eastAsia"/>
          <w:color w:val="000000" w:themeColor="text1"/>
          <w:sz w:val="24"/>
        </w:rPr>
        <w:t>11</w:t>
      </w:r>
      <w:r>
        <w:rPr>
          <w:rFonts w:ascii="Times New Roman" w:eastAsia="宋体" w:cs="仿宋" w:hint="eastAsia"/>
          <w:color w:val="000000" w:themeColor="text1"/>
          <w:sz w:val="24"/>
        </w:rPr>
        <w:t>月）；</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4</w:t>
      </w:r>
      <w:r>
        <w:rPr>
          <w:rFonts w:ascii="Times New Roman" w:eastAsia="宋体" w:cs="仿宋" w:hint="eastAsia"/>
          <w:color w:val="000000" w:themeColor="text1"/>
          <w:sz w:val="24"/>
        </w:rPr>
        <w:t>）《云南省地表水水环境功能区划（</w:t>
      </w:r>
      <w:r>
        <w:rPr>
          <w:rFonts w:ascii="Times New Roman" w:eastAsia="宋体" w:cs="仿宋" w:hint="eastAsia"/>
          <w:color w:val="000000" w:themeColor="text1"/>
          <w:sz w:val="24"/>
        </w:rPr>
        <w:t>2010</w:t>
      </w:r>
      <w:r>
        <w:rPr>
          <w:rFonts w:ascii="Times New Roman" w:eastAsia="宋体" w:cs="仿宋" w:hint="eastAsia"/>
          <w:color w:val="000000" w:themeColor="text1"/>
          <w:sz w:val="24"/>
        </w:rPr>
        <w:t>～</w:t>
      </w:r>
      <w:r>
        <w:rPr>
          <w:rFonts w:ascii="Times New Roman" w:eastAsia="宋体" w:cs="仿宋" w:hint="eastAsia"/>
          <w:color w:val="000000" w:themeColor="text1"/>
          <w:sz w:val="24"/>
        </w:rPr>
        <w:t>2020</w:t>
      </w:r>
      <w:r>
        <w:rPr>
          <w:rFonts w:ascii="Times New Roman" w:eastAsia="宋体" w:cs="仿宋" w:hint="eastAsia"/>
          <w:color w:val="000000" w:themeColor="text1"/>
          <w:sz w:val="24"/>
        </w:rPr>
        <w:t>年）》；</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5</w:t>
      </w:r>
      <w:r>
        <w:rPr>
          <w:rFonts w:ascii="Times New Roman" w:eastAsia="宋体" w:cs="仿宋" w:hint="eastAsia"/>
          <w:color w:val="000000" w:themeColor="text1"/>
          <w:sz w:val="24"/>
        </w:rPr>
        <w:t>）《云南省滇池保护条例》（</w:t>
      </w:r>
      <w:r>
        <w:rPr>
          <w:rFonts w:ascii="Times New Roman" w:eastAsia="宋体" w:cs="仿宋" w:hint="eastAsia"/>
          <w:color w:val="000000" w:themeColor="text1"/>
          <w:sz w:val="24"/>
        </w:rPr>
        <w:t>2013.1.1</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6</w:t>
      </w:r>
      <w:r>
        <w:rPr>
          <w:rFonts w:ascii="Times New Roman" w:eastAsia="宋体" w:cs="仿宋" w:hint="eastAsia"/>
          <w:color w:val="000000" w:themeColor="text1"/>
          <w:sz w:val="24"/>
        </w:rPr>
        <w:t>）《昆明市环境噪声污染防治管理办法》（</w:t>
      </w:r>
      <w:r>
        <w:rPr>
          <w:rFonts w:ascii="Times New Roman" w:eastAsia="宋体" w:cs="仿宋" w:hint="eastAsia"/>
          <w:color w:val="000000" w:themeColor="text1"/>
          <w:sz w:val="24"/>
        </w:rPr>
        <w:t>2</w:t>
      </w:r>
      <w:r>
        <w:rPr>
          <w:rFonts w:ascii="Times New Roman" w:eastAsia="宋体" w:cs="仿宋"/>
          <w:color w:val="000000" w:themeColor="text1"/>
          <w:sz w:val="24"/>
        </w:rPr>
        <w:t>007.7.1</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7</w:t>
      </w:r>
      <w:r>
        <w:rPr>
          <w:rFonts w:ascii="Times New Roman" w:eastAsia="宋体" w:cs="仿宋" w:hint="eastAsia"/>
          <w:color w:val="000000" w:themeColor="text1"/>
          <w:sz w:val="24"/>
        </w:rPr>
        <w:t>）昆明市人民政府第</w:t>
      </w:r>
      <w:r>
        <w:rPr>
          <w:rFonts w:ascii="Times New Roman" w:eastAsia="宋体" w:cs="仿宋" w:hint="eastAsia"/>
          <w:color w:val="000000" w:themeColor="text1"/>
          <w:sz w:val="24"/>
        </w:rPr>
        <w:t>58</w:t>
      </w:r>
      <w:r>
        <w:rPr>
          <w:rFonts w:ascii="Times New Roman" w:eastAsia="宋体" w:cs="仿宋" w:hint="eastAsia"/>
          <w:color w:val="000000" w:themeColor="text1"/>
          <w:sz w:val="24"/>
        </w:rPr>
        <w:t>号令《昆明市城市垃圾管理办法》（</w:t>
      </w:r>
      <w:r>
        <w:rPr>
          <w:rFonts w:ascii="Times New Roman" w:eastAsia="宋体" w:cs="仿宋" w:hint="eastAsia"/>
          <w:color w:val="000000" w:themeColor="text1"/>
          <w:sz w:val="24"/>
        </w:rPr>
        <w:t>2005</w:t>
      </w:r>
      <w:r>
        <w:rPr>
          <w:rFonts w:ascii="Times New Roman" w:eastAsia="宋体" w:cs="仿宋" w:hint="eastAsia"/>
          <w:color w:val="000000" w:themeColor="text1"/>
          <w:sz w:val="24"/>
        </w:rPr>
        <w:t>年</w:t>
      </w:r>
      <w:r>
        <w:rPr>
          <w:rFonts w:ascii="Times New Roman" w:eastAsia="宋体" w:cs="仿宋" w:hint="eastAsia"/>
          <w:color w:val="000000" w:themeColor="text1"/>
          <w:sz w:val="24"/>
        </w:rPr>
        <w:t>11</w:t>
      </w:r>
      <w:r>
        <w:rPr>
          <w:rFonts w:ascii="Times New Roman" w:eastAsia="宋体" w:cs="仿宋" w:hint="eastAsia"/>
          <w:color w:val="000000" w:themeColor="text1"/>
          <w:sz w:val="24"/>
        </w:rPr>
        <w:t>月</w:t>
      </w:r>
      <w:r>
        <w:rPr>
          <w:rFonts w:ascii="Times New Roman" w:eastAsia="宋体" w:cs="仿宋" w:hint="eastAsia"/>
          <w:color w:val="000000" w:themeColor="text1"/>
          <w:sz w:val="24"/>
        </w:rPr>
        <w:t>20</w:t>
      </w:r>
      <w:r>
        <w:rPr>
          <w:rFonts w:ascii="Times New Roman" w:eastAsia="宋体" w:cs="仿宋" w:hint="eastAsia"/>
          <w:color w:val="000000" w:themeColor="text1"/>
          <w:sz w:val="24"/>
        </w:rPr>
        <w:t>日）；</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8</w:t>
      </w:r>
      <w:r>
        <w:rPr>
          <w:rFonts w:ascii="Times New Roman" w:eastAsia="宋体" w:cs="仿宋" w:hint="eastAsia"/>
          <w:color w:val="000000" w:themeColor="text1"/>
          <w:sz w:val="24"/>
        </w:rPr>
        <w:t>）《昆明市城市建筑垃圾管理实施办法》实施细则，昆政办〔</w:t>
      </w:r>
      <w:r>
        <w:rPr>
          <w:rFonts w:ascii="Times New Roman" w:eastAsia="宋体" w:cs="仿宋" w:hint="eastAsia"/>
          <w:color w:val="000000" w:themeColor="text1"/>
          <w:sz w:val="24"/>
        </w:rPr>
        <w:t>2011</w:t>
      </w:r>
      <w:r>
        <w:rPr>
          <w:rFonts w:ascii="Times New Roman" w:eastAsia="宋体" w:cs="仿宋" w:hint="eastAsia"/>
          <w:color w:val="000000" w:themeColor="text1"/>
          <w:sz w:val="24"/>
        </w:rPr>
        <w:t>〕</w:t>
      </w:r>
      <w:r>
        <w:rPr>
          <w:rFonts w:ascii="Times New Roman" w:eastAsia="宋体" w:cs="仿宋" w:hint="eastAsia"/>
          <w:color w:val="000000" w:themeColor="text1"/>
          <w:sz w:val="24"/>
        </w:rPr>
        <w:t>88</w:t>
      </w:r>
      <w:r>
        <w:rPr>
          <w:rFonts w:ascii="Times New Roman" w:eastAsia="宋体" w:cs="仿宋" w:hint="eastAsia"/>
          <w:color w:val="000000" w:themeColor="text1"/>
          <w:sz w:val="24"/>
        </w:rPr>
        <w:t>号（</w:t>
      </w:r>
      <w:r>
        <w:rPr>
          <w:rFonts w:ascii="Times New Roman" w:eastAsia="宋体" w:cs="仿宋" w:hint="eastAsia"/>
          <w:color w:val="000000" w:themeColor="text1"/>
          <w:sz w:val="24"/>
        </w:rPr>
        <w:t>2011.8</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9</w:t>
      </w:r>
      <w:r>
        <w:rPr>
          <w:rFonts w:ascii="Times New Roman" w:eastAsia="宋体" w:cs="仿宋" w:hint="eastAsia"/>
          <w:color w:val="000000" w:themeColor="text1"/>
          <w:sz w:val="24"/>
        </w:rPr>
        <w:t>）《昆明市建设工地文明施工管理规定》，昆政办〔</w:t>
      </w:r>
      <w:r>
        <w:rPr>
          <w:rFonts w:ascii="Times New Roman" w:eastAsia="宋体" w:cs="仿宋" w:hint="eastAsia"/>
          <w:color w:val="000000" w:themeColor="text1"/>
          <w:sz w:val="24"/>
        </w:rPr>
        <w:t>2011</w:t>
      </w:r>
      <w:r>
        <w:rPr>
          <w:rFonts w:ascii="Times New Roman" w:eastAsia="宋体" w:cs="仿宋" w:hint="eastAsia"/>
          <w:color w:val="000000" w:themeColor="text1"/>
          <w:sz w:val="24"/>
        </w:rPr>
        <w:t>〕</w:t>
      </w:r>
      <w:r>
        <w:rPr>
          <w:rFonts w:ascii="Times New Roman" w:eastAsia="宋体" w:cs="仿宋" w:hint="eastAsia"/>
          <w:color w:val="000000" w:themeColor="text1"/>
          <w:sz w:val="24"/>
        </w:rPr>
        <w:t>89</w:t>
      </w:r>
      <w:r>
        <w:rPr>
          <w:rFonts w:ascii="Times New Roman" w:eastAsia="宋体" w:cs="仿宋" w:hint="eastAsia"/>
          <w:color w:val="000000" w:themeColor="text1"/>
          <w:sz w:val="24"/>
        </w:rPr>
        <w:t>号（</w:t>
      </w:r>
      <w:r>
        <w:rPr>
          <w:rFonts w:ascii="Times New Roman" w:eastAsia="宋体" w:cs="仿宋" w:hint="eastAsia"/>
          <w:color w:val="000000" w:themeColor="text1"/>
          <w:sz w:val="24"/>
        </w:rPr>
        <w:t>2011.8</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10</w:t>
      </w:r>
      <w:r>
        <w:rPr>
          <w:rFonts w:ascii="Times New Roman" w:eastAsia="宋体" w:cs="仿宋" w:hint="eastAsia"/>
          <w:color w:val="000000" w:themeColor="text1"/>
          <w:sz w:val="24"/>
        </w:rPr>
        <w:t>）</w:t>
      </w:r>
      <w:r>
        <w:rPr>
          <w:rFonts w:ascii="Times New Roman" w:eastAsia="宋体" w:cs="仿宋"/>
          <w:color w:val="000000" w:themeColor="text1"/>
          <w:sz w:val="24"/>
        </w:rPr>
        <w:t>《安宁工业园区规划修编（</w:t>
      </w:r>
      <w:r>
        <w:rPr>
          <w:rFonts w:ascii="Times New Roman" w:eastAsia="宋体" w:cs="仿宋"/>
          <w:color w:val="000000" w:themeColor="text1"/>
          <w:sz w:val="24"/>
        </w:rPr>
        <w:t>2012-2020</w:t>
      </w:r>
      <w:r>
        <w:rPr>
          <w:rFonts w:ascii="Times New Roman" w:eastAsia="宋体" w:cs="仿宋"/>
          <w:color w:val="000000" w:themeColor="text1"/>
          <w:sz w:val="24"/>
        </w:rPr>
        <w:t>）》</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11</w:t>
      </w:r>
      <w:r>
        <w:rPr>
          <w:rFonts w:ascii="Times New Roman" w:eastAsia="宋体" w:cs="仿宋" w:hint="eastAsia"/>
          <w:color w:val="000000" w:themeColor="text1"/>
          <w:sz w:val="24"/>
        </w:rPr>
        <w:t>）《昆明市人民政府关于加强“一湖两江”流域水环境保护工作的若干规定》（昆明市人民政府令第</w:t>
      </w:r>
      <w:r>
        <w:rPr>
          <w:rFonts w:ascii="Times New Roman" w:eastAsia="宋体" w:cs="仿宋" w:hint="eastAsia"/>
          <w:color w:val="000000" w:themeColor="text1"/>
          <w:sz w:val="24"/>
        </w:rPr>
        <w:t>29</w:t>
      </w:r>
      <w:r>
        <w:rPr>
          <w:rFonts w:ascii="Times New Roman" w:eastAsia="宋体" w:cs="仿宋" w:hint="eastAsia"/>
          <w:color w:val="000000" w:themeColor="text1"/>
          <w:sz w:val="24"/>
        </w:rPr>
        <w:t>号）；</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lastRenderedPageBreak/>
        <w:t>（</w:t>
      </w:r>
      <w:r>
        <w:rPr>
          <w:rFonts w:ascii="Times New Roman" w:eastAsia="宋体" w:cs="仿宋" w:hint="eastAsia"/>
          <w:color w:val="000000" w:themeColor="text1"/>
          <w:sz w:val="24"/>
        </w:rPr>
        <w:t>12</w:t>
      </w:r>
      <w:r>
        <w:rPr>
          <w:rFonts w:ascii="Times New Roman" w:eastAsia="宋体" w:cs="仿宋" w:hint="eastAsia"/>
          <w:color w:val="000000" w:themeColor="text1"/>
          <w:sz w:val="24"/>
        </w:rPr>
        <w:t>）《关于进一步加强建筑工地扬尘污染治理工作的通知》，昆建通〔</w:t>
      </w:r>
      <w:r>
        <w:rPr>
          <w:rFonts w:ascii="Times New Roman" w:eastAsia="宋体" w:cs="仿宋" w:hint="eastAsia"/>
          <w:color w:val="000000" w:themeColor="text1"/>
          <w:sz w:val="24"/>
        </w:rPr>
        <w:t>2014</w:t>
      </w:r>
      <w:r>
        <w:rPr>
          <w:rFonts w:ascii="Times New Roman" w:eastAsia="宋体" w:cs="仿宋" w:hint="eastAsia"/>
          <w:color w:val="000000" w:themeColor="text1"/>
          <w:sz w:val="24"/>
        </w:rPr>
        <w:t>〕</w:t>
      </w:r>
      <w:r>
        <w:rPr>
          <w:rFonts w:ascii="Times New Roman" w:eastAsia="宋体" w:cs="仿宋" w:hint="eastAsia"/>
          <w:color w:val="000000" w:themeColor="text1"/>
          <w:sz w:val="24"/>
        </w:rPr>
        <w:t>90</w:t>
      </w:r>
      <w:r>
        <w:rPr>
          <w:rFonts w:ascii="Times New Roman" w:eastAsia="宋体" w:cs="仿宋" w:hint="eastAsia"/>
          <w:color w:val="000000" w:themeColor="text1"/>
          <w:sz w:val="24"/>
        </w:rPr>
        <w:t>号；</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13</w:t>
      </w:r>
      <w:r>
        <w:rPr>
          <w:rFonts w:ascii="Times New Roman" w:eastAsia="宋体" w:cs="仿宋" w:hint="eastAsia"/>
          <w:color w:val="000000" w:themeColor="text1"/>
          <w:sz w:val="24"/>
        </w:rPr>
        <w:t>）《云南省水污染防治工作方案》（云政发〔</w:t>
      </w:r>
      <w:r>
        <w:rPr>
          <w:rFonts w:ascii="Times New Roman" w:eastAsia="宋体" w:cs="仿宋" w:hint="eastAsia"/>
          <w:color w:val="000000" w:themeColor="text1"/>
          <w:sz w:val="24"/>
        </w:rPr>
        <w:t>2016</w:t>
      </w:r>
      <w:r>
        <w:rPr>
          <w:rFonts w:ascii="Times New Roman" w:eastAsia="宋体" w:cs="仿宋" w:hint="eastAsia"/>
          <w:color w:val="000000" w:themeColor="text1"/>
          <w:sz w:val="24"/>
        </w:rPr>
        <w:t>〕</w:t>
      </w:r>
      <w:r>
        <w:rPr>
          <w:rFonts w:ascii="Times New Roman" w:eastAsia="宋体" w:cs="仿宋" w:hint="eastAsia"/>
          <w:color w:val="000000" w:themeColor="text1"/>
          <w:sz w:val="24"/>
        </w:rPr>
        <w:t>3</w:t>
      </w:r>
      <w:r>
        <w:rPr>
          <w:rFonts w:ascii="Times New Roman" w:eastAsia="宋体" w:cs="仿宋" w:hint="eastAsia"/>
          <w:color w:val="000000" w:themeColor="text1"/>
          <w:sz w:val="24"/>
        </w:rPr>
        <w:t>号）；</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14</w:t>
      </w:r>
      <w:r>
        <w:rPr>
          <w:rFonts w:ascii="Times New Roman" w:eastAsia="宋体" w:cs="仿宋" w:hint="eastAsia"/>
          <w:color w:val="000000" w:themeColor="text1"/>
          <w:sz w:val="24"/>
        </w:rPr>
        <w:t>）《云南省大气污染防治行动实施方案》（云政发〔</w:t>
      </w:r>
      <w:r>
        <w:rPr>
          <w:rFonts w:ascii="Times New Roman" w:eastAsia="宋体" w:cs="仿宋" w:hint="eastAsia"/>
          <w:color w:val="000000" w:themeColor="text1"/>
          <w:sz w:val="24"/>
        </w:rPr>
        <w:t>2014</w:t>
      </w:r>
      <w:r>
        <w:rPr>
          <w:rFonts w:ascii="Times New Roman" w:eastAsia="宋体" w:cs="仿宋" w:hint="eastAsia"/>
          <w:color w:val="000000" w:themeColor="text1"/>
          <w:sz w:val="24"/>
        </w:rPr>
        <w:t>〕</w:t>
      </w:r>
      <w:r>
        <w:rPr>
          <w:rFonts w:ascii="Times New Roman" w:eastAsia="宋体" w:cs="仿宋" w:hint="eastAsia"/>
          <w:color w:val="000000" w:themeColor="text1"/>
          <w:sz w:val="24"/>
        </w:rPr>
        <w:t>9</w:t>
      </w:r>
      <w:r>
        <w:rPr>
          <w:rFonts w:ascii="Times New Roman" w:eastAsia="宋体" w:cs="仿宋" w:hint="eastAsia"/>
          <w:color w:val="000000" w:themeColor="text1"/>
          <w:sz w:val="24"/>
        </w:rPr>
        <w:t>号）；</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15</w:t>
      </w:r>
      <w:r>
        <w:rPr>
          <w:rFonts w:ascii="Times New Roman" w:eastAsia="宋体" w:cs="仿宋" w:hint="eastAsia"/>
          <w:color w:val="000000" w:themeColor="text1"/>
          <w:sz w:val="24"/>
        </w:rPr>
        <w:t>）《云南省土壤污染防治工作方案》</w:t>
      </w:r>
      <w:r>
        <w:rPr>
          <w:rFonts w:ascii="Times New Roman" w:eastAsia="宋体" w:cs="仿宋" w:hint="eastAsia"/>
          <w:color w:val="000000" w:themeColor="text1"/>
          <w:sz w:val="24"/>
        </w:rPr>
        <w:t>（云政发〔</w:t>
      </w:r>
      <w:r>
        <w:rPr>
          <w:rFonts w:ascii="Times New Roman" w:eastAsia="宋体" w:cs="仿宋" w:hint="eastAsia"/>
          <w:color w:val="000000" w:themeColor="text1"/>
          <w:sz w:val="24"/>
        </w:rPr>
        <w:t>2017</w:t>
      </w:r>
      <w:r>
        <w:rPr>
          <w:rFonts w:ascii="Times New Roman" w:eastAsia="宋体" w:cs="仿宋" w:hint="eastAsia"/>
          <w:color w:val="000000" w:themeColor="text1"/>
          <w:sz w:val="24"/>
        </w:rPr>
        <w:t>〕</w:t>
      </w:r>
      <w:r>
        <w:rPr>
          <w:rFonts w:ascii="Times New Roman" w:eastAsia="宋体" w:cs="仿宋" w:hint="eastAsia"/>
          <w:color w:val="000000" w:themeColor="text1"/>
          <w:sz w:val="24"/>
        </w:rPr>
        <w:t>8</w:t>
      </w:r>
      <w:r>
        <w:rPr>
          <w:rFonts w:ascii="Times New Roman" w:eastAsia="宋体" w:cs="仿宋" w:hint="eastAsia"/>
          <w:color w:val="000000" w:themeColor="text1"/>
          <w:sz w:val="24"/>
        </w:rPr>
        <w:t>号）；</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16</w:t>
      </w:r>
      <w:r>
        <w:rPr>
          <w:rFonts w:ascii="Times New Roman" w:eastAsia="宋体" w:cs="仿宋" w:hint="eastAsia"/>
          <w:color w:val="000000" w:themeColor="text1"/>
          <w:sz w:val="24"/>
        </w:rPr>
        <w:t>）《昆明市人民政府关于印发昆明市水污染防治实施方案的通知》（</w:t>
      </w:r>
      <w:r>
        <w:rPr>
          <w:rFonts w:ascii="Times New Roman" w:eastAsia="宋体" w:cs="仿宋" w:hint="eastAsia"/>
          <w:color w:val="000000" w:themeColor="text1"/>
          <w:sz w:val="24"/>
        </w:rPr>
        <w:t>2016</w:t>
      </w:r>
      <w:r>
        <w:rPr>
          <w:rFonts w:ascii="Times New Roman" w:eastAsia="宋体" w:cs="仿宋" w:hint="eastAsia"/>
          <w:color w:val="000000" w:themeColor="text1"/>
          <w:sz w:val="24"/>
        </w:rPr>
        <w:t>年</w:t>
      </w:r>
      <w:r>
        <w:rPr>
          <w:rFonts w:ascii="Times New Roman" w:eastAsia="宋体" w:cs="仿宋" w:hint="eastAsia"/>
          <w:color w:val="000000" w:themeColor="text1"/>
          <w:sz w:val="24"/>
        </w:rPr>
        <w:t>8</w:t>
      </w:r>
      <w:r>
        <w:rPr>
          <w:rFonts w:ascii="Times New Roman" w:eastAsia="宋体" w:cs="仿宋" w:hint="eastAsia"/>
          <w:color w:val="000000" w:themeColor="text1"/>
          <w:sz w:val="24"/>
        </w:rPr>
        <w:t>月</w:t>
      </w:r>
      <w:r>
        <w:rPr>
          <w:rFonts w:ascii="Times New Roman" w:eastAsia="宋体" w:cs="仿宋" w:hint="eastAsia"/>
          <w:color w:val="000000" w:themeColor="text1"/>
          <w:sz w:val="24"/>
        </w:rPr>
        <w:t>1</w:t>
      </w:r>
      <w:r>
        <w:rPr>
          <w:rFonts w:ascii="Times New Roman" w:eastAsia="宋体" w:cs="仿宋" w:hint="eastAsia"/>
          <w:color w:val="000000" w:themeColor="text1"/>
          <w:sz w:val="24"/>
        </w:rPr>
        <w:t>日）；</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17</w:t>
      </w:r>
      <w:r>
        <w:rPr>
          <w:rFonts w:ascii="Times New Roman" w:eastAsia="宋体" w:cs="仿宋" w:hint="eastAsia"/>
          <w:color w:val="000000" w:themeColor="text1"/>
          <w:sz w:val="24"/>
        </w:rPr>
        <w:t>）《昆明市人民政府关于印发昆明市大气污染防治行动计划实施细则的通知》（昆政发〔</w:t>
      </w:r>
      <w:r>
        <w:rPr>
          <w:rFonts w:ascii="Times New Roman" w:eastAsia="宋体" w:cs="仿宋" w:hint="eastAsia"/>
          <w:color w:val="000000" w:themeColor="text1"/>
          <w:sz w:val="24"/>
        </w:rPr>
        <w:t>2014</w:t>
      </w:r>
      <w:r>
        <w:rPr>
          <w:rFonts w:ascii="Times New Roman" w:eastAsia="宋体" w:cs="仿宋" w:hint="eastAsia"/>
          <w:color w:val="000000" w:themeColor="text1"/>
          <w:sz w:val="24"/>
        </w:rPr>
        <w:t>〕</w:t>
      </w:r>
      <w:r>
        <w:rPr>
          <w:rFonts w:ascii="Times New Roman" w:eastAsia="宋体" w:cs="仿宋" w:hint="eastAsia"/>
          <w:color w:val="000000" w:themeColor="text1"/>
          <w:sz w:val="24"/>
        </w:rPr>
        <w:t>48</w:t>
      </w:r>
      <w:r>
        <w:rPr>
          <w:rFonts w:ascii="Times New Roman" w:eastAsia="宋体" w:cs="仿宋" w:hint="eastAsia"/>
          <w:color w:val="000000" w:themeColor="text1"/>
          <w:sz w:val="24"/>
        </w:rPr>
        <w:t>号）；</w:t>
      </w:r>
    </w:p>
    <w:bookmarkStart w:id="91" w:name="_Toc7710"/>
    <w:bookmarkStart w:id="92" w:name="_Toc3552"/>
    <w:bookmarkStart w:id="93" w:name="_Toc12747"/>
    <w:bookmarkStart w:id="94" w:name="_Toc13305"/>
    <w:p w:rsidR="00C861DA" w:rsidRDefault="0044752E">
      <w:pPr>
        <w:pStyle w:val="32"/>
        <w:rPr>
          <w:rFonts w:ascii="Times New Roman" w:eastAsia="宋体"/>
          <w:b w:val="0"/>
          <w:bCs w:val="0"/>
          <w:color w:val="000000" w:themeColor="text1"/>
          <w:sz w:val="24"/>
          <w:szCs w:val="24"/>
        </w:rPr>
      </w:pPr>
      <w:r>
        <w:rPr>
          <w:rFonts w:ascii="Times New Roman" w:eastAsia="宋体" w:hint="eastAsia"/>
          <w:b w:val="0"/>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"_Toc512505398" </w:instrText>
      </w:r>
      <w:r>
        <w:rPr>
          <w:rFonts w:ascii="Times New Roman" w:eastAsia="宋体" w:hint="eastAsia"/>
          <w:b w:val="0"/>
          <w:bCs w:val="0"/>
          <w:color w:val="000000" w:themeColor="text1"/>
          <w:sz w:val="24"/>
          <w:szCs w:val="24"/>
        </w:rPr>
        <w:fldChar w:fldCharType="separate"/>
      </w:r>
      <w:bookmarkStart w:id="95" w:name="_Toc6826759"/>
      <w:r>
        <w:rPr>
          <w:rFonts w:ascii="Times New Roman" w:eastAsia="宋体" w:hint="eastAsia"/>
          <w:bCs w:val="0"/>
          <w:color w:val="000000" w:themeColor="text1"/>
          <w:sz w:val="24"/>
          <w:szCs w:val="24"/>
        </w:rPr>
        <w:t>2.1.5</w:t>
      </w:r>
      <w:r>
        <w:rPr>
          <w:rFonts w:ascii="Times New Roman" w:eastAsia="宋体" w:hint="eastAsia"/>
          <w:bCs w:val="0"/>
          <w:color w:val="000000" w:themeColor="text1"/>
          <w:sz w:val="24"/>
          <w:szCs w:val="24"/>
        </w:rPr>
        <w:t>技术规范</w:t>
      </w:r>
      <w:bookmarkEnd w:id="95"/>
      <w:r>
        <w:rPr>
          <w:rFonts w:ascii="Times New Roman" w:eastAsia="宋体" w:hint="eastAsia"/>
          <w:b w:val="0"/>
          <w:bCs w:val="0"/>
          <w:color w:val="000000" w:themeColor="text1"/>
          <w:sz w:val="24"/>
          <w:szCs w:val="24"/>
        </w:rPr>
        <w:fldChar w:fldCharType="end"/>
      </w:r>
      <w:bookmarkEnd w:id="91"/>
      <w:bookmarkEnd w:id="92"/>
      <w:bookmarkEnd w:id="93"/>
      <w:bookmarkEnd w:id="94"/>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w:t>
      </w:r>
      <w:r>
        <w:rPr>
          <w:rFonts w:ascii="Times New Roman" w:eastAsia="宋体" w:cs="仿宋" w:hint="eastAsia"/>
          <w:color w:val="000000" w:themeColor="text1"/>
          <w:sz w:val="24"/>
        </w:rPr>
        <w:t>）《建设项目环境影响评价技术导则</w:t>
      </w:r>
      <w:r>
        <w:rPr>
          <w:rFonts w:ascii="Times New Roman" w:eastAsia="宋体" w:cs="仿宋" w:hint="eastAsia"/>
          <w:color w:val="000000" w:themeColor="text1"/>
          <w:sz w:val="24"/>
        </w:rPr>
        <w:t xml:space="preserve"> </w:t>
      </w:r>
      <w:r>
        <w:rPr>
          <w:rFonts w:ascii="Times New Roman" w:eastAsia="宋体" w:cs="仿宋" w:hint="eastAsia"/>
          <w:color w:val="000000" w:themeColor="text1"/>
          <w:sz w:val="24"/>
        </w:rPr>
        <w:t>总纲》（</w:t>
      </w:r>
      <w:r>
        <w:rPr>
          <w:rFonts w:ascii="Times New Roman" w:eastAsia="宋体" w:cs="仿宋" w:hint="eastAsia"/>
          <w:color w:val="000000" w:themeColor="text1"/>
          <w:sz w:val="24"/>
        </w:rPr>
        <w:t>HJ2.1-2016</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2</w:t>
      </w:r>
      <w:r>
        <w:rPr>
          <w:rFonts w:ascii="Times New Roman" w:eastAsia="宋体" w:cs="仿宋" w:hint="eastAsia"/>
          <w:color w:val="000000" w:themeColor="text1"/>
          <w:sz w:val="24"/>
        </w:rPr>
        <w:t>）《环境影响评价技术导则</w:t>
      </w:r>
      <w:r>
        <w:rPr>
          <w:rFonts w:ascii="Times New Roman" w:eastAsia="宋体" w:cs="仿宋" w:hint="eastAsia"/>
          <w:color w:val="000000" w:themeColor="text1"/>
          <w:sz w:val="24"/>
        </w:rPr>
        <w:t xml:space="preserve"> </w:t>
      </w:r>
      <w:r>
        <w:rPr>
          <w:rFonts w:ascii="Times New Roman" w:eastAsia="宋体" w:cs="仿宋" w:hint="eastAsia"/>
          <w:color w:val="000000" w:themeColor="text1"/>
          <w:sz w:val="24"/>
        </w:rPr>
        <w:t>大气环境》（</w:t>
      </w:r>
      <w:r>
        <w:rPr>
          <w:rFonts w:ascii="Times New Roman" w:eastAsia="宋体" w:cs="仿宋" w:hint="eastAsia"/>
          <w:color w:val="000000" w:themeColor="text1"/>
          <w:sz w:val="24"/>
        </w:rPr>
        <w:t>HJ2.2-2018</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3</w:t>
      </w:r>
      <w:r>
        <w:rPr>
          <w:rFonts w:ascii="Times New Roman" w:eastAsia="宋体" w:cs="仿宋" w:hint="eastAsia"/>
          <w:color w:val="000000" w:themeColor="text1"/>
          <w:sz w:val="24"/>
        </w:rPr>
        <w:t>）《环境影响评价技术导则</w:t>
      </w:r>
      <w:r>
        <w:rPr>
          <w:rFonts w:ascii="Times New Roman" w:eastAsia="宋体" w:cs="仿宋" w:hint="eastAsia"/>
          <w:color w:val="000000" w:themeColor="text1"/>
          <w:sz w:val="24"/>
        </w:rPr>
        <w:t xml:space="preserve"> </w:t>
      </w:r>
      <w:r>
        <w:rPr>
          <w:rFonts w:ascii="Times New Roman" w:eastAsia="宋体" w:cs="仿宋" w:hint="eastAsia"/>
          <w:color w:val="000000" w:themeColor="text1"/>
          <w:sz w:val="24"/>
        </w:rPr>
        <w:t>地表水环境》（</w:t>
      </w:r>
      <w:r>
        <w:rPr>
          <w:rFonts w:ascii="Times New Roman" w:eastAsia="宋体" w:cs="仿宋" w:hint="eastAsia"/>
          <w:color w:val="000000" w:themeColor="text1"/>
          <w:sz w:val="24"/>
        </w:rPr>
        <w:t>HJ2.3-</w:t>
      </w:r>
      <w:r>
        <w:rPr>
          <w:rFonts w:ascii="Times New Roman" w:eastAsia="宋体" w:cs="仿宋"/>
          <w:color w:val="000000" w:themeColor="text1"/>
          <w:sz w:val="24"/>
        </w:rPr>
        <w:t>2018</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4</w:t>
      </w:r>
      <w:r>
        <w:rPr>
          <w:rFonts w:ascii="Times New Roman" w:eastAsia="宋体" w:cs="仿宋" w:hint="eastAsia"/>
          <w:color w:val="000000" w:themeColor="text1"/>
          <w:sz w:val="24"/>
        </w:rPr>
        <w:t>）《环境影响评价技术导则</w:t>
      </w:r>
      <w:r>
        <w:rPr>
          <w:rFonts w:ascii="Times New Roman" w:eastAsia="宋体" w:cs="仿宋" w:hint="eastAsia"/>
          <w:color w:val="000000" w:themeColor="text1"/>
          <w:sz w:val="24"/>
        </w:rPr>
        <w:t xml:space="preserve"> </w:t>
      </w:r>
      <w:r>
        <w:rPr>
          <w:rFonts w:ascii="Times New Roman" w:eastAsia="宋体" w:cs="仿宋" w:hint="eastAsia"/>
          <w:color w:val="000000" w:themeColor="text1"/>
          <w:sz w:val="24"/>
        </w:rPr>
        <w:t>声环境》（</w:t>
      </w:r>
      <w:r>
        <w:rPr>
          <w:rFonts w:ascii="Times New Roman" w:eastAsia="宋体" w:cs="仿宋" w:hint="eastAsia"/>
          <w:color w:val="000000" w:themeColor="text1"/>
          <w:sz w:val="24"/>
        </w:rPr>
        <w:t>HJ2.4-2009</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5</w:t>
      </w:r>
      <w:r>
        <w:rPr>
          <w:rFonts w:ascii="Times New Roman" w:eastAsia="宋体" w:cs="仿宋" w:hint="eastAsia"/>
          <w:color w:val="000000" w:themeColor="text1"/>
          <w:sz w:val="24"/>
        </w:rPr>
        <w:t>）《环境影响评价技术导则</w:t>
      </w:r>
      <w:r>
        <w:rPr>
          <w:rFonts w:ascii="Times New Roman" w:eastAsia="宋体" w:cs="仿宋" w:hint="eastAsia"/>
          <w:color w:val="000000" w:themeColor="text1"/>
          <w:sz w:val="24"/>
        </w:rPr>
        <w:t xml:space="preserve"> </w:t>
      </w:r>
      <w:r>
        <w:rPr>
          <w:rFonts w:ascii="Times New Roman" w:eastAsia="宋体" w:cs="仿宋" w:hint="eastAsia"/>
          <w:color w:val="000000" w:themeColor="text1"/>
          <w:sz w:val="24"/>
        </w:rPr>
        <w:t>地下水环境》（</w:t>
      </w:r>
      <w:r>
        <w:rPr>
          <w:rFonts w:ascii="Times New Roman" w:eastAsia="宋体" w:cs="仿宋" w:hint="eastAsia"/>
          <w:color w:val="000000" w:themeColor="text1"/>
          <w:sz w:val="24"/>
        </w:rPr>
        <w:t>HJ601-2016</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6</w:t>
      </w:r>
      <w:r>
        <w:rPr>
          <w:rFonts w:ascii="Times New Roman" w:eastAsia="宋体" w:cs="仿宋" w:hint="eastAsia"/>
          <w:color w:val="000000" w:themeColor="text1"/>
          <w:sz w:val="24"/>
        </w:rPr>
        <w:t>）《环境影响评价技术导则</w:t>
      </w:r>
      <w:r>
        <w:rPr>
          <w:rFonts w:ascii="Times New Roman" w:eastAsia="宋体" w:cs="仿宋" w:hint="eastAsia"/>
          <w:color w:val="000000" w:themeColor="text1"/>
          <w:sz w:val="24"/>
        </w:rPr>
        <w:t xml:space="preserve"> </w:t>
      </w:r>
      <w:r>
        <w:rPr>
          <w:rFonts w:ascii="Times New Roman" w:eastAsia="宋体" w:cs="仿宋" w:hint="eastAsia"/>
          <w:color w:val="000000" w:themeColor="text1"/>
          <w:sz w:val="24"/>
        </w:rPr>
        <w:t>生态影响》（</w:t>
      </w:r>
      <w:r>
        <w:rPr>
          <w:rFonts w:ascii="Times New Roman" w:eastAsia="宋体" w:cs="仿宋" w:hint="eastAsia"/>
          <w:color w:val="000000" w:themeColor="text1"/>
          <w:sz w:val="24"/>
        </w:rPr>
        <w:t>HJ19-2011</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7</w:t>
      </w:r>
      <w:r>
        <w:rPr>
          <w:rFonts w:ascii="Times New Roman" w:eastAsia="宋体" w:cs="仿宋" w:hint="eastAsia"/>
          <w:color w:val="000000" w:themeColor="text1"/>
          <w:sz w:val="24"/>
        </w:rPr>
        <w:t>）《建设项目环境风险评价技术导则》（</w:t>
      </w:r>
      <w:r>
        <w:rPr>
          <w:rFonts w:ascii="Times New Roman" w:eastAsia="宋体" w:cs="仿宋" w:hint="eastAsia"/>
          <w:color w:val="000000" w:themeColor="text1"/>
          <w:sz w:val="24"/>
        </w:rPr>
        <w:t>HJ/T169-20</w:t>
      </w:r>
      <w:r>
        <w:rPr>
          <w:rFonts w:ascii="Times New Roman" w:eastAsia="宋体" w:cs="仿宋"/>
          <w:color w:val="000000" w:themeColor="text1"/>
          <w:sz w:val="24"/>
        </w:rPr>
        <w:t>18</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8</w:t>
      </w:r>
      <w:r>
        <w:rPr>
          <w:rFonts w:ascii="Times New Roman" w:eastAsia="宋体" w:cs="仿宋" w:hint="eastAsia"/>
          <w:color w:val="000000" w:themeColor="text1"/>
          <w:sz w:val="24"/>
        </w:rPr>
        <w:t>）《危险化学品重大危险源辨识》（</w:t>
      </w:r>
      <w:r>
        <w:rPr>
          <w:rFonts w:ascii="Times New Roman" w:eastAsia="宋体" w:cs="仿宋" w:hint="eastAsia"/>
          <w:color w:val="000000" w:themeColor="text1"/>
          <w:sz w:val="24"/>
        </w:rPr>
        <w:t>GB18218-20</w:t>
      </w:r>
      <w:r>
        <w:rPr>
          <w:rFonts w:ascii="Times New Roman" w:eastAsia="宋体" w:cs="仿宋"/>
          <w:color w:val="000000" w:themeColor="text1"/>
          <w:sz w:val="24"/>
        </w:rPr>
        <w:t>18</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9</w:t>
      </w:r>
      <w:r>
        <w:rPr>
          <w:rFonts w:ascii="Times New Roman" w:eastAsia="宋体" w:cs="仿宋" w:hint="eastAsia"/>
          <w:color w:val="000000" w:themeColor="text1"/>
          <w:sz w:val="24"/>
        </w:rPr>
        <w:t>）《危险废物收集、贮存、运输技术规范》（</w:t>
      </w:r>
      <w:r>
        <w:rPr>
          <w:rFonts w:ascii="Times New Roman" w:eastAsia="宋体" w:cs="仿宋" w:hint="eastAsia"/>
          <w:color w:val="000000" w:themeColor="text1"/>
          <w:sz w:val="24"/>
        </w:rPr>
        <w:t>HJ2025-2012</w:t>
      </w:r>
      <w:r>
        <w:rPr>
          <w:rFonts w:ascii="Times New Roman" w:eastAsia="宋体" w:cs="仿宋" w:hint="eastAsia"/>
          <w:color w:val="000000" w:themeColor="text1"/>
          <w:sz w:val="24"/>
        </w:rPr>
        <w:t>）；</w:t>
      </w:r>
    </w:p>
    <w:bookmarkStart w:id="96" w:name="_Toc30027"/>
    <w:bookmarkStart w:id="97" w:name="_Toc7624"/>
    <w:bookmarkStart w:id="98" w:name="_Toc6397"/>
    <w:bookmarkStart w:id="99" w:name="_Toc6737"/>
    <w:p w:rsidR="00C861DA" w:rsidRDefault="0044752E">
      <w:pPr>
        <w:pStyle w:val="32"/>
        <w:rPr>
          <w:rFonts w:ascii="Times New Roman" w:eastAsia="宋体"/>
          <w:b w:val="0"/>
          <w:bCs w:val="0"/>
          <w:color w:val="000000" w:themeColor="text1"/>
          <w:sz w:val="24"/>
          <w:szCs w:val="24"/>
        </w:rPr>
      </w:pPr>
      <w:r>
        <w:rPr>
          <w:rFonts w:ascii="Times New Roman" w:eastAsia="宋体" w:hint="eastAsia"/>
          <w:b w:val="0"/>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"_Toc512505399" </w:instrText>
      </w:r>
      <w:r>
        <w:rPr>
          <w:rFonts w:ascii="Times New Roman" w:eastAsia="宋体" w:hint="eastAsia"/>
          <w:b w:val="0"/>
          <w:bCs w:val="0"/>
          <w:color w:val="000000" w:themeColor="text1"/>
          <w:sz w:val="24"/>
          <w:szCs w:val="24"/>
        </w:rPr>
        <w:fldChar w:fldCharType="separate"/>
      </w:r>
      <w:bookmarkStart w:id="100" w:name="_Toc6826760"/>
      <w:r>
        <w:rPr>
          <w:rFonts w:ascii="Times New Roman" w:eastAsia="宋体" w:hint="eastAsia"/>
          <w:bCs w:val="0"/>
          <w:color w:val="000000" w:themeColor="text1"/>
          <w:sz w:val="24"/>
          <w:szCs w:val="24"/>
        </w:rPr>
        <w:t>2.1.6</w:t>
      </w:r>
      <w:r>
        <w:rPr>
          <w:rFonts w:ascii="Times New Roman" w:eastAsia="宋体" w:hint="eastAsia"/>
          <w:bCs w:val="0"/>
          <w:color w:val="000000" w:themeColor="text1"/>
          <w:sz w:val="24"/>
          <w:szCs w:val="24"/>
        </w:rPr>
        <w:t>项目资料</w:t>
      </w:r>
      <w:bookmarkEnd w:id="100"/>
      <w:r>
        <w:rPr>
          <w:rFonts w:ascii="Times New Roman" w:eastAsia="宋体" w:hint="eastAsia"/>
          <w:b w:val="0"/>
          <w:bCs w:val="0"/>
          <w:color w:val="000000" w:themeColor="text1"/>
          <w:sz w:val="24"/>
          <w:szCs w:val="24"/>
        </w:rPr>
        <w:fldChar w:fldCharType="end"/>
      </w:r>
      <w:bookmarkEnd w:id="96"/>
      <w:bookmarkEnd w:id="97"/>
      <w:bookmarkEnd w:id="98"/>
      <w:bookmarkEnd w:id="99"/>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w:t>
      </w:r>
      <w:r>
        <w:rPr>
          <w:rFonts w:ascii="Times New Roman" w:eastAsia="宋体" w:cs="仿宋" w:hint="eastAsia"/>
          <w:color w:val="000000" w:themeColor="text1"/>
          <w:sz w:val="24"/>
        </w:rPr>
        <w:t>）项目环境影响评价“委托书”；</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2</w:t>
      </w:r>
      <w:r>
        <w:rPr>
          <w:rFonts w:ascii="Times New Roman" w:eastAsia="宋体" w:cs="仿宋" w:hint="eastAsia"/>
          <w:color w:val="000000" w:themeColor="text1"/>
          <w:sz w:val="24"/>
        </w:rPr>
        <w:t>）《年产</w:t>
      </w:r>
      <w:r>
        <w:rPr>
          <w:rFonts w:ascii="Times New Roman" w:eastAsia="宋体" w:cs="仿宋" w:hint="eastAsia"/>
          <w:color w:val="000000" w:themeColor="text1"/>
          <w:sz w:val="24"/>
        </w:rPr>
        <w:t>8</w:t>
      </w:r>
      <w:r>
        <w:rPr>
          <w:rFonts w:ascii="Times New Roman" w:eastAsia="宋体" w:cs="仿宋"/>
          <w:color w:val="000000" w:themeColor="text1"/>
          <w:sz w:val="24"/>
        </w:rPr>
        <w:t>0</w:t>
      </w:r>
      <w:r>
        <w:rPr>
          <w:rFonts w:ascii="Times New Roman" w:eastAsia="宋体" w:cs="仿宋" w:hint="eastAsia"/>
          <w:color w:val="000000" w:themeColor="text1"/>
          <w:sz w:val="24"/>
        </w:rPr>
        <w:t>万吨新型生态绿色有机肥项目可行性研究报告》，四川省化工设计院，</w:t>
      </w:r>
      <w:r>
        <w:rPr>
          <w:rFonts w:ascii="Times New Roman" w:eastAsia="宋体" w:cs="仿宋" w:hint="eastAsia"/>
          <w:color w:val="000000" w:themeColor="text1"/>
          <w:sz w:val="24"/>
        </w:rPr>
        <w:t>2018</w:t>
      </w:r>
      <w:r>
        <w:rPr>
          <w:rFonts w:ascii="Times New Roman" w:eastAsia="宋体" w:cs="仿宋" w:hint="eastAsia"/>
          <w:color w:val="000000" w:themeColor="text1"/>
          <w:sz w:val="24"/>
        </w:rPr>
        <w:t>年</w:t>
      </w:r>
      <w:r>
        <w:rPr>
          <w:rFonts w:ascii="Times New Roman" w:eastAsia="宋体" w:cs="仿宋" w:hint="eastAsia"/>
          <w:color w:val="000000" w:themeColor="text1"/>
          <w:sz w:val="24"/>
        </w:rPr>
        <w:t>4</w:t>
      </w:r>
      <w:r>
        <w:rPr>
          <w:rFonts w:ascii="Times New Roman" w:eastAsia="宋体" w:cs="仿宋" w:hint="eastAsia"/>
          <w:color w:val="000000" w:themeColor="text1"/>
          <w:sz w:val="24"/>
        </w:rPr>
        <w:t>月；</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3</w:t>
      </w:r>
      <w:r>
        <w:rPr>
          <w:rFonts w:ascii="Times New Roman" w:eastAsia="宋体" w:cs="仿宋" w:hint="eastAsia"/>
          <w:color w:val="000000" w:themeColor="text1"/>
          <w:sz w:val="24"/>
        </w:rPr>
        <w:t>）《年产</w:t>
      </w:r>
      <w:r>
        <w:rPr>
          <w:rFonts w:ascii="Times New Roman" w:eastAsia="宋体" w:cs="仿宋" w:hint="eastAsia"/>
          <w:color w:val="000000" w:themeColor="text1"/>
          <w:sz w:val="24"/>
        </w:rPr>
        <w:t>8</w:t>
      </w:r>
      <w:r>
        <w:rPr>
          <w:rFonts w:ascii="Times New Roman" w:eastAsia="宋体" w:cs="仿宋"/>
          <w:color w:val="000000" w:themeColor="text1"/>
          <w:sz w:val="24"/>
        </w:rPr>
        <w:t>0</w:t>
      </w:r>
      <w:r>
        <w:rPr>
          <w:rFonts w:ascii="Times New Roman" w:eastAsia="宋体" w:cs="仿宋" w:hint="eastAsia"/>
          <w:color w:val="000000" w:themeColor="text1"/>
          <w:sz w:val="24"/>
        </w:rPr>
        <w:t>万吨新型生态绿色有机肥项目》投资备案证（云发改产业备案〔</w:t>
      </w:r>
      <w:r>
        <w:rPr>
          <w:rFonts w:ascii="Times New Roman" w:eastAsia="宋体" w:cs="仿宋" w:hint="eastAsia"/>
          <w:color w:val="000000" w:themeColor="text1"/>
          <w:sz w:val="24"/>
        </w:rPr>
        <w:t>2018</w:t>
      </w:r>
      <w:r>
        <w:rPr>
          <w:rFonts w:ascii="Times New Roman" w:eastAsia="宋体" w:cs="仿宋" w:hint="eastAsia"/>
          <w:color w:val="000000" w:themeColor="text1"/>
          <w:sz w:val="24"/>
        </w:rPr>
        <w:t>〕</w:t>
      </w:r>
      <w:r>
        <w:rPr>
          <w:rFonts w:ascii="Times New Roman" w:eastAsia="宋体" w:cs="仿宋"/>
          <w:color w:val="000000" w:themeColor="text1"/>
          <w:sz w:val="24"/>
        </w:rPr>
        <w:t>158</w:t>
      </w:r>
      <w:r>
        <w:rPr>
          <w:rFonts w:ascii="Times New Roman" w:eastAsia="宋体" w:cs="仿宋" w:hint="eastAsia"/>
          <w:color w:val="000000" w:themeColor="text1"/>
          <w:sz w:val="24"/>
        </w:rPr>
        <w:t>号）；</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4</w:t>
      </w:r>
      <w:r>
        <w:rPr>
          <w:rFonts w:ascii="Times New Roman" w:eastAsia="宋体" w:cs="仿宋" w:hint="eastAsia"/>
          <w:color w:val="000000" w:themeColor="text1"/>
          <w:sz w:val="24"/>
        </w:rPr>
        <w:t>）</w:t>
      </w:r>
      <w:r>
        <w:rPr>
          <w:rFonts w:ascii="Times New Roman" w:eastAsia="宋体" w:cs="仿宋"/>
          <w:color w:val="000000" w:themeColor="text1"/>
          <w:sz w:val="24"/>
        </w:rPr>
        <w:t>《安宁工业园区规划修编（</w:t>
      </w:r>
      <w:r>
        <w:rPr>
          <w:rFonts w:ascii="Times New Roman" w:eastAsia="宋体" w:cs="仿宋"/>
          <w:color w:val="000000" w:themeColor="text1"/>
          <w:sz w:val="24"/>
        </w:rPr>
        <w:t>2012-2020</w:t>
      </w:r>
      <w:r>
        <w:rPr>
          <w:rFonts w:ascii="Times New Roman" w:eastAsia="宋体" w:cs="仿宋"/>
          <w:color w:val="000000" w:themeColor="text1"/>
          <w:sz w:val="24"/>
        </w:rPr>
        <w:t>）》</w:t>
      </w:r>
      <w:r>
        <w:rPr>
          <w:rFonts w:ascii="Times New Roman" w:eastAsia="宋体" w:cs="仿宋" w:hint="eastAsia"/>
          <w:color w:val="000000" w:themeColor="text1"/>
          <w:sz w:val="24"/>
        </w:rPr>
        <w:t>；</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5</w:t>
      </w:r>
      <w:r>
        <w:rPr>
          <w:rFonts w:ascii="Times New Roman" w:eastAsia="宋体" w:cs="仿宋" w:hint="eastAsia"/>
          <w:color w:val="000000" w:themeColor="text1"/>
          <w:sz w:val="24"/>
        </w:rPr>
        <w:t>）《云南省安宁工业园区总体规划修编（</w:t>
      </w:r>
      <w:r>
        <w:rPr>
          <w:rFonts w:ascii="Times New Roman" w:eastAsia="宋体" w:cs="仿宋" w:hint="eastAsia"/>
          <w:color w:val="000000" w:themeColor="text1"/>
          <w:sz w:val="24"/>
        </w:rPr>
        <w:t>2</w:t>
      </w:r>
      <w:r>
        <w:rPr>
          <w:rFonts w:ascii="Times New Roman" w:eastAsia="宋体" w:cs="仿宋"/>
          <w:color w:val="000000" w:themeColor="text1"/>
          <w:sz w:val="24"/>
        </w:rPr>
        <w:t>012-2020</w:t>
      </w:r>
      <w:r>
        <w:rPr>
          <w:rFonts w:ascii="Times New Roman" w:eastAsia="宋体" w:cs="仿宋" w:hint="eastAsia"/>
          <w:color w:val="000000" w:themeColor="text1"/>
          <w:sz w:val="24"/>
        </w:rPr>
        <w:t>）环境影响报告书》；</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lastRenderedPageBreak/>
        <w:t>（</w:t>
      </w:r>
      <w:r>
        <w:rPr>
          <w:rFonts w:ascii="Times New Roman" w:eastAsia="宋体" w:cs="仿宋" w:hint="eastAsia"/>
          <w:color w:val="000000" w:themeColor="text1"/>
          <w:sz w:val="24"/>
        </w:rPr>
        <w:t>6</w:t>
      </w:r>
      <w:r>
        <w:rPr>
          <w:rFonts w:ascii="Times New Roman" w:eastAsia="宋体" w:cs="仿宋" w:hint="eastAsia"/>
          <w:color w:val="000000" w:themeColor="text1"/>
          <w:sz w:val="24"/>
        </w:rPr>
        <w:t>）其他与项目有关的资料。</w:t>
      </w:r>
    </w:p>
    <w:bookmarkStart w:id="101" w:name="_Toc11967"/>
    <w:bookmarkStart w:id="102" w:name="_Toc25097"/>
    <w:bookmarkStart w:id="103" w:name="_Toc18657"/>
    <w:bookmarkStart w:id="104" w:name="_Toc32146"/>
    <w:p w:rsidR="00C861DA" w:rsidRDefault="0044752E">
      <w:pPr>
        <w:pStyle w:val="22"/>
        <w:rPr>
          <w:rFonts w:ascii="Times New Roman" w:eastAsia="宋体" w:hAnsi="Times New Roman"/>
          <w:bCs w:val="0"/>
          <w:color w:val="000000" w:themeColor="text1"/>
          <w:sz w:val="28"/>
          <w:szCs w:val="28"/>
        </w:rPr>
      </w:pPr>
      <w:r>
        <w:rPr>
          <w:rFonts w:ascii="Times New Roman" w:eastAsia="宋体" w:hAnsi="Times New Roman" w:hint="eastAsia"/>
          <w:bCs w:val="0"/>
          <w:color w:val="000000" w:themeColor="text1"/>
          <w:sz w:val="28"/>
          <w:szCs w:val="28"/>
        </w:rPr>
        <w:fldChar w:fldCharType="begin"/>
      </w:r>
      <w:r>
        <w:rPr>
          <w:rFonts w:ascii="Times New Roman" w:eastAsia="宋体" w:hAnsi="Times New Roman" w:hint="eastAsia"/>
          <w:bCs w:val="0"/>
          <w:color w:val="000000" w:themeColor="text1"/>
          <w:sz w:val="28"/>
          <w:szCs w:val="28"/>
        </w:rPr>
        <w:instrText xml:space="preserve"> HYPERLINK \l "_Toc512505400" </w:instrText>
      </w:r>
      <w:r>
        <w:rPr>
          <w:rFonts w:ascii="Times New Roman" w:eastAsia="宋体" w:hAnsi="Times New Roman" w:hint="eastAsia"/>
          <w:bCs w:val="0"/>
          <w:color w:val="000000" w:themeColor="text1"/>
          <w:sz w:val="28"/>
          <w:szCs w:val="28"/>
        </w:rPr>
        <w:fldChar w:fldCharType="separate"/>
      </w:r>
      <w:bookmarkStart w:id="105" w:name="_Toc6826761"/>
      <w:r>
        <w:rPr>
          <w:rFonts w:ascii="Times New Roman" w:eastAsia="宋体" w:hAnsi="Times New Roman" w:hint="eastAsia"/>
          <w:bCs w:val="0"/>
          <w:color w:val="000000" w:themeColor="text1"/>
          <w:sz w:val="28"/>
          <w:szCs w:val="28"/>
        </w:rPr>
        <w:t>2.2</w:t>
      </w:r>
      <w:r>
        <w:rPr>
          <w:rFonts w:ascii="Times New Roman" w:eastAsia="宋体" w:hAnsi="Times New Roman" w:hint="eastAsia"/>
          <w:bCs w:val="0"/>
          <w:color w:val="000000" w:themeColor="text1"/>
          <w:sz w:val="28"/>
          <w:szCs w:val="28"/>
        </w:rPr>
        <w:t>评价目的和原则</w:t>
      </w:r>
      <w:bookmarkEnd w:id="105"/>
      <w:r>
        <w:rPr>
          <w:rFonts w:ascii="Times New Roman" w:eastAsia="宋体" w:hAnsi="Times New Roman" w:hint="eastAsia"/>
          <w:bCs w:val="0"/>
          <w:color w:val="000000" w:themeColor="text1"/>
          <w:sz w:val="28"/>
          <w:szCs w:val="28"/>
        </w:rPr>
        <w:fldChar w:fldCharType="end"/>
      </w:r>
      <w:bookmarkEnd w:id="101"/>
      <w:bookmarkEnd w:id="102"/>
      <w:bookmarkEnd w:id="103"/>
      <w:bookmarkEnd w:id="104"/>
    </w:p>
    <w:bookmarkStart w:id="106" w:name="_Toc206"/>
    <w:bookmarkStart w:id="107" w:name="_Toc6049"/>
    <w:bookmarkStart w:id="108" w:name="_Toc5646"/>
    <w:bookmarkStart w:id="109" w:name="_Toc3536"/>
    <w:p w:rsidR="00C861DA" w:rsidRDefault="0044752E">
      <w:pPr>
        <w:pStyle w:val="32"/>
        <w:rPr>
          <w:rFonts w:ascii="Times New Roman" w:eastAsia="宋体"/>
          <w:b w:val="0"/>
          <w:bCs w:val="0"/>
          <w:color w:val="000000" w:themeColor="text1"/>
          <w:sz w:val="24"/>
          <w:szCs w:val="24"/>
        </w:rPr>
      </w:pPr>
      <w:r>
        <w:rPr>
          <w:rFonts w:ascii="Times New Roman" w:eastAsia="宋体" w:hint="eastAsia"/>
          <w:b w:val="0"/>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w:instrText>
      </w:r>
      <w:r>
        <w:rPr>
          <w:rFonts w:ascii="Times New Roman" w:eastAsia="宋体" w:hint="eastAsia"/>
          <w:bCs w:val="0"/>
          <w:color w:val="000000" w:themeColor="text1"/>
          <w:sz w:val="24"/>
          <w:szCs w:val="24"/>
        </w:rPr>
        <w:instrText xml:space="preserve">_Toc512505401" </w:instrText>
      </w:r>
      <w:r>
        <w:rPr>
          <w:rFonts w:ascii="Times New Roman" w:eastAsia="宋体" w:hint="eastAsia"/>
          <w:b w:val="0"/>
          <w:bCs w:val="0"/>
          <w:color w:val="000000" w:themeColor="text1"/>
          <w:sz w:val="24"/>
          <w:szCs w:val="24"/>
        </w:rPr>
        <w:fldChar w:fldCharType="separate"/>
      </w:r>
      <w:bookmarkStart w:id="110" w:name="_Toc6826762"/>
      <w:r>
        <w:rPr>
          <w:rFonts w:ascii="Times New Roman" w:eastAsia="宋体" w:hint="eastAsia"/>
          <w:bCs w:val="0"/>
          <w:color w:val="000000" w:themeColor="text1"/>
          <w:sz w:val="24"/>
          <w:szCs w:val="24"/>
        </w:rPr>
        <w:t>2.2.1</w:t>
      </w:r>
      <w:r>
        <w:rPr>
          <w:rFonts w:ascii="Times New Roman" w:eastAsia="宋体" w:hint="eastAsia"/>
          <w:bCs w:val="0"/>
          <w:color w:val="000000" w:themeColor="text1"/>
          <w:sz w:val="24"/>
          <w:szCs w:val="24"/>
        </w:rPr>
        <w:t>评价目的</w:t>
      </w:r>
      <w:bookmarkEnd w:id="110"/>
      <w:r>
        <w:rPr>
          <w:rFonts w:ascii="Times New Roman" w:eastAsia="宋体" w:hint="eastAsia"/>
          <w:b w:val="0"/>
          <w:bCs w:val="0"/>
          <w:color w:val="000000" w:themeColor="text1"/>
          <w:sz w:val="24"/>
          <w:szCs w:val="24"/>
        </w:rPr>
        <w:fldChar w:fldCharType="end"/>
      </w:r>
      <w:bookmarkEnd w:id="106"/>
      <w:bookmarkEnd w:id="107"/>
      <w:bookmarkEnd w:id="108"/>
      <w:bookmarkEnd w:id="109"/>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w:t>
      </w:r>
      <w:r>
        <w:rPr>
          <w:rFonts w:ascii="Times New Roman" w:eastAsia="宋体" w:cs="仿宋" w:hint="eastAsia"/>
          <w:color w:val="000000" w:themeColor="text1"/>
          <w:sz w:val="24"/>
        </w:rPr>
        <w:t>）通过对国家和云南省的产业政策、城市及环境规划的了解和分析，论证本项目建设及其选址的可行性和合理性；</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2</w:t>
      </w:r>
      <w:r>
        <w:rPr>
          <w:rFonts w:ascii="Times New Roman" w:eastAsia="宋体" w:cs="仿宋" w:hint="eastAsia"/>
          <w:color w:val="000000" w:themeColor="text1"/>
          <w:sz w:val="24"/>
        </w:rPr>
        <w:t>）通过对该建设项目的工程内容和工艺流程进行分析，明确污染源和可能产生的污染因素，计算污染物的排放量，掌握本项目对环境产生的不利影响；对建设项目拟选址的自然环境、社会环境和环境质量现状调查，确定环境评价的主要保护目标和评价重点；</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3</w:t>
      </w:r>
      <w:r>
        <w:rPr>
          <w:rFonts w:ascii="Times New Roman" w:eastAsia="宋体" w:cs="仿宋" w:hint="eastAsia"/>
          <w:color w:val="000000" w:themeColor="text1"/>
          <w:sz w:val="24"/>
        </w:rPr>
        <w:t>）通过查阅资料及环境质量现状监测分析，了解建设项目选址的环境质量现状；对建设项目建设期、营运期可能造成的环境影响进</w:t>
      </w:r>
      <w:r>
        <w:rPr>
          <w:rFonts w:ascii="Times New Roman" w:eastAsia="宋体" w:cs="仿宋" w:hint="eastAsia"/>
          <w:color w:val="000000" w:themeColor="text1"/>
          <w:sz w:val="24"/>
        </w:rPr>
        <w:t>行评价，确定建设项目对当地环境可能造成的不良影响的范围和程度，从而提出避免污染、减少污染的对策措施；</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4</w:t>
      </w:r>
      <w:r>
        <w:rPr>
          <w:rFonts w:ascii="Times New Roman" w:eastAsia="宋体" w:cs="仿宋" w:hint="eastAsia"/>
          <w:color w:val="000000" w:themeColor="text1"/>
          <w:sz w:val="24"/>
        </w:rPr>
        <w:t>）根据工程分析和影响预测评价的结果，对工程方案和环保措施进行可行性论证，为环境保护主管部门的决策提供技术依据；</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5</w:t>
      </w:r>
      <w:r>
        <w:rPr>
          <w:rFonts w:ascii="Times New Roman" w:eastAsia="宋体" w:cs="仿宋" w:hint="eastAsia"/>
          <w:color w:val="000000" w:themeColor="text1"/>
          <w:sz w:val="24"/>
        </w:rPr>
        <w:t>）核实污染物排放总量，同时提出环境管理和环境监测制度建议；</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6</w:t>
      </w:r>
      <w:r>
        <w:rPr>
          <w:rFonts w:ascii="Times New Roman" w:eastAsia="宋体" w:cs="仿宋" w:hint="eastAsia"/>
          <w:color w:val="000000" w:themeColor="text1"/>
          <w:sz w:val="24"/>
        </w:rPr>
        <w:t>）从环保的角度给出项目建设的可行性结论，为环境保护主管部门的决策提供技术依据。</w:t>
      </w:r>
    </w:p>
    <w:bookmarkStart w:id="111" w:name="_Toc4206"/>
    <w:bookmarkStart w:id="112" w:name="_Toc28449"/>
    <w:bookmarkStart w:id="113" w:name="_Toc9775"/>
    <w:bookmarkStart w:id="114" w:name="_Toc13631"/>
    <w:p w:rsidR="00C861DA" w:rsidRDefault="0044752E">
      <w:pPr>
        <w:pStyle w:val="32"/>
        <w:rPr>
          <w:rFonts w:ascii="Times New Roman" w:eastAsia="宋体"/>
          <w:b w:val="0"/>
          <w:bCs w:val="0"/>
          <w:color w:val="000000" w:themeColor="text1"/>
          <w:sz w:val="24"/>
          <w:szCs w:val="24"/>
        </w:rPr>
      </w:pPr>
      <w:r>
        <w:rPr>
          <w:rFonts w:ascii="Times New Roman" w:eastAsia="宋体" w:hint="eastAsia"/>
          <w:b w:val="0"/>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"_Toc512505402" </w:instrText>
      </w:r>
      <w:r>
        <w:rPr>
          <w:rFonts w:ascii="Times New Roman" w:eastAsia="宋体" w:hint="eastAsia"/>
          <w:b w:val="0"/>
          <w:bCs w:val="0"/>
          <w:color w:val="000000" w:themeColor="text1"/>
          <w:sz w:val="24"/>
          <w:szCs w:val="24"/>
        </w:rPr>
        <w:fldChar w:fldCharType="separate"/>
      </w:r>
      <w:bookmarkStart w:id="115" w:name="_Toc6826763"/>
      <w:r>
        <w:rPr>
          <w:rFonts w:ascii="Times New Roman" w:eastAsia="宋体" w:hint="eastAsia"/>
          <w:bCs w:val="0"/>
          <w:color w:val="000000" w:themeColor="text1"/>
          <w:sz w:val="24"/>
          <w:szCs w:val="24"/>
        </w:rPr>
        <w:t>2.2.2</w:t>
      </w:r>
      <w:r>
        <w:rPr>
          <w:rFonts w:ascii="Times New Roman" w:eastAsia="宋体" w:hint="eastAsia"/>
          <w:bCs w:val="0"/>
          <w:color w:val="000000" w:themeColor="text1"/>
          <w:sz w:val="24"/>
          <w:szCs w:val="24"/>
        </w:rPr>
        <w:t>评价原则</w:t>
      </w:r>
      <w:bookmarkEnd w:id="115"/>
      <w:r>
        <w:rPr>
          <w:rFonts w:ascii="Times New Roman" w:eastAsia="宋体" w:hint="eastAsia"/>
          <w:b w:val="0"/>
          <w:bCs w:val="0"/>
          <w:color w:val="000000" w:themeColor="text1"/>
          <w:sz w:val="24"/>
          <w:szCs w:val="24"/>
        </w:rPr>
        <w:fldChar w:fldCharType="end"/>
      </w:r>
      <w:bookmarkEnd w:id="111"/>
      <w:bookmarkEnd w:id="112"/>
      <w:bookmarkEnd w:id="113"/>
      <w:bookmarkEnd w:id="114"/>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根据环评导则的技术要求、环境管理要求和工程区环境现状，确定本项目评价原则为：</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w:t>
      </w:r>
      <w:r>
        <w:rPr>
          <w:rFonts w:ascii="Times New Roman" w:eastAsia="宋体" w:cs="仿宋" w:hint="eastAsia"/>
          <w:color w:val="000000" w:themeColor="text1"/>
          <w:sz w:val="24"/>
        </w:rPr>
        <w:t>）依法评价原则：贯彻执行我国环境保护相关法律法规、标准、政策和规划等，优化项目建设，服务环境管理；</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2</w:t>
      </w:r>
      <w:r>
        <w:rPr>
          <w:rFonts w:ascii="Times New Roman" w:eastAsia="宋体" w:cs="仿宋" w:hint="eastAsia"/>
          <w:color w:val="000000" w:themeColor="text1"/>
          <w:sz w:val="24"/>
        </w:rPr>
        <w:t>）科学评价原则：科学分析项目建设对环境质量的影响；</w:t>
      </w:r>
    </w:p>
    <w:p w:rsidR="00C861DA" w:rsidRDefault="0044752E">
      <w:pPr>
        <w:snapToGrid w:val="0"/>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3</w:t>
      </w:r>
      <w:r>
        <w:rPr>
          <w:rFonts w:ascii="Times New Roman" w:eastAsia="宋体" w:cs="仿宋" w:hint="eastAsia"/>
          <w:color w:val="000000" w:themeColor="text1"/>
          <w:sz w:val="24"/>
        </w:rPr>
        <w:t>）突出重点原则：根据建设项目的工程内容及其特点，明确与环境要素间的作用效应关系，充分利用符合时效的数据资料及成果，对建设项目主要环境</w:t>
      </w:r>
      <w:r>
        <w:rPr>
          <w:rFonts w:ascii="Times New Roman" w:eastAsia="宋体" w:cs="仿宋" w:hint="eastAsia"/>
          <w:color w:val="000000" w:themeColor="text1"/>
          <w:sz w:val="24"/>
        </w:rPr>
        <w:lastRenderedPageBreak/>
        <w:t>影响予以重点分析和评价。</w:t>
      </w:r>
    </w:p>
    <w:p w:rsidR="00C861DA" w:rsidRDefault="0044752E">
      <w:pPr>
        <w:pStyle w:val="22"/>
        <w:rPr>
          <w:rFonts w:ascii="Times New Roman" w:eastAsia="宋体" w:hAnsi="Times New Roman"/>
          <w:bCs w:val="0"/>
          <w:color w:val="000000" w:themeColor="text1"/>
          <w:sz w:val="28"/>
          <w:szCs w:val="28"/>
        </w:rPr>
      </w:pPr>
      <w:bookmarkStart w:id="116" w:name="_Toc3332"/>
      <w:bookmarkStart w:id="117" w:name="_Toc16843"/>
      <w:bookmarkStart w:id="118" w:name="_Toc25602"/>
      <w:bookmarkStart w:id="119" w:name="_Toc9260"/>
      <w:bookmarkStart w:id="120" w:name="_Toc6826764"/>
      <w:r>
        <w:rPr>
          <w:rFonts w:ascii="Times New Roman" w:eastAsia="宋体" w:hAnsi="Times New Roman" w:hint="eastAsia"/>
          <w:bCs w:val="0"/>
          <w:color w:val="000000" w:themeColor="text1"/>
          <w:sz w:val="28"/>
          <w:szCs w:val="28"/>
        </w:rPr>
        <w:t>2.3</w:t>
      </w:r>
      <w:r>
        <w:rPr>
          <w:rFonts w:ascii="Times New Roman" w:eastAsia="宋体" w:hAnsi="Times New Roman" w:hint="eastAsia"/>
          <w:bCs w:val="0"/>
          <w:color w:val="000000" w:themeColor="text1"/>
          <w:sz w:val="28"/>
          <w:szCs w:val="28"/>
        </w:rPr>
        <w:t>评价内容及重点</w:t>
      </w:r>
      <w:bookmarkEnd w:id="116"/>
      <w:bookmarkEnd w:id="117"/>
      <w:bookmarkEnd w:id="118"/>
      <w:bookmarkEnd w:id="119"/>
      <w:bookmarkEnd w:id="120"/>
    </w:p>
    <w:p w:rsidR="00C861DA" w:rsidRDefault="0044752E">
      <w:pPr>
        <w:pStyle w:val="32"/>
        <w:rPr>
          <w:rFonts w:ascii="Times New Roman" w:eastAsia="宋体"/>
          <w:b w:val="0"/>
          <w:bCs w:val="0"/>
          <w:color w:val="000000" w:themeColor="text1"/>
          <w:sz w:val="24"/>
          <w:szCs w:val="24"/>
        </w:rPr>
      </w:pPr>
      <w:bookmarkStart w:id="121" w:name="_Toc24529"/>
      <w:bookmarkStart w:id="122" w:name="_Toc17990"/>
      <w:bookmarkStart w:id="123" w:name="_Toc20409"/>
      <w:bookmarkStart w:id="124" w:name="_Toc6826765"/>
      <w:bookmarkStart w:id="125" w:name="_Toc8126"/>
      <w:r>
        <w:rPr>
          <w:rFonts w:ascii="Times New Roman" w:eastAsia="宋体" w:hint="eastAsia"/>
          <w:bCs w:val="0"/>
          <w:color w:val="000000" w:themeColor="text1"/>
          <w:sz w:val="24"/>
          <w:szCs w:val="24"/>
        </w:rPr>
        <w:t>2.3.1</w:t>
      </w:r>
      <w:r>
        <w:rPr>
          <w:rFonts w:ascii="Times New Roman" w:eastAsia="宋体" w:hint="eastAsia"/>
          <w:bCs w:val="0"/>
          <w:color w:val="000000" w:themeColor="text1"/>
          <w:sz w:val="24"/>
          <w:szCs w:val="24"/>
        </w:rPr>
        <w:t>评价内容</w:t>
      </w:r>
      <w:bookmarkEnd w:id="121"/>
      <w:bookmarkEnd w:id="122"/>
      <w:bookmarkEnd w:id="123"/>
      <w:bookmarkEnd w:id="124"/>
      <w:bookmarkEnd w:id="125"/>
    </w:p>
    <w:p w:rsidR="00C861DA" w:rsidRDefault="0044752E">
      <w:pPr>
        <w:tabs>
          <w:tab w:val="left" w:pos="7560"/>
        </w:tabs>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w:t>
      </w:r>
      <w:r>
        <w:rPr>
          <w:rFonts w:ascii="Times New Roman" w:eastAsia="宋体" w:cs="仿宋" w:hint="eastAsia"/>
          <w:color w:val="000000" w:themeColor="text1"/>
          <w:sz w:val="24"/>
        </w:rPr>
        <w:t>）通过原材料、能源消耗调查及工艺流程分析，确定本项目主要污染源，并结合同类型污染源的验收监测数据，预测本项目主要污染物的排放参数，论证环保治理措施的可行性。</w:t>
      </w:r>
    </w:p>
    <w:p w:rsidR="00C861DA" w:rsidRDefault="0044752E">
      <w:pPr>
        <w:tabs>
          <w:tab w:val="left" w:pos="7560"/>
        </w:tabs>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2</w:t>
      </w:r>
      <w:r>
        <w:rPr>
          <w:rFonts w:ascii="Times New Roman" w:eastAsia="宋体" w:cs="仿宋" w:hint="eastAsia"/>
          <w:color w:val="000000" w:themeColor="text1"/>
          <w:sz w:val="24"/>
        </w:rPr>
        <w:t>）进行建设地区环境质量现状调查与评价，包括环境空气质量、声环境质量、地表水环境质量、地下水环境质量。</w:t>
      </w:r>
    </w:p>
    <w:p w:rsidR="00C861DA" w:rsidRDefault="0044752E">
      <w:pPr>
        <w:tabs>
          <w:tab w:val="left" w:pos="7560"/>
        </w:tabs>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3</w:t>
      </w:r>
      <w:r>
        <w:rPr>
          <w:rFonts w:ascii="Times New Roman" w:eastAsia="宋体" w:cs="仿宋" w:hint="eastAsia"/>
          <w:color w:val="000000" w:themeColor="text1"/>
          <w:sz w:val="24"/>
        </w:rPr>
        <w:t>）进行施工期的环境影响分析，针对施工过程产生的扬尘和施工噪声，分析其对环境的影响程度和范围。</w:t>
      </w:r>
    </w:p>
    <w:p w:rsidR="00C861DA" w:rsidRDefault="0044752E">
      <w:pPr>
        <w:tabs>
          <w:tab w:val="left" w:pos="7560"/>
        </w:tabs>
        <w:spacing w:line="360" w:lineRule="auto"/>
        <w:ind w:firstLineChars="200" w:firstLine="480"/>
        <w:jc w:val="both"/>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4</w:t>
      </w:r>
      <w:r>
        <w:rPr>
          <w:rFonts w:ascii="Times New Roman" w:eastAsia="宋体" w:cs="仿宋" w:hint="eastAsia"/>
          <w:color w:val="000000" w:themeColor="text1"/>
          <w:sz w:val="24"/>
        </w:rPr>
        <w:t>）环境影响预测与评价</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宋体" w:eastAsia="宋体" w:hAnsi="宋体" w:cs="宋体" w:hint="eastAsia"/>
          <w:color w:val="000000" w:themeColor="text1"/>
          <w:sz w:val="24"/>
        </w:rPr>
        <w:t>①</w:t>
      </w:r>
      <w:r>
        <w:rPr>
          <w:rFonts w:ascii="Times New Roman" w:eastAsia="宋体" w:hAnsi="Times New Roman" w:cs="Times New Roman"/>
          <w:color w:val="000000" w:themeColor="text1"/>
          <w:sz w:val="24"/>
        </w:rPr>
        <w:t>大气环境影响预测与评价</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宋体" w:eastAsia="宋体" w:hAnsi="宋体" w:cs="宋体" w:hint="eastAsia"/>
          <w:color w:val="000000" w:themeColor="text1"/>
          <w:sz w:val="24"/>
        </w:rPr>
        <w:t>②</w:t>
      </w:r>
      <w:r>
        <w:rPr>
          <w:rFonts w:ascii="Times New Roman" w:eastAsia="宋体" w:hAnsi="Times New Roman" w:cs="Times New Roman"/>
          <w:color w:val="000000" w:themeColor="text1"/>
          <w:sz w:val="24"/>
        </w:rPr>
        <w:t>废水达标排放可行性分析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宋体" w:eastAsia="宋体" w:hAnsi="宋体" w:cs="宋体" w:hint="eastAsia"/>
          <w:color w:val="000000" w:themeColor="text1"/>
          <w:sz w:val="24"/>
        </w:rPr>
        <w:t>③</w:t>
      </w:r>
      <w:r>
        <w:rPr>
          <w:rFonts w:ascii="Times New Roman" w:eastAsia="宋体" w:hAnsi="Times New Roman" w:cs="Times New Roman"/>
          <w:color w:val="000000" w:themeColor="text1"/>
          <w:sz w:val="24"/>
        </w:rPr>
        <w:t>厂界噪声环境影响预测与评价</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宋体" w:eastAsia="宋体" w:hAnsi="宋体" w:cs="宋体" w:hint="eastAsia"/>
          <w:color w:val="000000" w:themeColor="text1"/>
          <w:sz w:val="24"/>
        </w:rPr>
        <w:t>④</w:t>
      </w:r>
      <w:r>
        <w:rPr>
          <w:rFonts w:ascii="Times New Roman" w:eastAsia="宋体" w:hAnsi="Times New Roman" w:cs="Times New Roman"/>
          <w:color w:val="000000" w:themeColor="text1"/>
          <w:sz w:val="24"/>
        </w:rPr>
        <w:t>固体废物环境影响分析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宋体" w:eastAsia="宋体" w:hAnsi="宋体" w:cs="宋体" w:hint="eastAsia"/>
          <w:color w:val="000000" w:themeColor="text1"/>
          <w:sz w:val="24"/>
        </w:rPr>
        <w:t>⑤</w:t>
      </w:r>
      <w:r>
        <w:rPr>
          <w:rFonts w:ascii="Times New Roman" w:eastAsia="宋体" w:hAnsi="Times New Roman" w:cs="Times New Roman"/>
          <w:color w:val="000000" w:themeColor="text1"/>
          <w:sz w:val="24"/>
        </w:rPr>
        <w:t>地下水环境影响分析</w:t>
      </w:r>
    </w:p>
    <w:p w:rsidR="00C861DA" w:rsidRDefault="0044752E">
      <w:pPr>
        <w:tabs>
          <w:tab w:val="left" w:pos="7560"/>
        </w:tabs>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5</w:t>
      </w:r>
      <w:r>
        <w:rPr>
          <w:rFonts w:ascii="Times New Roman" w:eastAsia="宋体" w:cs="仿宋" w:hint="eastAsia"/>
          <w:color w:val="000000" w:themeColor="text1"/>
          <w:sz w:val="24"/>
        </w:rPr>
        <w:t>）环保治理措施论证；</w:t>
      </w:r>
    </w:p>
    <w:p w:rsidR="00C861DA" w:rsidRDefault="0044752E">
      <w:pPr>
        <w:tabs>
          <w:tab w:val="left" w:pos="7560"/>
        </w:tabs>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6</w:t>
      </w:r>
      <w:r>
        <w:rPr>
          <w:rFonts w:ascii="Times New Roman" w:eastAsia="宋体" w:cs="仿宋" w:hint="eastAsia"/>
          <w:color w:val="000000" w:themeColor="text1"/>
          <w:sz w:val="24"/>
        </w:rPr>
        <w:t>）环境风险评价；</w:t>
      </w:r>
    </w:p>
    <w:p w:rsidR="00C861DA" w:rsidRDefault="0044752E">
      <w:pPr>
        <w:tabs>
          <w:tab w:val="left" w:pos="7560"/>
        </w:tabs>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7</w:t>
      </w:r>
      <w:r>
        <w:rPr>
          <w:rFonts w:ascii="Times New Roman" w:eastAsia="宋体" w:cs="仿宋" w:hint="eastAsia"/>
          <w:color w:val="000000" w:themeColor="text1"/>
          <w:sz w:val="24"/>
        </w:rPr>
        <w:t>）污染物排放总量控制分析；</w:t>
      </w:r>
    </w:p>
    <w:p w:rsidR="00C861DA" w:rsidRDefault="0044752E">
      <w:pPr>
        <w:tabs>
          <w:tab w:val="left" w:pos="7560"/>
        </w:tabs>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8</w:t>
      </w:r>
      <w:r>
        <w:rPr>
          <w:rFonts w:ascii="Times New Roman" w:eastAsia="宋体" w:cs="仿宋" w:hint="eastAsia"/>
          <w:color w:val="000000" w:themeColor="text1"/>
          <w:sz w:val="24"/>
        </w:rPr>
        <w:t>）规划符合性与选址合理性分析；</w:t>
      </w:r>
    </w:p>
    <w:p w:rsidR="00C861DA" w:rsidRDefault="0044752E">
      <w:pPr>
        <w:tabs>
          <w:tab w:val="left" w:pos="7560"/>
        </w:tabs>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9</w:t>
      </w:r>
      <w:r>
        <w:rPr>
          <w:rFonts w:ascii="Times New Roman" w:eastAsia="宋体" w:cs="仿宋" w:hint="eastAsia"/>
          <w:color w:val="000000" w:themeColor="text1"/>
          <w:sz w:val="24"/>
        </w:rPr>
        <w:t>）环境经济损益分析；</w:t>
      </w:r>
    </w:p>
    <w:p w:rsidR="00C861DA" w:rsidRDefault="0044752E">
      <w:pPr>
        <w:tabs>
          <w:tab w:val="left" w:pos="7560"/>
        </w:tabs>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10</w:t>
      </w:r>
      <w:r>
        <w:rPr>
          <w:rFonts w:ascii="Times New Roman" w:eastAsia="宋体" w:cs="仿宋" w:hint="eastAsia"/>
          <w:color w:val="000000" w:themeColor="text1"/>
          <w:sz w:val="24"/>
        </w:rPr>
        <w:t>）环境管理与环境监测；</w:t>
      </w:r>
    </w:p>
    <w:p w:rsidR="00C861DA" w:rsidRDefault="0044752E">
      <w:pPr>
        <w:tabs>
          <w:tab w:val="left" w:pos="7560"/>
        </w:tabs>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w:t>
      </w:r>
      <w:r>
        <w:rPr>
          <w:rFonts w:ascii="Times New Roman" w:eastAsia="宋体" w:cs="仿宋" w:hint="eastAsia"/>
          <w:color w:val="000000" w:themeColor="text1"/>
          <w:sz w:val="24"/>
        </w:rPr>
        <w:t>11</w:t>
      </w:r>
      <w:r>
        <w:rPr>
          <w:rFonts w:ascii="Times New Roman" w:eastAsia="宋体" w:cs="仿宋" w:hint="eastAsia"/>
          <w:color w:val="000000" w:themeColor="text1"/>
          <w:sz w:val="24"/>
        </w:rPr>
        <w:t>）综合论证本项目的环境可行性，结合地区发展规划及环境要求，对污染治理、环境管理与监测等提出对策建议。</w:t>
      </w:r>
    </w:p>
    <w:p w:rsidR="00C861DA" w:rsidRDefault="0044752E">
      <w:pPr>
        <w:pStyle w:val="32"/>
        <w:rPr>
          <w:rFonts w:ascii="Times New Roman" w:eastAsia="宋体"/>
          <w:b w:val="0"/>
          <w:bCs w:val="0"/>
          <w:color w:val="000000" w:themeColor="text1"/>
          <w:sz w:val="24"/>
          <w:szCs w:val="24"/>
        </w:rPr>
      </w:pPr>
      <w:bookmarkStart w:id="126" w:name="_Toc27889"/>
      <w:bookmarkStart w:id="127" w:name="_Toc8123"/>
      <w:bookmarkStart w:id="128" w:name="_Toc22073"/>
      <w:bookmarkStart w:id="129" w:name="_Toc6826766"/>
      <w:bookmarkStart w:id="130" w:name="_Toc19074"/>
      <w:r>
        <w:rPr>
          <w:rFonts w:ascii="Times New Roman" w:eastAsia="宋体" w:hint="eastAsia"/>
          <w:bCs w:val="0"/>
          <w:color w:val="000000" w:themeColor="text1"/>
          <w:sz w:val="24"/>
          <w:szCs w:val="24"/>
        </w:rPr>
        <w:lastRenderedPageBreak/>
        <w:t>2.3.2</w:t>
      </w:r>
      <w:r>
        <w:rPr>
          <w:rFonts w:ascii="Times New Roman" w:eastAsia="宋体" w:hint="eastAsia"/>
          <w:bCs w:val="0"/>
          <w:color w:val="000000" w:themeColor="text1"/>
          <w:sz w:val="24"/>
          <w:szCs w:val="24"/>
        </w:rPr>
        <w:t>评价重点</w:t>
      </w:r>
      <w:bookmarkEnd w:id="126"/>
      <w:bookmarkEnd w:id="127"/>
      <w:bookmarkEnd w:id="128"/>
      <w:bookmarkEnd w:id="129"/>
      <w:bookmarkEnd w:id="130"/>
    </w:p>
    <w:p w:rsidR="00C861DA" w:rsidRDefault="0044752E">
      <w:pPr>
        <w:keepNext/>
        <w:keepLines/>
        <w:tabs>
          <w:tab w:val="left" w:pos="4860"/>
          <w:tab w:val="left" w:pos="5040"/>
        </w:tabs>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根据工程建设规模、生产工艺特点、工程环境影响要素识别筛选结果，本工程的环境影响评价主要内容包括工程概况、环境现状、工程分析（含产业政策和污染控制措施评述内容）、大气环境影响分析、地表水环境影响分析、地下水环境影响分析、声环境影响分析、固体废物环境影响分析、土壤环境影响分析、生态环境影响分析、总量控制以及厂址合理性分析等内容。</w:t>
      </w:r>
    </w:p>
    <w:p w:rsidR="00C861DA" w:rsidRDefault="0044752E">
      <w:pPr>
        <w:keepNext/>
        <w:keepLines/>
        <w:tabs>
          <w:tab w:val="left" w:pos="4860"/>
          <w:tab w:val="left" w:pos="5040"/>
        </w:tabs>
        <w:spacing w:line="360" w:lineRule="auto"/>
        <w:ind w:firstLineChars="200" w:firstLine="480"/>
        <w:rPr>
          <w:rFonts w:ascii="Times New Roman" w:eastAsia="宋体" w:cs="仿宋"/>
          <w:color w:val="000000" w:themeColor="text1"/>
          <w:sz w:val="24"/>
          <w:szCs w:val="22"/>
        </w:rPr>
      </w:pPr>
      <w:r>
        <w:rPr>
          <w:rFonts w:ascii="Times New Roman" w:eastAsia="宋体" w:cs="仿宋" w:hint="eastAsia"/>
          <w:color w:val="000000" w:themeColor="text1"/>
          <w:sz w:val="24"/>
          <w:szCs w:val="22"/>
        </w:rPr>
        <w:t>评价重点为工程分析、大气环境影响评价、水环境影响评价以及总量控制。并对项目污染因子治理措施的可行性和可靠性进行分析。</w:t>
      </w:r>
    </w:p>
    <w:bookmarkStart w:id="131" w:name="_Toc16177"/>
    <w:bookmarkStart w:id="132" w:name="_Toc9295"/>
    <w:bookmarkStart w:id="133" w:name="_Toc10716"/>
    <w:bookmarkStart w:id="134" w:name="_Toc22383"/>
    <w:p w:rsidR="00C861DA" w:rsidRDefault="0044752E">
      <w:pPr>
        <w:pStyle w:val="22"/>
        <w:rPr>
          <w:rFonts w:ascii="Times New Roman" w:eastAsia="宋体" w:hAnsi="Times New Roman"/>
          <w:bCs w:val="0"/>
          <w:color w:val="000000" w:themeColor="text1"/>
          <w:sz w:val="28"/>
          <w:szCs w:val="28"/>
        </w:rPr>
      </w:pPr>
      <w:r>
        <w:rPr>
          <w:rFonts w:ascii="Times New Roman" w:eastAsia="宋体" w:hAnsi="Times New Roman" w:hint="eastAsia"/>
          <w:bCs w:val="0"/>
          <w:color w:val="000000" w:themeColor="text1"/>
          <w:sz w:val="28"/>
          <w:szCs w:val="28"/>
        </w:rPr>
        <w:fldChar w:fldCharType="begin"/>
      </w:r>
      <w:r>
        <w:rPr>
          <w:rFonts w:ascii="Times New Roman" w:eastAsia="宋体" w:hAnsi="Times New Roman" w:hint="eastAsia"/>
          <w:bCs w:val="0"/>
          <w:color w:val="000000" w:themeColor="text1"/>
          <w:sz w:val="28"/>
          <w:szCs w:val="28"/>
        </w:rPr>
        <w:instrText xml:space="preserve"> HYPERLINK \l "_Toc512505403" </w:instrText>
      </w:r>
      <w:r>
        <w:rPr>
          <w:rFonts w:ascii="Times New Roman" w:eastAsia="宋体" w:hAnsi="Times New Roman" w:hint="eastAsia"/>
          <w:bCs w:val="0"/>
          <w:color w:val="000000" w:themeColor="text1"/>
          <w:sz w:val="28"/>
          <w:szCs w:val="28"/>
        </w:rPr>
        <w:fldChar w:fldCharType="separate"/>
      </w:r>
      <w:bookmarkStart w:id="135" w:name="_Toc6826767"/>
      <w:r>
        <w:rPr>
          <w:rFonts w:ascii="Times New Roman" w:eastAsia="宋体" w:hAnsi="Times New Roman" w:hint="eastAsia"/>
          <w:bCs w:val="0"/>
          <w:color w:val="000000" w:themeColor="text1"/>
          <w:sz w:val="28"/>
          <w:szCs w:val="28"/>
        </w:rPr>
        <w:t>2.4</w:t>
      </w:r>
      <w:r>
        <w:rPr>
          <w:rFonts w:ascii="Times New Roman" w:eastAsia="宋体" w:hAnsi="Times New Roman" w:hint="eastAsia"/>
          <w:bCs w:val="0"/>
          <w:color w:val="000000" w:themeColor="text1"/>
          <w:sz w:val="28"/>
          <w:szCs w:val="28"/>
        </w:rPr>
        <w:t>环境影响因素识别及评价因子筛选</w:t>
      </w:r>
      <w:bookmarkEnd w:id="135"/>
      <w:r>
        <w:rPr>
          <w:rFonts w:ascii="Times New Roman" w:eastAsia="宋体" w:hAnsi="Times New Roman" w:hint="eastAsia"/>
          <w:bCs w:val="0"/>
          <w:color w:val="000000" w:themeColor="text1"/>
          <w:sz w:val="28"/>
          <w:szCs w:val="28"/>
        </w:rPr>
        <w:fldChar w:fldCharType="end"/>
      </w:r>
      <w:bookmarkEnd w:id="131"/>
      <w:bookmarkEnd w:id="132"/>
      <w:bookmarkEnd w:id="133"/>
      <w:bookmarkEnd w:id="134"/>
    </w:p>
    <w:bookmarkStart w:id="136" w:name="_Toc24545"/>
    <w:bookmarkStart w:id="137" w:name="_Toc24112"/>
    <w:bookmarkStart w:id="138" w:name="_Toc15114"/>
    <w:bookmarkStart w:id="139" w:name="_Toc31675"/>
    <w:p w:rsidR="00C861DA" w:rsidRDefault="0044752E">
      <w:pPr>
        <w:pStyle w:val="32"/>
        <w:rPr>
          <w:rFonts w:ascii="Times New Roman" w:eastAsia="宋体"/>
          <w:b w:val="0"/>
          <w:bCs w:val="0"/>
          <w:color w:val="000000" w:themeColor="text1"/>
          <w:sz w:val="24"/>
          <w:szCs w:val="24"/>
        </w:rPr>
      </w:pPr>
      <w:r>
        <w:rPr>
          <w:rFonts w:ascii="Times New Roman" w:eastAsia="宋体" w:hint="eastAsia"/>
          <w:b w:val="0"/>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"_Toc512505404" </w:instrText>
      </w:r>
      <w:r>
        <w:rPr>
          <w:rFonts w:ascii="Times New Roman" w:eastAsia="宋体" w:hint="eastAsia"/>
          <w:b w:val="0"/>
          <w:bCs w:val="0"/>
          <w:color w:val="000000" w:themeColor="text1"/>
          <w:sz w:val="24"/>
          <w:szCs w:val="24"/>
        </w:rPr>
        <w:fldChar w:fldCharType="separate"/>
      </w:r>
      <w:bookmarkStart w:id="140" w:name="_Toc6826768"/>
      <w:r>
        <w:rPr>
          <w:rFonts w:ascii="Times New Roman" w:eastAsia="宋体" w:hint="eastAsia"/>
          <w:bCs w:val="0"/>
          <w:color w:val="000000" w:themeColor="text1"/>
          <w:sz w:val="24"/>
          <w:szCs w:val="24"/>
        </w:rPr>
        <w:t>2.4.1</w:t>
      </w:r>
      <w:r>
        <w:rPr>
          <w:rFonts w:ascii="Times New Roman" w:eastAsia="宋体" w:hint="eastAsia"/>
          <w:bCs w:val="0"/>
          <w:color w:val="000000" w:themeColor="text1"/>
          <w:sz w:val="24"/>
          <w:szCs w:val="24"/>
        </w:rPr>
        <w:t>环境影响因素识别</w:t>
      </w:r>
      <w:bookmarkEnd w:id="140"/>
      <w:r>
        <w:rPr>
          <w:rFonts w:ascii="Times New Roman" w:eastAsia="宋体" w:hint="eastAsia"/>
          <w:b w:val="0"/>
          <w:bCs w:val="0"/>
          <w:color w:val="000000" w:themeColor="text1"/>
          <w:sz w:val="24"/>
          <w:szCs w:val="24"/>
        </w:rPr>
        <w:fldChar w:fldCharType="end"/>
      </w:r>
      <w:bookmarkEnd w:id="136"/>
      <w:bookmarkEnd w:id="137"/>
      <w:bookmarkEnd w:id="138"/>
      <w:bookmarkEnd w:id="139"/>
    </w:p>
    <w:p w:rsidR="00C861DA" w:rsidRDefault="0044752E">
      <w:pPr>
        <w:tabs>
          <w:tab w:val="left" w:pos="7560"/>
        </w:tabs>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根据拟建项目的生产工艺和污染物排放特征，以及所处地区环境状况，采用矩阵法对可能受项目影响的环境要素进行识别筛选，其结果表</w:t>
      </w:r>
      <w:r>
        <w:rPr>
          <w:rFonts w:ascii="Times New Roman" w:eastAsia="宋体" w:cs="仿宋" w:hint="eastAsia"/>
          <w:color w:val="000000" w:themeColor="text1"/>
          <w:sz w:val="24"/>
        </w:rPr>
        <w:t>2.4-1</w:t>
      </w:r>
      <w:r>
        <w:rPr>
          <w:rFonts w:ascii="Times New Roman" w:eastAsia="宋体" w:cs="仿宋" w:hint="eastAsia"/>
          <w:color w:val="000000" w:themeColor="text1"/>
          <w:sz w:val="24"/>
        </w:rPr>
        <w:t>。</w:t>
      </w:r>
    </w:p>
    <w:p w:rsidR="00C861DA" w:rsidRDefault="0044752E">
      <w:pPr>
        <w:tabs>
          <w:tab w:val="left" w:pos="7560"/>
        </w:tabs>
        <w:spacing w:line="360" w:lineRule="auto"/>
        <w:ind w:firstLineChars="200" w:firstLine="480"/>
        <w:rPr>
          <w:rFonts w:ascii="Times New Roman" w:eastAsia="宋体" w:cs="仿宋"/>
          <w:color w:val="000000" w:themeColor="text1"/>
          <w:sz w:val="24"/>
        </w:rPr>
      </w:pPr>
      <w:r>
        <w:rPr>
          <w:rFonts w:ascii="Times New Roman" w:eastAsia="宋体" w:cs="仿宋" w:hint="eastAsia"/>
          <w:color w:val="000000" w:themeColor="text1"/>
          <w:sz w:val="24"/>
        </w:rPr>
        <w:t>从识别结果可以看出，拟建工程建设对环境的影响是多方面的，既存在短期、局部、可恢复的影响，也存在长期、大范围的正、负影响。施工期主要表现在对自然环境中诸多方面产生的一定程度的负影响，但施工期的影响是局部的、短期的；而工程运行期间对环境的影响则是长期存在的，最主要的是对自然环境中的环境空气、地表水和声环境产生不同程度的负影响。对环境的正影响则主要表现在社会经济方面，如区域经济发展等。</w:t>
      </w:r>
    </w:p>
    <w:p w:rsidR="00C861DA" w:rsidRDefault="0044752E">
      <w:pPr>
        <w:spacing w:line="360" w:lineRule="auto"/>
        <w:jc w:val="center"/>
        <w:rPr>
          <w:rFonts w:ascii="Times New Roman" w:eastAsia="宋体" w:cs="仿宋"/>
          <w:b/>
          <w:color w:val="000000" w:themeColor="text1"/>
          <w:sz w:val="24"/>
          <w:szCs w:val="24"/>
        </w:rPr>
      </w:pPr>
      <w:r>
        <w:rPr>
          <w:rFonts w:ascii="Times New Roman" w:eastAsia="宋体" w:cs="仿宋" w:hint="eastAsia"/>
          <w:b/>
          <w:color w:val="000000" w:themeColor="text1"/>
          <w:sz w:val="24"/>
          <w:szCs w:val="24"/>
        </w:rPr>
        <w:t>表</w:t>
      </w:r>
      <w:r>
        <w:rPr>
          <w:rFonts w:ascii="Times New Roman" w:eastAsia="宋体" w:cs="仿宋" w:hint="eastAsia"/>
          <w:b/>
          <w:color w:val="000000" w:themeColor="text1"/>
          <w:sz w:val="24"/>
          <w:szCs w:val="24"/>
        </w:rPr>
        <w:t xml:space="preserve">2.4-1      </w:t>
      </w:r>
      <w:r>
        <w:rPr>
          <w:rFonts w:ascii="Times New Roman" w:eastAsia="宋体" w:cs="仿宋" w:hint="eastAsia"/>
          <w:b/>
          <w:color w:val="000000" w:themeColor="text1"/>
          <w:sz w:val="24"/>
          <w:szCs w:val="24"/>
        </w:rPr>
        <w:t>环境影响因素识别</w:t>
      </w:r>
    </w:p>
    <w:tbl>
      <w:tblPr>
        <w:tblW w:w="8311" w:type="dxa"/>
        <w:tblInd w:w="1" w:type="dxa"/>
        <w:tblLayout w:type="fixed"/>
        <w:tblCellMar>
          <w:left w:w="0" w:type="dxa"/>
          <w:right w:w="0" w:type="dxa"/>
        </w:tblCellMar>
        <w:tblLook w:val="04A0" w:firstRow="1" w:lastRow="0" w:firstColumn="1" w:lastColumn="0" w:noHBand="0" w:noVBand="1"/>
      </w:tblPr>
      <w:tblGrid>
        <w:gridCol w:w="481"/>
        <w:gridCol w:w="1251"/>
        <w:gridCol w:w="762"/>
        <w:gridCol w:w="720"/>
        <w:gridCol w:w="731"/>
        <w:gridCol w:w="735"/>
        <w:gridCol w:w="731"/>
        <w:gridCol w:w="727"/>
        <w:gridCol w:w="740"/>
        <w:gridCol w:w="728"/>
        <w:gridCol w:w="705"/>
      </w:tblGrid>
      <w:tr w:rsidR="00C861DA">
        <w:trPr>
          <w:trHeight w:val="397"/>
        </w:trPr>
        <w:tc>
          <w:tcPr>
            <w:tcW w:w="1732" w:type="dxa"/>
            <w:gridSpan w:val="2"/>
            <w:vMerge w:val="restart"/>
            <w:tcBorders>
              <w:top w:val="single" w:sz="2" w:space="0" w:color="000000"/>
              <w:left w:val="single" w:sz="2" w:space="0" w:color="000000"/>
              <w:right w:val="single" w:sz="2" w:space="0" w:color="000000"/>
            </w:tcBorders>
            <w:vAlign w:val="center"/>
          </w:tcPr>
          <w:p w:rsidR="00C861DA" w:rsidRDefault="0044752E">
            <w:pPr>
              <w:pStyle w:val="TableParagraph"/>
              <w:jc w:val="center"/>
              <w:rPr>
                <w:rFonts w:cs="宋体"/>
                <w:b/>
                <w:bCs/>
                <w:color w:val="000000" w:themeColor="text1"/>
              </w:rPr>
            </w:pPr>
            <w:r>
              <w:rPr>
                <w:rFonts w:cs="宋体"/>
                <w:b/>
                <w:bCs/>
                <w:color w:val="000000" w:themeColor="text1"/>
              </w:rPr>
              <w:t>环境因素</w:t>
            </w:r>
          </w:p>
        </w:tc>
        <w:tc>
          <w:tcPr>
            <w:tcW w:w="762" w:type="dxa"/>
            <w:vMerge w:val="restart"/>
            <w:tcBorders>
              <w:top w:val="single" w:sz="2" w:space="0" w:color="000000"/>
              <w:left w:val="single" w:sz="2" w:space="0" w:color="000000"/>
              <w:right w:val="single" w:sz="2" w:space="0" w:color="000000"/>
            </w:tcBorders>
            <w:vAlign w:val="center"/>
          </w:tcPr>
          <w:p w:rsidR="00C861DA" w:rsidRDefault="0044752E">
            <w:pPr>
              <w:pStyle w:val="TableParagraph"/>
              <w:jc w:val="center"/>
              <w:rPr>
                <w:rFonts w:cs="宋体"/>
                <w:b/>
                <w:bCs/>
                <w:color w:val="000000" w:themeColor="text1"/>
              </w:rPr>
            </w:pPr>
            <w:r>
              <w:rPr>
                <w:rFonts w:cs="宋体"/>
                <w:b/>
                <w:bCs/>
                <w:color w:val="000000" w:themeColor="text1"/>
              </w:rPr>
              <w:t>项目</w:t>
            </w:r>
          </w:p>
          <w:p w:rsidR="00C861DA" w:rsidRDefault="0044752E">
            <w:pPr>
              <w:pStyle w:val="TableParagraph"/>
              <w:jc w:val="center"/>
              <w:rPr>
                <w:rFonts w:cs="宋体"/>
                <w:b/>
                <w:bCs/>
                <w:color w:val="000000" w:themeColor="text1"/>
              </w:rPr>
            </w:pPr>
            <w:r>
              <w:rPr>
                <w:rFonts w:cs="宋体"/>
                <w:b/>
                <w:bCs/>
                <w:color w:val="000000" w:themeColor="text1"/>
              </w:rPr>
              <w:t>建设</w:t>
            </w:r>
          </w:p>
        </w:tc>
        <w:tc>
          <w:tcPr>
            <w:tcW w:w="1451" w:type="dxa"/>
            <w:gridSpan w:val="2"/>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b/>
                <w:bCs/>
                <w:color w:val="000000" w:themeColor="text1"/>
              </w:rPr>
            </w:pPr>
            <w:r>
              <w:rPr>
                <w:rFonts w:cs="宋体"/>
                <w:b/>
                <w:bCs/>
                <w:color w:val="000000" w:themeColor="text1"/>
              </w:rPr>
              <w:t>废气排放</w:t>
            </w:r>
          </w:p>
        </w:tc>
        <w:tc>
          <w:tcPr>
            <w:tcW w:w="1466" w:type="dxa"/>
            <w:gridSpan w:val="2"/>
            <w:tcBorders>
              <w:top w:val="single" w:sz="2" w:space="0" w:color="000000"/>
              <w:left w:val="single" w:sz="2" w:space="0" w:color="000000"/>
              <w:bottom w:val="single" w:sz="2" w:space="0" w:color="000000"/>
              <w:right w:val="single" w:sz="2" w:space="0" w:color="000000"/>
            </w:tcBorders>
            <w:vAlign w:val="center"/>
          </w:tcPr>
          <w:p w:rsidR="00C861DA" w:rsidRDefault="0044752E">
            <w:pPr>
              <w:jc w:val="center"/>
              <w:rPr>
                <w:rFonts w:ascii="Times New Roman" w:eastAsia="宋体" w:cs="宋体"/>
                <w:b/>
                <w:bCs/>
                <w:color w:val="000000" w:themeColor="text1"/>
              </w:rPr>
            </w:pPr>
            <w:r>
              <w:rPr>
                <w:rFonts w:ascii="Times New Roman" w:eastAsia="宋体" w:cs="宋体"/>
                <w:b/>
                <w:bCs/>
                <w:color w:val="000000" w:themeColor="text1"/>
              </w:rPr>
              <w:t>废水排放</w:t>
            </w:r>
          </w:p>
        </w:tc>
        <w:tc>
          <w:tcPr>
            <w:tcW w:w="1467" w:type="dxa"/>
            <w:gridSpan w:val="2"/>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b/>
                <w:bCs/>
                <w:color w:val="000000" w:themeColor="text1"/>
              </w:rPr>
            </w:pPr>
            <w:r>
              <w:rPr>
                <w:rFonts w:cs="宋体" w:hint="eastAsia"/>
                <w:b/>
                <w:bCs/>
                <w:color w:val="000000" w:themeColor="text1"/>
              </w:rPr>
              <w:t>固废</w:t>
            </w:r>
            <w:r>
              <w:rPr>
                <w:rFonts w:cs="宋体"/>
                <w:b/>
                <w:bCs/>
                <w:color w:val="000000" w:themeColor="text1"/>
              </w:rPr>
              <w:t>处理</w:t>
            </w:r>
          </w:p>
        </w:tc>
        <w:tc>
          <w:tcPr>
            <w:tcW w:w="1433" w:type="dxa"/>
            <w:gridSpan w:val="2"/>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b/>
                <w:bCs/>
                <w:color w:val="000000" w:themeColor="text1"/>
              </w:rPr>
            </w:pPr>
            <w:r>
              <w:rPr>
                <w:rFonts w:cs="宋体"/>
                <w:b/>
                <w:bCs/>
                <w:color w:val="000000" w:themeColor="text1"/>
              </w:rPr>
              <w:t>噪声</w:t>
            </w:r>
          </w:p>
        </w:tc>
      </w:tr>
      <w:tr w:rsidR="00C861DA">
        <w:trPr>
          <w:trHeight w:val="397"/>
        </w:trPr>
        <w:tc>
          <w:tcPr>
            <w:tcW w:w="1732" w:type="dxa"/>
            <w:gridSpan w:val="2"/>
            <w:vMerge/>
            <w:tcBorders>
              <w:left w:val="single" w:sz="2" w:space="0" w:color="000000"/>
              <w:bottom w:val="single" w:sz="2" w:space="0" w:color="000000"/>
              <w:right w:val="single" w:sz="2" w:space="0" w:color="000000"/>
            </w:tcBorders>
            <w:vAlign w:val="center"/>
          </w:tcPr>
          <w:p w:rsidR="00C861DA" w:rsidRDefault="00C861DA">
            <w:pPr>
              <w:jc w:val="center"/>
              <w:rPr>
                <w:rFonts w:ascii="Times New Roman" w:eastAsia="宋体"/>
                <w:b/>
                <w:bCs/>
                <w:color w:val="000000" w:themeColor="text1"/>
              </w:rPr>
            </w:pPr>
          </w:p>
        </w:tc>
        <w:tc>
          <w:tcPr>
            <w:tcW w:w="762" w:type="dxa"/>
            <w:vMerge/>
            <w:tcBorders>
              <w:left w:val="single" w:sz="2" w:space="0" w:color="000000"/>
              <w:bottom w:val="single" w:sz="2" w:space="0" w:color="000000"/>
              <w:right w:val="single" w:sz="2" w:space="0" w:color="000000"/>
            </w:tcBorders>
            <w:vAlign w:val="center"/>
          </w:tcPr>
          <w:p w:rsidR="00C861DA" w:rsidRDefault="00C861DA">
            <w:pPr>
              <w:jc w:val="center"/>
              <w:rPr>
                <w:rFonts w:ascii="Times New Roman" w:eastAsia="宋体" w:cs="宋体"/>
                <w:b/>
                <w:bCs/>
                <w:color w:val="000000" w:themeColor="text1"/>
              </w:rPr>
            </w:pPr>
          </w:p>
        </w:tc>
        <w:tc>
          <w:tcPr>
            <w:tcW w:w="72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b/>
                <w:bCs/>
                <w:color w:val="000000" w:themeColor="text1"/>
              </w:rPr>
            </w:pPr>
            <w:r>
              <w:rPr>
                <w:rFonts w:cs="宋体"/>
                <w:b/>
                <w:bCs/>
                <w:color w:val="000000" w:themeColor="text1"/>
              </w:rPr>
              <w:t>施工期</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b/>
                <w:bCs/>
                <w:color w:val="000000" w:themeColor="text1"/>
              </w:rPr>
            </w:pPr>
            <w:r>
              <w:rPr>
                <w:rFonts w:cs="宋体"/>
                <w:b/>
                <w:bCs/>
                <w:color w:val="000000" w:themeColor="text1"/>
              </w:rPr>
              <w:t>营运期</w:t>
            </w:r>
          </w:p>
        </w:tc>
        <w:tc>
          <w:tcPr>
            <w:tcW w:w="735" w:type="dxa"/>
            <w:tcBorders>
              <w:top w:val="single" w:sz="2" w:space="0" w:color="000000"/>
              <w:left w:val="single" w:sz="2" w:space="0" w:color="000000"/>
              <w:bottom w:val="single" w:sz="2" w:space="0" w:color="000000"/>
              <w:right w:val="single" w:sz="2" w:space="0" w:color="000000"/>
            </w:tcBorders>
            <w:vAlign w:val="center"/>
          </w:tcPr>
          <w:p w:rsidR="00C861DA" w:rsidRDefault="0044752E">
            <w:pPr>
              <w:jc w:val="center"/>
              <w:rPr>
                <w:rFonts w:ascii="Times New Roman" w:eastAsia="宋体" w:cs="宋体"/>
                <w:b/>
                <w:bCs/>
                <w:color w:val="000000" w:themeColor="text1"/>
              </w:rPr>
            </w:pPr>
            <w:r>
              <w:rPr>
                <w:rFonts w:ascii="Times New Roman" w:eastAsia="宋体" w:cs="宋体"/>
                <w:b/>
                <w:bCs/>
                <w:color w:val="000000" w:themeColor="text1"/>
              </w:rPr>
              <w:t>施工期</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jc w:val="center"/>
              <w:rPr>
                <w:rFonts w:ascii="Times New Roman" w:eastAsia="宋体" w:cs="宋体"/>
                <w:b/>
                <w:bCs/>
                <w:color w:val="000000" w:themeColor="text1"/>
              </w:rPr>
            </w:pPr>
            <w:r>
              <w:rPr>
                <w:rFonts w:ascii="Times New Roman" w:eastAsia="宋体" w:cs="宋体"/>
                <w:b/>
                <w:bCs/>
                <w:color w:val="000000" w:themeColor="text1"/>
              </w:rPr>
              <w:t>营运期</w:t>
            </w:r>
          </w:p>
        </w:tc>
        <w:tc>
          <w:tcPr>
            <w:tcW w:w="72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jc w:val="center"/>
              <w:rPr>
                <w:rFonts w:cs="宋体"/>
                <w:b/>
                <w:bCs/>
                <w:color w:val="000000" w:themeColor="text1"/>
              </w:rPr>
            </w:pPr>
            <w:r>
              <w:rPr>
                <w:rFonts w:cs="宋体"/>
                <w:b/>
                <w:bCs/>
                <w:color w:val="000000" w:themeColor="text1"/>
              </w:rPr>
              <w:t>施工期</w:t>
            </w:r>
          </w:p>
        </w:tc>
        <w:tc>
          <w:tcPr>
            <w:tcW w:w="74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b/>
                <w:bCs/>
                <w:color w:val="000000" w:themeColor="text1"/>
              </w:rPr>
            </w:pPr>
            <w:r>
              <w:rPr>
                <w:rFonts w:cs="宋体"/>
                <w:b/>
                <w:bCs/>
                <w:color w:val="000000" w:themeColor="text1"/>
              </w:rPr>
              <w:t>营运期</w:t>
            </w:r>
          </w:p>
        </w:tc>
        <w:tc>
          <w:tcPr>
            <w:tcW w:w="72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b/>
                <w:bCs/>
                <w:color w:val="000000" w:themeColor="text1"/>
              </w:rPr>
            </w:pPr>
            <w:r>
              <w:rPr>
                <w:rFonts w:cs="宋体"/>
                <w:b/>
                <w:bCs/>
                <w:color w:val="000000" w:themeColor="text1"/>
              </w:rPr>
              <w:t>施工期</w:t>
            </w:r>
          </w:p>
        </w:tc>
        <w:tc>
          <w:tcPr>
            <w:tcW w:w="70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b/>
                <w:bCs/>
                <w:color w:val="000000" w:themeColor="text1"/>
              </w:rPr>
            </w:pPr>
            <w:r>
              <w:rPr>
                <w:rFonts w:cs="宋体"/>
                <w:b/>
                <w:bCs/>
                <w:color w:val="000000" w:themeColor="text1"/>
              </w:rPr>
              <w:t>营运期</w:t>
            </w:r>
          </w:p>
        </w:tc>
      </w:tr>
      <w:tr w:rsidR="00C861DA">
        <w:trPr>
          <w:trHeight w:val="397"/>
        </w:trPr>
        <w:tc>
          <w:tcPr>
            <w:tcW w:w="481" w:type="dxa"/>
            <w:vMerge w:val="restart"/>
            <w:tcBorders>
              <w:top w:val="single" w:sz="2" w:space="0" w:color="000000"/>
              <w:left w:val="single" w:sz="2" w:space="0" w:color="000000"/>
              <w:right w:val="single" w:sz="2" w:space="0" w:color="000000"/>
            </w:tcBorders>
            <w:vAlign w:val="center"/>
          </w:tcPr>
          <w:p w:rsidR="00C861DA" w:rsidRDefault="0044752E">
            <w:pPr>
              <w:pStyle w:val="TableParagraph"/>
              <w:spacing w:line="326" w:lineRule="auto"/>
              <w:ind w:left="160" w:right="167"/>
              <w:jc w:val="center"/>
              <w:rPr>
                <w:rFonts w:cs="宋体"/>
                <w:color w:val="000000" w:themeColor="text1"/>
              </w:rPr>
            </w:pPr>
            <w:r>
              <w:rPr>
                <w:rFonts w:cs="宋体"/>
                <w:color w:val="000000" w:themeColor="text1"/>
              </w:rPr>
              <w:t>自然环境</w:t>
            </w:r>
          </w:p>
        </w:tc>
        <w:tc>
          <w:tcPr>
            <w:tcW w:w="12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jc w:val="center"/>
              <w:rPr>
                <w:rFonts w:cs="宋体"/>
                <w:color w:val="000000" w:themeColor="text1"/>
              </w:rPr>
            </w:pPr>
            <w:r>
              <w:rPr>
                <w:rFonts w:cs="宋体"/>
                <w:color w:val="000000" w:themeColor="text1"/>
              </w:rPr>
              <w:t>地质、地貌</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right="2"/>
              <w:jc w:val="center"/>
              <w:rPr>
                <w:rFonts w:cs="宋体"/>
                <w:color w:val="000000" w:themeColor="text1"/>
              </w:rPr>
            </w:pPr>
            <w:r>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jc w:val="center"/>
              <w:rPr>
                <w:rFonts w:cs="宋体"/>
                <w:color w:val="000000" w:themeColor="text1"/>
              </w:rPr>
            </w:pPr>
            <w:r>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r>
      <w:tr w:rsidR="00C861DA">
        <w:trPr>
          <w:trHeight w:val="397"/>
        </w:trPr>
        <w:tc>
          <w:tcPr>
            <w:tcW w:w="481" w:type="dxa"/>
            <w:vMerge/>
            <w:tcBorders>
              <w:left w:val="single" w:sz="2" w:space="0" w:color="000000"/>
              <w:right w:val="single" w:sz="2" w:space="0" w:color="000000"/>
            </w:tcBorders>
            <w:vAlign w:val="center"/>
          </w:tcPr>
          <w:p w:rsidR="00C861DA" w:rsidRDefault="00C861DA">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jc w:val="center"/>
              <w:rPr>
                <w:rFonts w:cs="宋体"/>
                <w:color w:val="000000" w:themeColor="text1"/>
              </w:rPr>
            </w:pPr>
            <w:r>
              <w:rPr>
                <w:rFonts w:cs="宋体"/>
                <w:color w:val="000000" w:themeColor="text1"/>
              </w:rPr>
              <w:t>小气候</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right="2"/>
              <w:jc w:val="center"/>
              <w:rPr>
                <w:rFonts w:cs="宋体"/>
                <w:color w:val="000000" w:themeColor="text1"/>
              </w:rPr>
            </w:pPr>
            <w:r>
              <w:rPr>
                <w:rFonts w:cs="宋体"/>
                <w:color w:val="000000" w:themeColor="text1"/>
              </w:rPr>
              <w:t>—</w:t>
            </w:r>
          </w:p>
        </w:tc>
        <w:tc>
          <w:tcPr>
            <w:tcW w:w="72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jc w:val="center"/>
              <w:rPr>
                <w:rFonts w:cs="宋体"/>
                <w:color w:val="000000" w:themeColor="text1"/>
              </w:rPr>
            </w:pPr>
            <w:r>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r>
      <w:tr w:rsidR="00C861DA">
        <w:trPr>
          <w:trHeight w:val="397"/>
        </w:trPr>
        <w:tc>
          <w:tcPr>
            <w:tcW w:w="481" w:type="dxa"/>
            <w:vMerge/>
            <w:tcBorders>
              <w:left w:val="single" w:sz="2" w:space="0" w:color="000000"/>
              <w:right w:val="single" w:sz="2" w:space="0" w:color="000000"/>
            </w:tcBorders>
            <w:vAlign w:val="center"/>
          </w:tcPr>
          <w:p w:rsidR="00C861DA" w:rsidRDefault="00C861DA">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right="2"/>
              <w:jc w:val="center"/>
              <w:rPr>
                <w:rFonts w:cs="宋体"/>
                <w:color w:val="000000" w:themeColor="text1"/>
              </w:rPr>
            </w:pPr>
            <w:r>
              <w:rPr>
                <w:rFonts w:cs="宋体"/>
                <w:color w:val="000000" w:themeColor="text1"/>
              </w:rPr>
              <w:t>空气质量</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right="2"/>
              <w:jc w:val="center"/>
              <w:rPr>
                <w:rFonts w:cs="宋体"/>
                <w:color w:val="000000" w:themeColor="text1"/>
              </w:rPr>
            </w:pPr>
            <w:r>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〇</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jc w:val="center"/>
              <w:rPr>
                <w:rFonts w:cs="宋体"/>
                <w:color w:val="000000" w:themeColor="text1"/>
              </w:rPr>
            </w:pPr>
            <w:r>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r>
      <w:tr w:rsidR="00C861DA">
        <w:trPr>
          <w:trHeight w:val="397"/>
        </w:trPr>
        <w:tc>
          <w:tcPr>
            <w:tcW w:w="481" w:type="dxa"/>
            <w:vMerge/>
            <w:tcBorders>
              <w:left w:val="single" w:sz="2" w:space="0" w:color="000000"/>
              <w:right w:val="single" w:sz="2" w:space="0" w:color="000000"/>
            </w:tcBorders>
            <w:vAlign w:val="center"/>
          </w:tcPr>
          <w:p w:rsidR="00C861DA" w:rsidRDefault="00C861DA">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right="2"/>
              <w:jc w:val="center"/>
              <w:rPr>
                <w:rFonts w:cs="宋体"/>
                <w:color w:val="000000" w:themeColor="text1"/>
              </w:rPr>
            </w:pPr>
            <w:r>
              <w:rPr>
                <w:rFonts w:cs="宋体"/>
                <w:color w:val="000000" w:themeColor="text1"/>
              </w:rPr>
              <w:t>地表水文</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right="2"/>
              <w:jc w:val="center"/>
              <w:rPr>
                <w:rFonts w:cs="宋体"/>
                <w:color w:val="000000" w:themeColor="text1"/>
              </w:rPr>
            </w:pPr>
            <w:r>
              <w:rPr>
                <w:rFonts w:cs="宋体"/>
                <w:color w:val="000000" w:themeColor="text1"/>
              </w:rPr>
              <w:t>—</w:t>
            </w:r>
          </w:p>
        </w:tc>
        <w:tc>
          <w:tcPr>
            <w:tcW w:w="72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jc w:val="center"/>
              <w:rPr>
                <w:rFonts w:cs="宋体"/>
                <w:color w:val="000000" w:themeColor="text1"/>
              </w:rPr>
            </w:pPr>
            <w:r>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r>
      <w:tr w:rsidR="00C861DA">
        <w:trPr>
          <w:trHeight w:val="397"/>
        </w:trPr>
        <w:tc>
          <w:tcPr>
            <w:tcW w:w="481" w:type="dxa"/>
            <w:vMerge/>
            <w:tcBorders>
              <w:left w:val="single" w:sz="2" w:space="0" w:color="000000"/>
              <w:right w:val="single" w:sz="2" w:space="0" w:color="000000"/>
            </w:tcBorders>
            <w:vAlign w:val="center"/>
          </w:tcPr>
          <w:p w:rsidR="00C861DA" w:rsidRDefault="00C861DA">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right="2"/>
              <w:jc w:val="center"/>
              <w:rPr>
                <w:rFonts w:cs="宋体"/>
                <w:color w:val="000000" w:themeColor="text1"/>
              </w:rPr>
            </w:pPr>
            <w:r>
              <w:rPr>
                <w:rFonts w:cs="宋体"/>
                <w:color w:val="000000" w:themeColor="text1"/>
              </w:rPr>
              <w:t>地表水质</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right="2"/>
              <w:jc w:val="center"/>
              <w:rPr>
                <w:rFonts w:cs="宋体"/>
                <w:color w:val="000000" w:themeColor="text1"/>
              </w:rPr>
            </w:pPr>
            <w:r>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jc w:val="center"/>
              <w:rPr>
                <w:rFonts w:cs="宋体"/>
                <w:color w:val="000000" w:themeColor="text1"/>
              </w:rPr>
            </w:pPr>
            <w:r>
              <w:rPr>
                <w:rFonts w:cs="宋体"/>
                <w:color w:val="000000" w:themeColor="text1"/>
              </w:rPr>
              <w:t>〇</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〇</w:t>
            </w:r>
          </w:p>
        </w:tc>
        <w:tc>
          <w:tcPr>
            <w:tcW w:w="72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jc w:val="center"/>
              <w:rPr>
                <w:rFonts w:cs="宋体"/>
                <w:color w:val="000000" w:themeColor="text1"/>
              </w:rPr>
            </w:pPr>
            <w:r>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r>
      <w:tr w:rsidR="00C861DA">
        <w:trPr>
          <w:trHeight w:val="397"/>
        </w:trPr>
        <w:tc>
          <w:tcPr>
            <w:tcW w:w="481" w:type="dxa"/>
            <w:vMerge/>
            <w:tcBorders>
              <w:left w:val="single" w:sz="2" w:space="0" w:color="000000"/>
              <w:right w:val="single" w:sz="2" w:space="0" w:color="000000"/>
            </w:tcBorders>
            <w:vAlign w:val="center"/>
          </w:tcPr>
          <w:p w:rsidR="00C861DA" w:rsidRDefault="00C861DA">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right="2"/>
              <w:jc w:val="center"/>
              <w:rPr>
                <w:rFonts w:cs="宋体"/>
                <w:color w:val="000000" w:themeColor="text1"/>
              </w:rPr>
            </w:pPr>
            <w:r>
              <w:rPr>
                <w:rFonts w:cs="宋体"/>
                <w:color w:val="000000" w:themeColor="text1"/>
              </w:rPr>
              <w:t>地下水文</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right="2"/>
              <w:jc w:val="center"/>
              <w:rPr>
                <w:rFonts w:cs="宋体"/>
                <w:color w:val="000000" w:themeColor="text1"/>
              </w:rPr>
            </w:pPr>
            <w:r>
              <w:rPr>
                <w:rFonts w:cs="宋体"/>
                <w:color w:val="000000" w:themeColor="text1"/>
              </w:rPr>
              <w:t>—</w:t>
            </w:r>
          </w:p>
        </w:tc>
        <w:tc>
          <w:tcPr>
            <w:tcW w:w="72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jc w:val="center"/>
              <w:rPr>
                <w:rFonts w:cs="宋体"/>
                <w:color w:val="000000" w:themeColor="text1"/>
              </w:rPr>
            </w:pPr>
            <w:r>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r>
      <w:tr w:rsidR="00C861DA">
        <w:trPr>
          <w:trHeight w:val="397"/>
        </w:trPr>
        <w:tc>
          <w:tcPr>
            <w:tcW w:w="481" w:type="dxa"/>
            <w:vMerge/>
            <w:tcBorders>
              <w:left w:val="single" w:sz="2" w:space="0" w:color="000000"/>
              <w:right w:val="single" w:sz="2" w:space="0" w:color="000000"/>
            </w:tcBorders>
            <w:vAlign w:val="center"/>
          </w:tcPr>
          <w:p w:rsidR="00C861DA" w:rsidRDefault="00C861DA">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right="2"/>
              <w:jc w:val="center"/>
              <w:rPr>
                <w:rFonts w:cs="宋体"/>
                <w:color w:val="000000" w:themeColor="text1"/>
              </w:rPr>
            </w:pPr>
            <w:r>
              <w:rPr>
                <w:rFonts w:cs="宋体"/>
                <w:color w:val="000000" w:themeColor="text1"/>
              </w:rPr>
              <w:t>地下水质</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right="2"/>
              <w:jc w:val="center"/>
              <w:rPr>
                <w:rFonts w:cs="宋体"/>
                <w:color w:val="000000" w:themeColor="text1"/>
              </w:rPr>
            </w:pPr>
            <w:r>
              <w:rPr>
                <w:rFonts w:cs="宋体"/>
                <w:color w:val="000000" w:themeColor="text1"/>
              </w:rPr>
              <w:t>—</w:t>
            </w:r>
          </w:p>
        </w:tc>
        <w:tc>
          <w:tcPr>
            <w:tcW w:w="72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jc w:val="center"/>
              <w:rPr>
                <w:rFonts w:cs="宋体"/>
                <w:color w:val="000000" w:themeColor="text1"/>
              </w:rPr>
            </w:pPr>
            <w:r>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r>
      <w:tr w:rsidR="00C861DA">
        <w:trPr>
          <w:trHeight w:val="397"/>
        </w:trPr>
        <w:tc>
          <w:tcPr>
            <w:tcW w:w="481" w:type="dxa"/>
            <w:vMerge/>
            <w:tcBorders>
              <w:left w:val="single" w:sz="2" w:space="0" w:color="000000"/>
              <w:right w:val="single" w:sz="2" w:space="0" w:color="000000"/>
            </w:tcBorders>
            <w:vAlign w:val="center"/>
          </w:tcPr>
          <w:p w:rsidR="00C861DA" w:rsidRDefault="00C861DA">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6"/>
              <w:ind w:right="1"/>
              <w:jc w:val="center"/>
              <w:rPr>
                <w:rFonts w:cs="宋体"/>
                <w:color w:val="000000" w:themeColor="text1"/>
              </w:rPr>
            </w:pPr>
            <w:r>
              <w:rPr>
                <w:rFonts w:cs="宋体"/>
                <w:color w:val="000000" w:themeColor="text1"/>
              </w:rPr>
              <w:t>植被</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6"/>
              <w:ind w:right="2"/>
              <w:jc w:val="center"/>
              <w:rPr>
                <w:rFonts w:cs="宋体"/>
                <w:color w:val="000000" w:themeColor="text1"/>
              </w:rPr>
            </w:pPr>
            <w:r>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6"/>
              <w:ind w:left="7"/>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6"/>
              <w:ind w:left="3"/>
              <w:jc w:val="center"/>
              <w:rPr>
                <w:rFonts w:cs="宋体"/>
                <w:color w:val="000000" w:themeColor="text1"/>
              </w:rPr>
            </w:pPr>
            <w:r>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6"/>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6"/>
              <w:ind w:left="3"/>
              <w:jc w:val="center"/>
              <w:rPr>
                <w:rFonts w:cs="宋体"/>
                <w:color w:val="000000" w:themeColor="text1"/>
              </w:rPr>
            </w:pPr>
            <w:r>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6"/>
              <w:jc w:val="center"/>
              <w:rPr>
                <w:rFonts w:cs="宋体"/>
                <w:color w:val="000000" w:themeColor="text1"/>
              </w:rPr>
            </w:pPr>
            <w:r>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6"/>
              <w:ind w:left="3"/>
              <w:jc w:val="center"/>
              <w:rPr>
                <w:rFonts w:cs="宋体"/>
                <w:color w:val="000000" w:themeColor="text1"/>
              </w:rPr>
            </w:pPr>
            <w:r>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6"/>
              <w:ind w:left="7"/>
              <w:jc w:val="center"/>
              <w:rPr>
                <w:rFonts w:cs="宋体"/>
                <w:color w:val="000000" w:themeColor="text1"/>
              </w:rPr>
            </w:pPr>
            <w:r>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6"/>
              <w:ind w:left="7"/>
              <w:jc w:val="center"/>
              <w:rPr>
                <w:rFonts w:cs="宋体"/>
                <w:color w:val="000000" w:themeColor="text1"/>
              </w:rPr>
            </w:pPr>
            <w:r>
              <w:rPr>
                <w:rFonts w:cs="宋体"/>
                <w:color w:val="000000" w:themeColor="text1"/>
              </w:rPr>
              <w:t>—</w:t>
            </w:r>
          </w:p>
        </w:tc>
      </w:tr>
      <w:tr w:rsidR="00C861DA">
        <w:trPr>
          <w:trHeight w:val="397"/>
        </w:trPr>
        <w:tc>
          <w:tcPr>
            <w:tcW w:w="481" w:type="dxa"/>
            <w:vMerge/>
            <w:tcBorders>
              <w:left w:val="single" w:sz="2" w:space="0" w:color="000000"/>
              <w:right w:val="single" w:sz="2" w:space="0" w:color="000000"/>
            </w:tcBorders>
            <w:vAlign w:val="center"/>
          </w:tcPr>
          <w:p w:rsidR="00C861DA" w:rsidRDefault="00C861DA">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right="1"/>
              <w:jc w:val="center"/>
              <w:rPr>
                <w:rFonts w:cs="宋体"/>
                <w:color w:val="000000" w:themeColor="text1"/>
              </w:rPr>
            </w:pPr>
            <w:r>
              <w:rPr>
                <w:rFonts w:cs="宋体"/>
                <w:color w:val="000000" w:themeColor="text1"/>
              </w:rPr>
              <w:t>土壤</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right="2"/>
              <w:jc w:val="center"/>
              <w:rPr>
                <w:rFonts w:cs="宋体"/>
                <w:color w:val="000000" w:themeColor="text1"/>
              </w:rPr>
            </w:pPr>
            <w:r>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jc w:val="center"/>
              <w:rPr>
                <w:rFonts w:cs="宋体"/>
                <w:color w:val="000000" w:themeColor="text1"/>
              </w:rPr>
            </w:pPr>
            <w:r>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r>
      <w:tr w:rsidR="00C861DA">
        <w:trPr>
          <w:trHeight w:val="397"/>
        </w:trPr>
        <w:tc>
          <w:tcPr>
            <w:tcW w:w="481" w:type="dxa"/>
            <w:vMerge/>
            <w:tcBorders>
              <w:left w:val="single" w:sz="2" w:space="0" w:color="000000"/>
              <w:right w:val="single" w:sz="2" w:space="0" w:color="000000"/>
            </w:tcBorders>
            <w:vAlign w:val="center"/>
          </w:tcPr>
          <w:p w:rsidR="00C861DA" w:rsidRDefault="00C861DA">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right="2"/>
              <w:jc w:val="center"/>
              <w:rPr>
                <w:rFonts w:cs="宋体"/>
                <w:color w:val="000000" w:themeColor="text1"/>
              </w:rPr>
            </w:pPr>
            <w:r>
              <w:rPr>
                <w:rFonts w:cs="宋体"/>
                <w:color w:val="000000" w:themeColor="text1"/>
              </w:rPr>
              <w:t>水土流失</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right="2"/>
              <w:jc w:val="center"/>
              <w:rPr>
                <w:rFonts w:cs="宋体"/>
                <w:color w:val="000000" w:themeColor="text1"/>
              </w:rPr>
            </w:pPr>
            <w:r>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jc w:val="center"/>
              <w:rPr>
                <w:rFonts w:cs="宋体"/>
                <w:color w:val="000000" w:themeColor="text1"/>
              </w:rPr>
            </w:pPr>
            <w:r>
              <w:rPr>
                <w:rFonts w:cs="宋体"/>
                <w:color w:val="000000" w:themeColor="text1"/>
              </w:rPr>
              <w:t>〇</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jc w:val="center"/>
              <w:rPr>
                <w:rFonts w:cs="宋体"/>
                <w:color w:val="000000" w:themeColor="text1"/>
              </w:rPr>
            </w:pPr>
            <w:r>
              <w:rPr>
                <w:rFonts w:cs="宋体"/>
                <w:color w:val="000000" w:themeColor="text1"/>
              </w:rPr>
              <w:t>〇</w:t>
            </w:r>
          </w:p>
        </w:tc>
        <w:tc>
          <w:tcPr>
            <w:tcW w:w="74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r>
      <w:tr w:rsidR="00C861DA">
        <w:trPr>
          <w:trHeight w:val="397"/>
        </w:trPr>
        <w:tc>
          <w:tcPr>
            <w:tcW w:w="481" w:type="dxa"/>
            <w:vMerge/>
            <w:tcBorders>
              <w:left w:val="single" w:sz="2" w:space="0" w:color="000000"/>
              <w:bottom w:val="single" w:sz="2" w:space="0" w:color="000000"/>
              <w:right w:val="single" w:sz="2" w:space="0" w:color="000000"/>
            </w:tcBorders>
            <w:vAlign w:val="center"/>
          </w:tcPr>
          <w:p w:rsidR="00C861DA" w:rsidRDefault="00C861DA">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jc w:val="center"/>
              <w:rPr>
                <w:rFonts w:cs="宋体"/>
                <w:color w:val="000000" w:themeColor="text1"/>
              </w:rPr>
            </w:pPr>
            <w:r>
              <w:rPr>
                <w:rFonts w:cs="宋体"/>
                <w:color w:val="000000" w:themeColor="text1"/>
              </w:rPr>
              <w:t>声环境</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right="2"/>
              <w:jc w:val="center"/>
              <w:rPr>
                <w:rFonts w:cs="宋体"/>
                <w:color w:val="000000" w:themeColor="text1"/>
              </w:rPr>
            </w:pPr>
            <w:r>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jc w:val="center"/>
              <w:rPr>
                <w:rFonts w:cs="宋体"/>
                <w:color w:val="000000" w:themeColor="text1"/>
              </w:rPr>
            </w:pPr>
            <w:r>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〇</w:t>
            </w:r>
          </w:p>
        </w:tc>
        <w:tc>
          <w:tcPr>
            <w:tcW w:w="70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〇</w:t>
            </w:r>
          </w:p>
        </w:tc>
      </w:tr>
      <w:tr w:rsidR="00C861DA">
        <w:trPr>
          <w:trHeight w:val="397"/>
        </w:trPr>
        <w:tc>
          <w:tcPr>
            <w:tcW w:w="481" w:type="dxa"/>
            <w:vMerge w:val="restart"/>
            <w:tcBorders>
              <w:top w:val="single" w:sz="2" w:space="0" w:color="000000"/>
              <w:left w:val="single" w:sz="2" w:space="0" w:color="000000"/>
              <w:right w:val="single" w:sz="2" w:space="0" w:color="000000"/>
            </w:tcBorders>
            <w:vAlign w:val="center"/>
          </w:tcPr>
          <w:p w:rsidR="00C861DA" w:rsidRDefault="0044752E">
            <w:pPr>
              <w:pStyle w:val="TableParagraph"/>
              <w:spacing w:before="61" w:line="326" w:lineRule="auto"/>
              <w:ind w:left="160" w:right="167"/>
              <w:jc w:val="center"/>
              <w:rPr>
                <w:rFonts w:cs="宋体"/>
                <w:color w:val="000000" w:themeColor="text1"/>
              </w:rPr>
            </w:pPr>
            <w:r>
              <w:rPr>
                <w:rFonts w:cs="宋体"/>
                <w:color w:val="000000" w:themeColor="text1"/>
              </w:rPr>
              <w:t>社会经济</w:t>
            </w:r>
          </w:p>
        </w:tc>
        <w:tc>
          <w:tcPr>
            <w:tcW w:w="12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right="2"/>
              <w:jc w:val="center"/>
              <w:rPr>
                <w:rFonts w:cs="宋体"/>
                <w:color w:val="000000" w:themeColor="text1"/>
              </w:rPr>
            </w:pPr>
            <w:r>
              <w:rPr>
                <w:rFonts w:cs="宋体"/>
                <w:color w:val="000000" w:themeColor="text1"/>
              </w:rPr>
              <w:t>交通运输</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right="2"/>
              <w:jc w:val="center"/>
              <w:rPr>
                <w:rFonts w:cs="宋体"/>
                <w:color w:val="000000" w:themeColor="text1"/>
              </w:rPr>
            </w:pPr>
            <w:r>
              <w:rPr>
                <w:rFonts w:cs="宋体"/>
                <w:color w:val="000000" w:themeColor="text1"/>
              </w:rPr>
              <w:t>◎</w:t>
            </w:r>
          </w:p>
        </w:tc>
        <w:tc>
          <w:tcPr>
            <w:tcW w:w="72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jc w:val="center"/>
              <w:rPr>
                <w:rFonts w:cs="宋体"/>
                <w:color w:val="000000" w:themeColor="text1"/>
              </w:rPr>
            </w:pPr>
            <w:r>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〇</w:t>
            </w:r>
          </w:p>
        </w:tc>
        <w:tc>
          <w:tcPr>
            <w:tcW w:w="72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r>
      <w:tr w:rsidR="00C861DA">
        <w:trPr>
          <w:trHeight w:val="397"/>
        </w:trPr>
        <w:tc>
          <w:tcPr>
            <w:tcW w:w="481" w:type="dxa"/>
            <w:vMerge/>
            <w:tcBorders>
              <w:left w:val="single" w:sz="2" w:space="0" w:color="000000"/>
              <w:right w:val="single" w:sz="2" w:space="0" w:color="000000"/>
            </w:tcBorders>
            <w:vAlign w:val="center"/>
          </w:tcPr>
          <w:p w:rsidR="00C861DA" w:rsidRDefault="00C861DA">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right="2"/>
              <w:jc w:val="center"/>
              <w:rPr>
                <w:rFonts w:cs="宋体"/>
                <w:color w:val="000000" w:themeColor="text1"/>
              </w:rPr>
            </w:pPr>
            <w:r>
              <w:rPr>
                <w:rFonts w:cs="宋体"/>
                <w:color w:val="000000" w:themeColor="text1"/>
              </w:rPr>
              <w:t>区域经济</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223"/>
              <w:jc w:val="center"/>
              <w:rPr>
                <w:rFonts w:cs="宋体"/>
                <w:color w:val="000000" w:themeColor="text1"/>
              </w:rPr>
            </w:pPr>
            <w:r>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jc w:val="center"/>
              <w:rPr>
                <w:rFonts w:cs="宋体"/>
                <w:color w:val="000000" w:themeColor="text1"/>
              </w:rPr>
            </w:pPr>
            <w:r>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3"/>
              <w:jc w:val="center"/>
              <w:rPr>
                <w:rFonts w:cs="宋体"/>
                <w:color w:val="000000" w:themeColor="text1"/>
              </w:rPr>
            </w:pPr>
            <w:r>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9"/>
              <w:ind w:left="7"/>
              <w:jc w:val="center"/>
              <w:rPr>
                <w:rFonts w:cs="宋体"/>
                <w:color w:val="000000" w:themeColor="text1"/>
              </w:rPr>
            </w:pPr>
            <w:r>
              <w:rPr>
                <w:rFonts w:cs="宋体"/>
                <w:color w:val="000000" w:themeColor="text1"/>
              </w:rPr>
              <w:t>—</w:t>
            </w:r>
          </w:p>
        </w:tc>
      </w:tr>
      <w:tr w:rsidR="00C861DA">
        <w:trPr>
          <w:trHeight w:val="397"/>
        </w:trPr>
        <w:tc>
          <w:tcPr>
            <w:tcW w:w="481" w:type="dxa"/>
            <w:vMerge/>
            <w:tcBorders>
              <w:left w:val="single" w:sz="2" w:space="0" w:color="000000"/>
              <w:right w:val="single" w:sz="2" w:space="0" w:color="000000"/>
            </w:tcBorders>
            <w:vAlign w:val="center"/>
          </w:tcPr>
          <w:p w:rsidR="00C861DA" w:rsidRDefault="00C861DA">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right="2"/>
              <w:jc w:val="center"/>
              <w:rPr>
                <w:rFonts w:cs="宋体"/>
                <w:color w:val="000000" w:themeColor="text1"/>
              </w:rPr>
            </w:pPr>
            <w:r>
              <w:rPr>
                <w:rFonts w:cs="宋体"/>
                <w:color w:val="000000" w:themeColor="text1"/>
              </w:rPr>
              <w:t>人群健康</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right="2"/>
              <w:jc w:val="center"/>
              <w:rPr>
                <w:rFonts w:cs="宋体"/>
                <w:color w:val="000000" w:themeColor="text1"/>
              </w:rPr>
            </w:pPr>
            <w:r>
              <w:rPr>
                <w:rFonts w:cs="宋体"/>
                <w:color w:val="000000" w:themeColor="text1"/>
              </w:rPr>
              <w:t>—</w:t>
            </w:r>
          </w:p>
        </w:tc>
        <w:tc>
          <w:tcPr>
            <w:tcW w:w="72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jc w:val="center"/>
              <w:rPr>
                <w:rFonts w:cs="宋体"/>
                <w:color w:val="000000" w:themeColor="text1"/>
              </w:rPr>
            </w:pPr>
            <w:r>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3"/>
              <w:jc w:val="center"/>
              <w:rPr>
                <w:rFonts w:cs="宋体"/>
                <w:color w:val="000000" w:themeColor="text1"/>
              </w:rPr>
            </w:pPr>
            <w:r>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45"/>
              <w:ind w:left="7"/>
              <w:jc w:val="center"/>
              <w:rPr>
                <w:rFonts w:cs="宋体"/>
                <w:color w:val="000000" w:themeColor="text1"/>
              </w:rPr>
            </w:pPr>
            <w:r>
              <w:rPr>
                <w:rFonts w:cs="宋体"/>
                <w:color w:val="000000" w:themeColor="text1"/>
              </w:rPr>
              <w:t>—</w:t>
            </w:r>
          </w:p>
        </w:tc>
      </w:tr>
      <w:tr w:rsidR="00C861DA">
        <w:trPr>
          <w:trHeight w:val="397"/>
        </w:trPr>
        <w:tc>
          <w:tcPr>
            <w:tcW w:w="481" w:type="dxa"/>
            <w:vMerge/>
            <w:tcBorders>
              <w:left w:val="single" w:sz="2" w:space="0" w:color="000000"/>
              <w:bottom w:val="single" w:sz="2" w:space="0" w:color="000000"/>
              <w:right w:val="single" w:sz="2" w:space="0" w:color="000000"/>
            </w:tcBorders>
            <w:vAlign w:val="center"/>
          </w:tcPr>
          <w:p w:rsidR="00C861DA" w:rsidRDefault="00C861DA">
            <w:pPr>
              <w:jc w:val="center"/>
              <w:rPr>
                <w:rFonts w:ascii="Times New Roman" w:eastAsia="宋体"/>
                <w:color w:val="000000" w:themeColor="text1"/>
              </w:rPr>
            </w:pPr>
          </w:p>
        </w:tc>
        <w:tc>
          <w:tcPr>
            <w:tcW w:w="12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50"/>
              <w:ind w:right="2"/>
              <w:jc w:val="center"/>
              <w:rPr>
                <w:rFonts w:cs="宋体"/>
                <w:color w:val="000000" w:themeColor="text1"/>
              </w:rPr>
            </w:pPr>
            <w:r>
              <w:rPr>
                <w:rFonts w:cs="宋体"/>
                <w:color w:val="000000" w:themeColor="text1"/>
              </w:rPr>
              <w:t>环境风险</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50"/>
              <w:ind w:left="183"/>
              <w:jc w:val="center"/>
              <w:rPr>
                <w:rFonts w:cs="宋体"/>
                <w:color w:val="000000" w:themeColor="text1"/>
              </w:rPr>
            </w:pPr>
            <w:r>
              <w:rPr>
                <w:rFonts w:cs="宋体"/>
                <w:color w:val="000000" w:themeColor="text1"/>
              </w:rPr>
              <w:t>〇</w:t>
            </w:r>
          </w:p>
        </w:tc>
        <w:tc>
          <w:tcPr>
            <w:tcW w:w="72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50"/>
              <w:ind w:left="7"/>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50"/>
              <w:ind w:left="3"/>
              <w:jc w:val="center"/>
              <w:rPr>
                <w:rFonts w:cs="宋体"/>
                <w:color w:val="000000" w:themeColor="text1"/>
              </w:rPr>
            </w:pPr>
            <w:r>
              <w:rPr>
                <w:rFonts w:cs="宋体"/>
                <w:color w:val="000000" w:themeColor="text1"/>
              </w:rPr>
              <w:t>◎</w:t>
            </w:r>
          </w:p>
        </w:tc>
        <w:tc>
          <w:tcPr>
            <w:tcW w:w="73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50"/>
              <w:jc w:val="center"/>
              <w:rPr>
                <w:rFonts w:cs="宋体"/>
                <w:color w:val="000000" w:themeColor="text1"/>
              </w:rPr>
            </w:pPr>
            <w:r>
              <w:rPr>
                <w:rFonts w:cs="宋体"/>
                <w:color w:val="000000" w:themeColor="text1"/>
              </w:rPr>
              <w:t>—</w:t>
            </w:r>
          </w:p>
        </w:tc>
        <w:tc>
          <w:tcPr>
            <w:tcW w:w="73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50"/>
              <w:ind w:left="3"/>
              <w:jc w:val="center"/>
              <w:rPr>
                <w:rFonts w:cs="宋体"/>
                <w:color w:val="000000" w:themeColor="text1"/>
              </w:rPr>
            </w:pPr>
            <w:r>
              <w:rPr>
                <w:rFonts w:cs="宋体"/>
                <w:color w:val="000000" w:themeColor="text1"/>
              </w:rPr>
              <w:t>◎</w:t>
            </w:r>
          </w:p>
        </w:tc>
        <w:tc>
          <w:tcPr>
            <w:tcW w:w="72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50"/>
              <w:jc w:val="center"/>
              <w:rPr>
                <w:rFonts w:cs="宋体"/>
                <w:color w:val="000000" w:themeColor="text1"/>
              </w:rPr>
            </w:pPr>
            <w:r>
              <w:rPr>
                <w:rFonts w:cs="宋体"/>
                <w:color w:val="000000" w:themeColor="text1"/>
              </w:rPr>
              <w:t>—</w:t>
            </w:r>
          </w:p>
        </w:tc>
        <w:tc>
          <w:tcPr>
            <w:tcW w:w="74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50"/>
              <w:ind w:left="3"/>
              <w:jc w:val="center"/>
              <w:rPr>
                <w:rFonts w:cs="宋体"/>
                <w:color w:val="000000" w:themeColor="text1"/>
              </w:rPr>
            </w:pPr>
            <w:r>
              <w:rPr>
                <w:rFonts w:cs="宋体"/>
                <w:color w:val="000000" w:themeColor="text1"/>
              </w:rPr>
              <w:t>◎</w:t>
            </w:r>
          </w:p>
        </w:tc>
        <w:tc>
          <w:tcPr>
            <w:tcW w:w="72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50"/>
              <w:ind w:left="7"/>
              <w:jc w:val="center"/>
              <w:rPr>
                <w:rFonts w:cs="宋体"/>
                <w:color w:val="000000" w:themeColor="text1"/>
              </w:rPr>
            </w:pPr>
            <w:r>
              <w:rPr>
                <w:rFonts w:cs="宋体"/>
                <w:color w:val="000000" w:themeColor="text1"/>
              </w:rPr>
              <w:t>—</w:t>
            </w:r>
          </w:p>
        </w:tc>
        <w:tc>
          <w:tcPr>
            <w:tcW w:w="70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50"/>
              <w:ind w:left="7"/>
              <w:jc w:val="center"/>
              <w:rPr>
                <w:rFonts w:cs="宋体"/>
                <w:color w:val="000000" w:themeColor="text1"/>
              </w:rPr>
            </w:pPr>
            <w:r>
              <w:rPr>
                <w:rFonts w:cs="宋体"/>
                <w:color w:val="000000" w:themeColor="text1"/>
              </w:rPr>
              <w:t>—</w:t>
            </w:r>
          </w:p>
        </w:tc>
      </w:tr>
    </w:tbl>
    <w:p w:rsidR="00C861DA" w:rsidRDefault="0044752E">
      <w:pPr>
        <w:tabs>
          <w:tab w:val="left" w:pos="2320"/>
          <w:tab w:val="left" w:pos="3761"/>
          <w:tab w:val="left" w:pos="5201"/>
        </w:tabs>
        <w:spacing w:beforeLines="50" w:before="156" w:line="360" w:lineRule="auto"/>
        <w:ind w:firstLineChars="200" w:firstLine="420"/>
        <w:rPr>
          <w:rFonts w:ascii="Times New Roman" w:eastAsia="宋体" w:cs="宋体"/>
          <w:color w:val="000000" w:themeColor="text1"/>
        </w:rPr>
      </w:pPr>
      <w:bookmarkStart w:id="141" w:name="_Toc23786"/>
      <w:bookmarkStart w:id="142" w:name="_Toc18895"/>
      <w:bookmarkStart w:id="143" w:name="_Toc10833"/>
      <w:r>
        <w:rPr>
          <w:rFonts w:ascii="Times New Roman" w:eastAsia="宋体" w:cs="宋体"/>
          <w:color w:val="000000" w:themeColor="text1"/>
        </w:rPr>
        <w:t>注：</w:t>
      </w:r>
      <w:r>
        <w:rPr>
          <w:rFonts w:ascii="Times New Roman" w:eastAsia="宋体" w:cs="宋体"/>
          <w:color w:val="000000" w:themeColor="text1"/>
        </w:rPr>
        <w:t>●</w:t>
      </w:r>
      <w:r>
        <w:rPr>
          <w:rFonts w:ascii="Times New Roman" w:eastAsia="宋体" w:cs="宋体"/>
          <w:color w:val="000000" w:themeColor="text1"/>
        </w:rPr>
        <w:t>重大影响</w:t>
      </w:r>
      <w:r>
        <w:rPr>
          <w:rFonts w:ascii="Times New Roman" w:eastAsia="宋体" w:cs="宋体" w:hint="eastAsia"/>
          <w:color w:val="000000" w:themeColor="text1"/>
        </w:rPr>
        <w:t>；</w:t>
      </w:r>
      <w:r>
        <w:rPr>
          <w:rFonts w:ascii="Times New Roman" w:eastAsia="宋体" w:cs="宋体"/>
          <w:color w:val="000000" w:themeColor="text1"/>
        </w:rPr>
        <w:t>◎</w:t>
      </w:r>
      <w:r>
        <w:rPr>
          <w:rFonts w:ascii="Times New Roman" w:eastAsia="宋体" w:cs="宋体"/>
          <w:color w:val="000000" w:themeColor="text1"/>
        </w:rPr>
        <w:t>中度影响</w:t>
      </w:r>
      <w:r>
        <w:rPr>
          <w:rFonts w:ascii="Times New Roman" w:eastAsia="宋体" w:cs="宋体" w:hint="eastAsia"/>
          <w:color w:val="000000" w:themeColor="text1"/>
        </w:rPr>
        <w:t>；</w:t>
      </w:r>
      <w:r>
        <w:rPr>
          <w:rFonts w:ascii="Times New Roman" w:eastAsia="宋体" w:cs="宋体"/>
          <w:color w:val="000000" w:themeColor="text1"/>
        </w:rPr>
        <w:t>〇轻微影响</w:t>
      </w:r>
      <w:r>
        <w:rPr>
          <w:rFonts w:ascii="Times New Roman" w:eastAsia="宋体" w:cs="宋体" w:hint="eastAsia"/>
          <w:color w:val="000000" w:themeColor="text1"/>
        </w:rPr>
        <w:t>；</w:t>
      </w:r>
      <w:r>
        <w:rPr>
          <w:rFonts w:ascii="Times New Roman" w:eastAsia="宋体" w:cs="宋体"/>
          <w:color w:val="000000" w:themeColor="text1"/>
        </w:rPr>
        <w:t>一</w:t>
      </w:r>
      <w:r>
        <w:rPr>
          <w:rFonts w:ascii="Times New Roman" w:eastAsia="宋体" w:cs="宋体" w:hint="eastAsia"/>
          <w:color w:val="000000" w:themeColor="text1"/>
        </w:rPr>
        <w:t xml:space="preserve"> </w:t>
      </w:r>
      <w:r>
        <w:rPr>
          <w:rFonts w:ascii="Times New Roman" w:eastAsia="宋体" w:cs="宋体"/>
          <w:color w:val="000000" w:themeColor="text1"/>
        </w:rPr>
        <w:t>影响很小或无影响</w:t>
      </w:r>
      <w:r>
        <w:rPr>
          <w:rFonts w:ascii="Times New Roman" w:eastAsia="宋体" w:cs="宋体" w:hint="eastAsia"/>
          <w:color w:val="000000" w:themeColor="text1"/>
        </w:rPr>
        <w:t>；</w:t>
      </w:r>
      <w:r>
        <w:rPr>
          <w:rFonts w:ascii="Times New Roman" w:eastAsia="宋体" w:cs="宋体"/>
          <w:color w:val="000000" w:themeColor="text1"/>
        </w:rPr>
        <w:t>+</w:t>
      </w:r>
      <w:r>
        <w:rPr>
          <w:rFonts w:ascii="Times New Roman" w:eastAsia="宋体" w:cs="宋体" w:hint="eastAsia"/>
          <w:color w:val="000000" w:themeColor="text1"/>
        </w:rPr>
        <w:t xml:space="preserve"> </w:t>
      </w:r>
      <w:r>
        <w:rPr>
          <w:rFonts w:ascii="Times New Roman" w:eastAsia="宋体" w:cs="宋体"/>
          <w:color w:val="000000" w:themeColor="text1"/>
        </w:rPr>
        <w:t>为有利影响。</w:t>
      </w:r>
    </w:p>
    <w:bookmarkStart w:id="144" w:name="_Toc7038"/>
    <w:p w:rsidR="00C861DA" w:rsidRDefault="0044752E">
      <w:pPr>
        <w:pStyle w:val="32"/>
        <w:rPr>
          <w:rFonts w:ascii="Times New Roman" w:eastAsia="宋体"/>
          <w:b w:val="0"/>
          <w:bCs w:val="0"/>
          <w:color w:val="000000" w:themeColor="text1"/>
          <w:sz w:val="24"/>
          <w:szCs w:val="24"/>
        </w:rPr>
      </w:pPr>
      <w:r>
        <w:rPr>
          <w:rFonts w:ascii="Times New Roman" w:eastAsia="宋体" w:hint="eastAsia"/>
          <w:b w:val="0"/>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"_Toc512505405" </w:instrText>
      </w:r>
      <w:r>
        <w:rPr>
          <w:rFonts w:ascii="Times New Roman" w:eastAsia="宋体" w:hint="eastAsia"/>
          <w:b w:val="0"/>
          <w:bCs w:val="0"/>
          <w:color w:val="000000" w:themeColor="text1"/>
          <w:sz w:val="24"/>
          <w:szCs w:val="24"/>
        </w:rPr>
        <w:fldChar w:fldCharType="separate"/>
      </w:r>
      <w:bookmarkStart w:id="145" w:name="_Toc6826769"/>
      <w:r>
        <w:rPr>
          <w:rFonts w:ascii="Times New Roman" w:eastAsia="宋体" w:hint="eastAsia"/>
          <w:bCs w:val="0"/>
          <w:color w:val="000000" w:themeColor="text1"/>
          <w:sz w:val="24"/>
          <w:szCs w:val="24"/>
        </w:rPr>
        <w:t>2.4.2</w:t>
      </w:r>
      <w:r>
        <w:rPr>
          <w:rFonts w:ascii="Times New Roman" w:eastAsia="宋体" w:hint="eastAsia"/>
          <w:bCs w:val="0"/>
          <w:color w:val="000000" w:themeColor="text1"/>
          <w:sz w:val="24"/>
          <w:szCs w:val="24"/>
        </w:rPr>
        <w:t>评价因子筛选</w:t>
      </w:r>
      <w:bookmarkEnd w:id="145"/>
      <w:r>
        <w:rPr>
          <w:rFonts w:ascii="Times New Roman" w:eastAsia="宋体" w:hint="eastAsia"/>
          <w:b w:val="0"/>
          <w:bCs w:val="0"/>
          <w:color w:val="000000" w:themeColor="text1"/>
          <w:sz w:val="24"/>
          <w:szCs w:val="24"/>
        </w:rPr>
        <w:fldChar w:fldCharType="end"/>
      </w:r>
      <w:bookmarkEnd w:id="141"/>
      <w:bookmarkEnd w:id="142"/>
      <w:bookmarkEnd w:id="143"/>
      <w:bookmarkEnd w:id="144"/>
    </w:p>
    <w:p w:rsidR="00C861DA" w:rsidRDefault="0044752E">
      <w:pPr>
        <w:spacing w:line="360" w:lineRule="auto"/>
        <w:ind w:firstLineChars="200" w:firstLine="480"/>
        <w:rPr>
          <w:rFonts w:ascii="Times New Roman" w:eastAsia="宋体" w:cs="仿宋"/>
          <w:color w:val="000000" w:themeColor="text1"/>
          <w:sz w:val="24"/>
          <w:szCs w:val="24"/>
        </w:rPr>
      </w:pPr>
      <w:r>
        <w:rPr>
          <w:rFonts w:ascii="Times New Roman" w:eastAsia="宋体" w:cs="仿宋" w:hint="eastAsia"/>
          <w:color w:val="000000" w:themeColor="text1"/>
          <w:sz w:val="24"/>
          <w:szCs w:val="24"/>
        </w:rPr>
        <w:t>根据拟建项目开发行为特征和污染物排放特征，产生的污染物种类、数量及排放方式、所排污染物可能对环境的影响程度和范围及污染物在环境中迁移、转化特征，结合环境影响要素的识别和区域环境基本状况，筛选出拟建项目的评价因子。</w:t>
      </w:r>
    </w:p>
    <w:p w:rsidR="00C861DA" w:rsidRDefault="0044752E">
      <w:pPr>
        <w:spacing w:line="360" w:lineRule="auto"/>
        <w:jc w:val="center"/>
        <w:rPr>
          <w:rFonts w:ascii="Times New Roman" w:eastAsia="宋体" w:cs="仿宋"/>
          <w:b/>
          <w:color w:val="000000" w:themeColor="text1"/>
          <w:sz w:val="24"/>
          <w:szCs w:val="24"/>
        </w:rPr>
      </w:pPr>
      <w:r>
        <w:rPr>
          <w:rFonts w:ascii="Times New Roman" w:eastAsia="宋体" w:cs="仿宋" w:hint="eastAsia"/>
          <w:b/>
          <w:color w:val="000000" w:themeColor="text1"/>
          <w:sz w:val="24"/>
          <w:szCs w:val="24"/>
        </w:rPr>
        <w:t>表</w:t>
      </w:r>
      <w:r>
        <w:rPr>
          <w:rFonts w:ascii="Times New Roman" w:eastAsia="宋体" w:cs="仿宋" w:hint="eastAsia"/>
          <w:b/>
          <w:color w:val="000000" w:themeColor="text1"/>
          <w:sz w:val="24"/>
          <w:szCs w:val="24"/>
        </w:rPr>
        <w:t xml:space="preserve">2.4-2  </w:t>
      </w:r>
      <w:r>
        <w:rPr>
          <w:rFonts w:ascii="Times New Roman" w:eastAsia="宋体" w:cs="仿宋" w:hint="eastAsia"/>
          <w:b/>
          <w:color w:val="000000" w:themeColor="text1"/>
          <w:sz w:val="24"/>
          <w:szCs w:val="24"/>
        </w:rPr>
        <w:t>拟建项目环境评价因子</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4214"/>
        <w:gridCol w:w="2819"/>
      </w:tblGrid>
      <w:tr w:rsidR="00C861DA">
        <w:trPr>
          <w:trHeight w:val="397"/>
          <w:jc w:val="center"/>
        </w:trPr>
        <w:tc>
          <w:tcPr>
            <w:tcW w:w="1490"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b/>
                <w:bCs/>
                <w:color w:val="000000" w:themeColor="text1"/>
                <w:spacing w:val="0"/>
                <w:szCs w:val="21"/>
              </w:rPr>
            </w:pPr>
            <w:r>
              <w:rPr>
                <w:rFonts w:ascii="Times New Roman" w:eastAsia="宋体" w:cs="仿宋" w:hint="eastAsia"/>
                <w:b/>
                <w:bCs/>
                <w:color w:val="000000" w:themeColor="text1"/>
                <w:spacing w:val="0"/>
                <w:szCs w:val="21"/>
              </w:rPr>
              <w:t>评价内容</w:t>
            </w:r>
          </w:p>
        </w:tc>
        <w:tc>
          <w:tcPr>
            <w:tcW w:w="4214"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b/>
                <w:bCs/>
                <w:color w:val="000000" w:themeColor="text1"/>
                <w:spacing w:val="0"/>
                <w:szCs w:val="21"/>
                <w:highlight w:val="yellow"/>
              </w:rPr>
            </w:pPr>
            <w:r>
              <w:rPr>
                <w:rFonts w:ascii="Times New Roman" w:eastAsia="宋体" w:cs="仿宋" w:hint="eastAsia"/>
                <w:b/>
                <w:bCs/>
                <w:color w:val="000000" w:themeColor="text1"/>
                <w:spacing w:val="0"/>
                <w:szCs w:val="21"/>
              </w:rPr>
              <w:t>环境现状评价因子</w:t>
            </w:r>
          </w:p>
        </w:tc>
        <w:tc>
          <w:tcPr>
            <w:tcW w:w="2819"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b/>
                <w:bCs/>
                <w:color w:val="000000" w:themeColor="text1"/>
                <w:spacing w:val="0"/>
                <w:szCs w:val="21"/>
              </w:rPr>
            </w:pPr>
            <w:r>
              <w:rPr>
                <w:rFonts w:ascii="Times New Roman" w:eastAsia="宋体" w:cs="仿宋" w:hint="eastAsia"/>
                <w:b/>
                <w:bCs/>
                <w:color w:val="000000" w:themeColor="text1"/>
                <w:spacing w:val="0"/>
                <w:szCs w:val="21"/>
              </w:rPr>
              <w:t>影响评价因子</w:t>
            </w:r>
          </w:p>
        </w:tc>
      </w:tr>
      <w:tr w:rsidR="00C861DA">
        <w:trPr>
          <w:trHeight w:val="397"/>
          <w:jc w:val="center"/>
        </w:trPr>
        <w:tc>
          <w:tcPr>
            <w:tcW w:w="1490"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color w:val="000000" w:themeColor="text1"/>
                <w:spacing w:val="0"/>
                <w:szCs w:val="21"/>
              </w:rPr>
            </w:pPr>
            <w:r>
              <w:rPr>
                <w:rFonts w:ascii="Times New Roman" w:eastAsia="宋体" w:cs="仿宋" w:hint="eastAsia"/>
                <w:color w:val="000000" w:themeColor="text1"/>
                <w:spacing w:val="0"/>
                <w:szCs w:val="21"/>
              </w:rPr>
              <w:t>环境空气</w:t>
            </w:r>
          </w:p>
        </w:tc>
        <w:tc>
          <w:tcPr>
            <w:tcW w:w="4214"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color w:val="000000" w:themeColor="text1"/>
                <w:spacing w:val="0"/>
                <w:szCs w:val="21"/>
                <w:highlight w:val="yellow"/>
              </w:rPr>
            </w:pPr>
            <w:r>
              <w:rPr>
                <w:rFonts w:ascii="Times New Roman" w:eastAsia="宋体"/>
                <w:color w:val="000000" w:themeColor="text1"/>
                <w:szCs w:val="21"/>
              </w:rPr>
              <w:t>TSP</w:t>
            </w:r>
            <w:r>
              <w:rPr>
                <w:rFonts w:ascii="Times New Roman" w:eastAsia="宋体"/>
                <w:color w:val="000000" w:themeColor="text1"/>
                <w:szCs w:val="21"/>
              </w:rPr>
              <w:t>、</w:t>
            </w:r>
            <w:r>
              <w:rPr>
                <w:rFonts w:ascii="Times New Roman" w:eastAsia="宋体"/>
                <w:color w:val="000000" w:themeColor="text1"/>
                <w:szCs w:val="21"/>
              </w:rPr>
              <w:t>PM</w:t>
            </w:r>
            <w:r>
              <w:rPr>
                <w:rFonts w:ascii="Times New Roman" w:eastAsia="宋体"/>
                <w:color w:val="000000" w:themeColor="text1"/>
                <w:szCs w:val="21"/>
                <w:vertAlign w:val="subscript"/>
              </w:rPr>
              <w:t>10</w:t>
            </w:r>
            <w:r>
              <w:rPr>
                <w:rFonts w:ascii="Times New Roman" w:eastAsia="宋体"/>
                <w:color w:val="000000" w:themeColor="text1"/>
                <w:szCs w:val="21"/>
              </w:rPr>
              <w:t>、</w:t>
            </w:r>
            <w:r>
              <w:rPr>
                <w:rFonts w:ascii="Times New Roman" w:eastAsia="宋体" w:hint="eastAsia"/>
                <w:color w:val="000000" w:themeColor="text1"/>
                <w:szCs w:val="21"/>
              </w:rPr>
              <w:t>PM</w:t>
            </w:r>
            <w:r>
              <w:rPr>
                <w:rFonts w:ascii="Times New Roman" w:eastAsia="宋体"/>
                <w:color w:val="000000" w:themeColor="text1"/>
                <w:szCs w:val="21"/>
                <w:vertAlign w:val="subscript"/>
              </w:rPr>
              <w:t>2.5</w:t>
            </w:r>
            <w:r>
              <w:rPr>
                <w:rFonts w:ascii="Times New Roman" w:eastAsia="宋体" w:hint="eastAsia"/>
                <w:color w:val="000000" w:themeColor="text1"/>
                <w:szCs w:val="21"/>
              </w:rPr>
              <w:t>、</w:t>
            </w:r>
            <w:r>
              <w:rPr>
                <w:rFonts w:ascii="Times New Roman" w:eastAsia="宋体" w:hint="eastAsia"/>
                <w:color w:val="000000" w:themeColor="text1"/>
                <w:szCs w:val="21"/>
              </w:rPr>
              <w:t>O</w:t>
            </w:r>
            <w:r>
              <w:rPr>
                <w:rFonts w:ascii="Times New Roman" w:eastAsia="宋体"/>
                <w:color w:val="000000" w:themeColor="text1"/>
                <w:szCs w:val="21"/>
                <w:vertAlign w:val="subscript"/>
              </w:rPr>
              <w:t>3</w:t>
            </w:r>
            <w:r>
              <w:rPr>
                <w:rFonts w:ascii="Times New Roman" w:eastAsia="宋体" w:hint="eastAsia"/>
                <w:color w:val="000000" w:themeColor="text1"/>
                <w:szCs w:val="21"/>
              </w:rPr>
              <w:t>、</w:t>
            </w:r>
            <w:r>
              <w:rPr>
                <w:rFonts w:ascii="Times New Roman" w:eastAsia="宋体"/>
                <w:color w:val="000000" w:themeColor="text1"/>
                <w:szCs w:val="21"/>
              </w:rPr>
              <w:t>氨、</w:t>
            </w:r>
            <w:r>
              <w:rPr>
                <w:rFonts w:ascii="Times New Roman" w:eastAsia="宋体"/>
                <w:color w:val="000000" w:themeColor="text1"/>
                <w:szCs w:val="21"/>
              </w:rPr>
              <w:t>SO</w:t>
            </w:r>
            <w:r>
              <w:rPr>
                <w:rFonts w:ascii="Times New Roman" w:eastAsia="宋体"/>
                <w:color w:val="000000" w:themeColor="text1"/>
                <w:szCs w:val="21"/>
                <w:vertAlign w:val="subscript"/>
              </w:rPr>
              <w:t>2</w:t>
            </w:r>
            <w:r>
              <w:rPr>
                <w:rFonts w:ascii="Times New Roman" w:eastAsia="宋体"/>
                <w:color w:val="000000" w:themeColor="text1"/>
                <w:szCs w:val="21"/>
              </w:rPr>
              <w:t>、</w:t>
            </w:r>
            <w:r>
              <w:rPr>
                <w:rFonts w:ascii="Times New Roman" w:eastAsia="宋体"/>
                <w:color w:val="000000" w:themeColor="text1"/>
                <w:szCs w:val="21"/>
              </w:rPr>
              <w:t>NO</w:t>
            </w:r>
            <w:r>
              <w:rPr>
                <w:rFonts w:ascii="Times New Roman" w:eastAsia="宋体"/>
                <w:color w:val="000000" w:themeColor="text1"/>
                <w:szCs w:val="21"/>
                <w:vertAlign w:val="subscript"/>
              </w:rPr>
              <w:t>X</w:t>
            </w:r>
            <w:r>
              <w:rPr>
                <w:rFonts w:ascii="Times New Roman" w:eastAsia="宋体"/>
                <w:color w:val="000000" w:themeColor="text1"/>
                <w:szCs w:val="21"/>
              </w:rPr>
              <w:t>、氟化物</w:t>
            </w:r>
          </w:p>
        </w:tc>
        <w:tc>
          <w:tcPr>
            <w:tcW w:w="2819"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color w:val="000000" w:themeColor="text1"/>
                <w:spacing w:val="0"/>
                <w:szCs w:val="21"/>
              </w:rPr>
            </w:pPr>
            <w:r>
              <w:rPr>
                <w:rFonts w:ascii="Times New Roman" w:eastAsia="宋体" w:cs="仿宋" w:hint="eastAsia"/>
                <w:color w:val="000000" w:themeColor="text1"/>
                <w:spacing w:val="0"/>
                <w:szCs w:val="21"/>
              </w:rPr>
              <w:t>氨</w:t>
            </w:r>
          </w:p>
        </w:tc>
      </w:tr>
      <w:tr w:rsidR="00C861DA">
        <w:trPr>
          <w:trHeight w:val="397"/>
          <w:jc w:val="center"/>
        </w:trPr>
        <w:tc>
          <w:tcPr>
            <w:tcW w:w="1490"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color w:val="000000" w:themeColor="text1"/>
                <w:spacing w:val="0"/>
                <w:szCs w:val="21"/>
              </w:rPr>
            </w:pPr>
            <w:r>
              <w:rPr>
                <w:rFonts w:ascii="Times New Roman" w:eastAsia="宋体" w:cs="仿宋" w:hint="eastAsia"/>
                <w:color w:val="000000" w:themeColor="text1"/>
                <w:spacing w:val="0"/>
                <w:szCs w:val="21"/>
              </w:rPr>
              <w:t>地表水</w:t>
            </w:r>
          </w:p>
        </w:tc>
        <w:tc>
          <w:tcPr>
            <w:tcW w:w="4214"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color w:val="000000" w:themeColor="text1"/>
                <w:spacing w:val="0"/>
                <w:szCs w:val="21"/>
                <w:highlight w:val="yellow"/>
              </w:rPr>
            </w:pPr>
            <w:r>
              <w:rPr>
                <w:rFonts w:ascii="Times New Roman" w:eastAsia="宋体"/>
                <w:color w:val="000000" w:themeColor="text1"/>
                <w:szCs w:val="21"/>
              </w:rPr>
              <w:t>pH</w:t>
            </w:r>
            <w:r>
              <w:rPr>
                <w:rFonts w:ascii="Times New Roman" w:eastAsia="宋体"/>
                <w:color w:val="000000" w:themeColor="text1"/>
                <w:szCs w:val="21"/>
              </w:rPr>
              <w:t>、</w:t>
            </w:r>
            <w:r>
              <w:rPr>
                <w:rFonts w:ascii="Times New Roman" w:eastAsia="宋体"/>
                <w:color w:val="000000" w:themeColor="text1"/>
                <w:szCs w:val="21"/>
              </w:rPr>
              <w:t>COD</w:t>
            </w:r>
            <w:r>
              <w:rPr>
                <w:rFonts w:ascii="Times New Roman" w:eastAsia="宋体"/>
                <w:color w:val="000000" w:themeColor="text1"/>
                <w:szCs w:val="21"/>
                <w:vertAlign w:val="subscript"/>
              </w:rPr>
              <w:t>Cr</w:t>
            </w:r>
            <w:r>
              <w:rPr>
                <w:rFonts w:ascii="Times New Roman" w:eastAsia="宋体"/>
                <w:color w:val="000000" w:themeColor="text1"/>
                <w:szCs w:val="21"/>
              </w:rPr>
              <w:t>、</w:t>
            </w:r>
            <w:r>
              <w:rPr>
                <w:rFonts w:ascii="Times New Roman" w:eastAsia="宋体"/>
                <w:color w:val="000000" w:themeColor="text1"/>
                <w:szCs w:val="21"/>
              </w:rPr>
              <w:t>BOD</w:t>
            </w:r>
            <w:r>
              <w:rPr>
                <w:rFonts w:ascii="Times New Roman" w:eastAsia="宋体"/>
                <w:color w:val="000000" w:themeColor="text1"/>
                <w:szCs w:val="21"/>
                <w:vertAlign w:val="subscript"/>
              </w:rPr>
              <w:t>5</w:t>
            </w:r>
            <w:r>
              <w:rPr>
                <w:rFonts w:ascii="Times New Roman" w:eastAsia="宋体"/>
                <w:color w:val="000000" w:themeColor="text1"/>
                <w:szCs w:val="21"/>
              </w:rPr>
              <w:t>、氨氮、氟化物</w:t>
            </w:r>
          </w:p>
        </w:tc>
        <w:tc>
          <w:tcPr>
            <w:tcW w:w="2819" w:type="dxa"/>
            <w:vAlign w:val="center"/>
          </w:tcPr>
          <w:p w:rsidR="00C861DA" w:rsidRDefault="0044752E">
            <w:pPr>
              <w:pStyle w:val="affffffffffffffff5"/>
              <w:tabs>
                <w:tab w:val="left" w:pos="1021"/>
                <w:tab w:val="left" w:pos="1320"/>
              </w:tabs>
              <w:spacing w:line="240" w:lineRule="auto"/>
              <w:ind w:firstLineChars="0" w:firstLine="0"/>
              <w:rPr>
                <w:rFonts w:ascii="Times New Roman" w:eastAsia="宋体" w:cs="仿宋"/>
                <w:color w:val="000000" w:themeColor="text1"/>
                <w:spacing w:val="0"/>
                <w:szCs w:val="21"/>
              </w:rPr>
            </w:pPr>
            <w:r>
              <w:rPr>
                <w:rFonts w:ascii="Times New Roman" w:eastAsia="宋体"/>
                <w:color w:val="000000" w:themeColor="text1"/>
                <w:spacing w:val="0"/>
                <w:szCs w:val="21"/>
              </w:rPr>
              <w:t>COD</w:t>
            </w:r>
            <w:r>
              <w:rPr>
                <w:rFonts w:ascii="Times New Roman" w:eastAsia="宋体"/>
                <w:color w:val="000000" w:themeColor="text1"/>
                <w:spacing w:val="0"/>
                <w:szCs w:val="21"/>
                <w:vertAlign w:val="subscript"/>
              </w:rPr>
              <w:t>Cr</w:t>
            </w:r>
            <w:r>
              <w:rPr>
                <w:rFonts w:ascii="Times New Roman" w:eastAsia="宋体"/>
                <w:color w:val="000000" w:themeColor="text1"/>
                <w:spacing w:val="0"/>
                <w:szCs w:val="21"/>
              </w:rPr>
              <w:t>、</w:t>
            </w:r>
            <w:r>
              <w:rPr>
                <w:rFonts w:ascii="Times New Roman" w:eastAsia="宋体" w:cs="宋体"/>
                <w:color w:val="000000" w:themeColor="text1"/>
                <w:spacing w:val="0"/>
                <w:szCs w:val="21"/>
              </w:rPr>
              <w:t>BOD</w:t>
            </w:r>
            <w:r>
              <w:rPr>
                <w:rFonts w:ascii="Times New Roman" w:eastAsia="宋体" w:cs="宋体"/>
                <w:color w:val="000000" w:themeColor="text1"/>
                <w:spacing w:val="0"/>
                <w:szCs w:val="21"/>
                <w:vertAlign w:val="subscript"/>
              </w:rPr>
              <w:t>5</w:t>
            </w:r>
            <w:r>
              <w:rPr>
                <w:rFonts w:ascii="Times New Roman" w:eastAsia="宋体"/>
                <w:color w:val="000000" w:themeColor="text1"/>
                <w:spacing w:val="0"/>
                <w:szCs w:val="21"/>
              </w:rPr>
              <w:t>、氨氮、磷酸盐、石油类、悬浮物、</w:t>
            </w:r>
            <w:r>
              <w:rPr>
                <w:rFonts w:ascii="Times New Roman" w:eastAsia="宋体" w:hint="eastAsia"/>
                <w:color w:val="000000" w:themeColor="text1"/>
                <w:spacing w:val="0"/>
                <w:szCs w:val="21"/>
              </w:rPr>
              <w:t>氟化物</w:t>
            </w:r>
          </w:p>
        </w:tc>
      </w:tr>
      <w:tr w:rsidR="00C861DA">
        <w:trPr>
          <w:trHeight w:val="397"/>
          <w:jc w:val="center"/>
        </w:trPr>
        <w:tc>
          <w:tcPr>
            <w:tcW w:w="1490"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color w:val="000000" w:themeColor="text1"/>
                <w:spacing w:val="0"/>
                <w:szCs w:val="21"/>
              </w:rPr>
            </w:pPr>
            <w:r>
              <w:rPr>
                <w:rFonts w:ascii="Times New Roman" w:eastAsia="宋体" w:cs="仿宋" w:hint="eastAsia"/>
                <w:color w:val="000000" w:themeColor="text1"/>
                <w:spacing w:val="0"/>
                <w:szCs w:val="21"/>
              </w:rPr>
              <w:lastRenderedPageBreak/>
              <w:t>地下水</w:t>
            </w:r>
          </w:p>
        </w:tc>
        <w:tc>
          <w:tcPr>
            <w:tcW w:w="4214"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color w:val="000000" w:themeColor="text1"/>
                <w:spacing w:val="0"/>
                <w:szCs w:val="21"/>
                <w:highlight w:val="yellow"/>
              </w:rPr>
            </w:pPr>
            <w:r>
              <w:rPr>
                <w:rFonts w:ascii="Times New Roman" w:eastAsia="宋体"/>
                <w:color w:val="000000" w:themeColor="text1"/>
              </w:rPr>
              <w:t>K</w:t>
            </w:r>
            <w:r>
              <w:rPr>
                <w:rFonts w:ascii="Times New Roman" w:eastAsia="宋体"/>
                <w:color w:val="000000" w:themeColor="text1"/>
                <w:vertAlign w:val="superscript"/>
              </w:rPr>
              <w:t>+</w:t>
            </w:r>
            <w:r>
              <w:rPr>
                <w:rFonts w:ascii="Times New Roman" w:eastAsia="宋体"/>
                <w:color w:val="000000" w:themeColor="text1"/>
              </w:rPr>
              <w:t>、</w:t>
            </w:r>
            <w:r>
              <w:rPr>
                <w:rFonts w:ascii="Times New Roman" w:eastAsia="宋体"/>
                <w:color w:val="000000" w:themeColor="text1"/>
              </w:rPr>
              <w:t>Na</w:t>
            </w:r>
            <w:r>
              <w:rPr>
                <w:rFonts w:ascii="Times New Roman" w:eastAsia="宋体"/>
                <w:color w:val="000000" w:themeColor="text1"/>
                <w:vertAlign w:val="superscript"/>
              </w:rPr>
              <w:t>+</w:t>
            </w:r>
            <w:r>
              <w:rPr>
                <w:rFonts w:ascii="Times New Roman" w:eastAsia="宋体"/>
                <w:color w:val="000000" w:themeColor="text1"/>
              </w:rPr>
              <w:t>、</w:t>
            </w:r>
            <w:r>
              <w:rPr>
                <w:rFonts w:ascii="Times New Roman" w:eastAsia="宋体"/>
                <w:color w:val="000000" w:themeColor="text1"/>
              </w:rPr>
              <w:t>Ca</w:t>
            </w:r>
            <w:r>
              <w:rPr>
                <w:rFonts w:ascii="Times New Roman" w:eastAsia="宋体"/>
                <w:color w:val="000000" w:themeColor="text1"/>
                <w:vertAlign w:val="superscript"/>
              </w:rPr>
              <w:t>2+</w:t>
            </w:r>
            <w:r>
              <w:rPr>
                <w:rFonts w:ascii="Times New Roman" w:eastAsia="宋体"/>
                <w:color w:val="000000" w:themeColor="text1"/>
              </w:rPr>
              <w:t>、</w:t>
            </w:r>
            <w:r>
              <w:rPr>
                <w:rFonts w:ascii="Times New Roman" w:eastAsia="宋体"/>
                <w:color w:val="000000" w:themeColor="text1"/>
              </w:rPr>
              <w:t>Mg</w:t>
            </w:r>
            <w:r>
              <w:rPr>
                <w:rFonts w:ascii="Times New Roman" w:eastAsia="宋体"/>
                <w:color w:val="000000" w:themeColor="text1"/>
                <w:vertAlign w:val="superscript"/>
              </w:rPr>
              <w:t>2+</w:t>
            </w:r>
            <w:r>
              <w:rPr>
                <w:rFonts w:ascii="Times New Roman" w:eastAsia="宋体"/>
                <w:color w:val="000000" w:themeColor="text1"/>
              </w:rPr>
              <w:t>、</w:t>
            </w:r>
            <w:r>
              <w:rPr>
                <w:rFonts w:ascii="Times New Roman" w:eastAsia="宋体"/>
                <w:color w:val="000000" w:themeColor="text1"/>
              </w:rPr>
              <w:t>CO</w:t>
            </w:r>
            <w:r>
              <w:rPr>
                <w:rFonts w:ascii="Times New Roman" w:eastAsia="宋体"/>
                <w:color w:val="000000" w:themeColor="text1"/>
                <w:vertAlign w:val="subscript"/>
              </w:rPr>
              <w:t>3</w:t>
            </w:r>
            <w:r>
              <w:rPr>
                <w:rFonts w:ascii="Times New Roman" w:eastAsia="宋体"/>
                <w:color w:val="000000" w:themeColor="text1"/>
                <w:vertAlign w:val="superscript"/>
              </w:rPr>
              <w:t>2-</w:t>
            </w:r>
            <w:r>
              <w:rPr>
                <w:rFonts w:ascii="Times New Roman" w:eastAsia="宋体"/>
                <w:color w:val="000000" w:themeColor="text1"/>
              </w:rPr>
              <w:t>、</w:t>
            </w:r>
            <w:r>
              <w:rPr>
                <w:rFonts w:ascii="Times New Roman" w:eastAsia="宋体"/>
                <w:color w:val="000000" w:themeColor="text1"/>
              </w:rPr>
              <w:t>HCO</w:t>
            </w:r>
            <w:r>
              <w:rPr>
                <w:rFonts w:ascii="Times New Roman" w:eastAsia="宋体"/>
                <w:color w:val="000000" w:themeColor="text1"/>
                <w:vertAlign w:val="subscript"/>
              </w:rPr>
              <w:t>3</w:t>
            </w:r>
            <w:r>
              <w:rPr>
                <w:rFonts w:ascii="Times New Roman" w:eastAsia="宋体"/>
                <w:color w:val="000000" w:themeColor="text1"/>
                <w:vertAlign w:val="superscript"/>
              </w:rPr>
              <w:t>-</w:t>
            </w:r>
            <w:r>
              <w:rPr>
                <w:rFonts w:ascii="Times New Roman" w:eastAsia="宋体"/>
                <w:color w:val="000000" w:themeColor="text1"/>
              </w:rPr>
              <w:t>、</w:t>
            </w:r>
            <w:r>
              <w:rPr>
                <w:rFonts w:ascii="Times New Roman" w:eastAsia="宋体"/>
                <w:color w:val="000000" w:themeColor="text1"/>
              </w:rPr>
              <w:t>Cl</w:t>
            </w:r>
            <w:r>
              <w:rPr>
                <w:rFonts w:ascii="Times New Roman" w:eastAsia="宋体"/>
                <w:color w:val="000000" w:themeColor="text1"/>
                <w:vertAlign w:val="superscript"/>
              </w:rPr>
              <w:t>-</w:t>
            </w:r>
            <w:r>
              <w:rPr>
                <w:rFonts w:ascii="Times New Roman" w:eastAsia="宋体"/>
                <w:color w:val="000000" w:themeColor="text1"/>
              </w:rPr>
              <w:t>(</w:t>
            </w:r>
            <w:r>
              <w:rPr>
                <w:rFonts w:ascii="Times New Roman" w:eastAsia="宋体"/>
                <w:color w:val="000000" w:themeColor="text1"/>
              </w:rPr>
              <w:t>氯化物</w:t>
            </w:r>
            <w:r>
              <w:rPr>
                <w:rFonts w:ascii="Times New Roman" w:eastAsia="宋体"/>
                <w:color w:val="000000" w:themeColor="text1"/>
              </w:rPr>
              <w:t>)</w:t>
            </w:r>
            <w:r>
              <w:rPr>
                <w:rFonts w:ascii="Times New Roman" w:eastAsia="宋体"/>
                <w:color w:val="000000" w:themeColor="text1"/>
              </w:rPr>
              <w:t>、</w:t>
            </w:r>
            <w:r>
              <w:rPr>
                <w:rFonts w:ascii="Times New Roman" w:eastAsia="宋体"/>
                <w:color w:val="000000" w:themeColor="text1"/>
              </w:rPr>
              <w:t>SO</w:t>
            </w:r>
            <w:r>
              <w:rPr>
                <w:rFonts w:ascii="Times New Roman" w:eastAsia="宋体"/>
                <w:color w:val="000000" w:themeColor="text1"/>
                <w:vertAlign w:val="subscript"/>
              </w:rPr>
              <w:t>4</w:t>
            </w:r>
            <w:r>
              <w:rPr>
                <w:rFonts w:ascii="Times New Roman" w:eastAsia="宋体"/>
                <w:color w:val="000000" w:themeColor="text1"/>
                <w:vertAlign w:val="superscript"/>
              </w:rPr>
              <w:t>2-</w:t>
            </w:r>
            <w:r>
              <w:rPr>
                <w:rFonts w:ascii="Times New Roman" w:eastAsia="宋体"/>
                <w:color w:val="000000" w:themeColor="text1"/>
              </w:rPr>
              <w:t>(</w:t>
            </w:r>
            <w:r>
              <w:rPr>
                <w:rFonts w:ascii="Times New Roman" w:eastAsia="宋体"/>
                <w:color w:val="000000" w:themeColor="text1"/>
              </w:rPr>
              <w:t>硫酸盐</w:t>
            </w:r>
            <w:r>
              <w:rPr>
                <w:rFonts w:ascii="Times New Roman" w:eastAsia="宋体"/>
                <w:color w:val="000000" w:themeColor="text1"/>
              </w:rPr>
              <w:t>)</w:t>
            </w:r>
            <w:r>
              <w:rPr>
                <w:rFonts w:ascii="Times New Roman" w:eastAsia="宋体"/>
                <w:color w:val="000000" w:themeColor="text1"/>
              </w:rPr>
              <w:t>、</w:t>
            </w:r>
            <w:r>
              <w:rPr>
                <w:rFonts w:ascii="Times New Roman" w:eastAsia="宋体"/>
                <w:color w:val="000000" w:themeColor="text1"/>
              </w:rPr>
              <w:t>pH</w:t>
            </w:r>
            <w:r>
              <w:rPr>
                <w:rFonts w:ascii="Times New Roman" w:eastAsia="宋体"/>
                <w:color w:val="000000" w:themeColor="text1"/>
              </w:rPr>
              <w:t>、总硬度、溶解性总固体、高锰酸盐指数、氨氮、硝酸盐、亚硝酸盐、氰化物、挥发性酚类、铁、锰、汞、砷、铅、氟、镉、六价铬、细菌总数、总大肠杆菌群</w:t>
            </w:r>
          </w:p>
        </w:tc>
        <w:tc>
          <w:tcPr>
            <w:tcW w:w="2819" w:type="dxa"/>
            <w:vAlign w:val="center"/>
          </w:tcPr>
          <w:p w:rsidR="00C861DA" w:rsidRDefault="0044752E">
            <w:pPr>
              <w:pStyle w:val="affffffffffffffff5"/>
              <w:tabs>
                <w:tab w:val="left" w:pos="1021"/>
                <w:tab w:val="left" w:pos="1320"/>
              </w:tabs>
              <w:spacing w:line="240" w:lineRule="auto"/>
              <w:ind w:firstLineChars="0" w:firstLine="0"/>
              <w:rPr>
                <w:rFonts w:ascii="Times New Roman" w:eastAsia="宋体" w:cs="仿宋"/>
                <w:color w:val="000000" w:themeColor="text1"/>
                <w:spacing w:val="0"/>
                <w:szCs w:val="21"/>
              </w:rPr>
            </w:pPr>
            <w:r>
              <w:rPr>
                <w:rFonts w:ascii="Times New Roman" w:eastAsia="宋体"/>
                <w:color w:val="000000" w:themeColor="text1"/>
                <w:spacing w:val="0"/>
                <w:szCs w:val="21"/>
              </w:rPr>
              <w:t>pH</w:t>
            </w:r>
            <w:r>
              <w:rPr>
                <w:rFonts w:ascii="Times New Roman" w:eastAsia="宋体"/>
                <w:color w:val="000000" w:themeColor="text1"/>
                <w:spacing w:val="0"/>
                <w:szCs w:val="21"/>
              </w:rPr>
              <w:t>、高锰酸盐指数、</w:t>
            </w:r>
            <w:r>
              <w:rPr>
                <w:rFonts w:ascii="Times New Roman" w:eastAsia="宋体" w:hint="eastAsia"/>
                <w:color w:val="000000" w:themeColor="text1"/>
                <w:spacing w:val="0"/>
                <w:szCs w:val="21"/>
              </w:rPr>
              <w:t>氨氮</w:t>
            </w:r>
            <w:r>
              <w:rPr>
                <w:rFonts w:ascii="Times New Roman" w:eastAsia="宋体"/>
                <w:color w:val="000000" w:themeColor="text1"/>
                <w:spacing w:val="0"/>
                <w:szCs w:val="21"/>
              </w:rPr>
              <w:t>、氟化物、</w:t>
            </w:r>
            <w:r>
              <w:rPr>
                <w:rFonts w:ascii="Times New Roman" w:eastAsia="宋体" w:hint="eastAsia"/>
                <w:color w:val="000000" w:themeColor="text1"/>
                <w:spacing w:val="0"/>
                <w:szCs w:val="21"/>
              </w:rPr>
              <w:t>石油类</w:t>
            </w:r>
          </w:p>
        </w:tc>
      </w:tr>
      <w:tr w:rsidR="00C861DA">
        <w:trPr>
          <w:trHeight w:val="397"/>
          <w:jc w:val="center"/>
        </w:trPr>
        <w:tc>
          <w:tcPr>
            <w:tcW w:w="1490"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color w:val="000000" w:themeColor="text1"/>
                <w:spacing w:val="0"/>
                <w:szCs w:val="21"/>
              </w:rPr>
            </w:pPr>
            <w:r>
              <w:rPr>
                <w:rFonts w:ascii="Times New Roman" w:eastAsia="宋体" w:cs="仿宋" w:hint="eastAsia"/>
                <w:color w:val="000000" w:themeColor="text1"/>
                <w:spacing w:val="0"/>
                <w:szCs w:val="21"/>
              </w:rPr>
              <w:t>声环境</w:t>
            </w:r>
          </w:p>
        </w:tc>
        <w:tc>
          <w:tcPr>
            <w:tcW w:w="4214"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color w:val="000000" w:themeColor="text1"/>
                <w:spacing w:val="0"/>
                <w:szCs w:val="21"/>
              </w:rPr>
            </w:pPr>
            <w:r>
              <w:rPr>
                <w:rFonts w:ascii="Times New Roman" w:eastAsia="宋体" w:cs="仿宋" w:hint="eastAsia"/>
                <w:color w:val="000000" w:themeColor="text1"/>
                <w:spacing w:val="0"/>
                <w:szCs w:val="21"/>
              </w:rPr>
              <w:t>Leq</w:t>
            </w:r>
            <w:r>
              <w:rPr>
                <w:rFonts w:ascii="Times New Roman" w:eastAsia="宋体" w:cs="仿宋" w:hint="eastAsia"/>
                <w:color w:val="000000" w:themeColor="text1"/>
                <w:spacing w:val="0"/>
                <w:szCs w:val="21"/>
              </w:rPr>
              <w:t>（</w:t>
            </w:r>
            <w:r>
              <w:rPr>
                <w:rFonts w:ascii="Times New Roman" w:eastAsia="宋体" w:cs="仿宋" w:hint="eastAsia"/>
                <w:color w:val="000000" w:themeColor="text1"/>
                <w:spacing w:val="0"/>
                <w:szCs w:val="21"/>
              </w:rPr>
              <w:t>A</w:t>
            </w:r>
            <w:r>
              <w:rPr>
                <w:rFonts w:ascii="Times New Roman" w:eastAsia="宋体" w:cs="仿宋" w:hint="eastAsia"/>
                <w:color w:val="000000" w:themeColor="text1"/>
                <w:spacing w:val="0"/>
                <w:szCs w:val="21"/>
              </w:rPr>
              <w:t>）</w:t>
            </w:r>
          </w:p>
        </w:tc>
        <w:tc>
          <w:tcPr>
            <w:tcW w:w="2819"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color w:val="000000" w:themeColor="text1"/>
                <w:spacing w:val="0"/>
                <w:szCs w:val="21"/>
              </w:rPr>
            </w:pPr>
            <w:r>
              <w:rPr>
                <w:rFonts w:ascii="Times New Roman" w:eastAsia="宋体" w:cs="仿宋" w:hint="eastAsia"/>
                <w:color w:val="000000" w:themeColor="text1"/>
                <w:spacing w:val="0"/>
                <w:szCs w:val="21"/>
              </w:rPr>
              <w:t>Leq</w:t>
            </w:r>
            <w:r>
              <w:rPr>
                <w:rFonts w:ascii="Times New Roman" w:eastAsia="宋体" w:cs="仿宋" w:hint="eastAsia"/>
                <w:color w:val="000000" w:themeColor="text1"/>
                <w:spacing w:val="0"/>
                <w:szCs w:val="21"/>
              </w:rPr>
              <w:t>（</w:t>
            </w:r>
            <w:r>
              <w:rPr>
                <w:rFonts w:ascii="Times New Roman" w:eastAsia="宋体" w:cs="仿宋" w:hint="eastAsia"/>
                <w:color w:val="000000" w:themeColor="text1"/>
                <w:spacing w:val="0"/>
                <w:szCs w:val="21"/>
              </w:rPr>
              <w:t>A</w:t>
            </w:r>
            <w:r>
              <w:rPr>
                <w:rFonts w:ascii="Times New Roman" w:eastAsia="宋体" w:cs="仿宋" w:hint="eastAsia"/>
                <w:color w:val="000000" w:themeColor="text1"/>
                <w:spacing w:val="0"/>
                <w:szCs w:val="21"/>
              </w:rPr>
              <w:t>）</w:t>
            </w:r>
          </w:p>
        </w:tc>
      </w:tr>
      <w:tr w:rsidR="00C861DA">
        <w:trPr>
          <w:trHeight w:val="397"/>
          <w:jc w:val="center"/>
        </w:trPr>
        <w:tc>
          <w:tcPr>
            <w:tcW w:w="1490"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color w:val="000000" w:themeColor="text1"/>
                <w:spacing w:val="0"/>
                <w:szCs w:val="21"/>
              </w:rPr>
            </w:pPr>
            <w:r>
              <w:rPr>
                <w:rFonts w:ascii="Times New Roman" w:eastAsia="宋体" w:cs="仿宋" w:hint="eastAsia"/>
                <w:color w:val="000000" w:themeColor="text1"/>
                <w:spacing w:val="0"/>
                <w:szCs w:val="21"/>
              </w:rPr>
              <w:t>土壤</w:t>
            </w:r>
          </w:p>
        </w:tc>
        <w:tc>
          <w:tcPr>
            <w:tcW w:w="4214"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color w:val="000000" w:themeColor="text1"/>
                <w:spacing w:val="0"/>
                <w:szCs w:val="21"/>
              </w:rPr>
            </w:pPr>
            <w:r>
              <w:rPr>
                <w:rFonts w:ascii="Times New Roman" w:eastAsia="宋体" w:hint="eastAsia"/>
                <w:bCs/>
                <w:color w:val="000000" w:themeColor="text1"/>
                <w:spacing w:val="0"/>
                <w:kern w:val="44"/>
                <w:szCs w:val="21"/>
              </w:rPr>
              <w:t>pH</w:t>
            </w:r>
            <w:r>
              <w:rPr>
                <w:rFonts w:ascii="Times New Roman" w:eastAsia="宋体" w:hint="eastAsia"/>
                <w:bCs/>
                <w:color w:val="000000" w:themeColor="text1"/>
                <w:spacing w:val="0"/>
                <w:kern w:val="44"/>
                <w:szCs w:val="21"/>
              </w:rPr>
              <w:t>、砷、铬、铅、锌、镉、铜、镍、汞</w:t>
            </w:r>
          </w:p>
        </w:tc>
        <w:tc>
          <w:tcPr>
            <w:tcW w:w="2819"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color w:val="000000" w:themeColor="text1"/>
                <w:spacing w:val="0"/>
                <w:szCs w:val="21"/>
              </w:rPr>
            </w:pPr>
            <w:r>
              <w:rPr>
                <w:rFonts w:ascii="Times New Roman" w:eastAsia="宋体" w:cs="仿宋" w:hint="eastAsia"/>
                <w:color w:val="000000" w:themeColor="text1"/>
                <w:spacing w:val="0"/>
                <w:szCs w:val="21"/>
              </w:rPr>
              <w:t>/</w:t>
            </w:r>
          </w:p>
        </w:tc>
      </w:tr>
      <w:tr w:rsidR="00C861DA">
        <w:trPr>
          <w:trHeight w:val="397"/>
          <w:jc w:val="center"/>
        </w:trPr>
        <w:tc>
          <w:tcPr>
            <w:tcW w:w="1490"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color w:val="000000" w:themeColor="text1"/>
                <w:spacing w:val="0"/>
                <w:szCs w:val="21"/>
              </w:rPr>
            </w:pPr>
            <w:r>
              <w:rPr>
                <w:rFonts w:ascii="Times New Roman" w:eastAsia="宋体" w:cs="仿宋" w:hint="eastAsia"/>
                <w:color w:val="000000" w:themeColor="text1"/>
                <w:spacing w:val="0"/>
                <w:szCs w:val="21"/>
              </w:rPr>
              <w:t>环境风险</w:t>
            </w:r>
          </w:p>
        </w:tc>
        <w:tc>
          <w:tcPr>
            <w:tcW w:w="4214"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bCs/>
                <w:color w:val="000000" w:themeColor="text1"/>
                <w:spacing w:val="0"/>
                <w:kern w:val="44"/>
                <w:szCs w:val="21"/>
              </w:rPr>
            </w:pPr>
            <w:r>
              <w:rPr>
                <w:rFonts w:ascii="Times New Roman" w:eastAsia="宋体" w:hint="eastAsia"/>
                <w:bCs/>
                <w:color w:val="000000" w:themeColor="text1"/>
                <w:spacing w:val="0"/>
                <w:kern w:val="44"/>
                <w:szCs w:val="21"/>
              </w:rPr>
              <w:t>/</w:t>
            </w:r>
          </w:p>
        </w:tc>
        <w:tc>
          <w:tcPr>
            <w:tcW w:w="2819" w:type="dxa"/>
            <w:vAlign w:val="center"/>
          </w:tcPr>
          <w:p w:rsidR="00C861DA" w:rsidRDefault="0044752E">
            <w:pPr>
              <w:pStyle w:val="affffffffffffffff5"/>
              <w:tabs>
                <w:tab w:val="left" w:pos="1021"/>
                <w:tab w:val="left" w:pos="1320"/>
              </w:tabs>
              <w:spacing w:line="240" w:lineRule="auto"/>
              <w:ind w:firstLineChars="0" w:firstLine="0"/>
              <w:jc w:val="center"/>
              <w:rPr>
                <w:rFonts w:ascii="Times New Roman" w:eastAsia="宋体" w:cs="仿宋"/>
                <w:color w:val="000000" w:themeColor="text1"/>
                <w:spacing w:val="0"/>
                <w:szCs w:val="21"/>
              </w:rPr>
            </w:pPr>
            <w:r>
              <w:rPr>
                <w:rFonts w:ascii="Times New Roman" w:eastAsia="宋体" w:cs="仿宋" w:hint="eastAsia"/>
                <w:color w:val="000000" w:themeColor="text1"/>
                <w:spacing w:val="0"/>
                <w:szCs w:val="21"/>
              </w:rPr>
              <w:t>氨、硝酸、硝酸铵</w:t>
            </w:r>
          </w:p>
        </w:tc>
      </w:tr>
    </w:tbl>
    <w:bookmarkStart w:id="146" w:name="_Toc20363"/>
    <w:bookmarkStart w:id="147" w:name="_Toc5935"/>
    <w:bookmarkStart w:id="148" w:name="_Toc26127"/>
    <w:bookmarkStart w:id="149" w:name="_Toc12131"/>
    <w:p w:rsidR="00C861DA" w:rsidRDefault="0044752E">
      <w:pPr>
        <w:pStyle w:val="22"/>
        <w:rPr>
          <w:rFonts w:ascii="Times New Roman" w:eastAsia="宋体" w:hAnsi="Times New Roman"/>
          <w:bCs w:val="0"/>
          <w:color w:val="000000" w:themeColor="text1"/>
          <w:sz w:val="28"/>
          <w:szCs w:val="28"/>
        </w:rPr>
      </w:pPr>
      <w:r>
        <w:rPr>
          <w:rFonts w:ascii="Times New Roman" w:eastAsia="宋体" w:hAnsi="Times New Roman" w:hint="eastAsia"/>
          <w:bCs w:val="0"/>
          <w:color w:val="000000" w:themeColor="text1"/>
          <w:sz w:val="28"/>
          <w:szCs w:val="28"/>
        </w:rPr>
        <w:fldChar w:fldCharType="begin"/>
      </w:r>
      <w:r>
        <w:rPr>
          <w:rFonts w:ascii="Times New Roman" w:eastAsia="宋体" w:hAnsi="Times New Roman" w:hint="eastAsia"/>
          <w:bCs w:val="0"/>
          <w:color w:val="000000" w:themeColor="text1"/>
          <w:sz w:val="28"/>
          <w:szCs w:val="28"/>
        </w:rPr>
        <w:instrText xml:space="preserve"> HYPERLINK \l "_Toc512505406" </w:instrText>
      </w:r>
      <w:r>
        <w:rPr>
          <w:rFonts w:ascii="Times New Roman" w:eastAsia="宋体" w:hAnsi="Times New Roman" w:hint="eastAsia"/>
          <w:bCs w:val="0"/>
          <w:color w:val="000000" w:themeColor="text1"/>
          <w:sz w:val="28"/>
          <w:szCs w:val="28"/>
        </w:rPr>
        <w:fldChar w:fldCharType="separate"/>
      </w:r>
      <w:bookmarkStart w:id="150" w:name="_Toc6826770"/>
      <w:r>
        <w:rPr>
          <w:rFonts w:ascii="Times New Roman" w:eastAsia="宋体" w:hAnsi="Times New Roman" w:hint="eastAsia"/>
          <w:bCs w:val="0"/>
          <w:color w:val="000000" w:themeColor="text1"/>
          <w:sz w:val="28"/>
          <w:szCs w:val="28"/>
        </w:rPr>
        <w:t>2.5</w:t>
      </w:r>
      <w:r>
        <w:rPr>
          <w:rFonts w:ascii="Times New Roman" w:eastAsia="宋体" w:hAnsi="Times New Roman" w:hint="eastAsia"/>
          <w:bCs w:val="0"/>
          <w:color w:val="000000" w:themeColor="text1"/>
          <w:sz w:val="28"/>
          <w:szCs w:val="28"/>
        </w:rPr>
        <w:t>评价标准</w:t>
      </w:r>
      <w:bookmarkEnd w:id="150"/>
      <w:r>
        <w:rPr>
          <w:rFonts w:ascii="Times New Roman" w:eastAsia="宋体" w:hAnsi="Times New Roman" w:hint="eastAsia"/>
          <w:bCs w:val="0"/>
          <w:color w:val="000000" w:themeColor="text1"/>
          <w:sz w:val="28"/>
          <w:szCs w:val="28"/>
        </w:rPr>
        <w:fldChar w:fldCharType="end"/>
      </w:r>
      <w:bookmarkEnd w:id="146"/>
      <w:bookmarkEnd w:id="147"/>
      <w:bookmarkEnd w:id="148"/>
      <w:bookmarkEnd w:id="149"/>
    </w:p>
    <w:bookmarkStart w:id="151" w:name="_Toc27167"/>
    <w:bookmarkStart w:id="152" w:name="_Toc14568"/>
    <w:bookmarkStart w:id="153" w:name="_Toc39"/>
    <w:bookmarkStart w:id="154" w:name="_Toc29977"/>
    <w:p w:rsidR="00C861DA" w:rsidRDefault="0044752E">
      <w:pPr>
        <w:pStyle w:val="32"/>
        <w:rPr>
          <w:rFonts w:ascii="Times New Roman" w:eastAsia="宋体"/>
          <w:b w:val="0"/>
          <w:bCs w:val="0"/>
          <w:color w:val="000000" w:themeColor="text1"/>
          <w:sz w:val="24"/>
          <w:szCs w:val="24"/>
        </w:rPr>
      </w:pPr>
      <w:r>
        <w:rPr>
          <w:rFonts w:ascii="Times New Roman" w:eastAsia="宋体" w:hint="eastAsia"/>
          <w:b w:val="0"/>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w:instrText>
      </w:r>
      <w:r>
        <w:rPr>
          <w:rFonts w:ascii="Times New Roman" w:eastAsia="宋体" w:hint="eastAsia"/>
          <w:bCs w:val="0"/>
          <w:color w:val="000000" w:themeColor="text1"/>
          <w:sz w:val="24"/>
          <w:szCs w:val="24"/>
        </w:rPr>
        <w:instrText xml:space="preserve">_Toc512505407" </w:instrText>
      </w:r>
      <w:r>
        <w:rPr>
          <w:rFonts w:ascii="Times New Roman" w:eastAsia="宋体" w:hint="eastAsia"/>
          <w:b w:val="0"/>
          <w:bCs w:val="0"/>
          <w:color w:val="000000" w:themeColor="text1"/>
          <w:sz w:val="24"/>
          <w:szCs w:val="24"/>
        </w:rPr>
        <w:fldChar w:fldCharType="separate"/>
      </w:r>
      <w:bookmarkStart w:id="155" w:name="_Toc6826771"/>
      <w:r>
        <w:rPr>
          <w:rFonts w:ascii="Times New Roman" w:eastAsia="宋体" w:hint="eastAsia"/>
          <w:bCs w:val="0"/>
          <w:color w:val="000000" w:themeColor="text1"/>
          <w:sz w:val="24"/>
          <w:szCs w:val="24"/>
        </w:rPr>
        <w:t>2.5.1</w:t>
      </w:r>
      <w:r>
        <w:rPr>
          <w:rFonts w:ascii="Times New Roman" w:eastAsia="宋体" w:hint="eastAsia"/>
          <w:bCs w:val="0"/>
          <w:color w:val="000000" w:themeColor="text1"/>
          <w:sz w:val="24"/>
          <w:szCs w:val="24"/>
        </w:rPr>
        <w:t>环境质量标准</w:t>
      </w:r>
      <w:bookmarkEnd w:id="155"/>
      <w:r>
        <w:rPr>
          <w:rFonts w:ascii="Times New Roman" w:eastAsia="宋体" w:hint="eastAsia"/>
          <w:b w:val="0"/>
          <w:bCs w:val="0"/>
          <w:color w:val="000000" w:themeColor="text1"/>
          <w:sz w:val="24"/>
          <w:szCs w:val="24"/>
        </w:rPr>
        <w:fldChar w:fldCharType="end"/>
      </w:r>
      <w:bookmarkEnd w:id="151"/>
      <w:bookmarkEnd w:id="152"/>
      <w:bookmarkEnd w:id="153"/>
      <w:bookmarkEnd w:id="154"/>
    </w:p>
    <w:p w:rsidR="00C861DA" w:rsidRDefault="0044752E">
      <w:pPr>
        <w:pStyle w:val="af1"/>
        <w:snapToGrid w:val="0"/>
        <w:spacing w:line="360" w:lineRule="auto"/>
        <w:ind w:firstLineChars="200" w:firstLine="482"/>
        <w:jc w:val="both"/>
        <w:rPr>
          <w:rFonts w:ascii="Times New Roman" w:eastAsia="宋体"/>
          <w:b/>
          <w:color w:val="000000" w:themeColor="text1"/>
          <w:sz w:val="24"/>
          <w:szCs w:val="24"/>
        </w:rPr>
      </w:pPr>
      <w:r>
        <w:rPr>
          <w:rFonts w:ascii="Times New Roman" w:eastAsia="宋体"/>
          <w:b/>
          <w:color w:val="000000" w:themeColor="text1"/>
          <w:sz w:val="24"/>
          <w:szCs w:val="24"/>
        </w:rPr>
        <w:t>（</w:t>
      </w:r>
      <w:r>
        <w:rPr>
          <w:rFonts w:ascii="Times New Roman" w:eastAsia="宋体"/>
          <w:b/>
          <w:color w:val="000000" w:themeColor="text1"/>
          <w:sz w:val="24"/>
          <w:szCs w:val="24"/>
        </w:rPr>
        <w:t>1</w:t>
      </w:r>
      <w:r>
        <w:rPr>
          <w:rFonts w:ascii="Times New Roman" w:eastAsia="宋体"/>
          <w:b/>
          <w:color w:val="000000" w:themeColor="text1"/>
          <w:sz w:val="24"/>
          <w:szCs w:val="24"/>
        </w:rPr>
        <w:t>）大气环境质量标准</w:t>
      </w:r>
    </w:p>
    <w:p w:rsidR="00C861DA" w:rsidRDefault="0044752E">
      <w:pPr>
        <w:pStyle w:val="af1"/>
        <w:snapToGrid w:val="0"/>
        <w:spacing w:line="360" w:lineRule="auto"/>
        <w:ind w:firstLineChars="200" w:firstLine="480"/>
        <w:jc w:val="both"/>
        <w:rPr>
          <w:rFonts w:ascii="Times New Roman" w:eastAsia="宋体"/>
          <w:color w:val="000000" w:themeColor="text1"/>
          <w:sz w:val="24"/>
          <w:szCs w:val="24"/>
        </w:rPr>
      </w:pPr>
      <w:r>
        <w:rPr>
          <w:rFonts w:ascii="Times New Roman" w:eastAsia="宋体"/>
          <w:color w:val="000000" w:themeColor="text1"/>
          <w:sz w:val="24"/>
          <w:szCs w:val="24"/>
        </w:rPr>
        <w:t>本项目位于昆明安宁市安宁工业园区，根据《云南省环境空气质量功能区划分（复审）》，评价区环境大气功能区属二类区，评价因子中</w:t>
      </w:r>
      <w:r>
        <w:rPr>
          <w:rFonts w:ascii="Times New Roman" w:eastAsia="宋体"/>
          <w:color w:val="000000" w:themeColor="text1"/>
          <w:sz w:val="24"/>
          <w:szCs w:val="24"/>
        </w:rPr>
        <w:t>:PM</w:t>
      </w:r>
      <w:r>
        <w:rPr>
          <w:rFonts w:ascii="Times New Roman" w:eastAsia="宋体"/>
          <w:color w:val="000000" w:themeColor="text1"/>
          <w:sz w:val="24"/>
          <w:szCs w:val="24"/>
          <w:vertAlign w:val="subscript"/>
        </w:rPr>
        <w:t>2.5</w:t>
      </w:r>
      <w:r>
        <w:rPr>
          <w:rFonts w:ascii="Times New Roman" w:eastAsia="宋体"/>
          <w:color w:val="000000" w:themeColor="text1"/>
          <w:sz w:val="24"/>
          <w:szCs w:val="24"/>
        </w:rPr>
        <w:t>、</w:t>
      </w:r>
      <w:r>
        <w:rPr>
          <w:rFonts w:ascii="Times New Roman" w:eastAsia="宋体"/>
          <w:color w:val="000000" w:themeColor="text1"/>
          <w:sz w:val="24"/>
          <w:szCs w:val="24"/>
        </w:rPr>
        <w:t>PM</w:t>
      </w:r>
      <w:r>
        <w:rPr>
          <w:rFonts w:ascii="Times New Roman" w:eastAsia="宋体"/>
          <w:color w:val="000000" w:themeColor="text1"/>
          <w:sz w:val="24"/>
          <w:szCs w:val="24"/>
          <w:vertAlign w:val="subscript"/>
        </w:rPr>
        <w:t>10</w:t>
      </w:r>
      <w:r>
        <w:rPr>
          <w:rFonts w:ascii="Times New Roman" w:eastAsia="宋体"/>
          <w:color w:val="000000" w:themeColor="text1"/>
          <w:sz w:val="24"/>
          <w:szCs w:val="24"/>
        </w:rPr>
        <w:t>、</w:t>
      </w:r>
      <w:r>
        <w:rPr>
          <w:rFonts w:ascii="Times New Roman" w:eastAsia="宋体"/>
          <w:color w:val="000000" w:themeColor="text1"/>
          <w:sz w:val="24"/>
          <w:szCs w:val="24"/>
        </w:rPr>
        <w:t>SO</w:t>
      </w:r>
      <w:r>
        <w:rPr>
          <w:rFonts w:ascii="Times New Roman" w:eastAsia="宋体"/>
          <w:color w:val="000000" w:themeColor="text1"/>
          <w:sz w:val="24"/>
          <w:szCs w:val="24"/>
          <w:vertAlign w:val="subscript"/>
        </w:rPr>
        <w:t>2</w:t>
      </w:r>
      <w:r>
        <w:rPr>
          <w:rFonts w:ascii="Times New Roman" w:eastAsia="宋体"/>
          <w:color w:val="000000" w:themeColor="text1"/>
          <w:sz w:val="24"/>
          <w:szCs w:val="24"/>
        </w:rPr>
        <w:t>、</w:t>
      </w:r>
      <w:r>
        <w:rPr>
          <w:rFonts w:ascii="Times New Roman" w:eastAsia="宋体"/>
          <w:color w:val="000000" w:themeColor="text1"/>
          <w:sz w:val="24"/>
          <w:szCs w:val="24"/>
        </w:rPr>
        <w:t>NO</w:t>
      </w:r>
      <w:r>
        <w:rPr>
          <w:rFonts w:ascii="Times New Roman" w:eastAsia="宋体"/>
          <w:color w:val="000000" w:themeColor="text1"/>
          <w:sz w:val="24"/>
          <w:szCs w:val="24"/>
          <w:vertAlign w:val="subscript"/>
        </w:rPr>
        <w:t>2</w:t>
      </w:r>
      <w:r>
        <w:rPr>
          <w:rFonts w:ascii="Times New Roman" w:eastAsia="宋体"/>
          <w:color w:val="000000" w:themeColor="text1"/>
          <w:sz w:val="24"/>
          <w:szCs w:val="24"/>
        </w:rPr>
        <w:t>、</w:t>
      </w:r>
      <w:r>
        <w:rPr>
          <w:rFonts w:ascii="Times New Roman" w:eastAsia="宋体"/>
          <w:color w:val="000000" w:themeColor="text1"/>
          <w:sz w:val="24"/>
          <w:szCs w:val="24"/>
        </w:rPr>
        <w:t>CO</w:t>
      </w:r>
      <w:r>
        <w:rPr>
          <w:rFonts w:ascii="Times New Roman" w:eastAsia="宋体"/>
          <w:color w:val="000000" w:themeColor="text1"/>
          <w:sz w:val="24"/>
          <w:szCs w:val="24"/>
        </w:rPr>
        <w:t>、</w:t>
      </w:r>
      <w:r>
        <w:rPr>
          <w:rFonts w:ascii="Times New Roman" w:eastAsia="宋体"/>
          <w:color w:val="000000" w:themeColor="text1"/>
          <w:sz w:val="24"/>
          <w:szCs w:val="24"/>
        </w:rPr>
        <w:t>O</w:t>
      </w:r>
      <w:r>
        <w:rPr>
          <w:rFonts w:ascii="Times New Roman" w:eastAsia="宋体"/>
          <w:color w:val="000000" w:themeColor="text1"/>
          <w:sz w:val="24"/>
          <w:szCs w:val="24"/>
          <w:vertAlign w:val="subscript"/>
        </w:rPr>
        <w:t>3</w:t>
      </w:r>
      <w:r>
        <w:rPr>
          <w:rFonts w:ascii="Times New Roman" w:eastAsia="宋体"/>
          <w:color w:val="000000" w:themeColor="text1"/>
          <w:sz w:val="24"/>
          <w:szCs w:val="24"/>
        </w:rPr>
        <w:t>、氟化物（区域特征污染因子）执行《环境空气质量标准》（</w:t>
      </w:r>
      <w:r>
        <w:rPr>
          <w:rFonts w:ascii="Times New Roman" w:eastAsia="宋体"/>
          <w:color w:val="000000" w:themeColor="text1"/>
          <w:sz w:val="24"/>
          <w:szCs w:val="24"/>
        </w:rPr>
        <w:t>GB3095-2012</w:t>
      </w:r>
      <w:r>
        <w:rPr>
          <w:rFonts w:ascii="Times New Roman" w:eastAsia="宋体"/>
          <w:color w:val="000000" w:themeColor="text1"/>
          <w:sz w:val="24"/>
          <w:szCs w:val="24"/>
        </w:rPr>
        <w:t>）表</w:t>
      </w:r>
      <w:r>
        <w:rPr>
          <w:rFonts w:ascii="Times New Roman" w:eastAsia="宋体"/>
          <w:color w:val="000000" w:themeColor="text1"/>
          <w:sz w:val="24"/>
          <w:szCs w:val="24"/>
        </w:rPr>
        <w:t>1</w:t>
      </w:r>
      <w:r>
        <w:rPr>
          <w:rFonts w:ascii="Times New Roman" w:eastAsia="宋体"/>
          <w:color w:val="000000" w:themeColor="text1"/>
          <w:sz w:val="24"/>
          <w:szCs w:val="24"/>
        </w:rPr>
        <w:t>、表</w:t>
      </w:r>
      <w:r>
        <w:rPr>
          <w:rFonts w:ascii="Times New Roman" w:eastAsia="宋体"/>
          <w:color w:val="000000" w:themeColor="text1"/>
          <w:sz w:val="24"/>
          <w:szCs w:val="24"/>
        </w:rPr>
        <w:t>2</w:t>
      </w:r>
      <w:r>
        <w:rPr>
          <w:rFonts w:ascii="Times New Roman" w:eastAsia="宋体"/>
          <w:color w:val="000000" w:themeColor="text1"/>
          <w:sz w:val="24"/>
          <w:szCs w:val="24"/>
        </w:rPr>
        <w:t>二级标准限值及其附录</w:t>
      </w:r>
      <w:r>
        <w:rPr>
          <w:rFonts w:ascii="Times New Roman" w:eastAsia="宋体"/>
          <w:color w:val="000000" w:themeColor="text1"/>
          <w:sz w:val="24"/>
          <w:szCs w:val="24"/>
        </w:rPr>
        <w:t>A</w:t>
      </w:r>
      <w:r>
        <w:rPr>
          <w:rFonts w:ascii="Times New Roman" w:eastAsia="宋体"/>
          <w:color w:val="000000" w:themeColor="text1"/>
          <w:sz w:val="24"/>
          <w:szCs w:val="24"/>
        </w:rPr>
        <w:t>表</w:t>
      </w:r>
      <w:r>
        <w:rPr>
          <w:rFonts w:ascii="Times New Roman" w:eastAsia="宋体"/>
          <w:color w:val="000000" w:themeColor="text1"/>
          <w:sz w:val="24"/>
          <w:szCs w:val="24"/>
        </w:rPr>
        <w:t>A.1</w:t>
      </w:r>
      <w:r>
        <w:rPr>
          <w:rFonts w:ascii="Times New Roman" w:eastAsia="宋体"/>
          <w:color w:val="000000" w:themeColor="text1"/>
          <w:sz w:val="24"/>
          <w:szCs w:val="24"/>
        </w:rPr>
        <w:t>二级标准浓度限值，本项目特征污染因子：氨执行《环境影响评价技术导则</w:t>
      </w:r>
      <w:r>
        <w:rPr>
          <w:rFonts w:ascii="Times New Roman" w:eastAsia="宋体"/>
          <w:color w:val="000000" w:themeColor="text1"/>
          <w:sz w:val="24"/>
          <w:szCs w:val="24"/>
        </w:rPr>
        <w:t xml:space="preserve"> </w:t>
      </w:r>
      <w:r>
        <w:rPr>
          <w:rFonts w:ascii="Times New Roman" w:eastAsia="宋体"/>
          <w:color w:val="000000" w:themeColor="text1"/>
          <w:sz w:val="24"/>
          <w:szCs w:val="24"/>
        </w:rPr>
        <w:t>大气环境》（</w:t>
      </w:r>
      <w:r>
        <w:rPr>
          <w:rFonts w:ascii="Times New Roman" w:eastAsia="宋体"/>
          <w:color w:val="000000" w:themeColor="text1"/>
          <w:sz w:val="24"/>
          <w:szCs w:val="24"/>
        </w:rPr>
        <w:t>HJ2.2-2018</w:t>
      </w:r>
      <w:r>
        <w:rPr>
          <w:rFonts w:ascii="Times New Roman" w:eastAsia="宋体"/>
          <w:color w:val="000000" w:themeColor="text1"/>
          <w:sz w:val="24"/>
          <w:szCs w:val="24"/>
        </w:rPr>
        <w:t> </w:t>
      </w:r>
      <w:r>
        <w:rPr>
          <w:rFonts w:ascii="Times New Roman" w:eastAsia="宋体"/>
          <w:color w:val="000000" w:themeColor="text1"/>
          <w:sz w:val="24"/>
          <w:szCs w:val="24"/>
        </w:rPr>
        <w:t>）中附录</w:t>
      </w:r>
      <w:r>
        <w:rPr>
          <w:rFonts w:ascii="Times New Roman" w:eastAsia="宋体"/>
          <w:color w:val="000000" w:themeColor="text1"/>
          <w:sz w:val="24"/>
          <w:szCs w:val="24"/>
        </w:rPr>
        <w:t>D</w:t>
      </w:r>
      <w:r>
        <w:rPr>
          <w:rFonts w:ascii="Times New Roman" w:eastAsia="宋体"/>
          <w:color w:val="000000" w:themeColor="text1"/>
          <w:sz w:val="24"/>
          <w:szCs w:val="24"/>
        </w:rPr>
        <w:t>表</w:t>
      </w:r>
      <w:r>
        <w:rPr>
          <w:rFonts w:ascii="Times New Roman" w:eastAsia="宋体"/>
          <w:color w:val="000000" w:themeColor="text1"/>
          <w:sz w:val="24"/>
          <w:szCs w:val="24"/>
        </w:rPr>
        <w:t>D.1</w:t>
      </w:r>
      <w:r>
        <w:rPr>
          <w:rFonts w:ascii="Times New Roman" w:eastAsia="宋体"/>
          <w:color w:val="000000" w:themeColor="text1"/>
          <w:sz w:val="24"/>
          <w:szCs w:val="24"/>
        </w:rPr>
        <w:t>其他污染物空气质量浓度参考限值；标准值见表</w:t>
      </w:r>
      <w:r>
        <w:rPr>
          <w:rFonts w:ascii="Times New Roman" w:eastAsia="宋体"/>
          <w:color w:val="000000" w:themeColor="text1"/>
          <w:sz w:val="24"/>
          <w:szCs w:val="24"/>
        </w:rPr>
        <w:t>2.5-1</w:t>
      </w:r>
      <w:r>
        <w:rPr>
          <w:rFonts w:ascii="Times New Roman" w:eastAsia="宋体"/>
          <w:color w:val="000000" w:themeColor="text1"/>
          <w:sz w:val="24"/>
          <w:szCs w:val="24"/>
        </w:rPr>
        <w:t>。</w:t>
      </w:r>
    </w:p>
    <w:p w:rsidR="00C861DA" w:rsidRDefault="0044752E">
      <w:pPr>
        <w:pStyle w:val="af1"/>
        <w:snapToGrid w:val="0"/>
        <w:jc w:val="center"/>
        <w:rPr>
          <w:rFonts w:ascii="Times New Roman" w:eastAsia="宋体"/>
          <w:b/>
          <w:color w:val="000000" w:themeColor="text1"/>
          <w:sz w:val="24"/>
          <w:szCs w:val="24"/>
        </w:rPr>
      </w:pPr>
      <w:r>
        <w:rPr>
          <w:rFonts w:ascii="Times New Roman" w:eastAsia="宋体"/>
          <w:b/>
          <w:color w:val="000000" w:themeColor="text1"/>
          <w:sz w:val="24"/>
          <w:szCs w:val="24"/>
        </w:rPr>
        <w:t>表</w:t>
      </w:r>
      <w:r>
        <w:rPr>
          <w:rFonts w:ascii="Times New Roman" w:eastAsia="宋体"/>
          <w:b/>
          <w:color w:val="000000" w:themeColor="text1"/>
          <w:sz w:val="24"/>
          <w:szCs w:val="24"/>
        </w:rPr>
        <w:t xml:space="preserve">2.5-1  </w:t>
      </w:r>
      <w:r>
        <w:rPr>
          <w:rFonts w:ascii="Times New Roman" w:eastAsia="宋体"/>
          <w:b/>
          <w:color w:val="000000" w:themeColor="text1"/>
          <w:sz w:val="24"/>
          <w:szCs w:val="24"/>
        </w:rPr>
        <w:t>环境空气质量标准</w:t>
      </w:r>
      <w:r>
        <w:rPr>
          <w:rFonts w:ascii="Times New Roman" w:eastAsia="宋体"/>
          <w:b/>
          <w:color w:val="000000" w:themeColor="text1"/>
          <w:sz w:val="24"/>
          <w:szCs w:val="24"/>
        </w:rPr>
        <w:t xml:space="preserve">  </w:t>
      </w:r>
      <w:r>
        <w:rPr>
          <w:rFonts w:ascii="Times New Roman" w:eastAsia="宋体"/>
          <w:b/>
          <w:color w:val="000000" w:themeColor="text1"/>
          <w:sz w:val="24"/>
          <w:szCs w:val="24"/>
        </w:rPr>
        <w:t>单位：</w:t>
      </w:r>
      <w:r>
        <w:rPr>
          <w:rFonts w:ascii="Times New Roman" w:eastAsia="宋体"/>
          <w:b/>
          <w:color w:val="000000" w:themeColor="text1"/>
          <w:sz w:val="24"/>
          <w:szCs w:val="24"/>
        </w:rPr>
        <w:t>μ</w:t>
      </w:r>
      <w:r>
        <w:rPr>
          <w:rFonts w:ascii="Times New Roman" w:eastAsia="宋体"/>
          <w:b/>
          <w:color w:val="000000" w:themeColor="text1"/>
          <w:sz w:val="24"/>
          <w:szCs w:val="24"/>
        </w:rPr>
        <w:t>g /m</w:t>
      </w:r>
      <w:r>
        <w:rPr>
          <w:rFonts w:ascii="Times New Roman" w:eastAsia="宋体"/>
          <w:b/>
          <w:color w:val="000000" w:themeColor="text1"/>
          <w:sz w:val="24"/>
          <w:szCs w:val="24"/>
          <w:vertAlign w:val="superscript"/>
        </w:rPr>
        <w:t>3</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2149"/>
        <w:gridCol w:w="1721"/>
        <w:gridCol w:w="2364"/>
      </w:tblGrid>
      <w:tr w:rsidR="00C861DA">
        <w:trPr>
          <w:trHeight w:val="369"/>
          <w:jc w:val="center"/>
        </w:trPr>
        <w:tc>
          <w:tcPr>
            <w:tcW w:w="2062" w:type="dxa"/>
            <w:vAlign w:val="center"/>
          </w:tcPr>
          <w:p w:rsidR="00C861DA" w:rsidRDefault="0044752E">
            <w:pPr>
              <w:jc w:val="center"/>
              <w:rPr>
                <w:rFonts w:ascii="Times New Roman" w:eastAsia="宋体"/>
                <w:b/>
                <w:bCs/>
                <w:color w:val="000000" w:themeColor="text1"/>
              </w:rPr>
            </w:pPr>
            <w:r>
              <w:rPr>
                <w:rFonts w:ascii="Times New Roman" w:eastAsia="宋体"/>
                <w:b/>
                <w:bCs/>
                <w:color w:val="000000" w:themeColor="text1"/>
              </w:rPr>
              <w:t>污染物名称</w:t>
            </w:r>
          </w:p>
        </w:tc>
        <w:tc>
          <w:tcPr>
            <w:tcW w:w="2149" w:type="dxa"/>
            <w:vAlign w:val="center"/>
          </w:tcPr>
          <w:p w:rsidR="00C861DA" w:rsidRDefault="0044752E">
            <w:pPr>
              <w:jc w:val="center"/>
              <w:rPr>
                <w:rFonts w:ascii="Times New Roman" w:eastAsia="宋体"/>
                <w:b/>
                <w:bCs/>
                <w:color w:val="000000" w:themeColor="text1"/>
              </w:rPr>
            </w:pPr>
            <w:r>
              <w:rPr>
                <w:rFonts w:ascii="Times New Roman" w:eastAsia="宋体"/>
                <w:b/>
                <w:bCs/>
                <w:color w:val="000000" w:themeColor="text1"/>
              </w:rPr>
              <w:t>平均时间</w:t>
            </w:r>
          </w:p>
        </w:tc>
        <w:tc>
          <w:tcPr>
            <w:tcW w:w="1721" w:type="dxa"/>
            <w:vAlign w:val="center"/>
          </w:tcPr>
          <w:p w:rsidR="00C861DA" w:rsidRDefault="0044752E">
            <w:pPr>
              <w:jc w:val="center"/>
              <w:rPr>
                <w:rFonts w:ascii="Times New Roman" w:eastAsia="宋体"/>
                <w:b/>
                <w:bCs/>
                <w:color w:val="000000" w:themeColor="text1"/>
              </w:rPr>
            </w:pPr>
            <w:r>
              <w:rPr>
                <w:rFonts w:ascii="Times New Roman" w:eastAsia="宋体"/>
                <w:b/>
                <w:bCs/>
                <w:color w:val="000000" w:themeColor="text1"/>
              </w:rPr>
              <w:t>浓度限值</w:t>
            </w:r>
          </w:p>
        </w:tc>
        <w:tc>
          <w:tcPr>
            <w:tcW w:w="2364" w:type="dxa"/>
            <w:vAlign w:val="center"/>
          </w:tcPr>
          <w:p w:rsidR="00C861DA" w:rsidRDefault="0044752E">
            <w:pPr>
              <w:jc w:val="center"/>
              <w:rPr>
                <w:rFonts w:ascii="Times New Roman" w:eastAsia="宋体"/>
                <w:b/>
                <w:bCs/>
                <w:color w:val="000000" w:themeColor="text1"/>
              </w:rPr>
            </w:pPr>
            <w:r>
              <w:rPr>
                <w:rFonts w:ascii="Times New Roman" w:eastAsia="宋体"/>
                <w:b/>
                <w:bCs/>
                <w:color w:val="000000" w:themeColor="text1"/>
              </w:rPr>
              <w:t>标准来源</w:t>
            </w:r>
          </w:p>
        </w:tc>
      </w:tr>
      <w:tr w:rsidR="00C861DA">
        <w:trPr>
          <w:trHeight w:val="369"/>
          <w:jc w:val="center"/>
        </w:trPr>
        <w:tc>
          <w:tcPr>
            <w:tcW w:w="2062" w:type="dxa"/>
            <w:vMerge w:val="restart"/>
            <w:vAlign w:val="center"/>
          </w:tcPr>
          <w:p w:rsidR="00C861DA" w:rsidRDefault="0044752E">
            <w:pPr>
              <w:jc w:val="center"/>
              <w:rPr>
                <w:rFonts w:ascii="Times New Roman" w:eastAsia="宋体"/>
                <w:color w:val="000000" w:themeColor="text1"/>
              </w:rPr>
            </w:pPr>
            <w:r>
              <w:rPr>
                <w:rFonts w:ascii="Times New Roman" w:eastAsia="宋体"/>
                <w:color w:val="000000" w:themeColor="text1"/>
              </w:rPr>
              <w:t>NO</w:t>
            </w:r>
            <w:r>
              <w:rPr>
                <w:rFonts w:ascii="Times New Roman" w:eastAsia="宋体"/>
                <w:color w:val="000000" w:themeColor="text1"/>
                <w:vertAlign w:val="subscript"/>
              </w:rPr>
              <w:t>2</w:t>
            </w:r>
          </w:p>
        </w:tc>
        <w:tc>
          <w:tcPr>
            <w:tcW w:w="2149"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年平均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40</w:t>
            </w:r>
          </w:p>
        </w:tc>
        <w:tc>
          <w:tcPr>
            <w:tcW w:w="2364" w:type="dxa"/>
            <w:vMerge w:val="restart"/>
            <w:vAlign w:val="center"/>
          </w:tcPr>
          <w:p w:rsidR="00C861DA" w:rsidRDefault="0044752E">
            <w:pPr>
              <w:jc w:val="center"/>
              <w:rPr>
                <w:rFonts w:ascii="Times New Roman" w:eastAsia="宋体"/>
                <w:color w:val="000000" w:themeColor="text1"/>
              </w:rPr>
            </w:pPr>
            <w:r>
              <w:rPr>
                <w:rFonts w:ascii="Times New Roman" w:eastAsia="宋体"/>
                <w:color w:val="000000" w:themeColor="text1"/>
              </w:rPr>
              <w:t>GB3095-2012</w:t>
            </w:r>
          </w:p>
        </w:tc>
      </w:tr>
      <w:tr w:rsidR="00C861DA">
        <w:trPr>
          <w:trHeight w:val="369"/>
          <w:jc w:val="center"/>
        </w:trPr>
        <w:tc>
          <w:tcPr>
            <w:tcW w:w="2062" w:type="dxa"/>
            <w:vMerge/>
            <w:vAlign w:val="center"/>
          </w:tcPr>
          <w:p w:rsidR="00C861DA" w:rsidRDefault="00C861DA">
            <w:pPr>
              <w:jc w:val="center"/>
              <w:rPr>
                <w:rFonts w:ascii="Times New Roman" w:eastAsia="宋体"/>
                <w:color w:val="000000" w:themeColor="text1"/>
              </w:rPr>
            </w:pPr>
          </w:p>
        </w:tc>
        <w:tc>
          <w:tcPr>
            <w:tcW w:w="2149"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24</w:t>
            </w:r>
            <w:r>
              <w:rPr>
                <w:rFonts w:ascii="Times New Roman" w:eastAsia="宋体"/>
                <w:color w:val="000000" w:themeColor="text1"/>
              </w:rPr>
              <w:t>小时平均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80</w:t>
            </w:r>
          </w:p>
        </w:tc>
        <w:tc>
          <w:tcPr>
            <w:tcW w:w="2364" w:type="dxa"/>
            <w:vMerge/>
            <w:vAlign w:val="center"/>
          </w:tcPr>
          <w:p w:rsidR="00C861DA" w:rsidRDefault="00C861DA">
            <w:pPr>
              <w:jc w:val="center"/>
              <w:rPr>
                <w:rFonts w:ascii="Times New Roman" w:eastAsia="宋体"/>
                <w:color w:val="000000" w:themeColor="text1"/>
              </w:rPr>
            </w:pPr>
          </w:p>
        </w:tc>
      </w:tr>
      <w:tr w:rsidR="00C861DA">
        <w:trPr>
          <w:trHeight w:val="369"/>
          <w:jc w:val="center"/>
        </w:trPr>
        <w:tc>
          <w:tcPr>
            <w:tcW w:w="2062" w:type="dxa"/>
            <w:vMerge/>
            <w:vAlign w:val="center"/>
          </w:tcPr>
          <w:p w:rsidR="00C861DA" w:rsidRDefault="00C861DA">
            <w:pPr>
              <w:jc w:val="center"/>
              <w:rPr>
                <w:rFonts w:ascii="Times New Roman" w:eastAsia="宋体"/>
                <w:color w:val="000000" w:themeColor="text1"/>
              </w:rPr>
            </w:pPr>
          </w:p>
        </w:tc>
        <w:tc>
          <w:tcPr>
            <w:tcW w:w="2149"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1</w:t>
            </w:r>
            <w:r>
              <w:rPr>
                <w:rFonts w:ascii="Times New Roman" w:eastAsia="宋体"/>
                <w:color w:val="000000" w:themeColor="text1"/>
              </w:rPr>
              <w:t>小时平均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200</w:t>
            </w:r>
          </w:p>
        </w:tc>
        <w:tc>
          <w:tcPr>
            <w:tcW w:w="2364" w:type="dxa"/>
            <w:vMerge/>
            <w:vAlign w:val="center"/>
          </w:tcPr>
          <w:p w:rsidR="00C861DA" w:rsidRDefault="00C861DA">
            <w:pPr>
              <w:jc w:val="center"/>
              <w:rPr>
                <w:rFonts w:ascii="Times New Roman" w:eastAsia="宋体"/>
                <w:color w:val="000000" w:themeColor="text1"/>
              </w:rPr>
            </w:pPr>
          </w:p>
        </w:tc>
      </w:tr>
      <w:tr w:rsidR="00C861DA">
        <w:trPr>
          <w:trHeight w:val="369"/>
          <w:jc w:val="center"/>
        </w:trPr>
        <w:tc>
          <w:tcPr>
            <w:tcW w:w="2062" w:type="dxa"/>
            <w:vMerge w:val="restart"/>
            <w:vAlign w:val="center"/>
          </w:tcPr>
          <w:p w:rsidR="00C861DA" w:rsidRDefault="0044752E">
            <w:pPr>
              <w:jc w:val="center"/>
              <w:rPr>
                <w:rFonts w:ascii="Times New Roman" w:eastAsia="宋体"/>
                <w:color w:val="000000" w:themeColor="text1"/>
              </w:rPr>
            </w:pPr>
            <w:r>
              <w:rPr>
                <w:rFonts w:ascii="Times New Roman" w:eastAsia="宋体"/>
                <w:color w:val="000000" w:themeColor="text1"/>
              </w:rPr>
              <w:t>SO</w:t>
            </w:r>
            <w:r>
              <w:rPr>
                <w:rFonts w:ascii="Times New Roman" w:eastAsia="宋体"/>
                <w:color w:val="000000" w:themeColor="text1"/>
                <w:vertAlign w:val="subscript"/>
              </w:rPr>
              <w:t>2</w:t>
            </w:r>
          </w:p>
        </w:tc>
        <w:tc>
          <w:tcPr>
            <w:tcW w:w="2149"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年平均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60</w:t>
            </w:r>
          </w:p>
        </w:tc>
        <w:tc>
          <w:tcPr>
            <w:tcW w:w="2364" w:type="dxa"/>
            <w:vMerge/>
            <w:vAlign w:val="center"/>
          </w:tcPr>
          <w:p w:rsidR="00C861DA" w:rsidRDefault="00C861DA">
            <w:pPr>
              <w:jc w:val="center"/>
              <w:rPr>
                <w:rFonts w:ascii="Times New Roman" w:eastAsia="宋体"/>
                <w:color w:val="000000" w:themeColor="text1"/>
              </w:rPr>
            </w:pPr>
          </w:p>
        </w:tc>
      </w:tr>
      <w:tr w:rsidR="00C861DA">
        <w:trPr>
          <w:trHeight w:val="369"/>
          <w:jc w:val="center"/>
        </w:trPr>
        <w:tc>
          <w:tcPr>
            <w:tcW w:w="2062" w:type="dxa"/>
            <w:vMerge/>
            <w:vAlign w:val="center"/>
          </w:tcPr>
          <w:p w:rsidR="00C861DA" w:rsidRDefault="00C861DA">
            <w:pPr>
              <w:jc w:val="center"/>
              <w:rPr>
                <w:rFonts w:ascii="Times New Roman" w:eastAsia="宋体"/>
                <w:color w:val="000000" w:themeColor="text1"/>
              </w:rPr>
            </w:pPr>
          </w:p>
        </w:tc>
        <w:tc>
          <w:tcPr>
            <w:tcW w:w="2149"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24</w:t>
            </w:r>
            <w:r>
              <w:rPr>
                <w:rFonts w:ascii="Times New Roman" w:eastAsia="宋体"/>
                <w:color w:val="000000" w:themeColor="text1"/>
              </w:rPr>
              <w:t>小时平均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150</w:t>
            </w:r>
          </w:p>
        </w:tc>
        <w:tc>
          <w:tcPr>
            <w:tcW w:w="2364" w:type="dxa"/>
            <w:vMerge/>
            <w:vAlign w:val="center"/>
          </w:tcPr>
          <w:p w:rsidR="00C861DA" w:rsidRDefault="00C861DA">
            <w:pPr>
              <w:jc w:val="center"/>
              <w:rPr>
                <w:rFonts w:ascii="Times New Roman" w:eastAsia="宋体"/>
                <w:color w:val="000000" w:themeColor="text1"/>
              </w:rPr>
            </w:pPr>
          </w:p>
        </w:tc>
      </w:tr>
      <w:tr w:rsidR="00C861DA">
        <w:trPr>
          <w:trHeight w:val="369"/>
          <w:jc w:val="center"/>
        </w:trPr>
        <w:tc>
          <w:tcPr>
            <w:tcW w:w="2062" w:type="dxa"/>
            <w:vMerge/>
            <w:vAlign w:val="center"/>
          </w:tcPr>
          <w:p w:rsidR="00C861DA" w:rsidRDefault="00C861DA">
            <w:pPr>
              <w:jc w:val="center"/>
              <w:rPr>
                <w:rFonts w:ascii="Times New Roman" w:eastAsia="宋体"/>
                <w:color w:val="000000" w:themeColor="text1"/>
              </w:rPr>
            </w:pPr>
          </w:p>
        </w:tc>
        <w:tc>
          <w:tcPr>
            <w:tcW w:w="2149"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1</w:t>
            </w:r>
            <w:r>
              <w:rPr>
                <w:rFonts w:ascii="Times New Roman" w:eastAsia="宋体"/>
                <w:color w:val="000000" w:themeColor="text1"/>
              </w:rPr>
              <w:t>小时平均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500</w:t>
            </w:r>
          </w:p>
        </w:tc>
        <w:tc>
          <w:tcPr>
            <w:tcW w:w="2364" w:type="dxa"/>
            <w:vMerge/>
            <w:vAlign w:val="center"/>
          </w:tcPr>
          <w:p w:rsidR="00C861DA" w:rsidRDefault="00C861DA">
            <w:pPr>
              <w:jc w:val="center"/>
              <w:rPr>
                <w:rFonts w:ascii="Times New Roman" w:eastAsia="宋体"/>
                <w:color w:val="000000" w:themeColor="text1"/>
              </w:rPr>
            </w:pPr>
          </w:p>
        </w:tc>
      </w:tr>
      <w:tr w:rsidR="00C861DA">
        <w:trPr>
          <w:trHeight w:val="369"/>
          <w:jc w:val="center"/>
        </w:trPr>
        <w:tc>
          <w:tcPr>
            <w:tcW w:w="2062" w:type="dxa"/>
            <w:vMerge w:val="restart"/>
            <w:vAlign w:val="center"/>
          </w:tcPr>
          <w:p w:rsidR="00C861DA" w:rsidRDefault="0044752E">
            <w:pPr>
              <w:jc w:val="center"/>
              <w:rPr>
                <w:rFonts w:ascii="Times New Roman" w:eastAsia="宋体"/>
                <w:color w:val="000000" w:themeColor="text1"/>
                <w:vertAlign w:val="subscript"/>
              </w:rPr>
            </w:pPr>
            <w:r>
              <w:rPr>
                <w:rFonts w:ascii="Times New Roman" w:eastAsia="宋体"/>
                <w:color w:val="000000" w:themeColor="text1"/>
              </w:rPr>
              <w:t>PM</w:t>
            </w:r>
            <w:r>
              <w:rPr>
                <w:rFonts w:ascii="Times New Roman" w:eastAsia="宋体"/>
                <w:color w:val="000000" w:themeColor="text1"/>
                <w:vertAlign w:val="subscript"/>
              </w:rPr>
              <w:t>10</w:t>
            </w:r>
          </w:p>
        </w:tc>
        <w:tc>
          <w:tcPr>
            <w:tcW w:w="2149"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年平均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70</w:t>
            </w:r>
          </w:p>
        </w:tc>
        <w:tc>
          <w:tcPr>
            <w:tcW w:w="2364" w:type="dxa"/>
            <w:vMerge/>
            <w:vAlign w:val="center"/>
          </w:tcPr>
          <w:p w:rsidR="00C861DA" w:rsidRDefault="00C861DA">
            <w:pPr>
              <w:jc w:val="center"/>
              <w:rPr>
                <w:rFonts w:ascii="Times New Roman" w:eastAsia="宋体"/>
                <w:color w:val="000000" w:themeColor="text1"/>
              </w:rPr>
            </w:pPr>
          </w:p>
        </w:tc>
      </w:tr>
      <w:tr w:rsidR="00C861DA">
        <w:trPr>
          <w:trHeight w:val="369"/>
          <w:jc w:val="center"/>
        </w:trPr>
        <w:tc>
          <w:tcPr>
            <w:tcW w:w="2062" w:type="dxa"/>
            <w:vMerge/>
            <w:vAlign w:val="center"/>
          </w:tcPr>
          <w:p w:rsidR="00C861DA" w:rsidRDefault="00C861DA">
            <w:pPr>
              <w:jc w:val="center"/>
              <w:rPr>
                <w:rFonts w:ascii="Times New Roman" w:eastAsia="宋体"/>
                <w:color w:val="000000" w:themeColor="text1"/>
              </w:rPr>
            </w:pPr>
          </w:p>
        </w:tc>
        <w:tc>
          <w:tcPr>
            <w:tcW w:w="2149"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24</w:t>
            </w:r>
            <w:r>
              <w:rPr>
                <w:rFonts w:ascii="Times New Roman" w:eastAsia="宋体"/>
                <w:color w:val="000000" w:themeColor="text1"/>
              </w:rPr>
              <w:t>小时平均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150</w:t>
            </w:r>
          </w:p>
        </w:tc>
        <w:tc>
          <w:tcPr>
            <w:tcW w:w="2364" w:type="dxa"/>
            <w:vMerge/>
            <w:vAlign w:val="center"/>
          </w:tcPr>
          <w:p w:rsidR="00C861DA" w:rsidRDefault="00C861DA">
            <w:pPr>
              <w:jc w:val="center"/>
              <w:rPr>
                <w:rFonts w:ascii="Times New Roman" w:eastAsia="宋体"/>
                <w:color w:val="000000" w:themeColor="text1"/>
              </w:rPr>
            </w:pPr>
          </w:p>
        </w:tc>
      </w:tr>
      <w:tr w:rsidR="00C861DA">
        <w:trPr>
          <w:trHeight w:val="369"/>
          <w:jc w:val="center"/>
        </w:trPr>
        <w:tc>
          <w:tcPr>
            <w:tcW w:w="2062" w:type="dxa"/>
            <w:vMerge w:val="restart"/>
            <w:vAlign w:val="center"/>
          </w:tcPr>
          <w:p w:rsidR="00C861DA" w:rsidRDefault="0044752E">
            <w:pPr>
              <w:jc w:val="center"/>
              <w:rPr>
                <w:rFonts w:ascii="Times New Roman" w:eastAsia="宋体"/>
                <w:color w:val="000000" w:themeColor="text1"/>
              </w:rPr>
            </w:pPr>
            <w:r>
              <w:rPr>
                <w:rFonts w:ascii="Times New Roman" w:eastAsia="宋体"/>
                <w:color w:val="000000" w:themeColor="text1"/>
              </w:rPr>
              <w:t>PM</w:t>
            </w:r>
            <w:r>
              <w:rPr>
                <w:rFonts w:ascii="Times New Roman" w:eastAsia="宋体"/>
                <w:color w:val="000000" w:themeColor="text1"/>
                <w:vertAlign w:val="subscript"/>
              </w:rPr>
              <w:t>2.5</w:t>
            </w:r>
          </w:p>
        </w:tc>
        <w:tc>
          <w:tcPr>
            <w:tcW w:w="2149"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年平均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30</w:t>
            </w:r>
          </w:p>
        </w:tc>
        <w:tc>
          <w:tcPr>
            <w:tcW w:w="2364" w:type="dxa"/>
            <w:vMerge/>
            <w:vAlign w:val="center"/>
          </w:tcPr>
          <w:p w:rsidR="00C861DA" w:rsidRDefault="00C861DA">
            <w:pPr>
              <w:jc w:val="center"/>
              <w:rPr>
                <w:rFonts w:ascii="Times New Roman" w:eastAsia="宋体"/>
                <w:color w:val="000000" w:themeColor="text1"/>
              </w:rPr>
            </w:pPr>
          </w:p>
        </w:tc>
      </w:tr>
      <w:tr w:rsidR="00C861DA">
        <w:trPr>
          <w:trHeight w:val="369"/>
          <w:jc w:val="center"/>
        </w:trPr>
        <w:tc>
          <w:tcPr>
            <w:tcW w:w="2062" w:type="dxa"/>
            <w:vMerge/>
            <w:vAlign w:val="center"/>
          </w:tcPr>
          <w:p w:rsidR="00C861DA" w:rsidRDefault="00C861DA">
            <w:pPr>
              <w:jc w:val="center"/>
              <w:rPr>
                <w:rFonts w:ascii="Times New Roman" w:eastAsia="宋体"/>
                <w:color w:val="000000" w:themeColor="text1"/>
              </w:rPr>
            </w:pPr>
          </w:p>
        </w:tc>
        <w:tc>
          <w:tcPr>
            <w:tcW w:w="2149"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1</w:t>
            </w:r>
            <w:r>
              <w:rPr>
                <w:rFonts w:ascii="Times New Roman" w:eastAsia="宋体"/>
                <w:color w:val="000000" w:themeColor="text1"/>
              </w:rPr>
              <w:t>小时平均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75</w:t>
            </w:r>
          </w:p>
        </w:tc>
        <w:tc>
          <w:tcPr>
            <w:tcW w:w="2364" w:type="dxa"/>
            <w:vMerge/>
            <w:vAlign w:val="center"/>
          </w:tcPr>
          <w:p w:rsidR="00C861DA" w:rsidRDefault="00C861DA">
            <w:pPr>
              <w:jc w:val="center"/>
              <w:rPr>
                <w:rFonts w:ascii="Times New Roman" w:eastAsia="宋体"/>
                <w:color w:val="000000" w:themeColor="text1"/>
              </w:rPr>
            </w:pPr>
          </w:p>
        </w:tc>
      </w:tr>
      <w:tr w:rsidR="00C861DA">
        <w:trPr>
          <w:trHeight w:val="369"/>
          <w:jc w:val="center"/>
        </w:trPr>
        <w:tc>
          <w:tcPr>
            <w:tcW w:w="2062" w:type="dxa"/>
            <w:vMerge w:val="restart"/>
            <w:vAlign w:val="center"/>
          </w:tcPr>
          <w:p w:rsidR="00C861DA" w:rsidRDefault="0044752E">
            <w:pPr>
              <w:jc w:val="center"/>
              <w:rPr>
                <w:rFonts w:ascii="Times New Roman" w:eastAsia="宋体"/>
                <w:color w:val="000000" w:themeColor="text1"/>
              </w:rPr>
            </w:pPr>
            <w:r>
              <w:rPr>
                <w:rFonts w:ascii="Times New Roman" w:eastAsia="宋体"/>
                <w:color w:val="000000" w:themeColor="text1"/>
              </w:rPr>
              <w:t>O</w:t>
            </w:r>
            <w:r>
              <w:rPr>
                <w:rFonts w:ascii="Times New Roman" w:eastAsia="宋体"/>
                <w:color w:val="000000" w:themeColor="text1"/>
                <w:vertAlign w:val="subscript"/>
              </w:rPr>
              <w:t>3</w:t>
            </w:r>
          </w:p>
        </w:tc>
        <w:tc>
          <w:tcPr>
            <w:tcW w:w="2149"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日最大</w:t>
            </w:r>
            <w:r>
              <w:rPr>
                <w:rFonts w:ascii="Times New Roman" w:eastAsia="宋体"/>
                <w:color w:val="000000" w:themeColor="text1"/>
              </w:rPr>
              <w:t>8</w:t>
            </w:r>
            <w:r>
              <w:rPr>
                <w:rFonts w:ascii="Times New Roman" w:eastAsia="宋体"/>
                <w:color w:val="000000" w:themeColor="text1"/>
              </w:rPr>
              <w:t>小时平均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160</w:t>
            </w:r>
          </w:p>
        </w:tc>
        <w:tc>
          <w:tcPr>
            <w:tcW w:w="2364" w:type="dxa"/>
            <w:vMerge/>
            <w:vAlign w:val="center"/>
          </w:tcPr>
          <w:p w:rsidR="00C861DA" w:rsidRDefault="00C861DA">
            <w:pPr>
              <w:jc w:val="center"/>
              <w:rPr>
                <w:rFonts w:ascii="Times New Roman" w:eastAsia="宋体"/>
                <w:color w:val="000000" w:themeColor="text1"/>
              </w:rPr>
            </w:pPr>
          </w:p>
        </w:tc>
      </w:tr>
      <w:tr w:rsidR="00C861DA">
        <w:trPr>
          <w:trHeight w:val="369"/>
          <w:jc w:val="center"/>
        </w:trPr>
        <w:tc>
          <w:tcPr>
            <w:tcW w:w="2062" w:type="dxa"/>
            <w:vMerge/>
            <w:vAlign w:val="center"/>
          </w:tcPr>
          <w:p w:rsidR="00C861DA" w:rsidRDefault="00C861DA">
            <w:pPr>
              <w:jc w:val="center"/>
              <w:rPr>
                <w:rFonts w:ascii="Times New Roman" w:eastAsia="宋体"/>
                <w:color w:val="000000" w:themeColor="text1"/>
              </w:rPr>
            </w:pPr>
          </w:p>
        </w:tc>
        <w:tc>
          <w:tcPr>
            <w:tcW w:w="2149"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1</w:t>
            </w:r>
            <w:r>
              <w:rPr>
                <w:rFonts w:ascii="Times New Roman" w:eastAsia="宋体"/>
                <w:color w:val="000000" w:themeColor="text1"/>
              </w:rPr>
              <w:t>小时平均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200</w:t>
            </w:r>
          </w:p>
        </w:tc>
        <w:tc>
          <w:tcPr>
            <w:tcW w:w="2364" w:type="dxa"/>
            <w:vMerge/>
            <w:vAlign w:val="center"/>
          </w:tcPr>
          <w:p w:rsidR="00C861DA" w:rsidRDefault="00C861DA">
            <w:pPr>
              <w:jc w:val="center"/>
              <w:rPr>
                <w:rFonts w:ascii="Times New Roman" w:eastAsia="宋体"/>
                <w:color w:val="000000" w:themeColor="text1"/>
              </w:rPr>
            </w:pPr>
          </w:p>
        </w:tc>
      </w:tr>
      <w:tr w:rsidR="00C861DA">
        <w:trPr>
          <w:trHeight w:val="369"/>
          <w:jc w:val="center"/>
        </w:trPr>
        <w:tc>
          <w:tcPr>
            <w:tcW w:w="2062" w:type="dxa"/>
            <w:vMerge w:val="restart"/>
            <w:vAlign w:val="center"/>
          </w:tcPr>
          <w:p w:rsidR="00C861DA" w:rsidRDefault="0044752E">
            <w:pPr>
              <w:jc w:val="center"/>
              <w:rPr>
                <w:rFonts w:ascii="Times New Roman" w:eastAsia="宋体"/>
                <w:color w:val="000000" w:themeColor="text1"/>
              </w:rPr>
            </w:pPr>
            <w:r>
              <w:rPr>
                <w:rFonts w:ascii="Times New Roman" w:eastAsia="宋体"/>
                <w:color w:val="000000" w:themeColor="text1"/>
              </w:rPr>
              <w:t>CO</w:t>
            </w:r>
          </w:p>
        </w:tc>
        <w:tc>
          <w:tcPr>
            <w:tcW w:w="2149"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24</w:t>
            </w:r>
            <w:r>
              <w:rPr>
                <w:rFonts w:ascii="Times New Roman" w:eastAsia="宋体"/>
                <w:color w:val="000000" w:themeColor="text1"/>
              </w:rPr>
              <w:t>小时平均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4</w:t>
            </w:r>
          </w:p>
        </w:tc>
        <w:tc>
          <w:tcPr>
            <w:tcW w:w="2364" w:type="dxa"/>
            <w:vMerge/>
            <w:vAlign w:val="center"/>
          </w:tcPr>
          <w:p w:rsidR="00C861DA" w:rsidRDefault="00C861DA">
            <w:pPr>
              <w:jc w:val="center"/>
              <w:rPr>
                <w:rFonts w:ascii="Times New Roman" w:eastAsia="宋体"/>
                <w:color w:val="000000" w:themeColor="text1"/>
              </w:rPr>
            </w:pPr>
          </w:p>
        </w:tc>
      </w:tr>
      <w:tr w:rsidR="00C861DA">
        <w:trPr>
          <w:trHeight w:val="369"/>
          <w:jc w:val="center"/>
        </w:trPr>
        <w:tc>
          <w:tcPr>
            <w:tcW w:w="2062" w:type="dxa"/>
            <w:vMerge/>
            <w:vAlign w:val="center"/>
          </w:tcPr>
          <w:p w:rsidR="00C861DA" w:rsidRDefault="00C861DA">
            <w:pPr>
              <w:jc w:val="center"/>
              <w:rPr>
                <w:rFonts w:ascii="Times New Roman" w:eastAsia="宋体"/>
                <w:color w:val="000000" w:themeColor="text1"/>
              </w:rPr>
            </w:pPr>
          </w:p>
        </w:tc>
        <w:tc>
          <w:tcPr>
            <w:tcW w:w="2149"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1</w:t>
            </w:r>
            <w:r>
              <w:rPr>
                <w:rFonts w:ascii="Times New Roman" w:eastAsia="宋体"/>
                <w:color w:val="000000" w:themeColor="text1"/>
              </w:rPr>
              <w:t>小时平均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10</w:t>
            </w:r>
          </w:p>
        </w:tc>
        <w:tc>
          <w:tcPr>
            <w:tcW w:w="2364" w:type="dxa"/>
            <w:vMerge/>
            <w:vAlign w:val="center"/>
          </w:tcPr>
          <w:p w:rsidR="00C861DA" w:rsidRDefault="00C861DA">
            <w:pPr>
              <w:jc w:val="center"/>
              <w:rPr>
                <w:rFonts w:ascii="Times New Roman" w:eastAsia="宋体"/>
                <w:color w:val="000000" w:themeColor="text1"/>
              </w:rPr>
            </w:pPr>
          </w:p>
        </w:tc>
      </w:tr>
      <w:tr w:rsidR="00C861DA">
        <w:trPr>
          <w:trHeight w:val="369"/>
          <w:jc w:val="center"/>
        </w:trPr>
        <w:tc>
          <w:tcPr>
            <w:tcW w:w="2062" w:type="dxa"/>
            <w:vMerge w:val="restart"/>
            <w:vAlign w:val="center"/>
          </w:tcPr>
          <w:p w:rsidR="00C861DA" w:rsidRDefault="0044752E">
            <w:pPr>
              <w:jc w:val="center"/>
              <w:rPr>
                <w:rFonts w:ascii="Times New Roman" w:eastAsia="宋体"/>
                <w:color w:val="000000" w:themeColor="text1"/>
              </w:rPr>
            </w:pPr>
            <w:r>
              <w:rPr>
                <w:rFonts w:ascii="Times New Roman" w:eastAsia="宋体"/>
                <w:snapToGrid w:val="0"/>
                <w:color w:val="000000" w:themeColor="text1"/>
              </w:rPr>
              <w:t>氟化物（</w:t>
            </w:r>
            <w:r>
              <w:rPr>
                <w:rFonts w:ascii="Times New Roman" w:eastAsia="宋体"/>
                <w:snapToGrid w:val="0"/>
                <w:color w:val="000000" w:themeColor="text1"/>
              </w:rPr>
              <w:t>F</w:t>
            </w:r>
            <w:r>
              <w:rPr>
                <w:rFonts w:ascii="Times New Roman" w:eastAsia="宋体"/>
                <w:snapToGrid w:val="0"/>
                <w:color w:val="000000" w:themeColor="text1"/>
              </w:rPr>
              <w:t>）</w:t>
            </w:r>
          </w:p>
        </w:tc>
        <w:tc>
          <w:tcPr>
            <w:tcW w:w="2149"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1</w:t>
            </w:r>
            <w:r>
              <w:rPr>
                <w:rFonts w:ascii="Times New Roman" w:eastAsia="宋体"/>
                <w:color w:val="000000" w:themeColor="text1"/>
              </w:rPr>
              <w:t>小时平均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20</w:t>
            </w:r>
          </w:p>
        </w:tc>
        <w:tc>
          <w:tcPr>
            <w:tcW w:w="2364" w:type="dxa"/>
            <w:vMerge/>
            <w:vAlign w:val="center"/>
          </w:tcPr>
          <w:p w:rsidR="00C861DA" w:rsidRDefault="00C861DA">
            <w:pPr>
              <w:jc w:val="center"/>
              <w:rPr>
                <w:rFonts w:ascii="Times New Roman" w:eastAsia="宋体"/>
                <w:color w:val="000000" w:themeColor="text1"/>
              </w:rPr>
            </w:pPr>
          </w:p>
        </w:tc>
      </w:tr>
      <w:tr w:rsidR="00C861DA">
        <w:trPr>
          <w:trHeight w:val="369"/>
          <w:jc w:val="center"/>
        </w:trPr>
        <w:tc>
          <w:tcPr>
            <w:tcW w:w="2062" w:type="dxa"/>
            <w:vMerge/>
            <w:vAlign w:val="center"/>
          </w:tcPr>
          <w:p w:rsidR="00C861DA" w:rsidRDefault="00C861DA">
            <w:pPr>
              <w:jc w:val="center"/>
              <w:rPr>
                <w:rFonts w:ascii="Times New Roman" w:eastAsia="宋体"/>
                <w:snapToGrid w:val="0"/>
                <w:color w:val="000000" w:themeColor="text1"/>
              </w:rPr>
            </w:pPr>
          </w:p>
        </w:tc>
        <w:tc>
          <w:tcPr>
            <w:tcW w:w="2149" w:type="dxa"/>
            <w:vAlign w:val="center"/>
          </w:tcPr>
          <w:p w:rsidR="00C861DA" w:rsidRDefault="0044752E">
            <w:pPr>
              <w:jc w:val="center"/>
              <w:rPr>
                <w:rFonts w:ascii="Times New Roman" w:eastAsia="宋体"/>
                <w:snapToGrid w:val="0"/>
                <w:color w:val="000000" w:themeColor="text1"/>
              </w:rPr>
            </w:pPr>
            <w:r>
              <w:rPr>
                <w:rFonts w:ascii="Times New Roman" w:eastAsia="宋体"/>
                <w:snapToGrid w:val="0"/>
                <w:color w:val="000000" w:themeColor="text1"/>
              </w:rPr>
              <w:t>24</w:t>
            </w:r>
            <w:r>
              <w:rPr>
                <w:rFonts w:ascii="Times New Roman" w:eastAsia="宋体"/>
                <w:snapToGrid w:val="0"/>
                <w:color w:val="000000" w:themeColor="text1"/>
              </w:rPr>
              <w:t>小时平均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7</w:t>
            </w:r>
          </w:p>
        </w:tc>
        <w:tc>
          <w:tcPr>
            <w:tcW w:w="2364" w:type="dxa"/>
            <w:vMerge/>
            <w:vAlign w:val="center"/>
          </w:tcPr>
          <w:p w:rsidR="00C861DA" w:rsidRDefault="00C861DA">
            <w:pPr>
              <w:jc w:val="center"/>
              <w:rPr>
                <w:rFonts w:ascii="Times New Roman" w:eastAsia="宋体"/>
                <w:color w:val="000000" w:themeColor="text1"/>
              </w:rPr>
            </w:pPr>
          </w:p>
        </w:tc>
      </w:tr>
      <w:tr w:rsidR="00C861DA">
        <w:trPr>
          <w:trHeight w:val="369"/>
          <w:jc w:val="center"/>
        </w:trPr>
        <w:tc>
          <w:tcPr>
            <w:tcW w:w="2062" w:type="dxa"/>
            <w:vAlign w:val="center"/>
          </w:tcPr>
          <w:p w:rsidR="00C861DA" w:rsidRDefault="0044752E">
            <w:pPr>
              <w:jc w:val="center"/>
              <w:rPr>
                <w:rFonts w:ascii="Times New Roman" w:eastAsia="宋体"/>
                <w:snapToGrid w:val="0"/>
                <w:color w:val="000000" w:themeColor="text1"/>
              </w:rPr>
            </w:pPr>
            <w:r>
              <w:rPr>
                <w:rFonts w:ascii="Times New Roman" w:eastAsia="宋体"/>
                <w:snapToGrid w:val="0"/>
                <w:color w:val="000000" w:themeColor="text1"/>
              </w:rPr>
              <w:t>氨</w:t>
            </w:r>
          </w:p>
        </w:tc>
        <w:tc>
          <w:tcPr>
            <w:tcW w:w="2149"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1</w:t>
            </w:r>
            <w:r>
              <w:rPr>
                <w:rFonts w:ascii="Times New Roman" w:eastAsia="宋体"/>
                <w:color w:val="000000" w:themeColor="text1"/>
              </w:rPr>
              <w:t>小时平均</w:t>
            </w:r>
          </w:p>
        </w:tc>
        <w:tc>
          <w:tcPr>
            <w:tcW w:w="1721"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200</w:t>
            </w:r>
          </w:p>
        </w:tc>
        <w:tc>
          <w:tcPr>
            <w:tcW w:w="2364"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HJ2.2-2018</w:t>
            </w:r>
          </w:p>
        </w:tc>
      </w:tr>
    </w:tbl>
    <w:p w:rsidR="00C861DA" w:rsidRDefault="0044752E">
      <w:pPr>
        <w:pStyle w:val="af1"/>
        <w:snapToGrid w:val="0"/>
        <w:spacing w:beforeLines="50" w:before="156" w:line="360" w:lineRule="auto"/>
        <w:ind w:firstLineChars="200" w:firstLine="482"/>
        <w:jc w:val="both"/>
        <w:rPr>
          <w:rFonts w:ascii="Times New Roman" w:eastAsia="宋体"/>
          <w:b/>
          <w:color w:val="000000" w:themeColor="text1"/>
          <w:sz w:val="24"/>
          <w:szCs w:val="24"/>
        </w:rPr>
      </w:pPr>
      <w:r>
        <w:rPr>
          <w:rFonts w:ascii="Times New Roman" w:eastAsia="宋体"/>
          <w:b/>
          <w:color w:val="000000" w:themeColor="text1"/>
          <w:sz w:val="24"/>
          <w:szCs w:val="24"/>
        </w:rPr>
        <w:t>（</w:t>
      </w:r>
      <w:r>
        <w:rPr>
          <w:rFonts w:ascii="Times New Roman" w:eastAsia="宋体"/>
          <w:b/>
          <w:color w:val="000000" w:themeColor="text1"/>
          <w:sz w:val="24"/>
          <w:szCs w:val="24"/>
        </w:rPr>
        <w:t>2</w:t>
      </w:r>
      <w:r>
        <w:rPr>
          <w:rFonts w:ascii="Times New Roman" w:eastAsia="宋体"/>
          <w:b/>
          <w:color w:val="000000" w:themeColor="text1"/>
          <w:sz w:val="24"/>
          <w:szCs w:val="24"/>
        </w:rPr>
        <w:t>）地表水环境质量标准</w:t>
      </w:r>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color w:val="000000" w:themeColor="text1"/>
          <w:sz w:val="24"/>
          <w:szCs w:val="24"/>
        </w:rPr>
        <w:t>项目区位于安宁市安宁工业园，周边主要地表水系</w:t>
      </w:r>
      <w:r>
        <w:rPr>
          <w:rFonts w:ascii="Times New Roman" w:eastAsia="宋体"/>
          <w:color w:val="000000" w:themeColor="text1"/>
          <w:sz w:val="24"/>
          <w:szCs w:val="24"/>
        </w:rPr>
        <w:tab/>
      </w:r>
      <w:r>
        <w:rPr>
          <w:rFonts w:ascii="Times New Roman" w:eastAsia="宋体"/>
          <w:color w:val="000000" w:themeColor="text1"/>
          <w:sz w:val="24"/>
          <w:szCs w:val="24"/>
        </w:rPr>
        <w:t>为螃蟹河水库、禄脿河及螳螂川，汇水范围为螃蟹河水库及禄脿河，根据《云南省地表水水环境功能区划》（</w:t>
      </w:r>
      <w:r>
        <w:rPr>
          <w:rFonts w:ascii="Times New Roman" w:eastAsia="宋体"/>
          <w:color w:val="000000" w:themeColor="text1"/>
          <w:sz w:val="24"/>
          <w:szCs w:val="24"/>
        </w:rPr>
        <w:t>2010~2020</w:t>
      </w:r>
      <w:r>
        <w:rPr>
          <w:rFonts w:ascii="Times New Roman" w:eastAsia="宋体"/>
          <w:color w:val="000000" w:themeColor="text1"/>
          <w:sz w:val="24"/>
          <w:szCs w:val="24"/>
        </w:rPr>
        <w:t>年）和《安宁市环境保护与生态建设</w:t>
      </w:r>
      <w:r>
        <w:rPr>
          <w:rFonts w:ascii="Times New Roman" w:eastAsia="宋体"/>
          <w:color w:val="000000" w:themeColor="text1"/>
          <w:sz w:val="24"/>
          <w:szCs w:val="24"/>
        </w:rPr>
        <w:t>“</w:t>
      </w:r>
      <w:r>
        <w:rPr>
          <w:rFonts w:ascii="Times New Roman" w:eastAsia="宋体"/>
          <w:color w:val="000000" w:themeColor="text1"/>
          <w:sz w:val="24"/>
          <w:szCs w:val="24"/>
        </w:rPr>
        <w:t>十三五</w:t>
      </w:r>
      <w:r>
        <w:rPr>
          <w:rFonts w:ascii="Times New Roman" w:eastAsia="宋体"/>
          <w:color w:val="000000" w:themeColor="text1"/>
          <w:sz w:val="24"/>
          <w:szCs w:val="24"/>
        </w:rPr>
        <w:t>”</w:t>
      </w:r>
      <w:r>
        <w:rPr>
          <w:rFonts w:ascii="Times New Roman" w:eastAsia="宋体"/>
          <w:color w:val="000000" w:themeColor="text1"/>
          <w:sz w:val="24"/>
          <w:szCs w:val="24"/>
        </w:rPr>
        <w:t>规划》（</w:t>
      </w:r>
      <w:r>
        <w:rPr>
          <w:rFonts w:ascii="Times New Roman" w:eastAsia="宋体"/>
          <w:color w:val="000000" w:themeColor="text1"/>
          <w:sz w:val="24"/>
          <w:szCs w:val="24"/>
        </w:rPr>
        <w:t>2016</w:t>
      </w:r>
      <w:r>
        <w:rPr>
          <w:rFonts w:ascii="Times New Roman" w:eastAsia="宋体"/>
          <w:color w:val="000000" w:themeColor="text1"/>
          <w:sz w:val="24"/>
          <w:szCs w:val="24"/>
        </w:rPr>
        <w:t>年</w:t>
      </w:r>
      <w:r>
        <w:rPr>
          <w:rFonts w:ascii="Times New Roman" w:eastAsia="宋体"/>
          <w:color w:val="000000" w:themeColor="text1"/>
          <w:sz w:val="24"/>
          <w:szCs w:val="24"/>
        </w:rPr>
        <w:t>6</w:t>
      </w:r>
      <w:r>
        <w:rPr>
          <w:rFonts w:ascii="Times New Roman" w:eastAsia="宋体"/>
          <w:color w:val="000000" w:themeColor="text1"/>
          <w:sz w:val="24"/>
          <w:szCs w:val="24"/>
        </w:rPr>
        <w:t>月）提出的水质目标，禄脿河功能为工业、农业用水，水质执行《地表水环境质量标准》（</w:t>
      </w:r>
      <w:r>
        <w:rPr>
          <w:rFonts w:ascii="Times New Roman" w:eastAsia="宋体"/>
          <w:color w:val="000000" w:themeColor="text1"/>
          <w:sz w:val="24"/>
          <w:szCs w:val="24"/>
        </w:rPr>
        <w:t>GB3838-2002</w:t>
      </w:r>
      <w:r>
        <w:rPr>
          <w:rFonts w:ascii="Times New Roman" w:eastAsia="宋体"/>
          <w:color w:val="000000" w:themeColor="text1"/>
          <w:sz w:val="24"/>
          <w:szCs w:val="24"/>
        </w:rPr>
        <w:t>）</w:t>
      </w:r>
      <w:r>
        <w:rPr>
          <w:rFonts w:ascii="宋体" w:eastAsia="宋体" w:hAnsi="宋体" w:cs="宋体" w:hint="eastAsia"/>
          <w:color w:val="000000" w:themeColor="text1"/>
          <w:sz w:val="24"/>
          <w:szCs w:val="24"/>
        </w:rPr>
        <w:t>Ⅲ</w:t>
      </w:r>
      <w:r>
        <w:rPr>
          <w:rFonts w:ascii="Times New Roman" w:eastAsia="宋体"/>
          <w:color w:val="000000" w:themeColor="text1"/>
          <w:sz w:val="24"/>
          <w:szCs w:val="24"/>
        </w:rPr>
        <w:t>类标准；根据《安宁市水务局关于安宁市禄脿街道办事处安丰营村委会螃蟹河水库功能定义的说明》（见附件），螃蟹河水库属于小（二）型水库，螃蟹河水库作为云南祥丰金麦化工有限公司生产使用，则水质参照禄脿河执行《地表水环境质量标准》（</w:t>
      </w:r>
      <w:r>
        <w:rPr>
          <w:rFonts w:ascii="Times New Roman" w:eastAsia="宋体"/>
          <w:color w:val="000000" w:themeColor="text1"/>
          <w:sz w:val="24"/>
          <w:szCs w:val="24"/>
        </w:rPr>
        <w:t>GB38</w:t>
      </w:r>
      <w:r>
        <w:rPr>
          <w:rFonts w:ascii="Times New Roman" w:eastAsia="宋体"/>
          <w:color w:val="000000" w:themeColor="text1"/>
          <w:sz w:val="24"/>
          <w:szCs w:val="24"/>
        </w:rPr>
        <w:t>38-2002</w:t>
      </w:r>
      <w:r>
        <w:rPr>
          <w:rFonts w:ascii="Times New Roman" w:eastAsia="宋体"/>
          <w:color w:val="000000" w:themeColor="text1"/>
          <w:sz w:val="24"/>
          <w:szCs w:val="24"/>
        </w:rPr>
        <w:t>）</w:t>
      </w:r>
      <w:r>
        <w:rPr>
          <w:rFonts w:ascii="宋体" w:eastAsia="宋体" w:hAnsi="宋体" w:cs="宋体" w:hint="eastAsia"/>
          <w:color w:val="000000" w:themeColor="text1"/>
          <w:sz w:val="24"/>
          <w:szCs w:val="24"/>
        </w:rPr>
        <w:t>Ⅲ</w:t>
      </w:r>
      <w:r>
        <w:rPr>
          <w:rFonts w:ascii="Times New Roman" w:eastAsia="宋体"/>
          <w:color w:val="000000" w:themeColor="text1"/>
          <w:sz w:val="24"/>
          <w:szCs w:val="24"/>
        </w:rPr>
        <w:t>类标准。标准值见表</w:t>
      </w:r>
      <w:r>
        <w:rPr>
          <w:rFonts w:ascii="Times New Roman" w:eastAsia="宋体"/>
          <w:color w:val="000000" w:themeColor="text1"/>
          <w:sz w:val="24"/>
          <w:szCs w:val="24"/>
        </w:rPr>
        <w:t>2.5-2</w:t>
      </w:r>
      <w:r>
        <w:rPr>
          <w:rFonts w:ascii="Times New Roman" w:eastAsia="宋体"/>
          <w:color w:val="000000" w:themeColor="text1"/>
          <w:sz w:val="24"/>
          <w:szCs w:val="24"/>
        </w:rPr>
        <w:t>。</w:t>
      </w:r>
    </w:p>
    <w:p w:rsidR="00C861DA" w:rsidRDefault="0044752E">
      <w:pPr>
        <w:pStyle w:val="af1"/>
        <w:snapToGrid w:val="0"/>
        <w:jc w:val="center"/>
        <w:rPr>
          <w:rFonts w:ascii="Times New Roman" w:eastAsia="宋体"/>
          <w:b/>
          <w:color w:val="000000" w:themeColor="text1"/>
          <w:sz w:val="24"/>
          <w:szCs w:val="24"/>
        </w:rPr>
      </w:pPr>
      <w:r>
        <w:rPr>
          <w:rFonts w:ascii="Times New Roman" w:eastAsia="宋体"/>
          <w:b/>
          <w:color w:val="000000" w:themeColor="text1"/>
          <w:sz w:val="24"/>
          <w:szCs w:val="24"/>
        </w:rPr>
        <w:t>表</w:t>
      </w:r>
      <w:r>
        <w:rPr>
          <w:rFonts w:ascii="Times New Roman" w:eastAsia="宋体"/>
          <w:b/>
          <w:color w:val="000000" w:themeColor="text1"/>
          <w:sz w:val="24"/>
          <w:szCs w:val="24"/>
        </w:rPr>
        <w:t xml:space="preserve">2.5-2  </w:t>
      </w:r>
      <w:r>
        <w:rPr>
          <w:rFonts w:ascii="Times New Roman" w:eastAsia="宋体"/>
          <w:b/>
          <w:color w:val="000000" w:themeColor="text1"/>
          <w:sz w:val="24"/>
          <w:szCs w:val="24"/>
        </w:rPr>
        <w:t>地表水环境质量标准限值</w:t>
      </w:r>
      <w:r>
        <w:rPr>
          <w:rFonts w:ascii="Times New Roman" w:eastAsia="宋体"/>
          <w:b/>
          <w:color w:val="000000" w:themeColor="text1"/>
          <w:sz w:val="24"/>
          <w:szCs w:val="24"/>
        </w:rPr>
        <w:t xml:space="preserve">  </w:t>
      </w:r>
      <w:r>
        <w:rPr>
          <w:rFonts w:ascii="Times New Roman" w:eastAsia="宋体"/>
          <w:b/>
          <w:color w:val="000000" w:themeColor="text1"/>
          <w:sz w:val="24"/>
          <w:szCs w:val="24"/>
        </w:rPr>
        <w:t>单位：</w:t>
      </w:r>
      <w:r>
        <w:rPr>
          <w:rFonts w:ascii="Times New Roman" w:eastAsia="宋体"/>
          <w:b/>
          <w:color w:val="000000" w:themeColor="text1"/>
          <w:sz w:val="24"/>
          <w:szCs w:val="24"/>
        </w:rPr>
        <w:t>mg/L</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313"/>
        <w:gridCol w:w="1520"/>
        <w:gridCol w:w="3617"/>
      </w:tblGrid>
      <w:tr w:rsidR="00C861DA">
        <w:trPr>
          <w:trHeight w:val="369"/>
          <w:jc w:val="center"/>
        </w:trPr>
        <w:tc>
          <w:tcPr>
            <w:tcW w:w="846" w:type="dxa"/>
            <w:shd w:val="clear" w:color="auto" w:fill="auto"/>
            <w:vAlign w:val="center"/>
          </w:tcPr>
          <w:p w:rsidR="00C861DA" w:rsidRDefault="0044752E">
            <w:pPr>
              <w:jc w:val="center"/>
              <w:rPr>
                <w:rFonts w:ascii="Times New Roman" w:eastAsia="宋体"/>
                <w:b/>
                <w:color w:val="000000" w:themeColor="text1"/>
              </w:rPr>
            </w:pPr>
            <w:r>
              <w:rPr>
                <w:rFonts w:ascii="Times New Roman" w:eastAsia="宋体"/>
                <w:b/>
                <w:color w:val="000000" w:themeColor="text1"/>
              </w:rPr>
              <w:t>序号</w:t>
            </w:r>
          </w:p>
        </w:tc>
        <w:tc>
          <w:tcPr>
            <w:tcW w:w="2313" w:type="dxa"/>
            <w:shd w:val="clear" w:color="auto" w:fill="auto"/>
            <w:vAlign w:val="center"/>
          </w:tcPr>
          <w:p w:rsidR="00C861DA" w:rsidRDefault="0044752E">
            <w:pPr>
              <w:jc w:val="center"/>
              <w:rPr>
                <w:rFonts w:ascii="Times New Roman" w:eastAsia="宋体"/>
                <w:b/>
                <w:color w:val="000000" w:themeColor="text1"/>
              </w:rPr>
            </w:pPr>
            <w:r>
              <w:rPr>
                <w:rFonts w:ascii="Times New Roman" w:eastAsia="宋体"/>
                <w:b/>
                <w:color w:val="000000" w:themeColor="text1"/>
              </w:rPr>
              <w:t>项目</w:t>
            </w:r>
          </w:p>
        </w:tc>
        <w:tc>
          <w:tcPr>
            <w:tcW w:w="1520" w:type="dxa"/>
            <w:shd w:val="clear" w:color="auto" w:fill="auto"/>
            <w:vAlign w:val="center"/>
          </w:tcPr>
          <w:p w:rsidR="00C861DA" w:rsidRDefault="0044752E">
            <w:pPr>
              <w:jc w:val="center"/>
              <w:rPr>
                <w:rFonts w:ascii="Times New Roman" w:eastAsia="宋体"/>
                <w:b/>
                <w:color w:val="000000" w:themeColor="text1"/>
              </w:rPr>
            </w:pPr>
            <w:r>
              <w:rPr>
                <w:rFonts w:ascii="Times New Roman" w:eastAsia="宋体"/>
                <w:b/>
                <w:color w:val="000000" w:themeColor="text1"/>
              </w:rPr>
              <w:t>执行标准类别</w:t>
            </w:r>
          </w:p>
        </w:tc>
        <w:tc>
          <w:tcPr>
            <w:tcW w:w="3617" w:type="dxa"/>
            <w:shd w:val="clear" w:color="auto" w:fill="auto"/>
            <w:vAlign w:val="center"/>
          </w:tcPr>
          <w:p w:rsidR="00C861DA" w:rsidRDefault="0044752E">
            <w:pPr>
              <w:jc w:val="center"/>
              <w:rPr>
                <w:rFonts w:ascii="Times New Roman" w:eastAsia="宋体"/>
                <w:b/>
                <w:color w:val="000000" w:themeColor="text1"/>
              </w:rPr>
            </w:pPr>
            <w:r>
              <w:rPr>
                <w:rFonts w:ascii="Times New Roman" w:eastAsia="宋体"/>
                <w:b/>
                <w:color w:val="000000" w:themeColor="text1"/>
              </w:rPr>
              <w:t>执行标准限值</w:t>
            </w:r>
          </w:p>
        </w:tc>
      </w:tr>
      <w:tr w:rsidR="00C861DA">
        <w:trPr>
          <w:trHeight w:val="369"/>
          <w:jc w:val="center"/>
        </w:trPr>
        <w:tc>
          <w:tcPr>
            <w:tcW w:w="846"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1</w:t>
            </w:r>
          </w:p>
        </w:tc>
        <w:tc>
          <w:tcPr>
            <w:tcW w:w="2313"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水温（</w:t>
            </w:r>
            <w:r>
              <w:rPr>
                <w:rFonts w:ascii="宋体" w:eastAsia="宋体" w:hAnsi="宋体" w:cs="宋体" w:hint="eastAsia"/>
                <w:color w:val="000000" w:themeColor="text1"/>
              </w:rPr>
              <w:t>℃</w:t>
            </w:r>
            <w:r>
              <w:rPr>
                <w:rFonts w:ascii="Times New Roman" w:eastAsia="宋体"/>
                <w:color w:val="000000" w:themeColor="text1"/>
              </w:rPr>
              <w:t>）</w:t>
            </w:r>
          </w:p>
        </w:tc>
        <w:tc>
          <w:tcPr>
            <w:tcW w:w="1520" w:type="dxa"/>
            <w:vMerge w:val="restart"/>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 xml:space="preserve">GB3838-2002 </w:t>
            </w:r>
            <w:r>
              <w:rPr>
                <w:rFonts w:ascii="Times New Roman" w:eastAsia="宋体"/>
                <w:color w:val="000000" w:themeColor="text1"/>
              </w:rPr>
              <w:t>表</w:t>
            </w:r>
            <w:r>
              <w:rPr>
                <w:rFonts w:ascii="Times New Roman" w:eastAsia="宋体"/>
                <w:color w:val="000000" w:themeColor="text1"/>
              </w:rPr>
              <w:t>1</w:t>
            </w:r>
          </w:p>
          <w:p w:rsidR="00C861DA" w:rsidRDefault="0044752E">
            <w:pPr>
              <w:jc w:val="center"/>
              <w:rPr>
                <w:rFonts w:ascii="Times New Roman" w:eastAsia="宋体"/>
                <w:color w:val="000000" w:themeColor="text1"/>
              </w:rPr>
            </w:pPr>
            <w:r>
              <w:rPr>
                <w:rFonts w:ascii="宋体" w:eastAsia="宋体" w:hAnsi="宋体" w:cs="宋体" w:hint="eastAsia"/>
                <w:color w:val="000000" w:themeColor="text1"/>
              </w:rPr>
              <w:t>Ⅲ</w:t>
            </w:r>
            <w:r>
              <w:rPr>
                <w:rFonts w:ascii="Times New Roman" w:eastAsia="宋体"/>
                <w:color w:val="000000" w:themeColor="text1"/>
              </w:rPr>
              <w:t>类水质标准限值</w:t>
            </w:r>
          </w:p>
        </w:tc>
        <w:tc>
          <w:tcPr>
            <w:tcW w:w="3617"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人为造成的水温变化应限制在周平均最大温升</w:t>
            </w:r>
            <w:r>
              <w:rPr>
                <w:rFonts w:ascii="Times New Roman" w:eastAsia="宋体"/>
                <w:color w:val="000000" w:themeColor="text1"/>
              </w:rPr>
              <w:t>≤</w:t>
            </w:r>
            <w:r>
              <w:rPr>
                <w:rFonts w:ascii="Times New Roman" w:eastAsia="宋体"/>
                <w:color w:val="000000" w:themeColor="text1"/>
              </w:rPr>
              <w:t>1</w:t>
            </w:r>
            <w:r>
              <w:rPr>
                <w:rFonts w:ascii="Times New Roman" w:eastAsia="宋体"/>
                <w:color w:val="000000" w:themeColor="text1"/>
              </w:rPr>
              <w:t>；周平均最大降温</w:t>
            </w:r>
            <w:r>
              <w:rPr>
                <w:rFonts w:ascii="Times New Roman" w:eastAsia="宋体"/>
                <w:color w:val="000000" w:themeColor="text1"/>
              </w:rPr>
              <w:t>≤</w:t>
            </w:r>
            <w:r>
              <w:rPr>
                <w:rFonts w:ascii="Times New Roman" w:eastAsia="宋体"/>
                <w:color w:val="000000" w:themeColor="text1"/>
              </w:rPr>
              <w:t>2</w:t>
            </w:r>
          </w:p>
        </w:tc>
      </w:tr>
      <w:tr w:rsidR="00C861DA">
        <w:trPr>
          <w:trHeight w:val="369"/>
          <w:jc w:val="center"/>
        </w:trPr>
        <w:tc>
          <w:tcPr>
            <w:tcW w:w="846"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2</w:t>
            </w:r>
          </w:p>
        </w:tc>
        <w:tc>
          <w:tcPr>
            <w:tcW w:w="2313"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pH</w:t>
            </w:r>
            <w:r>
              <w:rPr>
                <w:rFonts w:ascii="Times New Roman" w:eastAsia="宋体"/>
                <w:color w:val="000000" w:themeColor="text1"/>
              </w:rPr>
              <w:t>（无量纲）</w:t>
            </w:r>
          </w:p>
        </w:tc>
        <w:tc>
          <w:tcPr>
            <w:tcW w:w="1520" w:type="dxa"/>
            <w:vMerge/>
            <w:shd w:val="clear" w:color="auto" w:fill="auto"/>
            <w:vAlign w:val="center"/>
          </w:tcPr>
          <w:p w:rsidR="00C861DA" w:rsidRDefault="00C861DA">
            <w:pPr>
              <w:jc w:val="center"/>
              <w:rPr>
                <w:rFonts w:ascii="Times New Roman" w:eastAsia="宋体"/>
                <w:color w:val="000000" w:themeColor="text1"/>
              </w:rPr>
            </w:pPr>
          </w:p>
        </w:tc>
        <w:tc>
          <w:tcPr>
            <w:tcW w:w="3617"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6~9</w:t>
            </w:r>
          </w:p>
        </w:tc>
      </w:tr>
      <w:tr w:rsidR="00C861DA">
        <w:trPr>
          <w:trHeight w:val="369"/>
          <w:jc w:val="center"/>
        </w:trPr>
        <w:tc>
          <w:tcPr>
            <w:tcW w:w="846"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3</w:t>
            </w:r>
          </w:p>
        </w:tc>
        <w:tc>
          <w:tcPr>
            <w:tcW w:w="2313"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化学需氧量（</w:t>
            </w:r>
            <w:r>
              <w:rPr>
                <w:rFonts w:ascii="Times New Roman" w:eastAsia="宋体"/>
                <w:color w:val="000000" w:themeColor="text1"/>
              </w:rPr>
              <w:t>COD</w:t>
            </w:r>
            <w:r>
              <w:rPr>
                <w:rFonts w:ascii="Times New Roman" w:eastAsia="宋体"/>
                <w:color w:val="000000" w:themeColor="text1"/>
                <w:vertAlign w:val="subscript"/>
              </w:rPr>
              <w:t>Cr</w:t>
            </w:r>
            <w:r>
              <w:rPr>
                <w:rFonts w:ascii="Times New Roman" w:eastAsia="宋体"/>
                <w:color w:val="000000" w:themeColor="text1"/>
              </w:rPr>
              <w:t>）</w:t>
            </w:r>
          </w:p>
        </w:tc>
        <w:tc>
          <w:tcPr>
            <w:tcW w:w="1520" w:type="dxa"/>
            <w:vMerge/>
            <w:shd w:val="clear" w:color="auto" w:fill="auto"/>
            <w:vAlign w:val="center"/>
          </w:tcPr>
          <w:p w:rsidR="00C861DA" w:rsidRDefault="00C861DA">
            <w:pPr>
              <w:jc w:val="center"/>
              <w:rPr>
                <w:rFonts w:ascii="Times New Roman" w:eastAsia="宋体"/>
                <w:color w:val="000000" w:themeColor="text1"/>
              </w:rPr>
            </w:pPr>
          </w:p>
        </w:tc>
        <w:tc>
          <w:tcPr>
            <w:tcW w:w="3617"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20</w:t>
            </w:r>
          </w:p>
        </w:tc>
      </w:tr>
      <w:tr w:rsidR="00C861DA">
        <w:trPr>
          <w:trHeight w:val="369"/>
          <w:jc w:val="center"/>
        </w:trPr>
        <w:tc>
          <w:tcPr>
            <w:tcW w:w="846"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4</w:t>
            </w:r>
          </w:p>
        </w:tc>
        <w:tc>
          <w:tcPr>
            <w:tcW w:w="2313"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生化需氧量（</w:t>
            </w:r>
            <w:r>
              <w:rPr>
                <w:rFonts w:ascii="Times New Roman" w:eastAsia="宋体"/>
                <w:color w:val="000000" w:themeColor="text1"/>
              </w:rPr>
              <w:t>BOD</w:t>
            </w:r>
            <w:r>
              <w:rPr>
                <w:rFonts w:ascii="Times New Roman" w:eastAsia="宋体"/>
                <w:color w:val="000000" w:themeColor="text1"/>
                <w:vertAlign w:val="subscript"/>
              </w:rPr>
              <w:t>5</w:t>
            </w:r>
            <w:r>
              <w:rPr>
                <w:rFonts w:ascii="Times New Roman" w:eastAsia="宋体"/>
                <w:color w:val="000000" w:themeColor="text1"/>
              </w:rPr>
              <w:t>）</w:t>
            </w:r>
          </w:p>
        </w:tc>
        <w:tc>
          <w:tcPr>
            <w:tcW w:w="1520" w:type="dxa"/>
            <w:vMerge/>
            <w:shd w:val="clear" w:color="auto" w:fill="auto"/>
            <w:vAlign w:val="center"/>
          </w:tcPr>
          <w:p w:rsidR="00C861DA" w:rsidRDefault="00C861DA">
            <w:pPr>
              <w:jc w:val="center"/>
              <w:rPr>
                <w:rFonts w:ascii="Times New Roman" w:eastAsia="宋体"/>
                <w:color w:val="000000" w:themeColor="text1"/>
              </w:rPr>
            </w:pPr>
          </w:p>
        </w:tc>
        <w:tc>
          <w:tcPr>
            <w:tcW w:w="3617"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4</w:t>
            </w:r>
          </w:p>
        </w:tc>
      </w:tr>
      <w:tr w:rsidR="00C861DA">
        <w:trPr>
          <w:trHeight w:val="369"/>
          <w:jc w:val="center"/>
        </w:trPr>
        <w:tc>
          <w:tcPr>
            <w:tcW w:w="846"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5</w:t>
            </w:r>
          </w:p>
        </w:tc>
        <w:tc>
          <w:tcPr>
            <w:tcW w:w="2313"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挥发酚</w:t>
            </w:r>
          </w:p>
        </w:tc>
        <w:tc>
          <w:tcPr>
            <w:tcW w:w="1520" w:type="dxa"/>
            <w:vMerge/>
            <w:shd w:val="clear" w:color="auto" w:fill="auto"/>
            <w:vAlign w:val="center"/>
          </w:tcPr>
          <w:p w:rsidR="00C861DA" w:rsidRDefault="00C861DA">
            <w:pPr>
              <w:jc w:val="center"/>
              <w:rPr>
                <w:rFonts w:ascii="Times New Roman" w:eastAsia="宋体"/>
                <w:color w:val="000000" w:themeColor="text1"/>
              </w:rPr>
            </w:pPr>
          </w:p>
        </w:tc>
        <w:tc>
          <w:tcPr>
            <w:tcW w:w="3617"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0.005</w:t>
            </w:r>
          </w:p>
        </w:tc>
      </w:tr>
      <w:tr w:rsidR="00C861DA">
        <w:trPr>
          <w:trHeight w:val="369"/>
          <w:jc w:val="center"/>
        </w:trPr>
        <w:tc>
          <w:tcPr>
            <w:tcW w:w="846"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6</w:t>
            </w:r>
          </w:p>
        </w:tc>
        <w:tc>
          <w:tcPr>
            <w:tcW w:w="2313"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氰化物</w:t>
            </w:r>
          </w:p>
        </w:tc>
        <w:tc>
          <w:tcPr>
            <w:tcW w:w="1520" w:type="dxa"/>
            <w:vMerge/>
            <w:shd w:val="clear" w:color="auto" w:fill="auto"/>
            <w:vAlign w:val="center"/>
          </w:tcPr>
          <w:p w:rsidR="00C861DA" w:rsidRDefault="00C861DA">
            <w:pPr>
              <w:jc w:val="center"/>
              <w:rPr>
                <w:rFonts w:ascii="Times New Roman" w:eastAsia="宋体"/>
                <w:color w:val="000000" w:themeColor="text1"/>
              </w:rPr>
            </w:pPr>
          </w:p>
        </w:tc>
        <w:tc>
          <w:tcPr>
            <w:tcW w:w="3617"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0.2</w:t>
            </w:r>
          </w:p>
        </w:tc>
      </w:tr>
      <w:tr w:rsidR="00C861DA">
        <w:trPr>
          <w:trHeight w:val="369"/>
          <w:jc w:val="center"/>
        </w:trPr>
        <w:tc>
          <w:tcPr>
            <w:tcW w:w="846"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7</w:t>
            </w:r>
          </w:p>
        </w:tc>
        <w:tc>
          <w:tcPr>
            <w:tcW w:w="2313"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氨氮（</w:t>
            </w:r>
            <w:r>
              <w:rPr>
                <w:rFonts w:ascii="Times New Roman" w:eastAsia="宋体"/>
                <w:color w:val="000000" w:themeColor="text1"/>
              </w:rPr>
              <w:t>NH</w:t>
            </w:r>
            <w:r>
              <w:rPr>
                <w:rFonts w:ascii="Times New Roman" w:eastAsia="宋体"/>
                <w:color w:val="000000" w:themeColor="text1"/>
                <w:vertAlign w:val="subscript"/>
              </w:rPr>
              <w:t>3</w:t>
            </w:r>
            <w:r>
              <w:rPr>
                <w:rFonts w:ascii="Times New Roman" w:eastAsia="宋体"/>
                <w:color w:val="000000" w:themeColor="text1"/>
              </w:rPr>
              <w:t>-N</w:t>
            </w:r>
            <w:r>
              <w:rPr>
                <w:rFonts w:ascii="Times New Roman" w:eastAsia="宋体"/>
                <w:color w:val="000000" w:themeColor="text1"/>
              </w:rPr>
              <w:t>）</w:t>
            </w:r>
          </w:p>
        </w:tc>
        <w:tc>
          <w:tcPr>
            <w:tcW w:w="1520" w:type="dxa"/>
            <w:vMerge/>
            <w:shd w:val="clear" w:color="auto" w:fill="auto"/>
            <w:vAlign w:val="center"/>
          </w:tcPr>
          <w:p w:rsidR="00C861DA" w:rsidRDefault="00C861DA">
            <w:pPr>
              <w:jc w:val="center"/>
              <w:rPr>
                <w:rFonts w:ascii="Times New Roman" w:eastAsia="宋体"/>
                <w:color w:val="000000" w:themeColor="text1"/>
              </w:rPr>
            </w:pPr>
          </w:p>
        </w:tc>
        <w:tc>
          <w:tcPr>
            <w:tcW w:w="3617"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1</w:t>
            </w:r>
          </w:p>
        </w:tc>
      </w:tr>
      <w:tr w:rsidR="00C861DA">
        <w:trPr>
          <w:trHeight w:val="369"/>
          <w:jc w:val="center"/>
        </w:trPr>
        <w:tc>
          <w:tcPr>
            <w:tcW w:w="846"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8</w:t>
            </w:r>
          </w:p>
        </w:tc>
        <w:tc>
          <w:tcPr>
            <w:tcW w:w="2313"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氟化物（以</w:t>
            </w:r>
            <w:r>
              <w:rPr>
                <w:rFonts w:ascii="Times New Roman" w:eastAsia="宋体"/>
                <w:color w:val="000000" w:themeColor="text1"/>
              </w:rPr>
              <w:t>F</w:t>
            </w:r>
            <w:r>
              <w:rPr>
                <w:rFonts w:ascii="Times New Roman" w:eastAsia="宋体"/>
                <w:color w:val="000000" w:themeColor="text1"/>
                <w:vertAlign w:val="superscript"/>
              </w:rPr>
              <w:t xml:space="preserve">- </w:t>
            </w:r>
            <w:r>
              <w:rPr>
                <w:rFonts w:ascii="Times New Roman" w:eastAsia="宋体"/>
                <w:color w:val="000000" w:themeColor="text1"/>
              </w:rPr>
              <w:t>计）</w:t>
            </w:r>
          </w:p>
        </w:tc>
        <w:tc>
          <w:tcPr>
            <w:tcW w:w="1520" w:type="dxa"/>
            <w:vMerge/>
            <w:shd w:val="clear" w:color="auto" w:fill="auto"/>
            <w:vAlign w:val="center"/>
          </w:tcPr>
          <w:p w:rsidR="00C861DA" w:rsidRDefault="00C861DA">
            <w:pPr>
              <w:jc w:val="center"/>
              <w:rPr>
                <w:rFonts w:ascii="Times New Roman" w:eastAsia="宋体"/>
                <w:color w:val="000000" w:themeColor="text1"/>
              </w:rPr>
            </w:pPr>
          </w:p>
        </w:tc>
        <w:tc>
          <w:tcPr>
            <w:tcW w:w="3617"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1.0</w:t>
            </w:r>
          </w:p>
        </w:tc>
      </w:tr>
      <w:tr w:rsidR="00C861DA">
        <w:trPr>
          <w:trHeight w:val="369"/>
          <w:jc w:val="center"/>
        </w:trPr>
        <w:tc>
          <w:tcPr>
            <w:tcW w:w="846"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9</w:t>
            </w:r>
          </w:p>
        </w:tc>
        <w:tc>
          <w:tcPr>
            <w:tcW w:w="2313"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砷</w:t>
            </w:r>
          </w:p>
        </w:tc>
        <w:tc>
          <w:tcPr>
            <w:tcW w:w="1520" w:type="dxa"/>
            <w:vMerge/>
            <w:shd w:val="clear" w:color="auto" w:fill="auto"/>
            <w:vAlign w:val="center"/>
          </w:tcPr>
          <w:p w:rsidR="00C861DA" w:rsidRDefault="00C861DA">
            <w:pPr>
              <w:jc w:val="center"/>
              <w:rPr>
                <w:rFonts w:ascii="Times New Roman" w:eastAsia="宋体"/>
                <w:color w:val="000000" w:themeColor="text1"/>
              </w:rPr>
            </w:pPr>
          </w:p>
        </w:tc>
        <w:tc>
          <w:tcPr>
            <w:tcW w:w="3617"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0.05</w:t>
            </w:r>
          </w:p>
        </w:tc>
      </w:tr>
      <w:tr w:rsidR="00C861DA">
        <w:trPr>
          <w:trHeight w:val="369"/>
          <w:jc w:val="center"/>
        </w:trPr>
        <w:tc>
          <w:tcPr>
            <w:tcW w:w="846"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10</w:t>
            </w:r>
          </w:p>
        </w:tc>
        <w:tc>
          <w:tcPr>
            <w:tcW w:w="2313"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硫化物</w:t>
            </w:r>
          </w:p>
        </w:tc>
        <w:tc>
          <w:tcPr>
            <w:tcW w:w="1520" w:type="dxa"/>
            <w:vMerge/>
            <w:shd w:val="clear" w:color="auto" w:fill="auto"/>
            <w:vAlign w:val="center"/>
          </w:tcPr>
          <w:p w:rsidR="00C861DA" w:rsidRDefault="00C861DA">
            <w:pPr>
              <w:jc w:val="center"/>
              <w:rPr>
                <w:rFonts w:ascii="Times New Roman" w:eastAsia="宋体"/>
                <w:color w:val="000000" w:themeColor="text1"/>
              </w:rPr>
            </w:pPr>
          </w:p>
        </w:tc>
        <w:tc>
          <w:tcPr>
            <w:tcW w:w="3617" w:type="dxa"/>
            <w:shd w:val="clear" w:color="auto" w:fill="auto"/>
            <w:vAlign w:val="center"/>
          </w:tcPr>
          <w:p w:rsidR="00C861DA" w:rsidRDefault="0044752E">
            <w:pPr>
              <w:jc w:val="center"/>
              <w:rPr>
                <w:rFonts w:ascii="Times New Roman" w:eastAsia="宋体"/>
                <w:color w:val="000000" w:themeColor="text1"/>
              </w:rPr>
            </w:pPr>
            <w:r>
              <w:rPr>
                <w:rFonts w:ascii="Times New Roman" w:eastAsia="宋体"/>
                <w:color w:val="000000" w:themeColor="text1"/>
              </w:rPr>
              <w:t>0.2</w:t>
            </w:r>
          </w:p>
        </w:tc>
      </w:tr>
    </w:tbl>
    <w:p w:rsidR="00C861DA" w:rsidRDefault="0044752E">
      <w:pPr>
        <w:pStyle w:val="af1"/>
        <w:snapToGrid w:val="0"/>
        <w:spacing w:beforeLines="50" w:before="156" w:line="360" w:lineRule="auto"/>
        <w:ind w:firstLineChars="200" w:firstLine="482"/>
        <w:jc w:val="both"/>
        <w:rPr>
          <w:rFonts w:ascii="Times New Roman" w:eastAsia="宋体"/>
          <w:b/>
          <w:color w:val="000000" w:themeColor="text1"/>
          <w:sz w:val="24"/>
          <w:szCs w:val="24"/>
        </w:rPr>
      </w:pPr>
      <w:r>
        <w:rPr>
          <w:rFonts w:ascii="Times New Roman" w:eastAsia="宋体"/>
          <w:b/>
          <w:color w:val="000000" w:themeColor="text1"/>
          <w:sz w:val="24"/>
          <w:szCs w:val="24"/>
        </w:rPr>
        <w:t>（</w:t>
      </w:r>
      <w:r>
        <w:rPr>
          <w:rFonts w:ascii="Times New Roman" w:eastAsia="宋体"/>
          <w:b/>
          <w:color w:val="000000" w:themeColor="text1"/>
          <w:sz w:val="24"/>
          <w:szCs w:val="24"/>
        </w:rPr>
        <w:t>3</w:t>
      </w:r>
      <w:r>
        <w:rPr>
          <w:rFonts w:ascii="Times New Roman" w:eastAsia="宋体"/>
          <w:b/>
          <w:color w:val="000000" w:themeColor="text1"/>
          <w:sz w:val="24"/>
          <w:szCs w:val="24"/>
        </w:rPr>
        <w:t>）声环境质量标准</w:t>
      </w:r>
    </w:p>
    <w:p w:rsidR="00C861DA" w:rsidRDefault="0044752E">
      <w:pPr>
        <w:pStyle w:val="af1"/>
        <w:snapToGrid w:val="0"/>
        <w:spacing w:before="50" w:line="360" w:lineRule="auto"/>
        <w:ind w:firstLineChars="200" w:firstLine="480"/>
        <w:jc w:val="both"/>
        <w:rPr>
          <w:rFonts w:ascii="Times New Roman" w:eastAsia="宋体"/>
          <w:color w:val="000000" w:themeColor="text1"/>
          <w:sz w:val="24"/>
          <w:szCs w:val="24"/>
        </w:rPr>
      </w:pPr>
      <w:bookmarkStart w:id="156" w:name="_Hlk525916266"/>
      <w:r>
        <w:rPr>
          <w:rFonts w:ascii="Times New Roman" w:eastAsia="宋体"/>
          <w:color w:val="000000" w:themeColor="text1"/>
          <w:sz w:val="24"/>
        </w:rPr>
        <w:t>本项目位于安宁工业园区的工业聚集区内，所在区域执行《声环境质量标准》（</w:t>
      </w:r>
      <w:r>
        <w:rPr>
          <w:rFonts w:ascii="Times New Roman" w:eastAsia="宋体"/>
          <w:color w:val="000000" w:themeColor="text1"/>
          <w:sz w:val="24"/>
        </w:rPr>
        <w:t>GB3096</w:t>
      </w:r>
      <w:r>
        <w:rPr>
          <w:rFonts w:ascii="Times New Roman" w:eastAsia="宋体"/>
          <w:color w:val="000000" w:themeColor="text1"/>
          <w:sz w:val="24"/>
        </w:rPr>
        <w:t>－</w:t>
      </w:r>
      <w:r>
        <w:rPr>
          <w:rFonts w:ascii="Times New Roman" w:eastAsia="宋体"/>
          <w:color w:val="000000" w:themeColor="text1"/>
          <w:sz w:val="24"/>
        </w:rPr>
        <w:t>2008</w:t>
      </w:r>
      <w:r>
        <w:rPr>
          <w:rFonts w:ascii="Times New Roman" w:eastAsia="宋体"/>
          <w:color w:val="000000" w:themeColor="text1"/>
          <w:sz w:val="24"/>
        </w:rPr>
        <w:t>）中的</w:t>
      </w:r>
      <w:r>
        <w:rPr>
          <w:rFonts w:ascii="Times New Roman" w:eastAsia="宋体"/>
          <w:color w:val="000000" w:themeColor="text1"/>
          <w:sz w:val="24"/>
        </w:rPr>
        <w:t>3</w:t>
      </w:r>
      <w:r>
        <w:rPr>
          <w:rFonts w:ascii="Times New Roman" w:eastAsia="宋体"/>
          <w:color w:val="000000" w:themeColor="text1"/>
          <w:sz w:val="24"/>
        </w:rPr>
        <w:t>类标准</w:t>
      </w:r>
      <w:bookmarkEnd w:id="156"/>
      <w:r>
        <w:rPr>
          <w:rFonts w:ascii="Times New Roman" w:eastAsia="宋体"/>
          <w:color w:val="000000" w:themeColor="text1"/>
          <w:sz w:val="24"/>
        </w:rPr>
        <w:t>。</w:t>
      </w:r>
      <w:r>
        <w:rPr>
          <w:rFonts w:ascii="Times New Roman" w:eastAsia="宋体"/>
          <w:color w:val="000000" w:themeColor="text1"/>
          <w:sz w:val="24"/>
          <w:szCs w:val="24"/>
        </w:rPr>
        <w:t>标准限值见表</w:t>
      </w:r>
      <w:r>
        <w:rPr>
          <w:rFonts w:ascii="Times New Roman" w:eastAsia="宋体"/>
          <w:color w:val="000000" w:themeColor="text1"/>
          <w:sz w:val="24"/>
          <w:szCs w:val="24"/>
        </w:rPr>
        <w:t>2.5-3</w:t>
      </w:r>
      <w:r>
        <w:rPr>
          <w:rFonts w:ascii="Times New Roman" w:eastAsia="宋体"/>
          <w:color w:val="000000" w:themeColor="text1"/>
          <w:sz w:val="24"/>
          <w:szCs w:val="24"/>
        </w:rPr>
        <w:t>。</w:t>
      </w:r>
    </w:p>
    <w:p w:rsidR="00C861DA" w:rsidRDefault="0044752E">
      <w:pPr>
        <w:pStyle w:val="af1"/>
        <w:snapToGrid w:val="0"/>
        <w:jc w:val="center"/>
        <w:rPr>
          <w:rFonts w:ascii="Times New Roman" w:eastAsia="宋体"/>
          <w:b/>
          <w:color w:val="000000" w:themeColor="text1"/>
          <w:sz w:val="24"/>
          <w:szCs w:val="24"/>
        </w:rPr>
      </w:pPr>
      <w:r>
        <w:rPr>
          <w:rFonts w:ascii="Times New Roman" w:eastAsia="宋体"/>
          <w:b/>
          <w:color w:val="000000" w:themeColor="text1"/>
          <w:sz w:val="24"/>
          <w:szCs w:val="24"/>
        </w:rPr>
        <w:lastRenderedPageBreak/>
        <w:t>表</w:t>
      </w:r>
      <w:r>
        <w:rPr>
          <w:rFonts w:ascii="Times New Roman" w:eastAsia="宋体"/>
          <w:b/>
          <w:color w:val="000000" w:themeColor="text1"/>
          <w:sz w:val="24"/>
          <w:szCs w:val="24"/>
        </w:rPr>
        <w:t xml:space="preserve">2.5-3  </w:t>
      </w:r>
      <w:r>
        <w:rPr>
          <w:rFonts w:ascii="Times New Roman" w:eastAsia="宋体"/>
          <w:b/>
          <w:color w:val="000000" w:themeColor="text1"/>
          <w:sz w:val="24"/>
          <w:szCs w:val="24"/>
        </w:rPr>
        <w:t>声环境质量标准</w:t>
      </w:r>
      <w:r>
        <w:rPr>
          <w:rFonts w:ascii="Times New Roman" w:eastAsia="宋体"/>
          <w:b/>
          <w:color w:val="000000" w:themeColor="text1"/>
          <w:sz w:val="24"/>
          <w:szCs w:val="24"/>
        </w:rPr>
        <w:t xml:space="preserve">  </w:t>
      </w:r>
      <w:r>
        <w:rPr>
          <w:rFonts w:ascii="Times New Roman" w:eastAsia="宋体"/>
          <w:b/>
          <w:color w:val="000000" w:themeColor="text1"/>
          <w:sz w:val="24"/>
          <w:szCs w:val="24"/>
        </w:rPr>
        <w:t>单位：</w:t>
      </w:r>
      <w:r>
        <w:rPr>
          <w:rFonts w:ascii="Times New Roman" w:eastAsia="宋体"/>
          <w:b/>
          <w:color w:val="000000" w:themeColor="text1"/>
          <w:sz w:val="24"/>
          <w:szCs w:val="24"/>
        </w:rPr>
        <w:t>dB(A)</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6"/>
        <w:gridCol w:w="2764"/>
        <w:gridCol w:w="2766"/>
      </w:tblGrid>
      <w:tr w:rsidR="00C861DA">
        <w:trPr>
          <w:trHeight w:val="369"/>
          <w:jc w:val="center"/>
        </w:trPr>
        <w:tc>
          <w:tcPr>
            <w:tcW w:w="2766"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类别</w:t>
            </w:r>
          </w:p>
        </w:tc>
        <w:tc>
          <w:tcPr>
            <w:tcW w:w="2764"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昼间</w:t>
            </w:r>
          </w:p>
        </w:tc>
        <w:tc>
          <w:tcPr>
            <w:tcW w:w="2766"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夜间</w:t>
            </w:r>
          </w:p>
        </w:tc>
      </w:tr>
      <w:tr w:rsidR="00C861DA">
        <w:trPr>
          <w:trHeight w:val="369"/>
          <w:jc w:val="center"/>
        </w:trPr>
        <w:tc>
          <w:tcPr>
            <w:tcW w:w="2766"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3</w:t>
            </w:r>
            <w:r>
              <w:rPr>
                <w:rFonts w:ascii="Times New Roman" w:eastAsia="宋体"/>
                <w:color w:val="000000" w:themeColor="text1"/>
              </w:rPr>
              <w:t>类</w:t>
            </w:r>
          </w:p>
        </w:tc>
        <w:tc>
          <w:tcPr>
            <w:tcW w:w="2764"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65</w:t>
            </w:r>
          </w:p>
        </w:tc>
        <w:tc>
          <w:tcPr>
            <w:tcW w:w="2766" w:type="dxa"/>
            <w:vAlign w:val="center"/>
          </w:tcPr>
          <w:p w:rsidR="00C861DA" w:rsidRDefault="0044752E">
            <w:pPr>
              <w:jc w:val="center"/>
              <w:rPr>
                <w:rFonts w:ascii="Times New Roman" w:eastAsia="宋体"/>
                <w:color w:val="000000" w:themeColor="text1"/>
              </w:rPr>
            </w:pPr>
            <w:r>
              <w:rPr>
                <w:rFonts w:ascii="Times New Roman" w:eastAsia="宋体"/>
                <w:color w:val="000000" w:themeColor="text1"/>
              </w:rPr>
              <w:t>55</w:t>
            </w:r>
          </w:p>
        </w:tc>
      </w:tr>
    </w:tbl>
    <w:p w:rsidR="00C861DA" w:rsidRDefault="0044752E">
      <w:pPr>
        <w:spacing w:beforeLines="50" w:before="156" w:line="360" w:lineRule="auto"/>
        <w:ind w:firstLineChars="200" w:firstLine="482"/>
        <w:jc w:val="both"/>
        <w:rPr>
          <w:rFonts w:ascii="Times New Roman" w:eastAsia="宋体"/>
          <w:b/>
          <w:color w:val="000000" w:themeColor="text1"/>
          <w:sz w:val="24"/>
          <w:szCs w:val="24"/>
        </w:rPr>
      </w:pPr>
      <w:r>
        <w:rPr>
          <w:rFonts w:ascii="Times New Roman" w:eastAsia="宋体"/>
          <w:b/>
          <w:color w:val="000000" w:themeColor="text1"/>
          <w:sz w:val="24"/>
          <w:szCs w:val="24"/>
        </w:rPr>
        <w:t>（</w:t>
      </w:r>
      <w:r>
        <w:rPr>
          <w:rFonts w:ascii="Times New Roman" w:eastAsia="宋体"/>
          <w:b/>
          <w:color w:val="000000" w:themeColor="text1"/>
          <w:sz w:val="24"/>
          <w:szCs w:val="24"/>
        </w:rPr>
        <w:t>4</w:t>
      </w:r>
      <w:r>
        <w:rPr>
          <w:rFonts w:ascii="Times New Roman" w:eastAsia="宋体"/>
          <w:b/>
          <w:color w:val="000000" w:themeColor="text1"/>
          <w:sz w:val="24"/>
          <w:szCs w:val="24"/>
        </w:rPr>
        <w:t>）地下水环境质量标准</w:t>
      </w:r>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color w:val="000000" w:themeColor="text1"/>
          <w:sz w:val="24"/>
          <w:szCs w:val="24"/>
        </w:rPr>
        <w:t>根据国家地下水功能与水质标准的有关规定，对项目区域可能受项目实施影响的地下水执行《地下水质量标准》（</w:t>
      </w:r>
      <w:r>
        <w:rPr>
          <w:rFonts w:ascii="Times New Roman" w:eastAsia="宋体"/>
          <w:color w:val="000000" w:themeColor="text1"/>
          <w:sz w:val="24"/>
          <w:szCs w:val="24"/>
        </w:rPr>
        <w:t>GB/T14848-2017</w:t>
      </w:r>
      <w:r>
        <w:rPr>
          <w:rFonts w:ascii="Times New Roman" w:eastAsia="宋体"/>
          <w:color w:val="000000" w:themeColor="text1"/>
          <w:sz w:val="24"/>
          <w:szCs w:val="24"/>
        </w:rPr>
        <w:t>）中的</w:t>
      </w:r>
      <w:r>
        <w:rPr>
          <w:rFonts w:ascii="宋体" w:eastAsia="宋体" w:hAnsi="宋体" w:cs="宋体" w:hint="eastAsia"/>
          <w:color w:val="000000" w:themeColor="text1"/>
          <w:sz w:val="24"/>
          <w:szCs w:val="24"/>
        </w:rPr>
        <w:t>Ⅲ</w:t>
      </w:r>
      <w:r>
        <w:rPr>
          <w:rFonts w:ascii="Times New Roman" w:eastAsia="宋体"/>
          <w:color w:val="000000" w:themeColor="text1"/>
          <w:sz w:val="24"/>
          <w:szCs w:val="24"/>
        </w:rPr>
        <w:t>类标准（部分），标准限值见表</w:t>
      </w:r>
      <w:r>
        <w:rPr>
          <w:rFonts w:ascii="Times New Roman" w:eastAsia="宋体"/>
          <w:color w:val="000000" w:themeColor="text1"/>
          <w:sz w:val="24"/>
          <w:szCs w:val="24"/>
        </w:rPr>
        <w:t>2.5-4</w:t>
      </w:r>
      <w:r>
        <w:rPr>
          <w:rFonts w:ascii="Times New Roman" w:eastAsia="宋体"/>
          <w:color w:val="000000" w:themeColor="text1"/>
          <w:sz w:val="24"/>
          <w:szCs w:val="24"/>
        </w:rPr>
        <w:t>。</w:t>
      </w:r>
    </w:p>
    <w:p w:rsidR="00C861DA" w:rsidRDefault="00C861DA">
      <w:pPr>
        <w:pStyle w:val="21"/>
        <w:rPr>
          <w:color w:val="000000" w:themeColor="text1"/>
        </w:rPr>
      </w:pPr>
    </w:p>
    <w:p w:rsidR="00C861DA" w:rsidRDefault="00C861DA">
      <w:pPr>
        <w:pStyle w:val="21"/>
        <w:rPr>
          <w:color w:val="000000" w:themeColor="text1"/>
        </w:rPr>
      </w:pPr>
    </w:p>
    <w:p w:rsidR="00C861DA" w:rsidRDefault="0044752E">
      <w:pPr>
        <w:spacing w:beforeLines="50" w:before="156"/>
        <w:jc w:val="center"/>
        <w:rPr>
          <w:rFonts w:ascii="Times New Roman" w:eastAsia="宋体"/>
          <w:b/>
          <w:color w:val="000000" w:themeColor="text1"/>
          <w:sz w:val="24"/>
          <w:szCs w:val="24"/>
        </w:rPr>
      </w:pPr>
      <w:r>
        <w:rPr>
          <w:rFonts w:ascii="Times New Roman" w:eastAsia="宋体"/>
          <w:b/>
          <w:bCs/>
          <w:color w:val="000000" w:themeColor="text1"/>
          <w:sz w:val="24"/>
          <w:szCs w:val="24"/>
        </w:rPr>
        <w:t>表</w:t>
      </w:r>
      <w:r>
        <w:rPr>
          <w:rFonts w:ascii="Times New Roman" w:eastAsia="宋体"/>
          <w:b/>
          <w:bCs/>
          <w:color w:val="000000" w:themeColor="text1"/>
          <w:sz w:val="24"/>
          <w:szCs w:val="24"/>
        </w:rPr>
        <w:t xml:space="preserve">2.5-4  </w:t>
      </w:r>
      <w:r>
        <w:rPr>
          <w:rFonts w:ascii="Times New Roman" w:eastAsia="宋体"/>
          <w:b/>
          <w:bCs/>
          <w:color w:val="000000" w:themeColor="text1"/>
          <w:sz w:val="24"/>
          <w:szCs w:val="24"/>
        </w:rPr>
        <w:t>地下水环境质量标准</w:t>
      </w:r>
      <w:r>
        <w:rPr>
          <w:rFonts w:ascii="Times New Roman" w:eastAsia="宋体"/>
          <w:b/>
          <w:bCs/>
          <w:color w:val="000000" w:themeColor="text1"/>
          <w:sz w:val="24"/>
          <w:szCs w:val="24"/>
        </w:rPr>
        <w:t xml:space="preserve">  </w:t>
      </w:r>
      <w:r>
        <w:rPr>
          <w:rFonts w:ascii="Times New Roman" w:eastAsia="宋体"/>
          <w:b/>
          <w:color w:val="000000" w:themeColor="text1"/>
          <w:sz w:val="24"/>
          <w:szCs w:val="24"/>
        </w:rPr>
        <w:t>单位：</w:t>
      </w:r>
      <w:r>
        <w:rPr>
          <w:rFonts w:ascii="Times New Roman" w:eastAsia="宋体"/>
          <w:b/>
          <w:color w:val="000000" w:themeColor="text1"/>
          <w:sz w:val="24"/>
          <w:szCs w:val="24"/>
        </w:rPr>
        <w:t>mg/L</w:t>
      </w:r>
      <w:r>
        <w:rPr>
          <w:rFonts w:ascii="Times New Roman" w:eastAsia="宋体"/>
          <w:b/>
          <w:color w:val="000000" w:themeColor="text1"/>
          <w:sz w:val="24"/>
          <w:szCs w:val="24"/>
        </w:rPr>
        <w:t>（除</w:t>
      </w:r>
      <w:r>
        <w:rPr>
          <w:rFonts w:ascii="Times New Roman" w:eastAsia="宋体"/>
          <w:b/>
          <w:color w:val="000000" w:themeColor="text1"/>
          <w:sz w:val="24"/>
          <w:szCs w:val="24"/>
        </w:rPr>
        <w:t>pH</w:t>
      </w:r>
      <w:r>
        <w:rPr>
          <w:rFonts w:ascii="Times New Roman" w:eastAsia="宋体"/>
          <w:b/>
          <w:color w:val="000000" w:themeColor="text1"/>
          <w:sz w:val="24"/>
          <w:szCs w:val="24"/>
        </w:rPr>
        <w:t>外）</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809"/>
        <w:gridCol w:w="992"/>
        <w:gridCol w:w="1133"/>
        <w:gridCol w:w="2127"/>
        <w:gridCol w:w="1638"/>
      </w:tblGrid>
      <w:tr w:rsidR="00C861DA">
        <w:trPr>
          <w:trHeight w:val="369"/>
          <w:tblHeader/>
          <w:jc w:val="center"/>
        </w:trPr>
        <w:tc>
          <w:tcPr>
            <w:tcW w:w="597" w:type="dxa"/>
            <w:vAlign w:val="center"/>
          </w:tcPr>
          <w:p w:rsidR="00C861DA" w:rsidRDefault="0044752E">
            <w:pPr>
              <w:snapToGrid w:val="0"/>
              <w:jc w:val="center"/>
              <w:rPr>
                <w:rFonts w:ascii="Times New Roman" w:eastAsia="宋体"/>
                <w:b/>
                <w:color w:val="000000" w:themeColor="text1"/>
              </w:rPr>
            </w:pPr>
            <w:r>
              <w:rPr>
                <w:rFonts w:ascii="Times New Roman" w:eastAsia="宋体"/>
                <w:b/>
                <w:color w:val="000000" w:themeColor="text1"/>
              </w:rPr>
              <w:t>序号</w:t>
            </w:r>
          </w:p>
        </w:tc>
        <w:tc>
          <w:tcPr>
            <w:tcW w:w="1809" w:type="dxa"/>
            <w:vAlign w:val="center"/>
          </w:tcPr>
          <w:p w:rsidR="00C861DA" w:rsidRDefault="0044752E">
            <w:pPr>
              <w:snapToGrid w:val="0"/>
              <w:jc w:val="center"/>
              <w:rPr>
                <w:rFonts w:ascii="Times New Roman" w:eastAsia="宋体"/>
                <w:b/>
                <w:color w:val="000000" w:themeColor="text1"/>
              </w:rPr>
            </w:pPr>
            <w:r>
              <w:rPr>
                <w:rFonts w:ascii="Times New Roman" w:eastAsia="宋体"/>
                <w:b/>
                <w:color w:val="000000" w:themeColor="text1"/>
              </w:rPr>
              <w:t>项目</w:t>
            </w:r>
          </w:p>
        </w:tc>
        <w:tc>
          <w:tcPr>
            <w:tcW w:w="992" w:type="dxa"/>
            <w:vAlign w:val="center"/>
          </w:tcPr>
          <w:p w:rsidR="00C861DA" w:rsidRDefault="0044752E">
            <w:pPr>
              <w:snapToGrid w:val="0"/>
              <w:jc w:val="center"/>
              <w:rPr>
                <w:rFonts w:ascii="Times New Roman" w:eastAsia="宋体"/>
                <w:b/>
                <w:color w:val="000000" w:themeColor="text1"/>
              </w:rPr>
            </w:pPr>
            <w:r>
              <w:rPr>
                <w:rFonts w:ascii="Times New Roman" w:eastAsia="宋体"/>
                <w:b/>
                <w:color w:val="000000" w:themeColor="text1"/>
              </w:rPr>
              <w:t>标准限值</w:t>
            </w:r>
          </w:p>
        </w:tc>
        <w:tc>
          <w:tcPr>
            <w:tcW w:w="1133" w:type="dxa"/>
            <w:vAlign w:val="center"/>
          </w:tcPr>
          <w:p w:rsidR="00C861DA" w:rsidRDefault="0044752E">
            <w:pPr>
              <w:snapToGrid w:val="0"/>
              <w:jc w:val="center"/>
              <w:rPr>
                <w:rFonts w:ascii="Times New Roman" w:eastAsia="宋体"/>
                <w:b/>
                <w:color w:val="000000" w:themeColor="text1"/>
              </w:rPr>
            </w:pPr>
            <w:r>
              <w:rPr>
                <w:rFonts w:ascii="Times New Roman" w:eastAsia="宋体"/>
                <w:b/>
                <w:color w:val="000000" w:themeColor="text1"/>
              </w:rPr>
              <w:t>序号</w:t>
            </w:r>
          </w:p>
        </w:tc>
        <w:tc>
          <w:tcPr>
            <w:tcW w:w="2127" w:type="dxa"/>
            <w:vAlign w:val="center"/>
          </w:tcPr>
          <w:p w:rsidR="00C861DA" w:rsidRDefault="0044752E">
            <w:pPr>
              <w:snapToGrid w:val="0"/>
              <w:jc w:val="center"/>
              <w:rPr>
                <w:rFonts w:ascii="Times New Roman" w:eastAsia="宋体"/>
                <w:b/>
                <w:color w:val="000000" w:themeColor="text1"/>
              </w:rPr>
            </w:pPr>
            <w:r>
              <w:rPr>
                <w:rFonts w:ascii="Times New Roman" w:eastAsia="宋体"/>
                <w:b/>
                <w:color w:val="000000" w:themeColor="text1"/>
              </w:rPr>
              <w:t>项目</w:t>
            </w:r>
          </w:p>
        </w:tc>
        <w:tc>
          <w:tcPr>
            <w:tcW w:w="1638" w:type="dxa"/>
            <w:vAlign w:val="center"/>
          </w:tcPr>
          <w:p w:rsidR="00C861DA" w:rsidRDefault="0044752E">
            <w:pPr>
              <w:snapToGrid w:val="0"/>
              <w:jc w:val="center"/>
              <w:rPr>
                <w:rFonts w:ascii="Times New Roman" w:eastAsia="宋体"/>
                <w:b/>
                <w:color w:val="000000" w:themeColor="text1"/>
              </w:rPr>
            </w:pPr>
            <w:r>
              <w:rPr>
                <w:rFonts w:ascii="Times New Roman" w:eastAsia="宋体"/>
                <w:b/>
                <w:color w:val="000000" w:themeColor="text1"/>
              </w:rPr>
              <w:t>标准限值</w:t>
            </w:r>
          </w:p>
        </w:tc>
      </w:tr>
      <w:tr w:rsidR="00C861DA">
        <w:trPr>
          <w:trHeight w:val="369"/>
          <w:jc w:val="center"/>
        </w:trPr>
        <w:tc>
          <w:tcPr>
            <w:tcW w:w="59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w:t>
            </w:r>
          </w:p>
        </w:tc>
        <w:tc>
          <w:tcPr>
            <w:tcW w:w="1809"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pH</w:t>
            </w:r>
          </w:p>
        </w:tc>
        <w:tc>
          <w:tcPr>
            <w:tcW w:w="992"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6.5</w:t>
            </w:r>
            <w:r>
              <w:rPr>
                <w:rFonts w:ascii="Times New Roman" w:eastAsia="宋体"/>
                <w:color w:val="000000" w:themeColor="text1"/>
              </w:rPr>
              <w:t>～</w:t>
            </w:r>
            <w:r>
              <w:rPr>
                <w:rFonts w:ascii="Times New Roman" w:eastAsia="宋体"/>
                <w:color w:val="000000" w:themeColor="text1"/>
              </w:rPr>
              <w:t>8.5</w:t>
            </w:r>
          </w:p>
        </w:tc>
        <w:tc>
          <w:tcPr>
            <w:tcW w:w="113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12</w:t>
            </w:r>
          </w:p>
        </w:tc>
        <w:tc>
          <w:tcPr>
            <w:tcW w:w="212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氟化物</w:t>
            </w:r>
          </w:p>
        </w:tc>
        <w:tc>
          <w:tcPr>
            <w:tcW w:w="1638"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1.0</w:t>
            </w:r>
          </w:p>
        </w:tc>
      </w:tr>
      <w:tr w:rsidR="00C861DA">
        <w:trPr>
          <w:trHeight w:val="369"/>
          <w:jc w:val="center"/>
        </w:trPr>
        <w:tc>
          <w:tcPr>
            <w:tcW w:w="59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w:t>
            </w:r>
          </w:p>
        </w:tc>
        <w:tc>
          <w:tcPr>
            <w:tcW w:w="1809"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氨氮（以</w:t>
            </w:r>
            <w:r>
              <w:rPr>
                <w:rFonts w:ascii="Times New Roman" w:eastAsia="宋体"/>
                <w:color w:val="000000" w:themeColor="text1"/>
              </w:rPr>
              <w:t>N</w:t>
            </w:r>
            <w:r>
              <w:rPr>
                <w:rFonts w:ascii="Times New Roman" w:eastAsia="宋体"/>
                <w:color w:val="000000" w:themeColor="text1"/>
              </w:rPr>
              <w:t>计）</w:t>
            </w:r>
          </w:p>
        </w:tc>
        <w:tc>
          <w:tcPr>
            <w:tcW w:w="992"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0.50</w:t>
            </w:r>
          </w:p>
        </w:tc>
        <w:tc>
          <w:tcPr>
            <w:tcW w:w="113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13</w:t>
            </w:r>
          </w:p>
        </w:tc>
        <w:tc>
          <w:tcPr>
            <w:tcW w:w="212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镉</w:t>
            </w:r>
            <w:r>
              <w:rPr>
                <w:rFonts w:ascii="Times New Roman" w:eastAsia="宋体"/>
                <w:color w:val="000000" w:themeColor="text1"/>
              </w:rPr>
              <w:t>(Cd)</w:t>
            </w:r>
          </w:p>
        </w:tc>
        <w:tc>
          <w:tcPr>
            <w:tcW w:w="1638"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0.005</w:t>
            </w:r>
          </w:p>
        </w:tc>
      </w:tr>
      <w:tr w:rsidR="00C861DA">
        <w:trPr>
          <w:trHeight w:val="369"/>
          <w:jc w:val="center"/>
        </w:trPr>
        <w:tc>
          <w:tcPr>
            <w:tcW w:w="59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3</w:t>
            </w:r>
          </w:p>
        </w:tc>
        <w:tc>
          <w:tcPr>
            <w:tcW w:w="1809"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硝酸盐</w:t>
            </w:r>
          </w:p>
          <w:p w:rsidR="00C861DA" w:rsidRDefault="0044752E">
            <w:pPr>
              <w:snapToGrid w:val="0"/>
              <w:jc w:val="center"/>
              <w:rPr>
                <w:rFonts w:ascii="Times New Roman" w:eastAsia="宋体"/>
                <w:color w:val="000000" w:themeColor="text1"/>
                <w:highlight w:val="yellow"/>
              </w:rPr>
            </w:pPr>
            <w:r>
              <w:rPr>
                <w:rFonts w:ascii="Times New Roman" w:eastAsia="宋体"/>
                <w:color w:val="000000" w:themeColor="text1"/>
              </w:rPr>
              <w:t>（以</w:t>
            </w:r>
            <w:r>
              <w:rPr>
                <w:rFonts w:ascii="Times New Roman" w:eastAsia="宋体"/>
                <w:color w:val="000000" w:themeColor="text1"/>
              </w:rPr>
              <w:t>N</w:t>
            </w:r>
            <w:r>
              <w:rPr>
                <w:rFonts w:ascii="Times New Roman" w:eastAsia="宋体"/>
                <w:color w:val="000000" w:themeColor="text1"/>
              </w:rPr>
              <w:t>计）</w:t>
            </w:r>
          </w:p>
        </w:tc>
        <w:tc>
          <w:tcPr>
            <w:tcW w:w="992"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20</w:t>
            </w:r>
          </w:p>
        </w:tc>
        <w:tc>
          <w:tcPr>
            <w:tcW w:w="113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14</w:t>
            </w:r>
          </w:p>
        </w:tc>
        <w:tc>
          <w:tcPr>
            <w:tcW w:w="212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铁（</w:t>
            </w:r>
            <w:r>
              <w:rPr>
                <w:rFonts w:ascii="Times New Roman" w:eastAsia="宋体"/>
                <w:color w:val="000000" w:themeColor="text1"/>
              </w:rPr>
              <w:t>Fe</w:t>
            </w:r>
            <w:r>
              <w:rPr>
                <w:rFonts w:ascii="Times New Roman" w:eastAsia="宋体"/>
                <w:color w:val="000000" w:themeColor="text1"/>
              </w:rPr>
              <w:t>）</w:t>
            </w:r>
          </w:p>
        </w:tc>
        <w:tc>
          <w:tcPr>
            <w:tcW w:w="1638"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0.3</w:t>
            </w:r>
          </w:p>
        </w:tc>
      </w:tr>
      <w:tr w:rsidR="00C861DA">
        <w:trPr>
          <w:trHeight w:val="369"/>
          <w:jc w:val="center"/>
        </w:trPr>
        <w:tc>
          <w:tcPr>
            <w:tcW w:w="59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4</w:t>
            </w:r>
          </w:p>
        </w:tc>
        <w:tc>
          <w:tcPr>
            <w:tcW w:w="1809"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亚硝酸盐</w:t>
            </w:r>
          </w:p>
          <w:p w:rsidR="00C861DA" w:rsidRDefault="0044752E">
            <w:pPr>
              <w:snapToGrid w:val="0"/>
              <w:jc w:val="center"/>
              <w:rPr>
                <w:rFonts w:ascii="Times New Roman" w:eastAsia="宋体"/>
                <w:color w:val="000000" w:themeColor="text1"/>
                <w:highlight w:val="yellow"/>
              </w:rPr>
            </w:pPr>
            <w:r>
              <w:rPr>
                <w:rFonts w:ascii="Times New Roman" w:eastAsia="宋体"/>
                <w:color w:val="000000" w:themeColor="text1"/>
              </w:rPr>
              <w:t>(</w:t>
            </w:r>
            <w:r>
              <w:rPr>
                <w:rFonts w:ascii="Times New Roman" w:eastAsia="宋体"/>
                <w:color w:val="000000" w:themeColor="text1"/>
              </w:rPr>
              <w:t>以</w:t>
            </w:r>
            <w:r>
              <w:rPr>
                <w:rFonts w:ascii="Times New Roman" w:eastAsia="宋体"/>
                <w:color w:val="000000" w:themeColor="text1"/>
              </w:rPr>
              <w:t>N</w:t>
            </w:r>
            <w:r>
              <w:rPr>
                <w:rFonts w:ascii="Times New Roman" w:eastAsia="宋体"/>
                <w:color w:val="000000" w:themeColor="text1"/>
              </w:rPr>
              <w:t>计</w:t>
            </w:r>
            <w:r>
              <w:rPr>
                <w:rFonts w:ascii="Times New Roman" w:eastAsia="宋体"/>
                <w:color w:val="000000" w:themeColor="text1"/>
              </w:rPr>
              <w:t>)</w:t>
            </w:r>
          </w:p>
        </w:tc>
        <w:tc>
          <w:tcPr>
            <w:tcW w:w="992"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1.0</w:t>
            </w:r>
          </w:p>
        </w:tc>
        <w:tc>
          <w:tcPr>
            <w:tcW w:w="113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15</w:t>
            </w:r>
          </w:p>
        </w:tc>
        <w:tc>
          <w:tcPr>
            <w:tcW w:w="212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锰（</w:t>
            </w:r>
            <w:r>
              <w:rPr>
                <w:rFonts w:ascii="Times New Roman" w:eastAsia="宋体"/>
                <w:color w:val="000000" w:themeColor="text1"/>
              </w:rPr>
              <w:t>Mn</w:t>
            </w:r>
            <w:r>
              <w:rPr>
                <w:rFonts w:ascii="Times New Roman" w:eastAsia="宋体"/>
                <w:color w:val="000000" w:themeColor="text1"/>
              </w:rPr>
              <w:t>）</w:t>
            </w:r>
          </w:p>
        </w:tc>
        <w:tc>
          <w:tcPr>
            <w:tcW w:w="1638"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0.1</w:t>
            </w:r>
          </w:p>
        </w:tc>
      </w:tr>
      <w:tr w:rsidR="00C861DA">
        <w:trPr>
          <w:trHeight w:val="369"/>
          <w:jc w:val="center"/>
        </w:trPr>
        <w:tc>
          <w:tcPr>
            <w:tcW w:w="59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5</w:t>
            </w:r>
          </w:p>
        </w:tc>
        <w:tc>
          <w:tcPr>
            <w:tcW w:w="1809"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挥发性酚类</w:t>
            </w:r>
          </w:p>
          <w:p w:rsidR="00C861DA" w:rsidRDefault="0044752E">
            <w:pPr>
              <w:snapToGrid w:val="0"/>
              <w:jc w:val="center"/>
              <w:rPr>
                <w:rFonts w:ascii="Times New Roman" w:eastAsia="宋体"/>
                <w:color w:val="000000" w:themeColor="text1"/>
                <w:highlight w:val="yellow"/>
              </w:rPr>
            </w:pPr>
            <w:r>
              <w:rPr>
                <w:rFonts w:ascii="Times New Roman" w:eastAsia="宋体"/>
                <w:color w:val="000000" w:themeColor="text1"/>
              </w:rPr>
              <w:t>（以苯酚计）</w:t>
            </w:r>
          </w:p>
        </w:tc>
        <w:tc>
          <w:tcPr>
            <w:tcW w:w="992"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0.002</w:t>
            </w:r>
          </w:p>
        </w:tc>
        <w:tc>
          <w:tcPr>
            <w:tcW w:w="113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16</w:t>
            </w:r>
          </w:p>
        </w:tc>
        <w:tc>
          <w:tcPr>
            <w:tcW w:w="212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溶解性总固体</w:t>
            </w:r>
          </w:p>
        </w:tc>
        <w:tc>
          <w:tcPr>
            <w:tcW w:w="1638"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1000</w:t>
            </w:r>
          </w:p>
        </w:tc>
      </w:tr>
      <w:tr w:rsidR="00C861DA">
        <w:trPr>
          <w:trHeight w:val="369"/>
          <w:jc w:val="center"/>
        </w:trPr>
        <w:tc>
          <w:tcPr>
            <w:tcW w:w="59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6</w:t>
            </w:r>
          </w:p>
        </w:tc>
        <w:tc>
          <w:tcPr>
            <w:tcW w:w="1809"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氰化物</w:t>
            </w:r>
          </w:p>
        </w:tc>
        <w:tc>
          <w:tcPr>
            <w:tcW w:w="992"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0.05</w:t>
            </w:r>
          </w:p>
        </w:tc>
        <w:tc>
          <w:tcPr>
            <w:tcW w:w="113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17</w:t>
            </w:r>
          </w:p>
        </w:tc>
        <w:tc>
          <w:tcPr>
            <w:tcW w:w="212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高锰酸盐指数（</w:t>
            </w:r>
            <w:r>
              <w:rPr>
                <w:rFonts w:ascii="Times New Roman" w:eastAsia="宋体"/>
                <w:color w:val="000000" w:themeColor="text1"/>
              </w:rPr>
              <w:t>COD</w:t>
            </w:r>
            <w:r>
              <w:rPr>
                <w:rFonts w:ascii="Times New Roman" w:eastAsia="宋体"/>
                <w:color w:val="000000" w:themeColor="text1"/>
                <w:vertAlign w:val="subscript"/>
              </w:rPr>
              <w:t>Mn</w:t>
            </w:r>
            <w:r>
              <w:rPr>
                <w:rFonts w:ascii="Times New Roman" w:eastAsia="宋体"/>
                <w:color w:val="000000" w:themeColor="text1"/>
              </w:rPr>
              <w:t>）</w:t>
            </w:r>
          </w:p>
        </w:tc>
        <w:tc>
          <w:tcPr>
            <w:tcW w:w="1638"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3.0</w:t>
            </w:r>
          </w:p>
        </w:tc>
      </w:tr>
      <w:tr w:rsidR="00C861DA">
        <w:trPr>
          <w:trHeight w:val="369"/>
          <w:jc w:val="center"/>
        </w:trPr>
        <w:tc>
          <w:tcPr>
            <w:tcW w:w="59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7</w:t>
            </w:r>
          </w:p>
        </w:tc>
        <w:tc>
          <w:tcPr>
            <w:tcW w:w="1809"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砷</w:t>
            </w:r>
            <w:r>
              <w:rPr>
                <w:rFonts w:ascii="Times New Roman" w:eastAsia="宋体"/>
                <w:color w:val="000000" w:themeColor="text1"/>
              </w:rPr>
              <w:t>(As)</w:t>
            </w:r>
          </w:p>
        </w:tc>
        <w:tc>
          <w:tcPr>
            <w:tcW w:w="992"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0.01</w:t>
            </w:r>
          </w:p>
        </w:tc>
        <w:tc>
          <w:tcPr>
            <w:tcW w:w="113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18</w:t>
            </w:r>
          </w:p>
        </w:tc>
        <w:tc>
          <w:tcPr>
            <w:tcW w:w="212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硫酸盐</w:t>
            </w:r>
          </w:p>
        </w:tc>
        <w:tc>
          <w:tcPr>
            <w:tcW w:w="1638"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250</w:t>
            </w:r>
          </w:p>
        </w:tc>
      </w:tr>
      <w:tr w:rsidR="00C861DA">
        <w:trPr>
          <w:trHeight w:val="369"/>
          <w:jc w:val="center"/>
        </w:trPr>
        <w:tc>
          <w:tcPr>
            <w:tcW w:w="59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8</w:t>
            </w:r>
          </w:p>
        </w:tc>
        <w:tc>
          <w:tcPr>
            <w:tcW w:w="1809"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汞</w:t>
            </w:r>
            <w:r>
              <w:rPr>
                <w:rFonts w:ascii="Times New Roman" w:eastAsia="宋体"/>
                <w:color w:val="000000" w:themeColor="text1"/>
              </w:rPr>
              <w:t>(Hg)</w:t>
            </w:r>
          </w:p>
        </w:tc>
        <w:tc>
          <w:tcPr>
            <w:tcW w:w="992"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0.001</w:t>
            </w:r>
          </w:p>
        </w:tc>
        <w:tc>
          <w:tcPr>
            <w:tcW w:w="113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19</w:t>
            </w:r>
          </w:p>
        </w:tc>
        <w:tc>
          <w:tcPr>
            <w:tcW w:w="212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氯化物</w:t>
            </w:r>
          </w:p>
        </w:tc>
        <w:tc>
          <w:tcPr>
            <w:tcW w:w="1638"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250</w:t>
            </w:r>
          </w:p>
        </w:tc>
      </w:tr>
      <w:tr w:rsidR="00C861DA">
        <w:trPr>
          <w:trHeight w:val="369"/>
          <w:jc w:val="center"/>
        </w:trPr>
        <w:tc>
          <w:tcPr>
            <w:tcW w:w="59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9</w:t>
            </w:r>
          </w:p>
        </w:tc>
        <w:tc>
          <w:tcPr>
            <w:tcW w:w="1809"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铬</w:t>
            </w:r>
            <w:r>
              <w:rPr>
                <w:rFonts w:ascii="Times New Roman" w:eastAsia="宋体"/>
                <w:color w:val="000000" w:themeColor="text1"/>
              </w:rPr>
              <w:t>(</w:t>
            </w:r>
            <w:r>
              <w:rPr>
                <w:rFonts w:ascii="Times New Roman" w:eastAsia="宋体"/>
                <w:color w:val="000000" w:themeColor="text1"/>
              </w:rPr>
              <w:t>六价</w:t>
            </w:r>
            <w:r>
              <w:rPr>
                <w:rFonts w:ascii="Times New Roman" w:eastAsia="宋体"/>
                <w:color w:val="000000" w:themeColor="text1"/>
              </w:rPr>
              <w:t>)</w:t>
            </w:r>
          </w:p>
        </w:tc>
        <w:tc>
          <w:tcPr>
            <w:tcW w:w="992"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0.05</w:t>
            </w:r>
          </w:p>
        </w:tc>
        <w:tc>
          <w:tcPr>
            <w:tcW w:w="113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20</w:t>
            </w:r>
          </w:p>
        </w:tc>
        <w:tc>
          <w:tcPr>
            <w:tcW w:w="212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总大肠杆菌（</w:t>
            </w:r>
            <w:r>
              <w:rPr>
                <w:rFonts w:ascii="Times New Roman" w:eastAsia="宋体"/>
                <w:color w:val="000000" w:themeColor="text1"/>
              </w:rPr>
              <w:t>MPN</w:t>
            </w:r>
            <w:r>
              <w:rPr>
                <w:rFonts w:ascii="Times New Roman" w:eastAsia="宋体"/>
                <w:color w:val="000000" w:themeColor="text1"/>
                <w:vertAlign w:val="superscript"/>
              </w:rPr>
              <w:t>b</w:t>
            </w:r>
            <w:r>
              <w:rPr>
                <w:rFonts w:ascii="Times New Roman" w:eastAsia="宋体"/>
                <w:color w:val="000000" w:themeColor="text1"/>
              </w:rPr>
              <w:t>/100ml</w:t>
            </w:r>
            <w:r>
              <w:rPr>
                <w:rFonts w:ascii="Times New Roman" w:eastAsia="宋体"/>
                <w:color w:val="000000" w:themeColor="text1"/>
              </w:rPr>
              <w:t>或</w:t>
            </w:r>
            <w:r>
              <w:rPr>
                <w:rFonts w:ascii="Times New Roman" w:eastAsia="宋体"/>
                <w:color w:val="000000" w:themeColor="text1"/>
              </w:rPr>
              <w:t>CFU/100ml</w:t>
            </w:r>
            <w:r>
              <w:rPr>
                <w:rFonts w:ascii="Times New Roman" w:eastAsia="宋体"/>
                <w:color w:val="000000" w:themeColor="text1"/>
              </w:rPr>
              <w:t>）</w:t>
            </w:r>
          </w:p>
        </w:tc>
        <w:tc>
          <w:tcPr>
            <w:tcW w:w="1638"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3.0</w:t>
            </w:r>
          </w:p>
        </w:tc>
      </w:tr>
      <w:tr w:rsidR="00C861DA">
        <w:trPr>
          <w:trHeight w:val="369"/>
          <w:jc w:val="center"/>
        </w:trPr>
        <w:tc>
          <w:tcPr>
            <w:tcW w:w="59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10</w:t>
            </w:r>
          </w:p>
        </w:tc>
        <w:tc>
          <w:tcPr>
            <w:tcW w:w="1809"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总硬度</w:t>
            </w:r>
          </w:p>
          <w:p w:rsidR="00C861DA" w:rsidRDefault="0044752E">
            <w:pPr>
              <w:snapToGrid w:val="0"/>
              <w:jc w:val="center"/>
              <w:rPr>
                <w:rFonts w:ascii="Times New Roman" w:eastAsia="宋体"/>
                <w:color w:val="000000" w:themeColor="text1"/>
              </w:rPr>
            </w:pPr>
            <w:r>
              <w:rPr>
                <w:rFonts w:ascii="Times New Roman" w:eastAsia="宋体"/>
                <w:color w:val="000000" w:themeColor="text1"/>
              </w:rPr>
              <w:t>（以</w:t>
            </w:r>
            <w:r>
              <w:rPr>
                <w:rFonts w:ascii="Times New Roman" w:eastAsia="宋体"/>
                <w:color w:val="000000" w:themeColor="text1"/>
              </w:rPr>
              <w:t>CaCO</w:t>
            </w:r>
            <w:r>
              <w:rPr>
                <w:rFonts w:ascii="Times New Roman" w:eastAsia="宋体"/>
                <w:color w:val="000000" w:themeColor="text1"/>
                <w:vertAlign w:val="subscript"/>
              </w:rPr>
              <w:t>3</w:t>
            </w:r>
            <w:r>
              <w:rPr>
                <w:rFonts w:ascii="Times New Roman" w:eastAsia="宋体"/>
                <w:color w:val="000000" w:themeColor="text1"/>
              </w:rPr>
              <w:t>计）</w:t>
            </w:r>
          </w:p>
        </w:tc>
        <w:tc>
          <w:tcPr>
            <w:tcW w:w="992"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450</w:t>
            </w:r>
          </w:p>
        </w:tc>
        <w:tc>
          <w:tcPr>
            <w:tcW w:w="113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21</w:t>
            </w:r>
          </w:p>
        </w:tc>
        <w:tc>
          <w:tcPr>
            <w:tcW w:w="212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细菌总数（</w:t>
            </w:r>
            <w:r>
              <w:rPr>
                <w:rFonts w:ascii="Times New Roman" w:eastAsia="宋体"/>
                <w:color w:val="000000" w:themeColor="text1"/>
              </w:rPr>
              <w:t>CFU/100ml</w:t>
            </w:r>
            <w:r>
              <w:rPr>
                <w:rFonts w:ascii="Times New Roman" w:eastAsia="宋体"/>
                <w:color w:val="000000" w:themeColor="text1"/>
              </w:rPr>
              <w:t>）</w:t>
            </w:r>
          </w:p>
        </w:tc>
        <w:tc>
          <w:tcPr>
            <w:tcW w:w="1638"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100</w:t>
            </w:r>
          </w:p>
        </w:tc>
      </w:tr>
      <w:tr w:rsidR="00C861DA">
        <w:trPr>
          <w:trHeight w:val="369"/>
          <w:jc w:val="center"/>
        </w:trPr>
        <w:tc>
          <w:tcPr>
            <w:tcW w:w="59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11</w:t>
            </w:r>
          </w:p>
        </w:tc>
        <w:tc>
          <w:tcPr>
            <w:tcW w:w="1809"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铅</w:t>
            </w:r>
          </w:p>
        </w:tc>
        <w:tc>
          <w:tcPr>
            <w:tcW w:w="992"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r>
              <w:rPr>
                <w:rFonts w:ascii="Times New Roman" w:eastAsia="宋体"/>
                <w:color w:val="000000" w:themeColor="text1"/>
              </w:rPr>
              <w:t>0.01</w:t>
            </w:r>
          </w:p>
        </w:tc>
        <w:tc>
          <w:tcPr>
            <w:tcW w:w="113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p>
        </w:tc>
        <w:tc>
          <w:tcPr>
            <w:tcW w:w="212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p>
        </w:tc>
        <w:tc>
          <w:tcPr>
            <w:tcW w:w="1638"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w:t>
            </w:r>
          </w:p>
        </w:tc>
      </w:tr>
    </w:tbl>
    <w:p w:rsidR="00C861DA" w:rsidRDefault="0044752E">
      <w:pPr>
        <w:spacing w:beforeLines="50" w:before="156" w:line="360" w:lineRule="auto"/>
        <w:ind w:firstLineChars="200" w:firstLine="482"/>
        <w:jc w:val="both"/>
        <w:rPr>
          <w:rFonts w:ascii="Times New Roman" w:eastAsia="宋体"/>
          <w:b/>
          <w:color w:val="000000" w:themeColor="text1"/>
          <w:sz w:val="24"/>
        </w:rPr>
      </w:pPr>
      <w:r>
        <w:rPr>
          <w:rFonts w:ascii="Times New Roman" w:eastAsia="宋体"/>
          <w:b/>
          <w:color w:val="000000" w:themeColor="text1"/>
          <w:sz w:val="24"/>
        </w:rPr>
        <w:t>（</w:t>
      </w:r>
      <w:r>
        <w:rPr>
          <w:rFonts w:ascii="Times New Roman" w:eastAsia="宋体"/>
          <w:b/>
          <w:color w:val="000000" w:themeColor="text1"/>
          <w:sz w:val="24"/>
        </w:rPr>
        <w:t>5</w:t>
      </w:r>
      <w:r>
        <w:rPr>
          <w:rFonts w:ascii="Times New Roman" w:eastAsia="宋体"/>
          <w:b/>
          <w:color w:val="000000" w:themeColor="text1"/>
          <w:sz w:val="24"/>
        </w:rPr>
        <w:t>）土壤环境质量标准</w:t>
      </w:r>
    </w:p>
    <w:p w:rsidR="00C861DA" w:rsidRDefault="0044752E">
      <w:pPr>
        <w:spacing w:before="50" w:line="360" w:lineRule="auto"/>
        <w:ind w:firstLineChars="200" w:firstLine="480"/>
        <w:jc w:val="both"/>
        <w:rPr>
          <w:rFonts w:ascii="Times New Roman" w:eastAsia="宋体"/>
          <w:color w:val="000000" w:themeColor="text1"/>
          <w:sz w:val="24"/>
        </w:rPr>
      </w:pPr>
      <w:r>
        <w:rPr>
          <w:rFonts w:ascii="Times New Roman" w:eastAsia="宋体"/>
          <w:color w:val="000000" w:themeColor="text1"/>
          <w:sz w:val="24"/>
        </w:rPr>
        <w:t>本项目位于安宁工业园区规划范围内，项目周边现状农用地土壤执行《土壤环境质量</w:t>
      </w:r>
      <w:r>
        <w:rPr>
          <w:rFonts w:ascii="Times New Roman" w:eastAsia="宋体"/>
          <w:color w:val="000000" w:themeColor="text1"/>
          <w:sz w:val="24"/>
        </w:rPr>
        <w:t xml:space="preserve"> </w:t>
      </w:r>
      <w:r>
        <w:rPr>
          <w:rFonts w:ascii="Times New Roman" w:eastAsia="宋体"/>
          <w:color w:val="000000" w:themeColor="text1"/>
          <w:sz w:val="24"/>
        </w:rPr>
        <w:t>农用地土壤污染风险管控标准（试行）》（</w:t>
      </w:r>
      <w:r>
        <w:rPr>
          <w:rFonts w:ascii="Times New Roman" w:eastAsia="宋体"/>
          <w:color w:val="000000" w:themeColor="text1"/>
          <w:sz w:val="24"/>
        </w:rPr>
        <w:t>GB15618-2018</w:t>
      </w:r>
      <w:r>
        <w:rPr>
          <w:rFonts w:ascii="Times New Roman" w:eastAsia="宋体"/>
          <w:color w:val="000000" w:themeColor="text1"/>
          <w:sz w:val="24"/>
        </w:rPr>
        <w:t>）中土壤污染风险筛选值和风险管制值，具体限值分别见表</w:t>
      </w:r>
      <w:r>
        <w:rPr>
          <w:rFonts w:ascii="Times New Roman" w:eastAsia="宋体"/>
          <w:color w:val="000000" w:themeColor="text1"/>
          <w:sz w:val="24"/>
        </w:rPr>
        <w:t>2.5-5</w:t>
      </w:r>
      <w:r>
        <w:rPr>
          <w:rFonts w:ascii="Times New Roman" w:eastAsia="宋体"/>
          <w:color w:val="000000" w:themeColor="text1"/>
          <w:sz w:val="24"/>
        </w:rPr>
        <w:t>和表</w:t>
      </w:r>
      <w:r>
        <w:rPr>
          <w:rFonts w:ascii="Times New Roman" w:eastAsia="宋体"/>
          <w:color w:val="000000" w:themeColor="text1"/>
          <w:sz w:val="24"/>
        </w:rPr>
        <w:t>2.5-6</w:t>
      </w:r>
      <w:r>
        <w:rPr>
          <w:rFonts w:ascii="Times New Roman" w:eastAsia="宋体"/>
          <w:color w:val="000000" w:themeColor="text1"/>
          <w:sz w:val="24"/>
        </w:rPr>
        <w:t>；。</w:t>
      </w:r>
    </w:p>
    <w:p w:rsidR="00C861DA" w:rsidRDefault="0044752E">
      <w:pPr>
        <w:snapToGrid w:val="0"/>
        <w:spacing w:beforeLines="50" w:before="156"/>
        <w:jc w:val="center"/>
        <w:rPr>
          <w:rFonts w:ascii="Times New Roman" w:eastAsia="宋体"/>
          <w:b/>
          <w:color w:val="000000" w:themeColor="text1"/>
          <w:sz w:val="24"/>
        </w:rPr>
      </w:pPr>
      <w:r>
        <w:rPr>
          <w:rFonts w:ascii="Times New Roman" w:eastAsia="宋体"/>
          <w:b/>
          <w:color w:val="000000" w:themeColor="text1"/>
          <w:sz w:val="24"/>
        </w:rPr>
        <w:t>表</w:t>
      </w:r>
      <w:r>
        <w:rPr>
          <w:rFonts w:ascii="Times New Roman" w:eastAsia="宋体"/>
          <w:b/>
          <w:color w:val="000000" w:themeColor="text1"/>
          <w:sz w:val="24"/>
        </w:rPr>
        <w:t xml:space="preserve">2.5-5  </w:t>
      </w:r>
      <w:r>
        <w:rPr>
          <w:rFonts w:ascii="Times New Roman" w:eastAsia="宋体"/>
          <w:b/>
          <w:color w:val="000000" w:themeColor="text1"/>
          <w:sz w:val="24"/>
        </w:rPr>
        <w:t>农用地土壤污染风险筛选值（基本项目）</w:t>
      </w:r>
      <w:r>
        <w:rPr>
          <w:rFonts w:ascii="Times New Roman" w:eastAsia="宋体"/>
          <w:b/>
          <w:color w:val="000000" w:themeColor="text1"/>
          <w:sz w:val="24"/>
        </w:rPr>
        <w:t xml:space="preserve">  </w:t>
      </w:r>
      <w:r>
        <w:rPr>
          <w:rFonts w:ascii="Times New Roman" w:eastAsia="宋体"/>
          <w:b/>
          <w:color w:val="000000" w:themeColor="text1"/>
          <w:sz w:val="24"/>
        </w:rPr>
        <w:t>单位：</w:t>
      </w:r>
      <w:r>
        <w:rPr>
          <w:rFonts w:ascii="Times New Roman" w:eastAsia="宋体"/>
          <w:b/>
          <w:color w:val="000000" w:themeColor="text1"/>
          <w:sz w:val="24"/>
        </w:rPr>
        <w:t>mg/kg</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54"/>
        <w:gridCol w:w="974"/>
        <w:gridCol w:w="1120"/>
        <w:gridCol w:w="1744"/>
        <w:gridCol w:w="1744"/>
        <w:gridCol w:w="1243"/>
      </w:tblGrid>
      <w:tr w:rsidR="00C861DA">
        <w:trPr>
          <w:trHeight w:val="369"/>
          <w:jc w:val="center"/>
        </w:trPr>
        <w:tc>
          <w:tcPr>
            <w:tcW w:w="817" w:type="dxa"/>
            <w:vMerge w:val="restart"/>
            <w:vAlign w:val="center"/>
          </w:tcPr>
          <w:p w:rsidR="00C861DA" w:rsidRDefault="0044752E">
            <w:pPr>
              <w:snapToGrid w:val="0"/>
              <w:jc w:val="center"/>
              <w:rPr>
                <w:rFonts w:ascii="Times New Roman" w:eastAsia="宋体"/>
                <w:b/>
                <w:bCs/>
                <w:color w:val="000000" w:themeColor="text1"/>
              </w:rPr>
            </w:pPr>
            <w:r>
              <w:rPr>
                <w:rFonts w:ascii="Times New Roman" w:eastAsia="宋体"/>
                <w:b/>
                <w:bCs/>
                <w:color w:val="000000" w:themeColor="text1"/>
              </w:rPr>
              <w:lastRenderedPageBreak/>
              <w:t>序号</w:t>
            </w:r>
          </w:p>
        </w:tc>
        <w:tc>
          <w:tcPr>
            <w:tcW w:w="1628" w:type="dxa"/>
            <w:gridSpan w:val="2"/>
            <w:vMerge w:val="restart"/>
            <w:vAlign w:val="center"/>
          </w:tcPr>
          <w:p w:rsidR="00C861DA" w:rsidRDefault="0044752E">
            <w:pPr>
              <w:snapToGrid w:val="0"/>
              <w:jc w:val="center"/>
              <w:rPr>
                <w:rFonts w:ascii="Times New Roman" w:eastAsia="宋体"/>
                <w:b/>
                <w:bCs/>
                <w:color w:val="000000" w:themeColor="text1"/>
              </w:rPr>
            </w:pPr>
            <w:r>
              <w:rPr>
                <w:rFonts w:ascii="Times New Roman" w:eastAsia="宋体"/>
                <w:b/>
                <w:bCs/>
                <w:color w:val="000000" w:themeColor="text1"/>
              </w:rPr>
              <w:t>污染物项目</w:t>
            </w:r>
          </w:p>
        </w:tc>
        <w:tc>
          <w:tcPr>
            <w:tcW w:w="5851" w:type="dxa"/>
            <w:gridSpan w:val="4"/>
            <w:vAlign w:val="center"/>
          </w:tcPr>
          <w:p w:rsidR="00C861DA" w:rsidRDefault="0044752E">
            <w:pPr>
              <w:snapToGrid w:val="0"/>
              <w:jc w:val="center"/>
              <w:rPr>
                <w:rFonts w:ascii="Times New Roman" w:eastAsia="宋体"/>
                <w:b/>
                <w:bCs/>
                <w:color w:val="000000" w:themeColor="text1"/>
              </w:rPr>
            </w:pPr>
            <w:r>
              <w:rPr>
                <w:rFonts w:ascii="Times New Roman" w:eastAsia="宋体"/>
                <w:b/>
                <w:bCs/>
                <w:color w:val="000000" w:themeColor="text1"/>
              </w:rPr>
              <w:t>风险筛选值</w:t>
            </w:r>
          </w:p>
        </w:tc>
      </w:tr>
      <w:tr w:rsidR="00C861DA">
        <w:trPr>
          <w:trHeight w:val="369"/>
          <w:jc w:val="center"/>
        </w:trPr>
        <w:tc>
          <w:tcPr>
            <w:tcW w:w="817" w:type="dxa"/>
            <w:vMerge/>
            <w:vAlign w:val="center"/>
          </w:tcPr>
          <w:p w:rsidR="00C861DA" w:rsidRDefault="00C861DA">
            <w:pPr>
              <w:snapToGrid w:val="0"/>
              <w:jc w:val="center"/>
              <w:rPr>
                <w:rFonts w:ascii="Times New Roman" w:eastAsia="宋体"/>
                <w:b/>
                <w:bCs/>
                <w:color w:val="000000" w:themeColor="text1"/>
              </w:rPr>
            </w:pPr>
          </w:p>
        </w:tc>
        <w:tc>
          <w:tcPr>
            <w:tcW w:w="1628" w:type="dxa"/>
            <w:gridSpan w:val="2"/>
            <w:vMerge/>
            <w:vAlign w:val="center"/>
          </w:tcPr>
          <w:p w:rsidR="00C861DA" w:rsidRDefault="00C861DA">
            <w:pPr>
              <w:snapToGrid w:val="0"/>
              <w:jc w:val="center"/>
              <w:rPr>
                <w:rFonts w:ascii="Times New Roman" w:eastAsia="宋体"/>
                <w:b/>
                <w:bCs/>
                <w:color w:val="000000" w:themeColor="text1"/>
              </w:rPr>
            </w:pPr>
          </w:p>
        </w:tc>
        <w:tc>
          <w:tcPr>
            <w:tcW w:w="1120" w:type="dxa"/>
            <w:vAlign w:val="center"/>
          </w:tcPr>
          <w:p w:rsidR="00C861DA" w:rsidRDefault="0044752E">
            <w:pPr>
              <w:snapToGrid w:val="0"/>
              <w:jc w:val="center"/>
              <w:rPr>
                <w:rFonts w:ascii="Times New Roman" w:eastAsia="宋体"/>
                <w:b/>
                <w:bCs/>
                <w:color w:val="000000" w:themeColor="text1"/>
              </w:rPr>
            </w:pPr>
            <w:r>
              <w:rPr>
                <w:rFonts w:ascii="Times New Roman" w:eastAsia="宋体"/>
                <w:b/>
                <w:bCs/>
                <w:color w:val="000000" w:themeColor="text1"/>
              </w:rPr>
              <w:t>pH</w:t>
            </w:r>
            <w:r>
              <w:rPr>
                <w:rFonts w:ascii="Times New Roman" w:eastAsia="宋体"/>
                <w:b/>
                <w:bCs/>
                <w:color w:val="000000" w:themeColor="text1"/>
              </w:rPr>
              <w:t>≤</w:t>
            </w:r>
            <w:r>
              <w:rPr>
                <w:rFonts w:ascii="Times New Roman" w:eastAsia="宋体"/>
                <w:b/>
                <w:bCs/>
                <w:color w:val="000000" w:themeColor="text1"/>
              </w:rPr>
              <w:t>5.5</w:t>
            </w:r>
          </w:p>
        </w:tc>
        <w:tc>
          <w:tcPr>
            <w:tcW w:w="1744" w:type="dxa"/>
            <w:vAlign w:val="center"/>
          </w:tcPr>
          <w:p w:rsidR="00C861DA" w:rsidRDefault="0044752E">
            <w:pPr>
              <w:snapToGrid w:val="0"/>
              <w:jc w:val="center"/>
              <w:rPr>
                <w:rFonts w:ascii="Times New Roman" w:eastAsia="宋体"/>
                <w:b/>
                <w:bCs/>
                <w:color w:val="000000" w:themeColor="text1"/>
              </w:rPr>
            </w:pPr>
            <w:r>
              <w:rPr>
                <w:rFonts w:ascii="Times New Roman" w:eastAsia="宋体"/>
                <w:b/>
                <w:bCs/>
                <w:color w:val="000000" w:themeColor="text1"/>
              </w:rPr>
              <w:t xml:space="preserve">5.5&lt; pH </w:t>
            </w:r>
            <w:r>
              <w:rPr>
                <w:rFonts w:ascii="Times New Roman" w:eastAsia="宋体"/>
                <w:b/>
                <w:bCs/>
                <w:color w:val="000000" w:themeColor="text1"/>
              </w:rPr>
              <w:t>≤</w:t>
            </w:r>
            <w:r>
              <w:rPr>
                <w:rFonts w:ascii="Times New Roman" w:eastAsia="宋体"/>
                <w:b/>
                <w:bCs/>
                <w:color w:val="000000" w:themeColor="text1"/>
              </w:rPr>
              <w:t>6.5</w:t>
            </w:r>
          </w:p>
        </w:tc>
        <w:tc>
          <w:tcPr>
            <w:tcW w:w="1744" w:type="dxa"/>
            <w:vAlign w:val="center"/>
          </w:tcPr>
          <w:p w:rsidR="00C861DA" w:rsidRDefault="0044752E">
            <w:pPr>
              <w:snapToGrid w:val="0"/>
              <w:jc w:val="center"/>
              <w:rPr>
                <w:rFonts w:ascii="Times New Roman" w:eastAsia="宋体"/>
                <w:b/>
                <w:bCs/>
                <w:color w:val="000000" w:themeColor="text1"/>
              </w:rPr>
            </w:pPr>
            <w:r>
              <w:rPr>
                <w:rFonts w:ascii="Times New Roman" w:eastAsia="宋体"/>
                <w:b/>
                <w:bCs/>
                <w:color w:val="000000" w:themeColor="text1"/>
              </w:rPr>
              <w:t>6.5&lt; pH</w:t>
            </w:r>
            <w:r>
              <w:rPr>
                <w:rFonts w:ascii="Times New Roman" w:eastAsia="宋体"/>
                <w:b/>
                <w:bCs/>
                <w:color w:val="000000" w:themeColor="text1"/>
              </w:rPr>
              <w:t>≤</w:t>
            </w:r>
            <w:r>
              <w:rPr>
                <w:rFonts w:ascii="Times New Roman" w:eastAsia="宋体"/>
                <w:b/>
                <w:bCs/>
                <w:color w:val="000000" w:themeColor="text1"/>
              </w:rPr>
              <w:t xml:space="preserve"> 7.5</w:t>
            </w:r>
          </w:p>
        </w:tc>
        <w:tc>
          <w:tcPr>
            <w:tcW w:w="1243" w:type="dxa"/>
            <w:vAlign w:val="center"/>
          </w:tcPr>
          <w:p w:rsidR="00C861DA" w:rsidRDefault="0044752E">
            <w:pPr>
              <w:snapToGrid w:val="0"/>
              <w:jc w:val="center"/>
              <w:rPr>
                <w:rFonts w:ascii="Times New Roman" w:eastAsia="宋体"/>
                <w:b/>
                <w:bCs/>
                <w:color w:val="000000" w:themeColor="text1"/>
              </w:rPr>
            </w:pPr>
            <w:r>
              <w:rPr>
                <w:rFonts w:ascii="Times New Roman" w:eastAsia="宋体"/>
                <w:b/>
                <w:bCs/>
                <w:color w:val="000000" w:themeColor="text1"/>
              </w:rPr>
              <w:t>pH</w:t>
            </w:r>
            <w:r>
              <w:rPr>
                <w:rFonts w:ascii="Times New Roman" w:eastAsia="宋体"/>
                <w:b/>
                <w:bCs/>
                <w:color w:val="000000" w:themeColor="text1"/>
              </w:rPr>
              <w:t>＞</w:t>
            </w:r>
            <w:r>
              <w:rPr>
                <w:rFonts w:ascii="Times New Roman" w:eastAsia="宋体"/>
                <w:b/>
                <w:bCs/>
                <w:color w:val="000000" w:themeColor="text1"/>
              </w:rPr>
              <w:t>7.5</w:t>
            </w:r>
          </w:p>
        </w:tc>
      </w:tr>
      <w:tr w:rsidR="00C861DA">
        <w:trPr>
          <w:trHeight w:val="369"/>
          <w:jc w:val="center"/>
        </w:trPr>
        <w:tc>
          <w:tcPr>
            <w:tcW w:w="817" w:type="dxa"/>
            <w:vMerge w:val="restart"/>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w:t>
            </w:r>
          </w:p>
        </w:tc>
        <w:tc>
          <w:tcPr>
            <w:tcW w:w="654" w:type="dxa"/>
            <w:vMerge w:val="restart"/>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镉</w:t>
            </w:r>
          </w:p>
        </w:tc>
        <w:tc>
          <w:tcPr>
            <w:tcW w:w="97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水田</w:t>
            </w:r>
          </w:p>
        </w:tc>
        <w:tc>
          <w:tcPr>
            <w:tcW w:w="112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0.3</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0.4</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0.6</w:t>
            </w:r>
          </w:p>
        </w:tc>
        <w:tc>
          <w:tcPr>
            <w:tcW w:w="124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0.8</w:t>
            </w:r>
          </w:p>
        </w:tc>
      </w:tr>
      <w:tr w:rsidR="00C861DA">
        <w:trPr>
          <w:trHeight w:val="369"/>
          <w:jc w:val="center"/>
        </w:trPr>
        <w:tc>
          <w:tcPr>
            <w:tcW w:w="817" w:type="dxa"/>
            <w:vMerge/>
            <w:vAlign w:val="center"/>
          </w:tcPr>
          <w:p w:rsidR="00C861DA" w:rsidRDefault="00C861DA">
            <w:pPr>
              <w:snapToGrid w:val="0"/>
              <w:jc w:val="center"/>
              <w:rPr>
                <w:rFonts w:ascii="Times New Roman" w:eastAsia="宋体"/>
                <w:color w:val="000000" w:themeColor="text1"/>
              </w:rPr>
            </w:pPr>
          </w:p>
        </w:tc>
        <w:tc>
          <w:tcPr>
            <w:tcW w:w="654" w:type="dxa"/>
            <w:vMerge/>
            <w:vAlign w:val="center"/>
          </w:tcPr>
          <w:p w:rsidR="00C861DA" w:rsidRDefault="00C861DA">
            <w:pPr>
              <w:snapToGrid w:val="0"/>
              <w:jc w:val="center"/>
              <w:rPr>
                <w:rFonts w:ascii="Times New Roman" w:eastAsia="宋体"/>
                <w:color w:val="000000" w:themeColor="text1"/>
              </w:rPr>
            </w:pPr>
          </w:p>
        </w:tc>
        <w:tc>
          <w:tcPr>
            <w:tcW w:w="97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其他</w:t>
            </w:r>
          </w:p>
        </w:tc>
        <w:tc>
          <w:tcPr>
            <w:tcW w:w="112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0.3</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0.3</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0.3</w:t>
            </w:r>
          </w:p>
        </w:tc>
        <w:tc>
          <w:tcPr>
            <w:tcW w:w="124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0.6</w:t>
            </w:r>
          </w:p>
        </w:tc>
      </w:tr>
      <w:tr w:rsidR="00C861DA">
        <w:trPr>
          <w:trHeight w:val="369"/>
          <w:jc w:val="center"/>
        </w:trPr>
        <w:tc>
          <w:tcPr>
            <w:tcW w:w="817" w:type="dxa"/>
            <w:vMerge w:val="restart"/>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w:t>
            </w:r>
          </w:p>
        </w:tc>
        <w:tc>
          <w:tcPr>
            <w:tcW w:w="654" w:type="dxa"/>
            <w:vMerge w:val="restart"/>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汞</w:t>
            </w:r>
          </w:p>
        </w:tc>
        <w:tc>
          <w:tcPr>
            <w:tcW w:w="97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水田</w:t>
            </w:r>
          </w:p>
        </w:tc>
        <w:tc>
          <w:tcPr>
            <w:tcW w:w="112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0.5</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0.5</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0.6</w:t>
            </w:r>
          </w:p>
        </w:tc>
        <w:tc>
          <w:tcPr>
            <w:tcW w:w="124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1.0</w:t>
            </w:r>
          </w:p>
        </w:tc>
      </w:tr>
      <w:tr w:rsidR="00C861DA">
        <w:trPr>
          <w:trHeight w:val="369"/>
          <w:jc w:val="center"/>
        </w:trPr>
        <w:tc>
          <w:tcPr>
            <w:tcW w:w="817" w:type="dxa"/>
            <w:vMerge/>
            <w:vAlign w:val="center"/>
          </w:tcPr>
          <w:p w:rsidR="00C861DA" w:rsidRDefault="00C861DA">
            <w:pPr>
              <w:snapToGrid w:val="0"/>
              <w:jc w:val="center"/>
              <w:rPr>
                <w:rFonts w:ascii="Times New Roman" w:eastAsia="宋体"/>
                <w:color w:val="000000" w:themeColor="text1"/>
              </w:rPr>
            </w:pPr>
          </w:p>
        </w:tc>
        <w:tc>
          <w:tcPr>
            <w:tcW w:w="654" w:type="dxa"/>
            <w:vMerge/>
            <w:vAlign w:val="center"/>
          </w:tcPr>
          <w:p w:rsidR="00C861DA" w:rsidRDefault="00C861DA">
            <w:pPr>
              <w:snapToGrid w:val="0"/>
              <w:jc w:val="center"/>
              <w:rPr>
                <w:rFonts w:ascii="Times New Roman" w:eastAsia="宋体"/>
                <w:color w:val="000000" w:themeColor="text1"/>
              </w:rPr>
            </w:pPr>
          </w:p>
        </w:tc>
        <w:tc>
          <w:tcPr>
            <w:tcW w:w="97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其他</w:t>
            </w:r>
          </w:p>
        </w:tc>
        <w:tc>
          <w:tcPr>
            <w:tcW w:w="112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1.3</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1.8</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2.4</w:t>
            </w:r>
          </w:p>
        </w:tc>
        <w:tc>
          <w:tcPr>
            <w:tcW w:w="124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3.4</w:t>
            </w:r>
          </w:p>
        </w:tc>
      </w:tr>
      <w:tr w:rsidR="00C861DA">
        <w:trPr>
          <w:trHeight w:val="369"/>
          <w:jc w:val="center"/>
        </w:trPr>
        <w:tc>
          <w:tcPr>
            <w:tcW w:w="817" w:type="dxa"/>
            <w:vMerge w:val="restart"/>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3</w:t>
            </w:r>
          </w:p>
        </w:tc>
        <w:tc>
          <w:tcPr>
            <w:tcW w:w="654" w:type="dxa"/>
            <w:vMerge w:val="restart"/>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砷</w:t>
            </w:r>
          </w:p>
        </w:tc>
        <w:tc>
          <w:tcPr>
            <w:tcW w:w="97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水田</w:t>
            </w:r>
          </w:p>
        </w:tc>
        <w:tc>
          <w:tcPr>
            <w:tcW w:w="112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30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30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25</w:t>
            </w:r>
          </w:p>
        </w:tc>
        <w:tc>
          <w:tcPr>
            <w:tcW w:w="124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20</w:t>
            </w:r>
          </w:p>
        </w:tc>
      </w:tr>
      <w:tr w:rsidR="00C861DA">
        <w:trPr>
          <w:trHeight w:val="369"/>
          <w:jc w:val="center"/>
        </w:trPr>
        <w:tc>
          <w:tcPr>
            <w:tcW w:w="817" w:type="dxa"/>
            <w:vMerge/>
            <w:vAlign w:val="center"/>
          </w:tcPr>
          <w:p w:rsidR="00C861DA" w:rsidRDefault="00C861DA">
            <w:pPr>
              <w:snapToGrid w:val="0"/>
              <w:jc w:val="center"/>
              <w:rPr>
                <w:rFonts w:ascii="Times New Roman" w:eastAsia="宋体"/>
                <w:color w:val="000000" w:themeColor="text1"/>
              </w:rPr>
            </w:pPr>
          </w:p>
        </w:tc>
        <w:tc>
          <w:tcPr>
            <w:tcW w:w="654" w:type="dxa"/>
            <w:vMerge/>
            <w:vAlign w:val="center"/>
          </w:tcPr>
          <w:p w:rsidR="00C861DA" w:rsidRDefault="00C861DA">
            <w:pPr>
              <w:snapToGrid w:val="0"/>
              <w:jc w:val="center"/>
              <w:rPr>
                <w:rFonts w:ascii="Times New Roman" w:eastAsia="宋体"/>
                <w:color w:val="000000" w:themeColor="text1"/>
              </w:rPr>
            </w:pPr>
          </w:p>
        </w:tc>
        <w:tc>
          <w:tcPr>
            <w:tcW w:w="97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其他</w:t>
            </w:r>
          </w:p>
        </w:tc>
        <w:tc>
          <w:tcPr>
            <w:tcW w:w="112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40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40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30</w:t>
            </w:r>
          </w:p>
        </w:tc>
        <w:tc>
          <w:tcPr>
            <w:tcW w:w="124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25</w:t>
            </w:r>
          </w:p>
        </w:tc>
      </w:tr>
      <w:tr w:rsidR="00C861DA">
        <w:trPr>
          <w:trHeight w:val="369"/>
          <w:jc w:val="center"/>
        </w:trPr>
        <w:tc>
          <w:tcPr>
            <w:tcW w:w="817" w:type="dxa"/>
            <w:vMerge w:val="restart"/>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4</w:t>
            </w:r>
          </w:p>
        </w:tc>
        <w:tc>
          <w:tcPr>
            <w:tcW w:w="654" w:type="dxa"/>
            <w:vMerge w:val="restart"/>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铜</w:t>
            </w:r>
          </w:p>
        </w:tc>
        <w:tc>
          <w:tcPr>
            <w:tcW w:w="97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水田</w:t>
            </w:r>
          </w:p>
        </w:tc>
        <w:tc>
          <w:tcPr>
            <w:tcW w:w="112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80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100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140</w:t>
            </w:r>
          </w:p>
        </w:tc>
        <w:tc>
          <w:tcPr>
            <w:tcW w:w="124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240</w:t>
            </w:r>
          </w:p>
        </w:tc>
      </w:tr>
      <w:tr w:rsidR="00C861DA">
        <w:trPr>
          <w:trHeight w:val="369"/>
          <w:jc w:val="center"/>
        </w:trPr>
        <w:tc>
          <w:tcPr>
            <w:tcW w:w="817" w:type="dxa"/>
            <w:vMerge/>
            <w:vAlign w:val="center"/>
          </w:tcPr>
          <w:p w:rsidR="00C861DA" w:rsidRDefault="00C861DA">
            <w:pPr>
              <w:snapToGrid w:val="0"/>
              <w:jc w:val="center"/>
              <w:rPr>
                <w:rFonts w:ascii="Times New Roman" w:eastAsia="宋体"/>
                <w:color w:val="000000" w:themeColor="text1"/>
              </w:rPr>
            </w:pPr>
          </w:p>
        </w:tc>
        <w:tc>
          <w:tcPr>
            <w:tcW w:w="654" w:type="dxa"/>
            <w:vMerge/>
            <w:vAlign w:val="center"/>
          </w:tcPr>
          <w:p w:rsidR="00C861DA" w:rsidRDefault="00C861DA">
            <w:pPr>
              <w:snapToGrid w:val="0"/>
              <w:jc w:val="center"/>
              <w:rPr>
                <w:rFonts w:ascii="Times New Roman" w:eastAsia="宋体"/>
                <w:color w:val="000000" w:themeColor="text1"/>
              </w:rPr>
            </w:pPr>
          </w:p>
        </w:tc>
        <w:tc>
          <w:tcPr>
            <w:tcW w:w="97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其他</w:t>
            </w:r>
          </w:p>
        </w:tc>
        <w:tc>
          <w:tcPr>
            <w:tcW w:w="112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70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90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120</w:t>
            </w:r>
          </w:p>
        </w:tc>
        <w:tc>
          <w:tcPr>
            <w:tcW w:w="124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170</w:t>
            </w:r>
          </w:p>
        </w:tc>
      </w:tr>
      <w:tr w:rsidR="00C861DA">
        <w:trPr>
          <w:trHeight w:val="369"/>
          <w:jc w:val="center"/>
        </w:trPr>
        <w:tc>
          <w:tcPr>
            <w:tcW w:w="817" w:type="dxa"/>
            <w:vMerge w:val="restart"/>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5</w:t>
            </w:r>
          </w:p>
        </w:tc>
        <w:tc>
          <w:tcPr>
            <w:tcW w:w="654" w:type="dxa"/>
            <w:vMerge w:val="restart"/>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铅</w:t>
            </w:r>
          </w:p>
        </w:tc>
        <w:tc>
          <w:tcPr>
            <w:tcW w:w="97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水田</w:t>
            </w:r>
          </w:p>
        </w:tc>
        <w:tc>
          <w:tcPr>
            <w:tcW w:w="112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250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250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300</w:t>
            </w:r>
          </w:p>
        </w:tc>
        <w:tc>
          <w:tcPr>
            <w:tcW w:w="124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350</w:t>
            </w:r>
          </w:p>
        </w:tc>
      </w:tr>
      <w:tr w:rsidR="00C861DA">
        <w:trPr>
          <w:trHeight w:val="369"/>
          <w:jc w:val="center"/>
        </w:trPr>
        <w:tc>
          <w:tcPr>
            <w:tcW w:w="817" w:type="dxa"/>
            <w:vMerge/>
            <w:vAlign w:val="center"/>
          </w:tcPr>
          <w:p w:rsidR="00C861DA" w:rsidRDefault="00C861DA">
            <w:pPr>
              <w:snapToGrid w:val="0"/>
              <w:jc w:val="center"/>
              <w:rPr>
                <w:rFonts w:ascii="Times New Roman" w:eastAsia="宋体"/>
                <w:color w:val="000000" w:themeColor="text1"/>
              </w:rPr>
            </w:pPr>
          </w:p>
        </w:tc>
        <w:tc>
          <w:tcPr>
            <w:tcW w:w="654" w:type="dxa"/>
            <w:vMerge/>
            <w:vAlign w:val="center"/>
          </w:tcPr>
          <w:p w:rsidR="00C861DA" w:rsidRDefault="00C861DA">
            <w:pPr>
              <w:snapToGrid w:val="0"/>
              <w:jc w:val="center"/>
              <w:rPr>
                <w:rFonts w:ascii="Times New Roman" w:eastAsia="宋体"/>
                <w:color w:val="000000" w:themeColor="text1"/>
              </w:rPr>
            </w:pPr>
          </w:p>
        </w:tc>
        <w:tc>
          <w:tcPr>
            <w:tcW w:w="97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其他</w:t>
            </w:r>
          </w:p>
        </w:tc>
        <w:tc>
          <w:tcPr>
            <w:tcW w:w="112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150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150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200</w:t>
            </w:r>
          </w:p>
        </w:tc>
        <w:tc>
          <w:tcPr>
            <w:tcW w:w="124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250</w:t>
            </w:r>
          </w:p>
        </w:tc>
      </w:tr>
      <w:tr w:rsidR="00C861DA">
        <w:trPr>
          <w:trHeight w:val="369"/>
          <w:jc w:val="center"/>
        </w:trPr>
        <w:tc>
          <w:tcPr>
            <w:tcW w:w="817" w:type="dxa"/>
            <w:vMerge w:val="restart"/>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6</w:t>
            </w:r>
          </w:p>
        </w:tc>
        <w:tc>
          <w:tcPr>
            <w:tcW w:w="654" w:type="dxa"/>
            <w:vMerge w:val="restart"/>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铬</w:t>
            </w:r>
          </w:p>
        </w:tc>
        <w:tc>
          <w:tcPr>
            <w:tcW w:w="97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水田</w:t>
            </w:r>
          </w:p>
        </w:tc>
        <w:tc>
          <w:tcPr>
            <w:tcW w:w="112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150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150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200</w:t>
            </w:r>
          </w:p>
        </w:tc>
        <w:tc>
          <w:tcPr>
            <w:tcW w:w="124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200</w:t>
            </w:r>
          </w:p>
        </w:tc>
      </w:tr>
      <w:tr w:rsidR="00C861DA">
        <w:trPr>
          <w:trHeight w:val="369"/>
          <w:jc w:val="center"/>
        </w:trPr>
        <w:tc>
          <w:tcPr>
            <w:tcW w:w="817" w:type="dxa"/>
            <w:vMerge/>
            <w:vAlign w:val="center"/>
          </w:tcPr>
          <w:p w:rsidR="00C861DA" w:rsidRDefault="00C861DA">
            <w:pPr>
              <w:snapToGrid w:val="0"/>
              <w:jc w:val="center"/>
              <w:rPr>
                <w:rFonts w:ascii="Times New Roman" w:eastAsia="宋体"/>
                <w:color w:val="000000" w:themeColor="text1"/>
              </w:rPr>
            </w:pPr>
          </w:p>
        </w:tc>
        <w:tc>
          <w:tcPr>
            <w:tcW w:w="654" w:type="dxa"/>
            <w:vMerge/>
            <w:vAlign w:val="center"/>
          </w:tcPr>
          <w:p w:rsidR="00C861DA" w:rsidRDefault="00C861DA">
            <w:pPr>
              <w:snapToGrid w:val="0"/>
              <w:jc w:val="center"/>
              <w:rPr>
                <w:rFonts w:ascii="Times New Roman" w:eastAsia="宋体"/>
                <w:color w:val="000000" w:themeColor="text1"/>
              </w:rPr>
            </w:pPr>
          </w:p>
        </w:tc>
        <w:tc>
          <w:tcPr>
            <w:tcW w:w="97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其他</w:t>
            </w:r>
          </w:p>
        </w:tc>
        <w:tc>
          <w:tcPr>
            <w:tcW w:w="112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50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50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100</w:t>
            </w:r>
          </w:p>
        </w:tc>
        <w:tc>
          <w:tcPr>
            <w:tcW w:w="124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100</w:t>
            </w:r>
          </w:p>
        </w:tc>
      </w:tr>
      <w:tr w:rsidR="00C861DA">
        <w:trPr>
          <w:trHeight w:val="369"/>
          <w:jc w:val="center"/>
        </w:trPr>
        <w:tc>
          <w:tcPr>
            <w:tcW w:w="81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7</w:t>
            </w:r>
          </w:p>
        </w:tc>
        <w:tc>
          <w:tcPr>
            <w:tcW w:w="1628" w:type="dxa"/>
            <w:gridSpan w:val="2"/>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镍</w:t>
            </w:r>
          </w:p>
        </w:tc>
        <w:tc>
          <w:tcPr>
            <w:tcW w:w="112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60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70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100</w:t>
            </w:r>
          </w:p>
        </w:tc>
        <w:tc>
          <w:tcPr>
            <w:tcW w:w="124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190</w:t>
            </w:r>
          </w:p>
        </w:tc>
      </w:tr>
      <w:tr w:rsidR="00C861DA">
        <w:trPr>
          <w:trHeight w:val="369"/>
          <w:jc w:val="center"/>
        </w:trPr>
        <w:tc>
          <w:tcPr>
            <w:tcW w:w="81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8</w:t>
            </w:r>
          </w:p>
        </w:tc>
        <w:tc>
          <w:tcPr>
            <w:tcW w:w="1628" w:type="dxa"/>
            <w:gridSpan w:val="2"/>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锌</w:t>
            </w:r>
          </w:p>
        </w:tc>
        <w:tc>
          <w:tcPr>
            <w:tcW w:w="112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200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200</w:t>
            </w:r>
          </w:p>
        </w:tc>
        <w:tc>
          <w:tcPr>
            <w:tcW w:w="174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250</w:t>
            </w:r>
          </w:p>
        </w:tc>
        <w:tc>
          <w:tcPr>
            <w:tcW w:w="1243"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300</w:t>
            </w:r>
          </w:p>
        </w:tc>
      </w:tr>
    </w:tbl>
    <w:p w:rsidR="00C861DA" w:rsidRDefault="0044752E">
      <w:pPr>
        <w:snapToGrid w:val="0"/>
        <w:spacing w:beforeLines="50" w:before="156"/>
        <w:jc w:val="center"/>
        <w:rPr>
          <w:rFonts w:ascii="Times New Roman" w:eastAsia="宋体"/>
          <w:b/>
          <w:color w:val="000000" w:themeColor="text1"/>
          <w:sz w:val="24"/>
        </w:rPr>
      </w:pPr>
      <w:r>
        <w:rPr>
          <w:rFonts w:ascii="Times New Roman" w:eastAsia="宋体"/>
          <w:b/>
          <w:color w:val="000000" w:themeColor="text1"/>
          <w:sz w:val="24"/>
        </w:rPr>
        <w:t>表</w:t>
      </w:r>
      <w:r>
        <w:rPr>
          <w:rFonts w:ascii="Times New Roman" w:eastAsia="宋体"/>
          <w:b/>
          <w:color w:val="000000" w:themeColor="text1"/>
          <w:sz w:val="24"/>
        </w:rPr>
        <w:t xml:space="preserve">2.5-6  </w:t>
      </w:r>
      <w:r>
        <w:rPr>
          <w:rFonts w:ascii="Times New Roman" w:eastAsia="宋体"/>
          <w:b/>
          <w:color w:val="000000" w:themeColor="text1"/>
          <w:sz w:val="24"/>
        </w:rPr>
        <w:t>农用地土壤污染风险管制值</w:t>
      </w:r>
      <w:r>
        <w:rPr>
          <w:rFonts w:ascii="Times New Roman" w:eastAsia="宋体"/>
          <w:b/>
          <w:color w:val="000000" w:themeColor="text1"/>
          <w:sz w:val="24"/>
        </w:rPr>
        <w:t xml:space="preserve">  </w:t>
      </w:r>
      <w:r>
        <w:rPr>
          <w:rFonts w:ascii="Times New Roman" w:eastAsia="宋体"/>
          <w:b/>
          <w:color w:val="000000" w:themeColor="text1"/>
          <w:sz w:val="24"/>
        </w:rPr>
        <w:t>单位：</w:t>
      </w:r>
      <w:r>
        <w:rPr>
          <w:rFonts w:ascii="Times New Roman" w:eastAsia="宋体"/>
          <w:b/>
          <w:color w:val="000000" w:themeColor="text1"/>
          <w:sz w:val="24"/>
        </w:rPr>
        <w:t>mg/kg</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1722"/>
        <w:gridCol w:w="1201"/>
        <w:gridCol w:w="1767"/>
        <w:gridCol w:w="1487"/>
        <w:gridCol w:w="1480"/>
      </w:tblGrid>
      <w:tr w:rsidR="00C861DA">
        <w:trPr>
          <w:trHeight w:val="369"/>
          <w:jc w:val="center"/>
        </w:trPr>
        <w:tc>
          <w:tcPr>
            <w:tcW w:w="639" w:type="dxa"/>
            <w:vMerge w:val="restart"/>
            <w:vAlign w:val="center"/>
          </w:tcPr>
          <w:p w:rsidR="00C861DA" w:rsidRDefault="0044752E">
            <w:pPr>
              <w:snapToGrid w:val="0"/>
              <w:jc w:val="center"/>
              <w:rPr>
                <w:rFonts w:ascii="Times New Roman" w:eastAsia="宋体"/>
                <w:b/>
                <w:bCs/>
                <w:color w:val="000000" w:themeColor="text1"/>
              </w:rPr>
            </w:pPr>
            <w:r>
              <w:rPr>
                <w:rFonts w:ascii="Times New Roman" w:eastAsia="宋体"/>
                <w:b/>
                <w:bCs/>
                <w:color w:val="000000" w:themeColor="text1"/>
              </w:rPr>
              <w:t>序号</w:t>
            </w:r>
          </w:p>
        </w:tc>
        <w:tc>
          <w:tcPr>
            <w:tcW w:w="1722" w:type="dxa"/>
            <w:vMerge w:val="restart"/>
            <w:vAlign w:val="center"/>
          </w:tcPr>
          <w:p w:rsidR="00C861DA" w:rsidRDefault="0044752E">
            <w:pPr>
              <w:snapToGrid w:val="0"/>
              <w:jc w:val="center"/>
              <w:rPr>
                <w:rFonts w:ascii="Times New Roman" w:eastAsia="宋体"/>
                <w:b/>
                <w:bCs/>
                <w:color w:val="000000" w:themeColor="text1"/>
              </w:rPr>
            </w:pPr>
            <w:r>
              <w:rPr>
                <w:rFonts w:ascii="Times New Roman" w:eastAsia="宋体"/>
                <w:b/>
                <w:bCs/>
                <w:color w:val="000000" w:themeColor="text1"/>
              </w:rPr>
              <w:t>污染物</w:t>
            </w:r>
          </w:p>
        </w:tc>
        <w:tc>
          <w:tcPr>
            <w:tcW w:w="5935" w:type="dxa"/>
            <w:gridSpan w:val="4"/>
            <w:vAlign w:val="center"/>
          </w:tcPr>
          <w:p w:rsidR="00C861DA" w:rsidRDefault="0044752E">
            <w:pPr>
              <w:snapToGrid w:val="0"/>
              <w:jc w:val="center"/>
              <w:rPr>
                <w:rFonts w:ascii="Times New Roman" w:eastAsia="宋体"/>
                <w:b/>
                <w:bCs/>
                <w:color w:val="000000" w:themeColor="text1"/>
              </w:rPr>
            </w:pPr>
            <w:r>
              <w:rPr>
                <w:rFonts w:ascii="Times New Roman" w:eastAsia="宋体"/>
                <w:b/>
                <w:bCs/>
                <w:color w:val="000000" w:themeColor="text1"/>
              </w:rPr>
              <w:t>风险管制值</w:t>
            </w:r>
          </w:p>
        </w:tc>
      </w:tr>
      <w:tr w:rsidR="00C861DA">
        <w:trPr>
          <w:trHeight w:val="369"/>
          <w:jc w:val="center"/>
        </w:trPr>
        <w:tc>
          <w:tcPr>
            <w:tcW w:w="639" w:type="dxa"/>
            <w:vMerge/>
            <w:vAlign w:val="center"/>
          </w:tcPr>
          <w:p w:rsidR="00C861DA" w:rsidRDefault="00C861DA">
            <w:pPr>
              <w:snapToGrid w:val="0"/>
              <w:jc w:val="center"/>
              <w:rPr>
                <w:rFonts w:ascii="Times New Roman" w:eastAsia="宋体"/>
                <w:b/>
                <w:bCs/>
                <w:color w:val="000000" w:themeColor="text1"/>
              </w:rPr>
            </w:pPr>
          </w:p>
        </w:tc>
        <w:tc>
          <w:tcPr>
            <w:tcW w:w="1722" w:type="dxa"/>
            <w:vMerge/>
            <w:vAlign w:val="center"/>
          </w:tcPr>
          <w:p w:rsidR="00C861DA" w:rsidRDefault="00C861DA">
            <w:pPr>
              <w:snapToGrid w:val="0"/>
              <w:jc w:val="center"/>
              <w:rPr>
                <w:rFonts w:ascii="Times New Roman" w:eastAsia="宋体"/>
                <w:b/>
                <w:bCs/>
                <w:color w:val="000000" w:themeColor="text1"/>
              </w:rPr>
            </w:pPr>
          </w:p>
        </w:tc>
        <w:tc>
          <w:tcPr>
            <w:tcW w:w="1201" w:type="dxa"/>
            <w:vAlign w:val="center"/>
          </w:tcPr>
          <w:p w:rsidR="00C861DA" w:rsidRDefault="0044752E">
            <w:pPr>
              <w:snapToGrid w:val="0"/>
              <w:jc w:val="center"/>
              <w:rPr>
                <w:rFonts w:ascii="Times New Roman" w:eastAsia="宋体"/>
                <w:b/>
                <w:bCs/>
                <w:color w:val="000000" w:themeColor="text1"/>
              </w:rPr>
            </w:pPr>
            <w:r>
              <w:rPr>
                <w:rFonts w:ascii="Times New Roman" w:eastAsia="宋体"/>
                <w:b/>
                <w:bCs/>
                <w:color w:val="000000" w:themeColor="text1"/>
              </w:rPr>
              <w:t>pH</w:t>
            </w:r>
            <w:r>
              <w:rPr>
                <w:rFonts w:ascii="Times New Roman" w:eastAsia="宋体"/>
                <w:b/>
                <w:bCs/>
                <w:color w:val="000000" w:themeColor="text1"/>
              </w:rPr>
              <w:t>≤</w:t>
            </w:r>
            <w:r>
              <w:rPr>
                <w:rFonts w:ascii="Times New Roman" w:eastAsia="宋体"/>
                <w:b/>
                <w:bCs/>
                <w:color w:val="000000" w:themeColor="text1"/>
              </w:rPr>
              <w:t>5.5</w:t>
            </w:r>
          </w:p>
        </w:tc>
        <w:tc>
          <w:tcPr>
            <w:tcW w:w="1767" w:type="dxa"/>
            <w:vAlign w:val="center"/>
          </w:tcPr>
          <w:p w:rsidR="00C861DA" w:rsidRDefault="0044752E">
            <w:pPr>
              <w:snapToGrid w:val="0"/>
              <w:jc w:val="center"/>
              <w:rPr>
                <w:rFonts w:ascii="Times New Roman" w:eastAsia="宋体"/>
                <w:b/>
                <w:bCs/>
                <w:color w:val="000000" w:themeColor="text1"/>
              </w:rPr>
            </w:pPr>
            <w:r>
              <w:rPr>
                <w:rFonts w:ascii="Times New Roman" w:eastAsia="宋体"/>
                <w:b/>
                <w:bCs/>
                <w:color w:val="000000" w:themeColor="text1"/>
              </w:rPr>
              <w:t>5.5&lt; pH</w:t>
            </w:r>
            <w:r>
              <w:rPr>
                <w:rFonts w:ascii="Times New Roman" w:eastAsia="宋体"/>
                <w:b/>
                <w:bCs/>
                <w:color w:val="000000" w:themeColor="text1"/>
              </w:rPr>
              <w:t>≤</w:t>
            </w:r>
            <w:r>
              <w:rPr>
                <w:rFonts w:ascii="Times New Roman" w:eastAsia="宋体"/>
                <w:b/>
                <w:bCs/>
                <w:color w:val="000000" w:themeColor="text1"/>
              </w:rPr>
              <w:t>6.5</w:t>
            </w:r>
          </w:p>
        </w:tc>
        <w:tc>
          <w:tcPr>
            <w:tcW w:w="1487" w:type="dxa"/>
            <w:vAlign w:val="center"/>
          </w:tcPr>
          <w:p w:rsidR="00C861DA" w:rsidRDefault="0044752E">
            <w:pPr>
              <w:snapToGrid w:val="0"/>
              <w:jc w:val="center"/>
              <w:rPr>
                <w:rFonts w:ascii="Times New Roman" w:eastAsia="宋体"/>
                <w:b/>
                <w:bCs/>
                <w:color w:val="000000" w:themeColor="text1"/>
              </w:rPr>
            </w:pPr>
            <w:r>
              <w:rPr>
                <w:rFonts w:ascii="Times New Roman" w:eastAsia="宋体"/>
                <w:b/>
                <w:bCs/>
                <w:color w:val="000000" w:themeColor="text1"/>
              </w:rPr>
              <w:t>6.5&lt; pH</w:t>
            </w:r>
            <w:r>
              <w:rPr>
                <w:rFonts w:ascii="Times New Roman" w:eastAsia="宋体"/>
                <w:b/>
                <w:bCs/>
                <w:color w:val="000000" w:themeColor="text1"/>
              </w:rPr>
              <w:t>≤</w:t>
            </w:r>
            <w:r>
              <w:rPr>
                <w:rFonts w:ascii="Times New Roman" w:eastAsia="宋体"/>
                <w:b/>
                <w:bCs/>
                <w:color w:val="000000" w:themeColor="text1"/>
              </w:rPr>
              <w:t xml:space="preserve"> 7.5</w:t>
            </w:r>
          </w:p>
        </w:tc>
        <w:tc>
          <w:tcPr>
            <w:tcW w:w="1480" w:type="dxa"/>
            <w:vAlign w:val="center"/>
          </w:tcPr>
          <w:p w:rsidR="00C861DA" w:rsidRDefault="0044752E">
            <w:pPr>
              <w:snapToGrid w:val="0"/>
              <w:jc w:val="center"/>
              <w:rPr>
                <w:rFonts w:ascii="Times New Roman" w:eastAsia="宋体"/>
                <w:b/>
                <w:bCs/>
                <w:color w:val="000000" w:themeColor="text1"/>
              </w:rPr>
            </w:pPr>
            <w:r>
              <w:rPr>
                <w:rFonts w:ascii="Times New Roman" w:eastAsia="宋体"/>
                <w:b/>
                <w:bCs/>
                <w:color w:val="000000" w:themeColor="text1"/>
              </w:rPr>
              <w:t>pH</w:t>
            </w:r>
            <w:r>
              <w:rPr>
                <w:rFonts w:ascii="Times New Roman" w:eastAsia="宋体"/>
                <w:b/>
                <w:bCs/>
                <w:color w:val="000000" w:themeColor="text1"/>
              </w:rPr>
              <w:t>＞</w:t>
            </w:r>
            <w:r>
              <w:rPr>
                <w:rFonts w:ascii="Times New Roman" w:eastAsia="宋体"/>
                <w:b/>
                <w:bCs/>
                <w:color w:val="000000" w:themeColor="text1"/>
              </w:rPr>
              <w:t>7.5</w:t>
            </w:r>
          </w:p>
        </w:tc>
      </w:tr>
      <w:tr w:rsidR="00C861DA">
        <w:trPr>
          <w:trHeight w:val="369"/>
          <w:jc w:val="center"/>
        </w:trPr>
        <w:tc>
          <w:tcPr>
            <w:tcW w:w="639"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w:t>
            </w:r>
          </w:p>
        </w:tc>
        <w:tc>
          <w:tcPr>
            <w:tcW w:w="1722"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镉</w:t>
            </w:r>
          </w:p>
        </w:tc>
        <w:tc>
          <w:tcPr>
            <w:tcW w:w="1201"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1.5</w:t>
            </w:r>
          </w:p>
        </w:tc>
        <w:tc>
          <w:tcPr>
            <w:tcW w:w="176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2.0</w:t>
            </w:r>
          </w:p>
        </w:tc>
        <w:tc>
          <w:tcPr>
            <w:tcW w:w="148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3.0</w:t>
            </w:r>
          </w:p>
        </w:tc>
        <w:tc>
          <w:tcPr>
            <w:tcW w:w="148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4.0</w:t>
            </w:r>
          </w:p>
        </w:tc>
      </w:tr>
      <w:tr w:rsidR="00C861DA">
        <w:trPr>
          <w:trHeight w:val="369"/>
          <w:jc w:val="center"/>
        </w:trPr>
        <w:tc>
          <w:tcPr>
            <w:tcW w:w="639"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w:t>
            </w:r>
          </w:p>
        </w:tc>
        <w:tc>
          <w:tcPr>
            <w:tcW w:w="1722"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汞</w:t>
            </w:r>
          </w:p>
        </w:tc>
        <w:tc>
          <w:tcPr>
            <w:tcW w:w="1201"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2.0</w:t>
            </w:r>
          </w:p>
        </w:tc>
        <w:tc>
          <w:tcPr>
            <w:tcW w:w="176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2.5</w:t>
            </w:r>
          </w:p>
        </w:tc>
        <w:tc>
          <w:tcPr>
            <w:tcW w:w="148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4.0</w:t>
            </w:r>
          </w:p>
        </w:tc>
        <w:tc>
          <w:tcPr>
            <w:tcW w:w="148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6.0</w:t>
            </w:r>
          </w:p>
        </w:tc>
      </w:tr>
      <w:tr w:rsidR="00C861DA">
        <w:trPr>
          <w:trHeight w:val="369"/>
          <w:jc w:val="center"/>
        </w:trPr>
        <w:tc>
          <w:tcPr>
            <w:tcW w:w="639"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3</w:t>
            </w:r>
          </w:p>
        </w:tc>
        <w:tc>
          <w:tcPr>
            <w:tcW w:w="1722"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砷</w:t>
            </w:r>
          </w:p>
        </w:tc>
        <w:tc>
          <w:tcPr>
            <w:tcW w:w="1201"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200</w:t>
            </w:r>
          </w:p>
        </w:tc>
        <w:tc>
          <w:tcPr>
            <w:tcW w:w="176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150</w:t>
            </w:r>
          </w:p>
        </w:tc>
        <w:tc>
          <w:tcPr>
            <w:tcW w:w="148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120</w:t>
            </w:r>
          </w:p>
        </w:tc>
        <w:tc>
          <w:tcPr>
            <w:tcW w:w="148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100</w:t>
            </w:r>
          </w:p>
        </w:tc>
      </w:tr>
      <w:tr w:rsidR="00C861DA">
        <w:trPr>
          <w:trHeight w:val="369"/>
          <w:jc w:val="center"/>
        </w:trPr>
        <w:tc>
          <w:tcPr>
            <w:tcW w:w="639"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4</w:t>
            </w:r>
          </w:p>
        </w:tc>
        <w:tc>
          <w:tcPr>
            <w:tcW w:w="1722"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铅</w:t>
            </w:r>
          </w:p>
        </w:tc>
        <w:tc>
          <w:tcPr>
            <w:tcW w:w="1201"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400</w:t>
            </w:r>
          </w:p>
        </w:tc>
        <w:tc>
          <w:tcPr>
            <w:tcW w:w="176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500</w:t>
            </w:r>
          </w:p>
        </w:tc>
        <w:tc>
          <w:tcPr>
            <w:tcW w:w="148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700</w:t>
            </w:r>
          </w:p>
        </w:tc>
        <w:tc>
          <w:tcPr>
            <w:tcW w:w="148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1000</w:t>
            </w:r>
          </w:p>
        </w:tc>
      </w:tr>
      <w:tr w:rsidR="00C861DA">
        <w:trPr>
          <w:trHeight w:val="369"/>
          <w:jc w:val="center"/>
        </w:trPr>
        <w:tc>
          <w:tcPr>
            <w:tcW w:w="639"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5</w:t>
            </w:r>
          </w:p>
        </w:tc>
        <w:tc>
          <w:tcPr>
            <w:tcW w:w="1722"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铬</w:t>
            </w:r>
          </w:p>
        </w:tc>
        <w:tc>
          <w:tcPr>
            <w:tcW w:w="1201"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800</w:t>
            </w:r>
          </w:p>
        </w:tc>
        <w:tc>
          <w:tcPr>
            <w:tcW w:w="176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850</w:t>
            </w:r>
          </w:p>
        </w:tc>
        <w:tc>
          <w:tcPr>
            <w:tcW w:w="1487"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1000</w:t>
            </w:r>
          </w:p>
        </w:tc>
        <w:tc>
          <w:tcPr>
            <w:tcW w:w="148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1300</w:t>
            </w:r>
          </w:p>
        </w:tc>
      </w:tr>
    </w:tbl>
    <w:bookmarkStart w:id="157" w:name="_Toc10789"/>
    <w:bookmarkStart w:id="158" w:name="_Toc16597"/>
    <w:bookmarkStart w:id="159" w:name="_Toc12547"/>
    <w:bookmarkStart w:id="160" w:name="_Toc31813"/>
    <w:p w:rsidR="00C861DA" w:rsidRDefault="0044752E">
      <w:pPr>
        <w:pStyle w:val="32"/>
        <w:spacing w:beforeLines="100" w:before="312"/>
        <w:rPr>
          <w:rFonts w:ascii="Times New Roman" w:eastAsia="宋体"/>
          <w:b w:val="0"/>
          <w:bCs w:val="0"/>
          <w:color w:val="000000" w:themeColor="text1"/>
          <w:sz w:val="24"/>
          <w:szCs w:val="24"/>
        </w:rPr>
      </w:pPr>
      <w:r>
        <w:rPr>
          <w:rFonts w:ascii="Times New Roman" w:eastAsia="宋体" w:hint="eastAsia"/>
          <w:b w:val="0"/>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"_Toc512505408" </w:instrText>
      </w:r>
      <w:r>
        <w:rPr>
          <w:rFonts w:ascii="Times New Roman" w:eastAsia="宋体" w:hint="eastAsia"/>
          <w:b w:val="0"/>
          <w:bCs w:val="0"/>
          <w:color w:val="000000" w:themeColor="text1"/>
          <w:sz w:val="24"/>
          <w:szCs w:val="24"/>
        </w:rPr>
        <w:fldChar w:fldCharType="separate"/>
      </w:r>
      <w:bookmarkStart w:id="161" w:name="_Toc6826772"/>
      <w:r>
        <w:rPr>
          <w:rFonts w:ascii="Times New Roman" w:eastAsia="宋体" w:hint="eastAsia"/>
          <w:bCs w:val="0"/>
          <w:color w:val="000000" w:themeColor="text1"/>
          <w:sz w:val="24"/>
          <w:szCs w:val="24"/>
        </w:rPr>
        <w:t>2.5.2</w:t>
      </w:r>
      <w:r>
        <w:rPr>
          <w:rFonts w:ascii="Times New Roman" w:eastAsia="宋体" w:hint="eastAsia"/>
          <w:bCs w:val="0"/>
          <w:color w:val="000000" w:themeColor="text1"/>
          <w:sz w:val="24"/>
          <w:szCs w:val="24"/>
        </w:rPr>
        <w:t>污染物排放标准</w:t>
      </w:r>
      <w:bookmarkEnd w:id="161"/>
      <w:r>
        <w:rPr>
          <w:rFonts w:ascii="Times New Roman" w:eastAsia="宋体" w:hint="eastAsia"/>
          <w:b w:val="0"/>
          <w:bCs w:val="0"/>
          <w:color w:val="000000" w:themeColor="text1"/>
          <w:sz w:val="24"/>
          <w:szCs w:val="24"/>
        </w:rPr>
        <w:fldChar w:fldCharType="end"/>
      </w:r>
      <w:bookmarkEnd w:id="157"/>
      <w:bookmarkEnd w:id="158"/>
      <w:bookmarkEnd w:id="159"/>
      <w:bookmarkEnd w:id="160"/>
    </w:p>
    <w:p w:rsidR="00C861DA" w:rsidRDefault="0044752E">
      <w:pPr>
        <w:spacing w:line="360" w:lineRule="auto"/>
        <w:ind w:firstLineChars="200" w:firstLine="482"/>
        <w:rPr>
          <w:rFonts w:ascii="Times New Roman" w:eastAsia="宋体" w:cs="仿宋"/>
          <w:b/>
          <w:bCs/>
          <w:color w:val="000000" w:themeColor="text1"/>
          <w:sz w:val="24"/>
          <w:szCs w:val="24"/>
        </w:rPr>
      </w:pPr>
      <w:r>
        <w:rPr>
          <w:rFonts w:ascii="Times New Roman" w:eastAsia="宋体" w:cs="仿宋" w:hint="eastAsia"/>
          <w:b/>
          <w:bCs/>
          <w:color w:val="000000" w:themeColor="text1"/>
          <w:sz w:val="24"/>
          <w:szCs w:val="24"/>
        </w:rPr>
        <w:t>（</w:t>
      </w:r>
      <w:r>
        <w:rPr>
          <w:rFonts w:ascii="Times New Roman" w:eastAsia="宋体" w:cs="仿宋" w:hint="eastAsia"/>
          <w:b/>
          <w:bCs/>
          <w:color w:val="000000" w:themeColor="text1"/>
          <w:sz w:val="24"/>
          <w:szCs w:val="24"/>
        </w:rPr>
        <w:t>1</w:t>
      </w:r>
      <w:r>
        <w:rPr>
          <w:rFonts w:ascii="Times New Roman" w:eastAsia="宋体" w:cs="仿宋" w:hint="eastAsia"/>
          <w:b/>
          <w:bCs/>
          <w:color w:val="000000" w:themeColor="text1"/>
          <w:sz w:val="24"/>
          <w:szCs w:val="24"/>
        </w:rPr>
        <w:t>）废气</w:t>
      </w:r>
    </w:p>
    <w:p w:rsidR="00C861DA" w:rsidRDefault="0044752E">
      <w:pPr>
        <w:spacing w:line="360" w:lineRule="auto"/>
        <w:ind w:firstLineChars="200" w:firstLine="482"/>
        <w:rPr>
          <w:rFonts w:ascii="Times New Roman" w:eastAsia="宋体" w:cs="仿宋"/>
          <w:color w:val="000000" w:themeColor="text1"/>
          <w:sz w:val="24"/>
          <w:szCs w:val="24"/>
        </w:rPr>
      </w:pPr>
      <w:r>
        <w:rPr>
          <w:rFonts w:ascii="Times New Roman" w:eastAsia="宋体" w:cs="仿宋" w:hint="eastAsia"/>
          <w:b/>
          <w:bCs/>
          <w:color w:val="000000" w:themeColor="text1"/>
          <w:sz w:val="24"/>
          <w:szCs w:val="24"/>
        </w:rPr>
        <w:t>施工期：</w:t>
      </w:r>
      <w:r>
        <w:rPr>
          <w:rFonts w:ascii="Times New Roman" w:eastAsia="宋体" w:cs="仿宋" w:hint="eastAsia"/>
          <w:color w:val="000000" w:themeColor="text1"/>
          <w:sz w:val="24"/>
          <w:szCs w:val="24"/>
        </w:rPr>
        <w:t>粉尘、扬尘等无组织排放颗粒物执行《大气污染物综合排放标准》（</w:t>
      </w:r>
      <w:r>
        <w:rPr>
          <w:rFonts w:ascii="Times New Roman" w:eastAsia="宋体" w:cs="仿宋" w:hint="eastAsia"/>
          <w:color w:val="000000" w:themeColor="text1"/>
          <w:sz w:val="24"/>
          <w:szCs w:val="24"/>
        </w:rPr>
        <w:t>GB16297-1996</w:t>
      </w:r>
      <w:r>
        <w:rPr>
          <w:rFonts w:ascii="Times New Roman" w:eastAsia="宋体" w:cs="仿宋" w:hint="eastAsia"/>
          <w:color w:val="000000" w:themeColor="text1"/>
          <w:sz w:val="24"/>
          <w:szCs w:val="24"/>
        </w:rPr>
        <w:t>）表</w:t>
      </w:r>
      <w:r>
        <w:rPr>
          <w:rFonts w:ascii="Times New Roman" w:eastAsia="宋体" w:cs="仿宋" w:hint="eastAsia"/>
          <w:color w:val="000000" w:themeColor="text1"/>
          <w:sz w:val="24"/>
          <w:szCs w:val="24"/>
        </w:rPr>
        <w:t>2</w:t>
      </w:r>
      <w:r>
        <w:rPr>
          <w:rFonts w:ascii="Times New Roman" w:eastAsia="宋体" w:cs="仿宋" w:hint="eastAsia"/>
          <w:color w:val="000000" w:themeColor="text1"/>
          <w:sz w:val="24"/>
          <w:szCs w:val="24"/>
        </w:rPr>
        <w:t>中颗粒物≤</w:t>
      </w:r>
      <w:r>
        <w:rPr>
          <w:rFonts w:ascii="Times New Roman" w:eastAsia="宋体" w:cs="仿宋" w:hint="eastAsia"/>
          <w:color w:val="000000" w:themeColor="text1"/>
          <w:sz w:val="24"/>
          <w:szCs w:val="24"/>
        </w:rPr>
        <w:t>1.0mg/m</w:t>
      </w:r>
      <w:r>
        <w:rPr>
          <w:rFonts w:ascii="Times New Roman" w:eastAsia="宋体" w:cs="仿宋" w:hint="eastAsia"/>
          <w:color w:val="000000" w:themeColor="text1"/>
          <w:sz w:val="24"/>
          <w:szCs w:val="24"/>
          <w:vertAlign w:val="superscript"/>
        </w:rPr>
        <w:t>3</w:t>
      </w:r>
      <w:r>
        <w:rPr>
          <w:rFonts w:ascii="Times New Roman" w:eastAsia="宋体" w:cs="仿宋" w:hint="eastAsia"/>
          <w:color w:val="000000" w:themeColor="text1"/>
          <w:sz w:val="24"/>
          <w:szCs w:val="24"/>
        </w:rPr>
        <w:t>。</w:t>
      </w:r>
    </w:p>
    <w:p w:rsidR="00C861DA" w:rsidRDefault="0044752E">
      <w:pPr>
        <w:spacing w:line="360" w:lineRule="auto"/>
        <w:ind w:firstLineChars="200" w:firstLine="482"/>
        <w:rPr>
          <w:rFonts w:ascii="Times New Roman" w:eastAsia="宋体" w:cs="仿宋"/>
          <w:color w:val="000000" w:themeColor="text1"/>
          <w:sz w:val="24"/>
          <w:szCs w:val="24"/>
        </w:rPr>
      </w:pPr>
      <w:r>
        <w:rPr>
          <w:rFonts w:ascii="Times New Roman" w:eastAsia="宋体" w:cs="仿宋" w:hint="eastAsia"/>
          <w:b/>
          <w:bCs/>
          <w:color w:val="000000" w:themeColor="text1"/>
          <w:sz w:val="24"/>
          <w:szCs w:val="24"/>
        </w:rPr>
        <w:t>运营期：</w:t>
      </w:r>
      <w:r>
        <w:rPr>
          <w:rFonts w:ascii="Times New Roman" w:eastAsia="宋体" w:cs="仿宋" w:hint="eastAsia"/>
          <w:bCs/>
          <w:color w:val="000000" w:themeColor="text1"/>
          <w:sz w:val="24"/>
          <w:szCs w:val="24"/>
        </w:rPr>
        <w:t>颗粒物</w:t>
      </w:r>
      <w:r>
        <w:rPr>
          <w:rFonts w:ascii="Times New Roman" w:eastAsia="宋体" w:cs="仿宋" w:hint="eastAsia"/>
          <w:color w:val="000000" w:themeColor="text1"/>
          <w:sz w:val="24"/>
          <w:szCs w:val="24"/>
        </w:rPr>
        <w:t>执行《大气污染物综合排放标准》（</w:t>
      </w:r>
      <w:r>
        <w:rPr>
          <w:rFonts w:ascii="Times New Roman" w:eastAsia="宋体" w:cs="仿宋" w:hint="eastAsia"/>
          <w:color w:val="000000" w:themeColor="text1"/>
          <w:sz w:val="24"/>
          <w:szCs w:val="24"/>
        </w:rPr>
        <w:t>GB16297-1996</w:t>
      </w:r>
      <w:r>
        <w:rPr>
          <w:rFonts w:ascii="Times New Roman" w:eastAsia="宋体" w:cs="仿宋" w:hint="eastAsia"/>
          <w:color w:val="000000" w:themeColor="text1"/>
          <w:sz w:val="24"/>
          <w:szCs w:val="24"/>
        </w:rPr>
        <w:t>）表中二级标准；</w:t>
      </w:r>
      <w:r>
        <w:rPr>
          <w:rFonts w:ascii="Times New Roman" w:eastAsia="宋体" w:cs="仿宋" w:hint="eastAsia"/>
          <w:color w:val="000000" w:themeColor="text1"/>
          <w:sz w:val="24"/>
          <w:szCs w:val="24"/>
        </w:rPr>
        <w:t>NO</w:t>
      </w:r>
      <w:r>
        <w:rPr>
          <w:rFonts w:ascii="Times New Roman" w:eastAsia="宋体" w:cs="仿宋" w:hint="eastAsia"/>
          <w:color w:val="000000" w:themeColor="text1"/>
          <w:sz w:val="24"/>
          <w:szCs w:val="24"/>
          <w:vertAlign w:val="subscript"/>
        </w:rPr>
        <w:t>X</w:t>
      </w:r>
      <w:r>
        <w:rPr>
          <w:rFonts w:ascii="Times New Roman" w:eastAsia="宋体" w:cs="仿宋" w:hint="eastAsia"/>
          <w:color w:val="000000" w:themeColor="text1"/>
          <w:sz w:val="24"/>
          <w:szCs w:val="24"/>
        </w:rPr>
        <w:t>执行</w:t>
      </w:r>
      <w:r>
        <w:rPr>
          <w:rFonts w:ascii="Times New Roman" w:eastAsia="宋体" w:cs="仿宋" w:hint="eastAsia"/>
          <w:color w:val="000000" w:themeColor="text1"/>
          <w:sz w:val="24"/>
          <w:szCs w:val="24"/>
        </w:rPr>
        <w:t>GB</w:t>
      </w:r>
      <w:r>
        <w:rPr>
          <w:rFonts w:ascii="Times New Roman" w:eastAsia="宋体" w:cs="仿宋"/>
          <w:color w:val="000000" w:themeColor="text1"/>
          <w:sz w:val="24"/>
          <w:szCs w:val="24"/>
        </w:rPr>
        <w:t>26131-2010</w:t>
      </w:r>
      <w:r>
        <w:rPr>
          <w:rFonts w:ascii="Times New Roman" w:eastAsia="宋体" w:cs="仿宋" w:hint="eastAsia"/>
          <w:color w:val="000000" w:themeColor="text1"/>
          <w:sz w:val="24"/>
          <w:szCs w:val="24"/>
        </w:rPr>
        <w:t>《硝酸工业污染物排放标准》中表</w:t>
      </w:r>
      <w:r>
        <w:rPr>
          <w:rFonts w:ascii="Times New Roman" w:eastAsia="宋体" w:cs="仿宋" w:hint="eastAsia"/>
          <w:color w:val="000000" w:themeColor="text1"/>
          <w:sz w:val="24"/>
          <w:szCs w:val="24"/>
        </w:rPr>
        <w:t>5</w:t>
      </w:r>
      <w:r>
        <w:rPr>
          <w:rFonts w:ascii="Times New Roman" w:eastAsia="宋体" w:cs="仿宋" w:hint="eastAsia"/>
          <w:color w:val="000000" w:themeColor="text1"/>
          <w:sz w:val="24"/>
          <w:szCs w:val="24"/>
        </w:rPr>
        <w:t>和表</w:t>
      </w:r>
      <w:r>
        <w:rPr>
          <w:rFonts w:ascii="Times New Roman" w:eastAsia="宋体" w:cs="仿宋" w:hint="eastAsia"/>
          <w:color w:val="000000" w:themeColor="text1"/>
          <w:sz w:val="24"/>
          <w:szCs w:val="24"/>
        </w:rPr>
        <w:t>7</w:t>
      </w:r>
      <w:r>
        <w:rPr>
          <w:rFonts w:ascii="Times New Roman" w:eastAsia="宋体" w:cs="仿宋" w:hint="eastAsia"/>
          <w:color w:val="000000" w:themeColor="text1"/>
          <w:sz w:val="24"/>
          <w:szCs w:val="24"/>
        </w:rPr>
        <w:t>的限值，</w:t>
      </w:r>
      <w:r>
        <w:rPr>
          <w:rFonts w:ascii="Times New Roman" w:eastAsia="宋体" w:hAnsi="Times New Roman" w:cs="Times New Roman"/>
          <w:color w:val="000000" w:themeColor="text1"/>
          <w:kern w:val="0"/>
          <w:sz w:val="24"/>
          <w:szCs w:val="24"/>
        </w:rPr>
        <w:t>本项目生产过程中会有少量氨气逸散，且原料中含有有机物腐殖酸，会有</w:t>
      </w:r>
      <w:r>
        <w:rPr>
          <w:rFonts w:ascii="Times New Roman" w:eastAsia="宋体" w:hAnsi="Times New Roman" w:cs="Times New Roman" w:hint="eastAsia"/>
          <w:color w:val="000000" w:themeColor="text1"/>
          <w:kern w:val="0"/>
          <w:sz w:val="24"/>
          <w:szCs w:val="24"/>
        </w:rPr>
        <w:t>一定的</w:t>
      </w:r>
      <w:r>
        <w:rPr>
          <w:rFonts w:ascii="Times New Roman" w:eastAsia="宋体" w:hAnsi="Times New Roman" w:cs="Times New Roman"/>
          <w:color w:val="000000" w:themeColor="text1"/>
          <w:kern w:val="0"/>
          <w:sz w:val="24"/>
          <w:szCs w:val="24"/>
        </w:rPr>
        <w:t>臭气，厂区执行《恶臭污染物排放标准》（</w:t>
      </w:r>
      <w:r>
        <w:rPr>
          <w:rFonts w:ascii="Times New Roman" w:eastAsia="宋体" w:hAnsi="Times New Roman" w:cs="Times New Roman"/>
          <w:color w:val="000000" w:themeColor="text1"/>
          <w:kern w:val="0"/>
          <w:sz w:val="24"/>
          <w:szCs w:val="24"/>
        </w:rPr>
        <w:t>GB14554-93</w:t>
      </w:r>
      <w:r>
        <w:rPr>
          <w:rFonts w:ascii="Times New Roman" w:eastAsia="宋体" w:hAnsi="Times New Roman" w:cs="Times New Roman"/>
          <w:color w:val="000000" w:themeColor="text1"/>
          <w:kern w:val="0"/>
          <w:sz w:val="24"/>
          <w:szCs w:val="24"/>
        </w:rPr>
        <w:t>）二级标准的要求，</w:t>
      </w:r>
      <w:r>
        <w:rPr>
          <w:rFonts w:ascii="Times New Roman" w:eastAsia="宋体" w:cs="仿宋" w:hint="eastAsia"/>
          <w:color w:val="000000" w:themeColor="text1"/>
          <w:sz w:val="24"/>
          <w:szCs w:val="24"/>
        </w:rPr>
        <w:t>标准限值见表</w:t>
      </w:r>
      <w:r>
        <w:rPr>
          <w:rFonts w:ascii="Times New Roman" w:eastAsia="宋体" w:cs="仿宋" w:hint="eastAsia"/>
          <w:color w:val="000000" w:themeColor="text1"/>
          <w:sz w:val="24"/>
          <w:szCs w:val="24"/>
        </w:rPr>
        <w:t>2.</w:t>
      </w:r>
      <w:r>
        <w:rPr>
          <w:rFonts w:ascii="Times New Roman" w:eastAsia="宋体" w:cs="仿宋"/>
          <w:color w:val="000000" w:themeColor="text1"/>
          <w:sz w:val="24"/>
          <w:szCs w:val="24"/>
        </w:rPr>
        <w:t>5-7~</w:t>
      </w:r>
      <w:r>
        <w:rPr>
          <w:rFonts w:ascii="Times New Roman" w:eastAsia="宋体" w:cs="仿宋" w:hint="eastAsia"/>
          <w:color w:val="000000" w:themeColor="text1"/>
          <w:sz w:val="24"/>
          <w:szCs w:val="24"/>
        </w:rPr>
        <w:t>表</w:t>
      </w:r>
      <w:r>
        <w:rPr>
          <w:rFonts w:ascii="Times New Roman" w:eastAsia="宋体" w:cs="仿宋" w:hint="eastAsia"/>
          <w:color w:val="000000" w:themeColor="text1"/>
          <w:sz w:val="24"/>
          <w:szCs w:val="24"/>
        </w:rPr>
        <w:t>2</w:t>
      </w:r>
      <w:r>
        <w:rPr>
          <w:rFonts w:ascii="Times New Roman" w:eastAsia="宋体" w:cs="仿宋"/>
          <w:color w:val="000000" w:themeColor="text1"/>
          <w:sz w:val="24"/>
          <w:szCs w:val="24"/>
        </w:rPr>
        <w:t>.5-9</w:t>
      </w:r>
      <w:r>
        <w:rPr>
          <w:rFonts w:ascii="Times New Roman" w:eastAsia="宋体" w:cs="仿宋" w:hint="eastAsia"/>
          <w:color w:val="000000" w:themeColor="text1"/>
          <w:sz w:val="24"/>
          <w:szCs w:val="24"/>
        </w:rPr>
        <w:t>。</w:t>
      </w:r>
    </w:p>
    <w:p w:rsidR="00C861DA" w:rsidRDefault="0044752E">
      <w:pPr>
        <w:spacing w:line="360" w:lineRule="auto"/>
        <w:jc w:val="center"/>
        <w:rPr>
          <w:rFonts w:ascii="Times New Roman" w:eastAsia="宋体" w:cs="仿宋"/>
          <w:b/>
          <w:bCs/>
          <w:color w:val="000000" w:themeColor="text1"/>
          <w:sz w:val="24"/>
          <w:szCs w:val="24"/>
        </w:rPr>
      </w:pPr>
      <w:r>
        <w:rPr>
          <w:rFonts w:ascii="Times New Roman" w:eastAsia="宋体" w:cs="仿宋" w:hint="eastAsia"/>
          <w:b/>
          <w:bCs/>
          <w:color w:val="000000" w:themeColor="text1"/>
          <w:sz w:val="24"/>
          <w:szCs w:val="24"/>
        </w:rPr>
        <w:t>表</w:t>
      </w:r>
      <w:r>
        <w:rPr>
          <w:rFonts w:ascii="Times New Roman" w:eastAsia="宋体" w:cs="仿宋" w:hint="eastAsia"/>
          <w:b/>
          <w:bCs/>
          <w:color w:val="000000" w:themeColor="text1"/>
          <w:sz w:val="24"/>
          <w:szCs w:val="24"/>
        </w:rPr>
        <w:t>2.</w:t>
      </w:r>
      <w:r>
        <w:rPr>
          <w:rFonts w:ascii="Times New Roman" w:eastAsia="宋体" w:cs="仿宋"/>
          <w:b/>
          <w:bCs/>
          <w:color w:val="000000" w:themeColor="text1"/>
          <w:sz w:val="24"/>
          <w:szCs w:val="24"/>
        </w:rPr>
        <w:t>5-7</w:t>
      </w:r>
      <w:r>
        <w:rPr>
          <w:rFonts w:ascii="Times New Roman" w:eastAsia="宋体" w:cs="仿宋" w:hint="eastAsia"/>
          <w:b/>
          <w:color w:val="000000" w:themeColor="text1"/>
          <w:sz w:val="24"/>
          <w:szCs w:val="24"/>
        </w:rPr>
        <w:t xml:space="preserve">  </w:t>
      </w:r>
      <w:r>
        <w:rPr>
          <w:rFonts w:ascii="Times New Roman" w:eastAsia="宋体" w:cs="仿宋" w:hint="eastAsia"/>
          <w:b/>
          <w:bCs/>
          <w:color w:val="000000" w:themeColor="text1"/>
          <w:sz w:val="24"/>
          <w:szCs w:val="24"/>
        </w:rPr>
        <w:t>大气污染物综合排放标准</w:t>
      </w:r>
    </w:p>
    <w:tbl>
      <w:tblPr>
        <w:tblW w:w="83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7"/>
        <w:gridCol w:w="1276"/>
        <w:gridCol w:w="1275"/>
        <w:gridCol w:w="993"/>
        <w:gridCol w:w="1559"/>
        <w:gridCol w:w="2367"/>
      </w:tblGrid>
      <w:tr w:rsidR="00C861DA">
        <w:trPr>
          <w:trHeight w:val="397"/>
        </w:trPr>
        <w:tc>
          <w:tcPr>
            <w:tcW w:w="847" w:type="dxa"/>
            <w:vMerge w:val="restart"/>
            <w:vAlign w:val="center"/>
          </w:tcPr>
          <w:p w:rsidR="00C861DA" w:rsidRDefault="0044752E">
            <w:pPr>
              <w:pStyle w:val="TableParagraph"/>
              <w:jc w:val="center"/>
              <w:rPr>
                <w:rFonts w:cs="宋体"/>
                <w:b/>
                <w:bCs/>
                <w:color w:val="000000" w:themeColor="text1"/>
              </w:rPr>
            </w:pPr>
            <w:r>
              <w:rPr>
                <w:rFonts w:cs="宋体"/>
                <w:b/>
                <w:bCs/>
                <w:color w:val="000000" w:themeColor="text1"/>
              </w:rPr>
              <w:t>污染物</w:t>
            </w:r>
          </w:p>
        </w:tc>
        <w:tc>
          <w:tcPr>
            <w:tcW w:w="1276" w:type="dxa"/>
            <w:vMerge w:val="restart"/>
            <w:vAlign w:val="center"/>
          </w:tcPr>
          <w:p w:rsidR="00C861DA" w:rsidRDefault="0044752E">
            <w:pPr>
              <w:pStyle w:val="TableParagraph"/>
              <w:jc w:val="center"/>
              <w:rPr>
                <w:rFonts w:cs="宋体"/>
                <w:b/>
                <w:bCs/>
                <w:color w:val="000000" w:themeColor="text1"/>
              </w:rPr>
            </w:pPr>
            <w:r>
              <w:rPr>
                <w:rFonts w:cs="宋体"/>
                <w:b/>
                <w:bCs/>
                <w:color w:val="000000" w:themeColor="text1"/>
              </w:rPr>
              <w:t>最高允许浓度（</w:t>
            </w:r>
            <w:r>
              <w:rPr>
                <w:rFonts w:cs="宋体"/>
                <w:b/>
                <w:bCs/>
                <w:color w:val="000000" w:themeColor="text1"/>
              </w:rPr>
              <w:t>mg/m</w:t>
            </w:r>
            <w:r>
              <w:rPr>
                <w:rFonts w:cs="宋体"/>
                <w:b/>
                <w:bCs/>
                <w:color w:val="000000" w:themeColor="text1"/>
                <w:vertAlign w:val="superscript"/>
              </w:rPr>
              <w:t>3</w:t>
            </w:r>
            <w:r>
              <w:rPr>
                <w:rFonts w:cs="宋体"/>
                <w:b/>
                <w:bCs/>
                <w:color w:val="000000" w:themeColor="text1"/>
              </w:rPr>
              <w:t>）</w:t>
            </w:r>
          </w:p>
        </w:tc>
        <w:tc>
          <w:tcPr>
            <w:tcW w:w="2268" w:type="dxa"/>
            <w:gridSpan w:val="2"/>
            <w:vAlign w:val="center"/>
          </w:tcPr>
          <w:p w:rsidR="00C861DA" w:rsidRDefault="0044752E">
            <w:pPr>
              <w:pStyle w:val="TableParagraph"/>
              <w:jc w:val="center"/>
              <w:rPr>
                <w:rFonts w:cs="宋体"/>
                <w:b/>
                <w:bCs/>
                <w:color w:val="000000" w:themeColor="text1"/>
              </w:rPr>
            </w:pPr>
            <w:r>
              <w:rPr>
                <w:rFonts w:cs="宋体"/>
                <w:b/>
                <w:bCs/>
                <w:color w:val="000000" w:themeColor="text1"/>
              </w:rPr>
              <w:t>最高允许排放速率（</w:t>
            </w:r>
            <w:r>
              <w:rPr>
                <w:rFonts w:cs="宋体"/>
                <w:b/>
                <w:bCs/>
                <w:color w:val="000000" w:themeColor="text1"/>
              </w:rPr>
              <w:t>kg/h</w:t>
            </w:r>
            <w:r>
              <w:rPr>
                <w:rFonts w:cs="宋体"/>
                <w:b/>
                <w:bCs/>
                <w:color w:val="000000" w:themeColor="text1"/>
              </w:rPr>
              <w:t>）</w:t>
            </w:r>
          </w:p>
        </w:tc>
        <w:tc>
          <w:tcPr>
            <w:tcW w:w="1559" w:type="dxa"/>
            <w:vMerge w:val="restart"/>
            <w:vAlign w:val="center"/>
          </w:tcPr>
          <w:p w:rsidR="00C861DA" w:rsidRDefault="0044752E">
            <w:pPr>
              <w:pStyle w:val="TableParagraph"/>
              <w:jc w:val="center"/>
              <w:rPr>
                <w:rFonts w:cs="宋体"/>
                <w:b/>
                <w:bCs/>
                <w:color w:val="000000" w:themeColor="text1"/>
              </w:rPr>
            </w:pPr>
            <w:r>
              <w:rPr>
                <w:rFonts w:cs="宋体"/>
                <w:b/>
                <w:bCs/>
                <w:color w:val="000000" w:themeColor="text1"/>
              </w:rPr>
              <w:t>无组织排放监控浓度（</w:t>
            </w:r>
            <w:r>
              <w:rPr>
                <w:rFonts w:cs="宋体"/>
                <w:b/>
                <w:bCs/>
                <w:color w:val="000000" w:themeColor="text1"/>
              </w:rPr>
              <w:t>mg/m</w:t>
            </w:r>
            <w:r>
              <w:rPr>
                <w:rFonts w:cs="宋体"/>
                <w:b/>
                <w:bCs/>
                <w:color w:val="000000" w:themeColor="text1"/>
                <w:vertAlign w:val="superscript"/>
              </w:rPr>
              <w:t>3</w:t>
            </w:r>
            <w:r>
              <w:rPr>
                <w:rFonts w:cs="宋体"/>
                <w:b/>
                <w:bCs/>
                <w:color w:val="000000" w:themeColor="text1"/>
              </w:rPr>
              <w:t>）</w:t>
            </w:r>
          </w:p>
        </w:tc>
        <w:tc>
          <w:tcPr>
            <w:tcW w:w="2367" w:type="dxa"/>
            <w:vMerge w:val="restart"/>
            <w:vAlign w:val="center"/>
          </w:tcPr>
          <w:p w:rsidR="00C861DA" w:rsidRDefault="0044752E">
            <w:pPr>
              <w:pStyle w:val="TableParagraph"/>
              <w:jc w:val="center"/>
              <w:rPr>
                <w:rFonts w:cs="宋体"/>
                <w:b/>
                <w:bCs/>
                <w:color w:val="000000" w:themeColor="text1"/>
              </w:rPr>
            </w:pPr>
            <w:r>
              <w:rPr>
                <w:rFonts w:cs="宋体"/>
                <w:b/>
                <w:bCs/>
                <w:color w:val="000000" w:themeColor="text1"/>
              </w:rPr>
              <w:t>标准来源</w:t>
            </w:r>
          </w:p>
        </w:tc>
      </w:tr>
      <w:tr w:rsidR="00C861DA">
        <w:trPr>
          <w:trHeight w:val="397"/>
        </w:trPr>
        <w:tc>
          <w:tcPr>
            <w:tcW w:w="847" w:type="dxa"/>
            <w:vMerge/>
            <w:vAlign w:val="center"/>
          </w:tcPr>
          <w:p w:rsidR="00C861DA" w:rsidRDefault="00C861DA">
            <w:pPr>
              <w:pStyle w:val="TableParagraph"/>
              <w:jc w:val="center"/>
              <w:rPr>
                <w:rFonts w:cs="宋体"/>
                <w:color w:val="000000" w:themeColor="text1"/>
              </w:rPr>
            </w:pPr>
          </w:p>
        </w:tc>
        <w:tc>
          <w:tcPr>
            <w:tcW w:w="1276" w:type="dxa"/>
            <w:vMerge/>
            <w:vAlign w:val="center"/>
          </w:tcPr>
          <w:p w:rsidR="00C861DA" w:rsidRDefault="00C861DA">
            <w:pPr>
              <w:pStyle w:val="TableParagraph"/>
              <w:jc w:val="center"/>
              <w:rPr>
                <w:rFonts w:cs="宋体"/>
                <w:color w:val="000000" w:themeColor="text1"/>
              </w:rPr>
            </w:pPr>
          </w:p>
        </w:tc>
        <w:tc>
          <w:tcPr>
            <w:tcW w:w="1275" w:type="dxa"/>
            <w:vAlign w:val="center"/>
          </w:tcPr>
          <w:p w:rsidR="00C861DA" w:rsidRDefault="0044752E">
            <w:pPr>
              <w:pStyle w:val="TableParagraph"/>
              <w:jc w:val="center"/>
              <w:rPr>
                <w:rFonts w:cs="宋体"/>
                <w:b/>
                <w:bCs/>
                <w:color w:val="000000" w:themeColor="text1"/>
              </w:rPr>
            </w:pPr>
            <w:r>
              <w:rPr>
                <w:rFonts w:cs="宋体"/>
                <w:b/>
                <w:bCs/>
                <w:color w:val="000000" w:themeColor="text1"/>
              </w:rPr>
              <w:t>排气筒（</w:t>
            </w:r>
            <w:r>
              <w:rPr>
                <w:rFonts w:cs="宋体"/>
                <w:b/>
                <w:bCs/>
                <w:color w:val="000000" w:themeColor="text1"/>
              </w:rPr>
              <w:t>m</w:t>
            </w:r>
            <w:r>
              <w:rPr>
                <w:rFonts w:cs="宋体"/>
                <w:b/>
                <w:bCs/>
                <w:color w:val="000000" w:themeColor="text1"/>
              </w:rPr>
              <w:t>）</w:t>
            </w:r>
          </w:p>
        </w:tc>
        <w:tc>
          <w:tcPr>
            <w:tcW w:w="993" w:type="dxa"/>
            <w:vAlign w:val="center"/>
          </w:tcPr>
          <w:p w:rsidR="00C861DA" w:rsidRDefault="0044752E">
            <w:pPr>
              <w:pStyle w:val="TableParagraph"/>
              <w:jc w:val="center"/>
              <w:rPr>
                <w:rFonts w:cs="宋体"/>
                <w:b/>
                <w:bCs/>
                <w:color w:val="000000" w:themeColor="text1"/>
              </w:rPr>
            </w:pPr>
            <w:r>
              <w:rPr>
                <w:rFonts w:cs="宋体"/>
                <w:b/>
                <w:bCs/>
                <w:color w:val="000000" w:themeColor="text1"/>
              </w:rPr>
              <w:t>二级</w:t>
            </w:r>
          </w:p>
        </w:tc>
        <w:tc>
          <w:tcPr>
            <w:tcW w:w="1559" w:type="dxa"/>
            <w:vMerge/>
            <w:vAlign w:val="center"/>
          </w:tcPr>
          <w:p w:rsidR="00C861DA" w:rsidRDefault="00C861DA">
            <w:pPr>
              <w:pStyle w:val="TableParagraph"/>
              <w:jc w:val="center"/>
              <w:rPr>
                <w:rFonts w:cs="宋体"/>
                <w:color w:val="000000" w:themeColor="text1"/>
              </w:rPr>
            </w:pPr>
          </w:p>
        </w:tc>
        <w:tc>
          <w:tcPr>
            <w:tcW w:w="2367" w:type="dxa"/>
            <w:vMerge/>
            <w:vAlign w:val="center"/>
          </w:tcPr>
          <w:p w:rsidR="00C861DA" w:rsidRDefault="00C861DA">
            <w:pPr>
              <w:pStyle w:val="TableParagraph"/>
              <w:jc w:val="center"/>
              <w:rPr>
                <w:rFonts w:cs="宋体"/>
                <w:color w:val="000000" w:themeColor="text1"/>
              </w:rPr>
            </w:pPr>
          </w:p>
        </w:tc>
      </w:tr>
      <w:tr w:rsidR="00C861DA">
        <w:trPr>
          <w:trHeight w:val="397"/>
        </w:trPr>
        <w:tc>
          <w:tcPr>
            <w:tcW w:w="847" w:type="dxa"/>
            <w:vMerge w:val="restart"/>
            <w:vAlign w:val="center"/>
          </w:tcPr>
          <w:p w:rsidR="00C861DA" w:rsidRDefault="0044752E">
            <w:pPr>
              <w:pStyle w:val="TableParagraph"/>
              <w:jc w:val="center"/>
              <w:rPr>
                <w:rFonts w:cs="宋体"/>
                <w:color w:val="000000" w:themeColor="text1"/>
              </w:rPr>
            </w:pPr>
            <w:r>
              <w:rPr>
                <w:rFonts w:cs="宋体"/>
                <w:color w:val="000000" w:themeColor="text1"/>
              </w:rPr>
              <w:t>颗粒物</w:t>
            </w:r>
          </w:p>
        </w:tc>
        <w:tc>
          <w:tcPr>
            <w:tcW w:w="1276" w:type="dxa"/>
            <w:vMerge w:val="restart"/>
            <w:vAlign w:val="center"/>
          </w:tcPr>
          <w:p w:rsidR="00C861DA" w:rsidRDefault="0044752E">
            <w:pPr>
              <w:pStyle w:val="TableParagraph"/>
              <w:jc w:val="center"/>
              <w:rPr>
                <w:rFonts w:cs="宋体"/>
                <w:color w:val="000000" w:themeColor="text1"/>
              </w:rPr>
            </w:pPr>
            <w:r>
              <w:rPr>
                <w:rFonts w:cs="宋体"/>
                <w:color w:val="000000" w:themeColor="text1"/>
              </w:rPr>
              <w:t>120</w:t>
            </w:r>
          </w:p>
        </w:tc>
        <w:tc>
          <w:tcPr>
            <w:tcW w:w="1275" w:type="dxa"/>
            <w:vAlign w:val="center"/>
          </w:tcPr>
          <w:p w:rsidR="00C861DA" w:rsidRDefault="0044752E">
            <w:pPr>
              <w:pStyle w:val="TableParagraph"/>
              <w:jc w:val="center"/>
              <w:rPr>
                <w:rFonts w:cs="宋体"/>
                <w:color w:val="000000" w:themeColor="text1"/>
              </w:rPr>
            </w:pPr>
            <w:r>
              <w:rPr>
                <w:rFonts w:cs="宋体" w:hint="eastAsia"/>
                <w:color w:val="000000" w:themeColor="text1"/>
              </w:rPr>
              <w:t>40</w:t>
            </w:r>
          </w:p>
        </w:tc>
        <w:tc>
          <w:tcPr>
            <w:tcW w:w="993" w:type="dxa"/>
            <w:vAlign w:val="center"/>
          </w:tcPr>
          <w:p w:rsidR="00C861DA" w:rsidRDefault="0044752E">
            <w:pPr>
              <w:pStyle w:val="TableParagraph"/>
              <w:jc w:val="center"/>
              <w:rPr>
                <w:rFonts w:cs="宋体"/>
                <w:color w:val="000000" w:themeColor="text1"/>
              </w:rPr>
            </w:pPr>
            <w:r>
              <w:rPr>
                <w:rFonts w:cs="宋体" w:hint="eastAsia"/>
                <w:color w:val="000000" w:themeColor="text1"/>
              </w:rPr>
              <w:t>39</w:t>
            </w:r>
          </w:p>
        </w:tc>
        <w:tc>
          <w:tcPr>
            <w:tcW w:w="1559" w:type="dxa"/>
            <w:vMerge w:val="restart"/>
            <w:vAlign w:val="center"/>
          </w:tcPr>
          <w:p w:rsidR="00C861DA" w:rsidRDefault="0044752E">
            <w:pPr>
              <w:pStyle w:val="TableParagraph"/>
              <w:jc w:val="center"/>
              <w:rPr>
                <w:rFonts w:cs="宋体"/>
                <w:color w:val="000000" w:themeColor="text1"/>
              </w:rPr>
            </w:pPr>
            <w:r>
              <w:rPr>
                <w:rFonts w:cs="宋体"/>
                <w:color w:val="000000" w:themeColor="text1"/>
              </w:rPr>
              <w:t>周界外浓度</w:t>
            </w:r>
          </w:p>
          <w:p w:rsidR="00C861DA" w:rsidRDefault="0044752E">
            <w:pPr>
              <w:pStyle w:val="TableParagraph"/>
              <w:jc w:val="center"/>
              <w:rPr>
                <w:rFonts w:cs="宋体"/>
                <w:color w:val="000000" w:themeColor="text1"/>
              </w:rPr>
            </w:pPr>
            <w:r>
              <w:rPr>
                <w:rFonts w:cs="宋体"/>
                <w:color w:val="000000" w:themeColor="text1"/>
              </w:rPr>
              <w:t>最高点</w:t>
            </w:r>
            <w:r>
              <w:rPr>
                <w:rFonts w:cs="宋体" w:hint="eastAsia"/>
                <w:color w:val="000000" w:themeColor="text1"/>
              </w:rPr>
              <w:t xml:space="preserve"> </w:t>
            </w:r>
            <w:r>
              <w:rPr>
                <w:rFonts w:cs="宋体"/>
                <w:color w:val="000000" w:themeColor="text1"/>
              </w:rPr>
              <w:t>1.0</w:t>
            </w:r>
          </w:p>
        </w:tc>
        <w:tc>
          <w:tcPr>
            <w:tcW w:w="2367" w:type="dxa"/>
            <w:vMerge w:val="restart"/>
            <w:vAlign w:val="center"/>
          </w:tcPr>
          <w:p w:rsidR="00C861DA" w:rsidRDefault="0044752E">
            <w:pPr>
              <w:pStyle w:val="TableParagraph"/>
              <w:jc w:val="center"/>
              <w:rPr>
                <w:rFonts w:cs="宋体"/>
                <w:color w:val="000000" w:themeColor="text1"/>
              </w:rPr>
            </w:pPr>
            <w:r>
              <w:rPr>
                <w:rFonts w:cs="宋体"/>
                <w:color w:val="000000" w:themeColor="text1"/>
              </w:rPr>
              <w:t>《大气污染物综合排放标准》（</w:t>
            </w:r>
            <w:r>
              <w:rPr>
                <w:rFonts w:cs="宋体"/>
                <w:color w:val="000000" w:themeColor="text1"/>
              </w:rPr>
              <w:t>GB16297-1996</w:t>
            </w:r>
            <w:r>
              <w:rPr>
                <w:rFonts w:cs="宋体"/>
                <w:color w:val="000000" w:themeColor="text1"/>
              </w:rPr>
              <w:t>）</w:t>
            </w:r>
          </w:p>
        </w:tc>
      </w:tr>
      <w:tr w:rsidR="00C861DA">
        <w:trPr>
          <w:trHeight w:val="397"/>
        </w:trPr>
        <w:tc>
          <w:tcPr>
            <w:tcW w:w="847" w:type="dxa"/>
            <w:vMerge/>
            <w:vAlign w:val="center"/>
          </w:tcPr>
          <w:p w:rsidR="00C861DA" w:rsidRDefault="00C861DA">
            <w:pPr>
              <w:pStyle w:val="TableParagraph"/>
              <w:jc w:val="center"/>
              <w:rPr>
                <w:rFonts w:cs="宋体"/>
                <w:color w:val="000000" w:themeColor="text1"/>
              </w:rPr>
            </w:pPr>
          </w:p>
        </w:tc>
        <w:tc>
          <w:tcPr>
            <w:tcW w:w="1276" w:type="dxa"/>
            <w:vMerge/>
            <w:vAlign w:val="center"/>
          </w:tcPr>
          <w:p w:rsidR="00C861DA" w:rsidRDefault="00C861DA">
            <w:pPr>
              <w:pStyle w:val="TableParagraph"/>
              <w:jc w:val="center"/>
              <w:rPr>
                <w:rFonts w:cs="宋体"/>
                <w:color w:val="000000" w:themeColor="text1"/>
              </w:rPr>
            </w:pPr>
          </w:p>
        </w:tc>
        <w:tc>
          <w:tcPr>
            <w:tcW w:w="1275" w:type="dxa"/>
            <w:vAlign w:val="center"/>
          </w:tcPr>
          <w:p w:rsidR="00C861DA" w:rsidRDefault="0044752E">
            <w:pPr>
              <w:pStyle w:val="TableParagraph"/>
              <w:jc w:val="center"/>
              <w:rPr>
                <w:rFonts w:cs="宋体"/>
                <w:color w:val="000000" w:themeColor="text1"/>
              </w:rPr>
            </w:pPr>
            <w:r>
              <w:rPr>
                <w:rFonts w:cs="宋体"/>
                <w:color w:val="000000" w:themeColor="text1"/>
              </w:rPr>
              <w:t>50</w:t>
            </w:r>
          </w:p>
        </w:tc>
        <w:tc>
          <w:tcPr>
            <w:tcW w:w="993" w:type="dxa"/>
            <w:vAlign w:val="center"/>
          </w:tcPr>
          <w:p w:rsidR="00C861DA" w:rsidRDefault="0044752E">
            <w:pPr>
              <w:pStyle w:val="TableParagraph"/>
              <w:jc w:val="center"/>
              <w:rPr>
                <w:rFonts w:cs="宋体"/>
                <w:color w:val="000000" w:themeColor="text1"/>
              </w:rPr>
            </w:pPr>
            <w:r>
              <w:rPr>
                <w:rFonts w:cs="宋体"/>
                <w:color w:val="000000" w:themeColor="text1"/>
              </w:rPr>
              <w:t>60</w:t>
            </w:r>
          </w:p>
        </w:tc>
        <w:tc>
          <w:tcPr>
            <w:tcW w:w="1559" w:type="dxa"/>
            <w:vMerge/>
            <w:vAlign w:val="center"/>
          </w:tcPr>
          <w:p w:rsidR="00C861DA" w:rsidRDefault="00C861DA">
            <w:pPr>
              <w:pStyle w:val="TableParagraph"/>
              <w:jc w:val="center"/>
              <w:rPr>
                <w:rFonts w:cs="宋体"/>
                <w:color w:val="000000" w:themeColor="text1"/>
              </w:rPr>
            </w:pPr>
          </w:p>
        </w:tc>
        <w:tc>
          <w:tcPr>
            <w:tcW w:w="2367" w:type="dxa"/>
            <w:vMerge/>
            <w:vAlign w:val="center"/>
          </w:tcPr>
          <w:p w:rsidR="00C861DA" w:rsidRDefault="00C861DA">
            <w:pPr>
              <w:pStyle w:val="TableParagraph"/>
              <w:jc w:val="center"/>
              <w:rPr>
                <w:rFonts w:cs="宋体"/>
                <w:color w:val="000000" w:themeColor="text1"/>
              </w:rPr>
            </w:pPr>
          </w:p>
        </w:tc>
      </w:tr>
      <w:tr w:rsidR="00C861DA">
        <w:trPr>
          <w:trHeight w:val="397"/>
        </w:trPr>
        <w:tc>
          <w:tcPr>
            <w:tcW w:w="847" w:type="dxa"/>
            <w:vMerge/>
            <w:vAlign w:val="center"/>
          </w:tcPr>
          <w:p w:rsidR="00C861DA" w:rsidRDefault="00C861DA">
            <w:pPr>
              <w:pStyle w:val="TableParagraph"/>
              <w:jc w:val="center"/>
              <w:rPr>
                <w:rFonts w:cs="宋体"/>
                <w:color w:val="000000" w:themeColor="text1"/>
              </w:rPr>
            </w:pPr>
          </w:p>
        </w:tc>
        <w:tc>
          <w:tcPr>
            <w:tcW w:w="1276" w:type="dxa"/>
            <w:vMerge/>
            <w:vAlign w:val="center"/>
          </w:tcPr>
          <w:p w:rsidR="00C861DA" w:rsidRDefault="00C861DA">
            <w:pPr>
              <w:pStyle w:val="TableParagraph"/>
              <w:jc w:val="center"/>
              <w:rPr>
                <w:rFonts w:cs="宋体"/>
                <w:color w:val="000000" w:themeColor="text1"/>
              </w:rPr>
            </w:pPr>
          </w:p>
        </w:tc>
        <w:tc>
          <w:tcPr>
            <w:tcW w:w="1275" w:type="dxa"/>
            <w:vAlign w:val="center"/>
          </w:tcPr>
          <w:p w:rsidR="00C861DA" w:rsidRDefault="0044752E">
            <w:pPr>
              <w:pStyle w:val="TableParagraph"/>
              <w:jc w:val="center"/>
              <w:rPr>
                <w:rFonts w:cs="宋体"/>
                <w:color w:val="000000" w:themeColor="text1"/>
              </w:rPr>
            </w:pPr>
            <w:r>
              <w:rPr>
                <w:rFonts w:cs="宋体" w:hint="eastAsia"/>
                <w:color w:val="000000" w:themeColor="text1"/>
              </w:rPr>
              <w:t>6</w:t>
            </w:r>
            <w:r>
              <w:rPr>
                <w:rFonts w:cs="宋体"/>
                <w:color w:val="000000" w:themeColor="text1"/>
              </w:rPr>
              <w:t>0</w:t>
            </w:r>
          </w:p>
        </w:tc>
        <w:tc>
          <w:tcPr>
            <w:tcW w:w="993" w:type="dxa"/>
            <w:vAlign w:val="center"/>
          </w:tcPr>
          <w:p w:rsidR="00C861DA" w:rsidRDefault="0044752E">
            <w:pPr>
              <w:pStyle w:val="TableParagraph"/>
              <w:jc w:val="center"/>
              <w:rPr>
                <w:rFonts w:cs="宋体"/>
                <w:color w:val="000000" w:themeColor="text1"/>
              </w:rPr>
            </w:pPr>
            <w:r>
              <w:rPr>
                <w:rFonts w:cs="宋体" w:hint="eastAsia"/>
                <w:color w:val="000000" w:themeColor="text1"/>
              </w:rPr>
              <w:t>8</w:t>
            </w:r>
            <w:r>
              <w:rPr>
                <w:rFonts w:cs="宋体"/>
                <w:color w:val="000000" w:themeColor="text1"/>
              </w:rPr>
              <w:t>5</w:t>
            </w:r>
          </w:p>
        </w:tc>
        <w:tc>
          <w:tcPr>
            <w:tcW w:w="1559" w:type="dxa"/>
            <w:vMerge/>
            <w:vAlign w:val="center"/>
          </w:tcPr>
          <w:p w:rsidR="00C861DA" w:rsidRDefault="00C861DA">
            <w:pPr>
              <w:pStyle w:val="TableParagraph"/>
              <w:jc w:val="center"/>
              <w:rPr>
                <w:rFonts w:cs="宋体"/>
                <w:color w:val="000000" w:themeColor="text1"/>
              </w:rPr>
            </w:pPr>
          </w:p>
        </w:tc>
        <w:tc>
          <w:tcPr>
            <w:tcW w:w="2367" w:type="dxa"/>
            <w:vMerge/>
            <w:vAlign w:val="center"/>
          </w:tcPr>
          <w:p w:rsidR="00C861DA" w:rsidRDefault="00C861DA">
            <w:pPr>
              <w:pStyle w:val="TableParagraph"/>
              <w:jc w:val="center"/>
              <w:rPr>
                <w:rFonts w:cs="宋体"/>
                <w:color w:val="000000" w:themeColor="text1"/>
              </w:rPr>
            </w:pPr>
          </w:p>
        </w:tc>
      </w:tr>
    </w:tbl>
    <w:p w:rsidR="00C861DA" w:rsidRDefault="0044752E">
      <w:pPr>
        <w:spacing w:beforeLines="100" w:before="312" w:line="360" w:lineRule="auto"/>
        <w:jc w:val="center"/>
        <w:rPr>
          <w:rFonts w:ascii="Times New Roman" w:eastAsia="宋体" w:cs="仿宋"/>
          <w:b/>
          <w:bCs/>
          <w:color w:val="000000" w:themeColor="text1"/>
          <w:sz w:val="24"/>
        </w:rPr>
      </w:pPr>
      <w:r>
        <w:rPr>
          <w:rFonts w:ascii="Times New Roman" w:eastAsia="宋体" w:cs="仿宋" w:hint="eastAsia"/>
          <w:b/>
          <w:bCs/>
          <w:color w:val="000000" w:themeColor="text1"/>
          <w:sz w:val="24"/>
        </w:rPr>
        <w:t>表</w:t>
      </w:r>
      <w:r>
        <w:rPr>
          <w:rFonts w:ascii="Times New Roman" w:eastAsia="宋体" w:cs="仿宋" w:hint="eastAsia"/>
          <w:b/>
          <w:bCs/>
          <w:color w:val="000000" w:themeColor="text1"/>
          <w:sz w:val="24"/>
        </w:rPr>
        <w:t>2</w:t>
      </w:r>
      <w:r>
        <w:rPr>
          <w:rFonts w:ascii="Times New Roman" w:eastAsia="宋体" w:cs="仿宋"/>
          <w:b/>
          <w:bCs/>
          <w:color w:val="000000" w:themeColor="text1"/>
          <w:sz w:val="24"/>
        </w:rPr>
        <w:t xml:space="preserve">.5-8  </w:t>
      </w:r>
      <w:r>
        <w:rPr>
          <w:rFonts w:ascii="Times New Roman" w:eastAsia="宋体" w:cs="仿宋" w:hint="eastAsia"/>
          <w:b/>
          <w:bCs/>
          <w:color w:val="000000" w:themeColor="text1"/>
          <w:sz w:val="24"/>
        </w:rPr>
        <w:t>硝酸工业污染物排放标准</w:t>
      </w:r>
    </w:p>
    <w:tbl>
      <w:tblPr>
        <w:tblStyle w:val="affa"/>
        <w:tblW w:w="8296" w:type="dxa"/>
        <w:jc w:val="center"/>
        <w:tblLayout w:type="fixed"/>
        <w:tblLook w:val="04A0" w:firstRow="1" w:lastRow="0" w:firstColumn="1" w:lastColumn="0" w:noHBand="0" w:noVBand="1"/>
      </w:tblPr>
      <w:tblGrid>
        <w:gridCol w:w="1129"/>
        <w:gridCol w:w="1929"/>
        <w:gridCol w:w="2040"/>
        <w:gridCol w:w="3198"/>
      </w:tblGrid>
      <w:tr w:rsidR="00C861DA">
        <w:trPr>
          <w:trHeight w:val="369"/>
          <w:jc w:val="center"/>
        </w:trPr>
        <w:tc>
          <w:tcPr>
            <w:tcW w:w="1129"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排放方式</w:t>
            </w:r>
          </w:p>
        </w:tc>
        <w:tc>
          <w:tcPr>
            <w:tcW w:w="1929"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项目</w:t>
            </w:r>
          </w:p>
        </w:tc>
        <w:tc>
          <w:tcPr>
            <w:tcW w:w="2040"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排放限值（</w:t>
            </w:r>
            <w:r>
              <w:rPr>
                <w:rFonts w:ascii="Times New Roman" w:eastAsia="宋体" w:hAnsi="Times New Roman" w:cs="宋体"/>
                <w:b/>
                <w:bCs/>
                <w:color w:val="000000" w:themeColor="text1"/>
                <w:kern w:val="0"/>
                <w:sz w:val="20"/>
                <w:szCs w:val="20"/>
              </w:rPr>
              <w:t>mg/m</w:t>
            </w:r>
            <w:r>
              <w:rPr>
                <w:rFonts w:ascii="Times New Roman" w:eastAsia="宋体" w:hAnsi="Times New Roman" w:cs="宋体"/>
                <w:b/>
                <w:bCs/>
                <w:color w:val="000000" w:themeColor="text1"/>
                <w:kern w:val="0"/>
                <w:sz w:val="20"/>
                <w:szCs w:val="20"/>
                <w:vertAlign w:val="superscript"/>
              </w:rPr>
              <w:t>3</w:t>
            </w:r>
            <w:r>
              <w:rPr>
                <w:rFonts w:ascii="Times New Roman" w:eastAsia="宋体" w:hAnsi="Times New Roman" w:cs="Times New Roman" w:hint="eastAsia"/>
                <w:color w:val="000000" w:themeColor="text1"/>
                <w:kern w:val="0"/>
                <w:szCs w:val="20"/>
              </w:rPr>
              <w:t>）</w:t>
            </w:r>
          </w:p>
        </w:tc>
        <w:tc>
          <w:tcPr>
            <w:tcW w:w="319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污染物排放监控位置</w:t>
            </w:r>
          </w:p>
        </w:tc>
      </w:tr>
      <w:tr w:rsidR="00C861DA">
        <w:trPr>
          <w:trHeight w:val="369"/>
          <w:jc w:val="center"/>
        </w:trPr>
        <w:tc>
          <w:tcPr>
            <w:tcW w:w="1129" w:type="dxa"/>
            <w:vMerge w:val="restart"/>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有组织</w:t>
            </w:r>
          </w:p>
        </w:tc>
        <w:tc>
          <w:tcPr>
            <w:tcW w:w="1929"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氮氧化物</w:t>
            </w:r>
          </w:p>
        </w:tc>
        <w:tc>
          <w:tcPr>
            <w:tcW w:w="2040"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3</w:t>
            </w:r>
            <w:r>
              <w:rPr>
                <w:rFonts w:ascii="Times New Roman" w:eastAsia="宋体" w:hAnsi="Times New Roman" w:cs="Times New Roman"/>
                <w:color w:val="000000" w:themeColor="text1"/>
                <w:kern w:val="0"/>
                <w:szCs w:val="20"/>
              </w:rPr>
              <w:t>00</w:t>
            </w:r>
          </w:p>
        </w:tc>
        <w:tc>
          <w:tcPr>
            <w:tcW w:w="319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车间或生产设施排气筒</w:t>
            </w:r>
          </w:p>
        </w:tc>
      </w:tr>
      <w:tr w:rsidR="00C861DA">
        <w:trPr>
          <w:trHeight w:val="369"/>
          <w:jc w:val="center"/>
        </w:trPr>
        <w:tc>
          <w:tcPr>
            <w:tcW w:w="1129"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929"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单位产品基准排气量</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hint="eastAsia"/>
                <w:color w:val="000000" w:themeColor="text1"/>
                <w:kern w:val="0"/>
                <w:szCs w:val="20"/>
              </w:rPr>
              <w:t>m</w:t>
            </w:r>
            <w:r>
              <w:rPr>
                <w:rFonts w:ascii="Times New Roman" w:eastAsia="宋体" w:hAnsi="Times New Roman" w:cs="Times New Roman"/>
                <w:color w:val="000000" w:themeColor="text1"/>
                <w:kern w:val="0"/>
                <w:szCs w:val="20"/>
                <w:vertAlign w:val="superscript"/>
              </w:rPr>
              <w:t>3</w:t>
            </w:r>
            <w:r>
              <w:rPr>
                <w:rFonts w:ascii="Times New Roman" w:eastAsia="宋体" w:hAnsi="Times New Roman" w:cs="Times New Roman"/>
                <w:color w:val="000000" w:themeColor="text1"/>
                <w:kern w:val="0"/>
                <w:szCs w:val="20"/>
              </w:rPr>
              <w:t>/t</w:t>
            </w:r>
            <w:r>
              <w:rPr>
                <w:rFonts w:ascii="Times New Roman" w:eastAsia="宋体" w:hAnsi="Times New Roman" w:cs="Times New Roman" w:hint="eastAsia"/>
                <w:color w:val="000000" w:themeColor="text1"/>
                <w:kern w:val="0"/>
                <w:szCs w:val="20"/>
              </w:rPr>
              <w:t>）</w:t>
            </w:r>
          </w:p>
        </w:tc>
        <w:tc>
          <w:tcPr>
            <w:tcW w:w="2040"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3</w:t>
            </w:r>
            <w:r>
              <w:rPr>
                <w:rFonts w:ascii="Times New Roman" w:eastAsia="宋体" w:hAnsi="Times New Roman" w:cs="Times New Roman"/>
                <w:color w:val="000000" w:themeColor="text1"/>
                <w:kern w:val="0"/>
                <w:szCs w:val="20"/>
              </w:rPr>
              <w:t>400</w:t>
            </w:r>
          </w:p>
        </w:tc>
        <w:tc>
          <w:tcPr>
            <w:tcW w:w="319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硝酸工业尾气排放口（与污染物排放监控位置相同）</w:t>
            </w:r>
          </w:p>
        </w:tc>
      </w:tr>
      <w:tr w:rsidR="00C861DA">
        <w:trPr>
          <w:trHeight w:val="369"/>
          <w:jc w:val="center"/>
        </w:trPr>
        <w:tc>
          <w:tcPr>
            <w:tcW w:w="1129"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无组织</w:t>
            </w:r>
          </w:p>
        </w:tc>
        <w:tc>
          <w:tcPr>
            <w:tcW w:w="1929"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氮氧化物</w:t>
            </w:r>
          </w:p>
        </w:tc>
        <w:tc>
          <w:tcPr>
            <w:tcW w:w="2040"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0</w:t>
            </w:r>
            <w:r>
              <w:rPr>
                <w:rFonts w:ascii="Times New Roman" w:eastAsia="宋体" w:hAnsi="Times New Roman" w:cs="Times New Roman"/>
                <w:color w:val="000000" w:themeColor="text1"/>
                <w:kern w:val="0"/>
                <w:sz w:val="20"/>
                <w:szCs w:val="20"/>
              </w:rPr>
              <w:t>.24</w:t>
            </w:r>
          </w:p>
        </w:tc>
        <w:tc>
          <w:tcPr>
            <w:tcW w:w="319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企业边界</w:t>
            </w:r>
          </w:p>
        </w:tc>
      </w:tr>
    </w:tbl>
    <w:p w:rsidR="00C861DA" w:rsidRDefault="0044752E">
      <w:pPr>
        <w:spacing w:beforeLines="50" w:before="156" w:line="360" w:lineRule="auto"/>
        <w:jc w:val="center"/>
        <w:rPr>
          <w:rFonts w:ascii="Times New Roman" w:eastAsia="宋体"/>
          <w:b/>
          <w:color w:val="000000" w:themeColor="text1"/>
          <w:sz w:val="24"/>
          <w:szCs w:val="24"/>
        </w:rPr>
      </w:pPr>
      <w:r>
        <w:rPr>
          <w:rFonts w:ascii="Times New Roman" w:eastAsia="宋体"/>
          <w:b/>
          <w:color w:val="000000" w:themeColor="text1"/>
          <w:sz w:val="24"/>
          <w:szCs w:val="24"/>
        </w:rPr>
        <w:t>表</w:t>
      </w:r>
      <w:r>
        <w:rPr>
          <w:rFonts w:ascii="Times New Roman" w:eastAsia="宋体"/>
          <w:b/>
          <w:color w:val="000000" w:themeColor="text1"/>
          <w:sz w:val="24"/>
          <w:szCs w:val="24"/>
        </w:rPr>
        <w:t>2.5-9</w:t>
      </w:r>
      <w:r>
        <w:rPr>
          <w:rFonts w:ascii="Times New Roman" w:eastAsia="宋体" w:hint="eastAsia"/>
          <w:b/>
          <w:color w:val="000000" w:themeColor="text1"/>
          <w:sz w:val="24"/>
          <w:szCs w:val="24"/>
        </w:rPr>
        <w:t xml:space="preserve"> </w:t>
      </w:r>
      <w:r>
        <w:rPr>
          <w:rFonts w:ascii="Times New Roman" w:eastAsia="宋体"/>
          <w:b/>
          <w:color w:val="000000" w:themeColor="text1"/>
          <w:sz w:val="24"/>
          <w:szCs w:val="24"/>
        </w:rPr>
        <w:t>恶臭污染物厂界标准值</w:t>
      </w:r>
    </w:p>
    <w:tbl>
      <w:tblPr>
        <w:tblW w:w="8300" w:type="dxa"/>
        <w:jc w:val="center"/>
        <w:tblLayout w:type="fixed"/>
        <w:tblCellMar>
          <w:left w:w="0" w:type="dxa"/>
          <w:right w:w="0" w:type="dxa"/>
        </w:tblCellMar>
        <w:tblLook w:val="04A0" w:firstRow="1" w:lastRow="0" w:firstColumn="1" w:lastColumn="0" w:noHBand="0" w:noVBand="1"/>
      </w:tblPr>
      <w:tblGrid>
        <w:gridCol w:w="777"/>
        <w:gridCol w:w="2078"/>
        <w:gridCol w:w="1149"/>
        <w:gridCol w:w="2148"/>
        <w:gridCol w:w="2148"/>
      </w:tblGrid>
      <w:tr w:rsidR="00C861DA">
        <w:trPr>
          <w:trHeight w:val="369"/>
          <w:jc w:val="center"/>
        </w:trPr>
        <w:tc>
          <w:tcPr>
            <w:tcW w:w="777" w:type="dxa"/>
            <w:vMerge w:val="restart"/>
            <w:tcBorders>
              <w:top w:val="single" w:sz="2" w:space="0" w:color="000000"/>
              <w:left w:val="single" w:sz="2" w:space="0" w:color="000000"/>
              <w:right w:val="single" w:sz="2" w:space="0" w:color="000000"/>
            </w:tcBorders>
            <w:vAlign w:val="center"/>
          </w:tcPr>
          <w:p w:rsidR="00C861DA" w:rsidRDefault="0044752E">
            <w:pPr>
              <w:pStyle w:val="TableParagraph"/>
              <w:jc w:val="center"/>
              <w:rPr>
                <w:rFonts w:cs="宋体"/>
                <w:b/>
                <w:bCs/>
                <w:color w:val="000000" w:themeColor="text1"/>
              </w:rPr>
            </w:pPr>
            <w:r>
              <w:rPr>
                <w:rFonts w:cs="宋体"/>
                <w:b/>
                <w:bCs/>
                <w:color w:val="000000" w:themeColor="text1"/>
              </w:rPr>
              <w:t>序号</w:t>
            </w:r>
          </w:p>
        </w:tc>
        <w:tc>
          <w:tcPr>
            <w:tcW w:w="2078" w:type="dxa"/>
            <w:vMerge w:val="restart"/>
            <w:tcBorders>
              <w:top w:val="single" w:sz="2" w:space="0" w:color="000000"/>
              <w:left w:val="single" w:sz="2" w:space="0" w:color="000000"/>
              <w:right w:val="single" w:sz="2" w:space="0" w:color="000000"/>
            </w:tcBorders>
            <w:vAlign w:val="center"/>
          </w:tcPr>
          <w:p w:rsidR="00C861DA" w:rsidRDefault="0044752E">
            <w:pPr>
              <w:pStyle w:val="TableParagraph"/>
              <w:jc w:val="center"/>
              <w:rPr>
                <w:rFonts w:cs="宋体"/>
                <w:b/>
                <w:bCs/>
                <w:color w:val="000000" w:themeColor="text1"/>
              </w:rPr>
            </w:pPr>
            <w:r>
              <w:rPr>
                <w:rFonts w:cs="宋体"/>
                <w:b/>
                <w:bCs/>
                <w:color w:val="000000" w:themeColor="text1"/>
              </w:rPr>
              <w:t>控制项目</w:t>
            </w:r>
          </w:p>
        </w:tc>
        <w:tc>
          <w:tcPr>
            <w:tcW w:w="1149" w:type="dxa"/>
            <w:vMerge w:val="restart"/>
            <w:tcBorders>
              <w:top w:val="single" w:sz="2" w:space="0" w:color="000000"/>
              <w:left w:val="single" w:sz="2" w:space="0" w:color="000000"/>
              <w:right w:val="single" w:sz="2" w:space="0" w:color="000000"/>
            </w:tcBorders>
            <w:vAlign w:val="center"/>
          </w:tcPr>
          <w:p w:rsidR="00C861DA" w:rsidRDefault="0044752E">
            <w:pPr>
              <w:pStyle w:val="TableParagraph"/>
              <w:jc w:val="center"/>
              <w:rPr>
                <w:rFonts w:cs="宋体"/>
                <w:b/>
                <w:bCs/>
                <w:color w:val="000000" w:themeColor="text1"/>
              </w:rPr>
            </w:pPr>
            <w:r>
              <w:rPr>
                <w:rFonts w:cs="宋体"/>
                <w:b/>
                <w:bCs/>
                <w:color w:val="000000" w:themeColor="text1"/>
              </w:rPr>
              <w:t>单位</w:t>
            </w:r>
          </w:p>
        </w:tc>
        <w:tc>
          <w:tcPr>
            <w:tcW w:w="2148" w:type="dxa"/>
            <w:tcBorders>
              <w:top w:val="single" w:sz="2" w:space="0" w:color="000000"/>
              <w:left w:val="single" w:sz="2" w:space="0" w:color="000000"/>
              <w:bottom w:val="single" w:sz="4" w:space="0" w:color="000000"/>
              <w:right w:val="single" w:sz="2" w:space="0" w:color="000000"/>
            </w:tcBorders>
            <w:vAlign w:val="center"/>
          </w:tcPr>
          <w:p w:rsidR="00C861DA" w:rsidRDefault="0044752E">
            <w:pPr>
              <w:pStyle w:val="TableParagraph"/>
              <w:spacing w:before="6"/>
              <w:jc w:val="center"/>
              <w:rPr>
                <w:rFonts w:cs="宋体"/>
                <w:b/>
                <w:bCs/>
                <w:color w:val="000000" w:themeColor="text1"/>
              </w:rPr>
            </w:pPr>
            <w:r>
              <w:rPr>
                <w:rFonts w:cs="宋体"/>
                <w:b/>
                <w:bCs/>
                <w:color w:val="000000" w:themeColor="text1"/>
              </w:rPr>
              <w:t>二级标准值</w:t>
            </w:r>
          </w:p>
        </w:tc>
        <w:tc>
          <w:tcPr>
            <w:tcW w:w="2148" w:type="dxa"/>
            <w:vMerge w:val="restart"/>
            <w:tcBorders>
              <w:top w:val="single" w:sz="2" w:space="0" w:color="000000"/>
              <w:left w:val="single" w:sz="2" w:space="0" w:color="000000"/>
              <w:right w:val="single" w:sz="2" w:space="0" w:color="000000"/>
            </w:tcBorders>
            <w:vAlign w:val="center"/>
          </w:tcPr>
          <w:p w:rsidR="00C861DA" w:rsidRDefault="0044752E">
            <w:pPr>
              <w:pStyle w:val="TableParagraph"/>
              <w:spacing w:before="6"/>
              <w:jc w:val="center"/>
              <w:rPr>
                <w:rFonts w:cs="宋体"/>
                <w:b/>
                <w:bCs/>
                <w:color w:val="000000" w:themeColor="text1"/>
              </w:rPr>
            </w:pPr>
            <w:r>
              <w:rPr>
                <w:rFonts w:cs="宋体"/>
                <w:b/>
                <w:bCs/>
                <w:color w:val="000000" w:themeColor="text1"/>
              </w:rPr>
              <w:t>污染物排放监控位置</w:t>
            </w:r>
          </w:p>
        </w:tc>
      </w:tr>
      <w:tr w:rsidR="00C861DA">
        <w:trPr>
          <w:trHeight w:val="369"/>
          <w:jc w:val="center"/>
        </w:trPr>
        <w:tc>
          <w:tcPr>
            <w:tcW w:w="777" w:type="dxa"/>
            <w:vMerge/>
            <w:tcBorders>
              <w:left w:val="single" w:sz="2" w:space="0" w:color="000000"/>
              <w:bottom w:val="single" w:sz="2" w:space="0" w:color="000000"/>
              <w:right w:val="single" w:sz="2" w:space="0" w:color="000000"/>
            </w:tcBorders>
            <w:vAlign w:val="center"/>
          </w:tcPr>
          <w:p w:rsidR="00C861DA" w:rsidRDefault="00C861DA">
            <w:pPr>
              <w:jc w:val="center"/>
              <w:rPr>
                <w:rFonts w:ascii="Times New Roman" w:eastAsia="宋体"/>
                <w:b/>
                <w:bCs/>
                <w:color w:val="000000" w:themeColor="text1"/>
              </w:rPr>
            </w:pPr>
          </w:p>
        </w:tc>
        <w:tc>
          <w:tcPr>
            <w:tcW w:w="2078" w:type="dxa"/>
            <w:vMerge/>
            <w:tcBorders>
              <w:left w:val="single" w:sz="2" w:space="0" w:color="000000"/>
              <w:bottom w:val="single" w:sz="2" w:space="0" w:color="000000"/>
              <w:right w:val="single" w:sz="2" w:space="0" w:color="000000"/>
            </w:tcBorders>
            <w:vAlign w:val="center"/>
          </w:tcPr>
          <w:p w:rsidR="00C861DA" w:rsidRDefault="00C861DA">
            <w:pPr>
              <w:jc w:val="center"/>
              <w:rPr>
                <w:rFonts w:ascii="Times New Roman" w:eastAsia="宋体"/>
                <w:b/>
                <w:bCs/>
                <w:color w:val="000000" w:themeColor="text1"/>
              </w:rPr>
            </w:pPr>
          </w:p>
        </w:tc>
        <w:tc>
          <w:tcPr>
            <w:tcW w:w="1149" w:type="dxa"/>
            <w:vMerge/>
            <w:tcBorders>
              <w:left w:val="single" w:sz="2" w:space="0" w:color="000000"/>
              <w:bottom w:val="single" w:sz="2" w:space="0" w:color="000000"/>
              <w:right w:val="single" w:sz="2" w:space="0" w:color="000000"/>
            </w:tcBorders>
            <w:vAlign w:val="center"/>
          </w:tcPr>
          <w:p w:rsidR="00C861DA" w:rsidRDefault="00C861DA">
            <w:pPr>
              <w:jc w:val="center"/>
              <w:rPr>
                <w:rFonts w:ascii="Times New Roman" w:eastAsia="宋体"/>
                <w:b/>
                <w:bCs/>
                <w:color w:val="000000" w:themeColor="text1"/>
              </w:rPr>
            </w:pPr>
          </w:p>
        </w:tc>
        <w:tc>
          <w:tcPr>
            <w:tcW w:w="2148" w:type="dxa"/>
            <w:tcBorders>
              <w:top w:val="single" w:sz="4" w:space="0" w:color="000000"/>
              <w:left w:val="single" w:sz="2" w:space="0" w:color="000000"/>
              <w:bottom w:val="single" w:sz="2" w:space="0" w:color="000000"/>
              <w:right w:val="single" w:sz="2" w:space="0" w:color="000000"/>
            </w:tcBorders>
            <w:vAlign w:val="center"/>
          </w:tcPr>
          <w:p w:rsidR="00C861DA" w:rsidRDefault="0044752E">
            <w:pPr>
              <w:pStyle w:val="TableParagraph"/>
              <w:spacing w:before="10"/>
              <w:jc w:val="center"/>
              <w:rPr>
                <w:rFonts w:cs="宋体"/>
                <w:b/>
                <w:bCs/>
                <w:color w:val="000000" w:themeColor="text1"/>
              </w:rPr>
            </w:pPr>
            <w:r>
              <w:rPr>
                <w:rFonts w:cs="宋体"/>
                <w:b/>
                <w:bCs/>
                <w:color w:val="000000" w:themeColor="text1"/>
              </w:rPr>
              <w:t>新建</w:t>
            </w:r>
          </w:p>
        </w:tc>
        <w:tc>
          <w:tcPr>
            <w:tcW w:w="2148" w:type="dxa"/>
            <w:vMerge/>
            <w:tcBorders>
              <w:left w:val="single" w:sz="2" w:space="0" w:color="000000"/>
              <w:bottom w:val="single" w:sz="2" w:space="0" w:color="000000"/>
              <w:right w:val="single" w:sz="2" w:space="0" w:color="000000"/>
            </w:tcBorders>
            <w:vAlign w:val="center"/>
          </w:tcPr>
          <w:p w:rsidR="00C861DA" w:rsidRDefault="00C861DA">
            <w:pPr>
              <w:pStyle w:val="TableParagraph"/>
              <w:spacing w:before="10"/>
              <w:jc w:val="center"/>
              <w:rPr>
                <w:rFonts w:cs="宋体"/>
                <w:b/>
                <w:bCs/>
                <w:color w:val="000000" w:themeColor="text1"/>
              </w:rPr>
            </w:pPr>
          </w:p>
        </w:tc>
      </w:tr>
      <w:tr w:rsidR="00C861DA">
        <w:trPr>
          <w:trHeight w:val="369"/>
          <w:jc w:val="center"/>
        </w:trPr>
        <w:tc>
          <w:tcPr>
            <w:tcW w:w="77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55"/>
              <w:jc w:val="center"/>
              <w:rPr>
                <w:rFonts w:cs="Arial"/>
                <w:color w:val="000000" w:themeColor="text1"/>
              </w:rPr>
            </w:pPr>
            <w:r>
              <w:rPr>
                <w:color w:val="000000" w:themeColor="text1"/>
              </w:rPr>
              <w:t>1</w:t>
            </w:r>
          </w:p>
        </w:tc>
        <w:tc>
          <w:tcPr>
            <w:tcW w:w="207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10"/>
              <w:jc w:val="center"/>
              <w:rPr>
                <w:rFonts w:cs="宋体"/>
                <w:color w:val="000000" w:themeColor="text1"/>
              </w:rPr>
            </w:pPr>
            <w:r>
              <w:rPr>
                <w:rFonts w:cs="宋体"/>
                <w:color w:val="000000" w:themeColor="text1"/>
              </w:rPr>
              <w:t>氨</w:t>
            </w:r>
          </w:p>
        </w:tc>
        <w:tc>
          <w:tcPr>
            <w:tcW w:w="1149"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50"/>
              <w:jc w:val="center"/>
              <w:rPr>
                <w:rFonts w:cs="Arial"/>
                <w:color w:val="000000" w:themeColor="text1"/>
                <w:szCs w:val="14"/>
              </w:rPr>
            </w:pPr>
            <w:r>
              <w:rPr>
                <w:color w:val="000000" w:themeColor="text1"/>
              </w:rPr>
              <w:t>mg/m</w:t>
            </w:r>
            <w:r>
              <w:rPr>
                <w:color w:val="000000" w:themeColor="text1"/>
                <w:vertAlign w:val="superscript"/>
              </w:rPr>
              <w:t>3</w:t>
            </w:r>
          </w:p>
        </w:tc>
        <w:tc>
          <w:tcPr>
            <w:tcW w:w="214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55"/>
              <w:jc w:val="center"/>
              <w:rPr>
                <w:rFonts w:cs="Arial"/>
                <w:color w:val="000000" w:themeColor="text1"/>
              </w:rPr>
            </w:pPr>
            <w:r>
              <w:rPr>
                <w:color w:val="000000" w:themeColor="text1"/>
              </w:rPr>
              <w:t>1.5</w:t>
            </w:r>
          </w:p>
        </w:tc>
        <w:tc>
          <w:tcPr>
            <w:tcW w:w="2148" w:type="dxa"/>
            <w:vMerge w:val="restart"/>
            <w:tcBorders>
              <w:top w:val="single" w:sz="2" w:space="0" w:color="000000"/>
              <w:left w:val="single" w:sz="2" w:space="0" w:color="000000"/>
              <w:right w:val="single" w:sz="2" w:space="0" w:color="000000"/>
            </w:tcBorders>
            <w:vAlign w:val="center"/>
          </w:tcPr>
          <w:p w:rsidR="00C861DA" w:rsidRDefault="0044752E">
            <w:pPr>
              <w:pStyle w:val="TableParagraph"/>
              <w:spacing w:before="55"/>
              <w:jc w:val="center"/>
              <w:rPr>
                <w:color w:val="000000" w:themeColor="text1"/>
              </w:rPr>
            </w:pPr>
            <w:r>
              <w:rPr>
                <w:color w:val="000000" w:themeColor="text1"/>
              </w:rPr>
              <w:t>企业厂界</w:t>
            </w:r>
          </w:p>
        </w:tc>
      </w:tr>
      <w:tr w:rsidR="00C861DA">
        <w:trPr>
          <w:trHeight w:val="369"/>
          <w:jc w:val="center"/>
        </w:trPr>
        <w:tc>
          <w:tcPr>
            <w:tcW w:w="77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51"/>
              <w:jc w:val="center"/>
              <w:rPr>
                <w:rFonts w:cs="Arial"/>
                <w:color w:val="000000" w:themeColor="text1"/>
              </w:rPr>
            </w:pPr>
            <w:r>
              <w:rPr>
                <w:color w:val="000000" w:themeColor="text1"/>
              </w:rPr>
              <w:t>2</w:t>
            </w:r>
          </w:p>
        </w:tc>
        <w:tc>
          <w:tcPr>
            <w:tcW w:w="207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10"/>
              <w:jc w:val="center"/>
              <w:rPr>
                <w:rFonts w:cs="宋体"/>
                <w:color w:val="000000" w:themeColor="text1"/>
              </w:rPr>
            </w:pPr>
            <w:r>
              <w:rPr>
                <w:rFonts w:cs="宋体"/>
                <w:color w:val="000000" w:themeColor="text1"/>
              </w:rPr>
              <w:t>臭气浓度</w:t>
            </w:r>
          </w:p>
        </w:tc>
        <w:tc>
          <w:tcPr>
            <w:tcW w:w="1149"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10"/>
              <w:jc w:val="center"/>
              <w:rPr>
                <w:rFonts w:cs="宋体"/>
                <w:color w:val="000000" w:themeColor="text1"/>
              </w:rPr>
            </w:pPr>
            <w:r>
              <w:rPr>
                <w:rFonts w:cs="宋体"/>
                <w:color w:val="000000" w:themeColor="text1"/>
              </w:rPr>
              <w:t>无量纲</w:t>
            </w:r>
          </w:p>
        </w:tc>
        <w:tc>
          <w:tcPr>
            <w:tcW w:w="214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spacing w:before="51"/>
              <w:ind w:right="2"/>
              <w:jc w:val="center"/>
              <w:rPr>
                <w:rFonts w:cs="Arial"/>
                <w:color w:val="000000" w:themeColor="text1"/>
              </w:rPr>
            </w:pPr>
            <w:r>
              <w:rPr>
                <w:color w:val="000000" w:themeColor="text1"/>
              </w:rPr>
              <w:t>20</w:t>
            </w:r>
          </w:p>
        </w:tc>
        <w:tc>
          <w:tcPr>
            <w:tcW w:w="2148" w:type="dxa"/>
            <w:vMerge/>
            <w:tcBorders>
              <w:left w:val="single" w:sz="2" w:space="0" w:color="000000"/>
              <w:bottom w:val="single" w:sz="2" w:space="0" w:color="000000"/>
              <w:right w:val="single" w:sz="2" w:space="0" w:color="000000"/>
            </w:tcBorders>
            <w:vAlign w:val="center"/>
          </w:tcPr>
          <w:p w:rsidR="00C861DA" w:rsidRDefault="00C861DA">
            <w:pPr>
              <w:pStyle w:val="TableParagraph"/>
              <w:spacing w:before="51"/>
              <w:ind w:right="2"/>
              <w:jc w:val="center"/>
              <w:rPr>
                <w:color w:val="000000" w:themeColor="text1"/>
              </w:rPr>
            </w:pPr>
          </w:p>
        </w:tc>
      </w:tr>
    </w:tbl>
    <w:p w:rsidR="00C861DA" w:rsidRDefault="0044752E">
      <w:pPr>
        <w:spacing w:beforeLines="100" w:before="312" w:line="360" w:lineRule="auto"/>
        <w:ind w:firstLineChars="200" w:firstLine="482"/>
        <w:rPr>
          <w:rFonts w:ascii="Times New Roman" w:eastAsia="宋体" w:cs="仿宋"/>
          <w:b/>
          <w:bCs/>
          <w:color w:val="000000" w:themeColor="text1"/>
          <w:sz w:val="24"/>
        </w:rPr>
      </w:pPr>
      <w:r>
        <w:rPr>
          <w:rFonts w:ascii="Times New Roman" w:eastAsia="宋体" w:cs="仿宋" w:hint="eastAsia"/>
          <w:b/>
          <w:bCs/>
          <w:color w:val="000000" w:themeColor="text1"/>
          <w:sz w:val="24"/>
        </w:rPr>
        <w:t>（</w:t>
      </w:r>
      <w:r>
        <w:rPr>
          <w:rFonts w:ascii="Times New Roman" w:eastAsia="宋体" w:cs="仿宋" w:hint="eastAsia"/>
          <w:b/>
          <w:bCs/>
          <w:color w:val="000000" w:themeColor="text1"/>
          <w:sz w:val="24"/>
        </w:rPr>
        <w:t>2</w:t>
      </w:r>
      <w:r>
        <w:rPr>
          <w:rFonts w:ascii="Times New Roman" w:eastAsia="宋体" w:cs="仿宋" w:hint="eastAsia"/>
          <w:b/>
          <w:bCs/>
          <w:color w:val="000000" w:themeColor="text1"/>
          <w:sz w:val="24"/>
        </w:rPr>
        <w:t>）废水排放标准</w:t>
      </w:r>
    </w:p>
    <w:p w:rsidR="00C861DA" w:rsidRDefault="0044752E">
      <w:pPr>
        <w:spacing w:line="360" w:lineRule="auto"/>
        <w:ind w:firstLineChars="200" w:firstLine="480"/>
        <w:jc w:val="both"/>
        <w:rPr>
          <w:rFonts w:ascii="Times New Roman" w:eastAsia="宋体" w:cs="宋体"/>
          <w:color w:val="000000" w:themeColor="text1"/>
          <w:sz w:val="24"/>
          <w:szCs w:val="24"/>
        </w:rPr>
      </w:pPr>
      <w:r>
        <w:rPr>
          <w:rFonts w:ascii="Times New Roman" w:eastAsia="宋体" w:cs="宋体" w:hint="eastAsia"/>
          <w:color w:val="000000" w:themeColor="text1"/>
          <w:sz w:val="24"/>
          <w:szCs w:val="24"/>
        </w:rPr>
        <w:t>生活</w:t>
      </w:r>
      <w:r>
        <w:rPr>
          <w:rFonts w:ascii="Times New Roman" w:eastAsia="宋体" w:cs="宋体"/>
          <w:color w:val="000000" w:themeColor="text1"/>
          <w:sz w:val="24"/>
          <w:szCs w:val="24"/>
        </w:rPr>
        <w:t>废水</w:t>
      </w:r>
      <w:r>
        <w:rPr>
          <w:rFonts w:ascii="Times New Roman" w:eastAsia="宋体" w:cs="宋体" w:hint="eastAsia"/>
          <w:color w:val="000000" w:themeColor="text1"/>
          <w:sz w:val="24"/>
          <w:szCs w:val="24"/>
        </w:rPr>
        <w:t>依托祥丰金麦化工有限公司生活设施处置，</w:t>
      </w:r>
      <w:r>
        <w:rPr>
          <w:rFonts w:ascii="Times New Roman" w:eastAsia="宋体" w:cs="宋体"/>
          <w:color w:val="000000" w:themeColor="text1"/>
          <w:sz w:val="24"/>
          <w:szCs w:val="24"/>
        </w:rPr>
        <w:t>排入</w:t>
      </w:r>
      <w:r>
        <w:rPr>
          <w:rFonts w:ascii="Times New Roman" w:eastAsia="宋体" w:cs="宋体" w:hint="eastAsia"/>
          <w:color w:val="000000" w:themeColor="text1"/>
          <w:sz w:val="24"/>
          <w:szCs w:val="24"/>
        </w:rPr>
        <w:t>“</w:t>
      </w:r>
      <w:r>
        <w:rPr>
          <w:rFonts w:ascii="Times New Roman" w:eastAsia="宋体" w:cs="宋体" w:hint="eastAsia"/>
          <w:color w:val="000000" w:themeColor="text1"/>
          <w:sz w:val="24"/>
          <w:szCs w:val="24"/>
        </w:rPr>
        <w:t>3</w:t>
      </w:r>
      <w:r>
        <w:rPr>
          <w:rFonts w:ascii="Times New Roman" w:eastAsia="宋体" w:cs="宋体"/>
          <w:color w:val="000000" w:themeColor="text1"/>
          <w:sz w:val="24"/>
          <w:szCs w:val="24"/>
        </w:rPr>
        <w:t>0</w:t>
      </w:r>
      <w:r>
        <w:rPr>
          <w:rFonts w:ascii="Times New Roman" w:eastAsia="宋体" w:cs="宋体" w:hint="eastAsia"/>
          <w:color w:val="000000" w:themeColor="text1"/>
          <w:sz w:val="24"/>
          <w:szCs w:val="24"/>
        </w:rPr>
        <w:t>万吨合成氨项目”</w:t>
      </w:r>
      <w:r>
        <w:rPr>
          <w:rFonts w:ascii="Times New Roman" w:eastAsia="宋体" w:cs="宋体"/>
          <w:color w:val="000000" w:themeColor="text1"/>
          <w:sz w:val="24"/>
          <w:szCs w:val="24"/>
        </w:rPr>
        <w:t>污水处理站处理，各污染物浓度满足</w:t>
      </w:r>
      <w:r>
        <w:rPr>
          <w:rFonts w:ascii="Times New Roman" w:eastAsia="宋体" w:cs="宋体" w:hint="eastAsia"/>
          <w:color w:val="000000" w:themeColor="text1"/>
          <w:sz w:val="24"/>
          <w:szCs w:val="24"/>
        </w:rPr>
        <w:t>GB</w:t>
      </w:r>
      <w:r>
        <w:rPr>
          <w:rFonts w:ascii="Times New Roman" w:eastAsia="宋体" w:cs="宋体"/>
          <w:color w:val="000000" w:themeColor="text1"/>
          <w:sz w:val="24"/>
          <w:szCs w:val="24"/>
        </w:rPr>
        <w:t>/</w:t>
      </w:r>
      <w:r>
        <w:rPr>
          <w:rFonts w:ascii="Times New Roman" w:eastAsia="宋体" w:cs="宋体" w:hint="eastAsia"/>
          <w:color w:val="000000" w:themeColor="text1"/>
          <w:sz w:val="24"/>
          <w:szCs w:val="24"/>
        </w:rPr>
        <w:t>T</w:t>
      </w:r>
      <w:r>
        <w:rPr>
          <w:rFonts w:ascii="Times New Roman" w:eastAsia="宋体" w:cs="宋体"/>
          <w:color w:val="000000" w:themeColor="text1"/>
          <w:sz w:val="24"/>
          <w:szCs w:val="24"/>
        </w:rPr>
        <w:t>18920-2002</w:t>
      </w:r>
      <w:r>
        <w:rPr>
          <w:rFonts w:ascii="Times New Roman" w:eastAsia="宋体" w:cs="宋体"/>
          <w:color w:val="000000" w:themeColor="text1"/>
          <w:sz w:val="24"/>
          <w:szCs w:val="24"/>
        </w:rPr>
        <w:t>《</w:t>
      </w:r>
      <w:r>
        <w:rPr>
          <w:rFonts w:ascii="Times New Roman" w:eastAsia="宋体" w:cs="宋体" w:hint="eastAsia"/>
          <w:color w:val="000000" w:themeColor="text1"/>
          <w:sz w:val="24"/>
          <w:szCs w:val="24"/>
        </w:rPr>
        <w:t>城市污水再生利用</w:t>
      </w:r>
      <w:r>
        <w:rPr>
          <w:rFonts w:ascii="Times New Roman" w:eastAsia="宋体" w:cs="宋体" w:hint="eastAsia"/>
          <w:color w:val="000000" w:themeColor="text1"/>
          <w:sz w:val="24"/>
          <w:szCs w:val="24"/>
        </w:rPr>
        <w:t xml:space="preserve"> </w:t>
      </w:r>
      <w:r>
        <w:rPr>
          <w:rFonts w:ascii="Times New Roman" w:eastAsia="宋体" w:cs="宋体" w:hint="eastAsia"/>
          <w:color w:val="000000" w:themeColor="text1"/>
          <w:sz w:val="24"/>
          <w:szCs w:val="24"/>
        </w:rPr>
        <w:t>城市杂用水水质</w:t>
      </w:r>
      <w:r>
        <w:rPr>
          <w:rFonts w:ascii="Times New Roman" w:eastAsia="宋体" w:cs="宋体"/>
          <w:color w:val="000000" w:themeColor="text1"/>
          <w:sz w:val="24"/>
          <w:szCs w:val="24"/>
        </w:rPr>
        <w:t>》</w:t>
      </w:r>
      <w:r>
        <w:rPr>
          <w:rFonts w:ascii="Times New Roman" w:eastAsia="宋体" w:cs="宋体" w:hint="eastAsia"/>
          <w:color w:val="000000" w:themeColor="text1"/>
          <w:sz w:val="24"/>
          <w:szCs w:val="24"/>
        </w:rPr>
        <w:t>表</w:t>
      </w:r>
      <w:r>
        <w:rPr>
          <w:rFonts w:ascii="Times New Roman" w:eastAsia="宋体" w:cs="宋体" w:hint="eastAsia"/>
          <w:color w:val="000000" w:themeColor="text1"/>
          <w:sz w:val="24"/>
          <w:szCs w:val="24"/>
        </w:rPr>
        <w:t>1</w:t>
      </w:r>
      <w:r>
        <w:rPr>
          <w:rFonts w:ascii="Times New Roman" w:eastAsia="宋体" w:cs="宋体" w:hint="eastAsia"/>
          <w:color w:val="000000" w:themeColor="text1"/>
          <w:sz w:val="24"/>
          <w:szCs w:val="24"/>
        </w:rPr>
        <w:t>城市绿化</w:t>
      </w:r>
      <w:r>
        <w:rPr>
          <w:rFonts w:ascii="Times New Roman" w:eastAsia="宋体" w:cs="宋体"/>
          <w:color w:val="000000" w:themeColor="text1"/>
          <w:sz w:val="24"/>
          <w:szCs w:val="24"/>
        </w:rPr>
        <w:t>标准要求</w:t>
      </w:r>
      <w:r>
        <w:rPr>
          <w:rFonts w:ascii="Times New Roman" w:eastAsia="宋体" w:cs="宋体" w:hint="eastAsia"/>
          <w:color w:val="000000" w:themeColor="text1"/>
          <w:sz w:val="24"/>
          <w:szCs w:val="24"/>
        </w:rPr>
        <w:t>后</w:t>
      </w:r>
      <w:r>
        <w:rPr>
          <w:rFonts w:ascii="Times New Roman" w:eastAsia="宋体" w:cs="宋体"/>
          <w:color w:val="000000" w:themeColor="text1"/>
          <w:sz w:val="24"/>
          <w:szCs w:val="24"/>
        </w:rPr>
        <w:t>，</w:t>
      </w:r>
      <w:r>
        <w:rPr>
          <w:rFonts w:ascii="Times New Roman" w:eastAsia="宋体" w:cs="宋体" w:hint="eastAsia"/>
          <w:color w:val="000000" w:themeColor="text1"/>
          <w:sz w:val="24"/>
          <w:szCs w:val="24"/>
        </w:rPr>
        <w:t>用于周边绿化，生产废水汇入生产废水收集池</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color w:val="000000" w:themeColor="text1"/>
          <w:kern w:val="1"/>
          <w:sz w:val="24"/>
          <w:szCs w:val="24"/>
        </w:rPr>
        <w:t>000m</w:t>
      </w:r>
      <w:r>
        <w:rPr>
          <w:rFonts w:ascii="Times New Roman" w:eastAsia="宋体" w:hAnsi="Times New Roman" w:cs="Times New Roman"/>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w:t>
      </w:r>
      <w:r>
        <w:rPr>
          <w:rFonts w:ascii="Times New Roman" w:eastAsia="宋体" w:cs="宋体" w:hint="eastAsia"/>
          <w:color w:val="000000" w:themeColor="text1"/>
          <w:sz w:val="24"/>
          <w:szCs w:val="24"/>
        </w:rPr>
        <w:t>后输送至祥丰金麦化工有限公司湿法球磨站作为补充水。</w:t>
      </w:r>
    </w:p>
    <w:p w:rsidR="00C861DA" w:rsidRDefault="0044752E">
      <w:pPr>
        <w:spacing w:beforeLines="50" w:before="156"/>
        <w:jc w:val="center"/>
        <w:rPr>
          <w:rFonts w:ascii="Times New Roman" w:eastAsia="宋体"/>
          <w:b/>
          <w:color w:val="000000" w:themeColor="text1"/>
          <w:sz w:val="24"/>
          <w:szCs w:val="24"/>
        </w:rPr>
      </w:pPr>
      <w:r>
        <w:rPr>
          <w:rFonts w:ascii="Times New Roman" w:eastAsia="宋体"/>
          <w:b/>
          <w:color w:val="000000" w:themeColor="text1"/>
          <w:sz w:val="24"/>
          <w:szCs w:val="24"/>
        </w:rPr>
        <w:t>表</w:t>
      </w:r>
      <w:r>
        <w:rPr>
          <w:rFonts w:ascii="Times New Roman" w:eastAsia="宋体" w:cs="仿宋" w:hint="eastAsia"/>
          <w:b/>
          <w:color w:val="000000" w:themeColor="text1"/>
          <w:sz w:val="24"/>
          <w:szCs w:val="24"/>
        </w:rPr>
        <w:t>2.5-</w:t>
      </w:r>
      <w:r>
        <w:rPr>
          <w:rFonts w:ascii="Times New Roman" w:eastAsia="宋体" w:cs="仿宋"/>
          <w:b/>
          <w:color w:val="000000" w:themeColor="text1"/>
          <w:sz w:val="24"/>
          <w:szCs w:val="24"/>
        </w:rPr>
        <w:t>10</w:t>
      </w:r>
      <w:r>
        <w:rPr>
          <w:rFonts w:ascii="Times New Roman" w:eastAsia="宋体"/>
          <w:b/>
          <w:color w:val="000000" w:themeColor="text1"/>
          <w:sz w:val="24"/>
          <w:szCs w:val="24"/>
        </w:rPr>
        <w:t>《城市污水再生利用</w:t>
      </w:r>
      <w:r>
        <w:rPr>
          <w:rFonts w:ascii="Times New Roman" w:eastAsia="宋体"/>
          <w:b/>
          <w:color w:val="000000" w:themeColor="text1"/>
          <w:sz w:val="24"/>
          <w:szCs w:val="24"/>
        </w:rPr>
        <w:t xml:space="preserve"> </w:t>
      </w:r>
      <w:r>
        <w:rPr>
          <w:rFonts w:ascii="Times New Roman" w:eastAsia="宋体" w:hint="eastAsia"/>
          <w:b/>
          <w:color w:val="000000" w:themeColor="text1"/>
          <w:sz w:val="24"/>
          <w:szCs w:val="24"/>
        </w:rPr>
        <w:t>城市杂用水水质</w:t>
      </w:r>
      <w:r>
        <w:rPr>
          <w:rFonts w:ascii="Times New Roman" w:eastAsia="宋体"/>
          <w:b/>
          <w:color w:val="000000" w:themeColor="text1"/>
          <w:sz w:val="24"/>
          <w:szCs w:val="24"/>
        </w:rPr>
        <w:t>》</w:t>
      </w:r>
      <w:r>
        <w:rPr>
          <w:rFonts w:ascii="Times New Roman" w:eastAsia="宋体" w:hint="eastAsia"/>
          <w:b/>
          <w:color w:val="000000" w:themeColor="text1"/>
          <w:sz w:val="24"/>
          <w:szCs w:val="24"/>
        </w:rPr>
        <w:t xml:space="preserve">  </w:t>
      </w:r>
      <w:r>
        <w:rPr>
          <w:rFonts w:ascii="Times New Roman" w:eastAsia="宋体"/>
          <w:b/>
          <w:color w:val="000000" w:themeColor="text1"/>
          <w:sz w:val="24"/>
          <w:szCs w:val="24"/>
        </w:rPr>
        <w:t>单位：</w:t>
      </w:r>
      <w:r>
        <w:rPr>
          <w:rFonts w:ascii="Times New Roman" w:eastAsia="宋体"/>
          <w:b/>
          <w:color w:val="000000" w:themeColor="text1"/>
          <w:sz w:val="24"/>
          <w:szCs w:val="24"/>
        </w:rPr>
        <w:t>mg/L</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0"/>
        <w:gridCol w:w="4206"/>
      </w:tblGrid>
      <w:tr w:rsidR="00C861DA">
        <w:trPr>
          <w:trHeight w:val="397"/>
          <w:jc w:val="center"/>
        </w:trPr>
        <w:tc>
          <w:tcPr>
            <w:tcW w:w="4090" w:type="dxa"/>
            <w:tcBorders>
              <w:tl2br w:val="single" w:sz="4" w:space="0" w:color="auto"/>
            </w:tcBorders>
            <w:vAlign w:val="center"/>
          </w:tcPr>
          <w:p w:rsidR="00C861DA" w:rsidRDefault="0044752E">
            <w:pPr>
              <w:snapToGrid w:val="0"/>
              <w:jc w:val="right"/>
              <w:rPr>
                <w:rFonts w:ascii="Times New Roman" w:eastAsia="宋体"/>
                <w:b/>
                <w:color w:val="000000" w:themeColor="text1"/>
              </w:rPr>
            </w:pPr>
            <w:r>
              <w:rPr>
                <w:rFonts w:ascii="Times New Roman" w:eastAsia="宋体"/>
                <w:b/>
                <w:color w:val="000000" w:themeColor="text1"/>
              </w:rPr>
              <w:t>项目</w:t>
            </w:r>
          </w:p>
          <w:p w:rsidR="00C861DA" w:rsidRDefault="0044752E">
            <w:pPr>
              <w:snapToGrid w:val="0"/>
              <w:rPr>
                <w:rFonts w:ascii="Times New Roman" w:eastAsia="宋体"/>
                <w:b/>
                <w:color w:val="000000" w:themeColor="text1"/>
              </w:rPr>
            </w:pPr>
            <w:r>
              <w:rPr>
                <w:rFonts w:ascii="Times New Roman" w:eastAsia="宋体"/>
                <w:b/>
                <w:color w:val="000000" w:themeColor="text1"/>
              </w:rPr>
              <w:t>指标</w:t>
            </w:r>
          </w:p>
        </w:tc>
        <w:tc>
          <w:tcPr>
            <w:tcW w:w="4206" w:type="dxa"/>
            <w:vAlign w:val="center"/>
          </w:tcPr>
          <w:p w:rsidR="00C861DA" w:rsidRDefault="0044752E">
            <w:pPr>
              <w:snapToGrid w:val="0"/>
              <w:jc w:val="center"/>
              <w:rPr>
                <w:rFonts w:ascii="Times New Roman" w:eastAsia="宋体"/>
                <w:b/>
                <w:color w:val="000000" w:themeColor="text1"/>
              </w:rPr>
            </w:pPr>
            <w:r>
              <w:rPr>
                <w:rFonts w:ascii="Times New Roman" w:eastAsia="宋体"/>
                <w:b/>
                <w:color w:val="000000" w:themeColor="text1"/>
              </w:rPr>
              <w:t>城市绿化</w:t>
            </w:r>
          </w:p>
        </w:tc>
      </w:tr>
      <w:tr w:rsidR="00C861DA">
        <w:trPr>
          <w:trHeight w:val="397"/>
          <w:jc w:val="center"/>
        </w:trPr>
        <w:tc>
          <w:tcPr>
            <w:tcW w:w="409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PH</w:t>
            </w:r>
          </w:p>
        </w:tc>
        <w:tc>
          <w:tcPr>
            <w:tcW w:w="4206"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6.0</w:t>
            </w:r>
            <w:r>
              <w:rPr>
                <w:rFonts w:ascii="Times New Roman" w:eastAsia="宋体"/>
                <w:color w:val="000000" w:themeColor="text1"/>
              </w:rPr>
              <w:t>～</w:t>
            </w:r>
            <w:r>
              <w:rPr>
                <w:rFonts w:ascii="Times New Roman" w:eastAsia="宋体"/>
                <w:color w:val="000000" w:themeColor="text1"/>
              </w:rPr>
              <w:t>9.0</w:t>
            </w:r>
          </w:p>
        </w:tc>
      </w:tr>
      <w:tr w:rsidR="00C861DA">
        <w:trPr>
          <w:trHeight w:val="397"/>
          <w:jc w:val="center"/>
        </w:trPr>
        <w:tc>
          <w:tcPr>
            <w:tcW w:w="409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色（度）</w:t>
            </w:r>
            <w:r>
              <w:rPr>
                <w:rFonts w:ascii="Times New Roman" w:eastAsia="宋体"/>
                <w:color w:val="000000" w:themeColor="text1"/>
              </w:rPr>
              <w:t>≤</w:t>
            </w:r>
          </w:p>
        </w:tc>
        <w:tc>
          <w:tcPr>
            <w:tcW w:w="4206"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30</w:t>
            </w:r>
          </w:p>
        </w:tc>
      </w:tr>
      <w:tr w:rsidR="00C861DA">
        <w:trPr>
          <w:trHeight w:val="397"/>
          <w:jc w:val="center"/>
        </w:trPr>
        <w:tc>
          <w:tcPr>
            <w:tcW w:w="409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嗅</w:t>
            </w:r>
          </w:p>
        </w:tc>
        <w:tc>
          <w:tcPr>
            <w:tcW w:w="4206"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无不快感觉</w:t>
            </w:r>
          </w:p>
        </w:tc>
      </w:tr>
      <w:tr w:rsidR="00C861DA">
        <w:trPr>
          <w:trHeight w:val="397"/>
          <w:jc w:val="center"/>
        </w:trPr>
        <w:tc>
          <w:tcPr>
            <w:tcW w:w="409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浊度（</w:t>
            </w:r>
            <w:r>
              <w:rPr>
                <w:rFonts w:ascii="Times New Roman" w:eastAsia="宋体"/>
                <w:color w:val="000000" w:themeColor="text1"/>
              </w:rPr>
              <w:t>NTU</w:t>
            </w:r>
            <w:r>
              <w:rPr>
                <w:rFonts w:ascii="Times New Roman" w:eastAsia="宋体"/>
                <w:color w:val="000000" w:themeColor="text1"/>
              </w:rPr>
              <w:t>）</w:t>
            </w:r>
            <w:r>
              <w:rPr>
                <w:rFonts w:ascii="Times New Roman" w:eastAsia="宋体"/>
                <w:color w:val="000000" w:themeColor="text1"/>
              </w:rPr>
              <w:t>≤</w:t>
            </w:r>
          </w:p>
        </w:tc>
        <w:tc>
          <w:tcPr>
            <w:tcW w:w="4206"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10</w:t>
            </w:r>
          </w:p>
        </w:tc>
      </w:tr>
      <w:tr w:rsidR="00C861DA">
        <w:trPr>
          <w:trHeight w:val="397"/>
          <w:jc w:val="center"/>
        </w:trPr>
        <w:tc>
          <w:tcPr>
            <w:tcW w:w="409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溶解性总固体（</w:t>
            </w:r>
            <w:r>
              <w:rPr>
                <w:rFonts w:ascii="Times New Roman" w:eastAsia="宋体"/>
                <w:color w:val="000000" w:themeColor="text1"/>
              </w:rPr>
              <w:t>mg/L</w:t>
            </w:r>
            <w:r>
              <w:rPr>
                <w:rFonts w:ascii="Times New Roman" w:eastAsia="宋体"/>
                <w:color w:val="000000" w:themeColor="text1"/>
              </w:rPr>
              <w:t>）</w:t>
            </w:r>
            <w:r>
              <w:rPr>
                <w:rFonts w:ascii="Times New Roman" w:eastAsia="宋体"/>
                <w:color w:val="000000" w:themeColor="text1"/>
              </w:rPr>
              <w:t>≤</w:t>
            </w:r>
          </w:p>
        </w:tc>
        <w:tc>
          <w:tcPr>
            <w:tcW w:w="4206"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1000</w:t>
            </w:r>
          </w:p>
        </w:tc>
      </w:tr>
      <w:tr w:rsidR="00C861DA">
        <w:trPr>
          <w:trHeight w:val="397"/>
          <w:jc w:val="center"/>
        </w:trPr>
        <w:tc>
          <w:tcPr>
            <w:tcW w:w="409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5</w:t>
            </w:r>
            <w:r>
              <w:rPr>
                <w:rFonts w:ascii="Times New Roman" w:eastAsia="宋体"/>
                <w:color w:val="000000" w:themeColor="text1"/>
              </w:rPr>
              <w:t>日生化需氧量</w:t>
            </w:r>
            <w:r>
              <w:rPr>
                <w:rFonts w:ascii="Times New Roman" w:eastAsia="宋体"/>
                <w:color w:val="000000" w:themeColor="text1"/>
              </w:rPr>
              <w:t>BOD</w:t>
            </w:r>
            <w:r>
              <w:rPr>
                <w:rFonts w:ascii="Times New Roman" w:eastAsia="宋体"/>
                <w:color w:val="000000" w:themeColor="text1"/>
                <w:vertAlign w:val="subscript"/>
              </w:rPr>
              <w:t>5</w:t>
            </w:r>
            <w:r>
              <w:rPr>
                <w:rFonts w:ascii="Times New Roman" w:eastAsia="宋体"/>
                <w:color w:val="000000" w:themeColor="text1"/>
              </w:rPr>
              <w:t>（</w:t>
            </w:r>
            <w:r>
              <w:rPr>
                <w:rFonts w:ascii="Times New Roman" w:eastAsia="宋体"/>
                <w:color w:val="000000" w:themeColor="text1"/>
              </w:rPr>
              <w:t>mg/L</w:t>
            </w:r>
            <w:r>
              <w:rPr>
                <w:rFonts w:ascii="Times New Roman" w:eastAsia="宋体"/>
                <w:color w:val="000000" w:themeColor="text1"/>
              </w:rPr>
              <w:t>）</w:t>
            </w:r>
            <w:r>
              <w:rPr>
                <w:rFonts w:ascii="Times New Roman" w:eastAsia="宋体"/>
                <w:color w:val="000000" w:themeColor="text1"/>
              </w:rPr>
              <w:t xml:space="preserve"> </w:t>
            </w:r>
            <w:r>
              <w:rPr>
                <w:rFonts w:ascii="Times New Roman" w:eastAsia="宋体"/>
                <w:color w:val="000000" w:themeColor="text1"/>
              </w:rPr>
              <w:t>≤</w:t>
            </w:r>
          </w:p>
        </w:tc>
        <w:tc>
          <w:tcPr>
            <w:tcW w:w="4206"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20</w:t>
            </w:r>
          </w:p>
        </w:tc>
      </w:tr>
      <w:tr w:rsidR="00C861DA">
        <w:trPr>
          <w:trHeight w:val="397"/>
          <w:jc w:val="center"/>
        </w:trPr>
        <w:tc>
          <w:tcPr>
            <w:tcW w:w="409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氨氮（</w:t>
            </w:r>
            <w:r>
              <w:rPr>
                <w:rFonts w:ascii="Times New Roman" w:eastAsia="宋体"/>
                <w:color w:val="000000" w:themeColor="text1"/>
              </w:rPr>
              <w:t>mg/L</w:t>
            </w:r>
            <w:r>
              <w:rPr>
                <w:rFonts w:ascii="Times New Roman" w:eastAsia="宋体"/>
                <w:color w:val="000000" w:themeColor="text1"/>
              </w:rPr>
              <w:t>）</w:t>
            </w:r>
            <w:r>
              <w:rPr>
                <w:rFonts w:ascii="Times New Roman" w:eastAsia="宋体"/>
                <w:color w:val="000000" w:themeColor="text1"/>
              </w:rPr>
              <w:t>≤</w:t>
            </w:r>
          </w:p>
        </w:tc>
        <w:tc>
          <w:tcPr>
            <w:tcW w:w="4206"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20</w:t>
            </w:r>
          </w:p>
        </w:tc>
      </w:tr>
      <w:tr w:rsidR="00C861DA">
        <w:trPr>
          <w:trHeight w:val="397"/>
          <w:jc w:val="center"/>
        </w:trPr>
        <w:tc>
          <w:tcPr>
            <w:tcW w:w="409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阴离子表面活性（</w:t>
            </w:r>
            <w:r>
              <w:rPr>
                <w:rFonts w:ascii="Times New Roman" w:eastAsia="宋体"/>
                <w:color w:val="000000" w:themeColor="text1"/>
              </w:rPr>
              <w:t>mg/L</w:t>
            </w:r>
            <w:r>
              <w:rPr>
                <w:rFonts w:ascii="Times New Roman" w:eastAsia="宋体"/>
                <w:color w:val="000000" w:themeColor="text1"/>
              </w:rPr>
              <w:t>）</w:t>
            </w:r>
            <w:r>
              <w:rPr>
                <w:rFonts w:ascii="Times New Roman" w:eastAsia="宋体"/>
                <w:color w:val="000000" w:themeColor="text1"/>
              </w:rPr>
              <w:t>≤</w:t>
            </w:r>
          </w:p>
        </w:tc>
        <w:tc>
          <w:tcPr>
            <w:tcW w:w="4206"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1.0</w:t>
            </w:r>
          </w:p>
        </w:tc>
      </w:tr>
      <w:tr w:rsidR="00C861DA">
        <w:trPr>
          <w:trHeight w:val="397"/>
          <w:jc w:val="center"/>
        </w:trPr>
        <w:tc>
          <w:tcPr>
            <w:tcW w:w="409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溶解氧（</w:t>
            </w:r>
            <w:r>
              <w:rPr>
                <w:rFonts w:ascii="Times New Roman" w:eastAsia="宋体"/>
                <w:color w:val="000000" w:themeColor="text1"/>
              </w:rPr>
              <w:t>mg/L</w:t>
            </w:r>
            <w:r>
              <w:rPr>
                <w:rFonts w:ascii="Times New Roman" w:eastAsia="宋体"/>
                <w:color w:val="000000" w:themeColor="text1"/>
              </w:rPr>
              <w:t>）</w:t>
            </w:r>
            <w:r>
              <w:rPr>
                <w:rFonts w:ascii="Times New Roman" w:eastAsia="宋体"/>
                <w:color w:val="000000" w:themeColor="text1"/>
              </w:rPr>
              <w:t>≥</w:t>
            </w:r>
          </w:p>
        </w:tc>
        <w:tc>
          <w:tcPr>
            <w:tcW w:w="4206"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1.0</w:t>
            </w:r>
          </w:p>
        </w:tc>
      </w:tr>
      <w:tr w:rsidR="00C861DA">
        <w:trPr>
          <w:trHeight w:val="397"/>
          <w:jc w:val="center"/>
        </w:trPr>
        <w:tc>
          <w:tcPr>
            <w:tcW w:w="409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总余氯（</w:t>
            </w:r>
            <w:r>
              <w:rPr>
                <w:rFonts w:ascii="Times New Roman" w:eastAsia="宋体"/>
                <w:color w:val="000000" w:themeColor="text1"/>
              </w:rPr>
              <w:t>mg/L</w:t>
            </w:r>
            <w:r>
              <w:rPr>
                <w:rFonts w:ascii="Times New Roman" w:eastAsia="宋体"/>
                <w:color w:val="000000" w:themeColor="text1"/>
              </w:rPr>
              <w:t>）</w:t>
            </w:r>
          </w:p>
        </w:tc>
        <w:tc>
          <w:tcPr>
            <w:tcW w:w="4206"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接触</w:t>
            </w:r>
            <w:r>
              <w:rPr>
                <w:rFonts w:ascii="Times New Roman" w:eastAsia="宋体"/>
                <w:color w:val="000000" w:themeColor="text1"/>
              </w:rPr>
              <w:t>30min</w:t>
            </w:r>
            <w:r>
              <w:rPr>
                <w:rFonts w:ascii="Times New Roman" w:eastAsia="宋体"/>
                <w:color w:val="000000" w:themeColor="text1"/>
              </w:rPr>
              <w:t>后</w:t>
            </w:r>
            <w:r>
              <w:rPr>
                <w:rFonts w:ascii="Times New Roman" w:eastAsia="宋体"/>
                <w:color w:val="000000" w:themeColor="text1"/>
              </w:rPr>
              <w:t>≥</w:t>
            </w:r>
            <w:r>
              <w:rPr>
                <w:rFonts w:ascii="Times New Roman" w:eastAsia="宋体"/>
                <w:color w:val="000000" w:themeColor="text1"/>
              </w:rPr>
              <w:t>1.0</w:t>
            </w:r>
            <w:r>
              <w:rPr>
                <w:rFonts w:ascii="Times New Roman" w:eastAsia="宋体"/>
                <w:color w:val="000000" w:themeColor="text1"/>
              </w:rPr>
              <w:t>，管网末端</w:t>
            </w:r>
            <w:r>
              <w:rPr>
                <w:rFonts w:ascii="Times New Roman" w:eastAsia="宋体"/>
                <w:color w:val="000000" w:themeColor="text1"/>
              </w:rPr>
              <w:t>≥</w:t>
            </w:r>
            <w:r>
              <w:rPr>
                <w:rFonts w:ascii="Times New Roman" w:eastAsia="宋体"/>
                <w:color w:val="000000" w:themeColor="text1"/>
              </w:rPr>
              <w:t>0.2</w:t>
            </w:r>
          </w:p>
        </w:tc>
      </w:tr>
      <w:tr w:rsidR="00C861DA">
        <w:trPr>
          <w:trHeight w:val="397"/>
          <w:jc w:val="center"/>
        </w:trPr>
        <w:tc>
          <w:tcPr>
            <w:tcW w:w="4090"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总大肠菌群（个／</w:t>
            </w:r>
            <w:r>
              <w:rPr>
                <w:rFonts w:ascii="Times New Roman" w:eastAsia="宋体"/>
                <w:color w:val="000000" w:themeColor="text1"/>
              </w:rPr>
              <w:t>L</w:t>
            </w:r>
            <w:r>
              <w:rPr>
                <w:rFonts w:ascii="Times New Roman" w:eastAsia="宋体"/>
                <w:color w:val="000000" w:themeColor="text1"/>
              </w:rPr>
              <w:t>）</w:t>
            </w:r>
            <w:r>
              <w:rPr>
                <w:rFonts w:ascii="Times New Roman" w:eastAsia="宋体"/>
                <w:color w:val="000000" w:themeColor="text1"/>
              </w:rPr>
              <w:t>≤</w:t>
            </w:r>
          </w:p>
        </w:tc>
        <w:tc>
          <w:tcPr>
            <w:tcW w:w="4206"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3</w:t>
            </w:r>
          </w:p>
        </w:tc>
      </w:tr>
    </w:tbl>
    <w:p w:rsidR="00C861DA" w:rsidRDefault="0044752E">
      <w:pPr>
        <w:spacing w:beforeLines="100" w:before="312" w:line="360" w:lineRule="auto"/>
        <w:ind w:firstLineChars="200" w:firstLine="482"/>
        <w:rPr>
          <w:rFonts w:ascii="Times New Roman" w:eastAsia="宋体" w:cs="仿宋"/>
          <w:b/>
          <w:bCs/>
          <w:color w:val="000000" w:themeColor="text1"/>
          <w:sz w:val="24"/>
          <w:szCs w:val="24"/>
        </w:rPr>
      </w:pPr>
      <w:r>
        <w:rPr>
          <w:rFonts w:ascii="Times New Roman" w:eastAsia="宋体" w:cs="仿宋" w:hint="eastAsia"/>
          <w:b/>
          <w:bCs/>
          <w:color w:val="000000" w:themeColor="text1"/>
          <w:sz w:val="24"/>
          <w:szCs w:val="24"/>
        </w:rPr>
        <w:t>（</w:t>
      </w:r>
      <w:r>
        <w:rPr>
          <w:rFonts w:ascii="Times New Roman" w:eastAsia="宋体" w:cs="仿宋" w:hint="eastAsia"/>
          <w:b/>
          <w:bCs/>
          <w:color w:val="000000" w:themeColor="text1"/>
          <w:sz w:val="24"/>
          <w:szCs w:val="24"/>
        </w:rPr>
        <w:t>3</w:t>
      </w:r>
      <w:r>
        <w:rPr>
          <w:rFonts w:ascii="Times New Roman" w:eastAsia="宋体" w:cs="仿宋" w:hint="eastAsia"/>
          <w:b/>
          <w:bCs/>
          <w:color w:val="000000" w:themeColor="text1"/>
          <w:sz w:val="24"/>
          <w:szCs w:val="24"/>
        </w:rPr>
        <w:t>）噪声</w:t>
      </w:r>
    </w:p>
    <w:p w:rsidR="00C861DA" w:rsidRDefault="0044752E">
      <w:pPr>
        <w:spacing w:line="360" w:lineRule="auto"/>
        <w:ind w:firstLineChars="200" w:firstLine="480"/>
        <w:rPr>
          <w:rFonts w:ascii="Times New Roman" w:eastAsia="宋体" w:cs="仿宋"/>
          <w:color w:val="000000" w:themeColor="text1"/>
          <w:sz w:val="24"/>
          <w:szCs w:val="24"/>
        </w:rPr>
      </w:pPr>
      <w:r>
        <w:rPr>
          <w:rFonts w:ascii="Times New Roman" w:eastAsia="宋体" w:cs="仿宋" w:hint="eastAsia"/>
          <w:color w:val="000000" w:themeColor="text1"/>
          <w:sz w:val="24"/>
          <w:szCs w:val="24"/>
        </w:rPr>
        <w:t>施工期噪声执行《建筑施工场界环境噪声排放标准》（</w:t>
      </w:r>
      <w:r>
        <w:rPr>
          <w:rFonts w:ascii="Times New Roman" w:eastAsia="宋体" w:cs="仿宋" w:hint="eastAsia"/>
          <w:color w:val="000000" w:themeColor="text1"/>
          <w:sz w:val="24"/>
          <w:szCs w:val="24"/>
        </w:rPr>
        <w:t>GB12523-2011</w:t>
      </w:r>
      <w:r>
        <w:rPr>
          <w:rFonts w:ascii="Times New Roman" w:eastAsia="宋体" w:cs="仿宋" w:hint="eastAsia"/>
          <w:color w:val="000000" w:themeColor="text1"/>
          <w:sz w:val="24"/>
          <w:szCs w:val="24"/>
        </w:rPr>
        <w:t>）标准，标准限值见表</w:t>
      </w:r>
      <w:r>
        <w:rPr>
          <w:rFonts w:ascii="Times New Roman" w:eastAsia="宋体" w:cs="仿宋" w:hint="eastAsia"/>
          <w:color w:val="000000" w:themeColor="text1"/>
          <w:sz w:val="24"/>
          <w:szCs w:val="24"/>
        </w:rPr>
        <w:t>2.5-11</w:t>
      </w:r>
      <w:r>
        <w:rPr>
          <w:rFonts w:ascii="Times New Roman" w:eastAsia="宋体" w:cs="仿宋" w:hint="eastAsia"/>
          <w:color w:val="000000" w:themeColor="text1"/>
          <w:sz w:val="24"/>
          <w:szCs w:val="24"/>
        </w:rPr>
        <w:t>。</w:t>
      </w:r>
    </w:p>
    <w:p w:rsidR="00C861DA" w:rsidRDefault="0044752E">
      <w:pPr>
        <w:spacing w:line="360" w:lineRule="auto"/>
        <w:jc w:val="center"/>
        <w:rPr>
          <w:rFonts w:ascii="Times New Roman" w:eastAsia="宋体" w:cs="仿宋"/>
          <w:b/>
          <w:bCs/>
          <w:color w:val="000000" w:themeColor="text1"/>
          <w:sz w:val="24"/>
          <w:szCs w:val="24"/>
        </w:rPr>
      </w:pPr>
      <w:r>
        <w:rPr>
          <w:rFonts w:ascii="Times New Roman" w:eastAsia="宋体" w:cs="仿宋" w:hint="eastAsia"/>
          <w:b/>
          <w:bCs/>
          <w:color w:val="000000" w:themeColor="text1"/>
          <w:sz w:val="24"/>
          <w:szCs w:val="24"/>
        </w:rPr>
        <w:t>表</w:t>
      </w:r>
      <w:r>
        <w:rPr>
          <w:rFonts w:ascii="Times New Roman" w:eastAsia="宋体" w:cs="仿宋" w:hint="eastAsia"/>
          <w:b/>
          <w:bCs/>
          <w:color w:val="000000" w:themeColor="text1"/>
          <w:sz w:val="24"/>
          <w:szCs w:val="24"/>
        </w:rPr>
        <w:t xml:space="preserve">2.5-11  </w:t>
      </w:r>
      <w:r>
        <w:rPr>
          <w:rFonts w:ascii="Times New Roman" w:eastAsia="宋体" w:cs="仿宋" w:hint="eastAsia"/>
          <w:b/>
          <w:bCs/>
          <w:color w:val="000000" w:themeColor="text1"/>
          <w:sz w:val="24"/>
          <w:szCs w:val="24"/>
        </w:rPr>
        <w:t>建筑施工场界环境噪声排放标准</w:t>
      </w:r>
    </w:p>
    <w:tbl>
      <w:tblPr>
        <w:tblW w:w="8337"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35"/>
        <w:gridCol w:w="4302"/>
      </w:tblGrid>
      <w:tr w:rsidR="00C861DA">
        <w:trPr>
          <w:trHeight w:val="397"/>
        </w:trPr>
        <w:tc>
          <w:tcPr>
            <w:tcW w:w="4035" w:type="dxa"/>
            <w:vAlign w:val="center"/>
          </w:tcPr>
          <w:p w:rsidR="00C861DA" w:rsidRDefault="0044752E">
            <w:pPr>
              <w:pStyle w:val="TableParagraph"/>
              <w:jc w:val="center"/>
              <w:rPr>
                <w:rFonts w:cs="仿宋"/>
                <w:b/>
                <w:bCs/>
                <w:color w:val="000000" w:themeColor="text1"/>
              </w:rPr>
            </w:pPr>
            <w:r>
              <w:rPr>
                <w:rFonts w:cs="仿宋" w:hint="eastAsia"/>
                <w:b/>
                <w:bCs/>
                <w:color w:val="000000" w:themeColor="text1"/>
              </w:rPr>
              <w:t>昼间（</w:t>
            </w:r>
            <w:r>
              <w:rPr>
                <w:rFonts w:cs="仿宋" w:hint="eastAsia"/>
                <w:b/>
                <w:bCs/>
                <w:color w:val="000000" w:themeColor="text1"/>
              </w:rPr>
              <w:t>dB</w:t>
            </w:r>
            <w:r>
              <w:rPr>
                <w:rFonts w:cs="仿宋" w:hint="eastAsia"/>
                <w:b/>
                <w:bCs/>
                <w:color w:val="000000" w:themeColor="text1"/>
              </w:rPr>
              <w:t>（</w:t>
            </w:r>
            <w:r>
              <w:rPr>
                <w:rFonts w:cs="仿宋" w:hint="eastAsia"/>
                <w:b/>
                <w:bCs/>
                <w:color w:val="000000" w:themeColor="text1"/>
              </w:rPr>
              <w:t>A</w:t>
            </w:r>
            <w:r>
              <w:rPr>
                <w:rFonts w:cs="仿宋" w:hint="eastAsia"/>
                <w:b/>
                <w:bCs/>
                <w:color w:val="000000" w:themeColor="text1"/>
              </w:rPr>
              <w:t>））</w:t>
            </w:r>
          </w:p>
        </w:tc>
        <w:tc>
          <w:tcPr>
            <w:tcW w:w="4302" w:type="dxa"/>
            <w:vAlign w:val="center"/>
          </w:tcPr>
          <w:p w:rsidR="00C861DA" w:rsidRDefault="0044752E">
            <w:pPr>
              <w:pStyle w:val="TableParagraph"/>
              <w:jc w:val="center"/>
              <w:rPr>
                <w:rFonts w:cs="仿宋"/>
                <w:b/>
                <w:bCs/>
                <w:color w:val="000000" w:themeColor="text1"/>
              </w:rPr>
            </w:pPr>
            <w:r>
              <w:rPr>
                <w:rFonts w:cs="仿宋" w:hint="eastAsia"/>
                <w:b/>
                <w:bCs/>
                <w:color w:val="000000" w:themeColor="text1"/>
              </w:rPr>
              <w:t>夜间（</w:t>
            </w:r>
            <w:r>
              <w:rPr>
                <w:rFonts w:cs="仿宋" w:hint="eastAsia"/>
                <w:b/>
                <w:bCs/>
                <w:color w:val="000000" w:themeColor="text1"/>
              </w:rPr>
              <w:t>dB</w:t>
            </w:r>
            <w:r>
              <w:rPr>
                <w:rFonts w:cs="仿宋" w:hint="eastAsia"/>
                <w:b/>
                <w:bCs/>
                <w:color w:val="000000" w:themeColor="text1"/>
              </w:rPr>
              <w:t>（</w:t>
            </w:r>
            <w:r>
              <w:rPr>
                <w:rFonts w:cs="仿宋" w:hint="eastAsia"/>
                <w:b/>
                <w:bCs/>
                <w:color w:val="000000" w:themeColor="text1"/>
              </w:rPr>
              <w:t>A</w:t>
            </w:r>
            <w:r>
              <w:rPr>
                <w:rFonts w:cs="仿宋" w:hint="eastAsia"/>
                <w:b/>
                <w:bCs/>
                <w:color w:val="000000" w:themeColor="text1"/>
              </w:rPr>
              <w:t>））</w:t>
            </w:r>
          </w:p>
        </w:tc>
      </w:tr>
      <w:tr w:rsidR="00C861DA">
        <w:trPr>
          <w:trHeight w:val="397"/>
        </w:trPr>
        <w:tc>
          <w:tcPr>
            <w:tcW w:w="4035" w:type="dxa"/>
            <w:vAlign w:val="center"/>
          </w:tcPr>
          <w:p w:rsidR="00C861DA" w:rsidRDefault="0044752E">
            <w:pPr>
              <w:pStyle w:val="TableParagraph"/>
              <w:jc w:val="center"/>
              <w:rPr>
                <w:rFonts w:cs="仿宋"/>
                <w:color w:val="000000" w:themeColor="text1"/>
              </w:rPr>
            </w:pPr>
            <w:r>
              <w:rPr>
                <w:rFonts w:cs="仿宋" w:hint="eastAsia"/>
                <w:color w:val="000000" w:themeColor="text1"/>
              </w:rPr>
              <w:t>70</w:t>
            </w:r>
          </w:p>
        </w:tc>
        <w:tc>
          <w:tcPr>
            <w:tcW w:w="4302" w:type="dxa"/>
            <w:vAlign w:val="center"/>
          </w:tcPr>
          <w:p w:rsidR="00C861DA" w:rsidRDefault="0044752E">
            <w:pPr>
              <w:pStyle w:val="TableParagraph"/>
              <w:jc w:val="center"/>
              <w:rPr>
                <w:rFonts w:cs="仿宋"/>
                <w:color w:val="000000" w:themeColor="text1"/>
              </w:rPr>
            </w:pPr>
            <w:r>
              <w:rPr>
                <w:rFonts w:cs="仿宋" w:hint="eastAsia"/>
                <w:color w:val="000000" w:themeColor="text1"/>
              </w:rPr>
              <w:t>55</w:t>
            </w:r>
          </w:p>
        </w:tc>
      </w:tr>
    </w:tbl>
    <w:p w:rsidR="00C861DA" w:rsidRDefault="0044752E">
      <w:pPr>
        <w:spacing w:beforeLines="50" w:before="156"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营运期噪声厂界执行《工业企业厂界环境噪声排放标准》（</w:t>
      </w:r>
      <w:r>
        <w:rPr>
          <w:rFonts w:ascii="Times New Roman" w:eastAsia="宋体" w:cs="仿宋" w:hint="eastAsia"/>
          <w:color w:val="000000" w:themeColor="text1"/>
          <w:sz w:val="24"/>
          <w:szCs w:val="24"/>
        </w:rPr>
        <w:t>GB12348-2008</w:t>
      </w:r>
      <w:r>
        <w:rPr>
          <w:rFonts w:ascii="Times New Roman" w:eastAsia="宋体" w:cs="仿宋" w:hint="eastAsia"/>
          <w:color w:val="000000" w:themeColor="text1"/>
          <w:sz w:val="24"/>
          <w:szCs w:val="24"/>
        </w:rPr>
        <w:t>）</w:t>
      </w:r>
      <w:r>
        <w:rPr>
          <w:rFonts w:ascii="Times New Roman" w:eastAsia="宋体" w:cs="仿宋" w:hint="eastAsia"/>
          <w:color w:val="000000" w:themeColor="text1"/>
          <w:sz w:val="24"/>
          <w:szCs w:val="24"/>
        </w:rPr>
        <w:t>3</w:t>
      </w:r>
      <w:r>
        <w:rPr>
          <w:rFonts w:ascii="Times New Roman" w:eastAsia="宋体" w:cs="仿宋" w:hint="eastAsia"/>
          <w:color w:val="000000" w:themeColor="text1"/>
          <w:sz w:val="24"/>
          <w:szCs w:val="24"/>
        </w:rPr>
        <w:t>类标准，标准限值见表</w:t>
      </w:r>
      <w:r>
        <w:rPr>
          <w:rFonts w:ascii="Times New Roman" w:eastAsia="宋体" w:cs="仿宋" w:hint="eastAsia"/>
          <w:color w:val="000000" w:themeColor="text1"/>
          <w:sz w:val="24"/>
          <w:szCs w:val="24"/>
        </w:rPr>
        <w:t>2.5-12</w:t>
      </w:r>
      <w:r>
        <w:rPr>
          <w:rFonts w:ascii="Times New Roman" w:eastAsia="宋体" w:cs="仿宋" w:hint="eastAsia"/>
          <w:color w:val="000000" w:themeColor="text1"/>
          <w:sz w:val="24"/>
          <w:szCs w:val="24"/>
        </w:rPr>
        <w:t>。</w:t>
      </w:r>
    </w:p>
    <w:p w:rsidR="00C861DA" w:rsidRDefault="0044752E">
      <w:pPr>
        <w:tabs>
          <w:tab w:val="left" w:pos="3791"/>
        </w:tabs>
        <w:spacing w:beforeLines="50" w:before="156"/>
        <w:jc w:val="center"/>
        <w:rPr>
          <w:rFonts w:ascii="Times New Roman" w:eastAsia="宋体" w:cs="仿宋"/>
          <w:b/>
          <w:color w:val="000000" w:themeColor="text1"/>
          <w:sz w:val="24"/>
          <w:szCs w:val="24"/>
        </w:rPr>
      </w:pPr>
      <w:r>
        <w:rPr>
          <w:rFonts w:ascii="Times New Roman" w:eastAsia="宋体" w:cs="仿宋" w:hint="eastAsia"/>
          <w:b/>
          <w:color w:val="000000" w:themeColor="text1"/>
          <w:sz w:val="24"/>
          <w:szCs w:val="24"/>
        </w:rPr>
        <w:t>表</w:t>
      </w:r>
      <w:r>
        <w:rPr>
          <w:rFonts w:ascii="Times New Roman" w:eastAsia="宋体" w:cs="仿宋" w:hint="eastAsia"/>
          <w:b/>
          <w:color w:val="000000" w:themeColor="text1"/>
          <w:sz w:val="24"/>
          <w:szCs w:val="24"/>
        </w:rPr>
        <w:t xml:space="preserve">2.5-12  </w:t>
      </w:r>
      <w:r>
        <w:rPr>
          <w:rFonts w:ascii="Times New Roman" w:eastAsia="宋体" w:cs="仿宋" w:hint="eastAsia"/>
          <w:b/>
          <w:color w:val="000000" w:themeColor="text1"/>
          <w:sz w:val="24"/>
          <w:szCs w:val="24"/>
        </w:rPr>
        <w:t>工业企业厂界环境噪声排放标准</w:t>
      </w:r>
    </w:p>
    <w:tbl>
      <w:tblPr>
        <w:tblW w:w="832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83"/>
        <w:gridCol w:w="2779"/>
        <w:gridCol w:w="2967"/>
      </w:tblGrid>
      <w:tr w:rsidR="00C861DA">
        <w:trPr>
          <w:trHeight w:hRule="exact" w:val="397"/>
        </w:trPr>
        <w:tc>
          <w:tcPr>
            <w:tcW w:w="2583" w:type="dxa"/>
            <w:vAlign w:val="center"/>
          </w:tcPr>
          <w:p w:rsidR="00C861DA" w:rsidRDefault="0044752E">
            <w:pPr>
              <w:pStyle w:val="TableParagraph"/>
              <w:jc w:val="center"/>
              <w:rPr>
                <w:rFonts w:cs="仿宋"/>
                <w:b/>
                <w:bCs/>
                <w:color w:val="000000" w:themeColor="text1"/>
              </w:rPr>
            </w:pPr>
            <w:r>
              <w:rPr>
                <w:rFonts w:cs="仿宋" w:hint="eastAsia"/>
                <w:b/>
                <w:bCs/>
                <w:color w:val="000000" w:themeColor="text1"/>
              </w:rPr>
              <w:t>类别</w:t>
            </w:r>
          </w:p>
        </w:tc>
        <w:tc>
          <w:tcPr>
            <w:tcW w:w="2779" w:type="dxa"/>
            <w:vAlign w:val="center"/>
          </w:tcPr>
          <w:p w:rsidR="00C861DA" w:rsidRDefault="0044752E">
            <w:pPr>
              <w:pStyle w:val="TableParagraph"/>
              <w:jc w:val="center"/>
              <w:rPr>
                <w:rFonts w:cs="仿宋"/>
                <w:b/>
                <w:bCs/>
                <w:color w:val="000000" w:themeColor="text1"/>
              </w:rPr>
            </w:pPr>
            <w:r>
              <w:rPr>
                <w:rFonts w:cs="仿宋" w:hint="eastAsia"/>
                <w:b/>
                <w:bCs/>
                <w:color w:val="000000" w:themeColor="text1"/>
              </w:rPr>
              <w:t>昼间（</w:t>
            </w:r>
            <w:r>
              <w:rPr>
                <w:rFonts w:cs="仿宋" w:hint="eastAsia"/>
                <w:b/>
                <w:bCs/>
                <w:color w:val="000000" w:themeColor="text1"/>
              </w:rPr>
              <w:t>dB</w:t>
            </w:r>
            <w:r>
              <w:rPr>
                <w:rFonts w:cs="仿宋" w:hint="eastAsia"/>
                <w:b/>
                <w:bCs/>
                <w:color w:val="000000" w:themeColor="text1"/>
              </w:rPr>
              <w:t>（</w:t>
            </w:r>
            <w:r>
              <w:rPr>
                <w:rFonts w:cs="仿宋" w:hint="eastAsia"/>
                <w:b/>
                <w:bCs/>
                <w:color w:val="000000" w:themeColor="text1"/>
              </w:rPr>
              <w:t>A</w:t>
            </w:r>
            <w:r>
              <w:rPr>
                <w:rFonts w:cs="仿宋" w:hint="eastAsia"/>
                <w:b/>
                <w:bCs/>
                <w:color w:val="000000" w:themeColor="text1"/>
              </w:rPr>
              <w:t>））</w:t>
            </w:r>
          </w:p>
        </w:tc>
        <w:tc>
          <w:tcPr>
            <w:tcW w:w="2967" w:type="dxa"/>
            <w:vAlign w:val="center"/>
          </w:tcPr>
          <w:p w:rsidR="00C861DA" w:rsidRDefault="0044752E">
            <w:pPr>
              <w:pStyle w:val="TableParagraph"/>
              <w:jc w:val="center"/>
              <w:rPr>
                <w:rFonts w:cs="仿宋"/>
                <w:b/>
                <w:bCs/>
                <w:color w:val="000000" w:themeColor="text1"/>
              </w:rPr>
            </w:pPr>
            <w:r>
              <w:rPr>
                <w:rFonts w:cs="仿宋" w:hint="eastAsia"/>
                <w:b/>
                <w:bCs/>
                <w:color w:val="000000" w:themeColor="text1"/>
              </w:rPr>
              <w:t>夜间（</w:t>
            </w:r>
            <w:r>
              <w:rPr>
                <w:rFonts w:cs="仿宋" w:hint="eastAsia"/>
                <w:b/>
                <w:bCs/>
                <w:color w:val="000000" w:themeColor="text1"/>
              </w:rPr>
              <w:t>dB</w:t>
            </w:r>
            <w:r>
              <w:rPr>
                <w:rFonts w:cs="仿宋" w:hint="eastAsia"/>
                <w:b/>
                <w:bCs/>
                <w:color w:val="000000" w:themeColor="text1"/>
              </w:rPr>
              <w:t>（</w:t>
            </w:r>
            <w:r>
              <w:rPr>
                <w:rFonts w:cs="仿宋" w:hint="eastAsia"/>
                <w:b/>
                <w:bCs/>
                <w:color w:val="000000" w:themeColor="text1"/>
              </w:rPr>
              <w:t>A</w:t>
            </w:r>
            <w:r>
              <w:rPr>
                <w:rFonts w:cs="仿宋" w:hint="eastAsia"/>
                <w:b/>
                <w:bCs/>
                <w:color w:val="000000" w:themeColor="text1"/>
              </w:rPr>
              <w:t>））</w:t>
            </w:r>
          </w:p>
        </w:tc>
      </w:tr>
      <w:tr w:rsidR="00C861DA">
        <w:trPr>
          <w:trHeight w:hRule="exact" w:val="397"/>
        </w:trPr>
        <w:tc>
          <w:tcPr>
            <w:tcW w:w="2583" w:type="dxa"/>
            <w:vAlign w:val="center"/>
          </w:tcPr>
          <w:p w:rsidR="00C861DA" w:rsidRDefault="0044752E">
            <w:pPr>
              <w:pStyle w:val="TableParagraph"/>
              <w:jc w:val="center"/>
              <w:rPr>
                <w:rFonts w:cs="仿宋"/>
                <w:color w:val="000000" w:themeColor="text1"/>
              </w:rPr>
            </w:pPr>
            <w:r>
              <w:rPr>
                <w:rFonts w:cs="仿宋" w:hint="eastAsia"/>
                <w:color w:val="000000" w:themeColor="text1"/>
              </w:rPr>
              <w:t>3</w:t>
            </w:r>
            <w:r>
              <w:rPr>
                <w:rFonts w:cs="仿宋" w:hint="eastAsia"/>
                <w:color w:val="000000" w:themeColor="text1"/>
              </w:rPr>
              <w:t>类</w:t>
            </w:r>
          </w:p>
        </w:tc>
        <w:tc>
          <w:tcPr>
            <w:tcW w:w="2779" w:type="dxa"/>
            <w:vAlign w:val="center"/>
          </w:tcPr>
          <w:p w:rsidR="00C861DA" w:rsidRDefault="0044752E">
            <w:pPr>
              <w:pStyle w:val="TableParagraph"/>
              <w:jc w:val="center"/>
              <w:rPr>
                <w:rFonts w:cs="仿宋"/>
                <w:color w:val="000000" w:themeColor="text1"/>
              </w:rPr>
            </w:pPr>
            <w:r>
              <w:rPr>
                <w:rFonts w:cs="仿宋" w:hint="eastAsia"/>
                <w:color w:val="000000" w:themeColor="text1"/>
              </w:rPr>
              <w:t>65</w:t>
            </w:r>
          </w:p>
        </w:tc>
        <w:tc>
          <w:tcPr>
            <w:tcW w:w="2967" w:type="dxa"/>
            <w:vAlign w:val="center"/>
          </w:tcPr>
          <w:p w:rsidR="00C861DA" w:rsidRDefault="0044752E">
            <w:pPr>
              <w:pStyle w:val="TableParagraph"/>
              <w:jc w:val="center"/>
              <w:rPr>
                <w:rFonts w:cs="仿宋"/>
                <w:color w:val="000000" w:themeColor="text1"/>
              </w:rPr>
            </w:pPr>
            <w:r>
              <w:rPr>
                <w:rFonts w:cs="仿宋" w:hint="eastAsia"/>
                <w:color w:val="000000" w:themeColor="text1"/>
              </w:rPr>
              <w:t>55</w:t>
            </w:r>
          </w:p>
        </w:tc>
      </w:tr>
    </w:tbl>
    <w:p w:rsidR="00C861DA" w:rsidRDefault="0044752E">
      <w:pPr>
        <w:spacing w:beforeLines="100" w:before="312" w:line="360" w:lineRule="auto"/>
        <w:ind w:firstLineChars="200" w:firstLine="482"/>
        <w:rPr>
          <w:rFonts w:ascii="Times New Roman" w:eastAsia="宋体" w:cs="仿宋"/>
          <w:b/>
          <w:bCs/>
          <w:color w:val="000000" w:themeColor="text1"/>
          <w:sz w:val="24"/>
          <w:szCs w:val="24"/>
        </w:rPr>
      </w:pPr>
      <w:r>
        <w:rPr>
          <w:rFonts w:ascii="Times New Roman" w:eastAsia="宋体" w:cs="仿宋" w:hint="eastAsia"/>
          <w:b/>
          <w:bCs/>
          <w:color w:val="000000" w:themeColor="text1"/>
          <w:sz w:val="24"/>
          <w:szCs w:val="24"/>
        </w:rPr>
        <w:t>（</w:t>
      </w:r>
      <w:r>
        <w:rPr>
          <w:rFonts w:ascii="Times New Roman" w:eastAsia="宋体" w:cs="仿宋" w:hint="eastAsia"/>
          <w:b/>
          <w:bCs/>
          <w:color w:val="000000" w:themeColor="text1"/>
          <w:sz w:val="24"/>
          <w:szCs w:val="24"/>
        </w:rPr>
        <w:t>4</w:t>
      </w:r>
      <w:r>
        <w:rPr>
          <w:rFonts w:ascii="Times New Roman" w:eastAsia="宋体" w:cs="仿宋" w:hint="eastAsia"/>
          <w:b/>
          <w:bCs/>
          <w:color w:val="000000" w:themeColor="text1"/>
          <w:sz w:val="24"/>
          <w:szCs w:val="24"/>
        </w:rPr>
        <w:t>）固体废物</w:t>
      </w:r>
    </w:p>
    <w:p w:rsidR="00C861DA" w:rsidRDefault="0044752E">
      <w:pPr>
        <w:spacing w:line="360" w:lineRule="auto"/>
        <w:ind w:firstLineChars="200" w:firstLine="480"/>
        <w:jc w:val="both"/>
        <w:rPr>
          <w:rFonts w:ascii="Times New Roman" w:eastAsia="宋体" w:cs="仿宋"/>
          <w:bCs/>
          <w:color w:val="000000" w:themeColor="text1"/>
          <w:sz w:val="24"/>
        </w:rPr>
      </w:pPr>
      <w:r>
        <w:rPr>
          <w:rFonts w:ascii="Times New Roman" w:eastAsia="宋体" w:cs="仿宋" w:hint="eastAsia"/>
          <w:bCs/>
          <w:color w:val="000000" w:themeColor="text1"/>
          <w:sz w:val="24"/>
        </w:rPr>
        <w:t>一般固废《一般工业固体废物贮存、处置场污染控制标准》（</w:t>
      </w:r>
      <w:r>
        <w:rPr>
          <w:rFonts w:ascii="Times New Roman" w:eastAsia="宋体" w:cs="仿宋" w:hint="eastAsia"/>
          <w:bCs/>
          <w:color w:val="000000" w:themeColor="text1"/>
          <w:sz w:val="24"/>
        </w:rPr>
        <w:t>GB18599-2001</w:t>
      </w:r>
      <w:r>
        <w:rPr>
          <w:rFonts w:ascii="Times New Roman" w:eastAsia="宋体" w:cs="仿宋" w:hint="eastAsia"/>
          <w:bCs/>
          <w:color w:val="000000" w:themeColor="text1"/>
          <w:sz w:val="24"/>
        </w:rPr>
        <w:t>）（及其</w:t>
      </w:r>
      <w:r>
        <w:rPr>
          <w:rFonts w:ascii="Times New Roman" w:eastAsia="宋体" w:cs="仿宋" w:hint="eastAsia"/>
          <w:bCs/>
          <w:color w:val="000000" w:themeColor="text1"/>
          <w:sz w:val="24"/>
        </w:rPr>
        <w:t>2013</w:t>
      </w:r>
      <w:r>
        <w:rPr>
          <w:rFonts w:ascii="Times New Roman" w:eastAsia="宋体" w:cs="仿宋" w:hint="eastAsia"/>
          <w:bCs/>
          <w:color w:val="000000" w:themeColor="text1"/>
          <w:sz w:val="24"/>
        </w:rPr>
        <w:t>年修改单）；危险废物执行《危险废物贮存污染控制标准》（</w:t>
      </w:r>
      <w:r>
        <w:rPr>
          <w:rFonts w:ascii="Times New Roman" w:eastAsia="宋体" w:cs="仿宋" w:hint="eastAsia"/>
          <w:bCs/>
          <w:color w:val="000000" w:themeColor="text1"/>
          <w:sz w:val="24"/>
        </w:rPr>
        <w:t>GB18597-2001</w:t>
      </w:r>
      <w:r>
        <w:rPr>
          <w:rFonts w:ascii="Times New Roman" w:eastAsia="宋体" w:cs="仿宋" w:hint="eastAsia"/>
          <w:bCs/>
          <w:color w:val="000000" w:themeColor="text1"/>
          <w:sz w:val="24"/>
        </w:rPr>
        <w:t>）及其修改清单。</w:t>
      </w:r>
    </w:p>
    <w:bookmarkStart w:id="162" w:name="_Toc13543"/>
    <w:bookmarkStart w:id="163" w:name="_Toc28355"/>
    <w:bookmarkStart w:id="164" w:name="_Toc6764"/>
    <w:bookmarkStart w:id="165" w:name="_Toc14412"/>
    <w:p w:rsidR="00C861DA" w:rsidRDefault="0044752E">
      <w:pPr>
        <w:pStyle w:val="22"/>
        <w:rPr>
          <w:rFonts w:ascii="Times New Roman" w:eastAsia="宋体" w:hAnsi="Times New Roman"/>
          <w:bCs w:val="0"/>
          <w:color w:val="000000" w:themeColor="text1"/>
          <w:sz w:val="28"/>
          <w:szCs w:val="28"/>
        </w:rPr>
      </w:pPr>
      <w:r>
        <w:rPr>
          <w:rFonts w:ascii="Times New Roman" w:eastAsia="宋体" w:hAnsi="Times New Roman" w:hint="eastAsia"/>
          <w:bCs w:val="0"/>
          <w:color w:val="000000" w:themeColor="text1"/>
          <w:sz w:val="28"/>
          <w:szCs w:val="28"/>
        </w:rPr>
        <w:fldChar w:fldCharType="begin"/>
      </w:r>
      <w:r>
        <w:rPr>
          <w:rFonts w:ascii="Times New Roman" w:eastAsia="宋体" w:hAnsi="Times New Roman" w:hint="eastAsia"/>
          <w:bCs w:val="0"/>
          <w:color w:val="000000" w:themeColor="text1"/>
          <w:sz w:val="28"/>
          <w:szCs w:val="28"/>
        </w:rPr>
        <w:instrText xml:space="preserve"> HYPERLINK \l "_Toc512505409" </w:instrText>
      </w:r>
      <w:r>
        <w:rPr>
          <w:rFonts w:ascii="Times New Roman" w:eastAsia="宋体" w:hAnsi="Times New Roman" w:hint="eastAsia"/>
          <w:bCs w:val="0"/>
          <w:color w:val="000000" w:themeColor="text1"/>
          <w:sz w:val="28"/>
          <w:szCs w:val="28"/>
        </w:rPr>
        <w:fldChar w:fldCharType="separate"/>
      </w:r>
      <w:bookmarkStart w:id="166" w:name="_Toc6826773"/>
      <w:r>
        <w:rPr>
          <w:rFonts w:ascii="Times New Roman" w:eastAsia="宋体" w:hAnsi="Times New Roman" w:hint="eastAsia"/>
          <w:bCs w:val="0"/>
          <w:color w:val="000000" w:themeColor="text1"/>
          <w:sz w:val="28"/>
          <w:szCs w:val="28"/>
        </w:rPr>
        <w:t>2.6</w:t>
      </w:r>
      <w:r>
        <w:rPr>
          <w:rFonts w:ascii="Times New Roman" w:eastAsia="宋体" w:hAnsi="Times New Roman" w:hint="eastAsia"/>
          <w:bCs w:val="0"/>
          <w:color w:val="000000" w:themeColor="text1"/>
          <w:sz w:val="28"/>
          <w:szCs w:val="28"/>
        </w:rPr>
        <w:t>评价工作等级及评价范围</w:t>
      </w:r>
      <w:bookmarkEnd w:id="166"/>
      <w:r>
        <w:rPr>
          <w:rFonts w:ascii="Times New Roman" w:eastAsia="宋体" w:hAnsi="Times New Roman" w:hint="eastAsia"/>
          <w:bCs w:val="0"/>
          <w:color w:val="000000" w:themeColor="text1"/>
          <w:sz w:val="28"/>
          <w:szCs w:val="28"/>
        </w:rPr>
        <w:fldChar w:fldCharType="end"/>
      </w:r>
      <w:bookmarkEnd w:id="162"/>
      <w:bookmarkEnd w:id="163"/>
      <w:bookmarkEnd w:id="164"/>
      <w:bookmarkEnd w:id="165"/>
    </w:p>
    <w:bookmarkStart w:id="167" w:name="_Toc3190"/>
    <w:bookmarkStart w:id="168" w:name="_Toc5154"/>
    <w:bookmarkStart w:id="169" w:name="_Toc20227"/>
    <w:bookmarkStart w:id="170" w:name="_Toc24098"/>
    <w:p w:rsidR="00C861DA" w:rsidRDefault="0044752E">
      <w:pPr>
        <w:pStyle w:val="32"/>
        <w:rPr>
          <w:rFonts w:ascii="Times New Roman" w:eastAsia="宋体"/>
          <w:b w:val="0"/>
          <w:bCs w:val="0"/>
          <w:color w:val="000000" w:themeColor="text1"/>
          <w:sz w:val="24"/>
          <w:szCs w:val="24"/>
        </w:rPr>
      </w:pPr>
      <w:r>
        <w:rPr>
          <w:rFonts w:ascii="Times New Roman" w:eastAsia="宋体" w:hint="eastAsia"/>
          <w:b w:val="0"/>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"_Toc512505410" </w:instrText>
      </w:r>
      <w:r>
        <w:rPr>
          <w:rFonts w:ascii="Times New Roman" w:eastAsia="宋体" w:hint="eastAsia"/>
          <w:b w:val="0"/>
          <w:bCs w:val="0"/>
          <w:color w:val="000000" w:themeColor="text1"/>
          <w:sz w:val="24"/>
          <w:szCs w:val="24"/>
        </w:rPr>
        <w:fldChar w:fldCharType="separate"/>
      </w:r>
      <w:bookmarkStart w:id="171" w:name="_Toc6826774"/>
      <w:r>
        <w:rPr>
          <w:rFonts w:ascii="Times New Roman" w:eastAsia="宋体" w:hint="eastAsia"/>
          <w:bCs w:val="0"/>
          <w:color w:val="000000" w:themeColor="text1"/>
          <w:sz w:val="24"/>
          <w:szCs w:val="24"/>
        </w:rPr>
        <w:t>2.6.1</w:t>
      </w:r>
      <w:r>
        <w:rPr>
          <w:rFonts w:ascii="Times New Roman" w:eastAsia="宋体" w:hint="eastAsia"/>
          <w:bCs w:val="0"/>
          <w:color w:val="000000" w:themeColor="text1"/>
          <w:sz w:val="24"/>
          <w:szCs w:val="24"/>
        </w:rPr>
        <w:t>评价工作等级</w:t>
      </w:r>
      <w:bookmarkEnd w:id="171"/>
      <w:r>
        <w:rPr>
          <w:rFonts w:ascii="Times New Roman" w:eastAsia="宋体" w:hint="eastAsia"/>
          <w:b w:val="0"/>
          <w:bCs w:val="0"/>
          <w:color w:val="000000" w:themeColor="text1"/>
          <w:sz w:val="24"/>
          <w:szCs w:val="24"/>
        </w:rPr>
        <w:fldChar w:fldCharType="end"/>
      </w:r>
      <w:bookmarkEnd w:id="167"/>
      <w:bookmarkEnd w:id="168"/>
      <w:bookmarkEnd w:id="169"/>
      <w:bookmarkEnd w:id="170"/>
    </w:p>
    <w:p w:rsidR="00C861DA" w:rsidRDefault="0044752E">
      <w:pPr>
        <w:snapToGrid w:val="0"/>
        <w:spacing w:line="360" w:lineRule="auto"/>
        <w:ind w:firstLine="480"/>
        <w:rPr>
          <w:rFonts w:ascii="Times New Roman" w:eastAsia="宋体"/>
          <w:color w:val="000000" w:themeColor="text1"/>
          <w:sz w:val="24"/>
          <w:szCs w:val="24"/>
        </w:rPr>
      </w:pPr>
      <w:r>
        <w:rPr>
          <w:rFonts w:ascii="Times New Roman" w:eastAsia="宋体"/>
          <w:color w:val="000000" w:themeColor="text1"/>
          <w:sz w:val="24"/>
          <w:szCs w:val="24"/>
        </w:rPr>
        <w:t>依据《环境影响评价技术导则》，结合本项目的工程特点和项目所在地区的环境特征，确定本次评价的等级。</w:t>
      </w:r>
    </w:p>
    <w:p w:rsidR="00C861DA" w:rsidRDefault="0044752E">
      <w:pPr>
        <w:spacing w:line="360" w:lineRule="auto"/>
        <w:ind w:firstLineChars="200" w:firstLine="482"/>
        <w:rPr>
          <w:rFonts w:ascii="Times New Roman" w:eastAsia="宋体" w:cs="仿宋"/>
          <w:b/>
          <w:color w:val="000000" w:themeColor="text1"/>
          <w:sz w:val="24"/>
          <w:szCs w:val="24"/>
        </w:rPr>
      </w:pPr>
      <w:r>
        <w:rPr>
          <w:rFonts w:ascii="Times New Roman" w:eastAsia="宋体" w:cs="仿宋" w:hint="eastAsia"/>
          <w:b/>
          <w:color w:val="000000" w:themeColor="text1"/>
          <w:sz w:val="24"/>
          <w:szCs w:val="24"/>
        </w:rPr>
        <w:t>（</w:t>
      </w:r>
      <w:r>
        <w:rPr>
          <w:rFonts w:ascii="Times New Roman" w:eastAsia="宋体" w:cs="仿宋" w:hint="eastAsia"/>
          <w:b/>
          <w:color w:val="000000" w:themeColor="text1"/>
          <w:sz w:val="24"/>
          <w:szCs w:val="24"/>
        </w:rPr>
        <w:t>1</w:t>
      </w:r>
      <w:r>
        <w:rPr>
          <w:rFonts w:ascii="Times New Roman" w:eastAsia="宋体" w:cs="仿宋" w:hint="eastAsia"/>
          <w:b/>
          <w:color w:val="000000" w:themeColor="text1"/>
          <w:sz w:val="24"/>
          <w:szCs w:val="24"/>
        </w:rPr>
        <w:t>）大气环境</w:t>
      </w:r>
    </w:p>
    <w:p w:rsidR="00C861DA" w:rsidRDefault="0044752E">
      <w:pPr>
        <w:pStyle w:val="affffffffffffffff5"/>
        <w:tabs>
          <w:tab w:val="left" w:pos="1021"/>
          <w:tab w:val="left" w:pos="1320"/>
        </w:tabs>
        <w:spacing w:line="360" w:lineRule="auto"/>
        <w:ind w:firstLine="480"/>
        <w:rPr>
          <w:rFonts w:ascii="Times New Roman" w:eastAsia="宋体" w:cs="仿宋"/>
          <w:color w:val="000000" w:themeColor="text1"/>
          <w:spacing w:val="0"/>
          <w:sz w:val="24"/>
          <w:szCs w:val="24"/>
        </w:rPr>
      </w:pPr>
      <w:r>
        <w:rPr>
          <w:rFonts w:ascii="Times New Roman" w:eastAsia="宋体" w:cs="仿宋" w:hint="eastAsia"/>
          <w:bCs/>
          <w:color w:val="000000" w:themeColor="text1"/>
          <w:spacing w:val="0"/>
          <w:sz w:val="24"/>
          <w:szCs w:val="24"/>
        </w:rPr>
        <w:t>拟建项目位于安宁市工业园区禄脿片区，</w:t>
      </w:r>
      <w:r>
        <w:rPr>
          <w:rFonts w:ascii="Times New Roman" w:eastAsia="宋体" w:cs="仿宋" w:hint="eastAsia"/>
          <w:color w:val="000000" w:themeColor="text1"/>
          <w:spacing w:val="0"/>
          <w:sz w:val="24"/>
          <w:szCs w:val="24"/>
        </w:rPr>
        <w:t>本工程排放的主要大气污染物为氨，按《环境影响评价技术导则</w:t>
      </w:r>
      <w:r>
        <w:rPr>
          <w:rFonts w:ascii="Times New Roman" w:eastAsia="宋体" w:cs="仿宋" w:hint="eastAsia"/>
          <w:color w:val="000000" w:themeColor="text1"/>
          <w:spacing w:val="0"/>
          <w:sz w:val="24"/>
          <w:szCs w:val="24"/>
        </w:rPr>
        <w:t xml:space="preserve"> </w:t>
      </w:r>
      <w:r>
        <w:rPr>
          <w:rFonts w:ascii="Times New Roman" w:eastAsia="宋体" w:cs="仿宋" w:hint="eastAsia"/>
          <w:color w:val="000000" w:themeColor="text1"/>
          <w:spacing w:val="0"/>
          <w:sz w:val="24"/>
          <w:szCs w:val="24"/>
        </w:rPr>
        <w:t>大气环境》（</w:t>
      </w:r>
      <w:r>
        <w:rPr>
          <w:rFonts w:ascii="Times New Roman" w:eastAsia="宋体" w:cs="仿宋" w:hint="eastAsia"/>
          <w:color w:val="000000" w:themeColor="text1"/>
          <w:spacing w:val="0"/>
          <w:sz w:val="24"/>
          <w:szCs w:val="24"/>
        </w:rPr>
        <w:t>HJ 2.2-2018</w:t>
      </w:r>
      <w:r>
        <w:rPr>
          <w:rFonts w:ascii="Times New Roman" w:eastAsia="宋体" w:cs="仿宋" w:hint="eastAsia"/>
          <w:color w:val="000000" w:themeColor="text1"/>
          <w:spacing w:val="0"/>
          <w:sz w:val="24"/>
          <w:szCs w:val="24"/>
        </w:rPr>
        <w:t>）分别计算每一种污染物的最大地面浓度占标率</w:t>
      </w:r>
      <w:r>
        <w:rPr>
          <w:rFonts w:ascii="Times New Roman" w:eastAsia="宋体" w:cs="仿宋" w:hint="eastAsia"/>
          <w:color w:val="000000" w:themeColor="text1"/>
          <w:spacing w:val="0"/>
          <w:sz w:val="24"/>
          <w:szCs w:val="24"/>
        </w:rPr>
        <w:t>Pi</w:t>
      </w:r>
      <w:r>
        <w:rPr>
          <w:rFonts w:ascii="Times New Roman" w:eastAsia="宋体" w:cs="仿宋" w:hint="eastAsia"/>
          <w:color w:val="000000" w:themeColor="text1"/>
          <w:spacing w:val="0"/>
          <w:sz w:val="24"/>
          <w:szCs w:val="24"/>
        </w:rPr>
        <w:t>（第</w:t>
      </w:r>
      <w:r>
        <w:rPr>
          <w:rFonts w:ascii="Times New Roman" w:eastAsia="宋体" w:cs="仿宋" w:hint="eastAsia"/>
          <w:color w:val="000000" w:themeColor="text1"/>
          <w:spacing w:val="0"/>
          <w:sz w:val="24"/>
          <w:szCs w:val="24"/>
        </w:rPr>
        <w:t>i</w:t>
      </w:r>
      <w:r>
        <w:rPr>
          <w:rFonts w:ascii="Times New Roman" w:eastAsia="宋体" w:cs="仿宋" w:hint="eastAsia"/>
          <w:color w:val="000000" w:themeColor="text1"/>
          <w:spacing w:val="0"/>
          <w:sz w:val="24"/>
          <w:szCs w:val="24"/>
        </w:rPr>
        <w:t>个污染物）</w:t>
      </w:r>
      <w:r>
        <w:rPr>
          <w:rFonts w:ascii="Times New Roman" w:eastAsia="宋体" w:cs="仿宋"/>
          <w:color w:val="000000" w:themeColor="text1"/>
          <w:spacing w:val="0"/>
          <w:sz w:val="24"/>
          <w:szCs w:val="24"/>
        </w:rPr>
        <w:t>及第</w:t>
      </w:r>
      <w:r>
        <w:rPr>
          <w:rFonts w:ascii="Times New Roman" w:eastAsia="宋体" w:cs="仿宋"/>
          <w:color w:val="000000" w:themeColor="text1"/>
          <w:spacing w:val="0"/>
          <w:sz w:val="24"/>
          <w:szCs w:val="24"/>
        </w:rPr>
        <w:t>i</w:t>
      </w:r>
      <w:r>
        <w:rPr>
          <w:rFonts w:ascii="Times New Roman" w:eastAsia="宋体" w:cs="仿宋"/>
          <w:color w:val="000000" w:themeColor="text1"/>
          <w:spacing w:val="0"/>
          <w:sz w:val="24"/>
          <w:szCs w:val="24"/>
        </w:rPr>
        <w:t>个污染物的地面浓度达标准限值</w:t>
      </w:r>
      <w:r>
        <w:rPr>
          <w:rFonts w:ascii="Times New Roman" w:eastAsia="宋体" w:cs="仿宋"/>
          <w:color w:val="000000" w:themeColor="text1"/>
          <w:spacing w:val="0"/>
          <w:sz w:val="24"/>
          <w:szCs w:val="24"/>
        </w:rPr>
        <w:t>10%</w:t>
      </w:r>
      <w:r>
        <w:rPr>
          <w:rFonts w:ascii="Times New Roman" w:eastAsia="宋体" w:cs="仿宋"/>
          <w:color w:val="000000" w:themeColor="text1"/>
          <w:spacing w:val="0"/>
          <w:sz w:val="24"/>
          <w:szCs w:val="24"/>
        </w:rPr>
        <w:t>时所对应的最远距离</w:t>
      </w:r>
      <w:r>
        <w:rPr>
          <w:rFonts w:ascii="Times New Roman" w:eastAsia="宋体" w:cs="仿宋"/>
          <w:color w:val="000000" w:themeColor="text1"/>
          <w:spacing w:val="0"/>
          <w:sz w:val="24"/>
          <w:szCs w:val="24"/>
        </w:rPr>
        <w:t>D</w:t>
      </w:r>
      <w:r>
        <w:rPr>
          <w:rFonts w:ascii="Times New Roman" w:eastAsia="宋体" w:cs="仿宋"/>
          <w:color w:val="000000" w:themeColor="text1"/>
          <w:spacing w:val="0"/>
          <w:sz w:val="24"/>
          <w:szCs w:val="24"/>
          <w:vertAlign w:val="subscript"/>
        </w:rPr>
        <w:t>10%</w:t>
      </w:r>
      <w:r>
        <w:rPr>
          <w:rFonts w:ascii="Times New Roman" w:eastAsia="宋体" w:cs="仿宋" w:hint="eastAsia"/>
          <w:color w:val="000000" w:themeColor="text1"/>
          <w:spacing w:val="0"/>
          <w:sz w:val="24"/>
          <w:szCs w:val="24"/>
        </w:rPr>
        <w:t>，采用估算模型</w:t>
      </w:r>
      <w:r>
        <w:rPr>
          <w:rFonts w:ascii="Times New Roman" w:eastAsia="宋体" w:cs="仿宋" w:hint="eastAsia"/>
          <w:color w:val="000000" w:themeColor="text1"/>
          <w:spacing w:val="0"/>
          <w:sz w:val="24"/>
          <w:szCs w:val="24"/>
        </w:rPr>
        <w:t>AERSCREEN</w:t>
      </w:r>
      <w:r>
        <w:rPr>
          <w:rFonts w:ascii="Times New Roman" w:eastAsia="宋体" w:cs="仿宋" w:hint="eastAsia"/>
          <w:color w:val="000000" w:themeColor="text1"/>
          <w:spacing w:val="0"/>
          <w:sz w:val="24"/>
          <w:szCs w:val="24"/>
        </w:rPr>
        <w:t>，并输入地形参数，计算评价等级。</w:t>
      </w:r>
    </w:p>
    <w:p w:rsidR="00C861DA" w:rsidRDefault="0044752E">
      <w:pPr>
        <w:pStyle w:val="affffffffffffffff5"/>
        <w:tabs>
          <w:tab w:val="left" w:pos="1021"/>
          <w:tab w:val="left" w:pos="1320"/>
        </w:tabs>
        <w:spacing w:line="360" w:lineRule="auto"/>
        <w:ind w:firstLine="480"/>
        <w:jc w:val="center"/>
        <w:rPr>
          <w:rFonts w:ascii="Times New Roman" w:eastAsia="宋体" w:cs="仿宋"/>
          <w:color w:val="000000" w:themeColor="text1"/>
          <w:spacing w:val="0"/>
          <w:sz w:val="24"/>
          <w:szCs w:val="24"/>
        </w:rPr>
      </w:pPr>
      <w:r>
        <w:rPr>
          <w:rFonts w:ascii="Times New Roman" w:eastAsia="宋体" w:cs="仿宋" w:hint="eastAsia"/>
          <w:noProof/>
          <w:color w:val="000000" w:themeColor="text1"/>
          <w:spacing w:val="0"/>
          <w:sz w:val="24"/>
          <w:szCs w:val="24"/>
        </w:rPr>
        <w:drawing>
          <wp:inline distT="0" distB="0" distL="0" distR="0">
            <wp:extent cx="1029970" cy="441960"/>
            <wp:effectExtent l="0" t="0" r="0" b="0"/>
            <wp:docPr id="8"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29970" cy="441960"/>
                    </a:xfrm>
                    <a:prstGeom prst="rect">
                      <a:avLst/>
                    </a:prstGeom>
                    <a:noFill/>
                    <a:ln>
                      <a:noFill/>
                    </a:ln>
                  </pic:spPr>
                </pic:pic>
              </a:graphicData>
            </a:graphic>
          </wp:inline>
        </w:drawing>
      </w:r>
    </w:p>
    <w:p w:rsidR="00C861DA" w:rsidRDefault="0044752E">
      <w:pPr>
        <w:pStyle w:val="affffffffffffffff5"/>
        <w:tabs>
          <w:tab w:val="left" w:pos="1021"/>
          <w:tab w:val="left" w:pos="1320"/>
        </w:tabs>
        <w:spacing w:line="360" w:lineRule="auto"/>
        <w:ind w:firstLine="480"/>
        <w:rPr>
          <w:rFonts w:ascii="Times New Roman" w:eastAsia="宋体" w:cs="仿宋"/>
          <w:color w:val="000000" w:themeColor="text1"/>
          <w:spacing w:val="0"/>
          <w:sz w:val="24"/>
          <w:szCs w:val="24"/>
        </w:rPr>
      </w:pPr>
      <w:r>
        <w:rPr>
          <w:rFonts w:ascii="Times New Roman" w:eastAsia="宋体" w:cs="仿宋" w:hint="eastAsia"/>
          <w:color w:val="000000" w:themeColor="text1"/>
          <w:spacing w:val="0"/>
          <w:sz w:val="24"/>
          <w:szCs w:val="24"/>
        </w:rPr>
        <w:t>式中：</w:t>
      </w:r>
      <w:r>
        <w:rPr>
          <w:rFonts w:ascii="Times New Roman" w:eastAsia="宋体" w:cs="仿宋" w:hint="eastAsia"/>
          <w:color w:val="000000" w:themeColor="text1"/>
          <w:spacing w:val="0"/>
          <w:sz w:val="24"/>
          <w:szCs w:val="24"/>
        </w:rPr>
        <w:t>P</w:t>
      </w:r>
      <w:r>
        <w:rPr>
          <w:rFonts w:ascii="Times New Roman" w:eastAsia="宋体" w:cs="仿宋" w:hint="eastAsia"/>
          <w:color w:val="000000" w:themeColor="text1"/>
          <w:spacing w:val="0"/>
          <w:sz w:val="24"/>
          <w:szCs w:val="24"/>
          <w:vertAlign w:val="subscript"/>
        </w:rPr>
        <w:t>i</w:t>
      </w:r>
      <w:r>
        <w:rPr>
          <w:rFonts w:ascii="Times New Roman" w:eastAsia="宋体" w:cs="仿宋" w:hint="eastAsia"/>
          <w:color w:val="000000" w:themeColor="text1"/>
          <w:spacing w:val="0"/>
          <w:sz w:val="24"/>
          <w:szCs w:val="24"/>
        </w:rPr>
        <w:t>——第</w:t>
      </w:r>
      <w:r>
        <w:rPr>
          <w:rFonts w:ascii="Times New Roman" w:eastAsia="宋体" w:cs="仿宋" w:hint="eastAsia"/>
          <w:color w:val="000000" w:themeColor="text1"/>
          <w:spacing w:val="0"/>
          <w:sz w:val="24"/>
          <w:szCs w:val="24"/>
        </w:rPr>
        <w:t>i</w:t>
      </w:r>
      <w:r>
        <w:rPr>
          <w:rFonts w:ascii="Times New Roman" w:eastAsia="宋体" w:cs="仿宋" w:hint="eastAsia"/>
          <w:color w:val="000000" w:themeColor="text1"/>
          <w:spacing w:val="0"/>
          <w:sz w:val="24"/>
          <w:szCs w:val="24"/>
        </w:rPr>
        <w:t>个污染物的最大地面浓度占标率，</w:t>
      </w:r>
      <w:r>
        <w:rPr>
          <w:rFonts w:ascii="Times New Roman" w:eastAsia="宋体" w:cs="仿宋" w:hint="eastAsia"/>
          <w:color w:val="000000" w:themeColor="text1"/>
          <w:spacing w:val="0"/>
          <w:sz w:val="24"/>
          <w:szCs w:val="24"/>
        </w:rPr>
        <w:t>%</w:t>
      </w:r>
      <w:r>
        <w:rPr>
          <w:rFonts w:ascii="Times New Roman" w:eastAsia="宋体" w:cs="仿宋" w:hint="eastAsia"/>
          <w:color w:val="000000" w:themeColor="text1"/>
          <w:spacing w:val="0"/>
          <w:sz w:val="24"/>
          <w:szCs w:val="24"/>
        </w:rPr>
        <w:t>；</w:t>
      </w:r>
    </w:p>
    <w:p w:rsidR="00C861DA" w:rsidRDefault="0044752E">
      <w:pPr>
        <w:pStyle w:val="affffffffffffffff5"/>
        <w:tabs>
          <w:tab w:val="left" w:pos="1021"/>
          <w:tab w:val="left" w:pos="1320"/>
        </w:tabs>
        <w:spacing w:line="360" w:lineRule="auto"/>
        <w:ind w:firstLineChars="400" w:firstLine="960"/>
        <w:rPr>
          <w:rFonts w:ascii="Times New Roman" w:eastAsia="宋体" w:cs="仿宋"/>
          <w:color w:val="000000" w:themeColor="text1"/>
          <w:spacing w:val="0"/>
          <w:sz w:val="24"/>
          <w:szCs w:val="24"/>
        </w:rPr>
      </w:pPr>
      <w:r>
        <w:rPr>
          <w:rFonts w:ascii="Times New Roman" w:eastAsia="宋体" w:cs="仿宋" w:hint="eastAsia"/>
          <w:color w:val="000000" w:themeColor="text1"/>
          <w:spacing w:val="0"/>
          <w:sz w:val="24"/>
          <w:szCs w:val="24"/>
        </w:rPr>
        <w:t xml:space="preserve">  C</w:t>
      </w:r>
      <w:r>
        <w:rPr>
          <w:rFonts w:ascii="Times New Roman" w:eastAsia="宋体" w:cs="仿宋" w:hint="eastAsia"/>
          <w:color w:val="000000" w:themeColor="text1"/>
          <w:spacing w:val="0"/>
          <w:sz w:val="24"/>
          <w:szCs w:val="24"/>
          <w:vertAlign w:val="subscript"/>
        </w:rPr>
        <w:t>i</w:t>
      </w:r>
      <w:r>
        <w:rPr>
          <w:rFonts w:ascii="Times New Roman" w:eastAsia="宋体" w:cs="仿宋" w:hint="eastAsia"/>
          <w:color w:val="000000" w:themeColor="text1"/>
          <w:spacing w:val="0"/>
          <w:sz w:val="24"/>
          <w:szCs w:val="24"/>
        </w:rPr>
        <w:t>——采用估算模式计算出的第</w:t>
      </w:r>
      <w:r>
        <w:rPr>
          <w:rFonts w:ascii="Times New Roman" w:eastAsia="宋体" w:cs="仿宋" w:hint="eastAsia"/>
          <w:color w:val="000000" w:themeColor="text1"/>
          <w:spacing w:val="0"/>
          <w:sz w:val="24"/>
          <w:szCs w:val="24"/>
        </w:rPr>
        <w:t>i</w:t>
      </w:r>
      <w:r>
        <w:rPr>
          <w:rFonts w:ascii="Times New Roman" w:eastAsia="宋体" w:cs="仿宋" w:hint="eastAsia"/>
          <w:color w:val="000000" w:themeColor="text1"/>
          <w:spacing w:val="0"/>
          <w:sz w:val="24"/>
          <w:szCs w:val="24"/>
        </w:rPr>
        <w:t>个污染物的最大地面浓度，</w:t>
      </w:r>
      <w:r>
        <w:rPr>
          <w:rFonts w:ascii="Times New Roman" w:eastAsia="宋体" w:cs="仿宋" w:hint="eastAsia"/>
          <w:color w:val="000000" w:themeColor="text1"/>
          <w:spacing w:val="0"/>
          <w:sz w:val="24"/>
          <w:szCs w:val="24"/>
        </w:rPr>
        <w:t>mg/m</w:t>
      </w:r>
      <w:r>
        <w:rPr>
          <w:rFonts w:ascii="Times New Roman" w:eastAsia="宋体" w:cs="仿宋" w:hint="eastAsia"/>
          <w:color w:val="000000" w:themeColor="text1"/>
          <w:spacing w:val="0"/>
          <w:sz w:val="24"/>
          <w:szCs w:val="24"/>
          <w:vertAlign w:val="superscript"/>
        </w:rPr>
        <w:t>3</w:t>
      </w:r>
      <w:r>
        <w:rPr>
          <w:rFonts w:ascii="Times New Roman" w:eastAsia="宋体" w:cs="仿宋" w:hint="eastAsia"/>
          <w:color w:val="000000" w:themeColor="text1"/>
          <w:spacing w:val="0"/>
          <w:sz w:val="24"/>
          <w:szCs w:val="24"/>
        </w:rPr>
        <w:t>；</w:t>
      </w:r>
    </w:p>
    <w:p w:rsidR="00C861DA" w:rsidRDefault="0044752E">
      <w:pPr>
        <w:pStyle w:val="affffffffffffffff5"/>
        <w:tabs>
          <w:tab w:val="left" w:pos="1021"/>
          <w:tab w:val="left" w:pos="1320"/>
        </w:tabs>
        <w:spacing w:line="360" w:lineRule="auto"/>
        <w:ind w:firstLineChars="400" w:firstLine="960"/>
        <w:rPr>
          <w:rFonts w:ascii="Times New Roman" w:eastAsia="宋体" w:cs="仿宋"/>
          <w:color w:val="000000" w:themeColor="text1"/>
          <w:spacing w:val="0"/>
          <w:sz w:val="24"/>
          <w:szCs w:val="24"/>
        </w:rPr>
      </w:pPr>
      <w:r>
        <w:rPr>
          <w:rFonts w:ascii="Times New Roman" w:eastAsia="宋体" w:cs="仿宋" w:hint="eastAsia"/>
          <w:color w:val="000000" w:themeColor="text1"/>
          <w:spacing w:val="0"/>
          <w:sz w:val="24"/>
          <w:szCs w:val="24"/>
        </w:rPr>
        <w:t xml:space="preserve">  C</w:t>
      </w:r>
      <w:r>
        <w:rPr>
          <w:rFonts w:ascii="Times New Roman" w:eastAsia="宋体" w:cs="仿宋" w:hint="eastAsia"/>
          <w:color w:val="000000" w:themeColor="text1"/>
          <w:spacing w:val="0"/>
          <w:sz w:val="24"/>
          <w:szCs w:val="24"/>
          <w:vertAlign w:val="subscript"/>
        </w:rPr>
        <w:t>0i</w:t>
      </w:r>
      <w:r>
        <w:rPr>
          <w:rFonts w:ascii="Times New Roman" w:eastAsia="宋体" w:cs="仿宋" w:hint="eastAsia"/>
          <w:color w:val="000000" w:themeColor="text1"/>
          <w:spacing w:val="0"/>
          <w:sz w:val="24"/>
          <w:szCs w:val="24"/>
        </w:rPr>
        <w:t>——第</w:t>
      </w:r>
      <w:r>
        <w:rPr>
          <w:rFonts w:ascii="Times New Roman" w:eastAsia="宋体" w:cs="仿宋" w:hint="eastAsia"/>
          <w:color w:val="000000" w:themeColor="text1"/>
          <w:spacing w:val="0"/>
          <w:sz w:val="24"/>
          <w:szCs w:val="24"/>
        </w:rPr>
        <w:t>i</w:t>
      </w:r>
      <w:r>
        <w:rPr>
          <w:rFonts w:ascii="Times New Roman" w:eastAsia="宋体" w:cs="仿宋" w:hint="eastAsia"/>
          <w:color w:val="000000" w:themeColor="text1"/>
          <w:spacing w:val="0"/>
          <w:sz w:val="24"/>
          <w:szCs w:val="24"/>
        </w:rPr>
        <w:t>个污染物的环境空气质量标准，</w:t>
      </w:r>
      <w:r>
        <w:rPr>
          <w:rFonts w:ascii="Times New Roman" w:eastAsia="宋体" w:cs="仿宋" w:hint="eastAsia"/>
          <w:color w:val="000000" w:themeColor="text1"/>
          <w:spacing w:val="0"/>
          <w:sz w:val="24"/>
          <w:szCs w:val="24"/>
        </w:rPr>
        <w:t>mg/m</w:t>
      </w:r>
      <w:r>
        <w:rPr>
          <w:rFonts w:ascii="Times New Roman" w:eastAsia="宋体" w:cs="仿宋" w:hint="eastAsia"/>
          <w:color w:val="000000" w:themeColor="text1"/>
          <w:spacing w:val="0"/>
          <w:sz w:val="24"/>
          <w:szCs w:val="24"/>
          <w:vertAlign w:val="superscript"/>
        </w:rPr>
        <w:t>3</w:t>
      </w:r>
      <w:r>
        <w:rPr>
          <w:rFonts w:ascii="Times New Roman" w:eastAsia="宋体" w:cs="仿宋" w:hint="eastAsia"/>
          <w:color w:val="000000" w:themeColor="text1"/>
          <w:spacing w:val="0"/>
          <w:sz w:val="24"/>
          <w:szCs w:val="24"/>
        </w:rPr>
        <w:t>。</w:t>
      </w:r>
    </w:p>
    <w:p w:rsidR="00C861DA" w:rsidRDefault="00C861DA">
      <w:pPr>
        <w:snapToGrid w:val="0"/>
        <w:jc w:val="center"/>
        <w:rPr>
          <w:rFonts w:ascii="Times New Roman" w:eastAsia="宋体"/>
          <w:b/>
          <w:color w:val="000000" w:themeColor="text1"/>
          <w:sz w:val="24"/>
          <w:szCs w:val="24"/>
        </w:rPr>
      </w:pPr>
    </w:p>
    <w:p w:rsidR="00C861DA" w:rsidRDefault="0044752E">
      <w:pPr>
        <w:snapToGrid w:val="0"/>
        <w:jc w:val="center"/>
        <w:rPr>
          <w:rFonts w:ascii="Times New Roman" w:eastAsia="宋体"/>
          <w:b/>
          <w:color w:val="000000" w:themeColor="text1"/>
          <w:sz w:val="24"/>
          <w:szCs w:val="24"/>
        </w:rPr>
      </w:pPr>
      <w:r>
        <w:rPr>
          <w:rFonts w:ascii="Times New Roman" w:eastAsia="宋体"/>
          <w:b/>
          <w:color w:val="000000" w:themeColor="text1"/>
          <w:sz w:val="24"/>
          <w:szCs w:val="24"/>
        </w:rPr>
        <w:t>表</w:t>
      </w:r>
      <w:r>
        <w:rPr>
          <w:rFonts w:ascii="Times New Roman" w:eastAsia="宋体"/>
          <w:b/>
          <w:color w:val="000000" w:themeColor="text1"/>
          <w:sz w:val="24"/>
          <w:szCs w:val="24"/>
        </w:rPr>
        <w:t xml:space="preserve">2.6-1  </w:t>
      </w:r>
      <w:r>
        <w:rPr>
          <w:rFonts w:ascii="Times New Roman" w:eastAsia="宋体"/>
          <w:b/>
          <w:color w:val="000000" w:themeColor="text1"/>
          <w:sz w:val="24"/>
          <w:szCs w:val="24"/>
        </w:rPr>
        <w:t>大气评价工作分级判据</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6"/>
        <w:gridCol w:w="5280"/>
      </w:tblGrid>
      <w:tr w:rsidR="00C861DA">
        <w:trPr>
          <w:trHeight w:val="397"/>
          <w:jc w:val="center"/>
        </w:trPr>
        <w:tc>
          <w:tcPr>
            <w:tcW w:w="3016" w:type="dxa"/>
            <w:vAlign w:val="center"/>
          </w:tcPr>
          <w:p w:rsidR="00C861DA" w:rsidRDefault="0044752E">
            <w:pPr>
              <w:pStyle w:val="Style3"/>
              <w:adjustRightInd w:val="0"/>
              <w:snapToGrid w:val="0"/>
              <w:rPr>
                <w:bCs/>
                <w:color w:val="000000" w:themeColor="text1"/>
                <w:szCs w:val="21"/>
              </w:rPr>
            </w:pPr>
            <w:r>
              <w:rPr>
                <w:bCs/>
                <w:color w:val="000000" w:themeColor="text1"/>
                <w:szCs w:val="21"/>
              </w:rPr>
              <w:t>评价工作等级</w:t>
            </w:r>
          </w:p>
        </w:tc>
        <w:tc>
          <w:tcPr>
            <w:tcW w:w="5280" w:type="dxa"/>
            <w:vAlign w:val="center"/>
          </w:tcPr>
          <w:p w:rsidR="00C861DA" w:rsidRDefault="0044752E">
            <w:pPr>
              <w:pStyle w:val="Style3"/>
              <w:adjustRightInd w:val="0"/>
              <w:snapToGrid w:val="0"/>
              <w:rPr>
                <w:bCs/>
                <w:color w:val="000000" w:themeColor="text1"/>
                <w:szCs w:val="21"/>
              </w:rPr>
            </w:pPr>
            <w:r>
              <w:rPr>
                <w:bCs/>
                <w:color w:val="000000" w:themeColor="text1"/>
                <w:szCs w:val="21"/>
              </w:rPr>
              <w:t>评价工作分级判据</w:t>
            </w:r>
          </w:p>
        </w:tc>
      </w:tr>
      <w:tr w:rsidR="00C861DA">
        <w:trPr>
          <w:trHeight w:val="397"/>
          <w:jc w:val="center"/>
        </w:trPr>
        <w:tc>
          <w:tcPr>
            <w:tcW w:w="3016" w:type="dxa"/>
            <w:vAlign w:val="center"/>
          </w:tcPr>
          <w:p w:rsidR="00C861DA" w:rsidRDefault="0044752E">
            <w:pPr>
              <w:pStyle w:val="Style3"/>
              <w:adjustRightInd w:val="0"/>
              <w:snapToGrid w:val="0"/>
              <w:rPr>
                <w:color w:val="000000" w:themeColor="text1"/>
                <w:szCs w:val="21"/>
              </w:rPr>
            </w:pPr>
            <w:r>
              <w:rPr>
                <w:color w:val="000000" w:themeColor="text1"/>
                <w:szCs w:val="21"/>
              </w:rPr>
              <w:t>一级</w:t>
            </w:r>
          </w:p>
        </w:tc>
        <w:tc>
          <w:tcPr>
            <w:tcW w:w="5280" w:type="dxa"/>
            <w:vAlign w:val="center"/>
          </w:tcPr>
          <w:p w:rsidR="00C861DA" w:rsidRDefault="0044752E">
            <w:pPr>
              <w:pStyle w:val="Style3"/>
              <w:adjustRightInd w:val="0"/>
              <w:snapToGrid w:val="0"/>
              <w:rPr>
                <w:color w:val="000000" w:themeColor="text1"/>
                <w:szCs w:val="21"/>
              </w:rPr>
            </w:pPr>
            <w:r>
              <w:rPr>
                <w:color w:val="000000" w:themeColor="text1"/>
                <w:szCs w:val="21"/>
              </w:rPr>
              <w:t>P</w:t>
            </w:r>
            <w:r>
              <w:rPr>
                <w:color w:val="000000" w:themeColor="text1"/>
                <w:szCs w:val="21"/>
                <w:vertAlign w:val="subscript"/>
              </w:rPr>
              <w:t xml:space="preserve">max </w:t>
            </w:r>
            <w:r>
              <w:rPr>
                <w:color w:val="000000" w:themeColor="text1"/>
                <w:szCs w:val="21"/>
              </w:rPr>
              <w:t>≥ 10%</w:t>
            </w:r>
          </w:p>
        </w:tc>
      </w:tr>
      <w:tr w:rsidR="00C861DA">
        <w:trPr>
          <w:trHeight w:val="397"/>
          <w:jc w:val="center"/>
        </w:trPr>
        <w:tc>
          <w:tcPr>
            <w:tcW w:w="3016" w:type="dxa"/>
            <w:vAlign w:val="center"/>
          </w:tcPr>
          <w:p w:rsidR="00C861DA" w:rsidRDefault="0044752E">
            <w:pPr>
              <w:pStyle w:val="Style3"/>
              <w:adjustRightInd w:val="0"/>
              <w:snapToGrid w:val="0"/>
              <w:rPr>
                <w:color w:val="000000" w:themeColor="text1"/>
                <w:szCs w:val="21"/>
              </w:rPr>
            </w:pPr>
            <w:r>
              <w:rPr>
                <w:color w:val="000000" w:themeColor="text1"/>
                <w:szCs w:val="21"/>
              </w:rPr>
              <w:t>二级</w:t>
            </w:r>
          </w:p>
        </w:tc>
        <w:tc>
          <w:tcPr>
            <w:tcW w:w="5280" w:type="dxa"/>
            <w:vAlign w:val="center"/>
          </w:tcPr>
          <w:p w:rsidR="00C861DA" w:rsidRDefault="0044752E">
            <w:pPr>
              <w:pStyle w:val="Style3"/>
              <w:adjustRightInd w:val="0"/>
              <w:snapToGrid w:val="0"/>
              <w:rPr>
                <w:color w:val="000000" w:themeColor="text1"/>
                <w:szCs w:val="21"/>
              </w:rPr>
            </w:pPr>
            <w:r>
              <w:rPr>
                <w:color w:val="000000" w:themeColor="text1"/>
                <w:szCs w:val="21"/>
              </w:rPr>
              <w:t>1 ≤ P</w:t>
            </w:r>
            <w:r>
              <w:rPr>
                <w:color w:val="000000" w:themeColor="text1"/>
                <w:szCs w:val="21"/>
                <w:vertAlign w:val="subscript"/>
              </w:rPr>
              <w:t>max</w:t>
            </w:r>
            <w:r>
              <w:rPr>
                <w:color w:val="000000" w:themeColor="text1"/>
                <w:szCs w:val="21"/>
              </w:rPr>
              <w:t>＜</w:t>
            </w:r>
            <w:r>
              <w:rPr>
                <w:color w:val="000000" w:themeColor="text1"/>
                <w:szCs w:val="21"/>
              </w:rPr>
              <w:t>10%</w:t>
            </w:r>
          </w:p>
        </w:tc>
      </w:tr>
      <w:tr w:rsidR="00C861DA">
        <w:trPr>
          <w:trHeight w:val="397"/>
          <w:jc w:val="center"/>
        </w:trPr>
        <w:tc>
          <w:tcPr>
            <w:tcW w:w="3016" w:type="dxa"/>
            <w:vAlign w:val="center"/>
          </w:tcPr>
          <w:p w:rsidR="00C861DA" w:rsidRDefault="0044752E">
            <w:pPr>
              <w:pStyle w:val="Style3"/>
              <w:adjustRightInd w:val="0"/>
              <w:snapToGrid w:val="0"/>
              <w:rPr>
                <w:color w:val="000000" w:themeColor="text1"/>
                <w:szCs w:val="21"/>
              </w:rPr>
            </w:pPr>
            <w:r>
              <w:rPr>
                <w:color w:val="000000" w:themeColor="text1"/>
                <w:szCs w:val="21"/>
              </w:rPr>
              <w:t>三级</w:t>
            </w:r>
          </w:p>
        </w:tc>
        <w:tc>
          <w:tcPr>
            <w:tcW w:w="5280" w:type="dxa"/>
            <w:vAlign w:val="center"/>
          </w:tcPr>
          <w:p w:rsidR="00C861DA" w:rsidRDefault="0044752E">
            <w:pPr>
              <w:pStyle w:val="Style3"/>
              <w:adjustRightInd w:val="0"/>
              <w:snapToGrid w:val="0"/>
              <w:rPr>
                <w:color w:val="000000" w:themeColor="text1"/>
                <w:szCs w:val="21"/>
              </w:rPr>
            </w:pPr>
            <w:r>
              <w:rPr>
                <w:color w:val="000000" w:themeColor="text1"/>
                <w:szCs w:val="21"/>
              </w:rPr>
              <w:t>P</w:t>
            </w:r>
            <w:r>
              <w:rPr>
                <w:color w:val="000000" w:themeColor="text1"/>
                <w:szCs w:val="21"/>
                <w:vertAlign w:val="subscript"/>
              </w:rPr>
              <w:t>max</w:t>
            </w:r>
            <w:r>
              <w:rPr>
                <w:color w:val="000000" w:themeColor="text1"/>
                <w:szCs w:val="21"/>
              </w:rPr>
              <w:t>＜</w:t>
            </w:r>
            <w:r>
              <w:rPr>
                <w:color w:val="000000" w:themeColor="text1"/>
                <w:szCs w:val="21"/>
              </w:rPr>
              <w:t>1%</w:t>
            </w:r>
          </w:p>
        </w:tc>
      </w:tr>
    </w:tbl>
    <w:p w:rsidR="00C861DA" w:rsidRDefault="0044752E">
      <w:pPr>
        <w:spacing w:beforeLines="50" w:before="156" w:line="360" w:lineRule="auto"/>
        <w:ind w:firstLineChars="200" w:firstLine="480"/>
        <w:rPr>
          <w:rFonts w:ascii="Times New Roman" w:eastAsia="宋体"/>
          <w:bCs/>
          <w:color w:val="000000" w:themeColor="text1"/>
          <w:sz w:val="24"/>
          <w:szCs w:val="24"/>
        </w:rPr>
      </w:pPr>
      <w:r>
        <w:rPr>
          <w:rFonts w:ascii="Times New Roman" w:eastAsia="宋体"/>
          <w:bCs/>
          <w:color w:val="000000" w:themeColor="text1"/>
          <w:sz w:val="24"/>
          <w:szCs w:val="24"/>
        </w:rPr>
        <w:t>本项目为</w:t>
      </w:r>
      <w:r>
        <w:rPr>
          <w:rFonts w:ascii="Times New Roman" w:eastAsia="宋体" w:hint="eastAsia"/>
          <w:bCs/>
          <w:color w:val="000000" w:themeColor="text1"/>
          <w:sz w:val="24"/>
          <w:szCs w:val="24"/>
        </w:rPr>
        <w:t>有机复合肥</w:t>
      </w:r>
      <w:r>
        <w:rPr>
          <w:rFonts w:ascii="Times New Roman" w:eastAsia="宋体"/>
          <w:bCs/>
          <w:color w:val="000000" w:themeColor="text1"/>
          <w:sz w:val="24"/>
          <w:szCs w:val="24"/>
        </w:rPr>
        <w:t>项目，正常运营期间有组织排放源</w:t>
      </w:r>
      <w:r>
        <w:rPr>
          <w:rFonts w:ascii="Times New Roman" w:eastAsia="宋体" w:hint="eastAsia"/>
          <w:bCs/>
          <w:color w:val="000000" w:themeColor="text1"/>
          <w:sz w:val="24"/>
          <w:szCs w:val="24"/>
        </w:rPr>
        <w:t>为造粒塔排气筒，在正常造粒生产过程中会产生少量氨气</w:t>
      </w:r>
      <w:r>
        <w:rPr>
          <w:rFonts w:ascii="Times New Roman" w:eastAsia="宋体"/>
          <w:bCs/>
          <w:color w:val="000000" w:themeColor="text1"/>
          <w:sz w:val="24"/>
          <w:szCs w:val="24"/>
        </w:rPr>
        <w:t>，</w:t>
      </w:r>
      <w:r>
        <w:rPr>
          <w:rFonts w:ascii="Times New Roman" w:eastAsia="宋体" w:hint="eastAsia"/>
          <w:bCs/>
          <w:color w:val="000000" w:themeColor="text1"/>
          <w:sz w:val="24"/>
          <w:szCs w:val="24"/>
        </w:rPr>
        <w:t>原料仓和成品仓会</w:t>
      </w:r>
      <w:r>
        <w:rPr>
          <w:rFonts w:ascii="Times New Roman" w:eastAsia="宋体"/>
          <w:bCs/>
          <w:color w:val="000000" w:themeColor="text1"/>
          <w:sz w:val="24"/>
          <w:szCs w:val="24"/>
        </w:rPr>
        <w:t>产生少量无组织排放的氨气，根据项目基本情况确定大气影响评价因子为氨，项目评价因子和评价标准表见表</w:t>
      </w:r>
      <w:r>
        <w:rPr>
          <w:rFonts w:ascii="Times New Roman" w:eastAsia="宋体"/>
          <w:bCs/>
          <w:color w:val="000000" w:themeColor="text1"/>
          <w:sz w:val="24"/>
          <w:szCs w:val="24"/>
        </w:rPr>
        <w:t>2.5-2</w:t>
      </w:r>
      <w:r>
        <w:rPr>
          <w:rFonts w:ascii="Times New Roman" w:eastAsia="宋体"/>
          <w:bCs/>
          <w:color w:val="000000" w:themeColor="text1"/>
          <w:sz w:val="24"/>
          <w:szCs w:val="24"/>
        </w:rPr>
        <w:t>。</w:t>
      </w:r>
    </w:p>
    <w:p w:rsidR="00C861DA" w:rsidRDefault="0044752E">
      <w:pPr>
        <w:jc w:val="center"/>
        <w:rPr>
          <w:rFonts w:ascii="Times New Roman" w:eastAsia="宋体"/>
          <w:b/>
          <w:bCs/>
          <w:color w:val="000000" w:themeColor="text1"/>
          <w:sz w:val="24"/>
          <w:szCs w:val="24"/>
        </w:rPr>
      </w:pPr>
      <w:r>
        <w:rPr>
          <w:rFonts w:ascii="Times New Roman" w:eastAsia="宋体"/>
          <w:b/>
          <w:bCs/>
          <w:color w:val="000000" w:themeColor="text1"/>
          <w:sz w:val="24"/>
          <w:szCs w:val="24"/>
        </w:rPr>
        <w:t>表</w:t>
      </w:r>
      <w:r>
        <w:rPr>
          <w:rFonts w:ascii="Times New Roman" w:eastAsia="宋体"/>
          <w:b/>
          <w:bCs/>
          <w:color w:val="000000" w:themeColor="text1"/>
          <w:sz w:val="24"/>
          <w:szCs w:val="24"/>
        </w:rPr>
        <w:t xml:space="preserve">2.6-2  </w:t>
      </w:r>
      <w:r>
        <w:rPr>
          <w:rFonts w:ascii="Times New Roman" w:eastAsia="宋体"/>
          <w:b/>
          <w:bCs/>
          <w:color w:val="000000" w:themeColor="text1"/>
          <w:sz w:val="24"/>
          <w:szCs w:val="24"/>
        </w:rPr>
        <w:t>评价因子和评价标准表</w:t>
      </w:r>
    </w:p>
    <w:tbl>
      <w:tblPr>
        <w:tblStyle w:val="affa"/>
        <w:tblW w:w="8296" w:type="dxa"/>
        <w:jc w:val="center"/>
        <w:tblLayout w:type="fixed"/>
        <w:tblLook w:val="04A0" w:firstRow="1" w:lastRow="0" w:firstColumn="1" w:lastColumn="0" w:noHBand="0" w:noVBand="1"/>
      </w:tblPr>
      <w:tblGrid>
        <w:gridCol w:w="1129"/>
        <w:gridCol w:w="1418"/>
        <w:gridCol w:w="1843"/>
        <w:gridCol w:w="3906"/>
      </w:tblGrid>
      <w:tr w:rsidR="00C861DA">
        <w:trPr>
          <w:trHeight w:val="369"/>
          <w:jc w:val="center"/>
        </w:trPr>
        <w:tc>
          <w:tcPr>
            <w:tcW w:w="1129" w:type="dxa"/>
            <w:vAlign w:val="center"/>
          </w:tcPr>
          <w:p w:rsidR="00C861DA" w:rsidRDefault="0044752E">
            <w:pPr>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评价因子</w:t>
            </w:r>
          </w:p>
        </w:tc>
        <w:tc>
          <w:tcPr>
            <w:tcW w:w="1418" w:type="dxa"/>
            <w:vAlign w:val="center"/>
          </w:tcPr>
          <w:p w:rsidR="00C861DA" w:rsidRDefault="0044752E">
            <w:pPr>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平均时段</w:t>
            </w:r>
          </w:p>
        </w:tc>
        <w:tc>
          <w:tcPr>
            <w:tcW w:w="1843" w:type="dxa"/>
            <w:vAlign w:val="center"/>
          </w:tcPr>
          <w:p w:rsidR="00C861DA" w:rsidRDefault="0044752E">
            <w:pPr>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标准值（</w:t>
            </w:r>
            <w:r>
              <w:rPr>
                <w:rFonts w:ascii="Times New Roman" w:eastAsia="宋体" w:hAnsi="Times New Roman" w:cs="Times New Roman"/>
                <w:b/>
                <w:bCs/>
                <w:color w:val="000000" w:themeColor="text1"/>
                <w:kern w:val="0"/>
              </w:rPr>
              <w:t>ug/m</w:t>
            </w:r>
            <w:r>
              <w:rPr>
                <w:rFonts w:ascii="Times New Roman" w:eastAsia="宋体" w:hAnsi="Times New Roman" w:cs="Times New Roman"/>
                <w:b/>
                <w:bCs/>
                <w:color w:val="000000" w:themeColor="text1"/>
                <w:kern w:val="0"/>
                <w:vertAlign w:val="superscript"/>
              </w:rPr>
              <w:t>3</w:t>
            </w:r>
            <w:r>
              <w:rPr>
                <w:rFonts w:ascii="Times New Roman" w:eastAsia="宋体" w:hAnsi="Times New Roman" w:cs="Times New Roman"/>
                <w:b/>
                <w:bCs/>
                <w:color w:val="000000" w:themeColor="text1"/>
                <w:kern w:val="0"/>
              </w:rPr>
              <w:t>）</w:t>
            </w:r>
          </w:p>
        </w:tc>
        <w:tc>
          <w:tcPr>
            <w:tcW w:w="3906" w:type="dxa"/>
            <w:vAlign w:val="center"/>
          </w:tcPr>
          <w:p w:rsidR="00C861DA" w:rsidRDefault="0044752E">
            <w:pPr>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标准来源</w:t>
            </w:r>
          </w:p>
        </w:tc>
      </w:tr>
      <w:tr w:rsidR="00C861DA">
        <w:trPr>
          <w:trHeight w:val="369"/>
          <w:jc w:val="center"/>
        </w:trPr>
        <w:tc>
          <w:tcPr>
            <w:tcW w:w="1129" w:type="dxa"/>
            <w:vAlign w:val="center"/>
          </w:tcPr>
          <w:p w:rsidR="00C861DA" w:rsidRDefault="0044752E">
            <w:pPr>
              <w:jc w:val="center"/>
              <w:rPr>
                <w:rFonts w:ascii="Times New Roman" w:eastAsia="宋体" w:hAnsi="Times New Roman" w:cs="Times New Roman"/>
                <w:bCs/>
                <w:color w:val="000000" w:themeColor="text1"/>
                <w:kern w:val="0"/>
              </w:rPr>
            </w:pPr>
            <w:r>
              <w:rPr>
                <w:rFonts w:ascii="Times New Roman" w:eastAsia="宋体" w:hAnsi="Times New Roman" w:cs="Times New Roman"/>
                <w:bCs/>
                <w:color w:val="000000" w:themeColor="text1"/>
                <w:kern w:val="0"/>
              </w:rPr>
              <w:t>氨</w:t>
            </w:r>
          </w:p>
        </w:tc>
        <w:tc>
          <w:tcPr>
            <w:tcW w:w="1418" w:type="dxa"/>
            <w:vAlign w:val="center"/>
          </w:tcPr>
          <w:p w:rsidR="00C861DA" w:rsidRDefault="0044752E">
            <w:pPr>
              <w:jc w:val="center"/>
              <w:rPr>
                <w:rFonts w:ascii="Times New Roman" w:eastAsia="宋体" w:hAnsi="Times New Roman" w:cs="Times New Roman"/>
                <w:bCs/>
                <w:color w:val="000000" w:themeColor="text1"/>
                <w:kern w:val="0"/>
              </w:rPr>
            </w:pPr>
            <w:r>
              <w:rPr>
                <w:rFonts w:ascii="Times New Roman" w:eastAsia="宋体" w:hAnsi="Times New Roman" w:cs="Times New Roman"/>
                <w:bCs/>
                <w:color w:val="000000" w:themeColor="text1"/>
                <w:kern w:val="0"/>
              </w:rPr>
              <w:t>小时值</w:t>
            </w:r>
          </w:p>
        </w:tc>
        <w:tc>
          <w:tcPr>
            <w:tcW w:w="1843" w:type="dxa"/>
            <w:vAlign w:val="center"/>
          </w:tcPr>
          <w:p w:rsidR="00C861DA" w:rsidRDefault="0044752E">
            <w:pPr>
              <w:jc w:val="center"/>
              <w:rPr>
                <w:rFonts w:ascii="Times New Roman" w:eastAsia="宋体" w:hAnsi="Times New Roman" w:cs="Times New Roman"/>
                <w:bCs/>
                <w:color w:val="000000" w:themeColor="text1"/>
                <w:kern w:val="0"/>
              </w:rPr>
            </w:pPr>
            <w:r>
              <w:rPr>
                <w:rFonts w:ascii="Times New Roman" w:eastAsia="宋体" w:hAnsi="Times New Roman" w:cs="Times New Roman"/>
                <w:bCs/>
                <w:color w:val="000000" w:themeColor="text1"/>
                <w:kern w:val="0"/>
              </w:rPr>
              <w:t>200</w:t>
            </w:r>
          </w:p>
        </w:tc>
        <w:tc>
          <w:tcPr>
            <w:tcW w:w="3906" w:type="dxa"/>
            <w:vAlign w:val="center"/>
          </w:tcPr>
          <w:p w:rsidR="00C861DA" w:rsidRDefault="0044752E">
            <w:pPr>
              <w:jc w:val="center"/>
              <w:rPr>
                <w:rFonts w:ascii="Times New Roman" w:eastAsia="宋体" w:hAnsi="Times New Roman" w:cs="Times New Roman"/>
                <w:bCs/>
                <w:color w:val="000000" w:themeColor="text1"/>
                <w:kern w:val="0"/>
              </w:rPr>
            </w:pPr>
            <w:r>
              <w:rPr>
                <w:rFonts w:ascii="Times New Roman" w:eastAsia="宋体" w:hAnsi="Times New Roman" w:cs="Times New Roman"/>
                <w:color w:val="000000" w:themeColor="text1"/>
                <w:kern w:val="0"/>
              </w:rPr>
              <w:t>HJ2.2-2018</w:t>
            </w:r>
            <w:r>
              <w:rPr>
                <w:rFonts w:ascii="Times New Roman" w:eastAsia="宋体" w:hAnsi="Times New Roman" w:cs="Times New Roman"/>
                <w:color w:val="000000" w:themeColor="text1"/>
                <w:kern w:val="0"/>
              </w:rPr>
              <w:t>环境影响评价技术导则</w:t>
            </w:r>
            <w:r>
              <w:rPr>
                <w:rFonts w:ascii="Times New Roman" w:eastAsia="宋体" w:hAnsi="Times New Roman" w:cs="Times New Roman"/>
                <w:color w:val="000000" w:themeColor="text1"/>
                <w:kern w:val="0"/>
              </w:rPr>
              <w:t xml:space="preserve"> </w:t>
            </w:r>
            <w:r>
              <w:rPr>
                <w:rFonts w:ascii="Times New Roman" w:eastAsia="宋体" w:hAnsi="Times New Roman" w:cs="Times New Roman"/>
                <w:color w:val="000000" w:themeColor="text1"/>
                <w:kern w:val="0"/>
              </w:rPr>
              <w:t>大气环境》中附录</w:t>
            </w:r>
            <w:r>
              <w:rPr>
                <w:rFonts w:ascii="Times New Roman" w:eastAsia="宋体" w:hAnsi="Times New Roman" w:cs="Times New Roman"/>
                <w:color w:val="000000" w:themeColor="text1"/>
                <w:kern w:val="0"/>
              </w:rPr>
              <w:t>D</w:t>
            </w:r>
            <w:r>
              <w:rPr>
                <w:rFonts w:ascii="Times New Roman" w:eastAsia="宋体" w:hAnsi="Times New Roman" w:cs="Times New Roman"/>
                <w:color w:val="000000" w:themeColor="text1"/>
                <w:kern w:val="0"/>
              </w:rPr>
              <w:t>表</w:t>
            </w:r>
            <w:r>
              <w:rPr>
                <w:rFonts w:ascii="Times New Roman" w:eastAsia="宋体" w:hAnsi="Times New Roman" w:cs="Times New Roman"/>
                <w:color w:val="000000" w:themeColor="text1"/>
                <w:kern w:val="0"/>
              </w:rPr>
              <w:t>D.1</w:t>
            </w:r>
            <w:r>
              <w:rPr>
                <w:rFonts w:ascii="Times New Roman" w:eastAsia="宋体" w:hAnsi="Times New Roman" w:cs="Times New Roman"/>
                <w:color w:val="000000" w:themeColor="text1"/>
                <w:kern w:val="0"/>
              </w:rPr>
              <w:t>其他污染物空气质量浓度参考限值</w:t>
            </w:r>
          </w:p>
        </w:tc>
      </w:tr>
      <w:tr w:rsidR="00C861DA">
        <w:trPr>
          <w:trHeight w:val="369"/>
          <w:jc w:val="center"/>
        </w:trPr>
        <w:tc>
          <w:tcPr>
            <w:tcW w:w="1129" w:type="dxa"/>
            <w:vAlign w:val="center"/>
          </w:tcPr>
          <w:p w:rsidR="00C861DA" w:rsidRDefault="0044752E">
            <w:pPr>
              <w:jc w:val="center"/>
              <w:rPr>
                <w:rFonts w:ascii="Times New Roman" w:eastAsia="宋体" w:hAnsi="Times New Roman" w:cs="Times New Roman"/>
                <w:bCs/>
                <w:color w:val="000000" w:themeColor="text1"/>
                <w:kern w:val="0"/>
                <w:sz w:val="20"/>
                <w:szCs w:val="20"/>
              </w:rPr>
            </w:pPr>
            <w:r>
              <w:rPr>
                <w:rFonts w:ascii="Times New Roman" w:eastAsia="宋体" w:hAnsi="Times New Roman" w:cs="Times New Roman" w:hint="eastAsia"/>
                <w:bCs/>
                <w:color w:val="000000" w:themeColor="text1"/>
                <w:kern w:val="0"/>
                <w:sz w:val="20"/>
                <w:szCs w:val="20"/>
              </w:rPr>
              <w:t>NO</w:t>
            </w:r>
            <w:r>
              <w:rPr>
                <w:rFonts w:ascii="Times New Roman" w:eastAsia="宋体" w:hAnsi="Times New Roman" w:cs="Times New Roman" w:hint="eastAsia"/>
                <w:bCs/>
                <w:color w:val="000000" w:themeColor="text1"/>
                <w:kern w:val="0"/>
                <w:sz w:val="20"/>
                <w:szCs w:val="20"/>
                <w:vertAlign w:val="subscript"/>
              </w:rPr>
              <w:t>X</w:t>
            </w:r>
          </w:p>
        </w:tc>
        <w:tc>
          <w:tcPr>
            <w:tcW w:w="1418" w:type="dxa"/>
            <w:vAlign w:val="center"/>
          </w:tcPr>
          <w:p w:rsidR="00C861DA" w:rsidRDefault="0044752E">
            <w:pPr>
              <w:jc w:val="center"/>
              <w:rPr>
                <w:rFonts w:ascii="Times New Roman" w:eastAsia="宋体" w:hAnsi="Times New Roman" w:cs="Times New Roman"/>
                <w:bCs/>
                <w:color w:val="000000" w:themeColor="text1"/>
                <w:kern w:val="0"/>
                <w:sz w:val="20"/>
                <w:szCs w:val="20"/>
              </w:rPr>
            </w:pPr>
            <w:r>
              <w:rPr>
                <w:rFonts w:ascii="Times New Roman" w:eastAsia="宋体" w:hAnsi="Times New Roman" w:cs="Times New Roman" w:hint="eastAsia"/>
                <w:bCs/>
                <w:color w:val="000000" w:themeColor="text1"/>
                <w:kern w:val="0"/>
                <w:sz w:val="20"/>
                <w:szCs w:val="20"/>
              </w:rPr>
              <w:t>小时值</w:t>
            </w:r>
          </w:p>
        </w:tc>
        <w:tc>
          <w:tcPr>
            <w:tcW w:w="1843" w:type="dxa"/>
            <w:vAlign w:val="center"/>
          </w:tcPr>
          <w:p w:rsidR="00C861DA" w:rsidRDefault="0044752E">
            <w:pPr>
              <w:jc w:val="center"/>
              <w:rPr>
                <w:rFonts w:ascii="Times New Roman" w:eastAsia="宋体" w:hAnsi="Times New Roman" w:cs="Times New Roman"/>
                <w:bCs/>
                <w:color w:val="000000" w:themeColor="text1"/>
                <w:kern w:val="0"/>
                <w:sz w:val="20"/>
                <w:szCs w:val="20"/>
              </w:rPr>
            </w:pPr>
            <w:r>
              <w:rPr>
                <w:rFonts w:ascii="Times New Roman" w:eastAsia="宋体" w:hAnsi="Times New Roman" w:cs="Times New Roman" w:hint="eastAsia"/>
                <w:bCs/>
                <w:color w:val="000000" w:themeColor="text1"/>
                <w:kern w:val="0"/>
                <w:sz w:val="20"/>
                <w:szCs w:val="20"/>
              </w:rPr>
              <w:t>2</w:t>
            </w:r>
            <w:r>
              <w:rPr>
                <w:rFonts w:ascii="Times New Roman" w:eastAsia="宋体" w:hAnsi="Times New Roman" w:cs="Times New Roman"/>
                <w:bCs/>
                <w:color w:val="000000" w:themeColor="text1"/>
                <w:kern w:val="0"/>
                <w:sz w:val="20"/>
                <w:szCs w:val="20"/>
              </w:rPr>
              <w:t>50</w:t>
            </w:r>
          </w:p>
        </w:tc>
        <w:tc>
          <w:tcPr>
            <w:tcW w:w="3906" w:type="dxa"/>
            <w:vMerge w:val="restart"/>
            <w:vAlign w:val="center"/>
          </w:tcPr>
          <w:p w:rsidR="00C861DA" w:rsidRDefault="0044752E">
            <w:pPr>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GB</w:t>
            </w:r>
            <w:r>
              <w:rPr>
                <w:rFonts w:ascii="Times New Roman" w:eastAsia="宋体" w:hAnsi="Times New Roman" w:cs="Times New Roman"/>
                <w:color w:val="000000" w:themeColor="text1"/>
                <w:kern w:val="0"/>
                <w:sz w:val="20"/>
                <w:szCs w:val="20"/>
              </w:rPr>
              <w:t>3095-2012</w:t>
            </w:r>
            <w:r>
              <w:rPr>
                <w:rFonts w:ascii="Times New Roman" w:eastAsia="宋体" w:hAnsi="Times New Roman" w:cs="Times New Roman" w:hint="eastAsia"/>
                <w:color w:val="000000" w:themeColor="text1"/>
                <w:kern w:val="0"/>
                <w:sz w:val="20"/>
                <w:szCs w:val="20"/>
              </w:rPr>
              <w:t>《环境空气质量标准》表</w:t>
            </w:r>
            <w:r>
              <w:rPr>
                <w:rFonts w:ascii="Times New Roman" w:eastAsia="宋体" w:hAnsi="Times New Roman" w:cs="Times New Roman" w:hint="eastAsia"/>
                <w:color w:val="000000" w:themeColor="text1"/>
                <w:kern w:val="0"/>
                <w:sz w:val="20"/>
                <w:szCs w:val="20"/>
              </w:rPr>
              <w:t>1</w:t>
            </w:r>
            <w:r>
              <w:rPr>
                <w:rFonts w:ascii="Times New Roman" w:eastAsia="宋体" w:hAnsi="Times New Roman" w:cs="Times New Roman" w:hint="eastAsia"/>
                <w:color w:val="000000" w:themeColor="text1"/>
                <w:kern w:val="0"/>
                <w:sz w:val="20"/>
                <w:szCs w:val="20"/>
              </w:rPr>
              <w:t>中浓度限值</w:t>
            </w:r>
          </w:p>
        </w:tc>
      </w:tr>
      <w:tr w:rsidR="00C861DA">
        <w:trPr>
          <w:trHeight w:val="369"/>
          <w:jc w:val="center"/>
        </w:trPr>
        <w:tc>
          <w:tcPr>
            <w:tcW w:w="1129" w:type="dxa"/>
            <w:vAlign w:val="center"/>
          </w:tcPr>
          <w:p w:rsidR="00C861DA" w:rsidRDefault="0044752E">
            <w:pPr>
              <w:jc w:val="center"/>
              <w:rPr>
                <w:rFonts w:ascii="Times New Roman" w:eastAsia="宋体" w:hAnsi="Times New Roman" w:cs="Times New Roman"/>
                <w:bCs/>
                <w:color w:val="000000" w:themeColor="text1"/>
                <w:kern w:val="0"/>
                <w:sz w:val="20"/>
                <w:szCs w:val="20"/>
              </w:rPr>
            </w:pPr>
            <w:r>
              <w:rPr>
                <w:rFonts w:ascii="Times New Roman" w:eastAsia="宋体" w:hAnsi="Times New Roman" w:cs="Times New Roman" w:hint="eastAsia"/>
                <w:bCs/>
                <w:color w:val="000000" w:themeColor="text1"/>
                <w:kern w:val="0"/>
                <w:sz w:val="20"/>
                <w:szCs w:val="20"/>
              </w:rPr>
              <w:t>颗粒物</w:t>
            </w:r>
          </w:p>
        </w:tc>
        <w:tc>
          <w:tcPr>
            <w:tcW w:w="1418" w:type="dxa"/>
            <w:vAlign w:val="center"/>
          </w:tcPr>
          <w:p w:rsidR="00C861DA" w:rsidRDefault="0044752E">
            <w:pPr>
              <w:jc w:val="center"/>
              <w:rPr>
                <w:rFonts w:ascii="Times New Roman" w:eastAsia="宋体" w:hAnsi="Times New Roman" w:cs="Times New Roman"/>
                <w:bCs/>
                <w:color w:val="000000" w:themeColor="text1"/>
                <w:kern w:val="0"/>
                <w:sz w:val="20"/>
                <w:szCs w:val="20"/>
              </w:rPr>
            </w:pPr>
            <w:r>
              <w:rPr>
                <w:rFonts w:ascii="Times New Roman" w:eastAsia="宋体" w:hAnsi="Times New Roman" w:cs="Times New Roman" w:hint="eastAsia"/>
                <w:bCs/>
                <w:color w:val="000000" w:themeColor="text1"/>
                <w:kern w:val="0"/>
                <w:sz w:val="20"/>
                <w:szCs w:val="20"/>
              </w:rPr>
              <w:t>小时值（折算）</w:t>
            </w:r>
          </w:p>
        </w:tc>
        <w:tc>
          <w:tcPr>
            <w:tcW w:w="1843" w:type="dxa"/>
            <w:vAlign w:val="center"/>
          </w:tcPr>
          <w:p w:rsidR="00C861DA" w:rsidRDefault="0044752E">
            <w:pPr>
              <w:jc w:val="center"/>
              <w:rPr>
                <w:rFonts w:ascii="Times New Roman" w:eastAsia="宋体" w:hAnsi="Times New Roman" w:cs="Times New Roman"/>
                <w:bCs/>
                <w:color w:val="000000" w:themeColor="text1"/>
                <w:kern w:val="0"/>
                <w:sz w:val="20"/>
                <w:szCs w:val="20"/>
              </w:rPr>
            </w:pPr>
            <w:r>
              <w:rPr>
                <w:rFonts w:ascii="Times New Roman" w:eastAsia="宋体" w:hAnsi="Times New Roman" w:cs="Times New Roman" w:hint="eastAsia"/>
                <w:bCs/>
                <w:color w:val="000000" w:themeColor="text1"/>
                <w:kern w:val="0"/>
                <w:sz w:val="20"/>
                <w:szCs w:val="20"/>
              </w:rPr>
              <w:t>4</w:t>
            </w:r>
            <w:r>
              <w:rPr>
                <w:rFonts w:ascii="Times New Roman" w:eastAsia="宋体" w:hAnsi="Times New Roman" w:cs="Times New Roman"/>
                <w:bCs/>
                <w:color w:val="000000" w:themeColor="text1"/>
                <w:kern w:val="0"/>
                <w:sz w:val="20"/>
                <w:szCs w:val="20"/>
              </w:rPr>
              <w:t>50</w:t>
            </w:r>
          </w:p>
        </w:tc>
        <w:tc>
          <w:tcPr>
            <w:tcW w:w="3906" w:type="dxa"/>
            <w:vMerge/>
            <w:vAlign w:val="center"/>
          </w:tcPr>
          <w:p w:rsidR="00C861DA" w:rsidRDefault="00C861DA">
            <w:pPr>
              <w:jc w:val="center"/>
              <w:rPr>
                <w:rFonts w:ascii="Times New Roman" w:eastAsia="宋体" w:hAnsi="Times New Roman" w:cs="Times New Roman"/>
                <w:color w:val="000000" w:themeColor="text1"/>
                <w:kern w:val="0"/>
                <w:sz w:val="20"/>
                <w:szCs w:val="20"/>
              </w:rPr>
            </w:pPr>
          </w:p>
        </w:tc>
      </w:tr>
    </w:tbl>
    <w:p w:rsidR="00C861DA" w:rsidRDefault="0044752E">
      <w:pPr>
        <w:spacing w:beforeLines="50" w:before="156" w:line="360" w:lineRule="auto"/>
        <w:ind w:firstLineChars="200" w:firstLine="480"/>
        <w:rPr>
          <w:rFonts w:ascii="Times New Roman" w:eastAsia="宋体"/>
          <w:color w:val="000000" w:themeColor="text1"/>
          <w:sz w:val="24"/>
        </w:rPr>
      </w:pPr>
      <w:r>
        <w:rPr>
          <w:rFonts w:ascii="Times New Roman" w:eastAsia="宋体"/>
          <w:color w:val="000000" w:themeColor="text1"/>
          <w:sz w:val="24"/>
        </w:rPr>
        <w:t>本次环评采用</w:t>
      </w:r>
      <w:r>
        <w:rPr>
          <w:rFonts w:ascii="Times New Roman" w:eastAsia="宋体"/>
          <w:color w:val="000000" w:themeColor="text1"/>
          <w:sz w:val="24"/>
        </w:rPr>
        <w:t>HJ2.2</w:t>
      </w:r>
      <w:r>
        <w:rPr>
          <w:rFonts w:ascii="Times New Roman" w:eastAsia="宋体"/>
          <w:color w:val="000000" w:themeColor="text1"/>
          <w:sz w:val="24"/>
        </w:rPr>
        <w:t>－</w:t>
      </w:r>
      <w:r>
        <w:rPr>
          <w:rFonts w:ascii="Times New Roman" w:eastAsia="宋体"/>
          <w:color w:val="000000" w:themeColor="text1"/>
          <w:sz w:val="24"/>
        </w:rPr>
        <w:t>2018</w:t>
      </w:r>
      <w:r>
        <w:rPr>
          <w:rFonts w:ascii="Times New Roman" w:eastAsia="宋体"/>
          <w:color w:val="000000" w:themeColor="text1"/>
          <w:sz w:val="24"/>
        </w:rPr>
        <w:t>推荐的</w:t>
      </w:r>
      <w:r>
        <w:rPr>
          <w:rFonts w:ascii="Times New Roman" w:eastAsia="宋体"/>
          <w:color w:val="000000" w:themeColor="text1"/>
          <w:sz w:val="24"/>
        </w:rPr>
        <w:t>AERSCREEN</w:t>
      </w:r>
      <w:r>
        <w:rPr>
          <w:rFonts w:ascii="Times New Roman" w:eastAsia="宋体"/>
          <w:color w:val="000000" w:themeColor="text1"/>
          <w:sz w:val="24"/>
        </w:rPr>
        <w:t>模式对下风向的轴线氨浓度进行计算，并计算相应浓度的占标率，估算模型参数表见表</w:t>
      </w:r>
      <w:r>
        <w:rPr>
          <w:rFonts w:ascii="Times New Roman" w:eastAsia="宋体"/>
          <w:color w:val="000000" w:themeColor="text1"/>
          <w:sz w:val="24"/>
        </w:rPr>
        <w:t>2.5-3</w:t>
      </w:r>
      <w:r>
        <w:rPr>
          <w:rFonts w:ascii="Times New Roman" w:eastAsia="宋体"/>
          <w:color w:val="000000" w:themeColor="text1"/>
          <w:sz w:val="24"/>
        </w:rPr>
        <w:t>和图</w:t>
      </w:r>
      <w:r>
        <w:rPr>
          <w:rFonts w:ascii="Times New Roman" w:eastAsia="宋体"/>
          <w:color w:val="000000" w:themeColor="text1"/>
          <w:sz w:val="24"/>
        </w:rPr>
        <w:t>2.5-1</w:t>
      </w:r>
      <w:r>
        <w:rPr>
          <w:rFonts w:ascii="Times New Roman" w:eastAsia="宋体"/>
          <w:color w:val="000000" w:themeColor="text1"/>
          <w:sz w:val="24"/>
        </w:rPr>
        <w:t>、</w:t>
      </w:r>
      <w:r>
        <w:rPr>
          <w:rFonts w:ascii="Times New Roman" w:eastAsia="宋体"/>
          <w:color w:val="000000" w:themeColor="text1"/>
          <w:sz w:val="24"/>
        </w:rPr>
        <w:t>2.5-2</w:t>
      </w:r>
      <w:r>
        <w:rPr>
          <w:rFonts w:ascii="Times New Roman" w:eastAsia="宋体"/>
          <w:color w:val="000000" w:themeColor="text1"/>
          <w:sz w:val="24"/>
        </w:rPr>
        <w:t>，结果见表</w:t>
      </w:r>
      <w:r>
        <w:rPr>
          <w:rFonts w:ascii="Times New Roman" w:eastAsia="宋体"/>
          <w:color w:val="000000" w:themeColor="text1"/>
          <w:sz w:val="24"/>
        </w:rPr>
        <w:t>2.5-4</w:t>
      </w:r>
      <w:r>
        <w:rPr>
          <w:rFonts w:ascii="Times New Roman" w:eastAsia="宋体"/>
          <w:color w:val="000000" w:themeColor="text1"/>
          <w:sz w:val="24"/>
        </w:rPr>
        <w:t>。</w:t>
      </w:r>
    </w:p>
    <w:p w:rsidR="00C861DA" w:rsidRDefault="0044752E">
      <w:pPr>
        <w:jc w:val="center"/>
        <w:rPr>
          <w:rFonts w:ascii="Times New Roman" w:eastAsia="宋体"/>
          <w:b/>
          <w:color w:val="000000" w:themeColor="text1"/>
          <w:sz w:val="24"/>
        </w:rPr>
      </w:pPr>
      <w:r>
        <w:rPr>
          <w:rFonts w:ascii="Times New Roman" w:eastAsia="宋体"/>
          <w:b/>
          <w:color w:val="000000" w:themeColor="text1"/>
          <w:sz w:val="24"/>
        </w:rPr>
        <w:t>表</w:t>
      </w:r>
      <w:r>
        <w:rPr>
          <w:rFonts w:ascii="Times New Roman" w:eastAsia="宋体"/>
          <w:b/>
          <w:color w:val="000000" w:themeColor="text1"/>
          <w:sz w:val="24"/>
        </w:rPr>
        <w:t xml:space="preserve">2.6-3  </w:t>
      </w:r>
      <w:r>
        <w:rPr>
          <w:rFonts w:ascii="Times New Roman" w:eastAsia="宋体"/>
          <w:b/>
          <w:color w:val="000000" w:themeColor="text1"/>
          <w:sz w:val="24"/>
        </w:rPr>
        <w:t>估算模型参数表</w:t>
      </w:r>
    </w:p>
    <w:tbl>
      <w:tblPr>
        <w:tblStyle w:val="affa"/>
        <w:tblW w:w="8296" w:type="dxa"/>
        <w:jc w:val="center"/>
        <w:tblLayout w:type="fixed"/>
        <w:tblLook w:val="04A0" w:firstRow="1" w:lastRow="0" w:firstColumn="1" w:lastColumn="0" w:noHBand="0" w:noVBand="1"/>
      </w:tblPr>
      <w:tblGrid>
        <w:gridCol w:w="2263"/>
        <w:gridCol w:w="3267"/>
        <w:gridCol w:w="2766"/>
      </w:tblGrid>
      <w:tr w:rsidR="00C861DA">
        <w:trPr>
          <w:trHeight w:val="369"/>
          <w:jc w:val="center"/>
        </w:trPr>
        <w:tc>
          <w:tcPr>
            <w:tcW w:w="5530" w:type="dxa"/>
            <w:gridSpan w:val="2"/>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参数</w:t>
            </w:r>
          </w:p>
        </w:tc>
        <w:tc>
          <w:tcPr>
            <w:tcW w:w="2766"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取值</w:t>
            </w:r>
          </w:p>
        </w:tc>
      </w:tr>
      <w:tr w:rsidR="00C861DA">
        <w:trPr>
          <w:trHeight w:val="369"/>
          <w:jc w:val="center"/>
        </w:trPr>
        <w:tc>
          <w:tcPr>
            <w:tcW w:w="2263" w:type="dxa"/>
            <w:vMerge w:val="restart"/>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城市</w:t>
            </w:r>
            <w:r>
              <w:rPr>
                <w:rFonts w:ascii="Times New Roman" w:eastAsia="宋体" w:hAnsi="Times New Roman" w:cs="Times New Roman"/>
                <w:color w:val="000000" w:themeColor="text1"/>
                <w:kern w:val="0"/>
                <w:szCs w:val="20"/>
              </w:rPr>
              <w:t>/</w:t>
            </w:r>
            <w:r>
              <w:rPr>
                <w:rFonts w:ascii="Times New Roman" w:eastAsia="宋体" w:hAnsi="Times New Roman" w:cs="Times New Roman"/>
                <w:color w:val="000000" w:themeColor="text1"/>
                <w:kern w:val="0"/>
                <w:szCs w:val="20"/>
              </w:rPr>
              <w:t>农村选项</w:t>
            </w:r>
          </w:p>
        </w:tc>
        <w:tc>
          <w:tcPr>
            <w:tcW w:w="3267"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城市</w:t>
            </w:r>
            <w:r>
              <w:rPr>
                <w:rFonts w:ascii="Times New Roman" w:eastAsia="宋体" w:hAnsi="Times New Roman" w:cs="Times New Roman"/>
                <w:color w:val="000000" w:themeColor="text1"/>
                <w:kern w:val="0"/>
                <w:szCs w:val="20"/>
              </w:rPr>
              <w:t>/</w:t>
            </w:r>
            <w:r>
              <w:rPr>
                <w:rFonts w:ascii="Times New Roman" w:eastAsia="宋体" w:hAnsi="Times New Roman" w:cs="Times New Roman"/>
                <w:color w:val="000000" w:themeColor="text1"/>
                <w:kern w:val="0"/>
                <w:szCs w:val="20"/>
              </w:rPr>
              <w:t>农村</w:t>
            </w:r>
          </w:p>
        </w:tc>
        <w:tc>
          <w:tcPr>
            <w:tcW w:w="2766"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农村</w:t>
            </w:r>
          </w:p>
        </w:tc>
      </w:tr>
      <w:tr w:rsidR="00C861DA">
        <w:trPr>
          <w:trHeight w:val="369"/>
          <w:jc w:val="center"/>
        </w:trPr>
        <w:tc>
          <w:tcPr>
            <w:tcW w:w="2263" w:type="dxa"/>
            <w:vMerge/>
            <w:vAlign w:val="center"/>
          </w:tcPr>
          <w:p w:rsidR="00C861DA" w:rsidRDefault="00C861DA">
            <w:pPr>
              <w:jc w:val="center"/>
              <w:rPr>
                <w:rFonts w:ascii="Times New Roman" w:eastAsia="宋体" w:hAnsi="Times New Roman" w:cs="Times New Roman"/>
                <w:color w:val="000000" w:themeColor="text1"/>
                <w:kern w:val="0"/>
                <w:szCs w:val="20"/>
              </w:rPr>
            </w:pPr>
          </w:p>
        </w:tc>
        <w:tc>
          <w:tcPr>
            <w:tcW w:w="3267"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人口数（城市选项时）</w:t>
            </w:r>
          </w:p>
        </w:tc>
        <w:tc>
          <w:tcPr>
            <w:tcW w:w="2766"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w:t>
            </w:r>
          </w:p>
        </w:tc>
      </w:tr>
      <w:tr w:rsidR="00C861DA">
        <w:trPr>
          <w:trHeight w:val="369"/>
          <w:jc w:val="center"/>
        </w:trPr>
        <w:tc>
          <w:tcPr>
            <w:tcW w:w="5530" w:type="dxa"/>
            <w:gridSpan w:val="2"/>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最高环境温度</w:t>
            </w:r>
            <w:r>
              <w:rPr>
                <w:rFonts w:ascii="Times New Roman" w:eastAsia="宋体" w:hAnsi="Times New Roman" w:cs="Times New Roman"/>
                <w:color w:val="000000" w:themeColor="text1"/>
                <w:kern w:val="0"/>
                <w:szCs w:val="20"/>
              </w:rPr>
              <w:t>/</w:t>
            </w:r>
            <w:r>
              <w:rPr>
                <w:rFonts w:ascii="Times New Roman" w:eastAsia="宋体" w:hAnsi="Times New Roman" w:cs="Times New Roman"/>
                <w:color w:val="000000" w:themeColor="text1"/>
                <w:kern w:val="0"/>
                <w:szCs w:val="20"/>
                <w:lang w:eastAsia="ja-JP"/>
              </w:rPr>
              <w:t>℃</w:t>
            </w:r>
          </w:p>
        </w:tc>
        <w:tc>
          <w:tcPr>
            <w:tcW w:w="2766"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35</w:t>
            </w:r>
          </w:p>
        </w:tc>
      </w:tr>
      <w:tr w:rsidR="00C861DA">
        <w:trPr>
          <w:trHeight w:val="369"/>
          <w:jc w:val="center"/>
        </w:trPr>
        <w:tc>
          <w:tcPr>
            <w:tcW w:w="5530" w:type="dxa"/>
            <w:gridSpan w:val="2"/>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最低环境温度</w:t>
            </w:r>
            <w:r>
              <w:rPr>
                <w:rFonts w:ascii="Times New Roman" w:eastAsia="宋体" w:hAnsi="Times New Roman" w:cs="Times New Roman"/>
                <w:color w:val="000000" w:themeColor="text1"/>
                <w:kern w:val="0"/>
                <w:szCs w:val="20"/>
              </w:rPr>
              <w:t>/℃</w:t>
            </w:r>
          </w:p>
        </w:tc>
        <w:tc>
          <w:tcPr>
            <w:tcW w:w="2766"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5</w:t>
            </w:r>
          </w:p>
        </w:tc>
      </w:tr>
      <w:tr w:rsidR="00C861DA">
        <w:trPr>
          <w:trHeight w:val="369"/>
          <w:jc w:val="center"/>
        </w:trPr>
        <w:tc>
          <w:tcPr>
            <w:tcW w:w="5530" w:type="dxa"/>
            <w:gridSpan w:val="2"/>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土地利用类型</w:t>
            </w:r>
          </w:p>
        </w:tc>
        <w:tc>
          <w:tcPr>
            <w:tcW w:w="2766"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草地</w:t>
            </w:r>
          </w:p>
        </w:tc>
      </w:tr>
      <w:tr w:rsidR="00C861DA">
        <w:trPr>
          <w:trHeight w:val="369"/>
          <w:jc w:val="center"/>
        </w:trPr>
        <w:tc>
          <w:tcPr>
            <w:tcW w:w="5530" w:type="dxa"/>
            <w:gridSpan w:val="2"/>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区域湿度条件</w:t>
            </w:r>
          </w:p>
        </w:tc>
        <w:tc>
          <w:tcPr>
            <w:tcW w:w="2766"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中等湿度</w:t>
            </w:r>
          </w:p>
        </w:tc>
      </w:tr>
      <w:tr w:rsidR="00C861DA">
        <w:trPr>
          <w:trHeight w:val="369"/>
          <w:jc w:val="center"/>
        </w:trPr>
        <w:tc>
          <w:tcPr>
            <w:tcW w:w="2263" w:type="dxa"/>
            <w:vMerge w:val="restart"/>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是否考虑地形</w:t>
            </w:r>
          </w:p>
        </w:tc>
        <w:tc>
          <w:tcPr>
            <w:tcW w:w="3267"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考虑地形</w:t>
            </w:r>
          </w:p>
        </w:tc>
        <w:tc>
          <w:tcPr>
            <w:tcW w:w="2766" w:type="dxa"/>
            <w:vAlign w:val="center"/>
          </w:tcPr>
          <w:p w:rsidR="00C861DA" w:rsidRDefault="0044752E">
            <w:pPr>
              <w:jc w:val="center"/>
              <w:rPr>
                <w:rFonts w:ascii="Wingdings 2" w:eastAsia="宋体" w:hAnsi="Wingdings 2" w:cs="Times New Roman"/>
                <w:color w:val="000000" w:themeColor="text1"/>
                <w:kern w:val="0"/>
                <w:szCs w:val="20"/>
              </w:rPr>
            </w:pPr>
            <w:r>
              <w:rPr>
                <w:rFonts w:ascii="Times New Roman" w:eastAsia="宋体" w:hAnsi="Times New Roman" w:cs="Times New Roman"/>
                <w:color w:val="000000" w:themeColor="text1"/>
                <w:kern w:val="0"/>
                <w:szCs w:val="20"/>
              </w:rPr>
              <w:t></w:t>
            </w:r>
            <w:r>
              <w:rPr>
                <w:rFonts w:ascii="Times New Roman" w:eastAsia="宋体" w:hAnsi="Times New Roman" w:cs="Times New Roman"/>
                <w:color w:val="000000" w:themeColor="text1"/>
                <w:kern w:val="0"/>
                <w:szCs w:val="20"/>
              </w:rPr>
              <w:t>是</w:t>
            </w:r>
            <w:r>
              <w:rPr>
                <w:rFonts w:ascii="Wingdings 2" w:eastAsia="宋体" w:hAnsi="Wingdings 2" w:cs="Times New Roman"/>
                <w:color w:val="000000" w:themeColor="text1"/>
                <w:kern w:val="0"/>
                <w:szCs w:val="20"/>
              </w:rPr>
              <w:t></w:t>
            </w:r>
            <w:r>
              <w:rPr>
                <w:rFonts w:ascii="Wingdings 2" w:eastAsia="宋体" w:hAnsi="Wingdings 2" w:cs="Times New Roman"/>
                <w:color w:val="000000" w:themeColor="text1"/>
                <w:kern w:val="0"/>
                <w:szCs w:val="20"/>
              </w:rPr>
              <w:t></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color w:val="000000" w:themeColor="text1"/>
                <w:kern w:val="0"/>
                <w:szCs w:val="20"/>
              </w:rPr>
              <w:t></w:t>
            </w:r>
            <w:r>
              <w:rPr>
                <w:rFonts w:ascii="Times New Roman" w:eastAsia="宋体" w:hAnsi="Times New Roman" w:cs="Times New Roman"/>
                <w:color w:val="000000" w:themeColor="text1"/>
                <w:kern w:val="0"/>
                <w:szCs w:val="20"/>
              </w:rPr>
              <w:t>否</w:t>
            </w:r>
            <w:r>
              <w:rPr>
                <w:rFonts w:ascii="Wingdings 2" w:eastAsia="宋体" w:hAnsi="Wingdings 2" w:cs="Times New Roman"/>
                <w:color w:val="000000" w:themeColor="text1"/>
                <w:kern w:val="0"/>
                <w:szCs w:val="20"/>
              </w:rPr>
              <w:t></w:t>
            </w:r>
          </w:p>
        </w:tc>
      </w:tr>
      <w:tr w:rsidR="00C861DA">
        <w:trPr>
          <w:trHeight w:val="369"/>
          <w:jc w:val="center"/>
        </w:trPr>
        <w:tc>
          <w:tcPr>
            <w:tcW w:w="2263" w:type="dxa"/>
            <w:vMerge/>
            <w:vAlign w:val="center"/>
          </w:tcPr>
          <w:p w:rsidR="00C861DA" w:rsidRDefault="00C861DA">
            <w:pPr>
              <w:jc w:val="center"/>
              <w:rPr>
                <w:rFonts w:ascii="Times New Roman" w:eastAsia="宋体" w:hAnsi="Times New Roman" w:cs="Times New Roman"/>
                <w:color w:val="000000" w:themeColor="text1"/>
                <w:kern w:val="0"/>
                <w:szCs w:val="20"/>
              </w:rPr>
            </w:pPr>
          </w:p>
        </w:tc>
        <w:tc>
          <w:tcPr>
            <w:tcW w:w="3267"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地形数据分辨率</w:t>
            </w:r>
            <w:r>
              <w:rPr>
                <w:rFonts w:ascii="Times New Roman" w:eastAsia="宋体" w:hAnsi="Times New Roman" w:cs="Times New Roman"/>
                <w:color w:val="000000" w:themeColor="text1"/>
                <w:kern w:val="0"/>
                <w:szCs w:val="20"/>
              </w:rPr>
              <w:t>/m</w:t>
            </w:r>
          </w:p>
        </w:tc>
        <w:tc>
          <w:tcPr>
            <w:tcW w:w="2766"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90</w:t>
            </w:r>
          </w:p>
        </w:tc>
      </w:tr>
      <w:tr w:rsidR="00C861DA">
        <w:trPr>
          <w:trHeight w:val="369"/>
          <w:jc w:val="center"/>
        </w:trPr>
        <w:tc>
          <w:tcPr>
            <w:tcW w:w="2263" w:type="dxa"/>
            <w:vMerge w:val="restart"/>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是否考虑岸线熏烟</w:t>
            </w:r>
          </w:p>
        </w:tc>
        <w:tc>
          <w:tcPr>
            <w:tcW w:w="3267"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考虑岸线熏烟</w:t>
            </w:r>
          </w:p>
        </w:tc>
        <w:tc>
          <w:tcPr>
            <w:tcW w:w="2766"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w:t>
            </w:r>
            <w:r>
              <w:rPr>
                <w:rFonts w:ascii="Times New Roman" w:eastAsia="宋体" w:hAnsi="Times New Roman" w:cs="Times New Roman"/>
                <w:color w:val="000000" w:themeColor="text1"/>
                <w:kern w:val="0"/>
                <w:szCs w:val="20"/>
              </w:rPr>
              <w:t>是</w:t>
            </w:r>
            <w:r>
              <w:rPr>
                <w:rFonts w:ascii="Wingdings 2" w:eastAsia="宋体" w:hAnsi="Wingdings 2" w:cs="Times New Roman"/>
                <w:color w:val="000000" w:themeColor="text1"/>
                <w:kern w:val="0"/>
                <w:szCs w:val="20"/>
              </w:rPr>
              <w:t></w:t>
            </w:r>
            <w:r>
              <w:rPr>
                <w:rFonts w:ascii="Times New Roman" w:eastAsia="宋体" w:hAnsi="Times New Roman" w:cs="Times New Roman"/>
                <w:color w:val="000000" w:themeColor="text1"/>
                <w:kern w:val="0"/>
                <w:szCs w:val="20"/>
              </w:rPr>
              <w:t xml:space="preserve">  </w:t>
            </w:r>
            <w:r>
              <w:rPr>
                <w:rFonts w:ascii="Times New Roman" w:eastAsia="宋体" w:hAnsi="Times New Roman" w:cs="Times New Roman"/>
                <w:color w:val="000000" w:themeColor="text1"/>
                <w:kern w:val="0"/>
                <w:szCs w:val="20"/>
              </w:rPr>
              <w:t></w:t>
            </w:r>
            <w:r>
              <w:rPr>
                <w:rFonts w:ascii="Times New Roman" w:eastAsia="宋体" w:hAnsi="Times New Roman" w:cs="Times New Roman"/>
                <w:color w:val="000000" w:themeColor="text1"/>
                <w:kern w:val="0"/>
                <w:szCs w:val="20"/>
              </w:rPr>
              <w:t>否</w:t>
            </w:r>
            <w:r>
              <w:rPr>
                <w:rFonts w:ascii="Wingdings 2" w:eastAsia="宋体" w:hAnsi="Wingdings 2" w:cs="Times New Roman"/>
                <w:color w:val="000000" w:themeColor="text1"/>
                <w:kern w:val="0"/>
                <w:szCs w:val="20"/>
              </w:rPr>
              <w:t></w:t>
            </w:r>
          </w:p>
        </w:tc>
      </w:tr>
      <w:tr w:rsidR="00C861DA">
        <w:trPr>
          <w:trHeight w:val="369"/>
          <w:jc w:val="center"/>
        </w:trPr>
        <w:tc>
          <w:tcPr>
            <w:tcW w:w="2263" w:type="dxa"/>
            <w:vMerge/>
            <w:vAlign w:val="center"/>
          </w:tcPr>
          <w:p w:rsidR="00C861DA" w:rsidRDefault="00C861DA">
            <w:pPr>
              <w:jc w:val="center"/>
              <w:rPr>
                <w:rFonts w:ascii="Times New Roman" w:eastAsia="宋体" w:hAnsi="Times New Roman" w:cs="Times New Roman"/>
                <w:color w:val="000000" w:themeColor="text1"/>
                <w:kern w:val="0"/>
                <w:szCs w:val="20"/>
              </w:rPr>
            </w:pPr>
          </w:p>
        </w:tc>
        <w:tc>
          <w:tcPr>
            <w:tcW w:w="3267"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岸线距离</w:t>
            </w:r>
            <w:r>
              <w:rPr>
                <w:rFonts w:ascii="Times New Roman" w:eastAsia="宋体" w:hAnsi="Times New Roman" w:cs="Times New Roman"/>
                <w:color w:val="000000" w:themeColor="text1"/>
                <w:kern w:val="0"/>
                <w:szCs w:val="20"/>
              </w:rPr>
              <w:t>/km</w:t>
            </w:r>
          </w:p>
        </w:tc>
        <w:tc>
          <w:tcPr>
            <w:tcW w:w="2766"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w:t>
            </w:r>
          </w:p>
        </w:tc>
      </w:tr>
      <w:tr w:rsidR="00C861DA">
        <w:trPr>
          <w:trHeight w:val="369"/>
          <w:jc w:val="center"/>
        </w:trPr>
        <w:tc>
          <w:tcPr>
            <w:tcW w:w="2263" w:type="dxa"/>
            <w:vMerge/>
            <w:vAlign w:val="center"/>
          </w:tcPr>
          <w:p w:rsidR="00C861DA" w:rsidRDefault="00C861DA">
            <w:pPr>
              <w:jc w:val="center"/>
              <w:rPr>
                <w:rFonts w:ascii="Times New Roman" w:eastAsia="宋体" w:hAnsi="Times New Roman" w:cs="Times New Roman"/>
                <w:color w:val="000000" w:themeColor="text1"/>
                <w:kern w:val="0"/>
                <w:szCs w:val="20"/>
              </w:rPr>
            </w:pPr>
          </w:p>
        </w:tc>
        <w:tc>
          <w:tcPr>
            <w:tcW w:w="3267"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岸线方向</w:t>
            </w:r>
            <w:r>
              <w:rPr>
                <w:rFonts w:ascii="Times New Roman" w:eastAsia="宋体" w:hAnsi="Times New Roman" w:cs="Times New Roman"/>
                <w:color w:val="000000" w:themeColor="text1"/>
                <w:kern w:val="0"/>
                <w:szCs w:val="20"/>
              </w:rPr>
              <w:t>/°</w:t>
            </w:r>
          </w:p>
        </w:tc>
        <w:tc>
          <w:tcPr>
            <w:tcW w:w="2766" w:type="dxa"/>
            <w:vAlign w:val="center"/>
          </w:tcPr>
          <w:p w:rsidR="00C861DA" w:rsidRDefault="0044752E">
            <w:pPr>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w:t>
            </w:r>
          </w:p>
        </w:tc>
      </w:tr>
    </w:tbl>
    <w:p w:rsidR="00C861DA" w:rsidRDefault="00C861DA">
      <w:pPr>
        <w:jc w:val="center"/>
        <w:rPr>
          <w:rFonts w:ascii="Times New Roman" w:eastAsia="宋体"/>
          <w:b/>
          <w:bCs/>
          <w:color w:val="000000" w:themeColor="text1"/>
          <w:szCs w:val="24"/>
        </w:rPr>
      </w:pPr>
    </w:p>
    <w:p w:rsidR="00C861DA" w:rsidRDefault="00C861DA">
      <w:pPr>
        <w:jc w:val="center"/>
        <w:rPr>
          <w:rFonts w:ascii="Times New Roman" w:eastAsia="宋体"/>
          <w:b/>
          <w:bCs/>
          <w:color w:val="000000" w:themeColor="text1"/>
          <w:sz w:val="24"/>
          <w:szCs w:val="24"/>
        </w:rPr>
      </w:pPr>
    </w:p>
    <w:p w:rsidR="00C861DA" w:rsidRDefault="00C861DA">
      <w:pPr>
        <w:jc w:val="center"/>
        <w:rPr>
          <w:rFonts w:ascii="Times New Roman" w:eastAsia="宋体"/>
          <w:b/>
          <w:bCs/>
          <w:color w:val="000000" w:themeColor="text1"/>
          <w:sz w:val="24"/>
          <w:szCs w:val="24"/>
        </w:rPr>
      </w:pPr>
    </w:p>
    <w:p w:rsidR="00C861DA" w:rsidRDefault="00C861DA">
      <w:pPr>
        <w:pStyle w:val="21"/>
        <w:rPr>
          <w:color w:val="000000" w:themeColor="text1"/>
        </w:rPr>
      </w:pPr>
    </w:p>
    <w:p w:rsidR="00C861DA" w:rsidRDefault="00C861DA">
      <w:pPr>
        <w:jc w:val="center"/>
        <w:rPr>
          <w:rFonts w:ascii="Times New Roman" w:eastAsia="宋体"/>
          <w:b/>
          <w:bCs/>
          <w:color w:val="000000" w:themeColor="text1"/>
          <w:sz w:val="24"/>
          <w:szCs w:val="24"/>
        </w:rPr>
      </w:pPr>
    </w:p>
    <w:p w:rsidR="00C861DA" w:rsidRDefault="0044752E">
      <w:pPr>
        <w:jc w:val="center"/>
        <w:rPr>
          <w:rFonts w:ascii="Times New Roman" w:eastAsia="宋体"/>
          <w:b/>
          <w:bCs/>
          <w:color w:val="000000" w:themeColor="text1"/>
          <w:szCs w:val="24"/>
        </w:rPr>
      </w:pPr>
      <w:r>
        <w:rPr>
          <w:rFonts w:ascii="Times New Roman" w:eastAsia="宋体" w:hint="eastAsia"/>
          <w:b/>
          <w:bCs/>
          <w:color w:val="000000" w:themeColor="text1"/>
          <w:sz w:val="24"/>
          <w:szCs w:val="24"/>
        </w:rPr>
        <w:t>表</w:t>
      </w:r>
      <w:r>
        <w:rPr>
          <w:rFonts w:ascii="Times New Roman" w:eastAsia="宋体" w:hint="eastAsia"/>
          <w:b/>
          <w:bCs/>
          <w:color w:val="000000" w:themeColor="text1"/>
          <w:sz w:val="24"/>
          <w:szCs w:val="24"/>
        </w:rPr>
        <w:t>2</w:t>
      </w:r>
      <w:r>
        <w:rPr>
          <w:rFonts w:ascii="Times New Roman" w:eastAsia="宋体"/>
          <w:b/>
          <w:bCs/>
          <w:color w:val="000000" w:themeColor="text1"/>
          <w:sz w:val="24"/>
          <w:szCs w:val="24"/>
        </w:rPr>
        <w:t xml:space="preserve">.6-4  </w:t>
      </w:r>
      <w:r>
        <w:rPr>
          <w:rFonts w:ascii="Times New Roman" w:eastAsia="宋体" w:hint="eastAsia"/>
          <w:b/>
          <w:bCs/>
          <w:color w:val="000000" w:themeColor="text1"/>
          <w:sz w:val="24"/>
          <w:szCs w:val="24"/>
        </w:rPr>
        <w:t>估算源强表（无组织矩形面源）</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
        <w:gridCol w:w="1551"/>
        <w:gridCol w:w="595"/>
        <w:gridCol w:w="527"/>
        <w:gridCol w:w="728"/>
        <w:gridCol w:w="683"/>
        <w:gridCol w:w="683"/>
        <w:gridCol w:w="677"/>
        <w:gridCol w:w="822"/>
        <w:gridCol w:w="680"/>
        <w:gridCol w:w="621"/>
        <w:gridCol w:w="621"/>
        <w:gridCol w:w="621"/>
      </w:tblGrid>
      <w:tr w:rsidR="00C861DA">
        <w:trPr>
          <w:trHeight w:val="369"/>
          <w:jc w:val="center"/>
        </w:trPr>
        <w:tc>
          <w:tcPr>
            <w:tcW w:w="414" w:type="dxa"/>
            <w:vMerge w:val="restart"/>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标编号</w:t>
            </w:r>
          </w:p>
        </w:tc>
        <w:tc>
          <w:tcPr>
            <w:tcW w:w="1551" w:type="dxa"/>
            <w:vMerge w:val="restart"/>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名称</w:t>
            </w:r>
          </w:p>
        </w:tc>
        <w:tc>
          <w:tcPr>
            <w:tcW w:w="1122" w:type="dxa"/>
            <w:gridSpan w:val="2"/>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面源起点坐标</w:t>
            </w:r>
            <w:r>
              <w:rPr>
                <w:rFonts w:ascii="Times New Roman" w:eastAsia="宋体" w:hAnsi="Times New Roman" w:cs="Times New Roman"/>
                <w:color w:val="000000" w:themeColor="text1"/>
                <w:sz w:val="18"/>
                <w:szCs w:val="18"/>
              </w:rPr>
              <w:t>/m</w:t>
            </w:r>
          </w:p>
        </w:tc>
        <w:tc>
          <w:tcPr>
            <w:tcW w:w="728" w:type="dxa"/>
            <w:vMerge w:val="restart"/>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面源海拔高度</w:t>
            </w:r>
            <w:r>
              <w:rPr>
                <w:rFonts w:ascii="Times New Roman" w:eastAsia="宋体" w:hAnsi="Times New Roman" w:cs="Times New Roman"/>
                <w:color w:val="000000" w:themeColor="text1"/>
                <w:sz w:val="18"/>
                <w:szCs w:val="18"/>
              </w:rPr>
              <w:t>/m</w:t>
            </w:r>
          </w:p>
        </w:tc>
        <w:tc>
          <w:tcPr>
            <w:tcW w:w="683" w:type="dxa"/>
            <w:vMerge w:val="restart"/>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面源长度</w:t>
            </w:r>
            <w:r>
              <w:rPr>
                <w:rFonts w:ascii="Times New Roman" w:eastAsia="宋体" w:hAnsi="Times New Roman" w:cs="Times New Roman"/>
                <w:color w:val="000000" w:themeColor="text1"/>
                <w:sz w:val="18"/>
                <w:szCs w:val="18"/>
              </w:rPr>
              <w:t>/m</w:t>
            </w:r>
          </w:p>
        </w:tc>
        <w:tc>
          <w:tcPr>
            <w:tcW w:w="683" w:type="dxa"/>
            <w:vMerge w:val="restart"/>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面源宽度</w:t>
            </w:r>
            <w:r>
              <w:rPr>
                <w:rFonts w:ascii="Times New Roman" w:eastAsia="宋体" w:hAnsi="Times New Roman" w:cs="Times New Roman"/>
                <w:color w:val="000000" w:themeColor="text1"/>
                <w:sz w:val="18"/>
                <w:szCs w:val="18"/>
              </w:rPr>
              <w:t>/m</w:t>
            </w:r>
          </w:p>
        </w:tc>
        <w:tc>
          <w:tcPr>
            <w:tcW w:w="677" w:type="dxa"/>
            <w:vMerge w:val="restart"/>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与正北向夹角</w:t>
            </w:r>
            <w:r>
              <w:rPr>
                <w:rFonts w:ascii="Times New Roman" w:eastAsia="宋体" w:hAnsi="Times New Roman" w:cs="Times New Roman"/>
                <w:color w:val="000000" w:themeColor="text1"/>
                <w:sz w:val="18"/>
                <w:szCs w:val="18"/>
              </w:rPr>
              <w:t>/°</w:t>
            </w:r>
          </w:p>
        </w:tc>
        <w:tc>
          <w:tcPr>
            <w:tcW w:w="822" w:type="dxa"/>
            <w:vMerge w:val="restart"/>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年排放小时数</w:t>
            </w:r>
            <w:r>
              <w:rPr>
                <w:rFonts w:ascii="Times New Roman" w:eastAsia="宋体" w:hAnsi="Times New Roman" w:cs="Times New Roman"/>
                <w:color w:val="000000" w:themeColor="text1"/>
                <w:sz w:val="18"/>
                <w:szCs w:val="18"/>
              </w:rPr>
              <w:t>/h</w:t>
            </w:r>
          </w:p>
        </w:tc>
        <w:tc>
          <w:tcPr>
            <w:tcW w:w="680" w:type="dxa"/>
            <w:vMerge w:val="restart"/>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排放工况</w:t>
            </w:r>
          </w:p>
        </w:tc>
        <w:tc>
          <w:tcPr>
            <w:tcW w:w="1863" w:type="dxa"/>
            <w:gridSpan w:val="3"/>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排放速率</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color w:val="000000" w:themeColor="text1"/>
                <w:sz w:val="18"/>
                <w:szCs w:val="18"/>
              </w:rPr>
              <w:t>kg/h</w:t>
            </w:r>
          </w:p>
        </w:tc>
      </w:tr>
      <w:tr w:rsidR="00C861DA">
        <w:trPr>
          <w:trHeight w:val="369"/>
          <w:jc w:val="center"/>
        </w:trPr>
        <w:tc>
          <w:tcPr>
            <w:tcW w:w="414" w:type="dxa"/>
            <w:vMerge/>
            <w:vAlign w:val="center"/>
          </w:tcPr>
          <w:p w:rsidR="00C861DA" w:rsidRDefault="00C861DA">
            <w:pPr>
              <w:jc w:val="center"/>
              <w:rPr>
                <w:rFonts w:ascii="Times New Roman" w:eastAsia="宋体" w:hAnsi="Times New Roman" w:cs="Times New Roman"/>
                <w:color w:val="000000" w:themeColor="text1"/>
                <w:sz w:val="18"/>
                <w:szCs w:val="18"/>
              </w:rPr>
            </w:pPr>
          </w:p>
        </w:tc>
        <w:tc>
          <w:tcPr>
            <w:tcW w:w="1551" w:type="dxa"/>
            <w:vMerge/>
            <w:vAlign w:val="center"/>
          </w:tcPr>
          <w:p w:rsidR="00C861DA" w:rsidRDefault="00C861DA">
            <w:pPr>
              <w:jc w:val="center"/>
              <w:rPr>
                <w:rFonts w:ascii="Times New Roman" w:eastAsia="宋体" w:hAnsi="Times New Roman" w:cs="Times New Roman"/>
                <w:color w:val="000000" w:themeColor="text1"/>
                <w:sz w:val="18"/>
                <w:szCs w:val="18"/>
              </w:rPr>
            </w:pPr>
          </w:p>
        </w:tc>
        <w:tc>
          <w:tcPr>
            <w:tcW w:w="595"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X</w:t>
            </w:r>
          </w:p>
        </w:tc>
        <w:tc>
          <w:tcPr>
            <w:tcW w:w="52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Y</w:t>
            </w:r>
          </w:p>
        </w:tc>
        <w:tc>
          <w:tcPr>
            <w:tcW w:w="728" w:type="dxa"/>
            <w:vMerge/>
            <w:vAlign w:val="center"/>
          </w:tcPr>
          <w:p w:rsidR="00C861DA" w:rsidRDefault="00C861DA">
            <w:pPr>
              <w:jc w:val="center"/>
              <w:rPr>
                <w:rFonts w:ascii="Times New Roman" w:eastAsia="宋体" w:hAnsi="Times New Roman" w:cs="Times New Roman"/>
                <w:color w:val="000000" w:themeColor="text1"/>
                <w:sz w:val="18"/>
                <w:szCs w:val="18"/>
              </w:rPr>
            </w:pPr>
          </w:p>
        </w:tc>
        <w:tc>
          <w:tcPr>
            <w:tcW w:w="683" w:type="dxa"/>
            <w:vMerge/>
            <w:vAlign w:val="center"/>
          </w:tcPr>
          <w:p w:rsidR="00C861DA" w:rsidRDefault="00C861DA">
            <w:pPr>
              <w:jc w:val="center"/>
              <w:rPr>
                <w:rFonts w:ascii="Times New Roman" w:eastAsia="宋体" w:hAnsi="Times New Roman" w:cs="Times New Roman"/>
                <w:color w:val="000000" w:themeColor="text1"/>
                <w:sz w:val="18"/>
                <w:szCs w:val="18"/>
              </w:rPr>
            </w:pPr>
          </w:p>
        </w:tc>
        <w:tc>
          <w:tcPr>
            <w:tcW w:w="683" w:type="dxa"/>
            <w:vMerge/>
            <w:vAlign w:val="center"/>
          </w:tcPr>
          <w:p w:rsidR="00C861DA" w:rsidRDefault="00C861DA">
            <w:pPr>
              <w:jc w:val="center"/>
              <w:rPr>
                <w:rFonts w:ascii="Times New Roman" w:eastAsia="宋体" w:hAnsi="Times New Roman" w:cs="Times New Roman"/>
                <w:color w:val="000000" w:themeColor="text1"/>
                <w:sz w:val="18"/>
                <w:szCs w:val="18"/>
              </w:rPr>
            </w:pPr>
          </w:p>
        </w:tc>
        <w:tc>
          <w:tcPr>
            <w:tcW w:w="677" w:type="dxa"/>
            <w:vMerge/>
            <w:vAlign w:val="center"/>
          </w:tcPr>
          <w:p w:rsidR="00C861DA" w:rsidRDefault="00C861DA">
            <w:pPr>
              <w:jc w:val="center"/>
              <w:rPr>
                <w:rFonts w:ascii="Times New Roman" w:eastAsia="宋体" w:hAnsi="Times New Roman" w:cs="Times New Roman"/>
                <w:color w:val="000000" w:themeColor="text1"/>
                <w:sz w:val="18"/>
                <w:szCs w:val="18"/>
              </w:rPr>
            </w:pPr>
          </w:p>
        </w:tc>
        <w:tc>
          <w:tcPr>
            <w:tcW w:w="822" w:type="dxa"/>
            <w:vMerge/>
            <w:vAlign w:val="center"/>
          </w:tcPr>
          <w:p w:rsidR="00C861DA" w:rsidRDefault="00C861DA">
            <w:pPr>
              <w:jc w:val="center"/>
              <w:rPr>
                <w:rFonts w:ascii="Times New Roman" w:eastAsia="宋体" w:hAnsi="Times New Roman" w:cs="Times New Roman"/>
                <w:color w:val="000000" w:themeColor="text1"/>
                <w:sz w:val="18"/>
                <w:szCs w:val="18"/>
              </w:rPr>
            </w:pPr>
          </w:p>
        </w:tc>
        <w:tc>
          <w:tcPr>
            <w:tcW w:w="680" w:type="dxa"/>
            <w:vMerge/>
            <w:vAlign w:val="center"/>
          </w:tcPr>
          <w:p w:rsidR="00C861DA" w:rsidRDefault="00C861DA">
            <w:pPr>
              <w:jc w:val="center"/>
              <w:rPr>
                <w:rFonts w:ascii="Times New Roman" w:eastAsia="宋体" w:hAnsi="Times New Roman" w:cs="Times New Roman"/>
                <w:color w:val="000000" w:themeColor="text1"/>
                <w:sz w:val="18"/>
                <w:szCs w:val="18"/>
              </w:rPr>
            </w:pP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氨</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NO</w:t>
            </w:r>
            <w:r>
              <w:rPr>
                <w:rFonts w:ascii="Times New Roman" w:eastAsia="宋体" w:hAnsi="Times New Roman" w:cs="Times New Roman" w:hint="eastAsia"/>
                <w:color w:val="000000" w:themeColor="text1"/>
                <w:sz w:val="18"/>
                <w:szCs w:val="18"/>
                <w:vertAlign w:val="subscript"/>
              </w:rPr>
              <w:t>X</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颗粒</w:t>
            </w:r>
          </w:p>
        </w:tc>
      </w:tr>
      <w:tr w:rsidR="00C861DA">
        <w:trPr>
          <w:trHeight w:val="369"/>
          <w:jc w:val="center"/>
        </w:trPr>
        <w:tc>
          <w:tcPr>
            <w:tcW w:w="414"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155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硝酸生产单元</w:t>
            </w:r>
          </w:p>
        </w:tc>
        <w:tc>
          <w:tcPr>
            <w:tcW w:w="595"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7</w:t>
            </w:r>
            <w:r>
              <w:rPr>
                <w:rFonts w:ascii="Times New Roman" w:eastAsia="宋体" w:hAnsi="Times New Roman" w:cs="Times New Roman"/>
                <w:color w:val="000000" w:themeColor="text1"/>
                <w:sz w:val="18"/>
                <w:szCs w:val="18"/>
              </w:rPr>
              <w:t>4</w:t>
            </w:r>
          </w:p>
        </w:tc>
        <w:tc>
          <w:tcPr>
            <w:tcW w:w="52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46</w:t>
            </w:r>
          </w:p>
        </w:tc>
        <w:tc>
          <w:tcPr>
            <w:tcW w:w="728"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899</w:t>
            </w:r>
          </w:p>
        </w:tc>
        <w:tc>
          <w:tcPr>
            <w:tcW w:w="68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6</w:t>
            </w:r>
            <w:r>
              <w:rPr>
                <w:rFonts w:ascii="Times New Roman" w:eastAsia="宋体" w:hAnsi="Times New Roman" w:cs="Times New Roman"/>
                <w:color w:val="000000" w:themeColor="text1"/>
                <w:sz w:val="18"/>
                <w:szCs w:val="18"/>
              </w:rPr>
              <w:t>1</w:t>
            </w:r>
          </w:p>
        </w:tc>
        <w:tc>
          <w:tcPr>
            <w:tcW w:w="68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3</w:t>
            </w:r>
            <w:r>
              <w:rPr>
                <w:rFonts w:ascii="Times New Roman" w:eastAsia="宋体" w:hAnsi="Times New Roman" w:cs="Times New Roman"/>
                <w:color w:val="000000" w:themeColor="text1"/>
                <w:sz w:val="18"/>
                <w:szCs w:val="18"/>
              </w:rPr>
              <w:t>0</w:t>
            </w:r>
          </w:p>
        </w:tc>
        <w:tc>
          <w:tcPr>
            <w:tcW w:w="67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8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2400</w:t>
            </w:r>
          </w:p>
        </w:tc>
        <w:tc>
          <w:tcPr>
            <w:tcW w:w="680"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正常</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.011</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.015</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p>
        </w:tc>
      </w:tr>
      <w:tr w:rsidR="00C861DA">
        <w:trPr>
          <w:trHeight w:val="369"/>
          <w:jc w:val="center"/>
        </w:trPr>
        <w:tc>
          <w:tcPr>
            <w:tcW w:w="414"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155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硝酸铵生产单元</w:t>
            </w:r>
          </w:p>
        </w:tc>
        <w:tc>
          <w:tcPr>
            <w:tcW w:w="595"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6</w:t>
            </w:r>
            <w:r>
              <w:rPr>
                <w:rFonts w:ascii="Times New Roman" w:eastAsia="宋体" w:hAnsi="Times New Roman" w:cs="Times New Roman"/>
                <w:color w:val="000000" w:themeColor="text1"/>
                <w:sz w:val="18"/>
                <w:szCs w:val="18"/>
              </w:rPr>
              <w:t>7</w:t>
            </w:r>
          </w:p>
        </w:tc>
        <w:tc>
          <w:tcPr>
            <w:tcW w:w="52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07</w:t>
            </w:r>
          </w:p>
        </w:tc>
        <w:tc>
          <w:tcPr>
            <w:tcW w:w="728"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899</w:t>
            </w:r>
          </w:p>
        </w:tc>
        <w:tc>
          <w:tcPr>
            <w:tcW w:w="68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6</w:t>
            </w:r>
            <w:r>
              <w:rPr>
                <w:rFonts w:ascii="Times New Roman" w:eastAsia="宋体" w:hAnsi="Times New Roman" w:cs="Times New Roman"/>
                <w:color w:val="000000" w:themeColor="text1"/>
                <w:sz w:val="18"/>
                <w:szCs w:val="18"/>
              </w:rPr>
              <w:t>1</w:t>
            </w:r>
          </w:p>
        </w:tc>
        <w:tc>
          <w:tcPr>
            <w:tcW w:w="68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4</w:t>
            </w:r>
            <w:r>
              <w:rPr>
                <w:rFonts w:ascii="Times New Roman" w:eastAsia="宋体" w:hAnsi="Times New Roman" w:cs="Times New Roman"/>
                <w:color w:val="000000" w:themeColor="text1"/>
                <w:sz w:val="18"/>
                <w:szCs w:val="18"/>
              </w:rPr>
              <w:t>0</w:t>
            </w:r>
          </w:p>
        </w:tc>
        <w:tc>
          <w:tcPr>
            <w:tcW w:w="67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8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2400</w:t>
            </w:r>
          </w:p>
        </w:tc>
        <w:tc>
          <w:tcPr>
            <w:tcW w:w="680"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正常</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.015</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.025</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p>
        </w:tc>
      </w:tr>
      <w:tr w:rsidR="00C861DA">
        <w:trPr>
          <w:trHeight w:val="369"/>
          <w:jc w:val="center"/>
        </w:trPr>
        <w:tc>
          <w:tcPr>
            <w:tcW w:w="414"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155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硝基复合肥生产单元</w:t>
            </w:r>
          </w:p>
        </w:tc>
        <w:tc>
          <w:tcPr>
            <w:tcW w:w="595"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r>
              <w:rPr>
                <w:rFonts w:ascii="Times New Roman" w:eastAsia="宋体" w:hAnsi="Times New Roman" w:cs="Times New Roman"/>
                <w:color w:val="000000" w:themeColor="text1"/>
                <w:sz w:val="18"/>
                <w:szCs w:val="18"/>
              </w:rPr>
              <w:t>14</w:t>
            </w:r>
          </w:p>
        </w:tc>
        <w:tc>
          <w:tcPr>
            <w:tcW w:w="52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78</w:t>
            </w:r>
          </w:p>
        </w:tc>
        <w:tc>
          <w:tcPr>
            <w:tcW w:w="728"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898</w:t>
            </w:r>
          </w:p>
        </w:tc>
        <w:tc>
          <w:tcPr>
            <w:tcW w:w="68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3</w:t>
            </w:r>
            <w:r>
              <w:rPr>
                <w:rFonts w:ascii="Times New Roman" w:eastAsia="宋体" w:hAnsi="Times New Roman" w:cs="Times New Roman"/>
                <w:color w:val="000000" w:themeColor="text1"/>
                <w:sz w:val="18"/>
                <w:szCs w:val="18"/>
              </w:rPr>
              <w:t>0</w:t>
            </w:r>
          </w:p>
        </w:tc>
        <w:tc>
          <w:tcPr>
            <w:tcW w:w="68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8</w:t>
            </w:r>
            <w:r>
              <w:rPr>
                <w:rFonts w:ascii="Times New Roman" w:eastAsia="宋体" w:hAnsi="Times New Roman" w:cs="Times New Roman"/>
                <w:color w:val="000000" w:themeColor="text1"/>
                <w:sz w:val="18"/>
                <w:szCs w:val="18"/>
              </w:rPr>
              <w:t>0</w:t>
            </w:r>
          </w:p>
        </w:tc>
        <w:tc>
          <w:tcPr>
            <w:tcW w:w="67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8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2400</w:t>
            </w:r>
          </w:p>
        </w:tc>
        <w:tc>
          <w:tcPr>
            <w:tcW w:w="680"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正常</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.04</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.138</w:t>
            </w:r>
          </w:p>
        </w:tc>
      </w:tr>
      <w:tr w:rsidR="00C861DA">
        <w:trPr>
          <w:trHeight w:val="369"/>
          <w:jc w:val="center"/>
        </w:trPr>
        <w:tc>
          <w:tcPr>
            <w:tcW w:w="414"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155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尿素生产单元</w:t>
            </w:r>
          </w:p>
        </w:tc>
        <w:tc>
          <w:tcPr>
            <w:tcW w:w="595"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4</w:t>
            </w:r>
            <w:r>
              <w:rPr>
                <w:rFonts w:ascii="Times New Roman" w:eastAsia="宋体" w:hAnsi="Times New Roman" w:cs="Times New Roman"/>
                <w:color w:val="000000" w:themeColor="text1"/>
                <w:sz w:val="18"/>
                <w:szCs w:val="18"/>
              </w:rPr>
              <w:t>1</w:t>
            </w:r>
          </w:p>
        </w:tc>
        <w:tc>
          <w:tcPr>
            <w:tcW w:w="52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6</w:t>
            </w:r>
            <w:r>
              <w:rPr>
                <w:rFonts w:ascii="Times New Roman" w:eastAsia="宋体" w:hAnsi="Times New Roman" w:cs="Times New Roman"/>
                <w:color w:val="000000" w:themeColor="text1"/>
                <w:sz w:val="18"/>
                <w:szCs w:val="18"/>
              </w:rPr>
              <w:t>3</w:t>
            </w:r>
          </w:p>
        </w:tc>
        <w:tc>
          <w:tcPr>
            <w:tcW w:w="728"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897</w:t>
            </w:r>
          </w:p>
        </w:tc>
        <w:tc>
          <w:tcPr>
            <w:tcW w:w="68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4</w:t>
            </w:r>
            <w:r>
              <w:rPr>
                <w:rFonts w:ascii="Times New Roman" w:eastAsia="宋体" w:hAnsi="Times New Roman" w:cs="Times New Roman"/>
                <w:color w:val="000000" w:themeColor="text1"/>
                <w:sz w:val="18"/>
                <w:szCs w:val="18"/>
              </w:rPr>
              <w:t>0</w:t>
            </w:r>
          </w:p>
        </w:tc>
        <w:tc>
          <w:tcPr>
            <w:tcW w:w="68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5</w:t>
            </w:r>
            <w:r>
              <w:rPr>
                <w:rFonts w:ascii="Times New Roman" w:eastAsia="宋体" w:hAnsi="Times New Roman" w:cs="Times New Roman"/>
                <w:color w:val="000000" w:themeColor="text1"/>
                <w:sz w:val="18"/>
                <w:szCs w:val="18"/>
              </w:rPr>
              <w:t>0</w:t>
            </w:r>
          </w:p>
        </w:tc>
        <w:tc>
          <w:tcPr>
            <w:tcW w:w="67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8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2400</w:t>
            </w:r>
          </w:p>
        </w:tc>
        <w:tc>
          <w:tcPr>
            <w:tcW w:w="680"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正常</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.004</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p>
        </w:tc>
      </w:tr>
      <w:tr w:rsidR="00C861DA">
        <w:trPr>
          <w:trHeight w:val="369"/>
          <w:jc w:val="center"/>
        </w:trPr>
        <w:tc>
          <w:tcPr>
            <w:tcW w:w="414"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5</w:t>
            </w:r>
          </w:p>
        </w:tc>
        <w:tc>
          <w:tcPr>
            <w:tcW w:w="155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尿基复合肥生产单元</w:t>
            </w:r>
          </w:p>
        </w:tc>
        <w:tc>
          <w:tcPr>
            <w:tcW w:w="595"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5</w:t>
            </w:r>
            <w:r>
              <w:rPr>
                <w:rFonts w:ascii="Times New Roman" w:eastAsia="宋体" w:hAnsi="Times New Roman" w:cs="Times New Roman"/>
                <w:color w:val="000000" w:themeColor="text1"/>
                <w:sz w:val="18"/>
                <w:szCs w:val="18"/>
              </w:rPr>
              <w:t>1</w:t>
            </w:r>
          </w:p>
        </w:tc>
        <w:tc>
          <w:tcPr>
            <w:tcW w:w="52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4</w:t>
            </w:r>
            <w:r>
              <w:rPr>
                <w:rFonts w:ascii="Times New Roman" w:eastAsia="宋体" w:hAnsi="Times New Roman" w:cs="Times New Roman"/>
                <w:color w:val="000000" w:themeColor="text1"/>
                <w:sz w:val="18"/>
                <w:szCs w:val="18"/>
              </w:rPr>
              <w:t>4</w:t>
            </w:r>
          </w:p>
        </w:tc>
        <w:tc>
          <w:tcPr>
            <w:tcW w:w="728"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897</w:t>
            </w:r>
          </w:p>
        </w:tc>
        <w:tc>
          <w:tcPr>
            <w:tcW w:w="68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6</w:t>
            </w:r>
            <w:r>
              <w:rPr>
                <w:rFonts w:ascii="Times New Roman" w:eastAsia="宋体" w:hAnsi="Times New Roman" w:cs="Times New Roman"/>
                <w:color w:val="000000" w:themeColor="text1"/>
                <w:sz w:val="18"/>
                <w:szCs w:val="18"/>
              </w:rPr>
              <w:t>0</w:t>
            </w:r>
          </w:p>
        </w:tc>
        <w:tc>
          <w:tcPr>
            <w:tcW w:w="68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5</w:t>
            </w:r>
            <w:r>
              <w:rPr>
                <w:rFonts w:ascii="Times New Roman" w:eastAsia="宋体" w:hAnsi="Times New Roman" w:cs="Times New Roman"/>
                <w:color w:val="000000" w:themeColor="text1"/>
                <w:sz w:val="18"/>
                <w:szCs w:val="18"/>
              </w:rPr>
              <w:t>0</w:t>
            </w:r>
          </w:p>
        </w:tc>
        <w:tc>
          <w:tcPr>
            <w:tcW w:w="67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8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2400</w:t>
            </w:r>
          </w:p>
        </w:tc>
        <w:tc>
          <w:tcPr>
            <w:tcW w:w="680"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正常</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.041</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.039</w:t>
            </w:r>
          </w:p>
        </w:tc>
      </w:tr>
    </w:tbl>
    <w:p w:rsidR="00C861DA" w:rsidRDefault="0044752E">
      <w:pPr>
        <w:spacing w:beforeLines="50" w:before="156"/>
        <w:jc w:val="center"/>
        <w:rPr>
          <w:rFonts w:ascii="Times New Roman" w:eastAsia="宋体"/>
          <w:bCs/>
          <w:color w:val="000000" w:themeColor="text1"/>
          <w:szCs w:val="24"/>
        </w:rPr>
      </w:pPr>
      <w:r>
        <w:rPr>
          <w:rFonts w:ascii="Times New Roman" w:eastAsia="宋体" w:hint="eastAsia"/>
          <w:b/>
          <w:bCs/>
          <w:color w:val="000000" w:themeColor="text1"/>
          <w:sz w:val="24"/>
          <w:szCs w:val="24"/>
        </w:rPr>
        <w:t>表</w:t>
      </w:r>
      <w:r>
        <w:rPr>
          <w:rFonts w:ascii="Times New Roman" w:eastAsia="宋体" w:hint="eastAsia"/>
          <w:b/>
          <w:bCs/>
          <w:color w:val="000000" w:themeColor="text1"/>
          <w:sz w:val="24"/>
          <w:szCs w:val="24"/>
        </w:rPr>
        <w:t>2</w:t>
      </w:r>
      <w:r>
        <w:rPr>
          <w:rFonts w:ascii="Times New Roman" w:eastAsia="宋体"/>
          <w:b/>
          <w:bCs/>
          <w:color w:val="000000" w:themeColor="text1"/>
          <w:sz w:val="24"/>
          <w:szCs w:val="24"/>
        </w:rPr>
        <w:t>.6-5</w:t>
      </w:r>
      <w:r>
        <w:rPr>
          <w:rFonts w:ascii="Times New Roman" w:eastAsia="宋体" w:hint="eastAsia"/>
          <w:b/>
          <w:bCs/>
          <w:color w:val="000000" w:themeColor="text1"/>
          <w:sz w:val="24"/>
          <w:szCs w:val="24"/>
        </w:rPr>
        <w:t xml:space="preserve"> </w:t>
      </w:r>
      <w:r>
        <w:rPr>
          <w:rFonts w:ascii="Times New Roman" w:eastAsia="宋体"/>
          <w:b/>
          <w:bCs/>
          <w:color w:val="000000" w:themeColor="text1"/>
          <w:sz w:val="24"/>
          <w:szCs w:val="24"/>
        </w:rPr>
        <w:t xml:space="preserve"> </w:t>
      </w:r>
      <w:r>
        <w:rPr>
          <w:rFonts w:ascii="Times New Roman" w:eastAsia="宋体" w:hint="eastAsia"/>
          <w:b/>
          <w:bCs/>
          <w:color w:val="000000" w:themeColor="text1"/>
          <w:sz w:val="24"/>
          <w:szCs w:val="24"/>
        </w:rPr>
        <w:t>估算源强表（有组织点源）</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93"/>
        <w:gridCol w:w="566"/>
        <w:gridCol w:w="566"/>
        <w:gridCol w:w="712"/>
        <w:gridCol w:w="708"/>
        <w:gridCol w:w="710"/>
        <w:gridCol w:w="708"/>
        <w:gridCol w:w="568"/>
        <w:gridCol w:w="708"/>
        <w:gridCol w:w="708"/>
        <w:gridCol w:w="712"/>
        <w:gridCol w:w="568"/>
        <w:gridCol w:w="597"/>
      </w:tblGrid>
      <w:tr w:rsidR="00C861DA">
        <w:trPr>
          <w:trHeight w:val="369"/>
          <w:jc w:val="center"/>
        </w:trPr>
        <w:tc>
          <w:tcPr>
            <w:tcW w:w="421" w:type="dxa"/>
            <w:vMerge w:val="restart"/>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标编号</w:t>
            </w:r>
          </w:p>
        </w:tc>
        <w:tc>
          <w:tcPr>
            <w:tcW w:w="993" w:type="dxa"/>
            <w:vMerge w:val="restart"/>
            <w:vAlign w:val="center"/>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名称</w:t>
            </w:r>
          </w:p>
        </w:tc>
        <w:tc>
          <w:tcPr>
            <w:tcW w:w="1132" w:type="dxa"/>
            <w:gridSpan w:val="2"/>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排气筒底部坐标</w:t>
            </w:r>
            <w:r>
              <w:rPr>
                <w:rFonts w:ascii="Times New Roman" w:eastAsia="宋体" w:hint="eastAsia"/>
                <w:color w:val="000000" w:themeColor="text1"/>
                <w:sz w:val="18"/>
                <w:szCs w:val="18"/>
              </w:rPr>
              <w:t>/</w:t>
            </w:r>
            <w:r>
              <w:rPr>
                <w:rFonts w:ascii="Times New Roman" w:eastAsia="宋体"/>
                <w:color w:val="000000" w:themeColor="text1"/>
                <w:sz w:val="18"/>
                <w:szCs w:val="18"/>
              </w:rPr>
              <w:t>m</w:t>
            </w:r>
          </w:p>
        </w:tc>
        <w:tc>
          <w:tcPr>
            <w:tcW w:w="712" w:type="dxa"/>
            <w:vMerge w:val="restart"/>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排气筒底部海拔高度</w:t>
            </w:r>
            <w:r>
              <w:rPr>
                <w:rFonts w:ascii="Times New Roman" w:eastAsia="宋体" w:hint="eastAsia"/>
                <w:color w:val="000000" w:themeColor="text1"/>
                <w:sz w:val="18"/>
                <w:szCs w:val="18"/>
              </w:rPr>
              <w:t>/</w:t>
            </w:r>
            <w:r>
              <w:rPr>
                <w:rFonts w:ascii="Times New Roman" w:eastAsia="宋体"/>
                <w:color w:val="000000" w:themeColor="text1"/>
                <w:sz w:val="18"/>
                <w:szCs w:val="18"/>
              </w:rPr>
              <w:t>m</w:t>
            </w:r>
          </w:p>
        </w:tc>
        <w:tc>
          <w:tcPr>
            <w:tcW w:w="708" w:type="dxa"/>
            <w:vMerge w:val="restart"/>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排气筒高度</w:t>
            </w:r>
            <w:r>
              <w:rPr>
                <w:rFonts w:ascii="Times New Roman" w:eastAsia="宋体" w:hint="eastAsia"/>
                <w:color w:val="000000" w:themeColor="text1"/>
                <w:sz w:val="18"/>
                <w:szCs w:val="18"/>
              </w:rPr>
              <w:t>/</w:t>
            </w:r>
            <w:r>
              <w:rPr>
                <w:rFonts w:ascii="Times New Roman" w:eastAsia="宋体"/>
                <w:color w:val="000000" w:themeColor="text1"/>
                <w:sz w:val="18"/>
                <w:szCs w:val="18"/>
              </w:rPr>
              <w:t>m</w:t>
            </w:r>
          </w:p>
        </w:tc>
        <w:tc>
          <w:tcPr>
            <w:tcW w:w="710" w:type="dxa"/>
            <w:vMerge w:val="restart"/>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排气筒出口内径</w:t>
            </w:r>
            <w:r>
              <w:rPr>
                <w:rFonts w:ascii="Times New Roman" w:eastAsia="宋体" w:hint="eastAsia"/>
                <w:color w:val="000000" w:themeColor="text1"/>
                <w:sz w:val="18"/>
                <w:szCs w:val="18"/>
              </w:rPr>
              <w:t>/</w:t>
            </w:r>
            <w:r>
              <w:rPr>
                <w:rFonts w:ascii="Times New Roman" w:eastAsia="宋体"/>
                <w:color w:val="000000" w:themeColor="text1"/>
                <w:sz w:val="18"/>
                <w:szCs w:val="18"/>
              </w:rPr>
              <w:t>m</w:t>
            </w:r>
          </w:p>
        </w:tc>
        <w:tc>
          <w:tcPr>
            <w:tcW w:w="708" w:type="dxa"/>
            <w:vMerge w:val="restart"/>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烟气流速</w:t>
            </w:r>
            <w:r>
              <w:rPr>
                <w:rFonts w:ascii="Times New Roman" w:eastAsia="宋体" w:hint="eastAsia"/>
                <w:color w:val="000000" w:themeColor="text1"/>
                <w:sz w:val="18"/>
                <w:szCs w:val="18"/>
              </w:rPr>
              <w:t>/</w:t>
            </w:r>
            <w:r>
              <w:rPr>
                <w:rFonts w:ascii="Times New Roman" w:eastAsia="宋体" w:hint="eastAsia"/>
                <w:color w:val="000000" w:themeColor="text1"/>
                <w:sz w:val="18"/>
                <w:szCs w:val="18"/>
              </w:rPr>
              <w:t>（</w:t>
            </w:r>
            <w:r>
              <w:rPr>
                <w:rFonts w:ascii="Times New Roman" w:eastAsia="宋体" w:hint="eastAsia"/>
                <w:color w:val="000000" w:themeColor="text1"/>
                <w:sz w:val="18"/>
                <w:szCs w:val="18"/>
              </w:rPr>
              <w:t>m</w:t>
            </w:r>
            <w:r>
              <w:rPr>
                <w:rFonts w:ascii="Times New Roman" w:eastAsia="宋体"/>
                <w:color w:val="000000" w:themeColor="text1"/>
                <w:sz w:val="18"/>
                <w:szCs w:val="18"/>
              </w:rPr>
              <w:t>/s</w:t>
            </w:r>
            <w:r>
              <w:rPr>
                <w:rFonts w:ascii="Times New Roman" w:eastAsia="宋体" w:hint="eastAsia"/>
                <w:color w:val="000000" w:themeColor="text1"/>
                <w:sz w:val="18"/>
                <w:szCs w:val="18"/>
              </w:rPr>
              <w:t>）</w:t>
            </w:r>
          </w:p>
        </w:tc>
        <w:tc>
          <w:tcPr>
            <w:tcW w:w="568" w:type="dxa"/>
            <w:vMerge w:val="restart"/>
            <w:vAlign w:val="center"/>
          </w:tcPr>
          <w:p w:rsidR="00C861DA" w:rsidRDefault="0044752E">
            <w:pPr>
              <w:jc w:val="center"/>
              <w:rPr>
                <w:rFonts w:ascii="宋体" w:eastAsia="Yu Mincho" w:hAnsi="宋体" w:cs="宋体"/>
                <w:color w:val="000000" w:themeColor="text1"/>
                <w:sz w:val="18"/>
                <w:szCs w:val="18"/>
                <w:lang w:eastAsia="ja-JP"/>
              </w:rPr>
            </w:pPr>
            <w:r>
              <w:rPr>
                <w:rFonts w:ascii="Times New Roman" w:eastAsia="宋体" w:hint="eastAsia"/>
                <w:color w:val="000000" w:themeColor="text1"/>
                <w:sz w:val="18"/>
                <w:szCs w:val="18"/>
              </w:rPr>
              <w:t>烟气温度</w:t>
            </w:r>
            <w:r>
              <w:rPr>
                <w:rFonts w:ascii="Times New Roman" w:eastAsia="宋体" w:hint="eastAsia"/>
                <w:color w:val="000000" w:themeColor="text1"/>
                <w:sz w:val="18"/>
                <w:szCs w:val="18"/>
              </w:rPr>
              <w:t>/</w:t>
            </w:r>
            <w:r>
              <w:rPr>
                <w:rFonts w:ascii="宋体" w:eastAsia="宋体" w:hAnsi="宋体" w:cs="宋体" w:hint="eastAsia"/>
                <w:color w:val="000000" w:themeColor="text1"/>
                <w:sz w:val="18"/>
                <w:szCs w:val="18"/>
                <w:lang w:eastAsia="ja-JP"/>
              </w:rPr>
              <w:t>℃</w:t>
            </w:r>
          </w:p>
        </w:tc>
        <w:tc>
          <w:tcPr>
            <w:tcW w:w="708" w:type="dxa"/>
            <w:vMerge w:val="restart"/>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年排放小时数</w:t>
            </w:r>
            <w:r>
              <w:rPr>
                <w:rFonts w:ascii="Times New Roman" w:eastAsia="宋体" w:hint="eastAsia"/>
                <w:color w:val="000000" w:themeColor="text1"/>
                <w:sz w:val="18"/>
                <w:szCs w:val="18"/>
              </w:rPr>
              <w:t>/</w:t>
            </w:r>
            <w:r>
              <w:rPr>
                <w:rFonts w:ascii="Times New Roman" w:eastAsia="宋体"/>
                <w:color w:val="000000" w:themeColor="text1"/>
                <w:sz w:val="18"/>
                <w:szCs w:val="18"/>
              </w:rPr>
              <w:br/>
              <w:t>h</w:t>
            </w:r>
          </w:p>
        </w:tc>
        <w:tc>
          <w:tcPr>
            <w:tcW w:w="708" w:type="dxa"/>
            <w:vMerge w:val="restart"/>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排放工况</w:t>
            </w:r>
          </w:p>
        </w:tc>
        <w:tc>
          <w:tcPr>
            <w:tcW w:w="1877" w:type="dxa"/>
            <w:gridSpan w:val="3"/>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污染物排放速率（</w:t>
            </w:r>
            <w:r>
              <w:rPr>
                <w:rFonts w:ascii="Times New Roman" w:eastAsia="宋体" w:hint="eastAsia"/>
                <w:color w:val="000000" w:themeColor="text1"/>
                <w:sz w:val="18"/>
                <w:szCs w:val="18"/>
              </w:rPr>
              <w:t>kg</w:t>
            </w:r>
            <w:r>
              <w:rPr>
                <w:rFonts w:ascii="Times New Roman" w:eastAsia="宋体"/>
                <w:color w:val="000000" w:themeColor="text1"/>
                <w:sz w:val="18"/>
                <w:szCs w:val="18"/>
              </w:rPr>
              <w:t>/h</w:t>
            </w:r>
            <w:r>
              <w:rPr>
                <w:rFonts w:ascii="Times New Roman" w:eastAsia="宋体" w:hint="eastAsia"/>
                <w:color w:val="000000" w:themeColor="text1"/>
                <w:sz w:val="18"/>
                <w:szCs w:val="18"/>
              </w:rPr>
              <w:t>）</w:t>
            </w:r>
          </w:p>
        </w:tc>
      </w:tr>
      <w:tr w:rsidR="00C861DA">
        <w:trPr>
          <w:trHeight w:val="369"/>
          <w:jc w:val="center"/>
        </w:trPr>
        <w:tc>
          <w:tcPr>
            <w:tcW w:w="421" w:type="dxa"/>
            <w:vMerge/>
            <w:vAlign w:val="center"/>
          </w:tcPr>
          <w:p w:rsidR="00C861DA" w:rsidRDefault="00C861DA">
            <w:pPr>
              <w:jc w:val="center"/>
              <w:rPr>
                <w:rFonts w:ascii="Times New Roman" w:eastAsia="宋体"/>
                <w:color w:val="000000" w:themeColor="text1"/>
                <w:sz w:val="18"/>
                <w:szCs w:val="18"/>
              </w:rPr>
            </w:pPr>
          </w:p>
        </w:tc>
        <w:tc>
          <w:tcPr>
            <w:tcW w:w="993" w:type="dxa"/>
            <w:vMerge/>
            <w:vAlign w:val="center"/>
          </w:tcPr>
          <w:p w:rsidR="00C861DA" w:rsidRDefault="00C861DA">
            <w:pPr>
              <w:jc w:val="center"/>
              <w:rPr>
                <w:rFonts w:ascii="Times New Roman" w:eastAsia="宋体"/>
                <w:color w:val="000000" w:themeColor="text1"/>
                <w:sz w:val="18"/>
                <w:szCs w:val="18"/>
              </w:rPr>
            </w:pP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X</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Y</w:t>
            </w:r>
          </w:p>
        </w:tc>
        <w:tc>
          <w:tcPr>
            <w:tcW w:w="712" w:type="dxa"/>
            <w:vMerge/>
            <w:vAlign w:val="center"/>
          </w:tcPr>
          <w:p w:rsidR="00C861DA" w:rsidRDefault="00C861DA">
            <w:pPr>
              <w:jc w:val="center"/>
              <w:rPr>
                <w:rFonts w:ascii="Times New Roman" w:eastAsia="宋体"/>
                <w:color w:val="000000" w:themeColor="text1"/>
                <w:sz w:val="18"/>
                <w:szCs w:val="18"/>
              </w:rPr>
            </w:pPr>
          </w:p>
        </w:tc>
        <w:tc>
          <w:tcPr>
            <w:tcW w:w="708" w:type="dxa"/>
            <w:vMerge/>
            <w:vAlign w:val="center"/>
          </w:tcPr>
          <w:p w:rsidR="00C861DA" w:rsidRDefault="00C861DA">
            <w:pPr>
              <w:jc w:val="center"/>
              <w:rPr>
                <w:rFonts w:ascii="Times New Roman" w:eastAsia="宋体"/>
                <w:color w:val="000000" w:themeColor="text1"/>
                <w:sz w:val="18"/>
                <w:szCs w:val="18"/>
              </w:rPr>
            </w:pPr>
          </w:p>
        </w:tc>
        <w:tc>
          <w:tcPr>
            <w:tcW w:w="710" w:type="dxa"/>
            <w:vMerge/>
            <w:vAlign w:val="center"/>
          </w:tcPr>
          <w:p w:rsidR="00C861DA" w:rsidRDefault="00C861DA">
            <w:pPr>
              <w:jc w:val="center"/>
              <w:rPr>
                <w:rFonts w:ascii="Times New Roman" w:eastAsia="宋体"/>
                <w:color w:val="000000" w:themeColor="text1"/>
                <w:sz w:val="18"/>
                <w:szCs w:val="18"/>
              </w:rPr>
            </w:pPr>
          </w:p>
        </w:tc>
        <w:tc>
          <w:tcPr>
            <w:tcW w:w="708" w:type="dxa"/>
            <w:vMerge/>
            <w:vAlign w:val="center"/>
          </w:tcPr>
          <w:p w:rsidR="00C861DA" w:rsidRDefault="00C861DA">
            <w:pPr>
              <w:jc w:val="center"/>
              <w:rPr>
                <w:rFonts w:ascii="Times New Roman" w:eastAsia="宋体"/>
                <w:color w:val="000000" w:themeColor="text1"/>
                <w:sz w:val="18"/>
                <w:szCs w:val="18"/>
              </w:rPr>
            </w:pPr>
          </w:p>
        </w:tc>
        <w:tc>
          <w:tcPr>
            <w:tcW w:w="568" w:type="dxa"/>
            <w:vMerge/>
            <w:vAlign w:val="center"/>
          </w:tcPr>
          <w:p w:rsidR="00C861DA" w:rsidRDefault="00C861DA">
            <w:pPr>
              <w:jc w:val="center"/>
              <w:rPr>
                <w:rFonts w:ascii="Times New Roman" w:eastAsia="宋体"/>
                <w:color w:val="000000" w:themeColor="text1"/>
                <w:sz w:val="18"/>
                <w:szCs w:val="18"/>
              </w:rPr>
            </w:pPr>
          </w:p>
        </w:tc>
        <w:tc>
          <w:tcPr>
            <w:tcW w:w="708" w:type="dxa"/>
            <w:vMerge/>
            <w:vAlign w:val="center"/>
          </w:tcPr>
          <w:p w:rsidR="00C861DA" w:rsidRDefault="00C861DA">
            <w:pPr>
              <w:jc w:val="center"/>
              <w:rPr>
                <w:rFonts w:ascii="Times New Roman" w:eastAsia="宋体"/>
                <w:color w:val="000000" w:themeColor="text1"/>
                <w:sz w:val="18"/>
                <w:szCs w:val="18"/>
              </w:rPr>
            </w:pPr>
          </w:p>
        </w:tc>
        <w:tc>
          <w:tcPr>
            <w:tcW w:w="708" w:type="dxa"/>
            <w:vMerge/>
            <w:vAlign w:val="center"/>
          </w:tcPr>
          <w:p w:rsidR="00C861DA" w:rsidRDefault="00C861DA">
            <w:pPr>
              <w:jc w:val="center"/>
              <w:rPr>
                <w:rFonts w:ascii="Times New Roman" w:eastAsia="宋体"/>
                <w:color w:val="000000" w:themeColor="text1"/>
                <w:sz w:val="18"/>
                <w:szCs w:val="18"/>
              </w:rPr>
            </w:pP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氨</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NO</w:t>
            </w:r>
            <w:r>
              <w:rPr>
                <w:rFonts w:ascii="Times New Roman" w:eastAsia="宋体" w:hint="eastAsia"/>
                <w:color w:val="000000" w:themeColor="text1"/>
                <w:sz w:val="18"/>
                <w:szCs w:val="18"/>
                <w:vertAlign w:val="subscript"/>
              </w:rPr>
              <w:t>X</w:t>
            </w:r>
          </w:p>
        </w:tc>
        <w:tc>
          <w:tcPr>
            <w:tcW w:w="597"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颗粒</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5</w:t>
            </w:r>
            <w:r>
              <w:rPr>
                <w:rFonts w:ascii="Times New Roman" w:eastAsia="宋体"/>
                <w:color w:val="000000" w:themeColor="text1"/>
                <w:sz w:val="18"/>
                <w:szCs w:val="18"/>
              </w:rPr>
              <w:t>7</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45</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Ansi="Times New Roman" w:cs="Times New Roman"/>
                <w:color w:val="000000" w:themeColor="text1"/>
                <w:sz w:val="18"/>
                <w:szCs w:val="18"/>
              </w:rPr>
              <w:t>1899</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4</w:t>
            </w:r>
            <w:r>
              <w:rPr>
                <w:rFonts w:ascii="Times New Roman" w:eastAsia="宋体"/>
                <w:color w:val="000000" w:themeColor="text1"/>
                <w:sz w:val="18"/>
                <w:szCs w:val="18"/>
              </w:rPr>
              <w:t>8</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1.2</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25.06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6</w:t>
            </w:r>
            <w:r>
              <w:rPr>
                <w:rFonts w:ascii="Times New Roman" w:eastAsia="宋体"/>
                <w:color w:val="000000" w:themeColor="text1"/>
                <w:sz w:val="18"/>
                <w:szCs w:val="18"/>
              </w:rPr>
              <w:t>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400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3</w:t>
            </w:r>
            <w:r>
              <w:rPr>
                <w:rFonts w:ascii="Times New Roman" w:eastAsia="宋体"/>
                <w:color w:val="000000" w:themeColor="text1"/>
                <w:sz w:val="18"/>
                <w:szCs w:val="18"/>
              </w:rPr>
              <w:t>.55</w:t>
            </w:r>
          </w:p>
        </w:tc>
        <w:tc>
          <w:tcPr>
            <w:tcW w:w="597"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r>
              <w:rPr>
                <w:rFonts w:ascii="Times New Roman" w:eastAsia="宋体"/>
                <w:color w:val="000000" w:themeColor="text1"/>
                <w:sz w:val="18"/>
                <w:szCs w:val="18"/>
              </w:rPr>
              <w:t>45</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6</w:t>
            </w:r>
            <w:r>
              <w:rPr>
                <w:rFonts w:ascii="Times New Roman" w:eastAsia="宋体"/>
                <w:color w:val="000000" w:themeColor="text1"/>
                <w:sz w:val="18"/>
                <w:szCs w:val="18"/>
              </w:rPr>
              <w:t>6</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900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5</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.5</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7.08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5</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400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68"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97"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.18</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3</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3</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r>
              <w:rPr>
                <w:rFonts w:ascii="Times New Roman" w:eastAsia="宋体"/>
                <w:color w:val="000000" w:themeColor="text1"/>
                <w:sz w:val="18"/>
                <w:szCs w:val="18"/>
              </w:rPr>
              <w:t>54</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01</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899</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00</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.2</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18.43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4</w:t>
            </w:r>
            <w:r>
              <w:rPr>
                <w:rFonts w:ascii="Times New Roman" w:eastAsia="宋体"/>
                <w:color w:val="000000" w:themeColor="text1"/>
                <w:sz w:val="18"/>
                <w:szCs w:val="18"/>
              </w:rPr>
              <w:t>5</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400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.5</w:t>
            </w:r>
          </w:p>
        </w:tc>
        <w:tc>
          <w:tcPr>
            <w:tcW w:w="568"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97"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.33</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4</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4</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r>
              <w:rPr>
                <w:rFonts w:ascii="Times New Roman" w:eastAsia="宋体"/>
                <w:color w:val="000000" w:themeColor="text1"/>
                <w:sz w:val="18"/>
                <w:szCs w:val="18"/>
              </w:rPr>
              <w:t>39</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82</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899</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5</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.5</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10.62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5</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400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68"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97"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.42</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5</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5</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5</w:t>
            </w:r>
            <w:r>
              <w:rPr>
                <w:rFonts w:ascii="Times New Roman" w:eastAsia="宋体"/>
                <w:color w:val="000000" w:themeColor="text1"/>
                <w:sz w:val="18"/>
                <w:szCs w:val="18"/>
              </w:rPr>
              <w:t>0</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6</w:t>
            </w:r>
            <w:r>
              <w:rPr>
                <w:rFonts w:ascii="Times New Roman" w:eastAsia="宋体"/>
                <w:color w:val="000000" w:themeColor="text1"/>
                <w:sz w:val="18"/>
                <w:szCs w:val="18"/>
              </w:rPr>
              <w:t>8</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897</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3</w:t>
            </w:r>
            <w:r>
              <w:rPr>
                <w:rFonts w:ascii="Times New Roman" w:eastAsia="宋体"/>
                <w:color w:val="000000" w:themeColor="text1"/>
                <w:sz w:val="18"/>
                <w:szCs w:val="18"/>
              </w:rPr>
              <w:t>0</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.8</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2.76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5</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400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.0125</w:t>
            </w:r>
          </w:p>
        </w:tc>
        <w:tc>
          <w:tcPr>
            <w:tcW w:w="568"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97"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6</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6</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4</w:t>
            </w:r>
            <w:r>
              <w:rPr>
                <w:rFonts w:ascii="Times New Roman" w:eastAsia="宋体"/>
                <w:color w:val="000000" w:themeColor="text1"/>
                <w:sz w:val="18"/>
                <w:szCs w:val="18"/>
              </w:rPr>
              <w:t>5</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35</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897</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3</w:t>
            </w:r>
            <w:r>
              <w:rPr>
                <w:rFonts w:ascii="Times New Roman" w:eastAsia="宋体"/>
                <w:color w:val="000000" w:themeColor="text1"/>
                <w:sz w:val="18"/>
                <w:szCs w:val="18"/>
              </w:rPr>
              <w:t>0</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.8</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1.66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5</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400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.056</w:t>
            </w:r>
          </w:p>
        </w:tc>
        <w:tc>
          <w:tcPr>
            <w:tcW w:w="568"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97"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7</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7</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4</w:t>
            </w:r>
            <w:r>
              <w:rPr>
                <w:rFonts w:ascii="Times New Roman" w:eastAsia="宋体"/>
                <w:color w:val="000000" w:themeColor="text1"/>
                <w:sz w:val="18"/>
                <w:szCs w:val="18"/>
              </w:rPr>
              <w:t>8</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3</w:t>
            </w:r>
            <w:r>
              <w:rPr>
                <w:rFonts w:ascii="Times New Roman" w:eastAsia="宋体"/>
                <w:color w:val="000000" w:themeColor="text1"/>
                <w:sz w:val="18"/>
                <w:szCs w:val="18"/>
              </w:rPr>
              <w:t>5</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898</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5</w:t>
            </w:r>
            <w:r>
              <w:rPr>
                <w:rFonts w:ascii="Times New Roman" w:eastAsia="宋体"/>
                <w:color w:val="000000" w:themeColor="text1"/>
                <w:sz w:val="18"/>
                <w:szCs w:val="18"/>
              </w:rPr>
              <w:t>0</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.2</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4.42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5</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400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.475</w:t>
            </w:r>
          </w:p>
        </w:tc>
        <w:tc>
          <w:tcPr>
            <w:tcW w:w="568"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97"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8</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8</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3</w:t>
            </w:r>
            <w:r>
              <w:rPr>
                <w:rFonts w:ascii="Times New Roman" w:eastAsia="宋体"/>
                <w:color w:val="000000" w:themeColor="text1"/>
                <w:sz w:val="18"/>
                <w:szCs w:val="18"/>
              </w:rPr>
              <w:t>5</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6</w:t>
            </w:r>
            <w:r>
              <w:rPr>
                <w:rFonts w:ascii="Times New Roman" w:eastAsia="宋体"/>
                <w:color w:val="000000" w:themeColor="text1"/>
                <w:sz w:val="18"/>
                <w:szCs w:val="18"/>
              </w:rPr>
              <w:t>9</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897</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5</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.5</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10.62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5</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400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.276</w:t>
            </w:r>
          </w:p>
        </w:tc>
        <w:tc>
          <w:tcPr>
            <w:tcW w:w="568"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97"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9</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9</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897</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10</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2.4</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30.72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4</w:t>
            </w:r>
            <w:r>
              <w:rPr>
                <w:rFonts w:ascii="Times New Roman" w:eastAsia="宋体"/>
                <w:color w:val="000000" w:themeColor="text1"/>
                <w:sz w:val="18"/>
                <w:szCs w:val="18"/>
              </w:rPr>
              <w:t>5</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400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4</w:t>
            </w:r>
            <w:r>
              <w:rPr>
                <w:rFonts w:ascii="Times New Roman" w:eastAsia="宋体"/>
                <w:color w:val="000000" w:themeColor="text1"/>
                <w:sz w:val="18"/>
                <w:szCs w:val="18"/>
              </w:rPr>
              <w:t>.17</w:t>
            </w:r>
          </w:p>
        </w:tc>
        <w:tc>
          <w:tcPr>
            <w:tcW w:w="568"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97"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3</w:t>
            </w:r>
            <w:r>
              <w:rPr>
                <w:rFonts w:ascii="Times New Roman" w:eastAsia="宋体"/>
                <w:color w:val="000000" w:themeColor="text1"/>
                <w:sz w:val="18"/>
                <w:szCs w:val="18"/>
              </w:rPr>
              <w:t>.89</w:t>
            </w:r>
          </w:p>
        </w:tc>
      </w:tr>
    </w:tbl>
    <w:p w:rsidR="00C861DA" w:rsidRDefault="00C861DA">
      <w:pPr>
        <w:rPr>
          <w:color w:val="000000" w:themeColor="text1"/>
        </w:rPr>
      </w:pPr>
    </w:p>
    <w:p w:rsidR="00C861DA" w:rsidRDefault="00C861DA">
      <w:pPr>
        <w:rPr>
          <w:color w:val="000000" w:themeColor="text1"/>
        </w:rPr>
      </w:pPr>
    </w:p>
    <w:p w:rsidR="00C861DA" w:rsidRDefault="00C861DA">
      <w:pPr>
        <w:rPr>
          <w:color w:val="000000" w:themeColor="text1"/>
        </w:rPr>
      </w:pPr>
    </w:p>
    <w:p w:rsidR="00C861DA" w:rsidRDefault="00C861DA">
      <w:pPr>
        <w:rPr>
          <w:color w:val="000000" w:themeColor="text1"/>
        </w:rPr>
      </w:pPr>
    </w:p>
    <w:p w:rsidR="00C861DA" w:rsidRDefault="0044752E">
      <w:pPr>
        <w:jc w:val="center"/>
        <w:rPr>
          <w:rFonts w:ascii="Times New Roman" w:eastAsia="宋体"/>
          <w:bCs/>
          <w:color w:val="000000" w:themeColor="text1"/>
          <w:szCs w:val="24"/>
        </w:rPr>
      </w:pPr>
      <w:r>
        <w:rPr>
          <w:noProof/>
          <w:color w:val="000000" w:themeColor="text1"/>
        </w:rPr>
        <w:drawing>
          <wp:inline distT="0" distB="0" distL="0" distR="0">
            <wp:extent cx="4572635" cy="4398010"/>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4584870" cy="4410381"/>
                    </a:xfrm>
                    <a:prstGeom prst="rect">
                      <a:avLst/>
                    </a:prstGeom>
                  </pic:spPr>
                </pic:pic>
              </a:graphicData>
            </a:graphic>
          </wp:inline>
        </w:drawing>
      </w:r>
    </w:p>
    <w:p w:rsidR="00C861DA" w:rsidRDefault="0044752E">
      <w:pPr>
        <w:spacing w:line="360" w:lineRule="auto"/>
        <w:jc w:val="center"/>
        <w:rPr>
          <w:rFonts w:ascii="Times New Roman" w:eastAsia="宋体"/>
          <w:b/>
          <w:bCs/>
          <w:color w:val="000000" w:themeColor="text1"/>
          <w:sz w:val="24"/>
          <w:szCs w:val="24"/>
        </w:rPr>
      </w:pPr>
      <w:r>
        <w:rPr>
          <w:rFonts w:ascii="Times New Roman" w:eastAsia="宋体" w:hint="eastAsia"/>
          <w:b/>
          <w:bCs/>
          <w:color w:val="000000" w:themeColor="text1"/>
          <w:sz w:val="24"/>
          <w:szCs w:val="24"/>
        </w:rPr>
        <w:t>图</w:t>
      </w:r>
      <w:r>
        <w:rPr>
          <w:rFonts w:ascii="Times New Roman" w:eastAsia="宋体" w:hint="eastAsia"/>
          <w:b/>
          <w:bCs/>
          <w:color w:val="000000" w:themeColor="text1"/>
          <w:sz w:val="24"/>
          <w:szCs w:val="24"/>
        </w:rPr>
        <w:t>2</w:t>
      </w:r>
      <w:r>
        <w:rPr>
          <w:rFonts w:ascii="Times New Roman" w:eastAsia="宋体"/>
          <w:b/>
          <w:bCs/>
          <w:color w:val="000000" w:themeColor="text1"/>
          <w:sz w:val="24"/>
          <w:szCs w:val="24"/>
        </w:rPr>
        <w:t xml:space="preserve">.6-1  </w:t>
      </w:r>
      <w:r>
        <w:rPr>
          <w:rFonts w:ascii="Times New Roman" w:eastAsia="宋体" w:hint="eastAsia"/>
          <w:b/>
          <w:bCs/>
          <w:color w:val="000000" w:themeColor="text1"/>
          <w:sz w:val="24"/>
          <w:szCs w:val="24"/>
        </w:rPr>
        <w:t>估算模式筛选气象参数截图</w:t>
      </w:r>
    </w:p>
    <w:p w:rsidR="00C861DA" w:rsidRDefault="0044752E">
      <w:pPr>
        <w:jc w:val="center"/>
        <w:rPr>
          <w:rFonts w:ascii="Times New Roman" w:eastAsia="宋体"/>
          <w:bCs/>
          <w:color w:val="000000" w:themeColor="text1"/>
          <w:szCs w:val="24"/>
        </w:rPr>
      </w:pPr>
      <w:r>
        <w:rPr>
          <w:rFonts w:ascii="Times New Roman" w:eastAsia="宋体"/>
          <w:bCs/>
          <w:noProof/>
          <w:color w:val="000000" w:themeColor="text1"/>
          <w:szCs w:val="24"/>
        </w:rPr>
        <w:drawing>
          <wp:inline distT="0" distB="0" distL="0" distR="0">
            <wp:extent cx="4536440" cy="3670300"/>
            <wp:effectExtent l="0" t="0" r="0" b="6350"/>
            <wp:docPr id="14" name="图片 14" descr="C:\Users\Administrator\Desktop\等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等级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46512" cy="3678920"/>
                    </a:xfrm>
                    <a:prstGeom prst="rect">
                      <a:avLst/>
                    </a:prstGeom>
                    <a:noFill/>
                    <a:ln>
                      <a:noFill/>
                    </a:ln>
                  </pic:spPr>
                </pic:pic>
              </a:graphicData>
            </a:graphic>
          </wp:inline>
        </w:drawing>
      </w:r>
    </w:p>
    <w:p w:rsidR="00C861DA" w:rsidRDefault="0044752E">
      <w:pPr>
        <w:jc w:val="center"/>
        <w:rPr>
          <w:rFonts w:ascii="Times New Roman" w:eastAsia="宋体"/>
          <w:b/>
          <w:bCs/>
          <w:color w:val="000000" w:themeColor="text1"/>
          <w:sz w:val="24"/>
          <w:szCs w:val="24"/>
        </w:rPr>
      </w:pPr>
      <w:r>
        <w:rPr>
          <w:rFonts w:ascii="Times New Roman" w:eastAsia="宋体" w:hint="eastAsia"/>
          <w:b/>
          <w:bCs/>
          <w:color w:val="000000" w:themeColor="text1"/>
          <w:sz w:val="24"/>
          <w:szCs w:val="24"/>
        </w:rPr>
        <w:t>图</w:t>
      </w:r>
      <w:r>
        <w:rPr>
          <w:rFonts w:ascii="Times New Roman" w:eastAsia="宋体" w:hint="eastAsia"/>
          <w:b/>
          <w:bCs/>
          <w:color w:val="000000" w:themeColor="text1"/>
          <w:sz w:val="24"/>
          <w:szCs w:val="24"/>
        </w:rPr>
        <w:t>2</w:t>
      </w:r>
      <w:r>
        <w:rPr>
          <w:rFonts w:ascii="Times New Roman" w:eastAsia="宋体"/>
          <w:b/>
          <w:bCs/>
          <w:color w:val="000000" w:themeColor="text1"/>
          <w:sz w:val="24"/>
          <w:szCs w:val="24"/>
        </w:rPr>
        <w:t xml:space="preserve">.6-2  </w:t>
      </w:r>
      <w:r>
        <w:rPr>
          <w:rFonts w:ascii="Times New Roman" w:eastAsia="宋体" w:hint="eastAsia"/>
          <w:b/>
          <w:bCs/>
          <w:color w:val="000000" w:themeColor="text1"/>
          <w:sz w:val="24"/>
          <w:szCs w:val="24"/>
        </w:rPr>
        <w:t>估算模式筛选方案参数截图</w:t>
      </w:r>
    </w:p>
    <w:p w:rsidR="00C861DA" w:rsidRDefault="00C861DA">
      <w:pPr>
        <w:pStyle w:val="affffffff5"/>
        <w:spacing w:before="0" w:line="360" w:lineRule="auto"/>
        <w:rPr>
          <w:rFonts w:ascii="Times New Roman" w:eastAsia="宋体"/>
          <w:b/>
          <w:color w:val="000000" w:themeColor="text1"/>
        </w:rPr>
      </w:pPr>
    </w:p>
    <w:p w:rsidR="00C861DA" w:rsidRDefault="0044752E">
      <w:pPr>
        <w:jc w:val="center"/>
        <w:rPr>
          <w:rFonts w:ascii="Times New Roman" w:eastAsia="宋体"/>
          <w:b/>
          <w:bCs/>
          <w:color w:val="000000" w:themeColor="text1"/>
          <w:sz w:val="24"/>
          <w:szCs w:val="24"/>
        </w:rPr>
      </w:pPr>
      <w:r>
        <w:rPr>
          <w:rFonts w:ascii="Times New Roman" w:eastAsia="宋体"/>
          <w:b/>
          <w:bCs/>
          <w:color w:val="000000" w:themeColor="text1"/>
          <w:sz w:val="24"/>
          <w:szCs w:val="24"/>
        </w:rPr>
        <w:t>表</w:t>
      </w:r>
      <w:r>
        <w:rPr>
          <w:rFonts w:ascii="Times New Roman" w:eastAsia="宋体"/>
          <w:b/>
          <w:bCs/>
          <w:color w:val="000000" w:themeColor="text1"/>
          <w:sz w:val="24"/>
          <w:szCs w:val="24"/>
        </w:rPr>
        <w:t xml:space="preserve">2.6-6  </w:t>
      </w:r>
      <w:r>
        <w:rPr>
          <w:rFonts w:ascii="Times New Roman" w:eastAsia="宋体"/>
          <w:b/>
          <w:bCs/>
          <w:color w:val="000000" w:themeColor="text1"/>
          <w:sz w:val="24"/>
          <w:szCs w:val="24"/>
        </w:rPr>
        <w:t>采用估算模式计算结果表</w:t>
      </w:r>
    </w:p>
    <w:tbl>
      <w:tblPr>
        <w:tblStyle w:val="affa"/>
        <w:tblW w:w="8296" w:type="dxa"/>
        <w:jc w:val="center"/>
        <w:tblLayout w:type="fixed"/>
        <w:tblLook w:val="04A0" w:firstRow="1" w:lastRow="0" w:firstColumn="1" w:lastColumn="0" w:noHBand="0" w:noVBand="1"/>
      </w:tblPr>
      <w:tblGrid>
        <w:gridCol w:w="2288"/>
        <w:gridCol w:w="2366"/>
        <w:gridCol w:w="1312"/>
        <w:gridCol w:w="1183"/>
        <w:gridCol w:w="1147"/>
      </w:tblGrid>
      <w:tr w:rsidR="00C861DA">
        <w:trPr>
          <w:trHeight w:val="369"/>
          <w:jc w:val="center"/>
        </w:trPr>
        <w:tc>
          <w:tcPr>
            <w:tcW w:w="228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污染源名称</w:t>
            </w:r>
          </w:p>
        </w:tc>
        <w:tc>
          <w:tcPr>
            <w:tcW w:w="4861" w:type="dxa"/>
            <w:gridSpan w:val="3"/>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污染物占标率</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hint="eastAsia"/>
                <w:color w:val="000000" w:themeColor="text1"/>
                <w:kern w:val="0"/>
                <w:szCs w:val="20"/>
              </w:rPr>
              <w:t>）</w:t>
            </w:r>
          </w:p>
        </w:tc>
        <w:tc>
          <w:tcPr>
            <w:tcW w:w="1147" w:type="dxa"/>
            <w:vMerge w:val="restart"/>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评价等级</w:t>
            </w:r>
          </w:p>
        </w:tc>
      </w:tr>
      <w:tr w:rsidR="00C861DA">
        <w:trPr>
          <w:trHeight w:val="369"/>
          <w:jc w:val="center"/>
        </w:trPr>
        <w:tc>
          <w:tcPr>
            <w:tcW w:w="228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1</w:t>
            </w:r>
            <w:r>
              <w:rPr>
                <w:rFonts w:ascii="Times New Roman" w:eastAsia="宋体" w:hAnsi="Times New Roman" w:cs="Times New Roman"/>
                <w:color w:val="000000" w:themeColor="text1"/>
                <w:kern w:val="0"/>
                <w:szCs w:val="20"/>
              </w:rPr>
              <w:t>#</w:t>
            </w:r>
            <w:r>
              <w:rPr>
                <w:rFonts w:ascii="Times New Roman" w:eastAsia="宋体" w:hAnsi="Times New Roman" w:cs="Times New Roman" w:hint="eastAsia"/>
                <w:color w:val="000000" w:themeColor="text1"/>
                <w:kern w:val="0"/>
                <w:szCs w:val="20"/>
              </w:rPr>
              <w:t>排气筒</w:t>
            </w:r>
          </w:p>
        </w:tc>
        <w:tc>
          <w:tcPr>
            <w:tcW w:w="236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颗粒物（</w:t>
            </w:r>
            <w:r>
              <w:rPr>
                <w:rFonts w:ascii="Times New Roman" w:eastAsia="宋体" w:hAnsi="Times New Roman" w:cs="Times New Roman" w:hint="eastAsia"/>
                <w:color w:val="000000" w:themeColor="text1"/>
                <w:kern w:val="0"/>
                <w:szCs w:val="20"/>
              </w:rPr>
              <w:t>PM</w:t>
            </w:r>
            <w:r>
              <w:rPr>
                <w:rFonts w:ascii="Times New Roman" w:eastAsia="宋体" w:hAnsi="Times New Roman" w:cs="Times New Roman"/>
                <w:color w:val="000000" w:themeColor="text1"/>
                <w:kern w:val="0"/>
                <w:szCs w:val="20"/>
                <w:vertAlign w:val="subscript"/>
              </w:rPr>
              <w:t>10</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D</w:t>
            </w:r>
            <w:r>
              <w:rPr>
                <w:rFonts w:ascii="Times New Roman" w:eastAsia="宋体" w:hAnsi="Times New Roman" w:cs="Times New Roman"/>
                <w:color w:val="000000" w:themeColor="text1"/>
                <w:kern w:val="0"/>
                <w:szCs w:val="20"/>
                <w:vertAlign w:val="subscript"/>
              </w:rPr>
              <w:t>10%</w:t>
            </w:r>
          </w:p>
        </w:tc>
        <w:tc>
          <w:tcPr>
            <w:tcW w:w="131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氨</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D</w:t>
            </w:r>
            <w:r>
              <w:rPr>
                <w:rFonts w:ascii="Times New Roman" w:eastAsia="宋体" w:hAnsi="Times New Roman" w:cs="Times New Roman"/>
                <w:color w:val="000000" w:themeColor="text1"/>
                <w:kern w:val="0"/>
                <w:szCs w:val="20"/>
                <w:vertAlign w:val="subscript"/>
              </w:rPr>
              <w:t>10%</w:t>
            </w:r>
          </w:p>
        </w:tc>
        <w:tc>
          <w:tcPr>
            <w:tcW w:w="118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NO</w:t>
            </w:r>
            <w:r>
              <w:rPr>
                <w:rFonts w:ascii="Times New Roman" w:eastAsia="宋体" w:hAnsi="Times New Roman" w:cs="Times New Roman" w:hint="eastAsia"/>
                <w:color w:val="000000" w:themeColor="text1"/>
                <w:kern w:val="0"/>
                <w:szCs w:val="20"/>
                <w:vertAlign w:val="subscript"/>
              </w:rPr>
              <w:t>X</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D</w:t>
            </w:r>
            <w:r>
              <w:rPr>
                <w:rFonts w:ascii="Times New Roman" w:eastAsia="宋体" w:hAnsi="Times New Roman" w:cs="Times New Roman"/>
                <w:color w:val="000000" w:themeColor="text1"/>
                <w:kern w:val="0"/>
                <w:szCs w:val="20"/>
                <w:vertAlign w:val="subscript"/>
              </w:rPr>
              <w:t>10%</w:t>
            </w:r>
          </w:p>
        </w:tc>
        <w:tc>
          <w:tcPr>
            <w:tcW w:w="114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Cs w:val="20"/>
              </w:rPr>
            </w:pPr>
          </w:p>
        </w:tc>
      </w:tr>
      <w:tr w:rsidR="00C861DA">
        <w:trPr>
          <w:trHeight w:val="369"/>
          <w:jc w:val="center"/>
        </w:trPr>
        <w:tc>
          <w:tcPr>
            <w:tcW w:w="228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2#</w:t>
            </w:r>
            <w:r>
              <w:rPr>
                <w:rFonts w:ascii="Times New Roman" w:eastAsia="宋体" w:hAnsi="Times New Roman" w:cs="Times New Roman" w:hint="eastAsia"/>
                <w:color w:val="000000" w:themeColor="text1"/>
                <w:kern w:val="0"/>
                <w:szCs w:val="20"/>
              </w:rPr>
              <w:t>排气筒</w:t>
            </w:r>
          </w:p>
        </w:tc>
        <w:tc>
          <w:tcPr>
            <w:tcW w:w="236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 w:val="20"/>
                <w:szCs w:val="20"/>
              </w:rPr>
              <w:t>70.44|1800</w:t>
            </w:r>
          </w:p>
        </w:tc>
        <w:tc>
          <w:tcPr>
            <w:tcW w:w="131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 w:val="20"/>
                <w:szCs w:val="20"/>
              </w:rPr>
              <w:t>0.00|0</w:t>
            </w:r>
          </w:p>
        </w:tc>
        <w:tc>
          <w:tcPr>
            <w:tcW w:w="118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 w:val="20"/>
                <w:szCs w:val="20"/>
              </w:rPr>
              <w:t>0.00|0</w:t>
            </w:r>
          </w:p>
        </w:tc>
        <w:tc>
          <w:tcPr>
            <w:tcW w:w="114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一级</w:t>
            </w:r>
          </w:p>
        </w:tc>
      </w:tr>
      <w:tr w:rsidR="00C861DA">
        <w:trPr>
          <w:trHeight w:val="369"/>
          <w:jc w:val="center"/>
        </w:trPr>
        <w:tc>
          <w:tcPr>
            <w:tcW w:w="228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3#</w:t>
            </w:r>
            <w:r>
              <w:rPr>
                <w:rFonts w:ascii="Times New Roman" w:eastAsia="宋体" w:hAnsi="Times New Roman" w:cs="Times New Roman" w:hint="eastAsia"/>
                <w:color w:val="000000" w:themeColor="text1"/>
                <w:kern w:val="0"/>
                <w:szCs w:val="20"/>
              </w:rPr>
              <w:t>排气筒</w:t>
            </w:r>
          </w:p>
        </w:tc>
        <w:tc>
          <w:tcPr>
            <w:tcW w:w="236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 w:val="20"/>
                <w:szCs w:val="20"/>
              </w:rPr>
              <w:t>0.00|0</w:t>
            </w:r>
          </w:p>
        </w:tc>
        <w:tc>
          <w:tcPr>
            <w:tcW w:w="131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 w:val="20"/>
                <w:szCs w:val="20"/>
              </w:rPr>
              <w:t>66.34|1375</w:t>
            </w:r>
          </w:p>
        </w:tc>
        <w:tc>
          <w:tcPr>
            <w:tcW w:w="118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 w:val="20"/>
                <w:szCs w:val="20"/>
              </w:rPr>
              <w:t>0.00|0</w:t>
            </w:r>
          </w:p>
        </w:tc>
        <w:tc>
          <w:tcPr>
            <w:tcW w:w="114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一级</w:t>
            </w:r>
          </w:p>
        </w:tc>
      </w:tr>
      <w:tr w:rsidR="00C861DA">
        <w:trPr>
          <w:trHeight w:val="369"/>
          <w:jc w:val="center"/>
        </w:trPr>
        <w:tc>
          <w:tcPr>
            <w:tcW w:w="228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4#</w:t>
            </w:r>
            <w:r>
              <w:rPr>
                <w:rFonts w:ascii="Times New Roman" w:eastAsia="宋体" w:hAnsi="Times New Roman" w:cs="Times New Roman" w:hint="eastAsia"/>
                <w:color w:val="000000" w:themeColor="text1"/>
                <w:kern w:val="0"/>
                <w:szCs w:val="20"/>
              </w:rPr>
              <w:t>排气筒</w:t>
            </w:r>
          </w:p>
        </w:tc>
        <w:tc>
          <w:tcPr>
            <w:tcW w:w="236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 w:val="20"/>
                <w:szCs w:val="20"/>
              </w:rPr>
              <w:t>0.00|0</w:t>
            </w:r>
          </w:p>
        </w:tc>
        <w:tc>
          <w:tcPr>
            <w:tcW w:w="131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 w:val="20"/>
                <w:szCs w:val="20"/>
              </w:rPr>
              <w:t>76.64|1650</w:t>
            </w:r>
          </w:p>
        </w:tc>
        <w:tc>
          <w:tcPr>
            <w:tcW w:w="118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 w:val="20"/>
                <w:szCs w:val="20"/>
              </w:rPr>
              <w:t>0.00|0</w:t>
            </w:r>
          </w:p>
        </w:tc>
        <w:tc>
          <w:tcPr>
            <w:tcW w:w="114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一级</w:t>
            </w:r>
          </w:p>
        </w:tc>
      </w:tr>
      <w:tr w:rsidR="00C861DA">
        <w:trPr>
          <w:trHeight w:val="369"/>
          <w:jc w:val="center"/>
        </w:trPr>
        <w:tc>
          <w:tcPr>
            <w:tcW w:w="228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5#</w:t>
            </w:r>
            <w:r>
              <w:rPr>
                <w:rFonts w:ascii="Times New Roman" w:eastAsia="宋体" w:hAnsi="Times New Roman" w:cs="Times New Roman" w:hint="eastAsia"/>
                <w:color w:val="000000" w:themeColor="text1"/>
                <w:kern w:val="0"/>
                <w:szCs w:val="20"/>
              </w:rPr>
              <w:t>排气筒</w:t>
            </w:r>
          </w:p>
        </w:tc>
        <w:tc>
          <w:tcPr>
            <w:tcW w:w="236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 w:val="20"/>
                <w:szCs w:val="20"/>
              </w:rPr>
              <w:t>0.00|0</w:t>
            </w:r>
          </w:p>
        </w:tc>
        <w:tc>
          <w:tcPr>
            <w:tcW w:w="131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 w:val="20"/>
                <w:szCs w:val="20"/>
              </w:rPr>
              <w:t>85.44|2225</w:t>
            </w:r>
          </w:p>
        </w:tc>
        <w:tc>
          <w:tcPr>
            <w:tcW w:w="118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 w:val="20"/>
                <w:szCs w:val="20"/>
              </w:rPr>
              <w:t>0.00|0</w:t>
            </w:r>
          </w:p>
        </w:tc>
        <w:tc>
          <w:tcPr>
            <w:tcW w:w="114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一级</w:t>
            </w:r>
          </w:p>
        </w:tc>
      </w:tr>
      <w:tr w:rsidR="00C861DA">
        <w:trPr>
          <w:trHeight w:val="369"/>
          <w:jc w:val="center"/>
        </w:trPr>
        <w:tc>
          <w:tcPr>
            <w:tcW w:w="228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Cs w:val="20"/>
              </w:rPr>
              <w:t>6#</w:t>
            </w:r>
            <w:r>
              <w:rPr>
                <w:rFonts w:ascii="Times New Roman" w:eastAsia="宋体" w:hAnsi="Times New Roman" w:cs="Times New Roman" w:hint="eastAsia"/>
                <w:color w:val="000000" w:themeColor="text1"/>
                <w:kern w:val="0"/>
                <w:szCs w:val="20"/>
              </w:rPr>
              <w:t>排气筒</w:t>
            </w:r>
          </w:p>
        </w:tc>
        <w:tc>
          <w:tcPr>
            <w:tcW w:w="236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0.00|0</w:t>
            </w:r>
          </w:p>
        </w:tc>
        <w:tc>
          <w:tcPr>
            <w:tcW w:w="131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2.61|0</w:t>
            </w:r>
          </w:p>
        </w:tc>
        <w:tc>
          <w:tcPr>
            <w:tcW w:w="118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0.00|0</w:t>
            </w:r>
          </w:p>
        </w:tc>
        <w:tc>
          <w:tcPr>
            <w:tcW w:w="114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二级</w:t>
            </w:r>
          </w:p>
        </w:tc>
      </w:tr>
      <w:tr w:rsidR="00C861DA">
        <w:trPr>
          <w:trHeight w:val="369"/>
          <w:jc w:val="center"/>
        </w:trPr>
        <w:tc>
          <w:tcPr>
            <w:tcW w:w="228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Cs w:val="20"/>
              </w:rPr>
              <w:t>7#</w:t>
            </w:r>
            <w:r>
              <w:rPr>
                <w:rFonts w:ascii="Times New Roman" w:eastAsia="宋体" w:hAnsi="Times New Roman" w:cs="Times New Roman" w:hint="eastAsia"/>
                <w:color w:val="000000" w:themeColor="text1"/>
                <w:kern w:val="0"/>
                <w:szCs w:val="20"/>
              </w:rPr>
              <w:t>排气筒</w:t>
            </w:r>
          </w:p>
        </w:tc>
        <w:tc>
          <w:tcPr>
            <w:tcW w:w="236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0.00|0</w:t>
            </w:r>
          </w:p>
        </w:tc>
        <w:tc>
          <w:tcPr>
            <w:tcW w:w="131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0.00|0</w:t>
            </w:r>
          </w:p>
        </w:tc>
        <w:tc>
          <w:tcPr>
            <w:tcW w:w="118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27.09|825</w:t>
            </w:r>
          </w:p>
        </w:tc>
        <w:tc>
          <w:tcPr>
            <w:tcW w:w="114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一级</w:t>
            </w:r>
          </w:p>
        </w:tc>
      </w:tr>
      <w:tr w:rsidR="00C861DA">
        <w:trPr>
          <w:trHeight w:val="369"/>
          <w:jc w:val="center"/>
        </w:trPr>
        <w:tc>
          <w:tcPr>
            <w:tcW w:w="228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Cs w:val="20"/>
              </w:rPr>
              <w:t>8#</w:t>
            </w:r>
            <w:r>
              <w:rPr>
                <w:rFonts w:ascii="Times New Roman" w:eastAsia="宋体" w:hAnsi="Times New Roman" w:cs="Times New Roman" w:hint="eastAsia"/>
                <w:color w:val="000000" w:themeColor="text1"/>
                <w:kern w:val="0"/>
                <w:szCs w:val="20"/>
              </w:rPr>
              <w:t>排气筒</w:t>
            </w:r>
          </w:p>
        </w:tc>
        <w:tc>
          <w:tcPr>
            <w:tcW w:w="236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0.00|0</w:t>
            </w:r>
          </w:p>
        </w:tc>
        <w:tc>
          <w:tcPr>
            <w:tcW w:w="131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60.62|2325</w:t>
            </w:r>
          </w:p>
        </w:tc>
        <w:tc>
          <w:tcPr>
            <w:tcW w:w="118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0.00|0</w:t>
            </w:r>
          </w:p>
        </w:tc>
        <w:tc>
          <w:tcPr>
            <w:tcW w:w="114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一级</w:t>
            </w:r>
          </w:p>
        </w:tc>
      </w:tr>
      <w:tr w:rsidR="00C861DA">
        <w:trPr>
          <w:trHeight w:val="369"/>
          <w:jc w:val="center"/>
        </w:trPr>
        <w:tc>
          <w:tcPr>
            <w:tcW w:w="228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Cs w:val="20"/>
              </w:rPr>
              <w:t>9#</w:t>
            </w:r>
            <w:r>
              <w:rPr>
                <w:rFonts w:ascii="Times New Roman" w:eastAsia="宋体" w:hAnsi="Times New Roman" w:cs="Times New Roman" w:hint="eastAsia"/>
                <w:color w:val="000000" w:themeColor="text1"/>
                <w:kern w:val="0"/>
                <w:szCs w:val="20"/>
              </w:rPr>
              <w:t>排气筒</w:t>
            </w:r>
          </w:p>
        </w:tc>
        <w:tc>
          <w:tcPr>
            <w:tcW w:w="236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0.00|0</w:t>
            </w:r>
          </w:p>
        </w:tc>
        <w:tc>
          <w:tcPr>
            <w:tcW w:w="131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77.75|1825</w:t>
            </w:r>
          </w:p>
        </w:tc>
        <w:tc>
          <w:tcPr>
            <w:tcW w:w="118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0.00|0</w:t>
            </w:r>
          </w:p>
        </w:tc>
        <w:tc>
          <w:tcPr>
            <w:tcW w:w="114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一级</w:t>
            </w:r>
          </w:p>
        </w:tc>
      </w:tr>
      <w:tr w:rsidR="00C861DA">
        <w:trPr>
          <w:trHeight w:val="369"/>
          <w:jc w:val="center"/>
        </w:trPr>
        <w:tc>
          <w:tcPr>
            <w:tcW w:w="228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rPr>
              <w:t>硝酸生产单元</w:t>
            </w:r>
          </w:p>
        </w:tc>
        <w:tc>
          <w:tcPr>
            <w:tcW w:w="236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2.26|0</w:t>
            </w:r>
          </w:p>
        </w:tc>
        <w:tc>
          <w:tcPr>
            <w:tcW w:w="131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0.00|0</w:t>
            </w:r>
          </w:p>
        </w:tc>
        <w:tc>
          <w:tcPr>
            <w:tcW w:w="118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2.08|0</w:t>
            </w:r>
          </w:p>
        </w:tc>
        <w:tc>
          <w:tcPr>
            <w:tcW w:w="114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二级</w:t>
            </w:r>
          </w:p>
        </w:tc>
      </w:tr>
      <w:tr w:rsidR="00C861DA">
        <w:trPr>
          <w:trHeight w:val="369"/>
          <w:jc w:val="center"/>
        </w:trPr>
        <w:tc>
          <w:tcPr>
            <w:tcW w:w="228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rPr>
              <w:t>硝铵生产单元</w:t>
            </w:r>
          </w:p>
        </w:tc>
        <w:tc>
          <w:tcPr>
            <w:tcW w:w="236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4.22|0</w:t>
            </w:r>
          </w:p>
        </w:tc>
        <w:tc>
          <w:tcPr>
            <w:tcW w:w="131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0.00|0</w:t>
            </w:r>
          </w:p>
        </w:tc>
        <w:tc>
          <w:tcPr>
            <w:tcW w:w="118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2.43|0</w:t>
            </w:r>
          </w:p>
        </w:tc>
        <w:tc>
          <w:tcPr>
            <w:tcW w:w="114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二级</w:t>
            </w:r>
          </w:p>
        </w:tc>
      </w:tr>
      <w:tr w:rsidR="00C861DA">
        <w:trPr>
          <w:trHeight w:val="369"/>
          <w:jc w:val="center"/>
        </w:trPr>
        <w:tc>
          <w:tcPr>
            <w:tcW w:w="228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rPr>
              <w:t>硝基复合肥生产单元</w:t>
            </w:r>
          </w:p>
        </w:tc>
        <w:tc>
          <w:tcPr>
            <w:tcW w:w="236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0.00|0</w:t>
            </w:r>
          </w:p>
        </w:tc>
        <w:tc>
          <w:tcPr>
            <w:tcW w:w="131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2.97|0</w:t>
            </w:r>
          </w:p>
        </w:tc>
        <w:tc>
          <w:tcPr>
            <w:tcW w:w="118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6.68|0</w:t>
            </w:r>
          </w:p>
        </w:tc>
        <w:tc>
          <w:tcPr>
            <w:tcW w:w="114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二级</w:t>
            </w:r>
          </w:p>
        </w:tc>
      </w:tr>
      <w:tr w:rsidR="00C861DA">
        <w:trPr>
          <w:trHeight w:val="369"/>
          <w:jc w:val="center"/>
        </w:trPr>
        <w:tc>
          <w:tcPr>
            <w:tcW w:w="228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rPr>
              <w:t>尿素生产单元</w:t>
            </w:r>
          </w:p>
        </w:tc>
        <w:tc>
          <w:tcPr>
            <w:tcW w:w="236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0.00|0</w:t>
            </w:r>
          </w:p>
        </w:tc>
        <w:tc>
          <w:tcPr>
            <w:tcW w:w="131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0.00|0</w:t>
            </w:r>
          </w:p>
        </w:tc>
        <w:tc>
          <w:tcPr>
            <w:tcW w:w="118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0.62|0</w:t>
            </w:r>
          </w:p>
        </w:tc>
        <w:tc>
          <w:tcPr>
            <w:tcW w:w="114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三级</w:t>
            </w:r>
          </w:p>
        </w:tc>
      </w:tr>
      <w:tr w:rsidR="00C861DA">
        <w:trPr>
          <w:trHeight w:val="369"/>
          <w:jc w:val="center"/>
        </w:trPr>
        <w:tc>
          <w:tcPr>
            <w:tcW w:w="228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rPr>
              <w:t>尿基复合肥生产单元</w:t>
            </w:r>
          </w:p>
        </w:tc>
        <w:tc>
          <w:tcPr>
            <w:tcW w:w="236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0.00|0</w:t>
            </w:r>
          </w:p>
        </w:tc>
        <w:tc>
          <w:tcPr>
            <w:tcW w:w="131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2.15|0</w:t>
            </w:r>
          </w:p>
        </w:tc>
        <w:tc>
          <w:tcPr>
            <w:tcW w:w="118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4.85|0</w:t>
            </w:r>
          </w:p>
        </w:tc>
        <w:tc>
          <w:tcPr>
            <w:tcW w:w="114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二级</w:t>
            </w:r>
          </w:p>
        </w:tc>
      </w:tr>
      <w:tr w:rsidR="00C861DA">
        <w:trPr>
          <w:trHeight w:val="369"/>
          <w:jc w:val="center"/>
        </w:trPr>
        <w:tc>
          <w:tcPr>
            <w:tcW w:w="228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Cs w:val="20"/>
              </w:rPr>
              <w:t>占标率</w:t>
            </w:r>
            <w:r>
              <w:rPr>
                <w:rFonts w:ascii="Times New Roman" w:eastAsia="宋体" w:hAnsi="Times New Roman" w:cs="Times New Roman" w:hint="eastAsia"/>
                <w:color w:val="000000" w:themeColor="text1"/>
                <w:kern w:val="0"/>
                <w:szCs w:val="20"/>
              </w:rPr>
              <w:t>max</w:t>
            </w:r>
            <w:r>
              <w:rPr>
                <w:rFonts w:ascii="Times New Roman" w:eastAsia="宋体" w:hAnsi="Times New Roman" w:cs="Times New Roman"/>
                <w:color w:val="000000" w:themeColor="text1"/>
                <w:kern w:val="0"/>
                <w:szCs w:val="20"/>
              </w:rPr>
              <w:t>/D</w:t>
            </w:r>
            <w:r>
              <w:rPr>
                <w:rFonts w:ascii="Times New Roman" w:eastAsia="宋体" w:hAnsi="Times New Roman" w:cs="Times New Roman"/>
                <w:color w:val="000000" w:themeColor="text1"/>
                <w:kern w:val="0"/>
                <w:szCs w:val="20"/>
                <w:vertAlign w:val="subscript"/>
              </w:rPr>
              <w:t>10max%</w:t>
            </w:r>
          </w:p>
        </w:tc>
        <w:tc>
          <w:tcPr>
            <w:tcW w:w="236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70.44|</w:t>
            </w:r>
            <w:r>
              <w:rPr>
                <w:rFonts w:ascii="Times New Roman" w:eastAsia="宋体" w:hAnsi="Times New Roman" w:cs="Times New Roman" w:hint="eastAsia"/>
                <w:color w:val="000000" w:themeColor="text1"/>
                <w:kern w:val="0"/>
                <w:sz w:val="20"/>
                <w:szCs w:val="20"/>
              </w:rPr>
              <w:t>1</w:t>
            </w:r>
            <w:r>
              <w:rPr>
                <w:rFonts w:ascii="Times New Roman" w:eastAsia="宋体" w:hAnsi="Times New Roman" w:cs="Times New Roman"/>
                <w:color w:val="000000" w:themeColor="text1"/>
                <w:kern w:val="0"/>
                <w:sz w:val="20"/>
                <w:szCs w:val="20"/>
              </w:rPr>
              <w:t>800</w:t>
            </w:r>
          </w:p>
        </w:tc>
        <w:tc>
          <w:tcPr>
            <w:tcW w:w="131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85.44|</w:t>
            </w:r>
            <w:r>
              <w:rPr>
                <w:rFonts w:ascii="Times New Roman" w:eastAsia="宋体" w:hAnsi="Times New Roman" w:cs="Times New Roman" w:hint="eastAsia"/>
                <w:color w:val="000000" w:themeColor="text1"/>
                <w:kern w:val="0"/>
                <w:sz w:val="20"/>
                <w:szCs w:val="20"/>
              </w:rPr>
              <w:t>2</w:t>
            </w:r>
            <w:r>
              <w:rPr>
                <w:rFonts w:ascii="Times New Roman" w:eastAsia="宋体" w:hAnsi="Times New Roman" w:cs="Times New Roman"/>
                <w:color w:val="000000" w:themeColor="text1"/>
                <w:kern w:val="0"/>
                <w:sz w:val="20"/>
                <w:szCs w:val="20"/>
              </w:rPr>
              <w:t>325</w:t>
            </w:r>
          </w:p>
        </w:tc>
        <w:tc>
          <w:tcPr>
            <w:tcW w:w="118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27.09|</w:t>
            </w:r>
            <w:r>
              <w:rPr>
                <w:rFonts w:ascii="Times New Roman" w:eastAsia="宋体" w:hAnsi="Times New Roman" w:cs="Times New Roman" w:hint="eastAsia"/>
                <w:color w:val="000000" w:themeColor="text1"/>
                <w:kern w:val="0"/>
                <w:sz w:val="20"/>
                <w:szCs w:val="20"/>
              </w:rPr>
              <w:t>8</w:t>
            </w:r>
            <w:r>
              <w:rPr>
                <w:rFonts w:ascii="Times New Roman" w:eastAsia="宋体" w:hAnsi="Times New Roman" w:cs="Times New Roman"/>
                <w:color w:val="000000" w:themeColor="text1"/>
                <w:kern w:val="0"/>
                <w:sz w:val="20"/>
                <w:szCs w:val="20"/>
              </w:rPr>
              <w:t>25</w:t>
            </w:r>
          </w:p>
        </w:tc>
        <w:tc>
          <w:tcPr>
            <w:tcW w:w="114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一级</w:t>
            </w:r>
          </w:p>
        </w:tc>
      </w:tr>
    </w:tbl>
    <w:p w:rsidR="00C861DA" w:rsidRDefault="0044752E">
      <w:pPr>
        <w:pStyle w:val="af4"/>
        <w:spacing w:beforeLines="100" w:before="312" w:after="0"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由表</w:t>
      </w:r>
      <w:r>
        <w:rPr>
          <w:rFonts w:ascii="Times New Roman" w:eastAsia="宋体" w:hAnsi="Times New Roman" w:cs="Times New Roman"/>
          <w:color w:val="000000" w:themeColor="text1"/>
          <w:kern w:val="0"/>
          <w:sz w:val="24"/>
          <w:szCs w:val="24"/>
        </w:rPr>
        <w:t>2.6-1</w:t>
      </w:r>
      <w:r>
        <w:rPr>
          <w:rFonts w:ascii="Times New Roman" w:eastAsia="宋体" w:hAnsi="Times New Roman" w:cs="Times New Roman"/>
          <w:color w:val="000000" w:themeColor="text1"/>
          <w:kern w:val="0"/>
          <w:sz w:val="24"/>
          <w:szCs w:val="24"/>
        </w:rPr>
        <w:t>计算结果可知，本项目大气污染物最大占标率</w:t>
      </w:r>
      <w:r>
        <w:rPr>
          <w:rFonts w:ascii="Times New Roman" w:eastAsia="宋体" w:hAnsi="Times New Roman" w:cs="Times New Roman"/>
          <w:color w:val="000000" w:themeColor="text1"/>
          <w:kern w:val="0"/>
          <w:sz w:val="24"/>
          <w:szCs w:val="24"/>
        </w:rPr>
        <w:t>P</w:t>
      </w:r>
      <w:r>
        <w:rPr>
          <w:rFonts w:ascii="Times New Roman" w:eastAsia="宋体" w:hAnsi="Times New Roman" w:cs="Times New Roman"/>
          <w:color w:val="000000" w:themeColor="text1"/>
          <w:kern w:val="0"/>
          <w:sz w:val="24"/>
          <w:szCs w:val="24"/>
          <w:vertAlign w:val="subscript"/>
        </w:rPr>
        <w:t>max</w:t>
      </w:r>
      <w:r>
        <w:rPr>
          <w:rFonts w:ascii="Times New Roman" w:eastAsia="宋体" w:hAnsi="Times New Roman" w:cs="Times New Roman"/>
          <w:color w:val="000000" w:themeColor="text1"/>
          <w:kern w:val="0"/>
          <w:sz w:val="24"/>
          <w:szCs w:val="24"/>
        </w:rPr>
        <w:t>为</w:t>
      </w:r>
      <w:r>
        <w:rPr>
          <w:rFonts w:ascii="Times New Roman" w:eastAsia="宋体" w:hAnsi="Times New Roman" w:cs="Times New Roman"/>
          <w:color w:val="000000" w:themeColor="text1"/>
          <w:kern w:val="0"/>
          <w:sz w:val="24"/>
          <w:szCs w:val="24"/>
        </w:rPr>
        <w:t>86.34%</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hint="eastAsia"/>
          <w:color w:val="000000" w:themeColor="text1"/>
          <w:kern w:val="0"/>
          <w:sz w:val="24"/>
          <w:szCs w:val="24"/>
        </w:rPr>
        <w:t>大于</w:t>
      </w:r>
      <w:r>
        <w:rPr>
          <w:rFonts w:ascii="Times New Roman" w:eastAsia="宋体" w:hAnsi="Times New Roman" w:cs="Times New Roman"/>
          <w:color w:val="000000" w:themeColor="text1"/>
          <w:kern w:val="0"/>
          <w:sz w:val="24"/>
          <w:szCs w:val="24"/>
        </w:rPr>
        <w:t>10%</w:t>
      </w:r>
      <w:r>
        <w:rPr>
          <w:rFonts w:ascii="Times New Roman" w:eastAsia="宋体" w:hAnsi="Times New Roman" w:cs="Times New Roman"/>
          <w:color w:val="000000" w:themeColor="text1"/>
          <w:kern w:val="0"/>
          <w:sz w:val="24"/>
          <w:szCs w:val="24"/>
        </w:rPr>
        <w:t>，因此确定本项目大气评价为一级评价。</w:t>
      </w:r>
    </w:p>
    <w:p w:rsidR="00C861DA" w:rsidRDefault="0044752E">
      <w:pPr>
        <w:pStyle w:val="af4"/>
        <w:spacing w:after="0" w:line="360" w:lineRule="auto"/>
        <w:ind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w:t>
      </w:r>
      <w:r>
        <w:rPr>
          <w:rFonts w:ascii="Times New Roman" w:eastAsia="宋体" w:hAnsi="Times New Roman" w:cs="Times New Roman"/>
          <w:b/>
          <w:color w:val="000000" w:themeColor="text1"/>
          <w:sz w:val="24"/>
        </w:rPr>
        <w:t>2</w:t>
      </w:r>
      <w:r>
        <w:rPr>
          <w:rFonts w:ascii="Times New Roman" w:eastAsia="宋体" w:hAnsi="Times New Roman" w:cs="Times New Roman"/>
          <w:b/>
          <w:color w:val="000000" w:themeColor="text1"/>
          <w:sz w:val="24"/>
        </w:rPr>
        <w:t>）地表水环境</w:t>
      </w:r>
    </w:p>
    <w:p w:rsidR="00C861DA" w:rsidRDefault="0044752E">
      <w:pPr>
        <w:spacing w:line="360" w:lineRule="auto"/>
        <w:ind w:firstLineChars="200" w:firstLine="480"/>
        <w:rPr>
          <w:rFonts w:ascii="Times New Roman" w:eastAsia="宋体"/>
          <w:bCs/>
          <w:color w:val="000000" w:themeColor="text1"/>
          <w:sz w:val="24"/>
        </w:rPr>
      </w:pPr>
      <w:r>
        <w:rPr>
          <w:rFonts w:ascii="Times New Roman" w:eastAsia="宋体"/>
          <w:color w:val="000000" w:themeColor="text1"/>
          <w:sz w:val="24"/>
          <w:szCs w:val="24"/>
        </w:rPr>
        <w:t>本项目主要废水包括各类生产废水、初期雨水等。</w:t>
      </w:r>
      <w:r>
        <w:rPr>
          <w:rFonts w:ascii="Times New Roman" w:eastAsia="宋体" w:hint="eastAsia"/>
          <w:color w:val="000000" w:themeColor="text1"/>
          <w:sz w:val="24"/>
          <w:szCs w:val="24"/>
        </w:rPr>
        <w:t>生活</w:t>
      </w:r>
      <w:r>
        <w:rPr>
          <w:rFonts w:ascii="Times New Roman" w:eastAsia="宋体"/>
          <w:color w:val="000000" w:themeColor="text1"/>
          <w:sz w:val="24"/>
          <w:szCs w:val="24"/>
        </w:rPr>
        <w:t>废水排入</w:t>
      </w:r>
      <w:r>
        <w:rPr>
          <w:rFonts w:ascii="Times New Roman" w:eastAsia="宋体" w:hint="eastAsia"/>
          <w:color w:val="000000" w:themeColor="text1"/>
          <w:sz w:val="24"/>
          <w:szCs w:val="24"/>
        </w:rPr>
        <w:t>“</w:t>
      </w:r>
      <w:r>
        <w:rPr>
          <w:rFonts w:ascii="Times New Roman" w:eastAsia="宋体" w:hint="eastAsia"/>
          <w:color w:val="000000" w:themeColor="text1"/>
          <w:sz w:val="24"/>
          <w:szCs w:val="24"/>
        </w:rPr>
        <w:t>3</w:t>
      </w:r>
      <w:r>
        <w:rPr>
          <w:rFonts w:ascii="Times New Roman" w:eastAsia="宋体"/>
          <w:color w:val="000000" w:themeColor="text1"/>
          <w:sz w:val="24"/>
          <w:szCs w:val="24"/>
        </w:rPr>
        <w:t>0</w:t>
      </w:r>
      <w:r>
        <w:rPr>
          <w:rFonts w:ascii="Times New Roman" w:eastAsia="宋体" w:hint="eastAsia"/>
          <w:color w:val="000000" w:themeColor="text1"/>
          <w:sz w:val="24"/>
          <w:szCs w:val="24"/>
        </w:rPr>
        <w:t>万吨合成氨项目”</w:t>
      </w:r>
      <w:r>
        <w:rPr>
          <w:rFonts w:ascii="Times New Roman" w:eastAsia="宋体"/>
          <w:color w:val="000000" w:themeColor="text1"/>
          <w:sz w:val="24"/>
          <w:szCs w:val="24"/>
        </w:rPr>
        <w:t>污水处理站</w:t>
      </w:r>
      <w:r>
        <w:rPr>
          <w:rFonts w:ascii="Times New Roman" w:eastAsia="宋体" w:hint="eastAsia"/>
          <w:color w:val="000000" w:themeColor="text1"/>
          <w:sz w:val="24"/>
          <w:szCs w:val="24"/>
        </w:rPr>
        <w:t>处理达</w:t>
      </w:r>
      <w:r>
        <w:rPr>
          <w:rFonts w:ascii="Times New Roman" w:eastAsia="宋体"/>
          <w:color w:val="000000" w:themeColor="text1"/>
          <w:sz w:val="24"/>
          <w:szCs w:val="24"/>
        </w:rPr>
        <w:t>《</w:t>
      </w:r>
      <w:r>
        <w:rPr>
          <w:rFonts w:ascii="Times New Roman" w:eastAsia="宋体" w:cs="宋体" w:hint="eastAsia"/>
          <w:color w:val="000000" w:themeColor="text1"/>
          <w:sz w:val="24"/>
          <w:szCs w:val="24"/>
        </w:rPr>
        <w:t>GB</w:t>
      </w:r>
      <w:r>
        <w:rPr>
          <w:rFonts w:ascii="Times New Roman" w:eastAsia="宋体" w:cs="宋体"/>
          <w:color w:val="000000" w:themeColor="text1"/>
          <w:sz w:val="24"/>
          <w:szCs w:val="24"/>
        </w:rPr>
        <w:t>/</w:t>
      </w:r>
      <w:r>
        <w:rPr>
          <w:rFonts w:ascii="Times New Roman" w:eastAsia="宋体" w:cs="宋体" w:hint="eastAsia"/>
          <w:color w:val="000000" w:themeColor="text1"/>
          <w:sz w:val="24"/>
          <w:szCs w:val="24"/>
        </w:rPr>
        <w:t>T</w:t>
      </w:r>
      <w:r>
        <w:rPr>
          <w:rFonts w:ascii="Times New Roman" w:eastAsia="宋体" w:cs="宋体"/>
          <w:color w:val="000000" w:themeColor="text1"/>
          <w:sz w:val="24"/>
          <w:szCs w:val="24"/>
        </w:rPr>
        <w:t>18920-2002</w:t>
      </w:r>
      <w:r>
        <w:rPr>
          <w:rFonts w:ascii="Times New Roman" w:eastAsia="宋体" w:cs="宋体"/>
          <w:color w:val="000000" w:themeColor="text1"/>
          <w:sz w:val="24"/>
          <w:szCs w:val="24"/>
        </w:rPr>
        <w:t>《</w:t>
      </w:r>
      <w:r>
        <w:rPr>
          <w:rFonts w:ascii="Times New Roman" w:eastAsia="宋体" w:cs="宋体" w:hint="eastAsia"/>
          <w:color w:val="000000" w:themeColor="text1"/>
          <w:sz w:val="24"/>
          <w:szCs w:val="24"/>
        </w:rPr>
        <w:t>城市污水再生利用</w:t>
      </w:r>
      <w:r>
        <w:rPr>
          <w:rFonts w:ascii="Times New Roman" w:eastAsia="宋体" w:cs="宋体" w:hint="eastAsia"/>
          <w:color w:val="000000" w:themeColor="text1"/>
          <w:sz w:val="24"/>
          <w:szCs w:val="24"/>
        </w:rPr>
        <w:t xml:space="preserve"> </w:t>
      </w:r>
      <w:r>
        <w:rPr>
          <w:rFonts w:ascii="Times New Roman" w:eastAsia="宋体" w:cs="宋体" w:hint="eastAsia"/>
          <w:color w:val="000000" w:themeColor="text1"/>
          <w:sz w:val="24"/>
          <w:szCs w:val="24"/>
        </w:rPr>
        <w:t>城市杂用水水质</w:t>
      </w:r>
      <w:r>
        <w:rPr>
          <w:rFonts w:ascii="Times New Roman" w:eastAsia="宋体" w:cs="宋体"/>
          <w:color w:val="000000" w:themeColor="text1"/>
          <w:sz w:val="24"/>
          <w:szCs w:val="24"/>
        </w:rPr>
        <w:t>》</w:t>
      </w:r>
      <w:r>
        <w:rPr>
          <w:rFonts w:ascii="Times New Roman" w:eastAsia="宋体" w:cs="宋体" w:hint="eastAsia"/>
          <w:color w:val="000000" w:themeColor="text1"/>
          <w:sz w:val="24"/>
          <w:szCs w:val="24"/>
        </w:rPr>
        <w:t>表</w:t>
      </w:r>
      <w:r>
        <w:rPr>
          <w:rFonts w:ascii="Times New Roman" w:eastAsia="宋体" w:cs="宋体" w:hint="eastAsia"/>
          <w:color w:val="000000" w:themeColor="text1"/>
          <w:sz w:val="24"/>
          <w:szCs w:val="24"/>
        </w:rPr>
        <w:t>1</w:t>
      </w:r>
      <w:r>
        <w:rPr>
          <w:rFonts w:ascii="Times New Roman" w:eastAsia="宋体" w:cs="宋体" w:hint="eastAsia"/>
          <w:color w:val="000000" w:themeColor="text1"/>
          <w:sz w:val="24"/>
          <w:szCs w:val="24"/>
        </w:rPr>
        <w:t>城市绿化</w:t>
      </w:r>
      <w:r>
        <w:rPr>
          <w:rFonts w:ascii="Times New Roman" w:eastAsia="宋体" w:cs="宋体"/>
          <w:color w:val="000000" w:themeColor="text1"/>
          <w:sz w:val="24"/>
          <w:szCs w:val="24"/>
        </w:rPr>
        <w:t>标准要求</w:t>
      </w:r>
      <w:r>
        <w:rPr>
          <w:rFonts w:ascii="Times New Roman" w:eastAsia="宋体" w:cs="宋体" w:hint="eastAsia"/>
          <w:color w:val="000000" w:themeColor="text1"/>
          <w:sz w:val="24"/>
          <w:szCs w:val="24"/>
        </w:rPr>
        <w:t>后</w:t>
      </w:r>
      <w:r>
        <w:rPr>
          <w:rFonts w:ascii="Times New Roman" w:eastAsia="宋体" w:cs="宋体"/>
          <w:color w:val="000000" w:themeColor="text1"/>
          <w:sz w:val="24"/>
          <w:szCs w:val="24"/>
        </w:rPr>
        <w:t>，</w:t>
      </w:r>
      <w:r>
        <w:rPr>
          <w:rFonts w:ascii="Times New Roman" w:eastAsia="宋体" w:cs="宋体" w:hint="eastAsia"/>
          <w:color w:val="000000" w:themeColor="text1"/>
          <w:sz w:val="24"/>
          <w:szCs w:val="24"/>
        </w:rPr>
        <w:t>用于周边绿化，生产废水汇入生产废水收集池</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color w:val="000000" w:themeColor="text1"/>
          <w:kern w:val="1"/>
          <w:sz w:val="24"/>
          <w:szCs w:val="24"/>
        </w:rPr>
        <w:t>000m</w:t>
      </w:r>
      <w:r>
        <w:rPr>
          <w:rFonts w:ascii="Times New Roman" w:eastAsia="宋体" w:hAnsi="Times New Roman" w:cs="Times New Roman"/>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w:t>
      </w:r>
      <w:r>
        <w:rPr>
          <w:rFonts w:ascii="Times New Roman" w:eastAsia="宋体" w:cs="宋体" w:hint="eastAsia"/>
          <w:color w:val="000000" w:themeColor="text1"/>
          <w:sz w:val="24"/>
          <w:szCs w:val="24"/>
        </w:rPr>
        <w:t>并用水泵抽送至祥丰金麦化工有限公司湿法球磨站作为补充用水；初期雨水汇入初期雨水沉淀池沉淀处理后抽送至祥丰金麦化工有限公司湿法球磨站作为补充用水</w:t>
      </w:r>
      <w:r>
        <w:rPr>
          <w:rFonts w:ascii="Times New Roman" w:eastAsia="宋体"/>
          <w:color w:val="000000" w:themeColor="text1"/>
          <w:sz w:val="24"/>
          <w:szCs w:val="24"/>
        </w:rPr>
        <w:t>。</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本项目</w:t>
      </w:r>
      <w:r>
        <w:rPr>
          <w:rFonts w:ascii="Times New Roman" w:eastAsia="宋体" w:hint="eastAsia"/>
          <w:color w:val="000000" w:themeColor="text1"/>
          <w:sz w:val="24"/>
          <w:szCs w:val="24"/>
        </w:rPr>
        <w:t>地表水为均不外排，根据《环境影响评价技术导则</w:t>
      </w:r>
      <w:r>
        <w:rPr>
          <w:rFonts w:ascii="Times New Roman" w:eastAsia="宋体" w:hint="eastAsia"/>
          <w:color w:val="000000" w:themeColor="text1"/>
          <w:sz w:val="24"/>
          <w:szCs w:val="24"/>
        </w:rPr>
        <w:t xml:space="preserve"> </w:t>
      </w:r>
      <w:r>
        <w:rPr>
          <w:rFonts w:ascii="Times New Roman" w:eastAsia="宋体" w:hint="eastAsia"/>
          <w:color w:val="000000" w:themeColor="text1"/>
          <w:sz w:val="24"/>
          <w:szCs w:val="24"/>
        </w:rPr>
        <w:t>地表水环境》（</w:t>
      </w:r>
      <w:r>
        <w:rPr>
          <w:rFonts w:ascii="Times New Roman" w:eastAsia="宋体" w:hint="eastAsia"/>
          <w:color w:val="000000" w:themeColor="text1"/>
          <w:sz w:val="24"/>
          <w:szCs w:val="24"/>
        </w:rPr>
        <w:t>HJ</w:t>
      </w:r>
      <w:r>
        <w:rPr>
          <w:rFonts w:ascii="Times New Roman" w:eastAsia="宋体"/>
          <w:color w:val="000000" w:themeColor="text1"/>
          <w:sz w:val="24"/>
          <w:szCs w:val="24"/>
        </w:rPr>
        <w:t>2.3-2018</w:t>
      </w:r>
      <w:r>
        <w:rPr>
          <w:rFonts w:ascii="Times New Roman" w:eastAsia="宋体" w:hint="eastAsia"/>
          <w:color w:val="000000" w:themeColor="text1"/>
          <w:sz w:val="24"/>
          <w:szCs w:val="24"/>
        </w:rPr>
        <w:t>）表</w:t>
      </w:r>
      <w:r>
        <w:rPr>
          <w:rFonts w:ascii="Times New Roman" w:eastAsia="宋体" w:hint="eastAsia"/>
          <w:color w:val="000000" w:themeColor="text1"/>
          <w:sz w:val="24"/>
          <w:szCs w:val="24"/>
        </w:rPr>
        <w:t>1</w:t>
      </w:r>
      <w:r>
        <w:rPr>
          <w:rFonts w:ascii="Times New Roman" w:eastAsia="宋体" w:hint="eastAsia"/>
          <w:color w:val="000000" w:themeColor="text1"/>
          <w:sz w:val="24"/>
          <w:szCs w:val="24"/>
        </w:rPr>
        <w:t>注</w:t>
      </w:r>
      <w:r>
        <w:rPr>
          <w:rFonts w:ascii="Times New Roman" w:eastAsia="宋体" w:hint="eastAsia"/>
          <w:color w:val="000000" w:themeColor="text1"/>
          <w:sz w:val="24"/>
          <w:szCs w:val="24"/>
        </w:rPr>
        <w:t>1</w:t>
      </w:r>
      <w:r>
        <w:rPr>
          <w:rFonts w:ascii="Times New Roman" w:eastAsia="宋体"/>
          <w:color w:val="000000" w:themeColor="text1"/>
          <w:sz w:val="24"/>
          <w:szCs w:val="24"/>
        </w:rPr>
        <w:t>0</w:t>
      </w:r>
      <w:r>
        <w:rPr>
          <w:rFonts w:ascii="Times New Roman" w:eastAsia="宋体"/>
          <w:color w:val="000000" w:themeColor="text1"/>
          <w:sz w:val="24"/>
          <w:szCs w:val="24"/>
        </w:rPr>
        <w:t>，</w:t>
      </w:r>
      <w:r>
        <w:rPr>
          <w:rFonts w:ascii="Times New Roman" w:eastAsia="宋体" w:hint="eastAsia"/>
          <w:color w:val="000000" w:themeColor="text1"/>
          <w:sz w:val="24"/>
          <w:szCs w:val="24"/>
        </w:rPr>
        <w:t>本项目生产工艺中有废水产生，但作为回水利用，不排放到外环境，按三级</w:t>
      </w:r>
      <w:r>
        <w:rPr>
          <w:rFonts w:ascii="Times New Roman" w:eastAsia="宋体" w:hint="eastAsia"/>
          <w:color w:val="000000" w:themeColor="text1"/>
          <w:sz w:val="24"/>
          <w:szCs w:val="24"/>
        </w:rPr>
        <w:t>B</w:t>
      </w:r>
      <w:r>
        <w:rPr>
          <w:rFonts w:ascii="Times New Roman" w:eastAsia="宋体" w:hint="eastAsia"/>
          <w:color w:val="000000" w:themeColor="text1"/>
          <w:sz w:val="24"/>
          <w:szCs w:val="24"/>
        </w:rPr>
        <w:t>评价。</w:t>
      </w:r>
    </w:p>
    <w:p w:rsidR="00C861DA" w:rsidRDefault="0044752E">
      <w:pPr>
        <w:spacing w:line="360" w:lineRule="auto"/>
        <w:ind w:firstLineChars="200" w:firstLine="482"/>
        <w:rPr>
          <w:rFonts w:ascii="Times New Roman" w:eastAsia="宋体"/>
          <w:b/>
          <w:color w:val="000000" w:themeColor="text1"/>
          <w:sz w:val="24"/>
        </w:rPr>
      </w:pPr>
      <w:r>
        <w:rPr>
          <w:rFonts w:ascii="Times New Roman" w:eastAsia="宋体"/>
          <w:b/>
          <w:color w:val="000000" w:themeColor="text1"/>
          <w:sz w:val="24"/>
        </w:rPr>
        <w:t>（</w:t>
      </w:r>
      <w:r>
        <w:rPr>
          <w:rFonts w:ascii="Times New Roman" w:eastAsia="宋体"/>
          <w:b/>
          <w:color w:val="000000" w:themeColor="text1"/>
          <w:sz w:val="24"/>
        </w:rPr>
        <w:t>3</w:t>
      </w:r>
      <w:r>
        <w:rPr>
          <w:rFonts w:ascii="Times New Roman" w:eastAsia="宋体"/>
          <w:b/>
          <w:color w:val="000000" w:themeColor="text1"/>
          <w:sz w:val="24"/>
        </w:rPr>
        <w:t>）地下水环境</w:t>
      </w:r>
    </w:p>
    <w:p w:rsidR="00C861DA" w:rsidRDefault="0044752E">
      <w:pPr>
        <w:spacing w:line="360" w:lineRule="auto"/>
        <w:ind w:firstLineChars="200" w:firstLine="480"/>
        <w:rPr>
          <w:rFonts w:ascii="Times New Roman" w:eastAsia="宋体" w:cs="仿宋"/>
          <w:bCs/>
          <w:color w:val="000000" w:themeColor="text1"/>
          <w:sz w:val="24"/>
        </w:rPr>
      </w:pPr>
      <w:r>
        <w:rPr>
          <w:rFonts w:ascii="Times New Roman" w:eastAsia="宋体" w:cs="仿宋" w:hint="eastAsia"/>
          <w:bCs/>
          <w:color w:val="000000" w:themeColor="text1"/>
          <w:sz w:val="24"/>
        </w:rPr>
        <w:t>本项目为新建项目，</w:t>
      </w:r>
      <w:r>
        <w:rPr>
          <w:rFonts w:ascii="Times New Roman" w:eastAsia="宋体" w:hint="eastAsia"/>
          <w:color w:val="000000" w:themeColor="text1"/>
          <w:sz w:val="24"/>
          <w:szCs w:val="24"/>
        </w:rPr>
        <w:t>本项目以液氨、磷酸一铵、硫酸钾和有机质、腐殖酸及二氧化碳气等生产绿色有机硝基复合肥和绿色有机尿基复合肥</w:t>
      </w:r>
      <w:r>
        <w:rPr>
          <w:rFonts w:ascii="Times New Roman" w:eastAsia="宋体" w:cs="仿宋" w:hint="eastAsia"/>
          <w:bCs/>
          <w:color w:val="000000" w:themeColor="text1"/>
          <w:sz w:val="24"/>
        </w:rPr>
        <w:t>，根据《环境影响评价技术导则</w:t>
      </w:r>
      <w:r>
        <w:rPr>
          <w:rFonts w:ascii="Times New Roman" w:eastAsia="宋体" w:cs="仿宋" w:hint="eastAsia"/>
          <w:bCs/>
          <w:color w:val="000000" w:themeColor="text1"/>
          <w:sz w:val="24"/>
        </w:rPr>
        <w:t xml:space="preserve"> </w:t>
      </w:r>
      <w:r>
        <w:rPr>
          <w:rFonts w:ascii="Times New Roman" w:eastAsia="宋体" w:cs="仿宋" w:hint="eastAsia"/>
          <w:bCs/>
          <w:color w:val="000000" w:themeColor="text1"/>
          <w:sz w:val="24"/>
        </w:rPr>
        <w:t>地下水环境》（</w:t>
      </w:r>
      <w:r>
        <w:rPr>
          <w:rFonts w:ascii="Times New Roman" w:eastAsia="宋体" w:cs="仿宋" w:hint="eastAsia"/>
          <w:bCs/>
          <w:color w:val="000000" w:themeColor="text1"/>
          <w:sz w:val="24"/>
        </w:rPr>
        <w:t>HJ610-2016</w:t>
      </w:r>
      <w:r>
        <w:rPr>
          <w:rFonts w:ascii="Times New Roman" w:eastAsia="宋体" w:cs="仿宋" w:hint="eastAsia"/>
          <w:bCs/>
          <w:color w:val="000000" w:themeColor="text1"/>
          <w:sz w:val="24"/>
        </w:rPr>
        <w:t>）可知，本项目属于“</w:t>
      </w:r>
      <w:r>
        <w:rPr>
          <w:rFonts w:ascii="Times New Roman" w:eastAsia="宋体" w:cs="仿宋" w:hint="eastAsia"/>
          <w:bCs/>
          <w:color w:val="000000" w:themeColor="text1"/>
          <w:sz w:val="24"/>
        </w:rPr>
        <w:t>L</w:t>
      </w:r>
      <w:r>
        <w:rPr>
          <w:rFonts w:ascii="Times New Roman" w:eastAsia="宋体" w:cs="仿宋"/>
          <w:bCs/>
          <w:color w:val="000000" w:themeColor="text1"/>
          <w:sz w:val="24"/>
        </w:rPr>
        <w:t>85</w:t>
      </w:r>
      <w:r>
        <w:rPr>
          <w:rFonts w:ascii="Times New Roman" w:eastAsia="宋体" w:cs="仿宋" w:hint="eastAsia"/>
          <w:bCs/>
          <w:color w:val="000000" w:themeColor="text1"/>
          <w:sz w:val="24"/>
        </w:rPr>
        <w:t>化学肥料制造”，报告书项目属于</w:t>
      </w:r>
      <w:r>
        <w:rPr>
          <w:rFonts w:ascii="Times New Roman" w:eastAsia="宋体" w:cs="仿宋"/>
          <w:bCs/>
          <w:color w:val="000000" w:themeColor="text1"/>
          <w:sz w:val="24"/>
        </w:rPr>
        <w:fldChar w:fldCharType="begin"/>
      </w:r>
      <w:r>
        <w:rPr>
          <w:rFonts w:ascii="Times New Roman" w:eastAsia="宋体" w:cs="仿宋"/>
          <w:bCs/>
          <w:color w:val="000000" w:themeColor="text1"/>
          <w:sz w:val="24"/>
        </w:rPr>
        <w:instrText xml:space="preserve"> </w:instrText>
      </w:r>
      <w:r>
        <w:rPr>
          <w:rFonts w:ascii="Times New Roman" w:eastAsia="宋体" w:cs="仿宋" w:hint="eastAsia"/>
          <w:bCs/>
          <w:color w:val="000000" w:themeColor="text1"/>
          <w:sz w:val="24"/>
        </w:rPr>
        <w:instrText>= 1 \* ROMAN</w:instrText>
      </w:r>
      <w:r>
        <w:rPr>
          <w:rFonts w:ascii="Times New Roman" w:eastAsia="宋体" w:cs="仿宋"/>
          <w:bCs/>
          <w:color w:val="000000" w:themeColor="text1"/>
          <w:sz w:val="24"/>
        </w:rPr>
        <w:instrText xml:space="preserve"> </w:instrText>
      </w:r>
      <w:r>
        <w:rPr>
          <w:rFonts w:ascii="Times New Roman" w:eastAsia="宋体" w:cs="仿宋"/>
          <w:bCs/>
          <w:color w:val="000000" w:themeColor="text1"/>
          <w:sz w:val="24"/>
        </w:rPr>
        <w:fldChar w:fldCharType="separate"/>
      </w:r>
      <w:r>
        <w:rPr>
          <w:rFonts w:ascii="Times New Roman" w:eastAsia="宋体" w:cs="仿宋"/>
          <w:bCs/>
          <w:color w:val="000000" w:themeColor="text1"/>
          <w:sz w:val="24"/>
        </w:rPr>
        <w:t>I</w:t>
      </w:r>
      <w:r>
        <w:rPr>
          <w:rFonts w:ascii="Times New Roman" w:eastAsia="宋体" w:cs="仿宋"/>
          <w:bCs/>
          <w:color w:val="000000" w:themeColor="text1"/>
          <w:sz w:val="24"/>
        </w:rPr>
        <w:fldChar w:fldCharType="end"/>
      </w:r>
      <w:r>
        <w:rPr>
          <w:rFonts w:ascii="Times New Roman" w:eastAsia="宋体" w:cs="仿宋" w:hint="eastAsia"/>
          <w:bCs/>
          <w:color w:val="000000" w:themeColor="text1"/>
          <w:sz w:val="24"/>
        </w:rPr>
        <w:t>类项目。</w:t>
      </w:r>
    </w:p>
    <w:p w:rsidR="00C861DA" w:rsidRDefault="0044752E">
      <w:pPr>
        <w:spacing w:line="360" w:lineRule="auto"/>
        <w:ind w:firstLineChars="200" w:firstLine="480"/>
        <w:rPr>
          <w:rFonts w:ascii="Times New Roman" w:eastAsia="宋体" w:cs="仿宋"/>
          <w:bCs/>
          <w:color w:val="000000" w:themeColor="text1"/>
          <w:sz w:val="24"/>
        </w:rPr>
      </w:pPr>
      <w:r>
        <w:rPr>
          <w:rFonts w:ascii="Times New Roman" w:eastAsia="宋体" w:cs="仿宋" w:hint="eastAsia"/>
          <w:bCs/>
          <w:color w:val="000000" w:themeColor="text1"/>
          <w:sz w:val="24"/>
        </w:rPr>
        <w:t>《环境影响评价技术导则</w:t>
      </w:r>
      <w:r>
        <w:rPr>
          <w:rFonts w:ascii="Times New Roman" w:eastAsia="宋体" w:cs="仿宋" w:hint="eastAsia"/>
          <w:bCs/>
          <w:color w:val="000000" w:themeColor="text1"/>
          <w:sz w:val="24"/>
        </w:rPr>
        <w:t xml:space="preserve"> </w:t>
      </w:r>
      <w:r>
        <w:rPr>
          <w:rFonts w:ascii="Times New Roman" w:eastAsia="宋体" w:cs="仿宋" w:hint="eastAsia"/>
          <w:bCs/>
          <w:color w:val="000000" w:themeColor="text1"/>
          <w:sz w:val="24"/>
        </w:rPr>
        <w:t>地下水环境》（</w:t>
      </w:r>
      <w:r>
        <w:rPr>
          <w:rFonts w:ascii="Times New Roman" w:eastAsia="宋体" w:cs="仿宋" w:hint="eastAsia"/>
          <w:bCs/>
          <w:color w:val="000000" w:themeColor="text1"/>
          <w:sz w:val="24"/>
        </w:rPr>
        <w:t>HJ610-2016</w:t>
      </w:r>
      <w:r>
        <w:rPr>
          <w:rFonts w:ascii="Times New Roman" w:eastAsia="宋体" w:cs="仿宋" w:hint="eastAsia"/>
          <w:bCs/>
          <w:color w:val="000000" w:themeColor="text1"/>
          <w:sz w:val="24"/>
        </w:rPr>
        <w:t>）中，将建设项目的地下水环境敏感程度分为敏感、较敏感、不敏感三级，分级原则见表</w:t>
      </w:r>
      <w:r>
        <w:rPr>
          <w:rFonts w:ascii="Times New Roman" w:eastAsia="宋体" w:cs="仿宋" w:hint="eastAsia"/>
          <w:bCs/>
          <w:color w:val="000000" w:themeColor="text1"/>
          <w:sz w:val="24"/>
        </w:rPr>
        <w:t>2.6-</w:t>
      </w:r>
      <w:r>
        <w:rPr>
          <w:rFonts w:ascii="Times New Roman" w:eastAsia="宋体" w:cs="仿宋"/>
          <w:bCs/>
          <w:color w:val="000000" w:themeColor="text1"/>
          <w:sz w:val="24"/>
        </w:rPr>
        <w:t>7</w:t>
      </w:r>
      <w:r>
        <w:rPr>
          <w:rFonts w:ascii="Times New Roman" w:eastAsia="宋体" w:cs="仿宋" w:hint="eastAsia"/>
          <w:bCs/>
          <w:color w:val="000000" w:themeColor="text1"/>
          <w:sz w:val="24"/>
        </w:rPr>
        <w:t>。</w:t>
      </w:r>
    </w:p>
    <w:p w:rsidR="00C861DA" w:rsidRDefault="0044752E">
      <w:pPr>
        <w:spacing w:line="360" w:lineRule="auto"/>
        <w:jc w:val="center"/>
        <w:rPr>
          <w:rFonts w:ascii="Times New Roman" w:eastAsia="宋体"/>
          <w:b/>
          <w:color w:val="000000" w:themeColor="text1"/>
          <w:sz w:val="24"/>
          <w:szCs w:val="24"/>
        </w:rPr>
      </w:pPr>
      <w:r>
        <w:rPr>
          <w:rFonts w:ascii="Times New Roman" w:eastAsia="宋体" w:hint="eastAsia"/>
          <w:b/>
          <w:color w:val="000000" w:themeColor="text1"/>
          <w:sz w:val="24"/>
          <w:szCs w:val="24"/>
        </w:rPr>
        <w:t>表</w:t>
      </w:r>
      <w:r>
        <w:rPr>
          <w:rFonts w:ascii="Times New Roman" w:eastAsia="宋体" w:hint="eastAsia"/>
          <w:b/>
          <w:color w:val="000000" w:themeColor="text1"/>
          <w:sz w:val="24"/>
          <w:szCs w:val="24"/>
        </w:rPr>
        <w:t>2.6-</w:t>
      </w:r>
      <w:r>
        <w:rPr>
          <w:rFonts w:ascii="Times New Roman" w:eastAsia="宋体"/>
          <w:b/>
          <w:color w:val="000000" w:themeColor="text1"/>
          <w:sz w:val="24"/>
          <w:szCs w:val="24"/>
        </w:rPr>
        <w:t>7</w:t>
      </w:r>
      <w:r>
        <w:rPr>
          <w:rFonts w:ascii="Times New Roman" w:eastAsia="宋体" w:hint="eastAsia"/>
          <w:b/>
          <w:color w:val="000000" w:themeColor="text1"/>
          <w:sz w:val="24"/>
          <w:szCs w:val="24"/>
        </w:rPr>
        <w:t xml:space="preserve">  </w:t>
      </w:r>
      <w:r>
        <w:rPr>
          <w:rFonts w:ascii="Times New Roman" w:eastAsia="宋体" w:hint="eastAsia"/>
          <w:b/>
          <w:color w:val="000000" w:themeColor="text1"/>
          <w:sz w:val="24"/>
          <w:szCs w:val="24"/>
        </w:rPr>
        <w:t>项目选址敏感程度</w:t>
      </w:r>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8"/>
        <w:gridCol w:w="4805"/>
        <w:gridCol w:w="1594"/>
        <w:gridCol w:w="1050"/>
      </w:tblGrid>
      <w:tr w:rsidR="00C861DA">
        <w:trPr>
          <w:trHeight w:val="397"/>
          <w:jc w:val="center"/>
        </w:trPr>
        <w:tc>
          <w:tcPr>
            <w:tcW w:w="868" w:type="dxa"/>
            <w:vAlign w:val="center"/>
          </w:tcPr>
          <w:p w:rsidR="00C861DA" w:rsidRDefault="0044752E">
            <w:pPr>
              <w:snapToGrid w:val="0"/>
              <w:jc w:val="center"/>
              <w:rPr>
                <w:rFonts w:ascii="Times New Roman" w:eastAsia="宋体"/>
                <w:b/>
                <w:bCs/>
                <w:color w:val="000000" w:themeColor="text1"/>
                <w:lang w:bidi="ar"/>
              </w:rPr>
            </w:pPr>
            <w:r>
              <w:rPr>
                <w:rFonts w:ascii="Times New Roman" w:eastAsia="宋体"/>
                <w:b/>
                <w:bCs/>
                <w:color w:val="000000" w:themeColor="text1"/>
                <w:lang w:bidi="ar"/>
              </w:rPr>
              <w:t>分级</w:t>
            </w:r>
          </w:p>
        </w:tc>
        <w:tc>
          <w:tcPr>
            <w:tcW w:w="4805" w:type="dxa"/>
            <w:vAlign w:val="center"/>
          </w:tcPr>
          <w:p w:rsidR="00C861DA" w:rsidRDefault="0044752E">
            <w:pPr>
              <w:snapToGrid w:val="0"/>
              <w:jc w:val="center"/>
              <w:rPr>
                <w:rFonts w:ascii="Times New Roman" w:eastAsia="宋体"/>
                <w:b/>
                <w:bCs/>
                <w:color w:val="000000" w:themeColor="text1"/>
                <w:lang w:bidi="ar"/>
              </w:rPr>
            </w:pPr>
            <w:r>
              <w:rPr>
                <w:rFonts w:ascii="Times New Roman" w:eastAsia="宋体"/>
                <w:b/>
                <w:bCs/>
                <w:color w:val="000000" w:themeColor="text1"/>
                <w:lang w:bidi="ar"/>
              </w:rPr>
              <w:t>项目场地的地下水环境敏感特征</w:t>
            </w:r>
          </w:p>
        </w:tc>
        <w:tc>
          <w:tcPr>
            <w:tcW w:w="1594" w:type="dxa"/>
            <w:vAlign w:val="center"/>
          </w:tcPr>
          <w:p w:rsidR="00C861DA" w:rsidRDefault="0044752E">
            <w:pPr>
              <w:snapToGrid w:val="0"/>
              <w:jc w:val="center"/>
              <w:rPr>
                <w:rFonts w:ascii="Times New Roman" w:eastAsia="宋体"/>
                <w:b/>
                <w:bCs/>
                <w:color w:val="000000" w:themeColor="text1"/>
                <w:lang w:bidi="ar"/>
              </w:rPr>
            </w:pPr>
            <w:r>
              <w:rPr>
                <w:rFonts w:ascii="Times New Roman" w:eastAsia="宋体"/>
                <w:b/>
                <w:bCs/>
                <w:color w:val="000000" w:themeColor="text1"/>
                <w:lang w:bidi="ar"/>
              </w:rPr>
              <w:t>本工程</w:t>
            </w:r>
          </w:p>
        </w:tc>
        <w:tc>
          <w:tcPr>
            <w:tcW w:w="1050" w:type="dxa"/>
            <w:vAlign w:val="center"/>
          </w:tcPr>
          <w:p w:rsidR="00C861DA" w:rsidRDefault="0044752E">
            <w:pPr>
              <w:snapToGrid w:val="0"/>
              <w:jc w:val="center"/>
              <w:rPr>
                <w:rFonts w:ascii="Times New Roman" w:eastAsia="宋体"/>
                <w:b/>
                <w:bCs/>
                <w:color w:val="000000" w:themeColor="text1"/>
                <w:lang w:bidi="ar"/>
              </w:rPr>
            </w:pPr>
            <w:r>
              <w:rPr>
                <w:rFonts w:ascii="Times New Roman" w:eastAsia="宋体"/>
                <w:b/>
                <w:bCs/>
                <w:color w:val="000000" w:themeColor="text1"/>
                <w:lang w:bidi="ar"/>
              </w:rPr>
              <w:t>判定结果</w:t>
            </w:r>
          </w:p>
        </w:tc>
      </w:tr>
      <w:tr w:rsidR="00C861DA">
        <w:trPr>
          <w:trHeight w:val="397"/>
          <w:jc w:val="center"/>
        </w:trPr>
        <w:tc>
          <w:tcPr>
            <w:tcW w:w="868" w:type="dxa"/>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敏感</w:t>
            </w:r>
          </w:p>
        </w:tc>
        <w:tc>
          <w:tcPr>
            <w:tcW w:w="4805" w:type="dxa"/>
            <w:vAlign w:val="center"/>
          </w:tcPr>
          <w:p w:rsidR="00C861DA" w:rsidRDefault="0044752E">
            <w:pPr>
              <w:widowControl/>
              <w:snapToGrid w:val="0"/>
              <w:rPr>
                <w:rFonts w:ascii="Times New Roman" w:eastAsia="宋体"/>
                <w:color w:val="000000" w:themeColor="text1"/>
              </w:rPr>
            </w:pPr>
            <w:r>
              <w:rPr>
                <w:rFonts w:ascii="Times New Roman" w:eastAsia="宋体"/>
                <w:color w:val="000000" w:themeColor="text1"/>
              </w:rPr>
              <w:t>集中式饮用水源地（包括已建成的在用、备用、应急水源地，在建和规划的水源地）准保护区；除集中式饮用水源地以外的国家或地方政府设定的与地下水环境相关的其它保护区，如热水、矿泉水、温泉等特殊地下水资源保护区</w:t>
            </w:r>
          </w:p>
        </w:tc>
        <w:tc>
          <w:tcPr>
            <w:tcW w:w="1594" w:type="dxa"/>
            <w:vMerge w:val="restart"/>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根据调查</w:t>
            </w:r>
            <w:r>
              <w:rPr>
                <w:rFonts w:ascii="Times New Roman" w:eastAsia="宋体" w:hint="eastAsia"/>
                <w:color w:val="000000" w:themeColor="text1"/>
              </w:rPr>
              <w:t>，建设项目场地不涉及</w:t>
            </w:r>
            <w:r>
              <w:rPr>
                <w:rFonts w:ascii="Times New Roman" w:eastAsia="宋体"/>
                <w:color w:val="000000" w:themeColor="text1"/>
              </w:rPr>
              <w:t>饮用水水源</w:t>
            </w:r>
            <w:r>
              <w:rPr>
                <w:rFonts w:ascii="Times New Roman" w:eastAsia="宋体" w:hint="eastAsia"/>
                <w:color w:val="000000" w:themeColor="text1"/>
              </w:rPr>
              <w:t>保护区和分散饮用水源等环境敏感区，评价范围内无饮用水井</w:t>
            </w:r>
          </w:p>
        </w:tc>
        <w:tc>
          <w:tcPr>
            <w:tcW w:w="1050" w:type="dxa"/>
            <w:vMerge w:val="restart"/>
            <w:vAlign w:val="center"/>
          </w:tcPr>
          <w:p w:rsidR="00C861DA" w:rsidRDefault="0044752E">
            <w:pPr>
              <w:widowControl/>
              <w:snapToGrid w:val="0"/>
              <w:jc w:val="center"/>
              <w:rPr>
                <w:rFonts w:ascii="Times New Roman" w:eastAsia="宋体"/>
                <w:color w:val="000000" w:themeColor="text1"/>
              </w:rPr>
            </w:pPr>
            <w:r>
              <w:rPr>
                <w:rFonts w:ascii="Times New Roman" w:eastAsia="宋体" w:hint="eastAsia"/>
                <w:color w:val="000000" w:themeColor="text1"/>
              </w:rPr>
              <w:t>地下水环境敏感程度为</w:t>
            </w:r>
            <w:r>
              <w:rPr>
                <w:rFonts w:ascii="Times New Roman" w:eastAsia="宋体" w:hint="eastAsia"/>
                <w:b/>
                <w:bCs/>
                <w:color w:val="000000" w:themeColor="text1"/>
              </w:rPr>
              <w:t>“不敏感”</w:t>
            </w:r>
          </w:p>
        </w:tc>
      </w:tr>
      <w:tr w:rsidR="00C861DA">
        <w:trPr>
          <w:trHeight w:val="397"/>
          <w:jc w:val="center"/>
        </w:trPr>
        <w:tc>
          <w:tcPr>
            <w:tcW w:w="868" w:type="dxa"/>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较敏感</w:t>
            </w:r>
          </w:p>
        </w:tc>
        <w:tc>
          <w:tcPr>
            <w:tcW w:w="4805" w:type="dxa"/>
            <w:vAlign w:val="center"/>
          </w:tcPr>
          <w:p w:rsidR="00C861DA" w:rsidRDefault="0044752E">
            <w:pPr>
              <w:widowControl/>
              <w:snapToGrid w:val="0"/>
              <w:rPr>
                <w:rFonts w:ascii="Times New Roman" w:eastAsia="宋体"/>
                <w:color w:val="000000" w:themeColor="text1"/>
              </w:rPr>
            </w:pPr>
            <w:r>
              <w:rPr>
                <w:rFonts w:ascii="Times New Roman" w:eastAsia="宋体"/>
                <w:color w:val="000000" w:themeColor="text1"/>
              </w:rPr>
              <w:t>集中式饮用水源地（包括已建成的在用、备用、应急水源地，在建和规划的水源地）准保护区以外的补给径流区；未划定准保护区的集中式饮用水源，其保护区以外的补给径流区；分散式饮用水水源地；特殊地下水资源（如矿泉水、温泉等）保护区以外的分布区等其他未列入上述敏感分级的环境敏感区</w:t>
            </w:r>
          </w:p>
        </w:tc>
        <w:tc>
          <w:tcPr>
            <w:tcW w:w="1594" w:type="dxa"/>
            <w:vMerge/>
            <w:vAlign w:val="center"/>
          </w:tcPr>
          <w:p w:rsidR="00C861DA" w:rsidRDefault="00C861DA">
            <w:pPr>
              <w:widowControl/>
              <w:snapToGrid w:val="0"/>
              <w:jc w:val="center"/>
              <w:rPr>
                <w:rFonts w:ascii="Times New Roman" w:eastAsia="宋体"/>
                <w:color w:val="000000" w:themeColor="text1"/>
              </w:rPr>
            </w:pPr>
          </w:p>
        </w:tc>
        <w:tc>
          <w:tcPr>
            <w:tcW w:w="1050" w:type="dxa"/>
            <w:vMerge/>
            <w:vAlign w:val="center"/>
          </w:tcPr>
          <w:p w:rsidR="00C861DA" w:rsidRDefault="00C861DA">
            <w:pPr>
              <w:widowControl/>
              <w:snapToGrid w:val="0"/>
              <w:jc w:val="center"/>
              <w:rPr>
                <w:rFonts w:ascii="Times New Roman" w:eastAsia="宋体"/>
                <w:color w:val="000000" w:themeColor="text1"/>
              </w:rPr>
            </w:pPr>
          </w:p>
        </w:tc>
      </w:tr>
      <w:tr w:rsidR="00C861DA">
        <w:trPr>
          <w:trHeight w:val="397"/>
          <w:jc w:val="center"/>
        </w:trPr>
        <w:tc>
          <w:tcPr>
            <w:tcW w:w="868" w:type="dxa"/>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不敏感</w:t>
            </w:r>
          </w:p>
        </w:tc>
        <w:tc>
          <w:tcPr>
            <w:tcW w:w="4805" w:type="dxa"/>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上述地区之外的其它地区</w:t>
            </w:r>
          </w:p>
        </w:tc>
        <w:tc>
          <w:tcPr>
            <w:tcW w:w="1594" w:type="dxa"/>
            <w:vMerge/>
            <w:vAlign w:val="center"/>
          </w:tcPr>
          <w:p w:rsidR="00C861DA" w:rsidRDefault="00C861DA">
            <w:pPr>
              <w:widowControl/>
              <w:snapToGrid w:val="0"/>
              <w:jc w:val="center"/>
              <w:rPr>
                <w:rFonts w:ascii="Times New Roman" w:eastAsia="宋体"/>
                <w:color w:val="000000" w:themeColor="text1"/>
              </w:rPr>
            </w:pPr>
          </w:p>
        </w:tc>
        <w:tc>
          <w:tcPr>
            <w:tcW w:w="1050" w:type="dxa"/>
            <w:vMerge/>
            <w:vAlign w:val="center"/>
          </w:tcPr>
          <w:p w:rsidR="00C861DA" w:rsidRDefault="00C861DA">
            <w:pPr>
              <w:widowControl/>
              <w:snapToGrid w:val="0"/>
              <w:jc w:val="center"/>
              <w:rPr>
                <w:rFonts w:ascii="Times New Roman" w:eastAsia="宋体"/>
                <w:color w:val="000000" w:themeColor="text1"/>
              </w:rPr>
            </w:pPr>
          </w:p>
        </w:tc>
      </w:tr>
    </w:tbl>
    <w:p w:rsidR="00C861DA" w:rsidRDefault="0044752E">
      <w:pPr>
        <w:spacing w:beforeLines="100" w:before="312" w:line="360" w:lineRule="auto"/>
        <w:jc w:val="center"/>
        <w:rPr>
          <w:rFonts w:ascii="Times New Roman" w:eastAsia="宋体"/>
          <w:b/>
          <w:color w:val="000000" w:themeColor="text1"/>
          <w:sz w:val="24"/>
          <w:szCs w:val="24"/>
        </w:rPr>
      </w:pPr>
      <w:r>
        <w:rPr>
          <w:rFonts w:ascii="Times New Roman" w:eastAsia="宋体" w:hint="eastAsia"/>
          <w:b/>
          <w:color w:val="000000" w:themeColor="text1"/>
          <w:sz w:val="24"/>
          <w:szCs w:val="24"/>
        </w:rPr>
        <w:t>表</w:t>
      </w:r>
      <w:r>
        <w:rPr>
          <w:rFonts w:ascii="Times New Roman" w:eastAsia="宋体" w:hint="eastAsia"/>
          <w:b/>
          <w:color w:val="000000" w:themeColor="text1"/>
          <w:sz w:val="24"/>
          <w:szCs w:val="24"/>
        </w:rPr>
        <w:t>2.6-</w:t>
      </w:r>
      <w:r>
        <w:rPr>
          <w:rFonts w:ascii="Times New Roman" w:eastAsia="宋体"/>
          <w:b/>
          <w:color w:val="000000" w:themeColor="text1"/>
          <w:sz w:val="24"/>
          <w:szCs w:val="24"/>
        </w:rPr>
        <w:t>8</w:t>
      </w:r>
      <w:r>
        <w:rPr>
          <w:rFonts w:ascii="Times New Roman" w:eastAsia="宋体" w:hint="eastAsia"/>
          <w:b/>
          <w:color w:val="000000" w:themeColor="text1"/>
          <w:sz w:val="24"/>
          <w:szCs w:val="24"/>
        </w:rPr>
        <w:t xml:space="preserve">  </w:t>
      </w:r>
      <w:r>
        <w:rPr>
          <w:rFonts w:ascii="Times New Roman" w:eastAsia="宋体" w:hint="eastAsia"/>
          <w:b/>
          <w:color w:val="000000" w:themeColor="text1"/>
          <w:sz w:val="24"/>
          <w:szCs w:val="24"/>
        </w:rPr>
        <w:t>评价工作级别划分标准</w:t>
      </w:r>
    </w:p>
    <w:tbl>
      <w:tblPr>
        <w:tblW w:w="8317" w:type="dxa"/>
        <w:jc w:val="center"/>
        <w:tblLayout w:type="fixed"/>
        <w:tblCellMar>
          <w:left w:w="0" w:type="dxa"/>
          <w:right w:w="0" w:type="dxa"/>
        </w:tblCellMar>
        <w:tblLook w:val="04A0" w:firstRow="1" w:lastRow="0" w:firstColumn="1" w:lastColumn="0" w:noHBand="0" w:noVBand="1"/>
      </w:tblPr>
      <w:tblGrid>
        <w:gridCol w:w="2633"/>
        <w:gridCol w:w="2056"/>
        <w:gridCol w:w="1964"/>
        <w:gridCol w:w="1664"/>
      </w:tblGrid>
      <w:tr w:rsidR="00C861DA">
        <w:trPr>
          <w:trHeight w:val="397"/>
          <w:jc w:val="center"/>
        </w:trPr>
        <w:tc>
          <w:tcPr>
            <w:tcW w:w="2633" w:type="dxa"/>
            <w:tcBorders>
              <w:top w:val="single" w:sz="4" w:space="0" w:color="000000"/>
              <w:left w:val="single" w:sz="4" w:space="0" w:color="000000"/>
              <w:bottom w:val="single" w:sz="4" w:space="0" w:color="000000"/>
              <w:right w:val="single" w:sz="4" w:space="0" w:color="000000"/>
              <w:tl2br w:val="single" w:sz="4" w:space="0" w:color="auto"/>
            </w:tcBorders>
            <w:vAlign w:val="center"/>
          </w:tcPr>
          <w:p w:rsidR="00C861DA" w:rsidRDefault="0044752E">
            <w:pPr>
              <w:widowControl/>
              <w:snapToGrid w:val="0"/>
              <w:jc w:val="right"/>
              <w:rPr>
                <w:rFonts w:ascii="Times New Roman" w:eastAsia="宋体"/>
                <w:b/>
                <w:bCs/>
                <w:color w:val="000000" w:themeColor="text1"/>
              </w:rPr>
            </w:pPr>
            <w:r>
              <w:rPr>
                <w:rFonts w:ascii="Times New Roman" w:eastAsia="宋体"/>
                <w:b/>
                <w:bCs/>
                <w:color w:val="000000" w:themeColor="text1"/>
              </w:rPr>
              <w:t>项目类别</w:t>
            </w:r>
          </w:p>
          <w:p w:rsidR="00C861DA" w:rsidRDefault="0044752E">
            <w:pPr>
              <w:widowControl/>
              <w:snapToGrid w:val="0"/>
              <w:rPr>
                <w:rFonts w:ascii="Times New Roman" w:eastAsia="宋体"/>
                <w:b/>
                <w:bCs/>
                <w:color w:val="000000" w:themeColor="text1"/>
              </w:rPr>
            </w:pPr>
            <w:r>
              <w:rPr>
                <w:rFonts w:ascii="Times New Roman" w:eastAsia="宋体"/>
                <w:b/>
                <w:bCs/>
                <w:color w:val="000000" w:themeColor="text1"/>
              </w:rPr>
              <w:t>环境敏感程度</w:t>
            </w:r>
          </w:p>
        </w:tc>
        <w:tc>
          <w:tcPr>
            <w:tcW w:w="2056" w:type="dxa"/>
            <w:tcBorders>
              <w:top w:val="single" w:sz="4" w:space="0" w:color="000000"/>
              <w:left w:val="single" w:sz="4" w:space="0" w:color="000000"/>
              <w:bottom w:val="single" w:sz="4" w:space="0" w:color="000000"/>
              <w:right w:val="single" w:sz="4" w:space="0" w:color="000000"/>
            </w:tcBorders>
            <w:vAlign w:val="center"/>
          </w:tcPr>
          <w:p w:rsidR="00C861DA" w:rsidRDefault="0044752E">
            <w:pPr>
              <w:widowControl/>
              <w:snapToGrid w:val="0"/>
              <w:jc w:val="center"/>
              <w:rPr>
                <w:rFonts w:ascii="Times New Roman" w:eastAsia="宋体"/>
                <w:b/>
                <w:bCs/>
                <w:color w:val="000000" w:themeColor="text1"/>
              </w:rPr>
            </w:pPr>
            <w:r>
              <w:rPr>
                <w:rFonts w:ascii="Times New Roman" w:eastAsia="宋体"/>
                <w:b/>
                <w:bCs/>
                <w:color w:val="000000" w:themeColor="text1"/>
              </w:rPr>
              <w:t xml:space="preserve">I </w:t>
            </w:r>
            <w:r>
              <w:rPr>
                <w:rFonts w:ascii="Times New Roman" w:eastAsia="宋体"/>
                <w:b/>
                <w:bCs/>
                <w:color w:val="000000" w:themeColor="text1"/>
              </w:rPr>
              <w:t>类项目</w:t>
            </w:r>
          </w:p>
        </w:tc>
        <w:tc>
          <w:tcPr>
            <w:tcW w:w="1964" w:type="dxa"/>
            <w:tcBorders>
              <w:top w:val="single" w:sz="4" w:space="0" w:color="000000"/>
              <w:left w:val="single" w:sz="4" w:space="0" w:color="000000"/>
              <w:bottom w:val="single" w:sz="4" w:space="0" w:color="000000"/>
              <w:right w:val="single" w:sz="4" w:space="0" w:color="000000"/>
            </w:tcBorders>
            <w:vAlign w:val="center"/>
          </w:tcPr>
          <w:p w:rsidR="00C861DA" w:rsidRDefault="0044752E">
            <w:pPr>
              <w:widowControl/>
              <w:snapToGrid w:val="0"/>
              <w:jc w:val="center"/>
              <w:rPr>
                <w:rFonts w:ascii="Times New Roman" w:eastAsia="宋体"/>
                <w:b/>
                <w:bCs/>
                <w:color w:val="000000" w:themeColor="text1"/>
              </w:rPr>
            </w:pPr>
            <w:r>
              <w:rPr>
                <w:rFonts w:ascii="Times New Roman" w:eastAsia="宋体"/>
                <w:b/>
                <w:bCs/>
                <w:color w:val="000000" w:themeColor="text1"/>
              </w:rPr>
              <w:t xml:space="preserve">II </w:t>
            </w:r>
            <w:r>
              <w:rPr>
                <w:rFonts w:ascii="Times New Roman" w:eastAsia="宋体"/>
                <w:b/>
                <w:bCs/>
                <w:color w:val="000000" w:themeColor="text1"/>
              </w:rPr>
              <w:t>类项目</w:t>
            </w:r>
          </w:p>
        </w:tc>
        <w:tc>
          <w:tcPr>
            <w:tcW w:w="1664" w:type="dxa"/>
            <w:tcBorders>
              <w:top w:val="single" w:sz="4" w:space="0" w:color="000000"/>
              <w:left w:val="single" w:sz="4" w:space="0" w:color="000000"/>
              <w:bottom w:val="single" w:sz="4" w:space="0" w:color="000000"/>
              <w:right w:val="single" w:sz="4" w:space="0" w:color="000000"/>
            </w:tcBorders>
            <w:vAlign w:val="center"/>
          </w:tcPr>
          <w:p w:rsidR="00C861DA" w:rsidRDefault="0044752E">
            <w:pPr>
              <w:widowControl/>
              <w:snapToGrid w:val="0"/>
              <w:jc w:val="center"/>
              <w:rPr>
                <w:rFonts w:ascii="Times New Roman" w:eastAsia="宋体"/>
                <w:b/>
                <w:bCs/>
                <w:color w:val="000000" w:themeColor="text1"/>
              </w:rPr>
            </w:pPr>
            <w:r>
              <w:rPr>
                <w:rFonts w:ascii="Times New Roman" w:eastAsia="宋体"/>
                <w:b/>
                <w:bCs/>
                <w:color w:val="000000" w:themeColor="text1"/>
              </w:rPr>
              <w:t xml:space="preserve">III </w:t>
            </w:r>
            <w:r>
              <w:rPr>
                <w:rFonts w:ascii="Times New Roman" w:eastAsia="宋体"/>
                <w:b/>
                <w:bCs/>
                <w:color w:val="000000" w:themeColor="text1"/>
              </w:rPr>
              <w:t>类项目</w:t>
            </w:r>
          </w:p>
        </w:tc>
      </w:tr>
      <w:tr w:rsidR="00C861DA">
        <w:trPr>
          <w:trHeight w:val="397"/>
          <w:jc w:val="center"/>
        </w:trPr>
        <w:tc>
          <w:tcPr>
            <w:tcW w:w="2633" w:type="dxa"/>
            <w:tcBorders>
              <w:top w:val="single" w:sz="4" w:space="0" w:color="000000"/>
              <w:left w:val="single" w:sz="4" w:space="0" w:color="000000"/>
              <w:bottom w:val="single" w:sz="4" w:space="0" w:color="000000"/>
              <w:right w:val="single" w:sz="4" w:space="0" w:color="000000"/>
            </w:tcBorders>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敏感</w:t>
            </w:r>
          </w:p>
        </w:tc>
        <w:tc>
          <w:tcPr>
            <w:tcW w:w="2056" w:type="dxa"/>
            <w:tcBorders>
              <w:top w:val="single" w:sz="4" w:space="0" w:color="000000"/>
              <w:left w:val="single" w:sz="4" w:space="0" w:color="000000"/>
              <w:bottom w:val="single" w:sz="4" w:space="0" w:color="000000"/>
              <w:right w:val="single" w:sz="4" w:space="0" w:color="000000"/>
            </w:tcBorders>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一</w:t>
            </w:r>
          </w:p>
        </w:tc>
        <w:tc>
          <w:tcPr>
            <w:tcW w:w="1964" w:type="dxa"/>
            <w:tcBorders>
              <w:top w:val="single" w:sz="4" w:space="0" w:color="000000"/>
              <w:left w:val="single" w:sz="4" w:space="0" w:color="000000"/>
              <w:bottom w:val="single" w:sz="4" w:space="0" w:color="000000"/>
              <w:right w:val="single" w:sz="4" w:space="0" w:color="000000"/>
            </w:tcBorders>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一</w:t>
            </w:r>
          </w:p>
        </w:tc>
        <w:tc>
          <w:tcPr>
            <w:tcW w:w="1664" w:type="dxa"/>
            <w:tcBorders>
              <w:top w:val="single" w:sz="4" w:space="0" w:color="000000"/>
              <w:left w:val="single" w:sz="4" w:space="0" w:color="000000"/>
              <w:bottom w:val="single" w:sz="4" w:space="0" w:color="000000"/>
              <w:right w:val="single" w:sz="4" w:space="0" w:color="000000"/>
            </w:tcBorders>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二</w:t>
            </w:r>
          </w:p>
        </w:tc>
      </w:tr>
      <w:tr w:rsidR="00C861DA">
        <w:trPr>
          <w:trHeight w:val="397"/>
          <w:jc w:val="center"/>
        </w:trPr>
        <w:tc>
          <w:tcPr>
            <w:tcW w:w="2633" w:type="dxa"/>
            <w:tcBorders>
              <w:top w:val="single" w:sz="4" w:space="0" w:color="000000"/>
              <w:left w:val="single" w:sz="4" w:space="0" w:color="000000"/>
              <w:bottom w:val="single" w:sz="4" w:space="0" w:color="000000"/>
              <w:right w:val="single" w:sz="4" w:space="0" w:color="000000"/>
            </w:tcBorders>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较敏感</w:t>
            </w:r>
          </w:p>
        </w:tc>
        <w:tc>
          <w:tcPr>
            <w:tcW w:w="2056" w:type="dxa"/>
            <w:tcBorders>
              <w:top w:val="single" w:sz="4" w:space="0" w:color="000000"/>
              <w:left w:val="single" w:sz="4" w:space="0" w:color="000000"/>
              <w:bottom w:val="single" w:sz="4" w:space="0" w:color="000000"/>
              <w:right w:val="single" w:sz="4" w:space="0" w:color="000000"/>
            </w:tcBorders>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一</w:t>
            </w:r>
          </w:p>
        </w:tc>
        <w:tc>
          <w:tcPr>
            <w:tcW w:w="1964" w:type="dxa"/>
            <w:tcBorders>
              <w:top w:val="single" w:sz="4" w:space="0" w:color="000000"/>
              <w:left w:val="single" w:sz="4" w:space="0" w:color="000000"/>
              <w:bottom w:val="single" w:sz="4" w:space="0" w:color="000000"/>
              <w:right w:val="single" w:sz="4" w:space="0" w:color="000000"/>
            </w:tcBorders>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二</w:t>
            </w:r>
          </w:p>
        </w:tc>
        <w:tc>
          <w:tcPr>
            <w:tcW w:w="1664" w:type="dxa"/>
            <w:tcBorders>
              <w:top w:val="single" w:sz="4" w:space="0" w:color="000000"/>
              <w:left w:val="single" w:sz="4" w:space="0" w:color="000000"/>
              <w:bottom w:val="single" w:sz="4" w:space="0" w:color="000000"/>
              <w:right w:val="single" w:sz="4" w:space="0" w:color="000000"/>
            </w:tcBorders>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三</w:t>
            </w:r>
          </w:p>
        </w:tc>
      </w:tr>
      <w:tr w:rsidR="00C861DA">
        <w:trPr>
          <w:trHeight w:val="397"/>
          <w:jc w:val="center"/>
        </w:trPr>
        <w:tc>
          <w:tcPr>
            <w:tcW w:w="2633" w:type="dxa"/>
            <w:tcBorders>
              <w:top w:val="single" w:sz="4" w:space="0" w:color="000000"/>
              <w:left w:val="single" w:sz="4" w:space="0" w:color="000000"/>
              <w:bottom w:val="single" w:sz="4" w:space="0" w:color="000000"/>
              <w:right w:val="single" w:sz="4" w:space="0" w:color="000000"/>
            </w:tcBorders>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不敏感</w:t>
            </w:r>
          </w:p>
        </w:tc>
        <w:tc>
          <w:tcPr>
            <w:tcW w:w="2056" w:type="dxa"/>
            <w:tcBorders>
              <w:top w:val="single" w:sz="4" w:space="0" w:color="000000"/>
              <w:left w:val="single" w:sz="4" w:space="0" w:color="000000"/>
              <w:bottom w:val="single" w:sz="4" w:space="0" w:color="000000"/>
              <w:right w:val="single" w:sz="4" w:space="0" w:color="000000"/>
            </w:tcBorders>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二</w:t>
            </w:r>
            <w:r>
              <w:rPr>
                <w:rFonts w:ascii="Times New Roman" w:eastAsia="宋体" w:hint="eastAsia"/>
                <w:color w:val="000000" w:themeColor="text1"/>
              </w:rPr>
              <w:t>（本项目）</w:t>
            </w:r>
          </w:p>
        </w:tc>
        <w:tc>
          <w:tcPr>
            <w:tcW w:w="1964" w:type="dxa"/>
            <w:tcBorders>
              <w:top w:val="single" w:sz="4" w:space="0" w:color="000000"/>
              <w:left w:val="single" w:sz="4" w:space="0" w:color="000000"/>
              <w:bottom w:val="single" w:sz="4" w:space="0" w:color="000000"/>
              <w:right w:val="single" w:sz="4" w:space="0" w:color="000000"/>
            </w:tcBorders>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三</w:t>
            </w:r>
          </w:p>
        </w:tc>
        <w:tc>
          <w:tcPr>
            <w:tcW w:w="1664" w:type="dxa"/>
            <w:tcBorders>
              <w:top w:val="single" w:sz="4" w:space="0" w:color="000000"/>
              <w:left w:val="single" w:sz="4" w:space="0" w:color="000000"/>
              <w:bottom w:val="single" w:sz="4" w:space="0" w:color="000000"/>
              <w:right w:val="single" w:sz="4" w:space="0" w:color="000000"/>
            </w:tcBorders>
            <w:vAlign w:val="center"/>
          </w:tcPr>
          <w:p w:rsidR="00C861DA" w:rsidRDefault="0044752E">
            <w:pPr>
              <w:widowControl/>
              <w:snapToGrid w:val="0"/>
              <w:jc w:val="center"/>
              <w:rPr>
                <w:rFonts w:ascii="Times New Roman" w:eastAsia="宋体"/>
                <w:color w:val="000000" w:themeColor="text1"/>
              </w:rPr>
            </w:pPr>
            <w:r>
              <w:rPr>
                <w:rFonts w:ascii="Times New Roman" w:eastAsia="宋体"/>
                <w:color w:val="000000" w:themeColor="text1"/>
              </w:rPr>
              <w:t>三</w:t>
            </w:r>
          </w:p>
        </w:tc>
      </w:tr>
    </w:tbl>
    <w:p w:rsidR="00C861DA" w:rsidRDefault="0044752E">
      <w:pPr>
        <w:snapToGrid w:val="0"/>
        <w:spacing w:beforeLines="100" w:before="312"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本项目属于“</w:t>
      </w:r>
      <w:r>
        <w:rPr>
          <w:rFonts w:ascii="Times New Roman" w:eastAsia="宋体" w:cs="仿宋"/>
          <w:bCs/>
          <w:color w:val="000000" w:themeColor="text1"/>
          <w:sz w:val="24"/>
        </w:rPr>
        <w:fldChar w:fldCharType="begin"/>
      </w:r>
      <w:r>
        <w:rPr>
          <w:rFonts w:ascii="Times New Roman" w:eastAsia="宋体" w:cs="仿宋"/>
          <w:bCs/>
          <w:color w:val="000000" w:themeColor="text1"/>
          <w:sz w:val="24"/>
        </w:rPr>
        <w:instrText xml:space="preserve"> </w:instrText>
      </w:r>
      <w:r>
        <w:rPr>
          <w:rFonts w:ascii="Times New Roman" w:eastAsia="宋体" w:cs="仿宋" w:hint="eastAsia"/>
          <w:bCs/>
          <w:color w:val="000000" w:themeColor="text1"/>
          <w:sz w:val="24"/>
        </w:rPr>
        <w:instrText>= 1 \* ROMAN</w:instrText>
      </w:r>
      <w:r>
        <w:rPr>
          <w:rFonts w:ascii="Times New Roman" w:eastAsia="宋体" w:cs="仿宋"/>
          <w:bCs/>
          <w:color w:val="000000" w:themeColor="text1"/>
          <w:sz w:val="24"/>
        </w:rPr>
        <w:instrText xml:space="preserve"> </w:instrText>
      </w:r>
      <w:r>
        <w:rPr>
          <w:rFonts w:ascii="Times New Roman" w:eastAsia="宋体" w:cs="仿宋"/>
          <w:bCs/>
          <w:color w:val="000000" w:themeColor="text1"/>
          <w:sz w:val="24"/>
        </w:rPr>
        <w:fldChar w:fldCharType="separate"/>
      </w:r>
      <w:r>
        <w:rPr>
          <w:rFonts w:ascii="Times New Roman" w:eastAsia="宋体" w:cs="仿宋"/>
          <w:bCs/>
          <w:color w:val="000000" w:themeColor="text1"/>
          <w:sz w:val="24"/>
        </w:rPr>
        <w:t>I</w:t>
      </w:r>
      <w:r>
        <w:rPr>
          <w:rFonts w:ascii="Times New Roman" w:eastAsia="宋体" w:cs="仿宋"/>
          <w:bCs/>
          <w:color w:val="000000" w:themeColor="text1"/>
          <w:sz w:val="24"/>
        </w:rPr>
        <w:fldChar w:fldCharType="end"/>
      </w:r>
      <w:r>
        <w:rPr>
          <w:rFonts w:ascii="Times New Roman" w:eastAsia="宋体" w:hint="eastAsia"/>
          <w:color w:val="000000" w:themeColor="text1"/>
          <w:sz w:val="24"/>
          <w:szCs w:val="24"/>
        </w:rPr>
        <w:t>类项目”</w:t>
      </w:r>
      <w:r>
        <w:rPr>
          <w:rFonts w:ascii="Times New Roman" w:eastAsia="宋体"/>
          <w:color w:val="000000" w:themeColor="text1"/>
          <w:sz w:val="24"/>
          <w:szCs w:val="24"/>
        </w:rPr>
        <w:t>，不涉及饮用水水源保护区和分散饮用水源等环境敏感区，地下水环境敏感程度为</w:t>
      </w:r>
      <w:r>
        <w:rPr>
          <w:rFonts w:ascii="Times New Roman" w:eastAsia="宋体" w:hint="eastAsia"/>
          <w:color w:val="000000" w:themeColor="text1"/>
          <w:sz w:val="24"/>
          <w:szCs w:val="24"/>
        </w:rPr>
        <w:t>“</w:t>
      </w:r>
      <w:r>
        <w:rPr>
          <w:rFonts w:ascii="Times New Roman" w:eastAsia="宋体"/>
          <w:color w:val="000000" w:themeColor="text1"/>
          <w:sz w:val="24"/>
          <w:szCs w:val="24"/>
        </w:rPr>
        <w:t>不敏感</w:t>
      </w:r>
      <w:r>
        <w:rPr>
          <w:rFonts w:ascii="Times New Roman" w:eastAsia="宋体" w:hint="eastAsia"/>
          <w:color w:val="000000" w:themeColor="text1"/>
          <w:sz w:val="24"/>
          <w:szCs w:val="24"/>
        </w:rPr>
        <w:t>”</w:t>
      </w:r>
      <w:r>
        <w:rPr>
          <w:rFonts w:ascii="Times New Roman" w:eastAsia="宋体"/>
          <w:color w:val="000000" w:themeColor="text1"/>
          <w:sz w:val="24"/>
          <w:szCs w:val="24"/>
        </w:rPr>
        <w:t>，</w:t>
      </w:r>
      <w:r>
        <w:rPr>
          <w:rFonts w:ascii="Times New Roman" w:eastAsia="宋体" w:hint="eastAsia"/>
          <w:color w:val="000000" w:themeColor="text1"/>
          <w:sz w:val="24"/>
          <w:szCs w:val="24"/>
        </w:rPr>
        <w:t>对照表</w:t>
      </w:r>
      <w:r>
        <w:rPr>
          <w:rFonts w:ascii="Times New Roman" w:eastAsia="宋体" w:hint="eastAsia"/>
          <w:color w:val="000000" w:themeColor="text1"/>
          <w:sz w:val="24"/>
          <w:szCs w:val="24"/>
        </w:rPr>
        <w:t>2.6-4</w:t>
      </w:r>
      <w:r>
        <w:rPr>
          <w:rFonts w:ascii="Times New Roman" w:eastAsia="宋体" w:hint="eastAsia"/>
          <w:color w:val="000000" w:themeColor="text1"/>
          <w:sz w:val="24"/>
          <w:szCs w:val="24"/>
        </w:rPr>
        <w:t>，确定</w:t>
      </w:r>
      <w:r>
        <w:rPr>
          <w:rFonts w:ascii="Times New Roman" w:eastAsia="宋体"/>
          <w:color w:val="000000" w:themeColor="text1"/>
          <w:sz w:val="24"/>
          <w:szCs w:val="24"/>
        </w:rPr>
        <w:t>本项目地下水环境影响评价工作等级为</w:t>
      </w:r>
      <w:r>
        <w:rPr>
          <w:rFonts w:ascii="Times New Roman" w:eastAsia="宋体" w:hint="eastAsia"/>
          <w:color w:val="000000" w:themeColor="text1"/>
          <w:sz w:val="24"/>
          <w:szCs w:val="24"/>
        </w:rPr>
        <w:t>二</w:t>
      </w:r>
      <w:r>
        <w:rPr>
          <w:rFonts w:ascii="Times New Roman" w:eastAsia="宋体"/>
          <w:color w:val="000000" w:themeColor="text1"/>
          <w:sz w:val="24"/>
          <w:szCs w:val="24"/>
        </w:rPr>
        <w:t>级。</w:t>
      </w:r>
    </w:p>
    <w:p w:rsidR="00C861DA" w:rsidRDefault="0044752E">
      <w:pPr>
        <w:spacing w:line="360" w:lineRule="auto"/>
        <w:ind w:firstLineChars="200" w:firstLine="480"/>
        <w:rPr>
          <w:rFonts w:ascii="Times New Roman" w:eastAsia="宋体" w:cs="仿宋"/>
          <w:bCs/>
          <w:color w:val="000000" w:themeColor="text1"/>
          <w:sz w:val="24"/>
        </w:rPr>
      </w:pPr>
      <w:r>
        <w:rPr>
          <w:rFonts w:ascii="Times New Roman" w:eastAsia="宋体" w:cs="仿宋" w:hint="eastAsia"/>
          <w:bCs/>
          <w:color w:val="000000" w:themeColor="text1"/>
          <w:sz w:val="24"/>
        </w:rPr>
        <w:t>根据《环境影响评价技术导则</w:t>
      </w:r>
      <w:r>
        <w:rPr>
          <w:rFonts w:ascii="Times New Roman" w:eastAsia="宋体" w:cs="仿宋" w:hint="eastAsia"/>
          <w:bCs/>
          <w:color w:val="000000" w:themeColor="text1"/>
          <w:sz w:val="24"/>
        </w:rPr>
        <w:t xml:space="preserve"> </w:t>
      </w:r>
      <w:r>
        <w:rPr>
          <w:rFonts w:ascii="Times New Roman" w:eastAsia="宋体" w:cs="仿宋" w:hint="eastAsia"/>
          <w:bCs/>
          <w:color w:val="000000" w:themeColor="text1"/>
          <w:sz w:val="24"/>
        </w:rPr>
        <w:t>地下水环境》（</w:t>
      </w:r>
      <w:r>
        <w:rPr>
          <w:rFonts w:ascii="Times New Roman" w:eastAsia="宋体" w:cs="仿宋" w:hint="eastAsia"/>
          <w:bCs/>
          <w:color w:val="000000" w:themeColor="text1"/>
          <w:sz w:val="24"/>
        </w:rPr>
        <w:t>HJ 610-2016</w:t>
      </w:r>
      <w:r>
        <w:rPr>
          <w:rFonts w:ascii="Times New Roman" w:eastAsia="宋体" w:cs="仿宋" w:hint="eastAsia"/>
          <w:bCs/>
          <w:color w:val="000000" w:themeColor="text1"/>
          <w:sz w:val="24"/>
        </w:rPr>
        <w:t>），本项目地下水评价工作需要进行以下评价内容：</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fldChar w:fldCharType="begin"/>
      </w:r>
      <w:r>
        <w:rPr>
          <w:rFonts w:ascii="Times New Roman" w:eastAsia="宋体"/>
          <w:color w:val="000000" w:themeColor="text1"/>
          <w:sz w:val="24"/>
          <w:szCs w:val="24"/>
        </w:rPr>
        <w:instrText xml:space="preserve"> = 1 \* GB3 </w:instrText>
      </w:r>
      <w:r>
        <w:rPr>
          <w:rFonts w:ascii="Times New Roman" w:eastAsia="宋体"/>
          <w:color w:val="000000" w:themeColor="text1"/>
          <w:sz w:val="24"/>
          <w:szCs w:val="24"/>
        </w:rPr>
        <w:fldChar w:fldCharType="separate"/>
      </w:r>
      <w:r>
        <w:rPr>
          <w:rFonts w:ascii="宋体" w:eastAsia="宋体" w:hAnsi="宋体" w:cs="宋体" w:hint="eastAsia"/>
          <w:color w:val="000000" w:themeColor="text1"/>
          <w:sz w:val="24"/>
          <w:szCs w:val="24"/>
        </w:rPr>
        <w:t>①</w:t>
      </w:r>
      <w:r>
        <w:rPr>
          <w:rFonts w:ascii="Times New Roman" w:eastAsia="宋体"/>
          <w:color w:val="000000" w:themeColor="text1"/>
          <w:sz w:val="24"/>
          <w:szCs w:val="24"/>
        </w:rPr>
        <w:fldChar w:fldCharType="end"/>
      </w:r>
      <w:r>
        <w:rPr>
          <w:rFonts w:ascii="Times New Roman" w:eastAsia="宋体"/>
          <w:color w:val="000000" w:themeColor="text1"/>
          <w:sz w:val="24"/>
          <w:szCs w:val="24"/>
        </w:rPr>
        <w:t>基本掌握调查评价区的环境水文地质条件，主要包括含（隔）水层结构及其分布特征、地下水补径排条件、地下水流场等。了解调查评价区地下水开发利用现状与规划。</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fldChar w:fldCharType="begin"/>
      </w:r>
      <w:r>
        <w:rPr>
          <w:rFonts w:ascii="Times New Roman" w:eastAsia="宋体"/>
          <w:color w:val="000000" w:themeColor="text1"/>
          <w:sz w:val="24"/>
          <w:szCs w:val="24"/>
        </w:rPr>
        <w:instrText xml:space="preserve"> = 2 \* GB3 </w:instrText>
      </w:r>
      <w:r>
        <w:rPr>
          <w:rFonts w:ascii="Times New Roman" w:eastAsia="宋体"/>
          <w:color w:val="000000" w:themeColor="text1"/>
          <w:sz w:val="24"/>
          <w:szCs w:val="24"/>
        </w:rPr>
        <w:fldChar w:fldCharType="separate"/>
      </w:r>
      <w:r>
        <w:rPr>
          <w:rFonts w:ascii="宋体" w:eastAsia="宋体" w:hAnsi="宋体" w:cs="宋体" w:hint="eastAsia"/>
          <w:color w:val="000000" w:themeColor="text1"/>
          <w:sz w:val="24"/>
          <w:szCs w:val="24"/>
        </w:rPr>
        <w:t>②</w:t>
      </w:r>
      <w:r>
        <w:rPr>
          <w:rFonts w:ascii="Times New Roman" w:eastAsia="宋体"/>
          <w:color w:val="000000" w:themeColor="text1"/>
          <w:sz w:val="24"/>
          <w:szCs w:val="24"/>
        </w:rPr>
        <w:fldChar w:fldCharType="end"/>
      </w:r>
      <w:r>
        <w:rPr>
          <w:rFonts w:ascii="Times New Roman" w:eastAsia="宋体"/>
          <w:color w:val="000000" w:themeColor="text1"/>
          <w:sz w:val="24"/>
          <w:szCs w:val="24"/>
        </w:rPr>
        <w:t>开展地下水环境现状监测，基本掌握调查评价区地下水环境质量现状，进行地下水环境现状评价。</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fldChar w:fldCharType="begin"/>
      </w:r>
      <w:r>
        <w:rPr>
          <w:rFonts w:ascii="Times New Roman" w:eastAsia="宋体"/>
          <w:color w:val="000000" w:themeColor="text1"/>
          <w:sz w:val="24"/>
          <w:szCs w:val="24"/>
        </w:rPr>
        <w:instrText xml:space="preserve"> = 3 \* GB3 </w:instrText>
      </w:r>
      <w:r>
        <w:rPr>
          <w:rFonts w:ascii="Times New Roman" w:eastAsia="宋体"/>
          <w:color w:val="000000" w:themeColor="text1"/>
          <w:sz w:val="24"/>
          <w:szCs w:val="24"/>
        </w:rPr>
        <w:fldChar w:fldCharType="separate"/>
      </w:r>
      <w:r>
        <w:rPr>
          <w:rFonts w:ascii="宋体" w:eastAsia="宋体" w:hAnsi="宋体" w:cs="宋体" w:hint="eastAsia"/>
          <w:color w:val="000000" w:themeColor="text1"/>
          <w:sz w:val="24"/>
          <w:szCs w:val="24"/>
        </w:rPr>
        <w:t>③</w:t>
      </w:r>
      <w:r>
        <w:rPr>
          <w:rFonts w:ascii="Times New Roman" w:eastAsia="宋体"/>
          <w:color w:val="000000" w:themeColor="text1"/>
          <w:sz w:val="24"/>
          <w:szCs w:val="24"/>
        </w:rPr>
        <w:fldChar w:fldCharType="end"/>
      </w:r>
      <w:r>
        <w:rPr>
          <w:rFonts w:ascii="Times New Roman" w:eastAsia="宋体"/>
          <w:color w:val="000000" w:themeColor="text1"/>
          <w:sz w:val="24"/>
          <w:szCs w:val="24"/>
        </w:rPr>
        <w:t>根据场地环境水文地质条件的掌握情况，有针对性的补充必要的现场勘察试验。</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fldChar w:fldCharType="begin"/>
      </w:r>
      <w:r>
        <w:rPr>
          <w:rFonts w:ascii="Times New Roman" w:eastAsia="宋体"/>
          <w:color w:val="000000" w:themeColor="text1"/>
          <w:sz w:val="24"/>
          <w:szCs w:val="24"/>
        </w:rPr>
        <w:instrText xml:space="preserve"> = 4 \* GB3 </w:instrText>
      </w:r>
      <w:r>
        <w:rPr>
          <w:rFonts w:ascii="Times New Roman" w:eastAsia="宋体"/>
          <w:color w:val="000000" w:themeColor="text1"/>
          <w:sz w:val="24"/>
          <w:szCs w:val="24"/>
        </w:rPr>
        <w:fldChar w:fldCharType="separate"/>
      </w:r>
      <w:r>
        <w:rPr>
          <w:rFonts w:ascii="宋体" w:eastAsia="宋体" w:hAnsi="宋体" w:cs="宋体" w:hint="eastAsia"/>
          <w:color w:val="000000" w:themeColor="text1"/>
          <w:sz w:val="24"/>
          <w:szCs w:val="24"/>
        </w:rPr>
        <w:t>④</w:t>
      </w:r>
      <w:r>
        <w:rPr>
          <w:rFonts w:ascii="Times New Roman" w:eastAsia="宋体"/>
          <w:color w:val="000000" w:themeColor="text1"/>
          <w:sz w:val="24"/>
          <w:szCs w:val="24"/>
        </w:rPr>
        <w:fldChar w:fldCharType="end"/>
      </w:r>
      <w:r>
        <w:rPr>
          <w:rFonts w:ascii="Times New Roman" w:eastAsia="宋体"/>
          <w:color w:val="000000" w:themeColor="text1"/>
          <w:sz w:val="24"/>
          <w:szCs w:val="24"/>
        </w:rPr>
        <w:t>根据建设项目特征、水文地质条件及资料掌握情况，选择采用数值法或解析法进行影响预测，预测污染物运移趋势和对地下水环境保护目标的影响。</w:t>
      </w:r>
    </w:p>
    <w:p w:rsidR="00C861DA" w:rsidRDefault="0044752E">
      <w:pPr>
        <w:spacing w:line="360" w:lineRule="auto"/>
        <w:ind w:firstLineChars="200" w:firstLine="480"/>
        <w:rPr>
          <w:rFonts w:ascii="Times New Roman" w:eastAsia="宋体"/>
          <w:bCs/>
          <w:color w:val="000000" w:themeColor="text1"/>
          <w:sz w:val="24"/>
          <w:szCs w:val="24"/>
        </w:rPr>
      </w:pPr>
      <w:r>
        <w:rPr>
          <w:rFonts w:ascii="Times New Roman" w:eastAsia="宋体"/>
          <w:bCs/>
          <w:color w:val="000000" w:themeColor="text1"/>
          <w:sz w:val="24"/>
          <w:szCs w:val="24"/>
        </w:rPr>
        <w:fldChar w:fldCharType="begin"/>
      </w:r>
      <w:r>
        <w:rPr>
          <w:rFonts w:ascii="Times New Roman" w:eastAsia="宋体"/>
          <w:bCs/>
          <w:color w:val="000000" w:themeColor="text1"/>
          <w:sz w:val="24"/>
          <w:szCs w:val="24"/>
        </w:rPr>
        <w:instrText xml:space="preserve"> = 5 \* GB3 </w:instrText>
      </w:r>
      <w:r>
        <w:rPr>
          <w:rFonts w:ascii="Times New Roman" w:eastAsia="宋体"/>
          <w:bCs/>
          <w:color w:val="000000" w:themeColor="text1"/>
          <w:sz w:val="24"/>
          <w:szCs w:val="24"/>
        </w:rPr>
        <w:fldChar w:fldCharType="separate"/>
      </w:r>
      <w:r>
        <w:rPr>
          <w:rFonts w:ascii="宋体" w:eastAsia="宋体" w:hAnsi="宋体" w:cs="宋体" w:hint="eastAsia"/>
          <w:bCs/>
          <w:color w:val="000000" w:themeColor="text1"/>
          <w:sz w:val="24"/>
          <w:szCs w:val="24"/>
        </w:rPr>
        <w:t>⑤</w:t>
      </w:r>
      <w:r>
        <w:rPr>
          <w:rFonts w:ascii="Times New Roman" w:eastAsia="宋体"/>
          <w:bCs/>
          <w:color w:val="000000" w:themeColor="text1"/>
          <w:sz w:val="24"/>
          <w:szCs w:val="24"/>
        </w:rPr>
        <w:fldChar w:fldCharType="end"/>
      </w:r>
      <w:r>
        <w:rPr>
          <w:rFonts w:ascii="Times New Roman" w:eastAsia="宋体"/>
          <w:bCs/>
          <w:color w:val="000000" w:themeColor="text1"/>
          <w:sz w:val="24"/>
          <w:szCs w:val="24"/>
        </w:rPr>
        <w:t>提出切实可行的环境保护措施与地下水环境影响跟踪监测计划。</w:t>
      </w:r>
    </w:p>
    <w:p w:rsidR="00C861DA" w:rsidRDefault="0044752E">
      <w:pPr>
        <w:spacing w:line="360" w:lineRule="auto"/>
        <w:ind w:firstLineChars="200" w:firstLine="482"/>
        <w:rPr>
          <w:rFonts w:ascii="Times New Roman" w:eastAsia="宋体" w:cs="仿宋"/>
          <w:b/>
          <w:color w:val="000000" w:themeColor="text1"/>
          <w:sz w:val="24"/>
          <w:szCs w:val="24"/>
        </w:rPr>
      </w:pPr>
      <w:r>
        <w:rPr>
          <w:rFonts w:ascii="Times New Roman" w:eastAsia="宋体" w:cs="仿宋" w:hint="eastAsia"/>
          <w:b/>
          <w:color w:val="000000" w:themeColor="text1"/>
          <w:sz w:val="24"/>
          <w:szCs w:val="24"/>
        </w:rPr>
        <w:t>（</w:t>
      </w:r>
      <w:r>
        <w:rPr>
          <w:rFonts w:ascii="Times New Roman" w:eastAsia="宋体" w:cs="仿宋" w:hint="eastAsia"/>
          <w:b/>
          <w:color w:val="000000" w:themeColor="text1"/>
          <w:sz w:val="24"/>
          <w:szCs w:val="24"/>
        </w:rPr>
        <w:t>4</w:t>
      </w:r>
      <w:r>
        <w:rPr>
          <w:rFonts w:ascii="Times New Roman" w:eastAsia="宋体" w:cs="仿宋" w:hint="eastAsia"/>
          <w:b/>
          <w:color w:val="000000" w:themeColor="text1"/>
          <w:sz w:val="24"/>
          <w:szCs w:val="24"/>
        </w:rPr>
        <w:t>）声环境</w:t>
      </w:r>
    </w:p>
    <w:p w:rsidR="00C861DA" w:rsidRDefault="0044752E">
      <w:pPr>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本项目位于安宁市工业园区内，为《声环境质量标准》（</w:t>
      </w:r>
      <w:r>
        <w:rPr>
          <w:rFonts w:ascii="Times New Roman" w:eastAsia="宋体" w:cs="仿宋" w:hint="eastAsia"/>
          <w:color w:val="000000" w:themeColor="text1"/>
          <w:sz w:val="24"/>
          <w:szCs w:val="24"/>
        </w:rPr>
        <w:t>GB3096-2008</w:t>
      </w:r>
      <w:r>
        <w:rPr>
          <w:rFonts w:ascii="Times New Roman" w:eastAsia="宋体" w:cs="仿宋" w:hint="eastAsia"/>
          <w:color w:val="000000" w:themeColor="text1"/>
          <w:sz w:val="24"/>
          <w:szCs w:val="24"/>
        </w:rPr>
        <w:t>）</w:t>
      </w:r>
      <w:r>
        <w:rPr>
          <w:rFonts w:ascii="Times New Roman" w:eastAsia="宋体" w:cs="仿宋" w:hint="eastAsia"/>
          <w:color w:val="000000" w:themeColor="text1"/>
          <w:sz w:val="24"/>
          <w:szCs w:val="24"/>
        </w:rPr>
        <w:t>3</w:t>
      </w:r>
      <w:r>
        <w:rPr>
          <w:rFonts w:ascii="Times New Roman" w:eastAsia="宋体" w:cs="仿宋" w:hint="eastAsia"/>
          <w:color w:val="000000" w:themeColor="text1"/>
          <w:sz w:val="24"/>
          <w:szCs w:val="24"/>
        </w:rPr>
        <w:t>类区，周边环境敏感点离厂界均在</w:t>
      </w:r>
      <w:r>
        <w:rPr>
          <w:rFonts w:ascii="Times New Roman" w:eastAsia="宋体" w:cs="仿宋" w:hint="eastAsia"/>
          <w:color w:val="000000" w:themeColor="text1"/>
          <w:sz w:val="24"/>
          <w:szCs w:val="24"/>
        </w:rPr>
        <w:t>2</w:t>
      </w:r>
      <w:r>
        <w:rPr>
          <w:rFonts w:ascii="Times New Roman" w:eastAsia="宋体" w:cs="仿宋"/>
          <w:color w:val="000000" w:themeColor="text1"/>
          <w:sz w:val="24"/>
          <w:szCs w:val="24"/>
        </w:rPr>
        <w:t>00m</w:t>
      </w:r>
      <w:r>
        <w:rPr>
          <w:rFonts w:ascii="Times New Roman" w:eastAsia="宋体" w:cs="仿宋" w:hint="eastAsia"/>
          <w:color w:val="000000" w:themeColor="text1"/>
          <w:sz w:val="24"/>
          <w:szCs w:val="24"/>
        </w:rPr>
        <w:t>以外，受影响的人口数量较少，且项目建设前后评价范围内敏感目标噪声级增高量在</w:t>
      </w:r>
      <w:r>
        <w:rPr>
          <w:rFonts w:ascii="Times New Roman" w:eastAsia="宋体" w:cs="仿宋" w:hint="eastAsia"/>
          <w:color w:val="000000" w:themeColor="text1"/>
          <w:sz w:val="24"/>
          <w:szCs w:val="24"/>
        </w:rPr>
        <w:t>3dB</w:t>
      </w:r>
      <w:r>
        <w:rPr>
          <w:rFonts w:ascii="Times New Roman" w:eastAsia="宋体" w:cs="仿宋" w:hint="eastAsia"/>
          <w:color w:val="000000" w:themeColor="text1"/>
          <w:sz w:val="24"/>
          <w:szCs w:val="24"/>
        </w:rPr>
        <w:t>（</w:t>
      </w:r>
      <w:r>
        <w:rPr>
          <w:rFonts w:ascii="Times New Roman" w:eastAsia="宋体" w:cs="仿宋" w:hint="eastAsia"/>
          <w:color w:val="000000" w:themeColor="text1"/>
          <w:sz w:val="24"/>
          <w:szCs w:val="24"/>
        </w:rPr>
        <w:t>A</w:t>
      </w:r>
      <w:r>
        <w:rPr>
          <w:rFonts w:ascii="Times New Roman" w:eastAsia="宋体" w:cs="仿宋" w:hint="eastAsia"/>
          <w:color w:val="000000" w:themeColor="text1"/>
          <w:sz w:val="24"/>
          <w:szCs w:val="24"/>
        </w:rPr>
        <w:t>）以下，根据《环境影响评价技术导则</w:t>
      </w:r>
      <w:r>
        <w:rPr>
          <w:rFonts w:ascii="Times New Roman" w:eastAsia="宋体" w:cs="仿宋" w:hint="eastAsia"/>
          <w:color w:val="000000" w:themeColor="text1"/>
          <w:sz w:val="24"/>
          <w:szCs w:val="24"/>
        </w:rPr>
        <w:t xml:space="preserve"> </w:t>
      </w:r>
      <w:r>
        <w:rPr>
          <w:rFonts w:ascii="Times New Roman" w:eastAsia="宋体" w:cs="仿宋" w:hint="eastAsia"/>
          <w:color w:val="000000" w:themeColor="text1"/>
          <w:sz w:val="24"/>
          <w:szCs w:val="24"/>
        </w:rPr>
        <w:t>声环境》（</w:t>
      </w:r>
      <w:r>
        <w:rPr>
          <w:rFonts w:ascii="Times New Roman" w:eastAsia="宋体" w:cs="仿宋" w:hint="eastAsia"/>
          <w:color w:val="000000" w:themeColor="text1"/>
          <w:sz w:val="24"/>
          <w:szCs w:val="24"/>
        </w:rPr>
        <w:t>HJ2.4-2009</w:t>
      </w:r>
      <w:r>
        <w:rPr>
          <w:rFonts w:ascii="Times New Roman" w:eastAsia="宋体" w:cs="仿宋" w:hint="eastAsia"/>
          <w:color w:val="000000" w:themeColor="text1"/>
          <w:sz w:val="24"/>
          <w:szCs w:val="24"/>
        </w:rPr>
        <w:t>），项目声环境评价工作等级为三级。</w:t>
      </w:r>
    </w:p>
    <w:p w:rsidR="00C861DA" w:rsidRDefault="0044752E">
      <w:pPr>
        <w:spacing w:line="360" w:lineRule="auto"/>
        <w:ind w:firstLineChars="200" w:firstLine="482"/>
        <w:rPr>
          <w:rFonts w:ascii="Times New Roman" w:eastAsia="宋体" w:cs="仿宋"/>
          <w:b/>
          <w:color w:val="000000" w:themeColor="text1"/>
          <w:sz w:val="24"/>
          <w:szCs w:val="24"/>
        </w:rPr>
      </w:pPr>
      <w:r>
        <w:rPr>
          <w:rFonts w:ascii="Times New Roman" w:eastAsia="宋体" w:cs="仿宋" w:hint="eastAsia"/>
          <w:b/>
          <w:color w:val="000000" w:themeColor="text1"/>
          <w:sz w:val="24"/>
          <w:szCs w:val="24"/>
        </w:rPr>
        <w:t>（</w:t>
      </w:r>
      <w:r>
        <w:rPr>
          <w:rFonts w:ascii="Times New Roman" w:eastAsia="宋体" w:cs="仿宋" w:hint="eastAsia"/>
          <w:b/>
          <w:color w:val="000000" w:themeColor="text1"/>
          <w:sz w:val="24"/>
          <w:szCs w:val="24"/>
        </w:rPr>
        <w:t>5</w:t>
      </w:r>
      <w:r>
        <w:rPr>
          <w:rFonts w:ascii="Times New Roman" w:eastAsia="宋体" w:cs="仿宋" w:hint="eastAsia"/>
          <w:b/>
          <w:color w:val="000000" w:themeColor="text1"/>
          <w:sz w:val="24"/>
          <w:szCs w:val="24"/>
        </w:rPr>
        <w:t>）生态环境</w:t>
      </w:r>
    </w:p>
    <w:p w:rsidR="00C861DA" w:rsidRDefault="0044752E">
      <w:pPr>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拟建项目用地为安宁市工业园区提供的建设用地，项目占地约</w:t>
      </w:r>
      <w:r>
        <w:rPr>
          <w:rFonts w:ascii="Times New Roman" w:eastAsia="宋体" w:cs="仿宋" w:hint="eastAsia"/>
          <w:color w:val="000000" w:themeColor="text1"/>
          <w:sz w:val="24"/>
          <w:szCs w:val="24"/>
        </w:rPr>
        <w:t>0</w:t>
      </w:r>
      <w:r>
        <w:rPr>
          <w:rFonts w:ascii="Times New Roman" w:eastAsia="宋体" w:cs="仿宋"/>
          <w:color w:val="000000" w:themeColor="text1"/>
          <w:sz w:val="24"/>
          <w:szCs w:val="24"/>
        </w:rPr>
        <w:t>.13060731</w:t>
      </w:r>
      <w:r>
        <w:rPr>
          <w:rFonts w:ascii="Times New Roman" w:eastAsia="宋体" w:cs="仿宋" w:hint="eastAsia"/>
          <w:color w:val="000000" w:themeColor="text1"/>
          <w:sz w:val="24"/>
          <w:szCs w:val="24"/>
        </w:rPr>
        <w:t>km</w:t>
      </w:r>
      <w:r>
        <w:rPr>
          <w:rFonts w:ascii="Times New Roman" w:eastAsia="宋体" w:cs="仿宋" w:hint="eastAsia"/>
          <w:color w:val="000000" w:themeColor="text1"/>
          <w:sz w:val="24"/>
          <w:szCs w:val="24"/>
          <w:vertAlign w:val="superscript"/>
        </w:rPr>
        <w:t>2</w:t>
      </w:r>
      <w:r>
        <w:rPr>
          <w:rFonts w:ascii="Times New Roman" w:eastAsia="宋体" w:cs="仿宋" w:hint="eastAsia"/>
          <w:color w:val="000000" w:themeColor="text1"/>
          <w:sz w:val="24"/>
          <w:szCs w:val="24"/>
        </w:rPr>
        <w:t>，小于</w:t>
      </w:r>
      <w:r>
        <w:rPr>
          <w:rFonts w:ascii="Times New Roman" w:eastAsia="宋体" w:cs="仿宋" w:hint="eastAsia"/>
          <w:color w:val="000000" w:themeColor="text1"/>
          <w:sz w:val="24"/>
          <w:szCs w:val="24"/>
        </w:rPr>
        <w:t>2km</w:t>
      </w:r>
      <w:r>
        <w:rPr>
          <w:rFonts w:ascii="Times New Roman" w:eastAsia="宋体" w:cs="仿宋" w:hint="eastAsia"/>
          <w:color w:val="000000" w:themeColor="text1"/>
          <w:sz w:val="24"/>
          <w:szCs w:val="24"/>
          <w:vertAlign w:val="superscript"/>
        </w:rPr>
        <w:t>2</w:t>
      </w:r>
      <w:r>
        <w:rPr>
          <w:rFonts w:ascii="Times New Roman" w:eastAsia="宋体" w:cs="仿宋" w:hint="eastAsia"/>
          <w:color w:val="000000" w:themeColor="text1"/>
          <w:sz w:val="24"/>
          <w:szCs w:val="24"/>
        </w:rPr>
        <w:t>，且项目所在区域为工业园区，评价区域内无珍稀濒危物种，也无自然保护区及风景名胜区等敏感区，工程对项目区的土地影响较小，根据《环境影响评价技术导则</w:t>
      </w:r>
      <w:r>
        <w:rPr>
          <w:rFonts w:ascii="Times New Roman" w:eastAsia="宋体" w:cs="仿宋" w:hint="eastAsia"/>
          <w:color w:val="000000" w:themeColor="text1"/>
          <w:sz w:val="24"/>
          <w:szCs w:val="24"/>
        </w:rPr>
        <w:t>-</w:t>
      </w:r>
      <w:r>
        <w:rPr>
          <w:rFonts w:ascii="Times New Roman" w:eastAsia="宋体" w:cs="仿宋" w:hint="eastAsia"/>
          <w:color w:val="000000" w:themeColor="text1"/>
          <w:sz w:val="24"/>
          <w:szCs w:val="24"/>
        </w:rPr>
        <w:t>生态影响》（</w:t>
      </w:r>
      <w:r>
        <w:rPr>
          <w:rFonts w:ascii="Times New Roman" w:eastAsia="宋体" w:cs="仿宋" w:hint="eastAsia"/>
          <w:color w:val="000000" w:themeColor="text1"/>
          <w:sz w:val="24"/>
          <w:szCs w:val="24"/>
        </w:rPr>
        <w:t>HJ19-2011</w:t>
      </w:r>
      <w:r>
        <w:rPr>
          <w:rFonts w:ascii="Times New Roman" w:eastAsia="宋体" w:cs="仿宋" w:hint="eastAsia"/>
          <w:color w:val="000000" w:themeColor="text1"/>
          <w:sz w:val="24"/>
          <w:szCs w:val="24"/>
        </w:rPr>
        <w:t>），本项目生态环境影响评价等级为三级。</w:t>
      </w:r>
    </w:p>
    <w:p w:rsidR="00C861DA" w:rsidRDefault="0044752E">
      <w:pPr>
        <w:spacing w:line="360" w:lineRule="auto"/>
        <w:ind w:firstLineChars="200" w:firstLine="482"/>
        <w:rPr>
          <w:rFonts w:ascii="Times New Roman" w:eastAsia="宋体" w:cs="仿宋"/>
          <w:b/>
          <w:color w:val="000000" w:themeColor="text1"/>
          <w:sz w:val="24"/>
          <w:szCs w:val="24"/>
        </w:rPr>
      </w:pPr>
      <w:r>
        <w:rPr>
          <w:rFonts w:ascii="Times New Roman" w:eastAsia="宋体" w:cs="仿宋" w:hint="eastAsia"/>
          <w:b/>
          <w:color w:val="000000" w:themeColor="text1"/>
          <w:sz w:val="24"/>
          <w:szCs w:val="24"/>
        </w:rPr>
        <w:t>（</w:t>
      </w:r>
      <w:r>
        <w:rPr>
          <w:rFonts w:ascii="Times New Roman" w:eastAsia="宋体" w:cs="仿宋" w:hint="eastAsia"/>
          <w:b/>
          <w:color w:val="000000" w:themeColor="text1"/>
          <w:sz w:val="24"/>
          <w:szCs w:val="24"/>
        </w:rPr>
        <w:t>6</w:t>
      </w:r>
      <w:r>
        <w:rPr>
          <w:rFonts w:ascii="Times New Roman" w:eastAsia="宋体" w:cs="仿宋" w:hint="eastAsia"/>
          <w:b/>
          <w:color w:val="000000" w:themeColor="text1"/>
          <w:sz w:val="24"/>
          <w:szCs w:val="24"/>
        </w:rPr>
        <w:t>）环境风险</w:t>
      </w:r>
    </w:p>
    <w:p w:rsidR="00C861DA" w:rsidRDefault="0044752E">
      <w:pPr>
        <w:snapToGrid w:val="0"/>
        <w:spacing w:line="360" w:lineRule="auto"/>
        <w:ind w:firstLine="480"/>
        <w:rPr>
          <w:rFonts w:ascii="Times New Roman" w:eastAsia="宋体"/>
          <w:color w:val="000000" w:themeColor="text1"/>
          <w:sz w:val="24"/>
        </w:rPr>
      </w:pPr>
      <w:r>
        <w:rPr>
          <w:rFonts w:ascii="Times New Roman" w:eastAsia="宋体" w:hint="eastAsia"/>
          <w:color w:val="000000" w:themeColor="text1"/>
          <w:sz w:val="24"/>
        </w:rPr>
        <w:t>根据《建设项目环境风险评价技术导则》（</w:t>
      </w:r>
      <w:r>
        <w:rPr>
          <w:rFonts w:ascii="Times New Roman" w:eastAsia="宋体" w:hint="eastAsia"/>
          <w:color w:val="000000" w:themeColor="text1"/>
          <w:sz w:val="24"/>
        </w:rPr>
        <w:t>HJ/T169-20</w:t>
      </w:r>
      <w:r>
        <w:rPr>
          <w:rFonts w:ascii="Times New Roman" w:eastAsia="宋体"/>
          <w:color w:val="000000" w:themeColor="text1"/>
          <w:sz w:val="24"/>
        </w:rPr>
        <w:t>18</w:t>
      </w:r>
      <w:r>
        <w:rPr>
          <w:rFonts w:ascii="Times New Roman" w:eastAsia="宋体" w:hint="eastAsia"/>
          <w:color w:val="000000" w:themeColor="text1"/>
          <w:sz w:val="24"/>
        </w:rPr>
        <w:t>）关于风险评价等级的划分应对照评价工作等级划分表判定，评价工作等级划分表见下表</w:t>
      </w:r>
      <w:r>
        <w:rPr>
          <w:rFonts w:ascii="Times New Roman" w:eastAsia="宋体" w:hint="eastAsia"/>
          <w:color w:val="000000" w:themeColor="text1"/>
          <w:sz w:val="24"/>
        </w:rPr>
        <w:t>2</w:t>
      </w:r>
      <w:r>
        <w:rPr>
          <w:rFonts w:ascii="Times New Roman" w:eastAsia="宋体"/>
          <w:color w:val="000000" w:themeColor="text1"/>
          <w:sz w:val="24"/>
        </w:rPr>
        <w:t>.6-9</w:t>
      </w:r>
      <w:r>
        <w:rPr>
          <w:rFonts w:ascii="Times New Roman" w:eastAsia="宋体" w:hint="eastAsia"/>
          <w:color w:val="000000" w:themeColor="text1"/>
          <w:sz w:val="24"/>
        </w:rPr>
        <w:t>。</w:t>
      </w:r>
    </w:p>
    <w:p w:rsidR="00C861DA" w:rsidRDefault="0044752E">
      <w:pPr>
        <w:pStyle w:val="afe"/>
        <w:rPr>
          <w:rFonts w:ascii="Times New Roman" w:eastAsia="宋体" w:hAnsi="Times New Roman" w:cs="Times New Roman"/>
          <w:b/>
          <w:color w:val="000000" w:themeColor="text1"/>
          <w:sz w:val="20"/>
        </w:rPr>
      </w:pPr>
      <w:r>
        <w:rPr>
          <w:rFonts w:ascii="Times New Roman" w:eastAsia="宋体" w:hAnsi="Times New Roman" w:cs="Times New Roman"/>
          <w:b/>
          <w:color w:val="000000" w:themeColor="text1"/>
          <w:sz w:val="24"/>
        </w:rPr>
        <w:t>表</w:t>
      </w:r>
      <w:r>
        <w:rPr>
          <w:rFonts w:ascii="Times New Roman" w:eastAsia="宋体" w:hAnsi="Times New Roman" w:cs="Times New Roman" w:hint="eastAsia"/>
          <w:b/>
          <w:color w:val="000000" w:themeColor="text1"/>
          <w:sz w:val="24"/>
        </w:rPr>
        <w:t>2</w:t>
      </w:r>
      <w:r>
        <w:rPr>
          <w:rFonts w:ascii="Times New Roman" w:eastAsia="宋体" w:hAnsi="Times New Roman" w:cs="Times New Roman"/>
          <w:b/>
          <w:color w:val="000000" w:themeColor="text1"/>
          <w:sz w:val="24"/>
        </w:rPr>
        <w:t xml:space="preserve">.6-9  </w:t>
      </w:r>
      <w:r>
        <w:rPr>
          <w:rFonts w:ascii="Times New Roman" w:eastAsia="宋体" w:hAnsi="Times New Roman" w:cs="Times New Roman"/>
          <w:b/>
          <w:color w:val="000000" w:themeColor="text1"/>
          <w:sz w:val="24"/>
        </w:rPr>
        <w:t>评价工作等级划分表</w:t>
      </w:r>
    </w:p>
    <w:tbl>
      <w:tblPr>
        <w:tblStyle w:val="affa"/>
        <w:tblW w:w="8296" w:type="dxa"/>
        <w:jc w:val="center"/>
        <w:tblLayout w:type="fixed"/>
        <w:tblLook w:val="04A0" w:firstRow="1" w:lastRow="0" w:firstColumn="1" w:lastColumn="0" w:noHBand="0" w:noVBand="1"/>
      </w:tblPr>
      <w:tblGrid>
        <w:gridCol w:w="1658"/>
        <w:gridCol w:w="1659"/>
        <w:gridCol w:w="1659"/>
        <w:gridCol w:w="1660"/>
        <w:gridCol w:w="1660"/>
      </w:tblGrid>
      <w:tr w:rsidR="00C861DA">
        <w:trPr>
          <w:trHeight w:val="369"/>
          <w:jc w:val="center"/>
        </w:trPr>
        <w:tc>
          <w:tcPr>
            <w:tcW w:w="165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环境风险潜势</w:t>
            </w:r>
          </w:p>
        </w:tc>
        <w:tc>
          <w:tcPr>
            <w:tcW w:w="1659"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fldChar w:fldCharType="begin"/>
            </w:r>
            <w:r>
              <w:rPr>
                <w:rFonts w:ascii="Times New Roman" w:eastAsia="宋体" w:hAnsi="Times New Roman" w:cs="Times New Roman"/>
                <w:color w:val="000000" w:themeColor="text1"/>
                <w:kern w:val="0"/>
                <w:sz w:val="21"/>
              </w:rPr>
              <w:instrText xml:space="preserve"> = 4 \* ROMAN </w:instrText>
            </w:r>
            <w:r>
              <w:rPr>
                <w:rFonts w:ascii="Times New Roman" w:eastAsia="宋体" w:hAnsi="Times New Roman" w:cs="Times New Roman"/>
                <w:color w:val="000000" w:themeColor="text1"/>
                <w:kern w:val="0"/>
                <w:sz w:val="21"/>
              </w:rPr>
              <w:fldChar w:fldCharType="separate"/>
            </w:r>
            <w:r>
              <w:rPr>
                <w:rFonts w:ascii="Times New Roman" w:eastAsia="宋体" w:hAnsi="Times New Roman" w:cs="Times New Roman"/>
                <w:color w:val="000000" w:themeColor="text1"/>
                <w:kern w:val="0"/>
                <w:sz w:val="21"/>
              </w:rPr>
              <w:t>IV</w:t>
            </w:r>
            <w:r>
              <w:rPr>
                <w:rFonts w:ascii="Times New Roman" w:eastAsia="宋体" w:hAnsi="Times New Roman" w:cs="Times New Roman"/>
                <w:color w:val="000000" w:themeColor="text1"/>
                <w:kern w:val="0"/>
                <w:sz w:val="21"/>
              </w:rPr>
              <w:fldChar w:fldCharType="end"/>
            </w:r>
            <w:r>
              <w:rPr>
                <w:rFonts w:ascii="Times New Roman" w:eastAsia="宋体" w:hAnsi="Times New Roman" w:cs="Times New Roman"/>
                <w:color w:val="000000" w:themeColor="text1"/>
                <w:kern w:val="0"/>
                <w:sz w:val="21"/>
              </w:rPr>
              <w:t>、</w:t>
            </w:r>
            <w:r>
              <w:rPr>
                <w:rFonts w:ascii="Times New Roman" w:eastAsia="宋体" w:hAnsi="Times New Roman" w:cs="Times New Roman"/>
                <w:color w:val="000000" w:themeColor="text1"/>
                <w:kern w:val="0"/>
                <w:sz w:val="21"/>
              </w:rPr>
              <w:fldChar w:fldCharType="begin"/>
            </w:r>
            <w:r>
              <w:rPr>
                <w:rFonts w:ascii="Times New Roman" w:eastAsia="宋体" w:hAnsi="Times New Roman" w:cs="Times New Roman"/>
                <w:color w:val="000000" w:themeColor="text1"/>
                <w:kern w:val="0"/>
                <w:sz w:val="21"/>
              </w:rPr>
              <w:instrText xml:space="preserve"> = 4 \* ROMAN </w:instrText>
            </w:r>
            <w:r>
              <w:rPr>
                <w:rFonts w:ascii="Times New Roman" w:eastAsia="宋体" w:hAnsi="Times New Roman" w:cs="Times New Roman"/>
                <w:color w:val="000000" w:themeColor="text1"/>
                <w:kern w:val="0"/>
                <w:sz w:val="21"/>
              </w:rPr>
              <w:fldChar w:fldCharType="separate"/>
            </w:r>
            <w:r>
              <w:rPr>
                <w:rFonts w:ascii="Times New Roman" w:eastAsia="宋体" w:hAnsi="Times New Roman" w:cs="Times New Roman"/>
                <w:color w:val="000000" w:themeColor="text1"/>
                <w:kern w:val="0"/>
                <w:sz w:val="21"/>
              </w:rPr>
              <w:t>IV</w:t>
            </w:r>
            <w:r>
              <w:rPr>
                <w:rFonts w:ascii="Times New Roman" w:eastAsia="宋体" w:hAnsi="Times New Roman" w:cs="Times New Roman"/>
                <w:color w:val="000000" w:themeColor="text1"/>
                <w:kern w:val="0"/>
                <w:sz w:val="21"/>
              </w:rPr>
              <w:fldChar w:fldCharType="end"/>
            </w:r>
            <w:r>
              <w:rPr>
                <w:rFonts w:ascii="Times New Roman" w:eastAsia="宋体" w:hAnsi="Times New Roman" w:cs="Times New Roman"/>
                <w:color w:val="000000" w:themeColor="text1"/>
                <w:kern w:val="0"/>
                <w:sz w:val="21"/>
                <w:vertAlign w:val="superscript"/>
              </w:rPr>
              <w:t>+</w:t>
            </w:r>
          </w:p>
        </w:tc>
        <w:tc>
          <w:tcPr>
            <w:tcW w:w="1659"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fldChar w:fldCharType="begin"/>
            </w:r>
            <w:r>
              <w:rPr>
                <w:rFonts w:ascii="Times New Roman" w:eastAsia="宋体" w:hAnsi="Times New Roman" w:cs="Times New Roman"/>
                <w:color w:val="000000" w:themeColor="text1"/>
                <w:kern w:val="0"/>
                <w:sz w:val="21"/>
              </w:rPr>
              <w:instrText xml:space="preserve"> = 3 \* ROMAN </w:instrText>
            </w:r>
            <w:r>
              <w:rPr>
                <w:rFonts w:ascii="Times New Roman" w:eastAsia="宋体" w:hAnsi="Times New Roman" w:cs="Times New Roman"/>
                <w:color w:val="000000" w:themeColor="text1"/>
                <w:kern w:val="0"/>
                <w:sz w:val="21"/>
              </w:rPr>
              <w:fldChar w:fldCharType="separate"/>
            </w:r>
            <w:r>
              <w:rPr>
                <w:rFonts w:ascii="Times New Roman" w:eastAsia="宋体" w:hAnsi="Times New Roman" w:cs="Times New Roman"/>
                <w:color w:val="000000" w:themeColor="text1"/>
                <w:kern w:val="0"/>
                <w:sz w:val="21"/>
              </w:rPr>
              <w:t>III</w:t>
            </w:r>
            <w:r>
              <w:rPr>
                <w:rFonts w:ascii="Times New Roman" w:eastAsia="宋体" w:hAnsi="Times New Roman" w:cs="Times New Roman"/>
                <w:color w:val="000000" w:themeColor="text1"/>
                <w:kern w:val="0"/>
                <w:sz w:val="21"/>
              </w:rPr>
              <w:fldChar w:fldCharType="end"/>
            </w:r>
          </w:p>
        </w:tc>
        <w:tc>
          <w:tcPr>
            <w:tcW w:w="1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fldChar w:fldCharType="begin"/>
            </w:r>
            <w:r>
              <w:rPr>
                <w:rFonts w:ascii="Times New Roman" w:eastAsia="宋体" w:hAnsi="Times New Roman" w:cs="Times New Roman"/>
                <w:color w:val="000000" w:themeColor="text1"/>
                <w:kern w:val="0"/>
                <w:sz w:val="21"/>
              </w:rPr>
              <w:instrText xml:space="preserve"> = 2 \* ROMAN </w:instrText>
            </w:r>
            <w:r>
              <w:rPr>
                <w:rFonts w:ascii="Times New Roman" w:eastAsia="宋体" w:hAnsi="Times New Roman" w:cs="Times New Roman"/>
                <w:color w:val="000000" w:themeColor="text1"/>
                <w:kern w:val="0"/>
                <w:sz w:val="21"/>
              </w:rPr>
              <w:fldChar w:fldCharType="separate"/>
            </w:r>
            <w:r>
              <w:rPr>
                <w:rFonts w:ascii="Times New Roman" w:eastAsia="宋体" w:hAnsi="Times New Roman" w:cs="Times New Roman"/>
                <w:color w:val="000000" w:themeColor="text1"/>
                <w:kern w:val="0"/>
                <w:sz w:val="21"/>
              </w:rPr>
              <w:t>II</w:t>
            </w:r>
            <w:r>
              <w:rPr>
                <w:rFonts w:ascii="Times New Roman" w:eastAsia="宋体" w:hAnsi="Times New Roman" w:cs="Times New Roman"/>
                <w:color w:val="000000" w:themeColor="text1"/>
                <w:kern w:val="0"/>
                <w:sz w:val="21"/>
              </w:rPr>
              <w:fldChar w:fldCharType="end"/>
            </w:r>
          </w:p>
        </w:tc>
        <w:tc>
          <w:tcPr>
            <w:tcW w:w="1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fldChar w:fldCharType="begin"/>
            </w:r>
            <w:r>
              <w:rPr>
                <w:rFonts w:ascii="Times New Roman" w:eastAsia="宋体" w:hAnsi="Times New Roman" w:cs="Times New Roman"/>
                <w:color w:val="000000" w:themeColor="text1"/>
                <w:kern w:val="0"/>
                <w:sz w:val="21"/>
              </w:rPr>
              <w:instrText xml:space="preserve"> = 1 \* ROMAN </w:instrText>
            </w:r>
            <w:r>
              <w:rPr>
                <w:rFonts w:ascii="Times New Roman" w:eastAsia="宋体" w:hAnsi="Times New Roman" w:cs="Times New Roman"/>
                <w:color w:val="000000" w:themeColor="text1"/>
                <w:kern w:val="0"/>
                <w:sz w:val="21"/>
              </w:rPr>
              <w:fldChar w:fldCharType="separate"/>
            </w:r>
            <w:r>
              <w:rPr>
                <w:rFonts w:ascii="Times New Roman" w:eastAsia="宋体" w:hAnsi="Times New Roman" w:cs="Times New Roman"/>
                <w:color w:val="000000" w:themeColor="text1"/>
                <w:kern w:val="0"/>
                <w:sz w:val="21"/>
              </w:rPr>
              <w:t>I</w:t>
            </w:r>
            <w:r>
              <w:rPr>
                <w:rFonts w:ascii="Times New Roman" w:eastAsia="宋体" w:hAnsi="Times New Roman" w:cs="Times New Roman"/>
                <w:color w:val="000000" w:themeColor="text1"/>
                <w:kern w:val="0"/>
                <w:sz w:val="21"/>
              </w:rPr>
              <w:fldChar w:fldCharType="end"/>
            </w:r>
          </w:p>
        </w:tc>
      </w:tr>
      <w:tr w:rsidR="00C861DA">
        <w:trPr>
          <w:trHeight w:val="369"/>
          <w:jc w:val="center"/>
        </w:trPr>
        <w:tc>
          <w:tcPr>
            <w:tcW w:w="165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评价工作等级</w:t>
            </w:r>
          </w:p>
        </w:tc>
        <w:tc>
          <w:tcPr>
            <w:tcW w:w="1659"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一</w:t>
            </w:r>
          </w:p>
        </w:tc>
        <w:tc>
          <w:tcPr>
            <w:tcW w:w="1659"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二</w:t>
            </w:r>
          </w:p>
        </w:tc>
        <w:tc>
          <w:tcPr>
            <w:tcW w:w="1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三</w:t>
            </w:r>
          </w:p>
        </w:tc>
        <w:tc>
          <w:tcPr>
            <w:tcW w:w="1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简单分析</w:t>
            </w:r>
            <w:r>
              <w:rPr>
                <w:rFonts w:ascii="Times New Roman" w:eastAsia="宋体" w:hAnsi="Times New Roman" w:cs="Times New Roman"/>
                <w:color w:val="000000" w:themeColor="text1"/>
                <w:kern w:val="0"/>
                <w:sz w:val="21"/>
                <w:vertAlign w:val="superscript"/>
              </w:rPr>
              <w:t>a</w:t>
            </w:r>
          </w:p>
        </w:tc>
      </w:tr>
      <w:tr w:rsidR="00C861DA">
        <w:trPr>
          <w:trHeight w:val="369"/>
          <w:jc w:val="center"/>
        </w:trPr>
        <w:tc>
          <w:tcPr>
            <w:tcW w:w="8296" w:type="dxa"/>
            <w:gridSpan w:val="5"/>
            <w:vAlign w:val="center"/>
          </w:tcPr>
          <w:p w:rsidR="00C861DA" w:rsidRDefault="0044752E">
            <w:pPr>
              <w:pStyle w:val="afe"/>
              <w:pBdr>
                <w:bottom w:val="none" w:sz="0" w:space="0" w:color="auto"/>
              </w:pBdr>
              <w:jc w:val="left"/>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 xml:space="preserve">a </w:t>
            </w:r>
            <w:r>
              <w:rPr>
                <w:rFonts w:ascii="Times New Roman" w:eastAsia="宋体" w:hAnsi="Times New Roman" w:cs="Times New Roman"/>
                <w:color w:val="000000" w:themeColor="text1"/>
                <w:kern w:val="0"/>
                <w:sz w:val="21"/>
              </w:rPr>
              <w:t>是相对于详细评价工作内容而言，在描述危险物质、环境影响途径、环境危害后果、风险防范措施等方面给出定性的说明。</w:t>
            </w:r>
          </w:p>
        </w:tc>
      </w:tr>
    </w:tbl>
    <w:p w:rsidR="00C861DA" w:rsidRDefault="00C861DA">
      <w:pPr>
        <w:rPr>
          <w:color w:val="000000" w:themeColor="text1"/>
        </w:rPr>
      </w:pPr>
    </w:p>
    <w:p w:rsidR="00C861DA" w:rsidRDefault="0044752E">
      <w:pPr>
        <w:pStyle w:val="afe"/>
        <w:spacing w:line="360" w:lineRule="auto"/>
        <w:ind w:firstLineChars="200" w:firstLine="482"/>
        <w:jc w:val="both"/>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w:instrText>
      </w:r>
      <w:r>
        <w:rPr>
          <w:rFonts w:ascii="Times New Roman" w:eastAsia="宋体" w:hAnsi="Times New Roman" w:cs="Times New Roman" w:hint="eastAsia"/>
          <w:b/>
          <w:color w:val="000000" w:themeColor="text1"/>
          <w:sz w:val="24"/>
        </w:rPr>
        <w:instrText>= 1 \* GB3</w:instrText>
      </w:r>
      <w:r>
        <w:rPr>
          <w:rFonts w:ascii="Times New Roman" w:eastAsia="宋体" w:hAnsi="Times New Roman" w:cs="Times New Roman"/>
          <w:b/>
          <w:color w:val="000000" w:themeColor="text1"/>
          <w:sz w:val="24"/>
        </w:rPr>
        <w:instrText xml:space="preserve"> </w:instrText>
      </w:r>
      <w:r>
        <w:rPr>
          <w:rFonts w:ascii="Times New Roman" w:eastAsia="宋体" w:hAnsi="Times New Roman" w:cs="Times New Roman"/>
          <w:b/>
          <w:color w:val="000000" w:themeColor="text1"/>
          <w:sz w:val="24"/>
        </w:rPr>
        <w:fldChar w:fldCharType="separate"/>
      </w:r>
      <w:r>
        <w:rPr>
          <w:rFonts w:ascii="Times New Roman" w:eastAsia="宋体" w:hAnsi="Times New Roman" w:cs="Times New Roman" w:hint="eastAsia"/>
          <w:b/>
          <w:color w:val="000000" w:themeColor="text1"/>
          <w:sz w:val="24"/>
        </w:rPr>
        <w:t>①</w:t>
      </w:r>
      <w:r>
        <w:rPr>
          <w:rFonts w:ascii="Times New Roman" w:eastAsia="宋体" w:hAnsi="Times New Roman" w:cs="Times New Roman"/>
          <w:b/>
          <w:color w:val="000000" w:themeColor="text1"/>
          <w:sz w:val="24"/>
        </w:rPr>
        <w:fldChar w:fldCharType="end"/>
      </w:r>
      <w:r>
        <w:rPr>
          <w:rFonts w:ascii="Times New Roman" w:eastAsia="宋体" w:hAnsi="Times New Roman" w:cs="Times New Roman" w:hint="eastAsia"/>
          <w:b/>
          <w:color w:val="000000" w:themeColor="text1"/>
          <w:sz w:val="24"/>
        </w:rPr>
        <w:t>风险潜势</w:t>
      </w:r>
    </w:p>
    <w:p w:rsidR="00C861DA" w:rsidRDefault="0044752E">
      <w:pPr>
        <w:pStyle w:val="afe"/>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int="eastAsia"/>
          <w:color w:val="000000" w:themeColor="text1"/>
          <w:sz w:val="24"/>
        </w:rPr>
        <w:t>风险潜势需根据项目危险物质数量与临界量比值（</w:t>
      </w:r>
      <w:r>
        <w:rPr>
          <w:rFonts w:ascii="Times New Roman" w:eastAsia="宋体" w:hint="eastAsia"/>
          <w:color w:val="000000" w:themeColor="text1"/>
          <w:sz w:val="24"/>
        </w:rPr>
        <w:t>Q</w:t>
      </w:r>
      <w:r>
        <w:rPr>
          <w:rFonts w:ascii="Times New Roman" w:eastAsia="宋体" w:hint="eastAsia"/>
          <w:color w:val="000000" w:themeColor="text1"/>
          <w:sz w:val="24"/>
        </w:rPr>
        <w:t>）、</w:t>
      </w:r>
      <w:r>
        <w:rPr>
          <w:rFonts w:ascii="Times New Roman" w:eastAsia="宋体" w:hAnsi="Times New Roman" w:cs="Times New Roman"/>
          <w:color w:val="000000" w:themeColor="text1"/>
          <w:sz w:val="24"/>
        </w:rPr>
        <w:t>行业及生产工艺（</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以及</w:t>
      </w:r>
      <w:r>
        <w:rPr>
          <w:rFonts w:ascii="Times New Roman" w:eastAsia="宋体" w:hAnsi="Times New Roman" w:cs="Times New Roman"/>
          <w:color w:val="000000" w:themeColor="text1"/>
          <w:sz w:val="24"/>
        </w:rPr>
        <w:t>危险物质及工艺系统危险性（</w:t>
      </w:r>
      <w:r>
        <w:rPr>
          <w:rFonts w:ascii="Times New Roman" w:eastAsia="宋体" w:hAnsi="Times New Roman" w:cs="Times New Roman"/>
          <w:color w:val="000000" w:themeColor="text1"/>
          <w:sz w:val="24"/>
        </w:rPr>
        <w:t>P</w:t>
      </w:r>
      <w:r>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及环境敏感程度（</w:t>
      </w:r>
      <w:r>
        <w:rPr>
          <w:rFonts w:ascii="Times New Roman" w:eastAsia="宋体" w:hAnsi="Times New Roman" w:cs="Times New Roman" w:hint="eastAsia"/>
          <w:color w:val="000000" w:themeColor="text1"/>
          <w:sz w:val="24"/>
        </w:rPr>
        <w:t>E</w:t>
      </w:r>
      <w:r>
        <w:rPr>
          <w:rFonts w:ascii="Times New Roman" w:eastAsia="宋体" w:hAnsi="Times New Roman" w:cs="Times New Roman" w:hint="eastAsia"/>
          <w:color w:val="000000" w:themeColor="text1"/>
          <w:sz w:val="24"/>
        </w:rPr>
        <w:t>）确定，</w:t>
      </w:r>
      <w:r>
        <w:rPr>
          <w:rFonts w:ascii="Times New Roman" w:eastAsia="宋体" w:hAnsi="Times New Roman" w:cs="Times New Roman" w:hint="eastAsia"/>
          <w:color w:val="000000" w:themeColor="text1"/>
          <w:sz w:val="24"/>
        </w:rPr>
        <w:t>Q</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M</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P</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E</w:t>
      </w:r>
      <w:r>
        <w:rPr>
          <w:rFonts w:ascii="Times New Roman" w:eastAsia="宋体" w:hAnsi="Times New Roman" w:cs="Times New Roman" w:hint="eastAsia"/>
          <w:color w:val="000000" w:themeColor="text1"/>
          <w:sz w:val="24"/>
        </w:rPr>
        <w:t>值判定如下：</w:t>
      </w:r>
    </w:p>
    <w:p w:rsidR="00C861DA" w:rsidRDefault="0044752E">
      <w:pPr>
        <w:pStyle w:val="afe"/>
        <w:spacing w:line="360" w:lineRule="auto"/>
        <w:ind w:firstLineChars="200" w:firstLine="482"/>
        <w:jc w:val="both"/>
        <w:rPr>
          <w:rFonts w:ascii="Times New Roman" w:eastAsia="宋体" w:hAnsi="Times New Roman" w:cs="Times New Roman"/>
          <w:color w:val="000000" w:themeColor="text1"/>
          <w:sz w:val="24"/>
        </w:rPr>
      </w:pPr>
      <w:r>
        <w:rPr>
          <w:rFonts w:ascii="Times New Roman" w:eastAsia="宋体" w:hAnsi="Times New Roman" w:cs="Times New Roman" w:hint="eastAsia"/>
          <w:b/>
          <w:color w:val="000000" w:themeColor="text1"/>
          <w:sz w:val="24"/>
        </w:rPr>
        <w:t>A</w:t>
      </w:r>
      <w:r>
        <w:rPr>
          <w:rFonts w:ascii="Times New Roman" w:eastAsia="宋体" w:hAnsi="Times New Roman" w:cs="Times New Roman" w:hint="eastAsia"/>
          <w:b/>
          <w:color w:val="000000" w:themeColor="text1"/>
          <w:sz w:val="24"/>
        </w:rPr>
        <w:t>、</w:t>
      </w:r>
      <w:r>
        <w:rPr>
          <w:rFonts w:ascii="Times New Roman" w:eastAsia="宋体" w:hAnsi="Times New Roman" w:cs="Times New Roman"/>
          <w:b/>
          <w:color w:val="000000" w:themeColor="text1"/>
          <w:sz w:val="24"/>
        </w:rPr>
        <w:t>危险物质数量与临界量比值（</w:t>
      </w:r>
      <w:r>
        <w:rPr>
          <w:rFonts w:ascii="Times New Roman" w:eastAsia="宋体" w:hAnsi="Times New Roman" w:cs="Times New Roman"/>
          <w:b/>
          <w:color w:val="000000" w:themeColor="text1"/>
          <w:sz w:val="24"/>
        </w:rPr>
        <w:t>Q</w:t>
      </w:r>
      <w:r>
        <w:rPr>
          <w:rFonts w:ascii="Times New Roman" w:eastAsia="宋体" w:hAnsi="Times New Roman" w:cs="Times New Roman"/>
          <w:color w:val="000000" w:themeColor="text1"/>
          <w:sz w:val="24"/>
        </w:rPr>
        <w:t>）</w:t>
      </w:r>
    </w:p>
    <w:p w:rsidR="00C861DA" w:rsidRDefault="0044752E">
      <w:pPr>
        <w:pStyle w:val="afe"/>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计算所涉及的每种危险物质在厂内的最大存在量与其在附录</w:t>
      </w:r>
      <w:r>
        <w:rPr>
          <w:rFonts w:ascii="Times New Roman" w:eastAsia="宋体" w:hAnsi="Times New Roman" w:cs="Times New Roman"/>
          <w:color w:val="000000" w:themeColor="text1"/>
          <w:sz w:val="24"/>
        </w:rPr>
        <w:t>B</w:t>
      </w:r>
      <w:r>
        <w:rPr>
          <w:rFonts w:ascii="Times New Roman" w:eastAsia="宋体" w:hAnsi="Times New Roman" w:cs="Times New Roman"/>
          <w:color w:val="000000" w:themeColor="text1"/>
          <w:sz w:val="24"/>
        </w:rPr>
        <w:t>中对应临界量的比值</w:t>
      </w:r>
      <w:r>
        <w:rPr>
          <w:rFonts w:ascii="Times New Roman" w:eastAsia="宋体" w:hAnsi="Times New Roman" w:cs="Times New Roman"/>
          <w:color w:val="000000" w:themeColor="text1"/>
          <w:sz w:val="24"/>
        </w:rPr>
        <w:t>Q</w:t>
      </w:r>
      <w:r>
        <w:rPr>
          <w:rFonts w:ascii="Times New Roman" w:eastAsia="宋体" w:hAnsi="Times New Roman" w:cs="Times New Roman"/>
          <w:color w:val="000000" w:themeColor="text1"/>
          <w:sz w:val="24"/>
        </w:rPr>
        <w:t>。在不同厂区的同一种物质，按其在厂界内的最大存在总量计算。对于长输管线项目，按照两个阶段阀室之间管段危险物质最大存在总量计算。</w:t>
      </w:r>
    </w:p>
    <w:p w:rsidR="00C861DA" w:rsidRDefault="0044752E">
      <w:pPr>
        <w:pStyle w:val="afe"/>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当只涉及一种危险物质时，计算该物质的总量与其临界量比值，即为</w:t>
      </w:r>
      <w:r>
        <w:rPr>
          <w:rFonts w:ascii="Times New Roman" w:eastAsia="宋体" w:hAnsi="Times New Roman" w:cs="Times New Roman"/>
          <w:color w:val="000000" w:themeColor="text1"/>
          <w:sz w:val="24"/>
        </w:rPr>
        <w:t>Q</w:t>
      </w:r>
      <w:r>
        <w:rPr>
          <w:rFonts w:ascii="Times New Roman" w:eastAsia="宋体" w:hAnsi="Times New Roman" w:cs="Times New Roman"/>
          <w:color w:val="000000" w:themeColor="text1"/>
          <w:sz w:val="24"/>
        </w:rPr>
        <w:t>；</w:t>
      </w:r>
    </w:p>
    <w:p w:rsidR="00C861DA" w:rsidRDefault="0044752E">
      <w:pPr>
        <w:pStyle w:val="afe"/>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当存在多种危险物质时，则按式（</w:t>
      </w:r>
      <w:r>
        <w:rPr>
          <w:rFonts w:ascii="Times New Roman" w:eastAsia="宋体" w:hAnsi="Times New Roman" w:cs="Times New Roman"/>
          <w:color w:val="000000" w:themeColor="text1"/>
          <w:sz w:val="24"/>
        </w:rPr>
        <w:t>C.1</w:t>
      </w:r>
      <w:r>
        <w:rPr>
          <w:rFonts w:ascii="Times New Roman" w:eastAsia="宋体" w:hAnsi="Times New Roman" w:cs="Times New Roman"/>
          <w:color w:val="000000" w:themeColor="text1"/>
          <w:sz w:val="24"/>
        </w:rPr>
        <w:t>）计算物质总量与其临界量比值（</w:t>
      </w:r>
      <w:r>
        <w:rPr>
          <w:rFonts w:ascii="Times New Roman" w:eastAsia="宋体" w:hAnsi="Times New Roman" w:cs="Times New Roman"/>
          <w:color w:val="000000" w:themeColor="text1"/>
          <w:sz w:val="24"/>
        </w:rPr>
        <w:t>Q</w:t>
      </w:r>
      <w:r>
        <w:rPr>
          <w:rFonts w:ascii="Times New Roman" w:eastAsia="宋体" w:hAnsi="Times New Roman" w:cs="Times New Roman"/>
          <w:color w:val="000000" w:themeColor="text1"/>
          <w:sz w:val="24"/>
        </w:rPr>
        <w:t>）：</w:t>
      </w:r>
    </w:p>
    <w:p w:rsidR="00C861DA" w:rsidRDefault="0044752E">
      <w:pPr>
        <w:pStyle w:val="afe"/>
        <w:rPr>
          <w:i/>
          <w:color w:val="000000" w:themeColor="text1"/>
        </w:rPr>
      </w:pPr>
      <m:oMathPara>
        <m:oMath>
          <m:r>
            <w:rPr>
              <w:rFonts w:ascii="Cambria Math" w:eastAsia="Cambria Math" w:hAnsi="Cambria Math" w:cs="Cambria Math"/>
              <w:color w:val="000000" w:themeColor="text1"/>
              <w:sz w:val="24"/>
            </w:rPr>
            <m:t>Q</m:t>
          </m:r>
          <m:r>
            <w:rPr>
              <w:rFonts w:ascii="Cambria Math" w:eastAsia="Cambria Math" w:hAnsi="Cambria Math" w:cs="Cambria Math"/>
              <w:color w:val="000000" w:themeColor="text1"/>
              <w:sz w:val="24"/>
            </w:rPr>
            <m:t>=</m:t>
          </m:r>
          <m:f>
            <m:fPr>
              <m:ctrlPr>
                <w:rPr>
                  <w:rFonts w:ascii="Cambria Math" w:eastAsia="Cambria Math" w:hAnsi="Cambria Math"/>
                  <w:i/>
                  <w:color w:val="000000" w:themeColor="text1"/>
                  <w:sz w:val="24"/>
                </w:rPr>
              </m:ctrlPr>
            </m:fPr>
            <m:num>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q</m:t>
                  </m:r>
                </m:e>
                <m:sub>
                  <m:r>
                    <w:rPr>
                      <w:rFonts w:ascii="Cambria Math" w:eastAsia="Cambria Math" w:hAnsi="Cambria Math"/>
                      <w:color w:val="000000" w:themeColor="text1"/>
                      <w:sz w:val="24"/>
                    </w:rPr>
                    <m:t>1</m:t>
                  </m:r>
                </m:sub>
              </m:sSub>
            </m:num>
            <m:den>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Q</m:t>
                  </m:r>
                </m:e>
                <m:sub>
                  <m:r>
                    <w:rPr>
                      <w:rFonts w:ascii="Cambria Math" w:eastAsia="Cambria Math" w:hAnsi="Cambria Math"/>
                      <w:color w:val="000000" w:themeColor="text1"/>
                      <w:sz w:val="24"/>
                    </w:rPr>
                    <m:t>1</m:t>
                  </m:r>
                </m:sub>
              </m:sSub>
            </m:den>
          </m:f>
          <m:r>
            <w:rPr>
              <w:rFonts w:ascii="Cambria Math" w:eastAsia="Cambria Math" w:hAnsi="Cambria Math"/>
              <w:color w:val="000000" w:themeColor="text1"/>
              <w:sz w:val="24"/>
            </w:rPr>
            <m:t>+</m:t>
          </m:r>
          <m:f>
            <m:fPr>
              <m:ctrlPr>
                <w:rPr>
                  <w:rFonts w:ascii="Cambria Math" w:eastAsia="Cambria Math" w:hAnsi="Cambria Math"/>
                  <w:i/>
                  <w:color w:val="000000" w:themeColor="text1"/>
                  <w:sz w:val="24"/>
                </w:rPr>
              </m:ctrlPr>
            </m:fPr>
            <m:num>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q</m:t>
                  </m:r>
                </m:e>
                <m:sub>
                  <m:r>
                    <w:rPr>
                      <w:rFonts w:ascii="Cambria Math" w:eastAsia="Cambria Math" w:hAnsi="Cambria Math"/>
                      <w:color w:val="000000" w:themeColor="text1"/>
                      <w:sz w:val="24"/>
                    </w:rPr>
                    <m:t>2</m:t>
                  </m:r>
                </m:sub>
              </m:sSub>
            </m:num>
            <m:den>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Q</m:t>
                  </m:r>
                </m:e>
                <m:sub>
                  <m:r>
                    <w:rPr>
                      <w:rFonts w:ascii="Cambria Math" w:eastAsia="Cambria Math" w:hAnsi="Cambria Math"/>
                      <w:color w:val="000000" w:themeColor="text1"/>
                      <w:sz w:val="24"/>
                    </w:rPr>
                    <m:t>2</m:t>
                  </m:r>
                </m:sub>
              </m:sSub>
            </m:den>
          </m:f>
          <m:r>
            <w:rPr>
              <w:rFonts w:ascii="Cambria Math" w:eastAsia="Cambria Math" w:hAnsi="Cambria Math"/>
              <w:color w:val="000000" w:themeColor="text1"/>
              <w:sz w:val="24"/>
            </w:rPr>
            <m:t>+······</m:t>
          </m:r>
          <m:f>
            <m:fPr>
              <m:ctrlPr>
                <w:rPr>
                  <w:rFonts w:ascii="Cambria Math" w:eastAsia="Cambria Math" w:hAnsi="Cambria Math"/>
                  <w:i/>
                  <w:color w:val="000000" w:themeColor="text1"/>
                  <w:sz w:val="24"/>
                </w:rPr>
              </m:ctrlPr>
            </m:fPr>
            <m:num>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q</m:t>
                  </m:r>
                </m:e>
                <m:sub>
                  <m:r>
                    <w:rPr>
                      <w:rFonts w:ascii="Cambria Math" w:eastAsia="Cambria Math" w:hAnsi="Cambria Math"/>
                      <w:color w:val="000000" w:themeColor="text1"/>
                      <w:sz w:val="24"/>
                    </w:rPr>
                    <m:t>n</m:t>
                  </m:r>
                </m:sub>
              </m:sSub>
            </m:num>
            <m:den>
              <m:sSub>
                <m:sSubPr>
                  <m:ctrlPr>
                    <w:rPr>
                      <w:rFonts w:ascii="Cambria Math" w:eastAsia="Cambria Math" w:hAnsi="Cambria Math"/>
                      <w:i/>
                      <w:color w:val="000000" w:themeColor="text1"/>
                      <w:sz w:val="24"/>
                    </w:rPr>
                  </m:ctrlPr>
                </m:sSubPr>
                <m:e>
                  <m:r>
                    <w:rPr>
                      <w:rFonts w:ascii="Cambria Math" w:eastAsia="Cambria Math" w:hAnsi="Cambria Math"/>
                      <w:color w:val="000000" w:themeColor="text1"/>
                      <w:sz w:val="24"/>
                    </w:rPr>
                    <m:t>Q</m:t>
                  </m:r>
                </m:e>
                <m:sub>
                  <m:r>
                    <w:rPr>
                      <w:rFonts w:ascii="Cambria Math" w:eastAsia="Cambria Math" w:hAnsi="Cambria Math"/>
                      <w:color w:val="000000" w:themeColor="text1"/>
                      <w:sz w:val="24"/>
                    </w:rPr>
                    <m:t>n</m:t>
                  </m:r>
                </m:sub>
              </m:sSub>
            </m:den>
          </m:f>
        </m:oMath>
      </m:oMathPara>
    </w:p>
    <w:p w:rsidR="00C861DA" w:rsidRDefault="0044752E">
      <w:pPr>
        <w:pStyle w:val="afe"/>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式中：</w:t>
      </w:r>
    </w:p>
    <w:p w:rsidR="00C861DA" w:rsidRDefault="0044752E">
      <w:pPr>
        <w:pStyle w:val="afe"/>
        <w:spacing w:line="360" w:lineRule="auto"/>
        <w:ind w:firstLineChars="600" w:firstLine="1440"/>
        <w:jc w:val="both"/>
        <w:rPr>
          <w:rFonts w:ascii="Cambria Math" w:eastAsia="宋体" w:hAnsi="Cambria Math" w:cs="Times New Roman"/>
          <w:color w:val="000000" w:themeColor="text1"/>
          <w:sz w:val="24"/>
        </w:rPr>
      </w:pPr>
      <w:r>
        <w:rPr>
          <w:rFonts w:ascii="Cambria Math" w:eastAsia="宋体" w:hAnsi="Cambria Math" w:cs="Times New Roman"/>
          <w:color w:val="000000" w:themeColor="text1"/>
          <w:sz w:val="24"/>
        </w:rPr>
        <w:t>q</w:t>
      </w:r>
      <w:r>
        <w:rPr>
          <w:rFonts w:ascii="Cambria Math" w:eastAsia="宋体" w:hAnsi="Cambria Math" w:cs="Times New Roman"/>
          <w:color w:val="000000" w:themeColor="text1"/>
          <w:sz w:val="24"/>
          <w:vertAlign w:val="subscript"/>
        </w:rPr>
        <w:t>1</w:t>
      </w:r>
      <w:r>
        <w:rPr>
          <w:rFonts w:ascii="Cambria Math" w:eastAsia="宋体" w:hAnsi="Cambria Math" w:cs="Times New Roman"/>
          <w:color w:val="000000" w:themeColor="text1"/>
          <w:sz w:val="24"/>
        </w:rPr>
        <w:t>，</w:t>
      </w:r>
      <w:r>
        <w:rPr>
          <w:rFonts w:ascii="Cambria Math" w:eastAsia="宋体" w:hAnsi="Cambria Math" w:cs="Times New Roman"/>
          <w:color w:val="000000" w:themeColor="text1"/>
          <w:sz w:val="24"/>
        </w:rPr>
        <w:t>q</w:t>
      </w:r>
      <w:r>
        <w:rPr>
          <w:rFonts w:ascii="Cambria Math" w:eastAsia="宋体" w:hAnsi="Cambria Math" w:cs="Times New Roman"/>
          <w:color w:val="000000" w:themeColor="text1"/>
          <w:sz w:val="24"/>
          <w:vertAlign w:val="subscript"/>
        </w:rPr>
        <w:t>2</w:t>
      </w:r>
      <w:r>
        <w:rPr>
          <w:rFonts w:ascii="Cambria Math" w:eastAsia="宋体" w:hAnsi="Cambria Math" w:cs="Times New Roman"/>
          <w:color w:val="000000" w:themeColor="text1"/>
          <w:sz w:val="24"/>
        </w:rPr>
        <w:t>.········</w:t>
      </w:r>
      <w:r>
        <w:rPr>
          <w:rFonts w:ascii="Cambria Math" w:eastAsia="宋体" w:hAnsi="Cambria Math" w:cs="Times New Roman"/>
          <w:color w:val="000000" w:themeColor="text1"/>
          <w:sz w:val="24"/>
        </w:rPr>
        <w:t>，</w:t>
      </w:r>
      <w:r>
        <w:rPr>
          <w:rFonts w:ascii="Cambria Math" w:eastAsia="宋体" w:hAnsi="Cambria Math" w:cs="Times New Roman"/>
          <w:color w:val="000000" w:themeColor="text1"/>
          <w:sz w:val="24"/>
        </w:rPr>
        <w:t>q</w:t>
      </w:r>
      <w:r>
        <w:rPr>
          <w:rFonts w:ascii="Cambria Math" w:eastAsia="宋体" w:hAnsi="Cambria Math" w:cs="Times New Roman"/>
          <w:color w:val="000000" w:themeColor="text1"/>
          <w:sz w:val="24"/>
          <w:vertAlign w:val="subscript"/>
        </w:rPr>
        <w:t>n</w:t>
      </w:r>
      <w:r>
        <w:rPr>
          <w:rFonts w:ascii="Cambria Math" w:eastAsia="宋体" w:hAnsi="Cambria Math" w:cs="Times New Roman"/>
          <w:color w:val="000000" w:themeColor="text1"/>
          <w:sz w:val="24"/>
        </w:rPr>
        <w:t>——</w:t>
      </w:r>
      <w:r>
        <w:rPr>
          <w:rFonts w:ascii="Cambria Math" w:eastAsia="宋体" w:hAnsi="Cambria Math" w:cs="Times New Roman"/>
          <w:color w:val="000000" w:themeColor="text1"/>
          <w:sz w:val="24"/>
        </w:rPr>
        <w:t>每种危险物质的最大存在总量，</w:t>
      </w:r>
      <w:r>
        <w:rPr>
          <w:rFonts w:ascii="Cambria Math" w:eastAsia="宋体" w:hAnsi="Cambria Math" w:cs="Times New Roman"/>
          <w:color w:val="000000" w:themeColor="text1"/>
          <w:sz w:val="24"/>
        </w:rPr>
        <w:t>t</w:t>
      </w:r>
      <w:r>
        <w:rPr>
          <w:rFonts w:ascii="Cambria Math" w:eastAsia="宋体" w:hAnsi="Cambria Math" w:cs="Times New Roman"/>
          <w:color w:val="000000" w:themeColor="text1"/>
          <w:sz w:val="24"/>
        </w:rPr>
        <w:t>；</w:t>
      </w:r>
    </w:p>
    <w:p w:rsidR="00C861DA" w:rsidRDefault="0044752E">
      <w:pPr>
        <w:pStyle w:val="afe"/>
        <w:spacing w:line="360" w:lineRule="auto"/>
        <w:ind w:firstLineChars="600" w:firstLine="1440"/>
        <w:jc w:val="both"/>
        <w:rPr>
          <w:rFonts w:ascii="Times New Roman" w:eastAsia="宋体" w:hAnsi="Times New Roman" w:cs="Times New Roman"/>
          <w:color w:val="000000" w:themeColor="text1"/>
          <w:sz w:val="24"/>
        </w:rPr>
      </w:pPr>
      <w:r>
        <w:rPr>
          <w:rFonts w:ascii="Cambria Math" w:eastAsia="宋体" w:hAnsi="Cambria Math" w:cs="Times New Roman"/>
          <w:color w:val="000000" w:themeColor="text1"/>
          <w:sz w:val="24"/>
        </w:rPr>
        <w:t>Q</w:t>
      </w:r>
      <w:r>
        <w:rPr>
          <w:rFonts w:ascii="Cambria Math" w:eastAsia="宋体" w:hAnsi="Cambria Math" w:cs="Times New Roman"/>
          <w:color w:val="000000" w:themeColor="text1"/>
          <w:sz w:val="24"/>
          <w:vertAlign w:val="subscript"/>
        </w:rPr>
        <w:t>1</w:t>
      </w:r>
      <w:r>
        <w:rPr>
          <w:rFonts w:ascii="Cambria Math" w:eastAsia="宋体" w:hAnsi="Cambria Math" w:cs="Times New Roman"/>
          <w:color w:val="000000" w:themeColor="text1"/>
          <w:sz w:val="24"/>
        </w:rPr>
        <w:t>，</w:t>
      </w:r>
      <w:r>
        <w:rPr>
          <w:rFonts w:ascii="Cambria Math" w:eastAsia="宋体" w:hAnsi="Cambria Math" w:cs="Times New Roman"/>
          <w:color w:val="000000" w:themeColor="text1"/>
          <w:sz w:val="24"/>
        </w:rPr>
        <w:t>Q</w:t>
      </w:r>
      <w:r>
        <w:rPr>
          <w:rFonts w:ascii="Cambria Math" w:eastAsia="宋体" w:hAnsi="Cambria Math" w:cs="Times New Roman"/>
          <w:color w:val="000000" w:themeColor="text1"/>
          <w:sz w:val="24"/>
          <w:vertAlign w:val="subscript"/>
        </w:rPr>
        <w:t>2</w:t>
      </w:r>
      <w:r>
        <w:rPr>
          <w:rFonts w:ascii="Cambria Math" w:eastAsia="宋体" w:hAnsi="Cambria Math" w:cs="Times New Roman"/>
          <w:color w:val="000000" w:themeColor="text1"/>
          <w:sz w:val="24"/>
        </w:rPr>
        <w:t>，</w:t>
      </w:r>
      <w:r>
        <w:rPr>
          <w:rFonts w:ascii="Cambria Math" w:eastAsia="宋体" w:hAnsi="Cambria Math" w:cs="Times New Roman"/>
          <w:color w:val="000000" w:themeColor="text1"/>
          <w:sz w:val="24"/>
        </w:rPr>
        <w:t>···········Q</w:t>
      </w:r>
      <w:r>
        <w:rPr>
          <w:rFonts w:ascii="Cambria Math" w:eastAsia="宋体" w:hAnsi="Cambria Math" w:cs="Times New Roman"/>
          <w:color w:val="000000" w:themeColor="text1"/>
          <w:sz w:val="24"/>
          <w:vertAlign w:val="subscript"/>
        </w:rPr>
        <w:t>n</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每种危险物质的临界量，</w:t>
      </w:r>
      <w:r>
        <w:rPr>
          <w:rFonts w:ascii="Times New Roman" w:eastAsia="宋体" w:hAnsi="Times New Roman" w:cs="Times New Roman"/>
          <w:color w:val="000000" w:themeColor="text1"/>
          <w:sz w:val="24"/>
        </w:rPr>
        <w:t>t</w:t>
      </w:r>
      <w:r>
        <w:rPr>
          <w:rFonts w:ascii="Times New Roman" w:eastAsia="宋体" w:hAnsi="Times New Roman" w:cs="Times New Roman"/>
          <w:color w:val="000000" w:themeColor="text1"/>
          <w:sz w:val="24"/>
        </w:rPr>
        <w:t>。</w:t>
      </w:r>
    </w:p>
    <w:p w:rsidR="00C861DA" w:rsidRDefault="0044752E">
      <w:pPr>
        <w:pStyle w:val="afe"/>
        <w:spacing w:line="360" w:lineRule="auto"/>
        <w:ind w:firstLineChars="600" w:firstLine="144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当</w:t>
      </w:r>
      <w:r>
        <w:rPr>
          <w:rFonts w:ascii="Times New Roman" w:eastAsia="宋体" w:hAnsi="Times New Roman" w:cs="Times New Roman"/>
          <w:color w:val="000000" w:themeColor="text1"/>
          <w:sz w:val="24"/>
        </w:rPr>
        <w:t>Q&lt;1</w:t>
      </w:r>
      <w:r>
        <w:rPr>
          <w:rFonts w:ascii="Times New Roman" w:eastAsia="宋体" w:hAnsi="Times New Roman" w:cs="Times New Roman"/>
          <w:color w:val="000000" w:themeColor="text1"/>
          <w:sz w:val="24"/>
        </w:rPr>
        <w:t>时，该项目风险潜势为</w:t>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1 \* ROMAN </w:instrText>
      </w:r>
      <w:r>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t>I</w:t>
      </w:r>
      <w:r>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t>。</w:t>
      </w:r>
    </w:p>
    <w:p w:rsidR="00C861DA" w:rsidRDefault="0044752E">
      <w:pPr>
        <w:pStyle w:val="afe"/>
        <w:spacing w:line="360" w:lineRule="auto"/>
        <w:ind w:firstLineChars="600" w:firstLine="144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当</w:t>
      </w:r>
      <w:r>
        <w:rPr>
          <w:rFonts w:ascii="Times New Roman" w:eastAsia="宋体" w:hAnsi="Times New Roman" w:cs="Times New Roman"/>
          <w:color w:val="000000" w:themeColor="text1"/>
          <w:sz w:val="24"/>
        </w:rPr>
        <w:t>Q≥1</w:t>
      </w:r>
      <w:r>
        <w:rPr>
          <w:rFonts w:ascii="Times New Roman" w:eastAsia="宋体" w:hAnsi="Times New Roman" w:cs="Times New Roman"/>
          <w:color w:val="000000" w:themeColor="text1"/>
          <w:sz w:val="24"/>
        </w:rPr>
        <w:t>时，将</w:t>
      </w:r>
      <w:r>
        <w:rPr>
          <w:rFonts w:ascii="Times New Roman" w:eastAsia="宋体" w:hAnsi="Times New Roman" w:cs="Times New Roman"/>
          <w:color w:val="000000" w:themeColor="text1"/>
          <w:sz w:val="24"/>
        </w:rPr>
        <w:t>Q</w:t>
      </w:r>
      <w:r>
        <w:rPr>
          <w:rFonts w:ascii="Times New Roman" w:eastAsia="宋体" w:hAnsi="Times New Roman" w:cs="Times New Roman"/>
          <w:color w:val="000000" w:themeColor="text1"/>
          <w:sz w:val="24"/>
        </w:rPr>
        <w:t>值划分为：（</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1≤Q&lt;10</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10≤Q&lt;100</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Q≥100</w:t>
      </w:r>
      <w:r>
        <w:rPr>
          <w:rFonts w:ascii="Times New Roman" w:eastAsia="宋体" w:hAnsi="Times New Roman" w:cs="Times New Roman"/>
          <w:color w:val="000000" w:themeColor="text1"/>
          <w:sz w:val="24"/>
        </w:rPr>
        <w:t>。</w:t>
      </w:r>
    </w:p>
    <w:p w:rsidR="00C861DA" w:rsidRDefault="0044752E">
      <w:pPr>
        <w:pStyle w:val="afe"/>
        <w:spacing w:line="360" w:lineRule="auto"/>
        <w:ind w:firstLineChars="200" w:firstLine="480"/>
        <w:jc w:val="both"/>
        <w:rPr>
          <w:rFonts w:ascii="Times New Roman" w:eastAsia="宋体"/>
          <w:color w:val="000000" w:themeColor="text1"/>
          <w:sz w:val="24"/>
        </w:rPr>
      </w:pPr>
      <w:r>
        <w:rPr>
          <w:rFonts w:ascii="Times New Roman" w:eastAsia="宋体" w:hint="eastAsia"/>
          <w:color w:val="000000" w:themeColor="text1"/>
          <w:sz w:val="24"/>
        </w:rPr>
        <w:t>根据《建设项目环境风险评价技术导则》（</w:t>
      </w:r>
      <w:r>
        <w:rPr>
          <w:rFonts w:ascii="Times New Roman" w:eastAsia="宋体" w:hint="eastAsia"/>
          <w:color w:val="000000" w:themeColor="text1"/>
          <w:sz w:val="24"/>
        </w:rPr>
        <w:t>HJ/T169-20</w:t>
      </w:r>
      <w:r>
        <w:rPr>
          <w:rFonts w:ascii="Times New Roman" w:eastAsia="宋体"/>
          <w:color w:val="000000" w:themeColor="text1"/>
          <w:sz w:val="24"/>
        </w:rPr>
        <w:t>18</w:t>
      </w:r>
      <w:r>
        <w:rPr>
          <w:rFonts w:ascii="Times New Roman" w:eastAsia="宋体" w:hint="eastAsia"/>
          <w:color w:val="000000" w:themeColor="text1"/>
          <w:sz w:val="24"/>
        </w:rPr>
        <w:t>）附录</w:t>
      </w:r>
      <w:r>
        <w:rPr>
          <w:rFonts w:ascii="Times New Roman" w:eastAsia="宋体" w:hint="eastAsia"/>
          <w:color w:val="000000" w:themeColor="text1"/>
          <w:sz w:val="24"/>
        </w:rPr>
        <w:t>B</w:t>
      </w:r>
      <w:r>
        <w:rPr>
          <w:rFonts w:ascii="Times New Roman" w:eastAsia="宋体" w:hint="eastAsia"/>
          <w:color w:val="000000" w:themeColor="text1"/>
          <w:sz w:val="24"/>
        </w:rPr>
        <w:t>及附录</w:t>
      </w:r>
      <w:r>
        <w:rPr>
          <w:rFonts w:ascii="Times New Roman" w:eastAsia="宋体" w:hint="eastAsia"/>
          <w:color w:val="000000" w:themeColor="text1"/>
          <w:sz w:val="24"/>
        </w:rPr>
        <w:t>C</w:t>
      </w:r>
      <w:r>
        <w:rPr>
          <w:rFonts w:ascii="Times New Roman" w:eastAsia="宋体" w:hint="eastAsia"/>
          <w:color w:val="000000" w:themeColor="text1"/>
          <w:sz w:val="24"/>
        </w:rPr>
        <w:t>，硝酸的临界量为</w:t>
      </w:r>
      <w:r>
        <w:rPr>
          <w:rFonts w:ascii="Times New Roman" w:eastAsia="宋体" w:hint="eastAsia"/>
          <w:color w:val="000000" w:themeColor="text1"/>
          <w:sz w:val="24"/>
        </w:rPr>
        <w:t>7</w:t>
      </w:r>
      <w:r>
        <w:rPr>
          <w:rFonts w:ascii="Times New Roman" w:eastAsia="宋体"/>
          <w:color w:val="000000" w:themeColor="text1"/>
          <w:sz w:val="24"/>
        </w:rPr>
        <w:t>.5t</w:t>
      </w:r>
      <w:r>
        <w:rPr>
          <w:rFonts w:ascii="Times New Roman" w:eastAsia="宋体" w:hint="eastAsia"/>
          <w:color w:val="000000" w:themeColor="text1"/>
          <w:sz w:val="24"/>
        </w:rPr>
        <w:t>，硝铵的临界量为</w:t>
      </w:r>
      <w:r>
        <w:rPr>
          <w:rFonts w:ascii="Times New Roman" w:eastAsia="宋体" w:hint="eastAsia"/>
          <w:color w:val="000000" w:themeColor="text1"/>
          <w:sz w:val="24"/>
        </w:rPr>
        <w:t>5</w:t>
      </w:r>
      <w:r>
        <w:rPr>
          <w:rFonts w:ascii="Times New Roman" w:eastAsia="宋体"/>
          <w:color w:val="000000" w:themeColor="text1"/>
          <w:sz w:val="24"/>
        </w:rPr>
        <w:t>0t</w:t>
      </w:r>
      <w:r>
        <w:rPr>
          <w:rFonts w:ascii="Times New Roman" w:eastAsia="宋体" w:hint="eastAsia"/>
          <w:color w:val="000000" w:themeColor="text1"/>
          <w:sz w:val="24"/>
        </w:rPr>
        <w:t>。</w:t>
      </w:r>
    </w:p>
    <w:p w:rsidR="00C861DA" w:rsidRDefault="0044752E">
      <w:pPr>
        <w:pStyle w:val="afe"/>
        <w:spacing w:line="360" w:lineRule="auto"/>
        <w:ind w:firstLineChars="200" w:firstLine="480"/>
        <w:jc w:val="both"/>
        <w:rPr>
          <w:rFonts w:ascii="Times New Roman" w:eastAsia="宋体"/>
          <w:color w:val="000000" w:themeColor="text1"/>
          <w:sz w:val="24"/>
        </w:rPr>
      </w:pPr>
      <w:r>
        <w:rPr>
          <w:rFonts w:ascii="Times New Roman" w:eastAsia="宋体" w:hint="eastAsia"/>
          <w:color w:val="000000" w:themeColor="text1"/>
          <w:sz w:val="24"/>
        </w:rPr>
        <w:t>本项目为有机绿色硝基肥和有机绿色尿基肥制造项目，根据“突发环境事件风险物质及临界量清单”，本项目原辅料及产品中涉及的危险物质主要为液氨、稀硝酸和硝酸铵，根据《建设项目环境风险评价技术导则》（</w:t>
      </w:r>
      <w:r>
        <w:rPr>
          <w:rFonts w:ascii="Times New Roman" w:eastAsia="宋体" w:hint="eastAsia"/>
          <w:color w:val="000000" w:themeColor="text1"/>
          <w:sz w:val="24"/>
        </w:rPr>
        <w:t>HJ/T169-20</w:t>
      </w:r>
      <w:r>
        <w:rPr>
          <w:rFonts w:ascii="Times New Roman" w:eastAsia="宋体"/>
          <w:color w:val="000000" w:themeColor="text1"/>
          <w:sz w:val="24"/>
        </w:rPr>
        <w:t>18</w:t>
      </w:r>
      <w:r>
        <w:rPr>
          <w:rFonts w:ascii="Times New Roman" w:eastAsia="宋体" w:hint="eastAsia"/>
          <w:color w:val="000000" w:themeColor="text1"/>
          <w:sz w:val="24"/>
        </w:rPr>
        <w:t>）附录</w:t>
      </w:r>
      <w:r>
        <w:rPr>
          <w:rFonts w:ascii="Times New Roman" w:eastAsia="宋体" w:hint="eastAsia"/>
          <w:color w:val="000000" w:themeColor="text1"/>
          <w:sz w:val="24"/>
        </w:rPr>
        <w:t>B</w:t>
      </w:r>
      <w:r>
        <w:rPr>
          <w:rFonts w:ascii="Times New Roman" w:eastAsia="宋体" w:hint="eastAsia"/>
          <w:color w:val="000000" w:themeColor="text1"/>
          <w:sz w:val="24"/>
        </w:rPr>
        <w:t>，液氨的临界量为</w:t>
      </w:r>
      <w:r>
        <w:rPr>
          <w:rFonts w:ascii="Times New Roman" w:eastAsia="宋体"/>
          <w:color w:val="000000" w:themeColor="text1"/>
          <w:sz w:val="24"/>
        </w:rPr>
        <w:t>5t</w:t>
      </w:r>
      <w:r>
        <w:rPr>
          <w:rFonts w:ascii="Times New Roman" w:eastAsia="宋体" w:hint="eastAsia"/>
          <w:color w:val="000000" w:themeColor="text1"/>
          <w:sz w:val="24"/>
        </w:rPr>
        <w:t>；硝酸的临界量为</w:t>
      </w:r>
      <w:r>
        <w:rPr>
          <w:rFonts w:ascii="Times New Roman" w:eastAsia="宋体" w:hint="eastAsia"/>
          <w:color w:val="000000" w:themeColor="text1"/>
          <w:sz w:val="24"/>
        </w:rPr>
        <w:t>7</w:t>
      </w:r>
      <w:r>
        <w:rPr>
          <w:rFonts w:ascii="Times New Roman" w:eastAsia="宋体"/>
          <w:color w:val="000000" w:themeColor="text1"/>
          <w:sz w:val="24"/>
        </w:rPr>
        <w:t>.5t</w:t>
      </w:r>
      <w:r>
        <w:rPr>
          <w:rFonts w:ascii="Times New Roman" w:eastAsia="宋体" w:hint="eastAsia"/>
          <w:color w:val="000000" w:themeColor="text1"/>
          <w:sz w:val="24"/>
        </w:rPr>
        <w:t>；硝酸铵的临界量为</w:t>
      </w:r>
      <w:r>
        <w:rPr>
          <w:rFonts w:ascii="Times New Roman" w:eastAsia="宋体" w:hint="eastAsia"/>
          <w:color w:val="000000" w:themeColor="text1"/>
          <w:sz w:val="24"/>
        </w:rPr>
        <w:t>5</w:t>
      </w:r>
      <w:r>
        <w:rPr>
          <w:rFonts w:ascii="Times New Roman" w:eastAsia="宋体"/>
          <w:color w:val="000000" w:themeColor="text1"/>
          <w:sz w:val="24"/>
        </w:rPr>
        <w:t>0t</w:t>
      </w:r>
      <w:r>
        <w:rPr>
          <w:rFonts w:ascii="Times New Roman" w:eastAsia="宋体" w:hint="eastAsia"/>
          <w:color w:val="000000" w:themeColor="text1"/>
          <w:sz w:val="24"/>
        </w:rPr>
        <w:t>。本项目的最大存储量为液氨</w:t>
      </w:r>
      <w:r>
        <w:rPr>
          <w:rFonts w:ascii="Times New Roman" w:eastAsia="宋体"/>
          <w:color w:val="000000" w:themeColor="text1"/>
          <w:sz w:val="24"/>
        </w:rPr>
        <w:t>0.36t</w:t>
      </w:r>
      <w:r>
        <w:rPr>
          <w:rFonts w:ascii="Times New Roman" w:eastAsia="宋体" w:hint="eastAsia"/>
          <w:color w:val="000000" w:themeColor="text1"/>
          <w:sz w:val="24"/>
        </w:rPr>
        <w:t>、硝酸</w:t>
      </w:r>
      <w:r>
        <w:rPr>
          <w:rFonts w:ascii="Times New Roman" w:eastAsia="宋体"/>
          <w:color w:val="000000" w:themeColor="text1"/>
          <w:sz w:val="24"/>
        </w:rPr>
        <w:t>13.5t</w:t>
      </w:r>
      <w:r>
        <w:rPr>
          <w:rFonts w:ascii="Times New Roman" w:eastAsia="宋体" w:hint="eastAsia"/>
          <w:color w:val="000000" w:themeColor="text1"/>
          <w:sz w:val="24"/>
        </w:rPr>
        <w:t>、硝酸铵</w:t>
      </w:r>
      <w:r>
        <w:rPr>
          <w:rFonts w:ascii="Times New Roman" w:eastAsia="宋体" w:hint="eastAsia"/>
          <w:color w:val="000000" w:themeColor="text1"/>
          <w:sz w:val="24"/>
        </w:rPr>
        <w:t>2</w:t>
      </w:r>
      <w:r>
        <w:rPr>
          <w:rFonts w:ascii="Times New Roman" w:eastAsia="宋体"/>
          <w:color w:val="000000" w:themeColor="text1"/>
          <w:sz w:val="24"/>
        </w:rPr>
        <w:t>2.5t</w:t>
      </w:r>
      <w:r>
        <w:rPr>
          <w:rFonts w:ascii="Times New Roman" w:eastAsia="宋体" w:hint="eastAsia"/>
          <w:color w:val="000000" w:themeColor="text1"/>
          <w:sz w:val="24"/>
        </w:rPr>
        <w:t>，</w:t>
      </w:r>
      <w:r>
        <w:rPr>
          <w:rFonts w:ascii="Times New Roman" w:eastAsia="宋体" w:hint="eastAsia"/>
          <w:color w:val="000000" w:themeColor="text1"/>
          <w:sz w:val="24"/>
        </w:rPr>
        <w:t>Q</w:t>
      </w:r>
      <w:r>
        <w:rPr>
          <w:rFonts w:ascii="Times New Roman" w:eastAsia="宋体" w:hint="eastAsia"/>
          <w:color w:val="000000" w:themeColor="text1"/>
          <w:sz w:val="24"/>
        </w:rPr>
        <w:t>值计算结果如下：</w:t>
      </w:r>
    </w:p>
    <w:p w:rsidR="00C861DA" w:rsidRDefault="0044752E">
      <w:pPr>
        <w:pStyle w:val="afe"/>
        <w:rPr>
          <w:rFonts w:ascii="Times New Roman" w:eastAsia="宋体"/>
          <w:b/>
          <w:color w:val="000000" w:themeColor="text1"/>
          <w:sz w:val="24"/>
        </w:rPr>
      </w:pPr>
      <w:r>
        <w:rPr>
          <w:rFonts w:ascii="Times New Roman" w:eastAsia="宋体" w:hint="eastAsia"/>
          <w:b/>
          <w:color w:val="000000" w:themeColor="text1"/>
          <w:sz w:val="24"/>
        </w:rPr>
        <w:t>表</w:t>
      </w:r>
      <w:r>
        <w:rPr>
          <w:rFonts w:ascii="Times New Roman" w:eastAsia="宋体" w:hint="eastAsia"/>
          <w:b/>
          <w:color w:val="000000" w:themeColor="text1"/>
          <w:sz w:val="24"/>
        </w:rPr>
        <w:t>2</w:t>
      </w:r>
      <w:r>
        <w:rPr>
          <w:rFonts w:ascii="Times New Roman" w:eastAsia="宋体"/>
          <w:b/>
          <w:color w:val="000000" w:themeColor="text1"/>
          <w:sz w:val="24"/>
        </w:rPr>
        <w:t xml:space="preserve">.6-9  </w:t>
      </w:r>
      <w:r>
        <w:rPr>
          <w:rFonts w:ascii="Times New Roman" w:eastAsia="宋体" w:hint="eastAsia"/>
          <w:b/>
          <w:color w:val="000000" w:themeColor="text1"/>
          <w:sz w:val="24"/>
        </w:rPr>
        <w:t>建设项目</w:t>
      </w:r>
      <w:r>
        <w:rPr>
          <w:rFonts w:ascii="Times New Roman" w:eastAsia="宋体" w:hint="eastAsia"/>
          <w:b/>
          <w:color w:val="000000" w:themeColor="text1"/>
          <w:sz w:val="24"/>
        </w:rPr>
        <w:t>Q</w:t>
      </w:r>
      <w:r>
        <w:rPr>
          <w:rFonts w:ascii="Times New Roman" w:eastAsia="宋体" w:hint="eastAsia"/>
          <w:b/>
          <w:color w:val="000000" w:themeColor="text1"/>
          <w:sz w:val="24"/>
        </w:rPr>
        <w:t>值确定表</w:t>
      </w:r>
    </w:p>
    <w:tbl>
      <w:tblPr>
        <w:tblStyle w:val="affa"/>
        <w:tblW w:w="8296" w:type="dxa"/>
        <w:jc w:val="center"/>
        <w:tblLayout w:type="fixed"/>
        <w:tblLook w:val="04A0" w:firstRow="1" w:lastRow="0" w:firstColumn="1" w:lastColumn="0" w:noHBand="0" w:noVBand="1"/>
      </w:tblPr>
      <w:tblGrid>
        <w:gridCol w:w="660"/>
        <w:gridCol w:w="1527"/>
        <w:gridCol w:w="1128"/>
        <w:gridCol w:w="1093"/>
        <w:gridCol w:w="1805"/>
        <w:gridCol w:w="1370"/>
        <w:gridCol w:w="713"/>
      </w:tblGrid>
      <w:tr w:rsidR="00C861DA">
        <w:trPr>
          <w:trHeight w:val="369"/>
          <w:jc w:val="center"/>
        </w:trPr>
        <w:tc>
          <w:tcPr>
            <w:tcW w:w="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序号</w:t>
            </w:r>
          </w:p>
        </w:tc>
        <w:tc>
          <w:tcPr>
            <w:tcW w:w="1527"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危险物质名称</w:t>
            </w:r>
          </w:p>
        </w:tc>
        <w:tc>
          <w:tcPr>
            <w:tcW w:w="112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hint="eastAsia"/>
                <w:color w:val="000000" w:themeColor="text1"/>
                <w:kern w:val="0"/>
                <w:sz w:val="21"/>
                <w:szCs w:val="21"/>
              </w:rPr>
              <w:t>CAS</w:t>
            </w:r>
            <w:r>
              <w:rPr>
                <w:rFonts w:ascii="Times New Roman" w:eastAsia="宋体" w:hAnsi="Times New Roman" w:cs="Times New Roman" w:hint="eastAsia"/>
                <w:color w:val="000000" w:themeColor="text1"/>
                <w:kern w:val="0"/>
                <w:sz w:val="21"/>
                <w:szCs w:val="21"/>
              </w:rPr>
              <w:t>号</w:t>
            </w:r>
          </w:p>
        </w:tc>
        <w:tc>
          <w:tcPr>
            <w:tcW w:w="1093"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生产阶段</w:t>
            </w:r>
          </w:p>
        </w:tc>
        <w:tc>
          <w:tcPr>
            <w:tcW w:w="180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最大存储量</w:t>
            </w:r>
            <w:r>
              <w:rPr>
                <w:rFonts w:ascii="Times New Roman" w:eastAsia="宋体" w:hAnsi="Times New Roman" w:cs="Times New Roman" w:hint="eastAsia"/>
                <w:color w:val="000000" w:themeColor="text1"/>
                <w:kern w:val="0"/>
                <w:sz w:val="21"/>
                <w:szCs w:val="21"/>
              </w:rPr>
              <w:t>（</w:t>
            </w:r>
            <w:r>
              <w:rPr>
                <w:rFonts w:ascii="Times New Roman" w:eastAsia="宋体" w:hAnsi="Times New Roman" w:cs="Times New Roman"/>
                <w:color w:val="000000" w:themeColor="text1"/>
                <w:kern w:val="0"/>
                <w:sz w:val="21"/>
                <w:szCs w:val="21"/>
              </w:rPr>
              <w:t>t</w:t>
            </w:r>
            <w:r>
              <w:rPr>
                <w:rFonts w:ascii="Times New Roman" w:eastAsia="宋体" w:hAnsi="Times New Roman" w:cs="Times New Roman" w:hint="eastAsia"/>
                <w:color w:val="000000" w:themeColor="text1"/>
                <w:kern w:val="0"/>
                <w:sz w:val="21"/>
                <w:szCs w:val="21"/>
              </w:rPr>
              <w:t>）</w:t>
            </w:r>
          </w:p>
        </w:tc>
        <w:tc>
          <w:tcPr>
            <w:tcW w:w="137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临界量</w:t>
            </w:r>
            <w:r>
              <w:rPr>
                <w:rFonts w:ascii="Times New Roman" w:eastAsia="宋体" w:hAnsi="Times New Roman" w:cs="Times New Roman" w:hint="eastAsia"/>
                <w:color w:val="000000" w:themeColor="text1"/>
                <w:kern w:val="0"/>
                <w:sz w:val="21"/>
                <w:szCs w:val="21"/>
              </w:rPr>
              <w:t>（</w:t>
            </w:r>
            <w:r>
              <w:rPr>
                <w:rFonts w:ascii="Times New Roman" w:eastAsia="宋体" w:hAnsi="Times New Roman" w:cs="Times New Roman"/>
                <w:color w:val="000000" w:themeColor="text1"/>
                <w:kern w:val="0"/>
                <w:sz w:val="21"/>
                <w:szCs w:val="21"/>
              </w:rPr>
              <w:t>t</w:t>
            </w:r>
            <w:r>
              <w:rPr>
                <w:rFonts w:ascii="Times New Roman" w:eastAsia="宋体" w:hAnsi="Times New Roman" w:cs="Times New Roman" w:hint="eastAsia"/>
                <w:color w:val="000000" w:themeColor="text1"/>
                <w:kern w:val="0"/>
                <w:sz w:val="21"/>
                <w:szCs w:val="21"/>
              </w:rPr>
              <w:t>）</w:t>
            </w:r>
          </w:p>
        </w:tc>
        <w:tc>
          <w:tcPr>
            <w:tcW w:w="713"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Q</w:t>
            </w:r>
            <w:r>
              <w:rPr>
                <w:rFonts w:ascii="Times New Roman" w:eastAsia="宋体" w:hAnsi="Times New Roman" w:cs="Times New Roman"/>
                <w:color w:val="000000" w:themeColor="text1"/>
                <w:kern w:val="0"/>
                <w:sz w:val="21"/>
                <w:szCs w:val="21"/>
              </w:rPr>
              <w:t>值</w:t>
            </w:r>
          </w:p>
        </w:tc>
      </w:tr>
      <w:tr w:rsidR="00C861DA">
        <w:trPr>
          <w:trHeight w:val="369"/>
          <w:jc w:val="center"/>
        </w:trPr>
        <w:tc>
          <w:tcPr>
            <w:tcW w:w="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w:t>
            </w:r>
          </w:p>
        </w:tc>
        <w:tc>
          <w:tcPr>
            <w:tcW w:w="1527"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液氨</w:t>
            </w:r>
          </w:p>
        </w:tc>
        <w:tc>
          <w:tcPr>
            <w:tcW w:w="112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7664-41-7</w:t>
            </w:r>
          </w:p>
        </w:tc>
        <w:tc>
          <w:tcPr>
            <w:tcW w:w="1093"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原料</w:t>
            </w:r>
          </w:p>
        </w:tc>
        <w:tc>
          <w:tcPr>
            <w:tcW w:w="180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0.36</w:t>
            </w:r>
          </w:p>
        </w:tc>
        <w:tc>
          <w:tcPr>
            <w:tcW w:w="137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5</w:t>
            </w:r>
          </w:p>
        </w:tc>
        <w:tc>
          <w:tcPr>
            <w:tcW w:w="713"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0.072</w:t>
            </w:r>
          </w:p>
        </w:tc>
      </w:tr>
      <w:tr w:rsidR="00C861DA">
        <w:trPr>
          <w:trHeight w:val="369"/>
          <w:jc w:val="center"/>
        </w:trPr>
        <w:tc>
          <w:tcPr>
            <w:tcW w:w="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w:t>
            </w:r>
          </w:p>
        </w:tc>
        <w:tc>
          <w:tcPr>
            <w:tcW w:w="1527"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稀硝酸</w:t>
            </w:r>
          </w:p>
        </w:tc>
        <w:tc>
          <w:tcPr>
            <w:tcW w:w="112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7697-37-2</w:t>
            </w:r>
          </w:p>
        </w:tc>
        <w:tc>
          <w:tcPr>
            <w:tcW w:w="1093"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中间产品</w:t>
            </w:r>
          </w:p>
        </w:tc>
        <w:tc>
          <w:tcPr>
            <w:tcW w:w="180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13.5</w:t>
            </w:r>
          </w:p>
        </w:tc>
        <w:tc>
          <w:tcPr>
            <w:tcW w:w="137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7.5</w:t>
            </w:r>
          </w:p>
        </w:tc>
        <w:tc>
          <w:tcPr>
            <w:tcW w:w="713"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1.8</w:t>
            </w:r>
          </w:p>
        </w:tc>
      </w:tr>
      <w:tr w:rsidR="00C861DA">
        <w:trPr>
          <w:trHeight w:val="369"/>
          <w:jc w:val="center"/>
        </w:trPr>
        <w:tc>
          <w:tcPr>
            <w:tcW w:w="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3</w:t>
            </w:r>
          </w:p>
        </w:tc>
        <w:tc>
          <w:tcPr>
            <w:tcW w:w="1527"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硝酸铵</w:t>
            </w:r>
          </w:p>
        </w:tc>
        <w:tc>
          <w:tcPr>
            <w:tcW w:w="112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6484-52-2</w:t>
            </w:r>
          </w:p>
        </w:tc>
        <w:tc>
          <w:tcPr>
            <w:tcW w:w="1093"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中间产品</w:t>
            </w:r>
          </w:p>
        </w:tc>
        <w:tc>
          <w:tcPr>
            <w:tcW w:w="180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22.5</w:t>
            </w:r>
          </w:p>
        </w:tc>
        <w:tc>
          <w:tcPr>
            <w:tcW w:w="137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50</w:t>
            </w:r>
          </w:p>
        </w:tc>
        <w:tc>
          <w:tcPr>
            <w:tcW w:w="713"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0.45</w:t>
            </w:r>
          </w:p>
        </w:tc>
      </w:tr>
      <w:tr w:rsidR="00C861DA">
        <w:trPr>
          <w:trHeight w:val="369"/>
          <w:jc w:val="center"/>
        </w:trPr>
        <w:tc>
          <w:tcPr>
            <w:tcW w:w="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4</w:t>
            </w:r>
          </w:p>
        </w:tc>
        <w:tc>
          <w:tcPr>
            <w:tcW w:w="1527"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合计</w:t>
            </w:r>
          </w:p>
        </w:tc>
        <w:tc>
          <w:tcPr>
            <w:tcW w:w="6109" w:type="dxa"/>
            <w:gridSpan w:val="5"/>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szCs w:val="21"/>
              </w:rPr>
            </w:pPr>
            <w:r>
              <w:rPr>
                <w:rFonts w:ascii="Times New Roman" w:eastAsia="宋体" w:hAnsi="Times New Roman" w:cs="Times New Roman"/>
                <w:color w:val="000000" w:themeColor="text1"/>
                <w:kern w:val="0"/>
                <w:sz w:val="21"/>
                <w:szCs w:val="21"/>
              </w:rPr>
              <w:t>2.32</w:t>
            </w:r>
          </w:p>
        </w:tc>
      </w:tr>
    </w:tbl>
    <w:p w:rsidR="00C861DA" w:rsidRDefault="0044752E">
      <w:pPr>
        <w:pStyle w:val="afe"/>
        <w:spacing w:line="360" w:lineRule="auto"/>
        <w:ind w:firstLineChars="200" w:firstLine="480"/>
        <w:jc w:val="both"/>
        <w:rPr>
          <w:color w:val="000000" w:themeColor="text1"/>
        </w:rPr>
      </w:pPr>
      <w:r>
        <w:rPr>
          <w:rFonts w:ascii="Times New Roman" w:eastAsia="宋体" w:hint="eastAsia"/>
          <w:color w:val="000000" w:themeColor="text1"/>
          <w:sz w:val="24"/>
        </w:rPr>
        <w:t>根据上表所示，本项目</w:t>
      </w:r>
      <w:r>
        <w:rPr>
          <w:rFonts w:ascii="Times New Roman" w:eastAsia="宋体" w:hint="eastAsia"/>
          <w:color w:val="000000" w:themeColor="text1"/>
          <w:sz w:val="24"/>
        </w:rPr>
        <w:t>Q=</w:t>
      </w:r>
      <w:r>
        <w:rPr>
          <w:rFonts w:ascii="Times New Roman" w:eastAsia="宋体"/>
          <w:color w:val="000000" w:themeColor="text1"/>
          <w:sz w:val="24"/>
        </w:rPr>
        <w:t>2.32</w:t>
      </w:r>
      <w:r>
        <w:rPr>
          <w:rFonts w:ascii="Times New Roman" w:eastAsia="宋体" w:hint="eastAsia"/>
          <w:color w:val="000000" w:themeColor="text1"/>
          <w:sz w:val="24"/>
        </w:rPr>
        <w:t>，划分为</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1≤Q&lt;10</w:t>
      </w:r>
      <w:r>
        <w:rPr>
          <w:rFonts w:ascii="Times New Roman" w:eastAsia="宋体" w:hAnsi="Times New Roman" w:cs="Times New Roman" w:hint="eastAsia"/>
          <w:color w:val="000000" w:themeColor="text1"/>
          <w:sz w:val="24"/>
        </w:rPr>
        <w:t>。</w:t>
      </w:r>
    </w:p>
    <w:p w:rsidR="00C861DA" w:rsidRDefault="0044752E">
      <w:pPr>
        <w:pStyle w:val="afe"/>
        <w:spacing w:line="360" w:lineRule="auto"/>
        <w:ind w:firstLineChars="200" w:firstLine="482"/>
        <w:jc w:val="both"/>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B</w:t>
      </w:r>
      <w:r>
        <w:rPr>
          <w:rFonts w:ascii="Times New Roman" w:eastAsia="宋体" w:hAnsi="Times New Roman" w:cs="Times New Roman" w:hint="eastAsia"/>
          <w:b/>
          <w:color w:val="000000" w:themeColor="text1"/>
          <w:sz w:val="24"/>
        </w:rPr>
        <w:t>、</w:t>
      </w:r>
      <w:r>
        <w:rPr>
          <w:rFonts w:ascii="Times New Roman" w:eastAsia="宋体" w:hAnsi="Times New Roman" w:cs="Times New Roman"/>
          <w:b/>
          <w:color w:val="000000" w:themeColor="text1"/>
          <w:sz w:val="24"/>
        </w:rPr>
        <w:t>行业及生产工艺（</w:t>
      </w:r>
      <w:r>
        <w:rPr>
          <w:rFonts w:ascii="Times New Roman" w:eastAsia="宋体" w:hAnsi="Times New Roman" w:cs="Times New Roman"/>
          <w:b/>
          <w:color w:val="000000" w:themeColor="text1"/>
          <w:sz w:val="24"/>
        </w:rPr>
        <w:t>M</w:t>
      </w:r>
      <w:r>
        <w:rPr>
          <w:rFonts w:ascii="Times New Roman" w:eastAsia="宋体" w:hAnsi="Times New Roman" w:cs="Times New Roman"/>
          <w:b/>
          <w:color w:val="000000" w:themeColor="text1"/>
          <w:sz w:val="24"/>
        </w:rPr>
        <w:t>）</w:t>
      </w:r>
    </w:p>
    <w:p w:rsidR="00C861DA" w:rsidRDefault="0044752E">
      <w:pPr>
        <w:pStyle w:val="afe"/>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分析项目所示行业及生产工艺特点，按照表</w:t>
      </w:r>
      <w:r>
        <w:rPr>
          <w:rFonts w:ascii="Times New Roman" w:eastAsia="宋体" w:hAnsi="Times New Roman" w:cs="Times New Roman"/>
          <w:color w:val="000000" w:themeColor="text1"/>
          <w:sz w:val="24"/>
        </w:rPr>
        <w:t>2.6-7</w:t>
      </w:r>
      <w:r>
        <w:rPr>
          <w:rFonts w:ascii="Times New Roman" w:eastAsia="宋体" w:hAnsi="Times New Roman" w:cs="Times New Roman"/>
          <w:color w:val="000000" w:themeColor="text1"/>
          <w:sz w:val="24"/>
        </w:rPr>
        <w:t>评估生产工艺情况。具有多套工艺单元的项目，对每套生产工艺分别平分并</w:t>
      </w:r>
      <w:r>
        <w:rPr>
          <w:rFonts w:ascii="Times New Roman" w:eastAsia="宋体" w:hAnsi="Times New Roman" w:cs="Times New Roman" w:hint="eastAsia"/>
          <w:color w:val="000000" w:themeColor="text1"/>
          <w:sz w:val="24"/>
        </w:rPr>
        <w:t>求</w:t>
      </w:r>
      <w:r>
        <w:rPr>
          <w:rFonts w:ascii="Times New Roman" w:eastAsia="宋体" w:hAnsi="Times New Roman" w:cs="Times New Roman"/>
          <w:color w:val="000000" w:themeColor="text1"/>
          <w:sz w:val="24"/>
        </w:rPr>
        <w:t>和。将</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rPr>
        <w:t>划分为（</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20</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M≤20</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5</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M</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M=5.</w:t>
      </w:r>
      <w:r>
        <w:rPr>
          <w:rFonts w:ascii="Times New Roman" w:eastAsia="宋体" w:hAnsi="Times New Roman" w:cs="Times New Roman" w:hint="eastAsia"/>
          <w:color w:val="000000" w:themeColor="text1"/>
          <w:sz w:val="24"/>
        </w:rPr>
        <w:t>分别以</w:t>
      </w:r>
      <w:r>
        <w:rPr>
          <w:rFonts w:ascii="Times New Roman" w:eastAsia="宋体" w:hAnsi="Times New Roman" w:cs="Times New Roman"/>
          <w:color w:val="000000" w:themeColor="text1"/>
          <w:sz w:val="24"/>
        </w:rPr>
        <w:t>M1</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M2</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M3</w:t>
      </w:r>
      <w:r>
        <w:rPr>
          <w:rFonts w:ascii="Times New Roman" w:eastAsia="宋体" w:hAnsi="Times New Roman" w:cs="Times New Roman"/>
          <w:color w:val="000000" w:themeColor="text1"/>
          <w:sz w:val="24"/>
        </w:rPr>
        <w:t>和</w:t>
      </w:r>
      <w:r>
        <w:rPr>
          <w:rFonts w:ascii="Times New Roman" w:eastAsia="宋体" w:hAnsi="Times New Roman" w:cs="Times New Roman"/>
          <w:color w:val="000000" w:themeColor="text1"/>
          <w:sz w:val="24"/>
        </w:rPr>
        <w:t>M4</w:t>
      </w:r>
      <w:r>
        <w:rPr>
          <w:rFonts w:ascii="Times New Roman" w:eastAsia="宋体" w:hAnsi="Times New Roman" w:cs="Times New Roman"/>
          <w:color w:val="000000" w:themeColor="text1"/>
          <w:sz w:val="24"/>
        </w:rPr>
        <w:t>表示。</w:t>
      </w:r>
    </w:p>
    <w:p w:rsidR="00C861DA" w:rsidRDefault="0044752E">
      <w:pPr>
        <w:pStyle w:val="afe"/>
        <w:rPr>
          <w:rFonts w:ascii="Times New Roman" w:eastAsia="宋体" w:hAnsi="Times New Roman" w:cs="Times New Roman"/>
          <w:b/>
          <w:color w:val="000000" w:themeColor="text1"/>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2.6-10  </w:t>
      </w:r>
      <w:r>
        <w:rPr>
          <w:rFonts w:ascii="Times New Roman" w:eastAsia="宋体" w:hAnsi="Times New Roman" w:cs="Times New Roman"/>
          <w:b/>
          <w:color w:val="000000" w:themeColor="text1"/>
          <w:sz w:val="24"/>
        </w:rPr>
        <w:t>行业及生产工艺（</w:t>
      </w:r>
      <w:r>
        <w:rPr>
          <w:rFonts w:ascii="Times New Roman" w:eastAsia="宋体" w:hAnsi="Times New Roman" w:cs="Times New Roman"/>
          <w:b/>
          <w:color w:val="000000" w:themeColor="text1"/>
          <w:sz w:val="24"/>
        </w:rPr>
        <w:t>M</w:t>
      </w:r>
      <w:r>
        <w:rPr>
          <w:rFonts w:ascii="Times New Roman" w:eastAsia="宋体" w:hAnsi="Times New Roman" w:cs="Times New Roman"/>
          <w:b/>
          <w:color w:val="000000" w:themeColor="text1"/>
          <w:sz w:val="24"/>
        </w:rPr>
        <w:t>）</w:t>
      </w:r>
    </w:p>
    <w:tbl>
      <w:tblPr>
        <w:tblStyle w:val="affa"/>
        <w:tblW w:w="8296" w:type="dxa"/>
        <w:jc w:val="center"/>
        <w:tblLayout w:type="fixed"/>
        <w:tblLook w:val="04A0" w:firstRow="1" w:lastRow="0" w:firstColumn="1" w:lastColumn="0" w:noHBand="0" w:noVBand="1"/>
      </w:tblPr>
      <w:tblGrid>
        <w:gridCol w:w="1696"/>
        <w:gridCol w:w="5528"/>
        <w:gridCol w:w="1072"/>
      </w:tblGrid>
      <w:tr w:rsidR="00C861DA">
        <w:trPr>
          <w:trHeight w:val="369"/>
          <w:jc w:val="center"/>
        </w:trPr>
        <w:tc>
          <w:tcPr>
            <w:tcW w:w="1696"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行业</w:t>
            </w:r>
          </w:p>
        </w:tc>
        <w:tc>
          <w:tcPr>
            <w:tcW w:w="552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评估依据</w:t>
            </w:r>
          </w:p>
        </w:tc>
        <w:tc>
          <w:tcPr>
            <w:tcW w:w="1072"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分值</w:t>
            </w:r>
          </w:p>
        </w:tc>
      </w:tr>
      <w:tr w:rsidR="00C861DA">
        <w:trPr>
          <w:trHeight w:val="369"/>
          <w:jc w:val="center"/>
        </w:trPr>
        <w:tc>
          <w:tcPr>
            <w:tcW w:w="1696" w:type="dxa"/>
            <w:vMerge w:val="restart"/>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石化、化工、医药、轻工、化纤、有色冶炼等</w:t>
            </w:r>
          </w:p>
        </w:tc>
        <w:tc>
          <w:tcPr>
            <w:tcW w:w="552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设计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072"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10/</w:t>
            </w:r>
            <w:r>
              <w:rPr>
                <w:rFonts w:ascii="Times New Roman" w:eastAsia="宋体" w:hAnsi="Times New Roman" w:cs="Times New Roman"/>
                <w:color w:val="000000" w:themeColor="text1"/>
                <w:kern w:val="0"/>
                <w:sz w:val="21"/>
              </w:rPr>
              <w:t>套</w:t>
            </w:r>
          </w:p>
        </w:tc>
      </w:tr>
      <w:tr w:rsidR="00C861DA">
        <w:trPr>
          <w:trHeight w:val="369"/>
          <w:jc w:val="center"/>
        </w:trPr>
        <w:tc>
          <w:tcPr>
            <w:tcW w:w="1696" w:type="dxa"/>
            <w:vMerge/>
            <w:vAlign w:val="center"/>
          </w:tcPr>
          <w:p w:rsidR="00C861DA" w:rsidRDefault="00C861DA">
            <w:pPr>
              <w:pStyle w:val="afe"/>
              <w:pBdr>
                <w:bottom w:val="none" w:sz="0" w:space="0" w:color="auto"/>
              </w:pBdr>
              <w:rPr>
                <w:rFonts w:ascii="Times New Roman" w:eastAsia="宋体" w:hAnsi="Times New Roman" w:cs="Times New Roman"/>
                <w:color w:val="000000" w:themeColor="text1"/>
                <w:kern w:val="0"/>
                <w:sz w:val="21"/>
              </w:rPr>
            </w:pPr>
          </w:p>
        </w:tc>
        <w:tc>
          <w:tcPr>
            <w:tcW w:w="552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无机酸制酸工艺、焦化工艺</w:t>
            </w:r>
          </w:p>
        </w:tc>
        <w:tc>
          <w:tcPr>
            <w:tcW w:w="1072"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5/</w:t>
            </w:r>
            <w:r>
              <w:rPr>
                <w:rFonts w:ascii="Times New Roman" w:eastAsia="宋体" w:hAnsi="Times New Roman" w:cs="Times New Roman"/>
                <w:color w:val="000000" w:themeColor="text1"/>
                <w:kern w:val="0"/>
                <w:sz w:val="21"/>
              </w:rPr>
              <w:t>套</w:t>
            </w:r>
          </w:p>
        </w:tc>
      </w:tr>
      <w:tr w:rsidR="00C861DA">
        <w:trPr>
          <w:trHeight w:val="369"/>
          <w:jc w:val="center"/>
        </w:trPr>
        <w:tc>
          <w:tcPr>
            <w:tcW w:w="1696" w:type="dxa"/>
            <w:vMerge/>
            <w:vAlign w:val="center"/>
          </w:tcPr>
          <w:p w:rsidR="00C861DA" w:rsidRDefault="00C861DA">
            <w:pPr>
              <w:pStyle w:val="afe"/>
              <w:pBdr>
                <w:bottom w:val="none" w:sz="0" w:space="0" w:color="auto"/>
              </w:pBdr>
              <w:rPr>
                <w:rFonts w:ascii="Times New Roman" w:eastAsia="宋体" w:hAnsi="Times New Roman" w:cs="Times New Roman"/>
                <w:color w:val="000000" w:themeColor="text1"/>
                <w:kern w:val="0"/>
                <w:sz w:val="21"/>
              </w:rPr>
            </w:pPr>
          </w:p>
        </w:tc>
        <w:tc>
          <w:tcPr>
            <w:tcW w:w="552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其他高温或高压，且涉及危险物质的工艺过程</w:t>
            </w:r>
            <w:r>
              <w:rPr>
                <w:rFonts w:ascii="Times New Roman" w:eastAsia="宋体" w:hAnsi="Times New Roman" w:cs="Times New Roman"/>
                <w:color w:val="000000" w:themeColor="text1"/>
                <w:kern w:val="0"/>
                <w:sz w:val="21"/>
                <w:vertAlign w:val="superscript"/>
              </w:rPr>
              <w:t>a</w:t>
            </w:r>
            <w:r>
              <w:rPr>
                <w:rFonts w:ascii="Times New Roman" w:eastAsia="宋体" w:hAnsi="Times New Roman" w:cs="Times New Roman"/>
                <w:color w:val="000000" w:themeColor="text1"/>
                <w:kern w:val="0"/>
                <w:sz w:val="21"/>
              </w:rPr>
              <w:t>、危险物质贮存灌区</w:t>
            </w:r>
          </w:p>
        </w:tc>
        <w:tc>
          <w:tcPr>
            <w:tcW w:w="1072"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5/</w:t>
            </w:r>
            <w:r>
              <w:rPr>
                <w:rFonts w:ascii="Times New Roman" w:eastAsia="宋体" w:hAnsi="Times New Roman" w:cs="Times New Roman"/>
                <w:color w:val="000000" w:themeColor="text1"/>
                <w:kern w:val="0"/>
                <w:sz w:val="21"/>
              </w:rPr>
              <w:t>套（罐区）</w:t>
            </w:r>
          </w:p>
        </w:tc>
      </w:tr>
      <w:tr w:rsidR="00C861DA">
        <w:trPr>
          <w:trHeight w:val="369"/>
          <w:jc w:val="center"/>
        </w:trPr>
        <w:tc>
          <w:tcPr>
            <w:tcW w:w="1696"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管道、港口</w:t>
            </w:r>
            <w:r>
              <w:rPr>
                <w:rFonts w:ascii="Times New Roman" w:eastAsia="宋体" w:hAnsi="Times New Roman" w:cs="Times New Roman"/>
                <w:color w:val="000000" w:themeColor="text1"/>
                <w:kern w:val="0"/>
                <w:sz w:val="21"/>
              </w:rPr>
              <w:t>/</w:t>
            </w:r>
            <w:r>
              <w:rPr>
                <w:rFonts w:ascii="Times New Roman" w:eastAsia="宋体" w:hAnsi="Times New Roman" w:cs="Times New Roman"/>
                <w:color w:val="000000" w:themeColor="text1"/>
                <w:kern w:val="0"/>
                <w:sz w:val="21"/>
              </w:rPr>
              <w:t>码头等</w:t>
            </w:r>
          </w:p>
        </w:tc>
        <w:tc>
          <w:tcPr>
            <w:tcW w:w="552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涉及危险物质管道运输项目、港口</w:t>
            </w:r>
            <w:r>
              <w:rPr>
                <w:rFonts w:ascii="Times New Roman" w:eastAsia="宋体" w:hAnsi="Times New Roman" w:cs="Times New Roman"/>
                <w:color w:val="000000" w:themeColor="text1"/>
                <w:kern w:val="0"/>
                <w:sz w:val="21"/>
              </w:rPr>
              <w:t>/</w:t>
            </w:r>
            <w:r>
              <w:rPr>
                <w:rFonts w:ascii="Times New Roman" w:eastAsia="宋体" w:hAnsi="Times New Roman" w:cs="Times New Roman"/>
                <w:color w:val="000000" w:themeColor="text1"/>
                <w:kern w:val="0"/>
                <w:sz w:val="21"/>
              </w:rPr>
              <w:t>码头等</w:t>
            </w:r>
          </w:p>
        </w:tc>
        <w:tc>
          <w:tcPr>
            <w:tcW w:w="1072"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10</w:t>
            </w:r>
          </w:p>
        </w:tc>
      </w:tr>
      <w:tr w:rsidR="00C861DA">
        <w:trPr>
          <w:trHeight w:val="369"/>
          <w:jc w:val="center"/>
        </w:trPr>
        <w:tc>
          <w:tcPr>
            <w:tcW w:w="1696"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石油天燃气</w:t>
            </w:r>
          </w:p>
        </w:tc>
        <w:tc>
          <w:tcPr>
            <w:tcW w:w="552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石油、天然气、页岩气开采（含净化），气库（不含加气站的气库），油库（不含加气站的油库）、有气管线</w:t>
            </w:r>
            <w:r>
              <w:rPr>
                <w:rFonts w:ascii="Times New Roman" w:eastAsia="宋体" w:hAnsi="Times New Roman" w:cs="Times New Roman"/>
                <w:color w:val="000000" w:themeColor="text1"/>
                <w:kern w:val="0"/>
                <w:sz w:val="21"/>
                <w:vertAlign w:val="superscript"/>
              </w:rPr>
              <w:t>b</w:t>
            </w:r>
            <w:r>
              <w:rPr>
                <w:rFonts w:ascii="Times New Roman" w:eastAsia="宋体" w:hAnsi="Times New Roman" w:cs="Times New Roman"/>
                <w:color w:val="000000" w:themeColor="text1"/>
                <w:kern w:val="0"/>
                <w:sz w:val="21"/>
              </w:rPr>
              <w:t>（不含城镇燃气管线）</w:t>
            </w:r>
          </w:p>
        </w:tc>
        <w:tc>
          <w:tcPr>
            <w:tcW w:w="1072"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10</w:t>
            </w:r>
          </w:p>
        </w:tc>
      </w:tr>
      <w:tr w:rsidR="00C861DA">
        <w:trPr>
          <w:trHeight w:val="369"/>
          <w:jc w:val="center"/>
        </w:trPr>
        <w:tc>
          <w:tcPr>
            <w:tcW w:w="1696"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其他</w:t>
            </w:r>
          </w:p>
        </w:tc>
        <w:tc>
          <w:tcPr>
            <w:tcW w:w="552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涉及危险物质使用、贮存的项目</w:t>
            </w:r>
          </w:p>
        </w:tc>
        <w:tc>
          <w:tcPr>
            <w:tcW w:w="1072"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5</w:t>
            </w:r>
          </w:p>
        </w:tc>
      </w:tr>
      <w:tr w:rsidR="00C861DA">
        <w:trPr>
          <w:trHeight w:val="369"/>
          <w:jc w:val="center"/>
        </w:trPr>
        <w:tc>
          <w:tcPr>
            <w:tcW w:w="8296" w:type="dxa"/>
            <w:gridSpan w:val="3"/>
            <w:vAlign w:val="center"/>
          </w:tcPr>
          <w:p w:rsidR="00C861DA" w:rsidRDefault="0044752E">
            <w:pPr>
              <w:pStyle w:val="afe"/>
              <w:pBdr>
                <w:bottom w:val="none" w:sz="0" w:space="0" w:color="auto"/>
              </w:pBdr>
              <w:jc w:val="left"/>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a</w:t>
            </w:r>
            <w:r>
              <w:rPr>
                <w:rFonts w:ascii="Times New Roman" w:eastAsia="宋体" w:hAnsi="Times New Roman" w:cs="Times New Roman"/>
                <w:color w:val="000000" w:themeColor="text1"/>
                <w:kern w:val="0"/>
                <w:sz w:val="21"/>
              </w:rPr>
              <w:t>高温指工艺温度</w:t>
            </w:r>
            <w:r>
              <w:rPr>
                <w:rFonts w:ascii="Times New Roman" w:eastAsia="宋体" w:hAnsi="Times New Roman" w:cs="Times New Roman"/>
                <w:color w:val="000000" w:themeColor="text1"/>
                <w:kern w:val="0"/>
                <w:sz w:val="21"/>
              </w:rPr>
              <w:t>≥300</w:t>
            </w:r>
            <w:r>
              <w:rPr>
                <w:rFonts w:ascii="宋体" w:eastAsia="宋体" w:hAnsi="宋体" w:cs="宋体" w:hint="eastAsia"/>
                <w:color w:val="000000" w:themeColor="text1"/>
                <w:kern w:val="0"/>
                <w:sz w:val="21"/>
              </w:rPr>
              <w:t>℃</w:t>
            </w:r>
            <w:r>
              <w:rPr>
                <w:rFonts w:ascii="Times New Roman" w:eastAsia="宋体" w:hAnsi="Times New Roman" w:cs="Times New Roman"/>
                <w:color w:val="000000" w:themeColor="text1"/>
                <w:kern w:val="0"/>
                <w:sz w:val="21"/>
              </w:rPr>
              <w:t>，高压指压力容器的设计压力（</w:t>
            </w:r>
            <w:r>
              <w:rPr>
                <w:rFonts w:ascii="Times New Roman" w:eastAsia="宋体" w:hAnsi="Times New Roman" w:cs="Times New Roman"/>
                <w:color w:val="000000" w:themeColor="text1"/>
                <w:kern w:val="0"/>
                <w:sz w:val="21"/>
              </w:rPr>
              <w:t>P</w:t>
            </w:r>
            <w:r>
              <w:rPr>
                <w:rFonts w:ascii="Times New Roman" w:eastAsia="宋体" w:hAnsi="Times New Roman" w:cs="Times New Roman"/>
                <w:color w:val="000000" w:themeColor="text1"/>
                <w:kern w:val="0"/>
                <w:sz w:val="21"/>
              </w:rPr>
              <w:t>）</w:t>
            </w:r>
            <w:r>
              <w:rPr>
                <w:rFonts w:ascii="Times New Roman" w:eastAsia="宋体" w:hAnsi="Times New Roman" w:cs="Times New Roman"/>
                <w:color w:val="000000" w:themeColor="text1"/>
                <w:kern w:val="0"/>
                <w:sz w:val="21"/>
              </w:rPr>
              <w:t>≥10.0MPa</w:t>
            </w:r>
            <w:r>
              <w:rPr>
                <w:rFonts w:ascii="Times New Roman" w:eastAsia="宋体" w:hAnsi="Times New Roman" w:cs="Times New Roman"/>
                <w:color w:val="000000" w:themeColor="text1"/>
                <w:kern w:val="0"/>
                <w:sz w:val="21"/>
              </w:rPr>
              <w:t>；</w:t>
            </w:r>
          </w:p>
          <w:p w:rsidR="00C861DA" w:rsidRDefault="0044752E">
            <w:pPr>
              <w:pStyle w:val="afe"/>
              <w:pBdr>
                <w:bottom w:val="none" w:sz="0" w:space="0" w:color="auto"/>
              </w:pBdr>
              <w:jc w:val="left"/>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b</w:t>
            </w:r>
            <w:r>
              <w:rPr>
                <w:rFonts w:ascii="Times New Roman" w:eastAsia="宋体" w:hAnsi="Times New Roman" w:cs="Times New Roman"/>
                <w:color w:val="000000" w:themeColor="text1"/>
                <w:kern w:val="0"/>
                <w:sz w:val="21"/>
              </w:rPr>
              <w:t>长输管道运输项目应按站场、管线分段进行评价。</w:t>
            </w:r>
          </w:p>
        </w:tc>
      </w:tr>
    </w:tbl>
    <w:p w:rsidR="00C861DA" w:rsidRDefault="0044752E">
      <w:pPr>
        <w:pStyle w:val="afe"/>
        <w:spacing w:beforeLines="50" w:before="156" w:line="360" w:lineRule="auto"/>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2</w:t>
      </w:r>
      <w:r>
        <w:rPr>
          <w:rFonts w:ascii="Times New Roman" w:eastAsia="宋体" w:hAnsi="Times New Roman" w:cs="Times New Roman"/>
          <w:b/>
          <w:color w:val="000000" w:themeColor="text1"/>
          <w:sz w:val="24"/>
        </w:rPr>
        <w:t xml:space="preserve">.6-11  </w:t>
      </w:r>
      <w:r>
        <w:rPr>
          <w:rFonts w:ascii="Times New Roman" w:eastAsia="宋体" w:hAnsi="Times New Roman" w:cs="Times New Roman" w:hint="eastAsia"/>
          <w:b/>
          <w:color w:val="000000" w:themeColor="text1"/>
          <w:sz w:val="24"/>
        </w:rPr>
        <w:t>建设项目</w:t>
      </w:r>
      <w:r>
        <w:rPr>
          <w:rFonts w:ascii="Times New Roman" w:eastAsia="宋体" w:hAnsi="Times New Roman" w:cs="Times New Roman" w:hint="eastAsia"/>
          <w:b/>
          <w:color w:val="000000" w:themeColor="text1"/>
          <w:sz w:val="24"/>
        </w:rPr>
        <w:t>M</w:t>
      </w:r>
      <w:r>
        <w:rPr>
          <w:rFonts w:ascii="Times New Roman" w:eastAsia="宋体" w:hAnsi="Times New Roman" w:cs="Times New Roman" w:hint="eastAsia"/>
          <w:b/>
          <w:color w:val="000000" w:themeColor="text1"/>
          <w:sz w:val="24"/>
        </w:rPr>
        <w:t>值确定表</w:t>
      </w:r>
    </w:p>
    <w:tbl>
      <w:tblPr>
        <w:tblStyle w:val="affa"/>
        <w:tblW w:w="8296" w:type="dxa"/>
        <w:jc w:val="center"/>
        <w:tblLayout w:type="fixed"/>
        <w:tblLook w:val="04A0" w:firstRow="1" w:lastRow="0" w:firstColumn="1" w:lastColumn="0" w:noHBand="0" w:noVBand="1"/>
      </w:tblPr>
      <w:tblGrid>
        <w:gridCol w:w="704"/>
        <w:gridCol w:w="2268"/>
        <w:gridCol w:w="2835"/>
        <w:gridCol w:w="1134"/>
        <w:gridCol w:w="1355"/>
      </w:tblGrid>
      <w:tr w:rsidR="00C861DA">
        <w:trPr>
          <w:trHeight w:val="369"/>
          <w:jc w:val="center"/>
        </w:trPr>
        <w:tc>
          <w:tcPr>
            <w:tcW w:w="704"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序号</w:t>
            </w:r>
          </w:p>
        </w:tc>
        <w:tc>
          <w:tcPr>
            <w:tcW w:w="226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工艺单元名称</w:t>
            </w:r>
          </w:p>
        </w:tc>
        <w:tc>
          <w:tcPr>
            <w:tcW w:w="283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生产工艺</w:t>
            </w:r>
          </w:p>
        </w:tc>
        <w:tc>
          <w:tcPr>
            <w:tcW w:w="1134"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数量</w:t>
            </w:r>
            <w:r>
              <w:rPr>
                <w:rFonts w:ascii="Times New Roman" w:eastAsia="宋体" w:hAnsi="Times New Roman" w:cs="Times New Roman" w:hint="eastAsia"/>
                <w:color w:val="000000" w:themeColor="text1"/>
                <w:kern w:val="0"/>
                <w:sz w:val="21"/>
              </w:rPr>
              <w:t>/</w:t>
            </w:r>
            <w:r>
              <w:rPr>
                <w:rFonts w:ascii="Times New Roman" w:eastAsia="宋体" w:hAnsi="Times New Roman" w:cs="Times New Roman" w:hint="eastAsia"/>
                <w:color w:val="000000" w:themeColor="text1"/>
                <w:kern w:val="0"/>
                <w:sz w:val="21"/>
              </w:rPr>
              <w:t>套</w:t>
            </w:r>
          </w:p>
        </w:tc>
        <w:tc>
          <w:tcPr>
            <w:tcW w:w="135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M</w:t>
            </w:r>
            <w:r>
              <w:rPr>
                <w:rFonts w:ascii="Times New Roman" w:eastAsia="宋体" w:hAnsi="Times New Roman" w:cs="Times New Roman" w:hint="eastAsia"/>
                <w:color w:val="000000" w:themeColor="text1"/>
                <w:kern w:val="0"/>
                <w:sz w:val="21"/>
              </w:rPr>
              <w:t>分值</w:t>
            </w:r>
          </w:p>
        </w:tc>
      </w:tr>
      <w:tr w:rsidR="00C861DA">
        <w:trPr>
          <w:trHeight w:val="369"/>
          <w:jc w:val="center"/>
        </w:trPr>
        <w:tc>
          <w:tcPr>
            <w:tcW w:w="704"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1</w:t>
            </w:r>
          </w:p>
        </w:tc>
        <w:tc>
          <w:tcPr>
            <w:tcW w:w="226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稀硝酸生产装置</w:t>
            </w:r>
          </w:p>
        </w:tc>
        <w:tc>
          <w:tcPr>
            <w:tcW w:w="283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液氨氧化间接生成硝酸</w:t>
            </w:r>
          </w:p>
        </w:tc>
        <w:tc>
          <w:tcPr>
            <w:tcW w:w="1134"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1</w:t>
            </w:r>
          </w:p>
        </w:tc>
        <w:tc>
          <w:tcPr>
            <w:tcW w:w="135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5</w:t>
            </w:r>
          </w:p>
        </w:tc>
      </w:tr>
      <w:tr w:rsidR="00C861DA">
        <w:trPr>
          <w:trHeight w:val="369"/>
          <w:jc w:val="center"/>
        </w:trPr>
        <w:tc>
          <w:tcPr>
            <w:tcW w:w="704"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2</w:t>
            </w:r>
          </w:p>
        </w:tc>
        <w:tc>
          <w:tcPr>
            <w:tcW w:w="226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硝酸铵生产装置</w:t>
            </w:r>
          </w:p>
        </w:tc>
        <w:tc>
          <w:tcPr>
            <w:tcW w:w="283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硝酸和液氨中和生成硝酸铵</w:t>
            </w:r>
          </w:p>
        </w:tc>
        <w:tc>
          <w:tcPr>
            <w:tcW w:w="1134"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1</w:t>
            </w:r>
          </w:p>
        </w:tc>
        <w:tc>
          <w:tcPr>
            <w:tcW w:w="135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5</w:t>
            </w:r>
          </w:p>
        </w:tc>
      </w:tr>
      <w:tr w:rsidR="00C861DA">
        <w:trPr>
          <w:trHeight w:val="369"/>
          <w:jc w:val="center"/>
        </w:trPr>
        <w:tc>
          <w:tcPr>
            <w:tcW w:w="704"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3</w:t>
            </w:r>
          </w:p>
        </w:tc>
        <w:tc>
          <w:tcPr>
            <w:tcW w:w="226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尿素合成塔</w:t>
            </w:r>
          </w:p>
        </w:tc>
        <w:tc>
          <w:tcPr>
            <w:tcW w:w="283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二氧化碳和液氨合成尿素</w:t>
            </w:r>
          </w:p>
        </w:tc>
        <w:tc>
          <w:tcPr>
            <w:tcW w:w="1134"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1</w:t>
            </w:r>
          </w:p>
        </w:tc>
        <w:tc>
          <w:tcPr>
            <w:tcW w:w="135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5</w:t>
            </w:r>
          </w:p>
        </w:tc>
      </w:tr>
      <w:tr w:rsidR="00C861DA">
        <w:trPr>
          <w:trHeight w:val="369"/>
          <w:jc w:val="center"/>
        </w:trPr>
        <w:tc>
          <w:tcPr>
            <w:tcW w:w="704"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4</w:t>
            </w:r>
          </w:p>
        </w:tc>
        <w:tc>
          <w:tcPr>
            <w:tcW w:w="226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液氨输送管道</w:t>
            </w:r>
          </w:p>
        </w:tc>
        <w:tc>
          <w:tcPr>
            <w:tcW w:w="283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管道输送</w:t>
            </w:r>
          </w:p>
        </w:tc>
        <w:tc>
          <w:tcPr>
            <w:tcW w:w="1134"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1</w:t>
            </w:r>
          </w:p>
        </w:tc>
        <w:tc>
          <w:tcPr>
            <w:tcW w:w="135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5</w:t>
            </w:r>
          </w:p>
        </w:tc>
      </w:tr>
      <w:tr w:rsidR="00C861DA">
        <w:trPr>
          <w:trHeight w:val="369"/>
          <w:jc w:val="center"/>
        </w:trPr>
        <w:tc>
          <w:tcPr>
            <w:tcW w:w="704" w:type="dxa"/>
            <w:vAlign w:val="center"/>
          </w:tcPr>
          <w:p w:rsidR="00C861DA" w:rsidRDefault="0044752E">
            <w:pPr>
              <w:pStyle w:val="afe"/>
              <w:pBdr>
                <w:bottom w:val="none" w:sz="0" w:space="0" w:color="auto"/>
              </w:pBdr>
              <w:jc w:val="both"/>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5</w:t>
            </w:r>
          </w:p>
        </w:tc>
        <w:tc>
          <w:tcPr>
            <w:tcW w:w="226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绿色有机硝基复合肥合成装置</w:t>
            </w:r>
          </w:p>
        </w:tc>
        <w:tc>
          <w:tcPr>
            <w:tcW w:w="283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熔融硝酸铵与有机质造粒</w:t>
            </w:r>
          </w:p>
        </w:tc>
        <w:tc>
          <w:tcPr>
            <w:tcW w:w="1134"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1</w:t>
            </w:r>
          </w:p>
        </w:tc>
        <w:tc>
          <w:tcPr>
            <w:tcW w:w="135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5</w:t>
            </w:r>
          </w:p>
        </w:tc>
      </w:tr>
      <w:tr w:rsidR="00C861DA">
        <w:trPr>
          <w:trHeight w:val="369"/>
          <w:jc w:val="center"/>
        </w:trPr>
        <w:tc>
          <w:tcPr>
            <w:tcW w:w="704" w:type="dxa"/>
            <w:vAlign w:val="center"/>
          </w:tcPr>
          <w:p w:rsidR="00C861DA" w:rsidRDefault="0044752E">
            <w:pPr>
              <w:pStyle w:val="afe"/>
              <w:pBdr>
                <w:bottom w:val="none" w:sz="0" w:space="0" w:color="auto"/>
              </w:pBdr>
              <w:jc w:val="both"/>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6</w:t>
            </w:r>
          </w:p>
        </w:tc>
        <w:tc>
          <w:tcPr>
            <w:tcW w:w="2268"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绿色有机尿基复合肥合成装置</w:t>
            </w:r>
          </w:p>
        </w:tc>
        <w:tc>
          <w:tcPr>
            <w:tcW w:w="283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尿素与有机质造粒</w:t>
            </w:r>
          </w:p>
        </w:tc>
        <w:tc>
          <w:tcPr>
            <w:tcW w:w="1134"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1</w:t>
            </w:r>
          </w:p>
        </w:tc>
        <w:tc>
          <w:tcPr>
            <w:tcW w:w="135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5</w:t>
            </w:r>
          </w:p>
        </w:tc>
      </w:tr>
      <w:tr w:rsidR="00C861DA">
        <w:trPr>
          <w:trHeight w:val="369"/>
          <w:jc w:val="center"/>
        </w:trPr>
        <w:tc>
          <w:tcPr>
            <w:tcW w:w="704" w:type="dxa"/>
            <w:vAlign w:val="center"/>
          </w:tcPr>
          <w:p w:rsidR="00C861DA" w:rsidRDefault="0044752E">
            <w:pPr>
              <w:pStyle w:val="afe"/>
              <w:pBdr>
                <w:bottom w:val="none" w:sz="0" w:space="0" w:color="auto"/>
              </w:pBdr>
              <w:jc w:val="both"/>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7</w:t>
            </w:r>
          </w:p>
        </w:tc>
        <w:tc>
          <w:tcPr>
            <w:tcW w:w="6237" w:type="dxa"/>
            <w:gridSpan w:val="3"/>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合计</w:t>
            </w:r>
          </w:p>
        </w:tc>
        <w:tc>
          <w:tcPr>
            <w:tcW w:w="1355"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3</w:t>
            </w:r>
            <w:r>
              <w:rPr>
                <w:rFonts w:ascii="Times New Roman" w:eastAsia="宋体" w:hAnsi="Times New Roman" w:cs="Times New Roman"/>
                <w:color w:val="000000" w:themeColor="text1"/>
                <w:kern w:val="0"/>
                <w:sz w:val="21"/>
              </w:rPr>
              <w:t>0</w:t>
            </w:r>
          </w:p>
        </w:tc>
      </w:tr>
    </w:tbl>
    <w:p w:rsidR="00C861DA" w:rsidRDefault="0044752E">
      <w:pPr>
        <w:pStyle w:val="afe"/>
        <w:spacing w:beforeLines="50" w:before="156"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根据上表，本项目</w:t>
      </w:r>
      <w:r>
        <w:rPr>
          <w:rFonts w:ascii="Times New Roman" w:eastAsia="宋体" w:hAnsi="Times New Roman" w:cs="Times New Roman" w:hint="eastAsia"/>
          <w:color w:val="000000" w:themeColor="text1"/>
          <w:sz w:val="24"/>
        </w:rPr>
        <w:t>M</w:t>
      </w:r>
      <w:r>
        <w:rPr>
          <w:rFonts w:ascii="Times New Roman" w:eastAsia="宋体" w:hAnsi="Times New Roman" w:cs="Times New Roman"/>
          <w:color w:val="000000" w:themeColor="text1"/>
          <w:sz w:val="24"/>
        </w:rPr>
        <w:t>=30</w:t>
      </w:r>
      <w:r>
        <w:rPr>
          <w:rFonts w:ascii="Times New Roman" w:eastAsia="宋体" w:hAnsi="Times New Roman" w:cs="Times New Roman" w:hint="eastAsia"/>
          <w:color w:val="000000" w:themeColor="text1"/>
          <w:sz w:val="24"/>
        </w:rPr>
        <w:t>，划分为</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20</w:t>
      </w:r>
      <w:r>
        <w:rPr>
          <w:rFonts w:ascii="Times New Roman" w:eastAsia="宋体" w:hAnsi="Times New Roman" w:cs="Times New Roman" w:hint="eastAsia"/>
          <w:color w:val="000000" w:themeColor="text1"/>
          <w:sz w:val="24"/>
        </w:rPr>
        <w:t>，即</w:t>
      </w:r>
      <w:r>
        <w:rPr>
          <w:rFonts w:ascii="Times New Roman" w:eastAsia="宋体" w:hAnsi="Times New Roman" w:cs="Times New Roman" w:hint="eastAsia"/>
          <w:color w:val="000000" w:themeColor="text1"/>
          <w:sz w:val="24"/>
        </w:rPr>
        <w:t>M</w:t>
      </w:r>
      <w:r>
        <w:rPr>
          <w:rFonts w:ascii="Times New Roman" w:eastAsia="宋体" w:hAnsi="Times New Roman" w:cs="Times New Roman"/>
          <w:color w:val="000000" w:themeColor="text1"/>
          <w:sz w:val="24"/>
        </w:rPr>
        <w:t>1</w:t>
      </w:r>
      <w:r>
        <w:rPr>
          <w:rFonts w:ascii="Times New Roman" w:eastAsia="宋体" w:hAnsi="Times New Roman" w:cs="Times New Roman" w:hint="eastAsia"/>
          <w:color w:val="000000" w:themeColor="text1"/>
          <w:sz w:val="24"/>
        </w:rPr>
        <w:t>。</w:t>
      </w:r>
    </w:p>
    <w:p w:rsidR="00C861DA" w:rsidRDefault="0044752E">
      <w:pPr>
        <w:pStyle w:val="afe"/>
        <w:spacing w:beforeLines="50" w:before="156" w:line="360" w:lineRule="auto"/>
        <w:ind w:firstLineChars="200" w:firstLine="482"/>
        <w:jc w:val="both"/>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E</w:t>
      </w:r>
      <w:r>
        <w:rPr>
          <w:rFonts w:ascii="Times New Roman" w:eastAsia="宋体" w:hAnsi="Times New Roman" w:cs="Times New Roman" w:hint="eastAsia"/>
          <w:b/>
          <w:color w:val="000000" w:themeColor="text1"/>
          <w:sz w:val="24"/>
        </w:rPr>
        <w:t>、环境敏感程度分级</w:t>
      </w:r>
    </w:p>
    <w:p w:rsidR="00C861DA" w:rsidRDefault="0044752E">
      <w:pPr>
        <w:pStyle w:val="afe"/>
        <w:spacing w:beforeLines="50" w:before="156"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本项目主要涉及的换进敏感目标为大气环境敏感目标，其分级原则如下：</w:t>
      </w:r>
    </w:p>
    <w:p w:rsidR="00C861DA" w:rsidRDefault="0044752E">
      <w:pPr>
        <w:pStyle w:val="afe"/>
        <w:spacing w:beforeLines="50" w:before="156"/>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2</w:t>
      </w:r>
      <w:r>
        <w:rPr>
          <w:rFonts w:ascii="Times New Roman" w:eastAsia="宋体" w:hAnsi="Times New Roman" w:cs="Times New Roman"/>
          <w:b/>
          <w:color w:val="000000" w:themeColor="text1"/>
          <w:sz w:val="24"/>
        </w:rPr>
        <w:t>.6-11</w:t>
      </w:r>
      <w:r>
        <w:rPr>
          <w:rFonts w:ascii="Times New Roman" w:eastAsia="宋体" w:hAnsi="Times New Roman" w:cs="Times New Roman" w:hint="eastAsia"/>
          <w:b/>
          <w:color w:val="000000" w:themeColor="text1"/>
          <w:sz w:val="24"/>
        </w:rPr>
        <w:t xml:space="preserve"> </w:t>
      </w:r>
      <w:r>
        <w:rPr>
          <w:rFonts w:ascii="Times New Roman" w:eastAsia="宋体" w:hAnsi="Times New Roman" w:cs="Times New Roman"/>
          <w:b/>
          <w:color w:val="000000" w:themeColor="text1"/>
          <w:sz w:val="24"/>
        </w:rPr>
        <w:t xml:space="preserve"> </w:t>
      </w:r>
      <w:r>
        <w:rPr>
          <w:rFonts w:ascii="Times New Roman" w:eastAsia="宋体" w:hAnsi="Times New Roman" w:cs="Times New Roman" w:hint="eastAsia"/>
          <w:b/>
          <w:color w:val="000000" w:themeColor="text1"/>
          <w:sz w:val="24"/>
        </w:rPr>
        <w:t>大气环境敏感程度分级</w:t>
      </w:r>
    </w:p>
    <w:tbl>
      <w:tblPr>
        <w:tblStyle w:val="affa"/>
        <w:tblW w:w="8296" w:type="dxa"/>
        <w:jc w:val="center"/>
        <w:tblLayout w:type="fixed"/>
        <w:tblLook w:val="04A0" w:firstRow="1" w:lastRow="0" w:firstColumn="1" w:lastColumn="0" w:noHBand="0" w:noVBand="1"/>
      </w:tblPr>
      <w:tblGrid>
        <w:gridCol w:w="988"/>
        <w:gridCol w:w="7308"/>
      </w:tblGrid>
      <w:tr w:rsidR="00C861DA">
        <w:trPr>
          <w:trHeight w:val="369"/>
          <w:jc w:val="center"/>
        </w:trPr>
        <w:tc>
          <w:tcPr>
            <w:tcW w:w="988" w:type="dxa"/>
            <w:vAlign w:val="center"/>
          </w:tcPr>
          <w:p w:rsidR="00C861DA" w:rsidRDefault="0044752E">
            <w:pPr>
              <w:pStyle w:val="afe"/>
              <w:pBdr>
                <w:bottom w:val="none" w:sz="0" w:space="0" w:color="auto"/>
              </w:pBdr>
              <w:spacing w:beforeLines="50" w:before="156"/>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分级</w:t>
            </w:r>
          </w:p>
        </w:tc>
        <w:tc>
          <w:tcPr>
            <w:tcW w:w="7308" w:type="dxa"/>
            <w:vAlign w:val="center"/>
          </w:tcPr>
          <w:p w:rsidR="00C861DA" w:rsidRDefault="0044752E">
            <w:pPr>
              <w:pStyle w:val="afe"/>
              <w:pBdr>
                <w:bottom w:val="none" w:sz="0" w:space="0" w:color="auto"/>
              </w:pBdr>
              <w:spacing w:beforeLines="50" w:before="156"/>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大气环境敏感性</w:t>
            </w:r>
          </w:p>
        </w:tc>
      </w:tr>
      <w:tr w:rsidR="00C861DA">
        <w:trPr>
          <w:trHeight w:val="369"/>
          <w:jc w:val="center"/>
        </w:trPr>
        <w:tc>
          <w:tcPr>
            <w:tcW w:w="988" w:type="dxa"/>
            <w:vAlign w:val="center"/>
          </w:tcPr>
          <w:p w:rsidR="00C861DA" w:rsidRDefault="0044752E">
            <w:pPr>
              <w:pStyle w:val="afe"/>
              <w:pBdr>
                <w:bottom w:val="none" w:sz="0" w:space="0" w:color="auto"/>
              </w:pBdr>
              <w:spacing w:beforeLines="50" w:before="156"/>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E</w:t>
            </w:r>
            <w:r>
              <w:rPr>
                <w:rFonts w:ascii="Times New Roman" w:eastAsia="宋体" w:hAnsi="Times New Roman" w:cs="Times New Roman"/>
                <w:color w:val="000000" w:themeColor="text1"/>
                <w:kern w:val="0"/>
                <w:sz w:val="21"/>
              </w:rPr>
              <w:t>1</w:t>
            </w:r>
          </w:p>
        </w:tc>
        <w:tc>
          <w:tcPr>
            <w:tcW w:w="7308" w:type="dxa"/>
            <w:vAlign w:val="center"/>
          </w:tcPr>
          <w:p w:rsidR="00C861DA" w:rsidRDefault="0044752E">
            <w:pPr>
              <w:pStyle w:val="afe"/>
              <w:pBdr>
                <w:bottom w:val="none" w:sz="0" w:space="0" w:color="auto"/>
              </w:pBdr>
              <w:spacing w:beforeLines="50" w:before="156"/>
              <w:jc w:val="both"/>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周边</w:t>
            </w:r>
            <w:r>
              <w:rPr>
                <w:rFonts w:ascii="Times New Roman" w:eastAsia="宋体" w:hAnsi="Times New Roman" w:cs="Times New Roman" w:hint="eastAsia"/>
                <w:color w:val="000000" w:themeColor="text1"/>
                <w:kern w:val="0"/>
                <w:sz w:val="21"/>
              </w:rPr>
              <w:t>5</w:t>
            </w:r>
            <w:r>
              <w:rPr>
                <w:rFonts w:ascii="Times New Roman" w:eastAsia="宋体" w:hAnsi="Times New Roman" w:cs="Times New Roman"/>
                <w:color w:val="000000" w:themeColor="text1"/>
                <w:kern w:val="0"/>
                <w:sz w:val="21"/>
              </w:rPr>
              <w:t>km</w:t>
            </w:r>
            <w:r>
              <w:rPr>
                <w:rFonts w:ascii="Times New Roman" w:eastAsia="宋体" w:hAnsi="Times New Roman" w:cs="Times New Roman" w:hint="eastAsia"/>
                <w:color w:val="000000" w:themeColor="text1"/>
                <w:kern w:val="0"/>
                <w:sz w:val="21"/>
              </w:rPr>
              <w:t>范围内居住区、医疗卫生、文化教育、科研、行政办公等机构人口总数大于</w:t>
            </w:r>
            <w:r>
              <w:rPr>
                <w:rFonts w:ascii="Times New Roman" w:eastAsia="宋体" w:hAnsi="Times New Roman" w:cs="Times New Roman" w:hint="eastAsia"/>
                <w:color w:val="000000" w:themeColor="text1"/>
                <w:kern w:val="0"/>
                <w:sz w:val="21"/>
              </w:rPr>
              <w:t>5</w:t>
            </w:r>
            <w:r>
              <w:rPr>
                <w:rFonts w:ascii="Times New Roman" w:eastAsia="宋体" w:hAnsi="Times New Roman" w:cs="Times New Roman" w:hint="eastAsia"/>
                <w:color w:val="000000" w:themeColor="text1"/>
                <w:kern w:val="0"/>
                <w:sz w:val="21"/>
              </w:rPr>
              <w:t>万人，或其他需要特殊保护区域；或周边</w:t>
            </w:r>
            <w:r>
              <w:rPr>
                <w:rFonts w:ascii="Times New Roman" w:eastAsia="宋体" w:hAnsi="Times New Roman" w:cs="Times New Roman" w:hint="eastAsia"/>
                <w:color w:val="000000" w:themeColor="text1"/>
                <w:kern w:val="0"/>
                <w:sz w:val="21"/>
              </w:rPr>
              <w:t>5</w:t>
            </w:r>
            <w:r>
              <w:rPr>
                <w:rFonts w:ascii="Times New Roman" w:eastAsia="宋体" w:hAnsi="Times New Roman" w:cs="Times New Roman"/>
                <w:color w:val="000000" w:themeColor="text1"/>
                <w:kern w:val="0"/>
                <w:sz w:val="21"/>
              </w:rPr>
              <w:t>00m</w:t>
            </w:r>
            <w:r>
              <w:rPr>
                <w:rFonts w:ascii="Times New Roman" w:eastAsia="宋体" w:hAnsi="Times New Roman" w:cs="Times New Roman" w:hint="eastAsia"/>
                <w:color w:val="000000" w:themeColor="text1"/>
                <w:kern w:val="0"/>
                <w:sz w:val="21"/>
              </w:rPr>
              <w:t>范围内人口总数大于</w:t>
            </w:r>
            <w:r>
              <w:rPr>
                <w:rFonts w:ascii="Times New Roman" w:eastAsia="宋体" w:hAnsi="Times New Roman" w:cs="Times New Roman" w:hint="eastAsia"/>
                <w:color w:val="000000" w:themeColor="text1"/>
                <w:kern w:val="0"/>
                <w:sz w:val="21"/>
              </w:rPr>
              <w:t>1</w:t>
            </w:r>
            <w:r>
              <w:rPr>
                <w:rFonts w:ascii="Times New Roman" w:eastAsia="宋体" w:hAnsi="Times New Roman" w:cs="Times New Roman"/>
                <w:color w:val="000000" w:themeColor="text1"/>
                <w:kern w:val="0"/>
                <w:sz w:val="21"/>
              </w:rPr>
              <w:t>000</w:t>
            </w:r>
            <w:r>
              <w:rPr>
                <w:rFonts w:ascii="Times New Roman" w:eastAsia="宋体" w:hAnsi="Times New Roman" w:cs="Times New Roman" w:hint="eastAsia"/>
                <w:color w:val="000000" w:themeColor="text1"/>
                <w:kern w:val="0"/>
                <w:sz w:val="21"/>
              </w:rPr>
              <w:t>人；油气、化学品输送管线管段周边</w:t>
            </w:r>
            <w:r>
              <w:rPr>
                <w:rFonts w:ascii="Times New Roman" w:eastAsia="宋体" w:hAnsi="Times New Roman" w:cs="Times New Roman" w:hint="eastAsia"/>
                <w:color w:val="000000" w:themeColor="text1"/>
                <w:kern w:val="0"/>
                <w:sz w:val="21"/>
              </w:rPr>
              <w:t>2</w:t>
            </w:r>
            <w:r>
              <w:rPr>
                <w:rFonts w:ascii="Times New Roman" w:eastAsia="宋体" w:hAnsi="Times New Roman" w:cs="Times New Roman"/>
                <w:color w:val="000000" w:themeColor="text1"/>
                <w:kern w:val="0"/>
                <w:sz w:val="21"/>
              </w:rPr>
              <w:t>00m</w:t>
            </w:r>
            <w:r>
              <w:rPr>
                <w:rFonts w:ascii="Times New Roman" w:eastAsia="宋体" w:hAnsi="Times New Roman" w:cs="Times New Roman" w:hint="eastAsia"/>
                <w:color w:val="000000" w:themeColor="text1"/>
                <w:kern w:val="0"/>
                <w:sz w:val="21"/>
              </w:rPr>
              <w:t>范围内，每千米管段人口数大于</w:t>
            </w:r>
            <w:r>
              <w:rPr>
                <w:rFonts w:ascii="Times New Roman" w:eastAsia="宋体" w:hAnsi="Times New Roman" w:cs="Times New Roman" w:hint="eastAsia"/>
                <w:color w:val="000000" w:themeColor="text1"/>
                <w:kern w:val="0"/>
                <w:sz w:val="21"/>
              </w:rPr>
              <w:t>2</w:t>
            </w:r>
            <w:r>
              <w:rPr>
                <w:rFonts w:ascii="Times New Roman" w:eastAsia="宋体" w:hAnsi="Times New Roman" w:cs="Times New Roman"/>
                <w:color w:val="000000" w:themeColor="text1"/>
                <w:kern w:val="0"/>
                <w:sz w:val="21"/>
              </w:rPr>
              <w:t>00</w:t>
            </w:r>
            <w:r>
              <w:rPr>
                <w:rFonts w:ascii="Times New Roman" w:eastAsia="宋体" w:hAnsi="Times New Roman" w:cs="Times New Roman" w:hint="eastAsia"/>
                <w:color w:val="000000" w:themeColor="text1"/>
                <w:kern w:val="0"/>
                <w:sz w:val="21"/>
              </w:rPr>
              <w:t>人。</w:t>
            </w:r>
          </w:p>
        </w:tc>
      </w:tr>
      <w:tr w:rsidR="00C861DA">
        <w:trPr>
          <w:trHeight w:val="369"/>
          <w:jc w:val="center"/>
        </w:trPr>
        <w:tc>
          <w:tcPr>
            <w:tcW w:w="988" w:type="dxa"/>
            <w:vAlign w:val="center"/>
          </w:tcPr>
          <w:p w:rsidR="00C861DA" w:rsidRDefault="0044752E">
            <w:pPr>
              <w:pStyle w:val="afe"/>
              <w:pBdr>
                <w:bottom w:val="none" w:sz="0" w:space="0" w:color="auto"/>
              </w:pBdr>
              <w:spacing w:beforeLines="50" w:before="156"/>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E</w:t>
            </w:r>
            <w:r>
              <w:rPr>
                <w:rFonts w:ascii="Times New Roman" w:eastAsia="宋体" w:hAnsi="Times New Roman" w:cs="Times New Roman"/>
                <w:color w:val="000000" w:themeColor="text1"/>
                <w:kern w:val="0"/>
                <w:sz w:val="21"/>
              </w:rPr>
              <w:t>2</w:t>
            </w:r>
          </w:p>
        </w:tc>
        <w:tc>
          <w:tcPr>
            <w:tcW w:w="7308" w:type="dxa"/>
            <w:vAlign w:val="center"/>
          </w:tcPr>
          <w:p w:rsidR="00C861DA" w:rsidRDefault="0044752E">
            <w:pPr>
              <w:pStyle w:val="afe"/>
              <w:pBdr>
                <w:bottom w:val="none" w:sz="0" w:space="0" w:color="auto"/>
              </w:pBdr>
              <w:spacing w:beforeLines="50" w:before="156"/>
              <w:jc w:val="both"/>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周边</w:t>
            </w:r>
            <w:r>
              <w:rPr>
                <w:rFonts w:ascii="Times New Roman" w:eastAsia="宋体" w:hAnsi="Times New Roman" w:cs="Times New Roman" w:hint="eastAsia"/>
                <w:color w:val="000000" w:themeColor="text1"/>
                <w:kern w:val="0"/>
                <w:sz w:val="21"/>
              </w:rPr>
              <w:t>5</w:t>
            </w:r>
            <w:r>
              <w:rPr>
                <w:rFonts w:ascii="Times New Roman" w:eastAsia="宋体" w:hAnsi="Times New Roman" w:cs="Times New Roman"/>
                <w:color w:val="000000" w:themeColor="text1"/>
                <w:kern w:val="0"/>
                <w:sz w:val="21"/>
              </w:rPr>
              <w:t>km</w:t>
            </w:r>
            <w:r>
              <w:rPr>
                <w:rFonts w:ascii="Times New Roman" w:eastAsia="宋体" w:hAnsi="Times New Roman" w:cs="Times New Roman" w:hint="eastAsia"/>
                <w:color w:val="000000" w:themeColor="text1"/>
                <w:kern w:val="0"/>
                <w:sz w:val="21"/>
              </w:rPr>
              <w:t>范围内居住区、医疗卫生、文化教育、科研、行政办公等机构人口总数大于</w:t>
            </w:r>
            <w:r>
              <w:rPr>
                <w:rFonts w:ascii="Times New Roman" w:eastAsia="宋体" w:hAnsi="Times New Roman" w:cs="Times New Roman"/>
                <w:color w:val="000000" w:themeColor="text1"/>
                <w:kern w:val="0"/>
                <w:sz w:val="21"/>
              </w:rPr>
              <w:t>1</w:t>
            </w:r>
            <w:r>
              <w:rPr>
                <w:rFonts w:ascii="Times New Roman" w:eastAsia="宋体" w:hAnsi="Times New Roman" w:cs="Times New Roman" w:hint="eastAsia"/>
                <w:color w:val="000000" w:themeColor="text1"/>
                <w:kern w:val="0"/>
                <w:sz w:val="21"/>
              </w:rPr>
              <w:t>万人，小于</w:t>
            </w:r>
            <w:r>
              <w:rPr>
                <w:rFonts w:ascii="Times New Roman" w:eastAsia="宋体" w:hAnsi="Times New Roman" w:cs="Times New Roman" w:hint="eastAsia"/>
                <w:color w:val="000000" w:themeColor="text1"/>
                <w:kern w:val="0"/>
                <w:sz w:val="21"/>
              </w:rPr>
              <w:t>5</w:t>
            </w:r>
            <w:r>
              <w:rPr>
                <w:rFonts w:ascii="Times New Roman" w:eastAsia="宋体" w:hAnsi="Times New Roman" w:cs="Times New Roman" w:hint="eastAsia"/>
                <w:color w:val="000000" w:themeColor="text1"/>
                <w:kern w:val="0"/>
                <w:sz w:val="21"/>
              </w:rPr>
              <w:t>万人，或周边</w:t>
            </w:r>
            <w:r>
              <w:rPr>
                <w:rFonts w:ascii="Times New Roman" w:eastAsia="宋体" w:hAnsi="Times New Roman" w:cs="Times New Roman" w:hint="eastAsia"/>
                <w:color w:val="000000" w:themeColor="text1"/>
                <w:kern w:val="0"/>
                <w:sz w:val="21"/>
              </w:rPr>
              <w:t>5</w:t>
            </w:r>
            <w:r>
              <w:rPr>
                <w:rFonts w:ascii="Times New Roman" w:eastAsia="宋体" w:hAnsi="Times New Roman" w:cs="Times New Roman"/>
                <w:color w:val="000000" w:themeColor="text1"/>
                <w:kern w:val="0"/>
                <w:sz w:val="21"/>
              </w:rPr>
              <w:t>00m</w:t>
            </w:r>
            <w:r>
              <w:rPr>
                <w:rFonts w:ascii="Times New Roman" w:eastAsia="宋体" w:hAnsi="Times New Roman" w:cs="Times New Roman" w:hint="eastAsia"/>
                <w:color w:val="000000" w:themeColor="text1"/>
                <w:kern w:val="0"/>
                <w:sz w:val="21"/>
              </w:rPr>
              <w:t>范围内人口总数大于</w:t>
            </w:r>
            <w:r>
              <w:rPr>
                <w:rFonts w:ascii="Times New Roman" w:eastAsia="宋体" w:hAnsi="Times New Roman" w:cs="Times New Roman"/>
                <w:color w:val="000000" w:themeColor="text1"/>
                <w:kern w:val="0"/>
                <w:sz w:val="21"/>
              </w:rPr>
              <w:t>500</w:t>
            </w:r>
            <w:r>
              <w:rPr>
                <w:rFonts w:ascii="Times New Roman" w:eastAsia="宋体" w:hAnsi="Times New Roman" w:cs="Times New Roman" w:hint="eastAsia"/>
                <w:color w:val="000000" w:themeColor="text1"/>
                <w:kern w:val="0"/>
                <w:sz w:val="21"/>
              </w:rPr>
              <w:t>人，小于</w:t>
            </w:r>
            <w:r>
              <w:rPr>
                <w:rFonts w:ascii="Times New Roman" w:eastAsia="宋体" w:hAnsi="Times New Roman" w:cs="Times New Roman" w:hint="eastAsia"/>
                <w:color w:val="000000" w:themeColor="text1"/>
                <w:kern w:val="0"/>
                <w:sz w:val="21"/>
              </w:rPr>
              <w:t>1</w:t>
            </w:r>
            <w:r>
              <w:rPr>
                <w:rFonts w:ascii="Times New Roman" w:eastAsia="宋体" w:hAnsi="Times New Roman" w:cs="Times New Roman"/>
                <w:color w:val="000000" w:themeColor="text1"/>
                <w:kern w:val="0"/>
                <w:sz w:val="21"/>
              </w:rPr>
              <w:t>000</w:t>
            </w:r>
            <w:r>
              <w:rPr>
                <w:rFonts w:ascii="Times New Roman" w:eastAsia="宋体" w:hAnsi="Times New Roman" w:cs="Times New Roman" w:hint="eastAsia"/>
                <w:color w:val="000000" w:themeColor="text1"/>
                <w:kern w:val="0"/>
                <w:sz w:val="21"/>
              </w:rPr>
              <w:t>人；油气、化学品输送管线管段周边</w:t>
            </w:r>
            <w:r>
              <w:rPr>
                <w:rFonts w:ascii="Times New Roman" w:eastAsia="宋体" w:hAnsi="Times New Roman" w:cs="Times New Roman" w:hint="eastAsia"/>
                <w:color w:val="000000" w:themeColor="text1"/>
                <w:kern w:val="0"/>
                <w:sz w:val="21"/>
              </w:rPr>
              <w:t>2</w:t>
            </w:r>
            <w:r>
              <w:rPr>
                <w:rFonts w:ascii="Times New Roman" w:eastAsia="宋体" w:hAnsi="Times New Roman" w:cs="Times New Roman"/>
                <w:color w:val="000000" w:themeColor="text1"/>
                <w:kern w:val="0"/>
                <w:sz w:val="21"/>
              </w:rPr>
              <w:t>00m</w:t>
            </w:r>
            <w:r>
              <w:rPr>
                <w:rFonts w:ascii="Times New Roman" w:eastAsia="宋体" w:hAnsi="Times New Roman" w:cs="Times New Roman" w:hint="eastAsia"/>
                <w:color w:val="000000" w:themeColor="text1"/>
                <w:kern w:val="0"/>
                <w:sz w:val="21"/>
              </w:rPr>
              <w:t>范围内，每千米管段人口数大于</w:t>
            </w:r>
            <w:r>
              <w:rPr>
                <w:rFonts w:ascii="Times New Roman" w:eastAsia="宋体" w:hAnsi="Times New Roman" w:cs="Times New Roman"/>
                <w:color w:val="000000" w:themeColor="text1"/>
                <w:kern w:val="0"/>
                <w:sz w:val="21"/>
              </w:rPr>
              <w:t>100</w:t>
            </w:r>
            <w:r>
              <w:rPr>
                <w:rFonts w:ascii="Times New Roman" w:eastAsia="宋体" w:hAnsi="Times New Roman" w:cs="Times New Roman" w:hint="eastAsia"/>
                <w:color w:val="000000" w:themeColor="text1"/>
                <w:kern w:val="0"/>
                <w:sz w:val="21"/>
              </w:rPr>
              <w:t>人，小于</w:t>
            </w:r>
            <w:r>
              <w:rPr>
                <w:rFonts w:ascii="Times New Roman" w:eastAsia="宋体" w:hAnsi="Times New Roman" w:cs="Times New Roman" w:hint="eastAsia"/>
                <w:color w:val="000000" w:themeColor="text1"/>
                <w:kern w:val="0"/>
                <w:sz w:val="21"/>
              </w:rPr>
              <w:t>2</w:t>
            </w:r>
            <w:r>
              <w:rPr>
                <w:rFonts w:ascii="Times New Roman" w:eastAsia="宋体" w:hAnsi="Times New Roman" w:cs="Times New Roman"/>
                <w:color w:val="000000" w:themeColor="text1"/>
                <w:kern w:val="0"/>
                <w:sz w:val="21"/>
              </w:rPr>
              <w:t>00</w:t>
            </w:r>
            <w:r>
              <w:rPr>
                <w:rFonts w:ascii="Times New Roman" w:eastAsia="宋体" w:hAnsi="Times New Roman" w:cs="Times New Roman" w:hint="eastAsia"/>
                <w:color w:val="000000" w:themeColor="text1"/>
                <w:kern w:val="0"/>
                <w:sz w:val="21"/>
              </w:rPr>
              <w:t>人</w:t>
            </w:r>
          </w:p>
        </w:tc>
      </w:tr>
      <w:tr w:rsidR="00C861DA">
        <w:trPr>
          <w:trHeight w:val="369"/>
          <w:jc w:val="center"/>
        </w:trPr>
        <w:tc>
          <w:tcPr>
            <w:tcW w:w="988" w:type="dxa"/>
            <w:vAlign w:val="center"/>
          </w:tcPr>
          <w:p w:rsidR="00C861DA" w:rsidRDefault="0044752E">
            <w:pPr>
              <w:pStyle w:val="afe"/>
              <w:pBdr>
                <w:bottom w:val="none" w:sz="0" w:space="0" w:color="auto"/>
              </w:pBdr>
              <w:spacing w:beforeLines="50" w:before="156"/>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E</w:t>
            </w:r>
            <w:r>
              <w:rPr>
                <w:rFonts w:ascii="Times New Roman" w:eastAsia="宋体" w:hAnsi="Times New Roman" w:cs="Times New Roman"/>
                <w:color w:val="000000" w:themeColor="text1"/>
                <w:kern w:val="0"/>
                <w:sz w:val="21"/>
              </w:rPr>
              <w:t>3</w:t>
            </w:r>
          </w:p>
        </w:tc>
        <w:tc>
          <w:tcPr>
            <w:tcW w:w="7308" w:type="dxa"/>
            <w:vAlign w:val="center"/>
          </w:tcPr>
          <w:p w:rsidR="00C861DA" w:rsidRDefault="0044752E">
            <w:pPr>
              <w:pStyle w:val="afe"/>
              <w:pBdr>
                <w:bottom w:val="none" w:sz="0" w:space="0" w:color="auto"/>
              </w:pBdr>
              <w:spacing w:beforeLines="50" w:before="156"/>
              <w:jc w:val="both"/>
              <w:rPr>
                <w:rFonts w:ascii="Times New Roman" w:eastAsia="宋体" w:hAnsi="Times New Roman" w:cs="Times New Roman"/>
                <w:color w:val="000000" w:themeColor="text1"/>
                <w:kern w:val="0"/>
                <w:sz w:val="21"/>
              </w:rPr>
            </w:pPr>
            <w:r>
              <w:rPr>
                <w:rFonts w:ascii="Times New Roman" w:eastAsia="宋体" w:hAnsi="Times New Roman" w:cs="Times New Roman" w:hint="eastAsia"/>
                <w:color w:val="000000" w:themeColor="text1"/>
                <w:kern w:val="0"/>
                <w:sz w:val="21"/>
              </w:rPr>
              <w:t>周边</w:t>
            </w:r>
            <w:r>
              <w:rPr>
                <w:rFonts w:ascii="Times New Roman" w:eastAsia="宋体" w:hAnsi="Times New Roman" w:cs="Times New Roman" w:hint="eastAsia"/>
                <w:color w:val="000000" w:themeColor="text1"/>
                <w:kern w:val="0"/>
                <w:sz w:val="21"/>
              </w:rPr>
              <w:t>5</w:t>
            </w:r>
            <w:r>
              <w:rPr>
                <w:rFonts w:ascii="Times New Roman" w:eastAsia="宋体" w:hAnsi="Times New Roman" w:cs="Times New Roman"/>
                <w:color w:val="000000" w:themeColor="text1"/>
                <w:kern w:val="0"/>
                <w:sz w:val="21"/>
              </w:rPr>
              <w:t>km</w:t>
            </w:r>
            <w:r>
              <w:rPr>
                <w:rFonts w:ascii="Times New Roman" w:eastAsia="宋体" w:hAnsi="Times New Roman" w:cs="Times New Roman" w:hint="eastAsia"/>
                <w:color w:val="000000" w:themeColor="text1"/>
                <w:kern w:val="0"/>
                <w:sz w:val="21"/>
              </w:rPr>
              <w:t>范围内居住区、医疗卫生、文化教育、科研、行政办公等机构人口总数小于</w:t>
            </w:r>
            <w:r>
              <w:rPr>
                <w:rFonts w:ascii="Times New Roman" w:eastAsia="宋体" w:hAnsi="Times New Roman" w:cs="Times New Roman"/>
                <w:color w:val="000000" w:themeColor="text1"/>
                <w:kern w:val="0"/>
                <w:sz w:val="21"/>
              </w:rPr>
              <w:t>1</w:t>
            </w:r>
            <w:r>
              <w:rPr>
                <w:rFonts w:ascii="Times New Roman" w:eastAsia="宋体" w:hAnsi="Times New Roman" w:cs="Times New Roman" w:hint="eastAsia"/>
                <w:color w:val="000000" w:themeColor="text1"/>
                <w:kern w:val="0"/>
                <w:sz w:val="21"/>
              </w:rPr>
              <w:t>万人，或周边</w:t>
            </w:r>
            <w:r>
              <w:rPr>
                <w:rFonts w:ascii="Times New Roman" w:eastAsia="宋体" w:hAnsi="Times New Roman" w:cs="Times New Roman" w:hint="eastAsia"/>
                <w:color w:val="000000" w:themeColor="text1"/>
                <w:kern w:val="0"/>
                <w:sz w:val="21"/>
              </w:rPr>
              <w:t>5</w:t>
            </w:r>
            <w:r>
              <w:rPr>
                <w:rFonts w:ascii="Times New Roman" w:eastAsia="宋体" w:hAnsi="Times New Roman" w:cs="Times New Roman"/>
                <w:color w:val="000000" w:themeColor="text1"/>
                <w:kern w:val="0"/>
                <w:sz w:val="21"/>
              </w:rPr>
              <w:t>00m</w:t>
            </w:r>
            <w:r>
              <w:rPr>
                <w:rFonts w:ascii="Times New Roman" w:eastAsia="宋体" w:hAnsi="Times New Roman" w:cs="Times New Roman" w:hint="eastAsia"/>
                <w:color w:val="000000" w:themeColor="text1"/>
                <w:kern w:val="0"/>
                <w:sz w:val="21"/>
              </w:rPr>
              <w:t>范围内人口总数小于</w:t>
            </w:r>
            <w:r>
              <w:rPr>
                <w:rFonts w:ascii="Times New Roman" w:eastAsia="宋体" w:hAnsi="Times New Roman" w:cs="Times New Roman"/>
                <w:color w:val="000000" w:themeColor="text1"/>
                <w:kern w:val="0"/>
                <w:sz w:val="21"/>
              </w:rPr>
              <w:t>500</w:t>
            </w:r>
            <w:r>
              <w:rPr>
                <w:rFonts w:ascii="Times New Roman" w:eastAsia="宋体" w:hAnsi="Times New Roman" w:cs="Times New Roman" w:hint="eastAsia"/>
                <w:color w:val="000000" w:themeColor="text1"/>
                <w:kern w:val="0"/>
                <w:sz w:val="21"/>
              </w:rPr>
              <w:t>人；油气、化学品输送管线管段周边</w:t>
            </w:r>
            <w:r>
              <w:rPr>
                <w:rFonts w:ascii="Times New Roman" w:eastAsia="宋体" w:hAnsi="Times New Roman" w:cs="Times New Roman" w:hint="eastAsia"/>
                <w:color w:val="000000" w:themeColor="text1"/>
                <w:kern w:val="0"/>
                <w:sz w:val="21"/>
              </w:rPr>
              <w:t>2</w:t>
            </w:r>
            <w:r>
              <w:rPr>
                <w:rFonts w:ascii="Times New Roman" w:eastAsia="宋体" w:hAnsi="Times New Roman" w:cs="Times New Roman"/>
                <w:color w:val="000000" w:themeColor="text1"/>
                <w:kern w:val="0"/>
                <w:sz w:val="21"/>
              </w:rPr>
              <w:t>00m</w:t>
            </w:r>
            <w:r>
              <w:rPr>
                <w:rFonts w:ascii="Times New Roman" w:eastAsia="宋体" w:hAnsi="Times New Roman" w:cs="Times New Roman" w:hint="eastAsia"/>
                <w:color w:val="000000" w:themeColor="text1"/>
                <w:kern w:val="0"/>
                <w:sz w:val="21"/>
              </w:rPr>
              <w:t>范围内，每千米管段人口数小于</w:t>
            </w:r>
            <w:r>
              <w:rPr>
                <w:rFonts w:ascii="Times New Roman" w:eastAsia="宋体" w:hAnsi="Times New Roman" w:cs="Times New Roman"/>
                <w:color w:val="000000" w:themeColor="text1"/>
                <w:kern w:val="0"/>
                <w:sz w:val="21"/>
              </w:rPr>
              <w:t>100</w:t>
            </w:r>
            <w:r>
              <w:rPr>
                <w:rFonts w:ascii="Times New Roman" w:eastAsia="宋体" w:hAnsi="Times New Roman" w:cs="Times New Roman" w:hint="eastAsia"/>
                <w:color w:val="000000" w:themeColor="text1"/>
                <w:kern w:val="0"/>
                <w:sz w:val="21"/>
              </w:rPr>
              <w:t>人</w:t>
            </w:r>
          </w:p>
        </w:tc>
      </w:tr>
    </w:tbl>
    <w:p w:rsidR="00C861DA" w:rsidRDefault="00C861DA">
      <w:pPr>
        <w:pStyle w:val="afe"/>
        <w:spacing w:beforeLines="50" w:before="156" w:line="360" w:lineRule="auto"/>
        <w:ind w:firstLineChars="200" w:firstLine="480"/>
        <w:jc w:val="both"/>
        <w:rPr>
          <w:rFonts w:ascii="Times New Roman" w:eastAsia="宋体" w:hAnsi="Times New Roman" w:cs="Times New Roman"/>
          <w:color w:val="000000" w:themeColor="text1"/>
          <w:sz w:val="24"/>
        </w:rPr>
      </w:pPr>
    </w:p>
    <w:p w:rsidR="00C861DA" w:rsidRDefault="00C861DA">
      <w:pPr>
        <w:pStyle w:val="afe"/>
        <w:spacing w:beforeLines="50" w:before="156" w:line="360" w:lineRule="auto"/>
        <w:rPr>
          <w:rFonts w:ascii="Times New Roman" w:eastAsia="宋体" w:hAnsi="Times New Roman" w:cs="Times New Roman"/>
          <w:b/>
          <w:color w:val="000000" w:themeColor="text1"/>
          <w:sz w:val="24"/>
        </w:rPr>
      </w:pPr>
    </w:p>
    <w:p w:rsidR="00C861DA" w:rsidRDefault="0044752E">
      <w:pPr>
        <w:pStyle w:val="afe"/>
        <w:spacing w:beforeLines="50" w:before="156" w:line="360" w:lineRule="auto"/>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2</w:t>
      </w:r>
      <w:r>
        <w:rPr>
          <w:rFonts w:ascii="Times New Roman" w:eastAsia="宋体" w:hAnsi="Times New Roman" w:cs="Times New Roman"/>
          <w:b/>
          <w:color w:val="000000" w:themeColor="text1"/>
          <w:sz w:val="24"/>
        </w:rPr>
        <w:t xml:space="preserve">.6-12  </w:t>
      </w:r>
      <w:r>
        <w:rPr>
          <w:rFonts w:ascii="Times New Roman" w:eastAsia="宋体" w:hAnsi="Times New Roman" w:cs="Times New Roman"/>
          <w:b/>
          <w:color w:val="000000" w:themeColor="text1"/>
          <w:sz w:val="24"/>
        </w:rPr>
        <w:t>环境风险保护目标敏感特征表</w:t>
      </w:r>
    </w:p>
    <w:tbl>
      <w:tblPr>
        <w:tblStyle w:val="affa"/>
        <w:tblW w:w="8296" w:type="dxa"/>
        <w:jc w:val="center"/>
        <w:tblLayout w:type="fixed"/>
        <w:tblLook w:val="04A0" w:firstRow="1" w:lastRow="0" w:firstColumn="1" w:lastColumn="0" w:noHBand="0" w:noVBand="1"/>
      </w:tblPr>
      <w:tblGrid>
        <w:gridCol w:w="1097"/>
        <w:gridCol w:w="1024"/>
        <w:gridCol w:w="1561"/>
        <w:gridCol w:w="1133"/>
        <w:gridCol w:w="992"/>
        <w:gridCol w:w="1276"/>
        <w:gridCol w:w="1213"/>
      </w:tblGrid>
      <w:tr w:rsidR="00C861DA">
        <w:trPr>
          <w:trHeight w:val="369"/>
          <w:jc w:val="center"/>
        </w:trPr>
        <w:tc>
          <w:tcPr>
            <w:tcW w:w="109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类别</w:t>
            </w:r>
          </w:p>
        </w:tc>
        <w:tc>
          <w:tcPr>
            <w:tcW w:w="7199" w:type="dxa"/>
            <w:gridSpan w:val="6"/>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环境敏感特征</w:t>
            </w:r>
          </w:p>
        </w:tc>
      </w:tr>
      <w:tr w:rsidR="00C861DA">
        <w:trPr>
          <w:trHeight w:val="369"/>
          <w:jc w:val="center"/>
        </w:trPr>
        <w:tc>
          <w:tcPr>
            <w:tcW w:w="1097" w:type="dxa"/>
            <w:vMerge w:val="restart"/>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环境空气</w:t>
            </w:r>
          </w:p>
        </w:tc>
        <w:tc>
          <w:tcPr>
            <w:tcW w:w="7199" w:type="dxa"/>
            <w:gridSpan w:val="6"/>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厂址周边</w:t>
            </w:r>
            <w:r>
              <w:rPr>
                <w:rFonts w:ascii="Times New Roman" w:eastAsia="宋体" w:hAnsi="Times New Roman" w:cs="Times New Roman" w:hint="eastAsia"/>
                <w:color w:val="000000" w:themeColor="text1"/>
                <w:kern w:val="0"/>
                <w:sz w:val="20"/>
                <w:szCs w:val="20"/>
              </w:rPr>
              <w:t>5</w:t>
            </w:r>
            <w:r>
              <w:rPr>
                <w:rFonts w:ascii="Times New Roman" w:eastAsia="宋体" w:hAnsi="Times New Roman" w:cs="Times New Roman"/>
                <w:color w:val="000000" w:themeColor="text1"/>
                <w:kern w:val="0"/>
                <w:sz w:val="20"/>
                <w:szCs w:val="20"/>
              </w:rPr>
              <w:t>km</w:t>
            </w:r>
            <w:r>
              <w:rPr>
                <w:rFonts w:ascii="Times New Roman" w:eastAsia="宋体" w:hAnsi="Times New Roman" w:cs="Times New Roman" w:hint="eastAsia"/>
                <w:color w:val="000000" w:themeColor="text1"/>
                <w:kern w:val="0"/>
                <w:sz w:val="20"/>
                <w:szCs w:val="20"/>
              </w:rPr>
              <w:t>范围内</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02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序号</w:t>
            </w:r>
          </w:p>
        </w:tc>
        <w:tc>
          <w:tcPr>
            <w:tcW w:w="156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敏感目标名称</w:t>
            </w:r>
          </w:p>
        </w:tc>
        <w:tc>
          <w:tcPr>
            <w:tcW w:w="113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相对方位</w:t>
            </w:r>
          </w:p>
        </w:tc>
        <w:tc>
          <w:tcPr>
            <w:tcW w:w="99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距离</w:t>
            </w:r>
            <w:r>
              <w:rPr>
                <w:rFonts w:ascii="Times New Roman" w:eastAsia="宋体" w:hAnsi="Times New Roman" w:cs="Times New Roman" w:hint="eastAsia"/>
                <w:color w:val="000000" w:themeColor="text1"/>
                <w:kern w:val="0"/>
                <w:sz w:val="20"/>
                <w:szCs w:val="20"/>
              </w:rPr>
              <w:t>/</w:t>
            </w:r>
            <w:r>
              <w:rPr>
                <w:rFonts w:ascii="Times New Roman" w:eastAsia="宋体" w:hAnsi="Times New Roman" w:cs="Times New Roman"/>
                <w:color w:val="000000" w:themeColor="text1"/>
                <w:kern w:val="0"/>
                <w:sz w:val="20"/>
                <w:szCs w:val="20"/>
              </w:rPr>
              <w:t>km</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属性</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人口数</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02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w:t>
            </w:r>
          </w:p>
        </w:tc>
        <w:tc>
          <w:tcPr>
            <w:tcW w:w="156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祥丰金麦化工职工生活区</w:t>
            </w:r>
          </w:p>
        </w:tc>
        <w:tc>
          <w:tcPr>
            <w:tcW w:w="113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西南</w:t>
            </w:r>
          </w:p>
        </w:tc>
        <w:tc>
          <w:tcPr>
            <w:tcW w:w="99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0</w:t>
            </w:r>
            <w:r>
              <w:rPr>
                <w:rFonts w:ascii="Times New Roman" w:eastAsia="宋体" w:hAnsi="Times New Roman" w:cs="Times New Roman"/>
                <w:color w:val="000000" w:themeColor="text1"/>
                <w:kern w:val="0"/>
                <w:sz w:val="20"/>
                <w:szCs w:val="20"/>
              </w:rPr>
              <w:t>.9</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生活区</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约</w:t>
            </w:r>
            <w:r>
              <w:rPr>
                <w:rFonts w:ascii="Times New Roman" w:eastAsia="宋体" w:hAnsi="Times New Roman" w:cs="Times New Roman" w:hint="eastAsia"/>
                <w:color w:val="000000" w:themeColor="text1"/>
                <w:kern w:val="0"/>
                <w:sz w:val="20"/>
                <w:szCs w:val="20"/>
              </w:rPr>
              <w:t>5</w:t>
            </w:r>
            <w:r>
              <w:rPr>
                <w:rFonts w:ascii="Times New Roman" w:eastAsia="宋体" w:hAnsi="Times New Roman" w:cs="Times New Roman"/>
                <w:color w:val="000000" w:themeColor="text1"/>
                <w:kern w:val="0"/>
                <w:sz w:val="20"/>
                <w:szCs w:val="20"/>
              </w:rPr>
              <w:t>00</w:t>
            </w:r>
            <w:r>
              <w:rPr>
                <w:rFonts w:ascii="Times New Roman" w:eastAsia="宋体" w:hAnsi="Times New Roman" w:cs="Times New Roman" w:hint="eastAsia"/>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02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2</w:t>
            </w:r>
          </w:p>
        </w:tc>
        <w:tc>
          <w:tcPr>
            <w:tcW w:w="156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大哨</w:t>
            </w:r>
          </w:p>
        </w:tc>
        <w:tc>
          <w:tcPr>
            <w:tcW w:w="113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南</w:t>
            </w:r>
          </w:p>
        </w:tc>
        <w:tc>
          <w:tcPr>
            <w:tcW w:w="99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1.1</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350</w:t>
            </w:r>
            <w:r>
              <w:rPr>
                <w:rFonts w:ascii="Times New Roman" w:eastAsia="宋体" w:hAnsi="Times New Roman" w:cs="Times New Roman"/>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02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3</w:t>
            </w:r>
          </w:p>
        </w:tc>
        <w:tc>
          <w:tcPr>
            <w:tcW w:w="156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下禄脿</w:t>
            </w:r>
          </w:p>
        </w:tc>
        <w:tc>
          <w:tcPr>
            <w:tcW w:w="113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西南</w:t>
            </w:r>
          </w:p>
        </w:tc>
        <w:tc>
          <w:tcPr>
            <w:tcW w:w="99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1.51</w:t>
            </w:r>
          </w:p>
        </w:tc>
        <w:tc>
          <w:tcPr>
            <w:tcW w:w="1276"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450</w:t>
            </w:r>
            <w:r>
              <w:rPr>
                <w:rFonts w:ascii="Times New Roman" w:eastAsia="宋体" w:hAnsi="Times New Roman" w:cs="Times New Roman"/>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02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4</w:t>
            </w:r>
          </w:p>
        </w:tc>
        <w:tc>
          <w:tcPr>
            <w:tcW w:w="156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小河边</w:t>
            </w:r>
          </w:p>
        </w:tc>
        <w:tc>
          <w:tcPr>
            <w:tcW w:w="113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西</w:t>
            </w:r>
          </w:p>
        </w:tc>
        <w:tc>
          <w:tcPr>
            <w:tcW w:w="99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1.77</w:t>
            </w:r>
          </w:p>
        </w:tc>
        <w:tc>
          <w:tcPr>
            <w:tcW w:w="1276"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13"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80</w:t>
            </w:r>
            <w:r>
              <w:rPr>
                <w:rFonts w:ascii="Times New Roman" w:eastAsia="宋体" w:hAnsi="Times New Roman" w:cs="Times New Roman"/>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02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5</w:t>
            </w:r>
          </w:p>
        </w:tc>
        <w:tc>
          <w:tcPr>
            <w:tcW w:w="156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多依树</w:t>
            </w:r>
          </w:p>
        </w:tc>
        <w:tc>
          <w:tcPr>
            <w:tcW w:w="113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西北</w:t>
            </w:r>
          </w:p>
        </w:tc>
        <w:tc>
          <w:tcPr>
            <w:tcW w:w="99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1.80</w:t>
            </w:r>
          </w:p>
        </w:tc>
        <w:tc>
          <w:tcPr>
            <w:tcW w:w="1276"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500</w:t>
            </w:r>
            <w:r>
              <w:rPr>
                <w:rFonts w:ascii="Times New Roman" w:eastAsia="宋体" w:hAnsi="Times New Roman" w:cs="Times New Roman"/>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02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6</w:t>
            </w:r>
          </w:p>
        </w:tc>
        <w:tc>
          <w:tcPr>
            <w:tcW w:w="156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安丰营</w:t>
            </w:r>
          </w:p>
        </w:tc>
        <w:tc>
          <w:tcPr>
            <w:tcW w:w="113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西南</w:t>
            </w:r>
          </w:p>
        </w:tc>
        <w:tc>
          <w:tcPr>
            <w:tcW w:w="99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1.85</w:t>
            </w:r>
          </w:p>
        </w:tc>
        <w:tc>
          <w:tcPr>
            <w:tcW w:w="1276"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500</w:t>
            </w:r>
            <w:r>
              <w:rPr>
                <w:rFonts w:ascii="Times New Roman" w:eastAsia="宋体" w:hAnsi="Times New Roman" w:cs="Times New Roman"/>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02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7</w:t>
            </w:r>
          </w:p>
        </w:tc>
        <w:tc>
          <w:tcPr>
            <w:tcW w:w="156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lang w:bidi="ar"/>
              </w:rPr>
              <w:t>大石凹</w:t>
            </w:r>
          </w:p>
        </w:tc>
        <w:tc>
          <w:tcPr>
            <w:tcW w:w="113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西</w:t>
            </w:r>
          </w:p>
        </w:tc>
        <w:tc>
          <w:tcPr>
            <w:tcW w:w="99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2.48</w:t>
            </w:r>
          </w:p>
        </w:tc>
        <w:tc>
          <w:tcPr>
            <w:tcW w:w="1276"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13"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80</w:t>
            </w:r>
            <w:r>
              <w:rPr>
                <w:rFonts w:ascii="Times New Roman" w:eastAsia="宋体" w:hAnsi="Times New Roman" w:cs="Times New Roman"/>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02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8</w:t>
            </w:r>
          </w:p>
        </w:tc>
        <w:tc>
          <w:tcPr>
            <w:tcW w:w="156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水井湾</w:t>
            </w:r>
          </w:p>
        </w:tc>
        <w:tc>
          <w:tcPr>
            <w:tcW w:w="113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东南</w:t>
            </w:r>
          </w:p>
        </w:tc>
        <w:tc>
          <w:tcPr>
            <w:tcW w:w="99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3.35</w:t>
            </w:r>
          </w:p>
        </w:tc>
        <w:tc>
          <w:tcPr>
            <w:tcW w:w="1276"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150</w:t>
            </w:r>
            <w:r>
              <w:rPr>
                <w:rFonts w:ascii="Times New Roman" w:eastAsia="宋体" w:hAnsi="Times New Roman" w:cs="Times New Roman"/>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02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9</w:t>
            </w:r>
          </w:p>
        </w:tc>
        <w:tc>
          <w:tcPr>
            <w:tcW w:w="156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李白</w:t>
            </w:r>
          </w:p>
        </w:tc>
        <w:tc>
          <w:tcPr>
            <w:tcW w:w="113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东北</w:t>
            </w:r>
          </w:p>
        </w:tc>
        <w:tc>
          <w:tcPr>
            <w:tcW w:w="99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3.51</w:t>
            </w:r>
          </w:p>
        </w:tc>
        <w:tc>
          <w:tcPr>
            <w:tcW w:w="1276"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300</w:t>
            </w:r>
            <w:r>
              <w:rPr>
                <w:rFonts w:ascii="Times New Roman" w:eastAsia="宋体" w:hAnsi="Times New Roman" w:cs="Times New Roman"/>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02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10</w:t>
            </w:r>
          </w:p>
        </w:tc>
        <w:tc>
          <w:tcPr>
            <w:tcW w:w="156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白塔村</w:t>
            </w:r>
          </w:p>
        </w:tc>
        <w:tc>
          <w:tcPr>
            <w:tcW w:w="113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东</w:t>
            </w:r>
          </w:p>
        </w:tc>
        <w:tc>
          <w:tcPr>
            <w:tcW w:w="99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3.61</w:t>
            </w:r>
          </w:p>
        </w:tc>
        <w:tc>
          <w:tcPr>
            <w:tcW w:w="1276"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350</w:t>
            </w:r>
            <w:r>
              <w:rPr>
                <w:rFonts w:ascii="Times New Roman" w:eastAsia="宋体" w:hAnsi="Times New Roman" w:cs="Times New Roman"/>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02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11</w:t>
            </w:r>
          </w:p>
        </w:tc>
        <w:tc>
          <w:tcPr>
            <w:tcW w:w="156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罗鸣</w:t>
            </w:r>
          </w:p>
        </w:tc>
        <w:tc>
          <w:tcPr>
            <w:tcW w:w="113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东北</w:t>
            </w:r>
          </w:p>
        </w:tc>
        <w:tc>
          <w:tcPr>
            <w:tcW w:w="99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3.66</w:t>
            </w:r>
          </w:p>
        </w:tc>
        <w:tc>
          <w:tcPr>
            <w:tcW w:w="1276"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250</w:t>
            </w:r>
            <w:r>
              <w:rPr>
                <w:rFonts w:ascii="Times New Roman" w:eastAsia="宋体" w:hAnsi="Times New Roman" w:cs="Times New Roman"/>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02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12</w:t>
            </w:r>
          </w:p>
        </w:tc>
        <w:tc>
          <w:tcPr>
            <w:tcW w:w="156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河上庄</w:t>
            </w:r>
          </w:p>
        </w:tc>
        <w:tc>
          <w:tcPr>
            <w:tcW w:w="113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北</w:t>
            </w:r>
          </w:p>
        </w:tc>
        <w:tc>
          <w:tcPr>
            <w:tcW w:w="99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4.12</w:t>
            </w:r>
          </w:p>
        </w:tc>
        <w:tc>
          <w:tcPr>
            <w:tcW w:w="1276"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400</w:t>
            </w:r>
            <w:r>
              <w:rPr>
                <w:rFonts w:ascii="Times New Roman" w:eastAsia="宋体" w:hAnsi="Times New Roman" w:cs="Times New Roman"/>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02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13</w:t>
            </w:r>
          </w:p>
        </w:tc>
        <w:tc>
          <w:tcPr>
            <w:tcW w:w="156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松坪</w:t>
            </w:r>
          </w:p>
        </w:tc>
        <w:tc>
          <w:tcPr>
            <w:tcW w:w="113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东</w:t>
            </w:r>
          </w:p>
        </w:tc>
        <w:tc>
          <w:tcPr>
            <w:tcW w:w="99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4.23</w:t>
            </w:r>
          </w:p>
        </w:tc>
        <w:tc>
          <w:tcPr>
            <w:tcW w:w="1276"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100</w:t>
            </w:r>
            <w:r>
              <w:rPr>
                <w:rFonts w:ascii="Times New Roman" w:eastAsia="宋体" w:hAnsi="Times New Roman" w:cs="Times New Roman"/>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02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14</w:t>
            </w:r>
          </w:p>
        </w:tc>
        <w:tc>
          <w:tcPr>
            <w:tcW w:w="156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青龙哨</w:t>
            </w:r>
          </w:p>
        </w:tc>
        <w:tc>
          <w:tcPr>
            <w:tcW w:w="113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东南</w:t>
            </w:r>
          </w:p>
        </w:tc>
        <w:tc>
          <w:tcPr>
            <w:tcW w:w="99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4.49</w:t>
            </w:r>
          </w:p>
        </w:tc>
        <w:tc>
          <w:tcPr>
            <w:tcW w:w="1276"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300</w:t>
            </w:r>
            <w:r>
              <w:rPr>
                <w:rFonts w:ascii="Times New Roman" w:eastAsia="宋体" w:hAnsi="Times New Roman" w:cs="Times New Roman"/>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102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1</w:t>
            </w:r>
            <w:r>
              <w:rPr>
                <w:rFonts w:ascii="Times New Roman" w:eastAsia="宋体" w:hAnsi="Times New Roman" w:cs="Times New Roman"/>
                <w:color w:val="000000" w:themeColor="text1"/>
                <w:kern w:val="0"/>
                <w:sz w:val="20"/>
                <w:szCs w:val="20"/>
              </w:rPr>
              <w:t>5</w:t>
            </w:r>
          </w:p>
        </w:tc>
        <w:tc>
          <w:tcPr>
            <w:tcW w:w="156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青龙镇</w:t>
            </w:r>
          </w:p>
        </w:tc>
        <w:tc>
          <w:tcPr>
            <w:tcW w:w="113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东北</w:t>
            </w:r>
          </w:p>
        </w:tc>
        <w:tc>
          <w:tcPr>
            <w:tcW w:w="992"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4.6</w:t>
            </w:r>
          </w:p>
        </w:tc>
        <w:tc>
          <w:tcPr>
            <w:tcW w:w="1276"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500</w:t>
            </w:r>
            <w:r>
              <w:rPr>
                <w:rFonts w:ascii="Times New Roman" w:eastAsia="宋体" w:hAnsi="Times New Roman" w:cs="Times New Roman"/>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5986" w:type="dxa"/>
            <w:gridSpan w:val="5"/>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厂址周边</w:t>
            </w:r>
            <w:r>
              <w:rPr>
                <w:rFonts w:ascii="Times New Roman" w:eastAsia="宋体" w:hAnsi="Times New Roman" w:cs="Times New Roman" w:hint="eastAsia"/>
                <w:color w:val="000000" w:themeColor="text1"/>
                <w:kern w:val="0"/>
                <w:sz w:val="20"/>
                <w:szCs w:val="20"/>
              </w:rPr>
              <w:t>5</w:t>
            </w:r>
            <w:r>
              <w:rPr>
                <w:rFonts w:ascii="Times New Roman" w:eastAsia="宋体" w:hAnsi="Times New Roman" w:cs="Times New Roman"/>
                <w:color w:val="000000" w:themeColor="text1"/>
                <w:kern w:val="0"/>
                <w:sz w:val="20"/>
                <w:szCs w:val="20"/>
              </w:rPr>
              <w:t>00m</w:t>
            </w:r>
            <w:r>
              <w:rPr>
                <w:rFonts w:ascii="Times New Roman" w:eastAsia="宋体" w:hAnsi="Times New Roman" w:cs="Times New Roman" w:hint="eastAsia"/>
                <w:color w:val="000000" w:themeColor="text1"/>
                <w:kern w:val="0"/>
                <w:sz w:val="20"/>
                <w:szCs w:val="20"/>
              </w:rPr>
              <w:t>范围内人口数小计</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约</w:t>
            </w:r>
            <w:r>
              <w:rPr>
                <w:rFonts w:ascii="Times New Roman" w:eastAsia="宋体" w:hAnsi="Times New Roman" w:cs="Times New Roman" w:hint="eastAsia"/>
                <w:color w:val="000000" w:themeColor="text1"/>
                <w:kern w:val="0"/>
                <w:sz w:val="20"/>
                <w:szCs w:val="20"/>
              </w:rPr>
              <w:t>2</w:t>
            </w:r>
            <w:r>
              <w:rPr>
                <w:rFonts w:ascii="Times New Roman" w:eastAsia="宋体" w:hAnsi="Times New Roman" w:cs="Times New Roman"/>
                <w:color w:val="000000" w:themeColor="text1"/>
                <w:kern w:val="0"/>
                <w:sz w:val="20"/>
                <w:szCs w:val="20"/>
              </w:rPr>
              <w:t>00</w:t>
            </w:r>
            <w:r>
              <w:rPr>
                <w:rFonts w:ascii="Times New Roman" w:eastAsia="宋体" w:hAnsi="Times New Roman" w:cs="Times New Roman" w:hint="eastAsia"/>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5986" w:type="dxa"/>
            <w:gridSpan w:val="5"/>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厂址周边</w:t>
            </w:r>
            <w:r>
              <w:rPr>
                <w:rFonts w:ascii="Times New Roman" w:eastAsia="宋体" w:hAnsi="Times New Roman" w:cs="Times New Roman" w:hint="eastAsia"/>
                <w:color w:val="000000" w:themeColor="text1"/>
                <w:kern w:val="0"/>
                <w:sz w:val="20"/>
                <w:szCs w:val="20"/>
              </w:rPr>
              <w:t>5</w:t>
            </w:r>
            <w:r>
              <w:rPr>
                <w:rFonts w:ascii="Times New Roman" w:eastAsia="宋体" w:hAnsi="Times New Roman" w:cs="Times New Roman"/>
                <w:color w:val="000000" w:themeColor="text1"/>
                <w:kern w:val="0"/>
                <w:sz w:val="20"/>
                <w:szCs w:val="20"/>
              </w:rPr>
              <w:t>km</w:t>
            </w:r>
            <w:r>
              <w:rPr>
                <w:rFonts w:ascii="Times New Roman" w:eastAsia="宋体" w:hAnsi="Times New Roman" w:cs="Times New Roman" w:hint="eastAsia"/>
                <w:color w:val="000000" w:themeColor="text1"/>
                <w:kern w:val="0"/>
                <w:sz w:val="20"/>
                <w:szCs w:val="20"/>
              </w:rPr>
              <w:t>范围内人口数小计</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约</w:t>
            </w:r>
            <w:r>
              <w:rPr>
                <w:rFonts w:ascii="Times New Roman" w:eastAsia="宋体" w:hAnsi="Times New Roman" w:cs="Times New Roman" w:hint="eastAsia"/>
                <w:color w:val="000000" w:themeColor="text1"/>
                <w:kern w:val="0"/>
                <w:sz w:val="20"/>
                <w:szCs w:val="20"/>
              </w:rPr>
              <w:t>5</w:t>
            </w:r>
            <w:r>
              <w:rPr>
                <w:rFonts w:ascii="Times New Roman" w:eastAsia="宋体" w:hAnsi="Times New Roman" w:cs="Times New Roman"/>
                <w:color w:val="000000" w:themeColor="text1"/>
                <w:kern w:val="0"/>
                <w:sz w:val="20"/>
                <w:szCs w:val="20"/>
              </w:rPr>
              <w:t>000</w:t>
            </w:r>
            <w:r>
              <w:rPr>
                <w:rFonts w:ascii="Times New Roman" w:eastAsia="宋体" w:hAnsi="Times New Roman" w:cs="Times New Roman" w:hint="eastAsia"/>
                <w:color w:val="000000" w:themeColor="text1"/>
                <w:kern w:val="0"/>
                <w:sz w:val="20"/>
                <w:szCs w:val="20"/>
              </w:rPr>
              <w:t>人</w:t>
            </w:r>
          </w:p>
        </w:tc>
      </w:tr>
      <w:tr w:rsidR="00C861DA">
        <w:trPr>
          <w:trHeight w:val="369"/>
          <w:jc w:val="center"/>
        </w:trPr>
        <w:tc>
          <w:tcPr>
            <w:tcW w:w="1097"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5986" w:type="dxa"/>
            <w:gridSpan w:val="5"/>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大气环境敏感程度</w:t>
            </w:r>
            <w:r>
              <w:rPr>
                <w:rFonts w:ascii="Times New Roman" w:eastAsia="宋体" w:hAnsi="Times New Roman" w:cs="Times New Roman" w:hint="eastAsia"/>
                <w:color w:val="000000" w:themeColor="text1"/>
                <w:kern w:val="0"/>
                <w:sz w:val="20"/>
                <w:szCs w:val="20"/>
              </w:rPr>
              <w:t>E</w:t>
            </w:r>
            <w:r>
              <w:rPr>
                <w:rFonts w:ascii="Times New Roman" w:eastAsia="宋体" w:hAnsi="Times New Roman" w:cs="Times New Roman" w:hint="eastAsia"/>
                <w:color w:val="000000" w:themeColor="text1"/>
                <w:kern w:val="0"/>
                <w:sz w:val="20"/>
                <w:szCs w:val="20"/>
              </w:rPr>
              <w:t>值</w:t>
            </w:r>
          </w:p>
        </w:tc>
        <w:tc>
          <w:tcPr>
            <w:tcW w:w="121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E</w:t>
            </w:r>
            <w:r>
              <w:rPr>
                <w:rFonts w:ascii="Times New Roman" w:eastAsia="宋体" w:hAnsi="Times New Roman" w:cs="Times New Roman"/>
                <w:color w:val="000000" w:themeColor="text1"/>
                <w:kern w:val="0"/>
                <w:sz w:val="20"/>
                <w:szCs w:val="20"/>
              </w:rPr>
              <w:t>3</w:t>
            </w:r>
          </w:p>
        </w:tc>
      </w:tr>
    </w:tbl>
    <w:p w:rsidR="00C861DA" w:rsidRDefault="0044752E">
      <w:pPr>
        <w:pStyle w:val="afe"/>
        <w:spacing w:beforeLines="50" w:before="156"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根据现场勘查及收集资料，本项目周边</w:t>
      </w:r>
      <w:r>
        <w:rPr>
          <w:rFonts w:ascii="Times New Roman" w:eastAsia="宋体" w:hAnsi="Times New Roman" w:cs="Times New Roman" w:hint="eastAsia"/>
          <w:color w:val="000000" w:themeColor="text1"/>
          <w:sz w:val="24"/>
        </w:rPr>
        <w:t>5</w:t>
      </w:r>
      <w:r>
        <w:rPr>
          <w:rFonts w:ascii="Times New Roman" w:eastAsia="宋体" w:hAnsi="Times New Roman" w:cs="Times New Roman"/>
          <w:color w:val="000000" w:themeColor="text1"/>
          <w:sz w:val="24"/>
        </w:rPr>
        <w:t>00m</w:t>
      </w:r>
      <w:r>
        <w:rPr>
          <w:rFonts w:ascii="Times New Roman" w:eastAsia="宋体" w:hAnsi="Times New Roman" w:cs="Times New Roman" w:hint="eastAsia"/>
          <w:color w:val="000000" w:themeColor="text1"/>
          <w:sz w:val="24"/>
        </w:rPr>
        <w:t>内仅包含祥丰金麦合成氨装置项目、祥丰石化合成氨装置配套氨储罐项目及部分祥丰金麦有限公司高浓度磷酸复合肥项目，总人数小于</w:t>
      </w:r>
      <w:r>
        <w:rPr>
          <w:rFonts w:ascii="Times New Roman" w:eastAsia="宋体" w:hAnsi="Times New Roman" w:cs="Times New Roman" w:hint="eastAsia"/>
          <w:color w:val="000000" w:themeColor="text1"/>
          <w:sz w:val="24"/>
        </w:rPr>
        <w:t>5</w:t>
      </w:r>
      <w:r>
        <w:rPr>
          <w:rFonts w:ascii="Times New Roman" w:eastAsia="宋体" w:hAnsi="Times New Roman" w:cs="Times New Roman"/>
          <w:color w:val="000000" w:themeColor="text1"/>
          <w:sz w:val="24"/>
        </w:rPr>
        <w:t>00</w:t>
      </w:r>
      <w:r>
        <w:rPr>
          <w:rFonts w:ascii="Times New Roman" w:eastAsia="宋体" w:hAnsi="Times New Roman" w:cs="Times New Roman" w:hint="eastAsia"/>
          <w:color w:val="000000" w:themeColor="text1"/>
          <w:sz w:val="24"/>
        </w:rPr>
        <w:t>人，周边</w:t>
      </w:r>
      <w:r>
        <w:rPr>
          <w:rFonts w:ascii="Times New Roman" w:eastAsia="宋体" w:hAnsi="Times New Roman" w:cs="Times New Roman" w:hint="eastAsia"/>
          <w:color w:val="000000" w:themeColor="text1"/>
          <w:sz w:val="24"/>
        </w:rPr>
        <w:t>5</w:t>
      </w:r>
      <w:r>
        <w:rPr>
          <w:rFonts w:ascii="Times New Roman" w:eastAsia="宋体" w:hAnsi="Times New Roman" w:cs="Times New Roman"/>
          <w:color w:val="000000" w:themeColor="text1"/>
          <w:sz w:val="24"/>
        </w:rPr>
        <w:t>km</w:t>
      </w:r>
      <w:r>
        <w:rPr>
          <w:rFonts w:ascii="Times New Roman" w:eastAsia="宋体" w:hAnsi="Times New Roman" w:cs="Times New Roman" w:hint="eastAsia"/>
          <w:color w:val="000000" w:themeColor="text1"/>
          <w:sz w:val="24"/>
        </w:rPr>
        <w:t>范围内范围内居住区、医疗卫生、文化教育、科研、行政办公等机构人口总数小于</w:t>
      </w:r>
      <w:r>
        <w:rPr>
          <w:rFonts w:ascii="Times New Roman" w:eastAsia="宋体" w:hAnsi="Times New Roman" w:cs="Times New Roman"/>
          <w:color w:val="000000" w:themeColor="text1"/>
          <w:sz w:val="24"/>
        </w:rPr>
        <w:t>1</w:t>
      </w:r>
      <w:r>
        <w:rPr>
          <w:rFonts w:ascii="Times New Roman" w:eastAsia="宋体" w:hAnsi="Times New Roman" w:cs="Times New Roman" w:hint="eastAsia"/>
          <w:color w:val="000000" w:themeColor="text1"/>
          <w:sz w:val="24"/>
        </w:rPr>
        <w:t>万人，不涉及油气、化学品输送管线，故大气环境敏感程度分级为</w:t>
      </w:r>
      <w:r>
        <w:rPr>
          <w:rFonts w:ascii="Times New Roman" w:eastAsia="宋体" w:hAnsi="Times New Roman" w:cs="Times New Roman" w:hint="eastAsia"/>
          <w:color w:val="000000" w:themeColor="text1"/>
          <w:sz w:val="24"/>
        </w:rPr>
        <w:t>E</w:t>
      </w:r>
      <w:r>
        <w:rPr>
          <w:rFonts w:ascii="Times New Roman" w:eastAsia="宋体" w:hAnsi="Times New Roman" w:cs="Times New Roman"/>
          <w:color w:val="000000" w:themeColor="text1"/>
          <w:sz w:val="24"/>
        </w:rPr>
        <w:t>3</w:t>
      </w:r>
      <w:r>
        <w:rPr>
          <w:rFonts w:ascii="Times New Roman" w:eastAsia="宋体" w:hAnsi="Times New Roman" w:cs="Times New Roman" w:hint="eastAsia"/>
          <w:color w:val="000000" w:themeColor="text1"/>
          <w:sz w:val="24"/>
        </w:rPr>
        <w:t>。</w:t>
      </w:r>
    </w:p>
    <w:p w:rsidR="00C861DA" w:rsidRDefault="0044752E">
      <w:pPr>
        <w:pStyle w:val="afe"/>
        <w:spacing w:line="360" w:lineRule="auto"/>
        <w:ind w:firstLineChars="200" w:firstLine="482"/>
        <w:jc w:val="both"/>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D</w:t>
      </w:r>
      <w:r>
        <w:rPr>
          <w:rFonts w:ascii="Times New Roman" w:eastAsia="宋体" w:hAnsi="Times New Roman" w:cs="Times New Roman" w:hint="eastAsia"/>
          <w:b/>
          <w:color w:val="000000" w:themeColor="text1"/>
          <w:sz w:val="24"/>
        </w:rPr>
        <w:t>、</w:t>
      </w:r>
      <w:r>
        <w:rPr>
          <w:rFonts w:ascii="Times New Roman" w:eastAsia="宋体" w:hAnsi="Times New Roman" w:cs="Times New Roman"/>
          <w:b/>
          <w:color w:val="000000" w:themeColor="text1"/>
          <w:sz w:val="24"/>
        </w:rPr>
        <w:t>危险物质及工艺系统危险性（</w:t>
      </w:r>
      <w:r>
        <w:rPr>
          <w:rFonts w:ascii="Times New Roman" w:eastAsia="宋体" w:hAnsi="Times New Roman" w:cs="Times New Roman"/>
          <w:b/>
          <w:color w:val="000000" w:themeColor="text1"/>
          <w:sz w:val="24"/>
        </w:rPr>
        <w:t>P</w:t>
      </w:r>
      <w:r>
        <w:rPr>
          <w:rFonts w:ascii="Times New Roman" w:eastAsia="宋体" w:hAnsi="Times New Roman" w:cs="Times New Roman"/>
          <w:b/>
          <w:color w:val="000000" w:themeColor="text1"/>
          <w:sz w:val="24"/>
        </w:rPr>
        <w:t>）分级</w:t>
      </w:r>
    </w:p>
    <w:p w:rsidR="00C861DA" w:rsidRDefault="0044752E">
      <w:pPr>
        <w:pStyle w:val="afe"/>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根据危险物质数量与临界量比值（</w:t>
      </w:r>
      <w:r>
        <w:rPr>
          <w:rFonts w:ascii="Times New Roman" w:eastAsia="宋体" w:hAnsi="Times New Roman" w:cs="Times New Roman" w:hint="eastAsia"/>
          <w:color w:val="000000" w:themeColor="text1"/>
          <w:sz w:val="24"/>
        </w:rPr>
        <w:t>Q</w:t>
      </w:r>
      <w:r>
        <w:rPr>
          <w:rFonts w:ascii="Times New Roman" w:eastAsia="宋体" w:hAnsi="Times New Roman" w:cs="Times New Roman" w:hint="eastAsia"/>
          <w:color w:val="000000" w:themeColor="text1"/>
          <w:sz w:val="24"/>
        </w:rPr>
        <w:t>）和行业及生产工艺（</w:t>
      </w:r>
      <w:r>
        <w:rPr>
          <w:rFonts w:ascii="Times New Roman" w:eastAsia="宋体" w:hAnsi="Times New Roman" w:cs="Times New Roman" w:hint="eastAsia"/>
          <w:color w:val="000000" w:themeColor="text1"/>
          <w:sz w:val="24"/>
        </w:rPr>
        <w:t>M</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按照下表确定危险物质及工艺系统危险性等级（</w:t>
      </w:r>
      <w:r>
        <w:rPr>
          <w:rFonts w:ascii="Times New Roman" w:eastAsia="宋体" w:hAnsi="Times New Roman" w:cs="Times New Roman" w:hint="eastAsia"/>
          <w:color w:val="000000" w:themeColor="text1"/>
          <w:sz w:val="24"/>
        </w:rPr>
        <w:t>P</w:t>
      </w:r>
      <w:r>
        <w:rPr>
          <w:rFonts w:ascii="Times New Roman" w:eastAsia="宋体" w:hAnsi="Times New Roman" w:cs="Times New Roman" w:hint="eastAsia"/>
          <w:color w:val="000000" w:themeColor="text1"/>
          <w:sz w:val="24"/>
        </w:rPr>
        <w:t>）。</w:t>
      </w:r>
    </w:p>
    <w:p w:rsidR="00C861DA" w:rsidRDefault="0044752E">
      <w:pPr>
        <w:pStyle w:val="afe"/>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2</w:t>
      </w:r>
      <w:r>
        <w:rPr>
          <w:rFonts w:ascii="Times New Roman" w:eastAsia="宋体" w:hAnsi="Times New Roman" w:cs="Times New Roman"/>
          <w:b/>
          <w:color w:val="000000" w:themeColor="text1"/>
          <w:sz w:val="24"/>
        </w:rPr>
        <w:t>.6-12</w:t>
      </w:r>
      <w:r>
        <w:rPr>
          <w:rFonts w:ascii="Times New Roman" w:eastAsia="宋体" w:hAnsi="Times New Roman" w:cs="Times New Roman" w:hint="eastAsia"/>
          <w:b/>
          <w:color w:val="000000" w:themeColor="text1"/>
          <w:sz w:val="24"/>
        </w:rPr>
        <w:t xml:space="preserve"> </w:t>
      </w:r>
      <w:r>
        <w:rPr>
          <w:rFonts w:ascii="Times New Roman" w:eastAsia="宋体" w:hAnsi="Times New Roman" w:cs="Times New Roman"/>
          <w:b/>
          <w:color w:val="000000" w:themeColor="text1"/>
          <w:sz w:val="24"/>
        </w:rPr>
        <w:t xml:space="preserve"> </w:t>
      </w:r>
      <w:r>
        <w:rPr>
          <w:rFonts w:ascii="Times New Roman" w:eastAsia="宋体" w:hAnsi="Times New Roman" w:cs="Times New Roman" w:hint="eastAsia"/>
          <w:b/>
          <w:color w:val="000000" w:themeColor="text1"/>
          <w:sz w:val="24"/>
        </w:rPr>
        <w:t>危险物质及工艺系统危险性等级判断（</w:t>
      </w:r>
      <w:r>
        <w:rPr>
          <w:rFonts w:ascii="Times New Roman" w:eastAsia="宋体" w:hAnsi="Times New Roman" w:cs="Times New Roman" w:hint="eastAsia"/>
          <w:b/>
          <w:color w:val="000000" w:themeColor="text1"/>
          <w:sz w:val="24"/>
        </w:rPr>
        <w:t>P</w:t>
      </w:r>
      <w:r>
        <w:rPr>
          <w:rFonts w:ascii="Times New Roman" w:eastAsia="宋体" w:hAnsi="Times New Roman" w:cs="Times New Roman" w:hint="eastAsia"/>
          <w:b/>
          <w:color w:val="000000" w:themeColor="text1"/>
          <w:sz w:val="24"/>
        </w:rPr>
        <w:t>）</w:t>
      </w:r>
    </w:p>
    <w:tbl>
      <w:tblPr>
        <w:tblStyle w:val="affa"/>
        <w:tblW w:w="8296" w:type="dxa"/>
        <w:jc w:val="center"/>
        <w:tblLayout w:type="fixed"/>
        <w:tblLook w:val="04A0" w:firstRow="1" w:lastRow="0" w:firstColumn="1" w:lastColumn="0" w:noHBand="0" w:noVBand="1"/>
      </w:tblPr>
      <w:tblGrid>
        <w:gridCol w:w="1837"/>
        <w:gridCol w:w="1480"/>
        <w:gridCol w:w="1659"/>
        <w:gridCol w:w="1660"/>
        <w:gridCol w:w="1660"/>
      </w:tblGrid>
      <w:tr w:rsidR="00C861DA">
        <w:trPr>
          <w:trHeight w:val="369"/>
          <w:jc w:val="center"/>
        </w:trPr>
        <w:tc>
          <w:tcPr>
            <w:tcW w:w="1837" w:type="dxa"/>
            <w:vMerge w:val="restart"/>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危险物质数量与临界量比值（</w:t>
            </w:r>
            <w:r>
              <w:rPr>
                <w:rFonts w:ascii="Times New Roman" w:eastAsia="宋体" w:hAnsi="Times New Roman" w:cs="Times New Roman"/>
                <w:color w:val="000000" w:themeColor="text1"/>
                <w:kern w:val="0"/>
                <w:sz w:val="21"/>
              </w:rPr>
              <w:t>Q</w:t>
            </w:r>
            <w:r>
              <w:rPr>
                <w:rFonts w:ascii="Times New Roman" w:eastAsia="宋体" w:hAnsi="Times New Roman" w:cs="Times New Roman"/>
                <w:color w:val="000000" w:themeColor="text1"/>
                <w:kern w:val="0"/>
                <w:sz w:val="21"/>
              </w:rPr>
              <w:t>）</w:t>
            </w:r>
          </w:p>
        </w:tc>
        <w:tc>
          <w:tcPr>
            <w:tcW w:w="6459" w:type="dxa"/>
            <w:gridSpan w:val="4"/>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行业及生产工艺（</w:t>
            </w:r>
            <w:r>
              <w:rPr>
                <w:rFonts w:ascii="Times New Roman" w:eastAsia="宋体" w:hAnsi="Times New Roman" w:cs="Times New Roman"/>
                <w:color w:val="000000" w:themeColor="text1"/>
                <w:kern w:val="0"/>
                <w:sz w:val="21"/>
              </w:rPr>
              <w:t>M</w:t>
            </w:r>
            <w:r>
              <w:rPr>
                <w:rFonts w:ascii="Times New Roman" w:eastAsia="宋体" w:hAnsi="Times New Roman" w:cs="Times New Roman"/>
                <w:color w:val="000000" w:themeColor="text1"/>
                <w:kern w:val="0"/>
                <w:sz w:val="21"/>
              </w:rPr>
              <w:t>）</w:t>
            </w:r>
          </w:p>
        </w:tc>
      </w:tr>
      <w:tr w:rsidR="00C861DA">
        <w:trPr>
          <w:trHeight w:val="369"/>
          <w:jc w:val="center"/>
        </w:trPr>
        <w:tc>
          <w:tcPr>
            <w:tcW w:w="1837" w:type="dxa"/>
            <w:vMerge/>
            <w:vAlign w:val="center"/>
          </w:tcPr>
          <w:p w:rsidR="00C861DA" w:rsidRDefault="00C861DA">
            <w:pPr>
              <w:pStyle w:val="afe"/>
              <w:pBdr>
                <w:bottom w:val="none" w:sz="0" w:space="0" w:color="auto"/>
              </w:pBdr>
              <w:rPr>
                <w:rFonts w:ascii="Times New Roman" w:eastAsia="宋体" w:hAnsi="Times New Roman" w:cs="Times New Roman"/>
                <w:color w:val="000000" w:themeColor="text1"/>
                <w:kern w:val="0"/>
                <w:sz w:val="21"/>
              </w:rPr>
            </w:pPr>
          </w:p>
        </w:tc>
        <w:tc>
          <w:tcPr>
            <w:tcW w:w="148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M1</w:t>
            </w:r>
          </w:p>
        </w:tc>
        <w:tc>
          <w:tcPr>
            <w:tcW w:w="1659"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M2</w:t>
            </w:r>
          </w:p>
        </w:tc>
        <w:tc>
          <w:tcPr>
            <w:tcW w:w="1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M3</w:t>
            </w:r>
          </w:p>
        </w:tc>
        <w:tc>
          <w:tcPr>
            <w:tcW w:w="1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M4</w:t>
            </w:r>
          </w:p>
        </w:tc>
      </w:tr>
      <w:tr w:rsidR="00C861DA">
        <w:trPr>
          <w:trHeight w:val="369"/>
          <w:jc w:val="center"/>
        </w:trPr>
        <w:tc>
          <w:tcPr>
            <w:tcW w:w="1837"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Q≥100</w:t>
            </w:r>
          </w:p>
        </w:tc>
        <w:tc>
          <w:tcPr>
            <w:tcW w:w="148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P1</w:t>
            </w:r>
          </w:p>
        </w:tc>
        <w:tc>
          <w:tcPr>
            <w:tcW w:w="1659"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P1</w:t>
            </w:r>
          </w:p>
        </w:tc>
        <w:tc>
          <w:tcPr>
            <w:tcW w:w="1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P2</w:t>
            </w:r>
          </w:p>
        </w:tc>
        <w:tc>
          <w:tcPr>
            <w:tcW w:w="1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P3</w:t>
            </w:r>
          </w:p>
        </w:tc>
      </w:tr>
      <w:tr w:rsidR="00C861DA">
        <w:trPr>
          <w:trHeight w:val="369"/>
          <w:jc w:val="center"/>
        </w:trPr>
        <w:tc>
          <w:tcPr>
            <w:tcW w:w="1837"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10≤Q</w:t>
            </w:r>
            <w:r>
              <w:rPr>
                <w:rFonts w:ascii="Times New Roman" w:eastAsia="宋体" w:hAnsi="Times New Roman" w:cs="Times New Roman"/>
                <w:color w:val="000000" w:themeColor="text1"/>
                <w:kern w:val="0"/>
                <w:sz w:val="21"/>
              </w:rPr>
              <w:t>＜</w:t>
            </w:r>
            <w:r>
              <w:rPr>
                <w:rFonts w:ascii="Times New Roman" w:eastAsia="宋体" w:hAnsi="Times New Roman" w:cs="Times New Roman"/>
                <w:color w:val="000000" w:themeColor="text1"/>
                <w:kern w:val="0"/>
                <w:sz w:val="21"/>
              </w:rPr>
              <w:t>100</w:t>
            </w:r>
          </w:p>
        </w:tc>
        <w:tc>
          <w:tcPr>
            <w:tcW w:w="148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P1</w:t>
            </w:r>
          </w:p>
        </w:tc>
        <w:tc>
          <w:tcPr>
            <w:tcW w:w="1659"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P2</w:t>
            </w:r>
          </w:p>
        </w:tc>
        <w:tc>
          <w:tcPr>
            <w:tcW w:w="1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P3</w:t>
            </w:r>
          </w:p>
        </w:tc>
        <w:tc>
          <w:tcPr>
            <w:tcW w:w="1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P4</w:t>
            </w:r>
          </w:p>
        </w:tc>
      </w:tr>
      <w:tr w:rsidR="00C861DA">
        <w:trPr>
          <w:trHeight w:val="369"/>
          <w:jc w:val="center"/>
        </w:trPr>
        <w:tc>
          <w:tcPr>
            <w:tcW w:w="1837"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1≤Q</w:t>
            </w:r>
            <w:r>
              <w:rPr>
                <w:rFonts w:ascii="Times New Roman" w:eastAsia="宋体" w:hAnsi="Times New Roman" w:cs="Times New Roman"/>
                <w:color w:val="000000" w:themeColor="text1"/>
                <w:kern w:val="0"/>
                <w:sz w:val="21"/>
              </w:rPr>
              <w:t>＜</w:t>
            </w:r>
            <w:r>
              <w:rPr>
                <w:rFonts w:ascii="Times New Roman" w:eastAsia="宋体" w:hAnsi="Times New Roman" w:cs="Times New Roman"/>
                <w:color w:val="000000" w:themeColor="text1"/>
                <w:kern w:val="0"/>
                <w:sz w:val="21"/>
              </w:rPr>
              <w:t>10</w:t>
            </w:r>
          </w:p>
        </w:tc>
        <w:tc>
          <w:tcPr>
            <w:tcW w:w="148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P2</w:t>
            </w:r>
          </w:p>
        </w:tc>
        <w:tc>
          <w:tcPr>
            <w:tcW w:w="1659"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P3</w:t>
            </w:r>
          </w:p>
        </w:tc>
        <w:tc>
          <w:tcPr>
            <w:tcW w:w="1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P4</w:t>
            </w:r>
          </w:p>
        </w:tc>
        <w:tc>
          <w:tcPr>
            <w:tcW w:w="1660" w:type="dxa"/>
            <w:vAlign w:val="center"/>
          </w:tcPr>
          <w:p w:rsidR="00C861DA" w:rsidRDefault="0044752E">
            <w:pPr>
              <w:pStyle w:val="afe"/>
              <w:pBdr>
                <w:bottom w:val="none" w:sz="0" w:space="0" w:color="auto"/>
              </w:pBdr>
              <w:rPr>
                <w:rFonts w:ascii="Times New Roman" w:eastAsia="宋体" w:hAnsi="Times New Roman" w:cs="Times New Roman"/>
                <w:color w:val="000000" w:themeColor="text1"/>
                <w:kern w:val="0"/>
                <w:sz w:val="21"/>
              </w:rPr>
            </w:pPr>
            <w:r>
              <w:rPr>
                <w:rFonts w:ascii="Times New Roman" w:eastAsia="宋体" w:hAnsi="Times New Roman" w:cs="Times New Roman"/>
                <w:color w:val="000000" w:themeColor="text1"/>
                <w:kern w:val="0"/>
                <w:sz w:val="21"/>
              </w:rPr>
              <w:t>P4</w:t>
            </w:r>
          </w:p>
        </w:tc>
      </w:tr>
    </w:tbl>
    <w:p w:rsidR="00C861DA" w:rsidRDefault="0044752E">
      <w:pPr>
        <w:pStyle w:val="afe"/>
        <w:spacing w:beforeLines="50" w:before="156"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根据上述分析，本项目为</w:t>
      </w:r>
      <w:r>
        <w:rPr>
          <w:rFonts w:ascii="Times New Roman" w:eastAsia="宋体" w:hAnsi="Times New Roman" w:cs="Times New Roman" w:hint="eastAsia"/>
          <w:color w:val="000000" w:themeColor="text1"/>
          <w:sz w:val="24"/>
        </w:rPr>
        <w:t>M</w:t>
      </w:r>
      <w:r>
        <w:rPr>
          <w:rFonts w:ascii="Times New Roman" w:eastAsia="宋体" w:hAnsi="Times New Roman" w:cs="Times New Roman"/>
          <w:color w:val="000000" w:themeColor="text1"/>
          <w:sz w:val="24"/>
        </w:rPr>
        <w:t>1</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Q</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0</w:t>
      </w:r>
      <w:r>
        <w:rPr>
          <w:rFonts w:ascii="Times New Roman" w:eastAsia="宋体" w:hAnsi="Times New Roman" w:cs="Times New Roman" w:hint="eastAsia"/>
          <w:color w:val="000000" w:themeColor="text1"/>
          <w:sz w:val="24"/>
        </w:rPr>
        <w:t>，则危险性等级为</w:t>
      </w:r>
      <w:r>
        <w:rPr>
          <w:rFonts w:ascii="Times New Roman" w:eastAsia="宋体" w:hAnsi="Times New Roman" w:cs="Times New Roman" w:hint="eastAsia"/>
          <w:color w:val="000000" w:themeColor="text1"/>
          <w:sz w:val="24"/>
        </w:rPr>
        <w:t>P</w:t>
      </w:r>
      <w:r>
        <w:rPr>
          <w:rFonts w:ascii="Times New Roman" w:eastAsia="宋体" w:hAnsi="Times New Roman" w:cs="Times New Roman"/>
          <w:color w:val="000000" w:themeColor="text1"/>
          <w:sz w:val="24"/>
        </w:rPr>
        <w:t>2</w:t>
      </w:r>
      <w:r>
        <w:rPr>
          <w:rFonts w:ascii="Times New Roman" w:eastAsia="宋体" w:hAnsi="Times New Roman" w:cs="Times New Roman" w:hint="eastAsia"/>
          <w:color w:val="000000" w:themeColor="text1"/>
          <w:sz w:val="24"/>
        </w:rPr>
        <w:t>。</w:t>
      </w:r>
    </w:p>
    <w:p w:rsidR="00C861DA" w:rsidRDefault="0044752E">
      <w:pPr>
        <w:pStyle w:val="afe"/>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风险潜势判定见下表</w:t>
      </w:r>
      <w:r>
        <w:rPr>
          <w:rFonts w:ascii="Times New Roman" w:eastAsia="宋体" w:hAnsi="Times New Roman" w:cs="Times New Roman" w:hint="eastAsia"/>
          <w:color w:val="000000" w:themeColor="text1"/>
          <w:sz w:val="24"/>
        </w:rPr>
        <w:t>2</w:t>
      </w:r>
      <w:r>
        <w:rPr>
          <w:rFonts w:ascii="Times New Roman" w:eastAsia="宋体" w:hAnsi="Times New Roman" w:cs="Times New Roman"/>
          <w:color w:val="000000" w:themeColor="text1"/>
          <w:sz w:val="24"/>
        </w:rPr>
        <w:t>.6-13</w:t>
      </w:r>
      <w:r>
        <w:rPr>
          <w:rFonts w:ascii="Times New Roman" w:eastAsia="宋体" w:hAnsi="Times New Roman" w:cs="Times New Roman" w:hint="eastAsia"/>
          <w:color w:val="000000" w:themeColor="text1"/>
          <w:sz w:val="24"/>
        </w:rPr>
        <w:t>。</w:t>
      </w:r>
    </w:p>
    <w:p w:rsidR="00C861DA" w:rsidRDefault="0044752E">
      <w:pPr>
        <w:pStyle w:val="afe"/>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2</w:t>
      </w:r>
      <w:r>
        <w:rPr>
          <w:rFonts w:ascii="Times New Roman" w:eastAsia="宋体" w:hAnsi="Times New Roman" w:cs="Times New Roman"/>
          <w:b/>
          <w:color w:val="000000" w:themeColor="text1"/>
          <w:sz w:val="24"/>
        </w:rPr>
        <w:t xml:space="preserve">.6-13  </w:t>
      </w:r>
      <w:r>
        <w:rPr>
          <w:rFonts w:ascii="Times New Roman" w:eastAsia="宋体" w:hAnsi="Times New Roman" w:cs="Times New Roman" w:hint="eastAsia"/>
          <w:b/>
          <w:color w:val="000000" w:themeColor="text1"/>
          <w:sz w:val="24"/>
        </w:rPr>
        <w:t>建设项目环境风险潜势划分</w:t>
      </w:r>
    </w:p>
    <w:tbl>
      <w:tblPr>
        <w:tblStyle w:val="affa"/>
        <w:tblW w:w="8296" w:type="dxa"/>
        <w:jc w:val="center"/>
        <w:tblLayout w:type="fixed"/>
        <w:tblLook w:val="04A0" w:firstRow="1" w:lastRow="0" w:firstColumn="1" w:lastColumn="0" w:noHBand="0" w:noVBand="1"/>
      </w:tblPr>
      <w:tblGrid>
        <w:gridCol w:w="2404"/>
        <w:gridCol w:w="1419"/>
        <w:gridCol w:w="1379"/>
        <w:gridCol w:w="1548"/>
        <w:gridCol w:w="1546"/>
      </w:tblGrid>
      <w:tr w:rsidR="00C861DA">
        <w:trPr>
          <w:trHeight w:val="369"/>
          <w:jc w:val="center"/>
        </w:trPr>
        <w:tc>
          <w:tcPr>
            <w:tcW w:w="2404"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环境敏感程度（</w:t>
            </w:r>
            <w:r>
              <w:rPr>
                <w:rFonts w:ascii="Times New Roman" w:eastAsia="宋体" w:hAnsi="Times New Roman" w:cs="Times New Roman"/>
                <w:color w:val="000000" w:themeColor="text1"/>
                <w:kern w:val="0"/>
              </w:rPr>
              <w:t>E</w:t>
            </w:r>
            <w:r>
              <w:rPr>
                <w:rFonts w:ascii="Times New Roman" w:eastAsia="宋体" w:hAnsi="Times New Roman" w:cs="Times New Roman"/>
                <w:color w:val="000000" w:themeColor="text1"/>
                <w:kern w:val="0"/>
              </w:rPr>
              <w:t>）</w:t>
            </w:r>
          </w:p>
        </w:tc>
        <w:tc>
          <w:tcPr>
            <w:tcW w:w="5892" w:type="dxa"/>
            <w:gridSpan w:val="4"/>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危险物质及工艺系统危险性（</w:t>
            </w:r>
            <w:r>
              <w:rPr>
                <w:rFonts w:ascii="Times New Roman" w:eastAsia="宋体" w:hAnsi="Times New Roman" w:cs="Times New Roman"/>
                <w:color w:val="000000" w:themeColor="text1"/>
                <w:kern w:val="0"/>
              </w:rPr>
              <w:t>P</w:t>
            </w:r>
            <w:r>
              <w:rPr>
                <w:rFonts w:ascii="Times New Roman" w:eastAsia="宋体" w:hAnsi="Times New Roman" w:cs="Times New Roman"/>
                <w:color w:val="000000" w:themeColor="text1"/>
                <w:kern w:val="0"/>
              </w:rPr>
              <w:t>）</w:t>
            </w:r>
          </w:p>
        </w:tc>
      </w:tr>
      <w:tr w:rsidR="00C861DA">
        <w:trPr>
          <w:trHeight w:val="369"/>
          <w:jc w:val="center"/>
        </w:trPr>
        <w:tc>
          <w:tcPr>
            <w:tcW w:w="2404" w:type="dxa"/>
            <w:vMerge/>
            <w:vAlign w:val="center"/>
          </w:tcPr>
          <w:p w:rsidR="00C861DA" w:rsidRDefault="00C861DA">
            <w:pPr>
              <w:jc w:val="center"/>
              <w:rPr>
                <w:rFonts w:ascii="Times New Roman" w:eastAsia="宋体" w:hAnsi="Times New Roman" w:cs="Times New Roman"/>
                <w:color w:val="000000" w:themeColor="text1"/>
                <w:kern w:val="0"/>
              </w:rPr>
            </w:pPr>
          </w:p>
        </w:tc>
        <w:tc>
          <w:tcPr>
            <w:tcW w:w="1419"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极高危害（</w:t>
            </w:r>
            <w:r>
              <w:rPr>
                <w:rFonts w:ascii="Times New Roman" w:eastAsia="宋体" w:hAnsi="Times New Roman" w:cs="Times New Roman"/>
                <w:color w:val="000000" w:themeColor="text1"/>
                <w:kern w:val="0"/>
              </w:rPr>
              <w:t>P1</w:t>
            </w:r>
            <w:r>
              <w:rPr>
                <w:rFonts w:ascii="Times New Roman" w:eastAsia="宋体" w:hAnsi="Times New Roman" w:cs="Times New Roman"/>
                <w:color w:val="000000" w:themeColor="text1"/>
                <w:kern w:val="0"/>
              </w:rPr>
              <w:t>）</w:t>
            </w:r>
          </w:p>
        </w:tc>
        <w:tc>
          <w:tcPr>
            <w:tcW w:w="137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高度危害（</w:t>
            </w:r>
            <w:r>
              <w:rPr>
                <w:rFonts w:ascii="Times New Roman" w:eastAsia="宋体" w:hAnsi="Times New Roman" w:cs="Times New Roman"/>
                <w:color w:val="000000" w:themeColor="text1"/>
                <w:kern w:val="0"/>
              </w:rPr>
              <w:t>P2</w:t>
            </w:r>
            <w:r>
              <w:rPr>
                <w:rFonts w:ascii="Times New Roman" w:eastAsia="宋体" w:hAnsi="Times New Roman" w:cs="Times New Roman"/>
                <w:color w:val="000000" w:themeColor="text1"/>
                <w:kern w:val="0"/>
              </w:rPr>
              <w:t>）</w:t>
            </w:r>
          </w:p>
        </w:tc>
        <w:tc>
          <w:tcPr>
            <w:tcW w:w="154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中度危害（</w:t>
            </w:r>
            <w:r>
              <w:rPr>
                <w:rFonts w:ascii="Times New Roman" w:eastAsia="宋体" w:hAnsi="Times New Roman" w:cs="Times New Roman"/>
                <w:color w:val="000000" w:themeColor="text1"/>
                <w:kern w:val="0"/>
              </w:rPr>
              <w:t>P3</w:t>
            </w:r>
            <w:r>
              <w:rPr>
                <w:rFonts w:ascii="Times New Roman" w:eastAsia="宋体" w:hAnsi="Times New Roman" w:cs="Times New Roman"/>
                <w:color w:val="000000" w:themeColor="text1"/>
                <w:kern w:val="0"/>
              </w:rPr>
              <w:t>）</w:t>
            </w:r>
          </w:p>
        </w:tc>
        <w:tc>
          <w:tcPr>
            <w:tcW w:w="1546"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轻度危害（</w:t>
            </w:r>
            <w:r>
              <w:rPr>
                <w:rFonts w:ascii="Times New Roman" w:eastAsia="宋体" w:hAnsi="Times New Roman" w:cs="Times New Roman"/>
                <w:color w:val="000000" w:themeColor="text1"/>
                <w:kern w:val="0"/>
              </w:rPr>
              <w:t>P4</w:t>
            </w:r>
            <w:r>
              <w:rPr>
                <w:rFonts w:ascii="Times New Roman" w:eastAsia="宋体" w:hAnsi="Times New Roman" w:cs="Times New Roman"/>
                <w:color w:val="000000" w:themeColor="text1"/>
                <w:kern w:val="0"/>
              </w:rPr>
              <w:t>）</w:t>
            </w:r>
          </w:p>
        </w:tc>
      </w:tr>
      <w:tr w:rsidR="00C861DA">
        <w:trPr>
          <w:trHeight w:val="369"/>
          <w:jc w:val="center"/>
        </w:trPr>
        <w:tc>
          <w:tcPr>
            <w:tcW w:w="2404"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环境高度敏感区（</w:t>
            </w:r>
            <w:r>
              <w:rPr>
                <w:rFonts w:ascii="Times New Roman" w:eastAsia="宋体" w:hAnsi="Times New Roman" w:cs="Times New Roman"/>
                <w:color w:val="000000" w:themeColor="text1"/>
                <w:kern w:val="0"/>
              </w:rPr>
              <w:t>E1</w:t>
            </w:r>
            <w:r>
              <w:rPr>
                <w:rFonts w:ascii="Times New Roman" w:eastAsia="宋体" w:hAnsi="Times New Roman" w:cs="Times New Roman"/>
                <w:color w:val="000000" w:themeColor="text1"/>
                <w:kern w:val="0"/>
              </w:rPr>
              <w:t>）</w:t>
            </w:r>
          </w:p>
        </w:tc>
        <w:tc>
          <w:tcPr>
            <w:tcW w:w="141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sz w:val="20"/>
                <w:szCs w:val="20"/>
              </w:rPr>
              <w:fldChar w:fldCharType="begin"/>
            </w:r>
            <w:r>
              <w:rPr>
                <w:rFonts w:ascii="Times New Roman" w:eastAsia="宋体" w:hAnsi="Times New Roman" w:cs="Times New Roman"/>
                <w:color w:val="000000" w:themeColor="text1"/>
                <w:kern w:val="0"/>
              </w:rPr>
              <w:instrText xml:space="preserve"> = 4 \* ROMAN </w:instrText>
            </w:r>
            <w:r>
              <w:rPr>
                <w:rFonts w:ascii="Times New Roman" w:eastAsia="宋体" w:hAnsi="Times New Roman" w:cs="Times New Roman"/>
                <w:color w:val="000000" w:themeColor="text1"/>
                <w:kern w:val="0"/>
                <w:sz w:val="20"/>
                <w:szCs w:val="20"/>
              </w:rPr>
              <w:fldChar w:fldCharType="separate"/>
            </w:r>
            <w:r>
              <w:rPr>
                <w:rFonts w:ascii="Times New Roman" w:eastAsia="宋体" w:hAnsi="Times New Roman" w:cs="Times New Roman"/>
                <w:color w:val="000000" w:themeColor="text1"/>
                <w:kern w:val="0"/>
              </w:rPr>
              <w:t>IV</w:t>
            </w:r>
            <w:r>
              <w:rPr>
                <w:rFonts w:ascii="Times New Roman" w:eastAsia="宋体" w:hAnsi="Times New Roman" w:cs="Times New Roman"/>
                <w:color w:val="000000" w:themeColor="text1"/>
                <w:kern w:val="0"/>
                <w:sz w:val="20"/>
                <w:szCs w:val="20"/>
              </w:rPr>
              <w:fldChar w:fldCharType="end"/>
            </w:r>
            <w:r>
              <w:rPr>
                <w:rFonts w:ascii="Times New Roman" w:eastAsia="宋体" w:hAnsi="Times New Roman" w:cs="Times New Roman"/>
                <w:color w:val="000000" w:themeColor="text1"/>
                <w:kern w:val="0"/>
                <w:vertAlign w:val="superscript"/>
              </w:rPr>
              <w:t>+</w:t>
            </w:r>
          </w:p>
        </w:tc>
        <w:tc>
          <w:tcPr>
            <w:tcW w:w="137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sz w:val="20"/>
                <w:szCs w:val="20"/>
              </w:rPr>
              <w:fldChar w:fldCharType="begin"/>
            </w:r>
            <w:r>
              <w:rPr>
                <w:rFonts w:ascii="Times New Roman" w:eastAsia="宋体" w:hAnsi="Times New Roman" w:cs="Times New Roman"/>
                <w:color w:val="000000" w:themeColor="text1"/>
                <w:kern w:val="0"/>
              </w:rPr>
              <w:instrText xml:space="preserve"> = 4 \* ROMAN </w:instrText>
            </w:r>
            <w:r>
              <w:rPr>
                <w:rFonts w:ascii="Times New Roman" w:eastAsia="宋体" w:hAnsi="Times New Roman" w:cs="Times New Roman"/>
                <w:color w:val="000000" w:themeColor="text1"/>
                <w:kern w:val="0"/>
                <w:sz w:val="20"/>
                <w:szCs w:val="20"/>
              </w:rPr>
              <w:fldChar w:fldCharType="separate"/>
            </w:r>
            <w:r>
              <w:rPr>
                <w:rFonts w:ascii="Times New Roman" w:eastAsia="宋体" w:hAnsi="Times New Roman" w:cs="Times New Roman"/>
                <w:color w:val="000000" w:themeColor="text1"/>
                <w:kern w:val="0"/>
              </w:rPr>
              <w:t>IV</w:t>
            </w:r>
            <w:r>
              <w:rPr>
                <w:rFonts w:ascii="Times New Roman" w:eastAsia="宋体" w:hAnsi="Times New Roman" w:cs="Times New Roman"/>
                <w:color w:val="000000" w:themeColor="text1"/>
                <w:kern w:val="0"/>
                <w:sz w:val="20"/>
                <w:szCs w:val="20"/>
              </w:rPr>
              <w:fldChar w:fldCharType="end"/>
            </w:r>
          </w:p>
        </w:tc>
        <w:tc>
          <w:tcPr>
            <w:tcW w:w="154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sz w:val="20"/>
                <w:szCs w:val="20"/>
              </w:rPr>
              <w:fldChar w:fldCharType="begin"/>
            </w:r>
            <w:r>
              <w:rPr>
                <w:rFonts w:ascii="Times New Roman" w:eastAsia="宋体" w:hAnsi="Times New Roman" w:cs="Times New Roman"/>
                <w:color w:val="000000" w:themeColor="text1"/>
                <w:kern w:val="0"/>
              </w:rPr>
              <w:instrText xml:space="preserve"> = 3 \* ROMAN </w:instrText>
            </w:r>
            <w:r>
              <w:rPr>
                <w:rFonts w:ascii="Times New Roman" w:eastAsia="宋体" w:hAnsi="Times New Roman" w:cs="Times New Roman"/>
                <w:color w:val="000000" w:themeColor="text1"/>
                <w:kern w:val="0"/>
                <w:sz w:val="20"/>
                <w:szCs w:val="20"/>
              </w:rPr>
              <w:fldChar w:fldCharType="separate"/>
            </w:r>
            <w:r>
              <w:rPr>
                <w:rFonts w:ascii="Times New Roman" w:eastAsia="宋体" w:hAnsi="Times New Roman" w:cs="Times New Roman"/>
                <w:color w:val="000000" w:themeColor="text1"/>
                <w:kern w:val="0"/>
              </w:rPr>
              <w:t>III</w:t>
            </w:r>
            <w:r>
              <w:rPr>
                <w:rFonts w:ascii="Times New Roman" w:eastAsia="宋体" w:hAnsi="Times New Roman" w:cs="Times New Roman"/>
                <w:color w:val="000000" w:themeColor="text1"/>
                <w:kern w:val="0"/>
                <w:sz w:val="20"/>
                <w:szCs w:val="20"/>
              </w:rPr>
              <w:fldChar w:fldCharType="end"/>
            </w:r>
          </w:p>
        </w:tc>
        <w:tc>
          <w:tcPr>
            <w:tcW w:w="1546"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sz w:val="20"/>
                <w:szCs w:val="20"/>
              </w:rPr>
              <w:fldChar w:fldCharType="begin"/>
            </w:r>
            <w:r>
              <w:rPr>
                <w:rFonts w:ascii="Times New Roman" w:eastAsia="宋体" w:hAnsi="Times New Roman" w:cs="Times New Roman"/>
                <w:color w:val="000000" w:themeColor="text1"/>
                <w:kern w:val="0"/>
              </w:rPr>
              <w:instrText xml:space="preserve"> = 3 \* ROMAN </w:instrText>
            </w:r>
            <w:r>
              <w:rPr>
                <w:rFonts w:ascii="Times New Roman" w:eastAsia="宋体" w:hAnsi="Times New Roman" w:cs="Times New Roman"/>
                <w:color w:val="000000" w:themeColor="text1"/>
                <w:kern w:val="0"/>
                <w:sz w:val="20"/>
                <w:szCs w:val="20"/>
              </w:rPr>
              <w:fldChar w:fldCharType="separate"/>
            </w:r>
            <w:r>
              <w:rPr>
                <w:rFonts w:ascii="Times New Roman" w:eastAsia="宋体" w:hAnsi="Times New Roman" w:cs="Times New Roman"/>
                <w:color w:val="000000" w:themeColor="text1"/>
                <w:kern w:val="0"/>
              </w:rPr>
              <w:t>III</w:t>
            </w:r>
            <w:r>
              <w:rPr>
                <w:rFonts w:ascii="Times New Roman" w:eastAsia="宋体" w:hAnsi="Times New Roman" w:cs="Times New Roman"/>
                <w:color w:val="000000" w:themeColor="text1"/>
                <w:kern w:val="0"/>
                <w:sz w:val="20"/>
                <w:szCs w:val="20"/>
              </w:rPr>
              <w:fldChar w:fldCharType="end"/>
            </w:r>
          </w:p>
        </w:tc>
      </w:tr>
      <w:tr w:rsidR="00C861DA">
        <w:trPr>
          <w:trHeight w:val="369"/>
          <w:jc w:val="center"/>
        </w:trPr>
        <w:tc>
          <w:tcPr>
            <w:tcW w:w="2404"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环境中</w:t>
            </w:r>
            <w:r>
              <w:rPr>
                <w:rFonts w:ascii="Times New Roman" w:eastAsia="宋体" w:hAnsi="Times New Roman" w:cs="Times New Roman" w:hint="eastAsia"/>
                <w:color w:val="000000" w:themeColor="text1"/>
                <w:kern w:val="0"/>
              </w:rPr>
              <w:t>度</w:t>
            </w:r>
            <w:r>
              <w:rPr>
                <w:rFonts w:ascii="Times New Roman" w:eastAsia="宋体" w:hAnsi="Times New Roman" w:cs="Times New Roman"/>
                <w:color w:val="000000" w:themeColor="text1"/>
                <w:kern w:val="0"/>
              </w:rPr>
              <w:t>敏感区（</w:t>
            </w:r>
            <w:r>
              <w:rPr>
                <w:rFonts w:ascii="Times New Roman" w:eastAsia="宋体" w:hAnsi="Times New Roman" w:cs="Times New Roman"/>
                <w:color w:val="000000" w:themeColor="text1"/>
                <w:kern w:val="0"/>
              </w:rPr>
              <w:t>E2</w:t>
            </w:r>
            <w:r>
              <w:rPr>
                <w:rFonts w:ascii="Times New Roman" w:eastAsia="宋体" w:hAnsi="Times New Roman" w:cs="Times New Roman"/>
                <w:color w:val="000000" w:themeColor="text1"/>
                <w:kern w:val="0"/>
              </w:rPr>
              <w:t>）</w:t>
            </w:r>
          </w:p>
        </w:tc>
        <w:tc>
          <w:tcPr>
            <w:tcW w:w="141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sz w:val="20"/>
                <w:szCs w:val="20"/>
              </w:rPr>
              <w:fldChar w:fldCharType="begin"/>
            </w:r>
            <w:r>
              <w:rPr>
                <w:rFonts w:ascii="Times New Roman" w:eastAsia="宋体" w:hAnsi="Times New Roman" w:cs="Times New Roman"/>
                <w:color w:val="000000" w:themeColor="text1"/>
                <w:kern w:val="0"/>
              </w:rPr>
              <w:instrText xml:space="preserve"> = 4 \* ROMAN </w:instrText>
            </w:r>
            <w:r>
              <w:rPr>
                <w:rFonts w:ascii="Times New Roman" w:eastAsia="宋体" w:hAnsi="Times New Roman" w:cs="Times New Roman"/>
                <w:color w:val="000000" w:themeColor="text1"/>
                <w:kern w:val="0"/>
                <w:sz w:val="20"/>
                <w:szCs w:val="20"/>
              </w:rPr>
              <w:fldChar w:fldCharType="separate"/>
            </w:r>
            <w:r>
              <w:rPr>
                <w:rFonts w:ascii="Times New Roman" w:eastAsia="宋体" w:hAnsi="Times New Roman" w:cs="Times New Roman"/>
                <w:color w:val="000000" w:themeColor="text1"/>
                <w:kern w:val="0"/>
              </w:rPr>
              <w:t>IV</w:t>
            </w:r>
            <w:r>
              <w:rPr>
                <w:rFonts w:ascii="Times New Roman" w:eastAsia="宋体" w:hAnsi="Times New Roman" w:cs="Times New Roman"/>
                <w:color w:val="000000" w:themeColor="text1"/>
                <w:kern w:val="0"/>
                <w:sz w:val="20"/>
                <w:szCs w:val="20"/>
              </w:rPr>
              <w:fldChar w:fldCharType="end"/>
            </w:r>
          </w:p>
        </w:tc>
        <w:tc>
          <w:tcPr>
            <w:tcW w:w="137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sz w:val="20"/>
                <w:szCs w:val="20"/>
              </w:rPr>
              <w:fldChar w:fldCharType="begin"/>
            </w:r>
            <w:r>
              <w:rPr>
                <w:rFonts w:ascii="Times New Roman" w:eastAsia="宋体" w:hAnsi="Times New Roman" w:cs="Times New Roman"/>
                <w:color w:val="000000" w:themeColor="text1"/>
                <w:kern w:val="0"/>
              </w:rPr>
              <w:instrText xml:space="preserve"> = 3 \* ROMAN </w:instrText>
            </w:r>
            <w:r>
              <w:rPr>
                <w:rFonts w:ascii="Times New Roman" w:eastAsia="宋体" w:hAnsi="Times New Roman" w:cs="Times New Roman"/>
                <w:color w:val="000000" w:themeColor="text1"/>
                <w:kern w:val="0"/>
                <w:sz w:val="20"/>
                <w:szCs w:val="20"/>
              </w:rPr>
              <w:fldChar w:fldCharType="separate"/>
            </w:r>
            <w:r>
              <w:rPr>
                <w:rFonts w:ascii="Times New Roman" w:eastAsia="宋体" w:hAnsi="Times New Roman" w:cs="Times New Roman"/>
                <w:color w:val="000000" w:themeColor="text1"/>
                <w:kern w:val="0"/>
              </w:rPr>
              <w:t>III</w:t>
            </w:r>
            <w:r>
              <w:rPr>
                <w:rFonts w:ascii="Times New Roman" w:eastAsia="宋体" w:hAnsi="Times New Roman" w:cs="Times New Roman"/>
                <w:color w:val="000000" w:themeColor="text1"/>
                <w:kern w:val="0"/>
                <w:sz w:val="20"/>
                <w:szCs w:val="20"/>
              </w:rPr>
              <w:fldChar w:fldCharType="end"/>
            </w:r>
          </w:p>
        </w:tc>
        <w:tc>
          <w:tcPr>
            <w:tcW w:w="154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sz w:val="20"/>
                <w:szCs w:val="20"/>
              </w:rPr>
              <w:fldChar w:fldCharType="begin"/>
            </w:r>
            <w:r>
              <w:rPr>
                <w:rFonts w:ascii="Times New Roman" w:eastAsia="宋体" w:hAnsi="Times New Roman" w:cs="Times New Roman"/>
                <w:color w:val="000000" w:themeColor="text1"/>
                <w:kern w:val="0"/>
              </w:rPr>
              <w:instrText xml:space="preserve"> = 3 \* ROMAN </w:instrText>
            </w:r>
            <w:r>
              <w:rPr>
                <w:rFonts w:ascii="Times New Roman" w:eastAsia="宋体" w:hAnsi="Times New Roman" w:cs="Times New Roman"/>
                <w:color w:val="000000" w:themeColor="text1"/>
                <w:kern w:val="0"/>
                <w:sz w:val="20"/>
                <w:szCs w:val="20"/>
              </w:rPr>
              <w:fldChar w:fldCharType="separate"/>
            </w:r>
            <w:r>
              <w:rPr>
                <w:rFonts w:ascii="Times New Roman" w:eastAsia="宋体" w:hAnsi="Times New Roman" w:cs="Times New Roman"/>
                <w:color w:val="000000" w:themeColor="text1"/>
                <w:kern w:val="0"/>
              </w:rPr>
              <w:t>III</w:t>
            </w:r>
            <w:r>
              <w:rPr>
                <w:rFonts w:ascii="Times New Roman" w:eastAsia="宋体" w:hAnsi="Times New Roman" w:cs="Times New Roman"/>
                <w:color w:val="000000" w:themeColor="text1"/>
                <w:kern w:val="0"/>
                <w:sz w:val="20"/>
                <w:szCs w:val="20"/>
              </w:rPr>
              <w:fldChar w:fldCharType="end"/>
            </w:r>
          </w:p>
        </w:tc>
        <w:tc>
          <w:tcPr>
            <w:tcW w:w="1546"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sz w:val="20"/>
                <w:szCs w:val="20"/>
              </w:rPr>
              <w:fldChar w:fldCharType="begin"/>
            </w:r>
            <w:r>
              <w:rPr>
                <w:rFonts w:ascii="Times New Roman" w:eastAsia="宋体" w:hAnsi="Times New Roman" w:cs="Times New Roman"/>
                <w:color w:val="000000" w:themeColor="text1"/>
                <w:kern w:val="0"/>
              </w:rPr>
              <w:instrText xml:space="preserve"> = 2 \* ROMAN </w:instrText>
            </w:r>
            <w:r>
              <w:rPr>
                <w:rFonts w:ascii="Times New Roman" w:eastAsia="宋体" w:hAnsi="Times New Roman" w:cs="Times New Roman"/>
                <w:color w:val="000000" w:themeColor="text1"/>
                <w:kern w:val="0"/>
                <w:sz w:val="20"/>
                <w:szCs w:val="20"/>
              </w:rPr>
              <w:fldChar w:fldCharType="separate"/>
            </w:r>
            <w:r>
              <w:rPr>
                <w:rFonts w:ascii="Times New Roman" w:eastAsia="宋体" w:hAnsi="Times New Roman" w:cs="Times New Roman"/>
                <w:color w:val="000000" w:themeColor="text1"/>
                <w:kern w:val="0"/>
              </w:rPr>
              <w:t>II</w:t>
            </w:r>
            <w:r>
              <w:rPr>
                <w:rFonts w:ascii="Times New Roman" w:eastAsia="宋体" w:hAnsi="Times New Roman" w:cs="Times New Roman"/>
                <w:color w:val="000000" w:themeColor="text1"/>
                <w:kern w:val="0"/>
                <w:sz w:val="20"/>
                <w:szCs w:val="20"/>
              </w:rPr>
              <w:fldChar w:fldCharType="end"/>
            </w:r>
          </w:p>
        </w:tc>
      </w:tr>
      <w:tr w:rsidR="00C861DA">
        <w:trPr>
          <w:trHeight w:val="369"/>
          <w:jc w:val="center"/>
        </w:trPr>
        <w:tc>
          <w:tcPr>
            <w:tcW w:w="2404"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环境低敏感度区（</w:t>
            </w:r>
            <w:r>
              <w:rPr>
                <w:rFonts w:ascii="Times New Roman" w:eastAsia="宋体" w:hAnsi="Times New Roman" w:cs="Times New Roman"/>
                <w:color w:val="000000" w:themeColor="text1"/>
                <w:kern w:val="0"/>
              </w:rPr>
              <w:t>E3</w:t>
            </w:r>
            <w:r>
              <w:rPr>
                <w:rFonts w:ascii="Times New Roman" w:eastAsia="宋体" w:hAnsi="Times New Roman" w:cs="Times New Roman"/>
                <w:color w:val="000000" w:themeColor="text1"/>
                <w:kern w:val="0"/>
              </w:rPr>
              <w:t>）</w:t>
            </w:r>
          </w:p>
        </w:tc>
        <w:tc>
          <w:tcPr>
            <w:tcW w:w="141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sz w:val="20"/>
                <w:szCs w:val="20"/>
              </w:rPr>
              <w:fldChar w:fldCharType="begin"/>
            </w:r>
            <w:r>
              <w:rPr>
                <w:rFonts w:ascii="Times New Roman" w:eastAsia="宋体" w:hAnsi="Times New Roman" w:cs="Times New Roman"/>
                <w:color w:val="000000" w:themeColor="text1"/>
                <w:kern w:val="0"/>
              </w:rPr>
              <w:instrText xml:space="preserve"> = 3 \* ROMAN </w:instrText>
            </w:r>
            <w:r>
              <w:rPr>
                <w:rFonts w:ascii="Times New Roman" w:eastAsia="宋体" w:hAnsi="Times New Roman" w:cs="Times New Roman"/>
                <w:color w:val="000000" w:themeColor="text1"/>
                <w:kern w:val="0"/>
                <w:sz w:val="20"/>
                <w:szCs w:val="20"/>
              </w:rPr>
              <w:fldChar w:fldCharType="separate"/>
            </w:r>
            <w:r>
              <w:rPr>
                <w:rFonts w:ascii="Times New Roman" w:eastAsia="宋体" w:hAnsi="Times New Roman" w:cs="Times New Roman"/>
                <w:color w:val="000000" w:themeColor="text1"/>
                <w:kern w:val="0"/>
              </w:rPr>
              <w:t>III</w:t>
            </w:r>
            <w:r>
              <w:rPr>
                <w:rFonts w:ascii="Times New Roman" w:eastAsia="宋体" w:hAnsi="Times New Roman" w:cs="Times New Roman"/>
                <w:color w:val="000000" w:themeColor="text1"/>
                <w:kern w:val="0"/>
                <w:sz w:val="20"/>
                <w:szCs w:val="20"/>
              </w:rPr>
              <w:fldChar w:fldCharType="end"/>
            </w:r>
          </w:p>
        </w:tc>
        <w:tc>
          <w:tcPr>
            <w:tcW w:w="137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sz w:val="20"/>
                <w:szCs w:val="20"/>
              </w:rPr>
              <w:fldChar w:fldCharType="begin"/>
            </w:r>
            <w:r>
              <w:rPr>
                <w:rFonts w:ascii="Times New Roman" w:eastAsia="宋体" w:hAnsi="Times New Roman" w:cs="Times New Roman"/>
                <w:color w:val="000000" w:themeColor="text1"/>
                <w:kern w:val="0"/>
              </w:rPr>
              <w:instrText xml:space="preserve"> = 3 \* ROMAN </w:instrText>
            </w:r>
            <w:r>
              <w:rPr>
                <w:rFonts w:ascii="Times New Roman" w:eastAsia="宋体" w:hAnsi="Times New Roman" w:cs="Times New Roman"/>
                <w:color w:val="000000" w:themeColor="text1"/>
                <w:kern w:val="0"/>
                <w:sz w:val="20"/>
                <w:szCs w:val="20"/>
              </w:rPr>
              <w:fldChar w:fldCharType="separate"/>
            </w:r>
            <w:r>
              <w:rPr>
                <w:rFonts w:ascii="Times New Roman" w:eastAsia="宋体" w:hAnsi="Times New Roman" w:cs="Times New Roman"/>
                <w:color w:val="000000" w:themeColor="text1"/>
                <w:kern w:val="0"/>
              </w:rPr>
              <w:t>III</w:t>
            </w:r>
            <w:r>
              <w:rPr>
                <w:rFonts w:ascii="Times New Roman" w:eastAsia="宋体" w:hAnsi="Times New Roman" w:cs="Times New Roman"/>
                <w:color w:val="000000" w:themeColor="text1"/>
                <w:kern w:val="0"/>
                <w:sz w:val="20"/>
                <w:szCs w:val="20"/>
              </w:rPr>
              <w:fldChar w:fldCharType="end"/>
            </w:r>
          </w:p>
        </w:tc>
        <w:tc>
          <w:tcPr>
            <w:tcW w:w="154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sz w:val="20"/>
                <w:szCs w:val="20"/>
              </w:rPr>
              <w:fldChar w:fldCharType="begin"/>
            </w:r>
            <w:r>
              <w:rPr>
                <w:rFonts w:ascii="Times New Roman" w:eastAsia="宋体" w:hAnsi="Times New Roman" w:cs="Times New Roman"/>
                <w:color w:val="000000" w:themeColor="text1"/>
                <w:kern w:val="0"/>
              </w:rPr>
              <w:instrText xml:space="preserve"> = 2 \* ROMAN </w:instrText>
            </w:r>
            <w:r>
              <w:rPr>
                <w:rFonts w:ascii="Times New Roman" w:eastAsia="宋体" w:hAnsi="Times New Roman" w:cs="Times New Roman"/>
                <w:color w:val="000000" w:themeColor="text1"/>
                <w:kern w:val="0"/>
                <w:sz w:val="20"/>
                <w:szCs w:val="20"/>
              </w:rPr>
              <w:fldChar w:fldCharType="separate"/>
            </w:r>
            <w:r>
              <w:rPr>
                <w:rFonts w:ascii="Times New Roman" w:eastAsia="宋体" w:hAnsi="Times New Roman" w:cs="Times New Roman"/>
                <w:color w:val="000000" w:themeColor="text1"/>
                <w:kern w:val="0"/>
              </w:rPr>
              <w:t>II</w:t>
            </w:r>
            <w:r>
              <w:rPr>
                <w:rFonts w:ascii="Times New Roman" w:eastAsia="宋体" w:hAnsi="Times New Roman" w:cs="Times New Roman"/>
                <w:color w:val="000000" w:themeColor="text1"/>
                <w:kern w:val="0"/>
                <w:sz w:val="20"/>
                <w:szCs w:val="20"/>
              </w:rPr>
              <w:fldChar w:fldCharType="end"/>
            </w:r>
          </w:p>
        </w:tc>
        <w:tc>
          <w:tcPr>
            <w:tcW w:w="1546"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sz w:val="20"/>
                <w:szCs w:val="20"/>
              </w:rPr>
              <w:fldChar w:fldCharType="begin"/>
            </w:r>
            <w:r>
              <w:rPr>
                <w:rFonts w:ascii="Times New Roman" w:eastAsia="宋体" w:hAnsi="Times New Roman" w:cs="Times New Roman"/>
                <w:color w:val="000000" w:themeColor="text1"/>
                <w:kern w:val="0"/>
              </w:rPr>
              <w:instrText xml:space="preserve"> = 1 \* ROMAN </w:instrText>
            </w:r>
            <w:r>
              <w:rPr>
                <w:rFonts w:ascii="Times New Roman" w:eastAsia="宋体" w:hAnsi="Times New Roman" w:cs="Times New Roman"/>
                <w:color w:val="000000" w:themeColor="text1"/>
                <w:kern w:val="0"/>
                <w:sz w:val="20"/>
                <w:szCs w:val="20"/>
              </w:rPr>
              <w:fldChar w:fldCharType="separate"/>
            </w:r>
            <w:r>
              <w:rPr>
                <w:rFonts w:ascii="Times New Roman" w:eastAsia="宋体" w:hAnsi="Times New Roman" w:cs="Times New Roman"/>
                <w:color w:val="000000" w:themeColor="text1"/>
                <w:kern w:val="0"/>
              </w:rPr>
              <w:t>I</w:t>
            </w:r>
            <w:r>
              <w:rPr>
                <w:rFonts w:ascii="Times New Roman" w:eastAsia="宋体" w:hAnsi="Times New Roman" w:cs="Times New Roman"/>
                <w:color w:val="000000" w:themeColor="text1"/>
                <w:kern w:val="0"/>
                <w:sz w:val="20"/>
                <w:szCs w:val="20"/>
              </w:rPr>
              <w:fldChar w:fldCharType="end"/>
            </w:r>
          </w:p>
        </w:tc>
      </w:tr>
      <w:tr w:rsidR="00C861DA">
        <w:trPr>
          <w:trHeight w:val="369"/>
          <w:jc w:val="center"/>
        </w:trPr>
        <w:tc>
          <w:tcPr>
            <w:tcW w:w="8296" w:type="dxa"/>
            <w:gridSpan w:val="5"/>
            <w:vAlign w:val="center"/>
          </w:tcPr>
          <w:p w:rsidR="00C861DA" w:rsidRDefault="0044752E">
            <w:pP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注：</w:t>
            </w:r>
            <w:r>
              <w:rPr>
                <w:rFonts w:ascii="Times New Roman" w:eastAsia="宋体" w:hAnsi="Times New Roman" w:cs="Times New Roman"/>
                <w:color w:val="000000" w:themeColor="text1"/>
                <w:kern w:val="0"/>
                <w:sz w:val="20"/>
                <w:szCs w:val="20"/>
              </w:rPr>
              <w:fldChar w:fldCharType="begin"/>
            </w:r>
            <w:r>
              <w:rPr>
                <w:rFonts w:ascii="Times New Roman" w:eastAsia="宋体" w:hAnsi="Times New Roman" w:cs="Times New Roman"/>
                <w:color w:val="000000" w:themeColor="text1"/>
                <w:kern w:val="0"/>
              </w:rPr>
              <w:instrText xml:space="preserve"> = 4 \* ROMAN </w:instrText>
            </w:r>
            <w:r>
              <w:rPr>
                <w:rFonts w:ascii="Times New Roman" w:eastAsia="宋体" w:hAnsi="Times New Roman" w:cs="Times New Roman"/>
                <w:color w:val="000000" w:themeColor="text1"/>
                <w:kern w:val="0"/>
                <w:sz w:val="20"/>
                <w:szCs w:val="20"/>
              </w:rPr>
              <w:fldChar w:fldCharType="separate"/>
            </w:r>
            <w:r>
              <w:rPr>
                <w:rFonts w:ascii="Times New Roman" w:eastAsia="宋体" w:hAnsi="Times New Roman" w:cs="Times New Roman"/>
                <w:color w:val="000000" w:themeColor="text1"/>
                <w:kern w:val="0"/>
              </w:rPr>
              <w:t>IV</w:t>
            </w:r>
            <w:r>
              <w:rPr>
                <w:rFonts w:ascii="Times New Roman" w:eastAsia="宋体" w:hAnsi="Times New Roman" w:cs="Times New Roman"/>
                <w:color w:val="000000" w:themeColor="text1"/>
                <w:kern w:val="0"/>
                <w:sz w:val="20"/>
                <w:szCs w:val="20"/>
              </w:rPr>
              <w:fldChar w:fldCharType="end"/>
            </w:r>
            <w:r>
              <w:rPr>
                <w:rFonts w:ascii="Times New Roman" w:eastAsia="宋体" w:hAnsi="Times New Roman" w:cs="Times New Roman"/>
                <w:color w:val="000000" w:themeColor="text1"/>
                <w:kern w:val="0"/>
                <w:vertAlign w:val="superscript"/>
              </w:rPr>
              <w:t>+</w:t>
            </w:r>
            <w:r>
              <w:rPr>
                <w:rFonts w:ascii="Times New Roman" w:eastAsia="宋体" w:hAnsi="Times New Roman" w:cs="Times New Roman"/>
                <w:color w:val="000000" w:themeColor="text1"/>
                <w:kern w:val="0"/>
              </w:rPr>
              <w:t>为极高环境风险。</w:t>
            </w:r>
          </w:p>
        </w:tc>
      </w:tr>
    </w:tbl>
    <w:p w:rsidR="00C861DA" w:rsidRDefault="0044752E">
      <w:pPr>
        <w:pStyle w:val="afe"/>
        <w:pBdr>
          <w:bottom w:val="single" w:sz="6" w:space="13" w:color="auto"/>
        </w:pBdr>
        <w:spacing w:beforeLines="50" w:before="156" w:line="360" w:lineRule="auto"/>
        <w:ind w:firstLineChars="200" w:firstLine="480"/>
        <w:jc w:val="both"/>
        <w:rPr>
          <w:rFonts w:ascii="Times New Roman" w:eastAsia="宋体" w:hAnsi="Times New Roman" w:cs="Times New Roman"/>
          <w:b/>
          <w:color w:val="000000" w:themeColor="text1"/>
          <w:sz w:val="24"/>
        </w:rPr>
      </w:pPr>
      <w:r>
        <w:rPr>
          <w:rFonts w:ascii="Times New Roman" w:eastAsia="宋体" w:hAnsi="Times New Roman" w:cs="Times New Roman" w:hint="eastAsia"/>
          <w:color w:val="000000" w:themeColor="text1"/>
          <w:sz w:val="24"/>
          <w:szCs w:val="24"/>
        </w:rPr>
        <w:t>根据上述分析，本项目</w:t>
      </w:r>
      <w:r>
        <w:rPr>
          <w:rFonts w:ascii="Times New Roman" w:eastAsia="宋体" w:hAnsi="Times New Roman" w:cs="Times New Roman" w:hint="eastAsia"/>
          <w:color w:val="000000" w:themeColor="text1"/>
          <w:sz w:val="24"/>
          <w:szCs w:val="24"/>
        </w:rPr>
        <w:t>P</w:t>
      </w:r>
      <w:r>
        <w:rPr>
          <w:rFonts w:ascii="Times New Roman" w:eastAsia="宋体" w:hAnsi="Times New Roman" w:cs="Times New Roman"/>
          <w:color w:val="000000" w:themeColor="text1"/>
          <w:sz w:val="24"/>
          <w:szCs w:val="24"/>
        </w:rPr>
        <w:t>2</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E</w:t>
      </w:r>
      <w:r>
        <w:rPr>
          <w:rFonts w:ascii="Times New Roman" w:eastAsia="宋体" w:hAnsi="Times New Roman" w:cs="Times New Roman"/>
          <w:color w:val="000000" w:themeColor="text1"/>
          <w:sz w:val="24"/>
          <w:szCs w:val="24"/>
        </w:rPr>
        <w:t>3</w:t>
      </w:r>
      <w:r>
        <w:rPr>
          <w:rFonts w:ascii="Times New Roman" w:eastAsia="宋体" w:hAnsi="Times New Roman" w:cs="Times New Roman" w:hint="eastAsia"/>
          <w:color w:val="000000" w:themeColor="text1"/>
          <w:sz w:val="24"/>
          <w:szCs w:val="24"/>
        </w:rPr>
        <w:t>，则风险潜势为</w:t>
      </w:r>
      <w:r>
        <w:rPr>
          <w:rFonts w:ascii="Times New Roman" w:eastAsia="宋体"/>
          <w:color w:val="000000" w:themeColor="text1"/>
          <w:sz w:val="24"/>
          <w:szCs w:val="24"/>
        </w:rPr>
        <w:fldChar w:fldCharType="begin"/>
      </w:r>
      <w:r>
        <w:rPr>
          <w:rFonts w:ascii="Times New Roman" w:eastAsia="宋体"/>
          <w:color w:val="000000" w:themeColor="text1"/>
          <w:sz w:val="24"/>
          <w:szCs w:val="24"/>
        </w:rPr>
        <w:instrText xml:space="preserve"> = 3 \* ROMAN </w:instrText>
      </w:r>
      <w:r>
        <w:rPr>
          <w:rFonts w:ascii="Times New Roman" w:eastAsia="宋体"/>
          <w:color w:val="000000" w:themeColor="text1"/>
          <w:sz w:val="24"/>
          <w:szCs w:val="24"/>
        </w:rPr>
        <w:fldChar w:fldCharType="separate"/>
      </w:r>
      <w:r>
        <w:rPr>
          <w:rFonts w:ascii="Times New Roman" w:eastAsia="宋体"/>
          <w:color w:val="000000" w:themeColor="text1"/>
          <w:sz w:val="24"/>
          <w:szCs w:val="24"/>
        </w:rPr>
        <w:t>III</w:t>
      </w:r>
      <w:r>
        <w:rPr>
          <w:rFonts w:ascii="Times New Roman" w:eastAsia="宋体"/>
          <w:color w:val="000000" w:themeColor="text1"/>
          <w:sz w:val="24"/>
          <w:szCs w:val="24"/>
        </w:rPr>
        <w:fldChar w:fldCharType="end"/>
      </w:r>
      <w:r>
        <w:rPr>
          <w:rFonts w:ascii="Times New Roman" w:eastAsia="宋体" w:hint="eastAsia"/>
          <w:color w:val="000000" w:themeColor="text1"/>
          <w:sz w:val="24"/>
          <w:szCs w:val="24"/>
        </w:rPr>
        <w:t>，即风险评价等级为二级。</w:t>
      </w:r>
    </w:p>
    <w:bookmarkStart w:id="172" w:name="_Toc6327"/>
    <w:bookmarkStart w:id="173" w:name="_Toc27360"/>
    <w:bookmarkStart w:id="174" w:name="_Toc989"/>
    <w:bookmarkStart w:id="175" w:name="_Toc30531"/>
    <w:p w:rsidR="00C861DA" w:rsidRDefault="0044752E">
      <w:pPr>
        <w:pStyle w:val="32"/>
        <w:rPr>
          <w:rFonts w:ascii="Times New Roman" w:eastAsia="宋体"/>
          <w:b w:val="0"/>
          <w:bCs w:val="0"/>
          <w:color w:val="000000" w:themeColor="text1"/>
          <w:sz w:val="24"/>
          <w:szCs w:val="24"/>
        </w:rPr>
      </w:pPr>
      <w:r>
        <w:rPr>
          <w:rFonts w:ascii="Times New Roman" w:eastAsia="宋体" w:hint="eastAsia"/>
          <w:b w:val="0"/>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"_Toc512505411" </w:instrText>
      </w:r>
      <w:r>
        <w:rPr>
          <w:rFonts w:ascii="Times New Roman" w:eastAsia="宋体" w:hint="eastAsia"/>
          <w:b w:val="0"/>
          <w:bCs w:val="0"/>
          <w:color w:val="000000" w:themeColor="text1"/>
          <w:sz w:val="24"/>
          <w:szCs w:val="24"/>
        </w:rPr>
        <w:fldChar w:fldCharType="separate"/>
      </w:r>
      <w:bookmarkStart w:id="176" w:name="_Toc6826775"/>
      <w:r>
        <w:rPr>
          <w:rFonts w:ascii="Times New Roman" w:eastAsia="宋体" w:hint="eastAsia"/>
          <w:bCs w:val="0"/>
          <w:color w:val="000000" w:themeColor="text1"/>
          <w:sz w:val="24"/>
          <w:szCs w:val="24"/>
        </w:rPr>
        <w:t>2.6.2</w:t>
      </w:r>
      <w:r>
        <w:rPr>
          <w:rFonts w:ascii="Times New Roman" w:eastAsia="宋体" w:hint="eastAsia"/>
          <w:bCs w:val="0"/>
          <w:color w:val="000000" w:themeColor="text1"/>
          <w:sz w:val="24"/>
          <w:szCs w:val="24"/>
        </w:rPr>
        <w:t>评价范围</w:t>
      </w:r>
      <w:bookmarkEnd w:id="176"/>
      <w:r>
        <w:rPr>
          <w:rFonts w:ascii="Times New Roman" w:eastAsia="宋体" w:hint="eastAsia"/>
          <w:b w:val="0"/>
          <w:bCs w:val="0"/>
          <w:color w:val="000000" w:themeColor="text1"/>
          <w:sz w:val="24"/>
          <w:szCs w:val="24"/>
        </w:rPr>
        <w:fldChar w:fldCharType="end"/>
      </w:r>
      <w:bookmarkEnd w:id="172"/>
      <w:bookmarkEnd w:id="173"/>
      <w:bookmarkEnd w:id="174"/>
      <w:bookmarkEnd w:id="175"/>
    </w:p>
    <w:p w:rsidR="00C861DA" w:rsidRDefault="0044752E">
      <w:pPr>
        <w:spacing w:line="360" w:lineRule="auto"/>
        <w:ind w:firstLineChars="200" w:firstLine="482"/>
        <w:rPr>
          <w:rFonts w:ascii="Times New Roman" w:eastAsia="宋体" w:cs="仿宋"/>
          <w:b/>
          <w:bCs/>
          <w:color w:val="000000" w:themeColor="text1"/>
          <w:sz w:val="24"/>
          <w:szCs w:val="24"/>
        </w:rPr>
      </w:pPr>
      <w:r>
        <w:rPr>
          <w:rFonts w:ascii="Times New Roman" w:eastAsia="宋体" w:cs="仿宋" w:hint="eastAsia"/>
          <w:b/>
          <w:bCs/>
          <w:color w:val="000000" w:themeColor="text1"/>
          <w:sz w:val="24"/>
          <w:szCs w:val="24"/>
        </w:rPr>
        <w:t>（</w:t>
      </w:r>
      <w:r>
        <w:rPr>
          <w:rFonts w:ascii="Times New Roman" w:eastAsia="宋体" w:cs="仿宋" w:hint="eastAsia"/>
          <w:b/>
          <w:bCs/>
          <w:color w:val="000000" w:themeColor="text1"/>
          <w:sz w:val="24"/>
          <w:szCs w:val="24"/>
        </w:rPr>
        <w:t>1</w:t>
      </w:r>
      <w:r>
        <w:rPr>
          <w:rFonts w:ascii="Times New Roman" w:eastAsia="宋体" w:cs="仿宋" w:hint="eastAsia"/>
          <w:b/>
          <w:bCs/>
          <w:color w:val="000000" w:themeColor="text1"/>
          <w:sz w:val="24"/>
          <w:szCs w:val="24"/>
        </w:rPr>
        <w:t>）大气环境</w:t>
      </w:r>
    </w:p>
    <w:p w:rsidR="00C861DA" w:rsidRDefault="0044752E">
      <w:pPr>
        <w:spacing w:line="360" w:lineRule="auto"/>
        <w:ind w:firstLine="480"/>
        <w:rPr>
          <w:rFonts w:ascii="Times New Roman" w:eastAsia="宋体" w:cs="仿宋"/>
          <w:color w:val="000000" w:themeColor="text1"/>
          <w:sz w:val="24"/>
          <w:szCs w:val="24"/>
        </w:rPr>
      </w:pPr>
      <w:r>
        <w:rPr>
          <w:rFonts w:ascii="Times New Roman" w:eastAsia="宋体" w:cs="仿宋" w:hint="eastAsia"/>
          <w:color w:val="000000" w:themeColor="text1"/>
          <w:sz w:val="24"/>
          <w:szCs w:val="24"/>
        </w:rPr>
        <w:t>根据</w:t>
      </w:r>
      <w:r>
        <w:rPr>
          <w:rFonts w:ascii="Times New Roman" w:eastAsia="宋体" w:cs="仿宋" w:hint="eastAsia"/>
          <w:bCs/>
          <w:color w:val="000000" w:themeColor="text1"/>
          <w:sz w:val="24"/>
          <w:szCs w:val="24"/>
        </w:rPr>
        <w:t>《环境影响评价技术导则</w:t>
      </w:r>
      <w:r>
        <w:rPr>
          <w:rFonts w:ascii="Times New Roman" w:eastAsia="宋体" w:cs="仿宋" w:hint="eastAsia"/>
          <w:bCs/>
          <w:color w:val="000000" w:themeColor="text1"/>
          <w:sz w:val="24"/>
          <w:szCs w:val="24"/>
        </w:rPr>
        <w:t xml:space="preserve"> </w:t>
      </w:r>
      <w:r>
        <w:rPr>
          <w:rFonts w:ascii="Times New Roman" w:eastAsia="宋体" w:cs="仿宋" w:hint="eastAsia"/>
          <w:bCs/>
          <w:color w:val="000000" w:themeColor="text1"/>
          <w:sz w:val="24"/>
          <w:szCs w:val="24"/>
        </w:rPr>
        <w:t>大气环境》（</w:t>
      </w:r>
      <w:r>
        <w:rPr>
          <w:rFonts w:ascii="Times New Roman" w:eastAsia="宋体" w:cs="仿宋" w:hint="eastAsia"/>
          <w:bCs/>
          <w:color w:val="000000" w:themeColor="text1"/>
          <w:sz w:val="24"/>
          <w:szCs w:val="24"/>
        </w:rPr>
        <w:t>HJ2.2-2018</w:t>
      </w:r>
      <w:r>
        <w:rPr>
          <w:rFonts w:ascii="Times New Roman" w:eastAsia="宋体" w:cs="仿宋" w:hint="eastAsia"/>
          <w:bCs/>
          <w:color w:val="000000" w:themeColor="text1"/>
          <w:sz w:val="24"/>
          <w:szCs w:val="24"/>
        </w:rPr>
        <w:t>）的要求，</w:t>
      </w:r>
      <w:r>
        <w:rPr>
          <w:rFonts w:ascii="Times New Roman" w:eastAsia="宋体" w:cs="仿宋" w:hint="eastAsia"/>
          <w:color w:val="000000" w:themeColor="text1"/>
          <w:sz w:val="24"/>
          <w:szCs w:val="24"/>
        </w:rPr>
        <w:t>“一级评价项目根据建设项目排放污染物的最远影响距离（</w:t>
      </w:r>
      <w:r>
        <w:rPr>
          <w:rFonts w:ascii="Times New Roman" w:eastAsia="宋体" w:cs="仿宋" w:hint="eastAsia"/>
          <w:color w:val="000000" w:themeColor="text1"/>
          <w:sz w:val="24"/>
          <w:szCs w:val="24"/>
        </w:rPr>
        <w:t>D</w:t>
      </w:r>
      <w:r>
        <w:rPr>
          <w:rFonts w:ascii="Times New Roman" w:eastAsia="宋体" w:cs="仿宋" w:hint="eastAsia"/>
          <w:color w:val="000000" w:themeColor="text1"/>
          <w:sz w:val="24"/>
          <w:szCs w:val="24"/>
          <w:vertAlign w:val="subscript"/>
        </w:rPr>
        <w:t>10%</w:t>
      </w:r>
      <w:r>
        <w:rPr>
          <w:rFonts w:ascii="Times New Roman" w:eastAsia="宋体" w:cs="仿宋" w:hint="eastAsia"/>
          <w:color w:val="000000" w:themeColor="text1"/>
          <w:sz w:val="24"/>
          <w:szCs w:val="24"/>
        </w:rPr>
        <w:t>）确定大气环境影响评价范围。即以项目厂址为中心区域，自厂界外延</w:t>
      </w:r>
      <w:r>
        <w:rPr>
          <w:rFonts w:ascii="Times New Roman" w:eastAsia="宋体" w:cs="仿宋" w:hint="eastAsia"/>
          <w:color w:val="000000" w:themeColor="text1"/>
          <w:sz w:val="24"/>
          <w:szCs w:val="24"/>
        </w:rPr>
        <w:t>D</w:t>
      </w:r>
      <w:r>
        <w:rPr>
          <w:rFonts w:ascii="Times New Roman" w:eastAsia="宋体" w:cs="仿宋" w:hint="eastAsia"/>
          <w:color w:val="000000" w:themeColor="text1"/>
          <w:sz w:val="24"/>
          <w:szCs w:val="24"/>
          <w:vertAlign w:val="subscript"/>
        </w:rPr>
        <w:t>10%</w:t>
      </w:r>
      <w:r>
        <w:rPr>
          <w:rFonts w:ascii="Times New Roman" w:eastAsia="宋体" w:cs="仿宋" w:hint="eastAsia"/>
          <w:color w:val="000000" w:themeColor="text1"/>
          <w:sz w:val="24"/>
          <w:szCs w:val="24"/>
        </w:rPr>
        <w:t>的矩形区域作为大气环境影响评价范围。当</w:t>
      </w:r>
      <w:r>
        <w:rPr>
          <w:rFonts w:ascii="Times New Roman" w:eastAsia="宋体" w:cs="仿宋" w:hint="eastAsia"/>
          <w:color w:val="000000" w:themeColor="text1"/>
          <w:sz w:val="24"/>
          <w:szCs w:val="24"/>
        </w:rPr>
        <w:t>D</w:t>
      </w:r>
      <w:r>
        <w:rPr>
          <w:rFonts w:ascii="Times New Roman" w:eastAsia="宋体" w:cs="仿宋" w:hint="eastAsia"/>
          <w:color w:val="000000" w:themeColor="text1"/>
          <w:sz w:val="24"/>
          <w:szCs w:val="24"/>
          <w:vertAlign w:val="subscript"/>
        </w:rPr>
        <w:t>10%</w:t>
      </w:r>
      <w:r>
        <w:rPr>
          <w:rFonts w:ascii="Times New Roman" w:eastAsia="宋体" w:cs="仿宋" w:hint="eastAsia"/>
          <w:color w:val="000000" w:themeColor="text1"/>
          <w:sz w:val="24"/>
          <w:szCs w:val="24"/>
        </w:rPr>
        <w:t>超过</w:t>
      </w:r>
      <w:r>
        <w:rPr>
          <w:rFonts w:ascii="Times New Roman" w:eastAsia="宋体" w:cs="仿宋" w:hint="eastAsia"/>
          <w:color w:val="000000" w:themeColor="text1"/>
          <w:sz w:val="24"/>
          <w:szCs w:val="24"/>
        </w:rPr>
        <w:t>25 km</w:t>
      </w:r>
      <w:r>
        <w:rPr>
          <w:rFonts w:ascii="Times New Roman" w:eastAsia="宋体" w:cs="仿宋" w:hint="eastAsia"/>
          <w:color w:val="000000" w:themeColor="text1"/>
          <w:sz w:val="24"/>
          <w:szCs w:val="24"/>
        </w:rPr>
        <w:t>时，确定评价范围为边长</w:t>
      </w:r>
      <w:r>
        <w:rPr>
          <w:rFonts w:ascii="Times New Roman" w:eastAsia="宋体" w:cs="仿宋" w:hint="eastAsia"/>
          <w:color w:val="000000" w:themeColor="text1"/>
          <w:sz w:val="24"/>
          <w:szCs w:val="24"/>
        </w:rPr>
        <w:t>50 km</w:t>
      </w:r>
      <w:r>
        <w:rPr>
          <w:rFonts w:ascii="Times New Roman" w:eastAsia="宋体" w:cs="仿宋" w:hint="eastAsia"/>
          <w:color w:val="000000" w:themeColor="text1"/>
          <w:sz w:val="24"/>
          <w:szCs w:val="24"/>
        </w:rPr>
        <w:t>的矩形区域；当</w:t>
      </w:r>
      <w:r>
        <w:rPr>
          <w:rFonts w:ascii="Times New Roman" w:eastAsia="宋体" w:cs="仿宋" w:hint="eastAsia"/>
          <w:color w:val="000000" w:themeColor="text1"/>
          <w:sz w:val="24"/>
          <w:szCs w:val="24"/>
        </w:rPr>
        <w:t>D</w:t>
      </w:r>
      <w:r>
        <w:rPr>
          <w:rFonts w:ascii="Times New Roman" w:eastAsia="宋体" w:cs="仿宋" w:hint="eastAsia"/>
          <w:color w:val="000000" w:themeColor="text1"/>
          <w:sz w:val="24"/>
          <w:szCs w:val="24"/>
          <w:vertAlign w:val="subscript"/>
        </w:rPr>
        <w:t>10%</w:t>
      </w:r>
      <w:r>
        <w:rPr>
          <w:rFonts w:ascii="Times New Roman" w:eastAsia="宋体" w:cs="仿宋" w:hint="eastAsia"/>
          <w:color w:val="000000" w:themeColor="text1"/>
          <w:sz w:val="24"/>
          <w:szCs w:val="24"/>
        </w:rPr>
        <w:t>小于</w:t>
      </w:r>
      <w:r>
        <w:rPr>
          <w:rFonts w:ascii="Times New Roman" w:eastAsia="宋体" w:cs="仿宋" w:hint="eastAsia"/>
          <w:color w:val="000000" w:themeColor="text1"/>
          <w:sz w:val="24"/>
          <w:szCs w:val="24"/>
        </w:rPr>
        <w:t>2.5 km</w:t>
      </w:r>
      <w:r>
        <w:rPr>
          <w:rFonts w:ascii="Times New Roman" w:eastAsia="宋体" w:cs="仿宋" w:hint="eastAsia"/>
          <w:color w:val="000000" w:themeColor="text1"/>
          <w:sz w:val="24"/>
          <w:szCs w:val="24"/>
        </w:rPr>
        <w:t>时，评价范围边长取</w:t>
      </w:r>
      <w:r>
        <w:rPr>
          <w:rFonts w:ascii="Times New Roman" w:eastAsia="宋体" w:cs="仿宋" w:hint="eastAsia"/>
          <w:color w:val="000000" w:themeColor="text1"/>
          <w:sz w:val="24"/>
          <w:szCs w:val="24"/>
        </w:rPr>
        <w:t>5km</w:t>
      </w:r>
      <w:r>
        <w:rPr>
          <w:rFonts w:ascii="Times New Roman" w:eastAsia="宋体" w:cs="仿宋" w:hint="eastAsia"/>
          <w:color w:val="000000" w:themeColor="text1"/>
          <w:sz w:val="24"/>
          <w:szCs w:val="24"/>
        </w:rPr>
        <w:t>”。</w:t>
      </w:r>
      <w:r>
        <w:rPr>
          <w:rFonts w:ascii="Times New Roman" w:eastAsia="宋体" w:cs="仿宋" w:hint="eastAsia"/>
          <w:bCs/>
          <w:color w:val="000000" w:themeColor="text1"/>
          <w:sz w:val="24"/>
          <w:szCs w:val="24"/>
        </w:rPr>
        <w:t>结合项目评价等级中</w:t>
      </w:r>
      <w:r>
        <w:rPr>
          <w:rFonts w:ascii="Times New Roman" w:eastAsia="宋体" w:cs="仿宋" w:hint="eastAsia"/>
          <w:bCs/>
          <w:color w:val="000000" w:themeColor="text1"/>
          <w:sz w:val="24"/>
          <w:szCs w:val="24"/>
        </w:rPr>
        <w:t>D</w:t>
      </w:r>
      <w:r>
        <w:rPr>
          <w:rFonts w:ascii="Times New Roman" w:eastAsia="宋体" w:cs="仿宋" w:hint="eastAsia"/>
          <w:bCs/>
          <w:color w:val="000000" w:themeColor="text1"/>
          <w:sz w:val="24"/>
          <w:szCs w:val="24"/>
          <w:vertAlign w:val="subscript"/>
        </w:rPr>
        <w:t>10%</w:t>
      </w:r>
      <w:r>
        <w:rPr>
          <w:rFonts w:ascii="Times New Roman" w:eastAsia="宋体" w:cs="仿宋" w:hint="eastAsia"/>
          <w:bCs/>
          <w:color w:val="000000" w:themeColor="text1"/>
          <w:sz w:val="24"/>
          <w:szCs w:val="24"/>
        </w:rPr>
        <w:t>估算结果，确定本项目</w:t>
      </w:r>
      <w:r>
        <w:rPr>
          <w:rFonts w:ascii="Times New Roman" w:eastAsia="宋体" w:cs="仿宋" w:hint="eastAsia"/>
          <w:color w:val="000000" w:themeColor="text1"/>
          <w:sz w:val="24"/>
          <w:szCs w:val="24"/>
        </w:rPr>
        <w:t>大气环境评价范围为自厂界外延边长为</w:t>
      </w:r>
      <w:r>
        <w:rPr>
          <w:rFonts w:ascii="Times New Roman" w:eastAsia="宋体" w:cs="仿宋" w:hint="eastAsia"/>
          <w:color w:val="000000" w:themeColor="text1"/>
          <w:sz w:val="24"/>
          <w:szCs w:val="24"/>
        </w:rPr>
        <w:t>5km</w:t>
      </w:r>
      <w:r>
        <w:rPr>
          <w:rFonts w:ascii="Times New Roman" w:eastAsia="宋体" w:cs="仿宋" w:hint="eastAsia"/>
          <w:color w:val="000000" w:themeColor="text1"/>
          <w:sz w:val="24"/>
          <w:szCs w:val="24"/>
        </w:rPr>
        <w:t>的矩形区域。</w:t>
      </w:r>
      <w:bookmarkStart w:id="177" w:name="_Toc370589994"/>
      <w:bookmarkStart w:id="178" w:name="_Toc406987939"/>
      <w:bookmarkStart w:id="179" w:name="_Toc251687499"/>
      <w:bookmarkStart w:id="180" w:name="_Toc257103458"/>
      <w:bookmarkStart w:id="181" w:name="_Toc252783241"/>
    </w:p>
    <w:p w:rsidR="00C861DA" w:rsidRDefault="0044752E">
      <w:pPr>
        <w:snapToGrid w:val="0"/>
        <w:spacing w:line="360" w:lineRule="auto"/>
        <w:ind w:firstLine="480"/>
        <w:rPr>
          <w:rFonts w:ascii="Times New Roman" w:eastAsia="宋体"/>
          <w:b/>
          <w:bCs/>
          <w:color w:val="000000" w:themeColor="text1"/>
          <w:sz w:val="24"/>
          <w:szCs w:val="24"/>
        </w:rPr>
      </w:pPr>
      <w:r>
        <w:rPr>
          <w:rFonts w:ascii="Times New Roman" w:eastAsia="宋体" w:hint="eastAsia"/>
          <w:b/>
          <w:bCs/>
          <w:color w:val="000000" w:themeColor="text1"/>
          <w:sz w:val="24"/>
          <w:szCs w:val="24"/>
        </w:rPr>
        <w:t>（</w:t>
      </w:r>
      <w:r>
        <w:rPr>
          <w:rFonts w:ascii="Times New Roman" w:eastAsia="宋体" w:hint="eastAsia"/>
          <w:b/>
          <w:bCs/>
          <w:color w:val="000000" w:themeColor="text1"/>
          <w:sz w:val="24"/>
          <w:szCs w:val="24"/>
        </w:rPr>
        <w:t>2</w:t>
      </w:r>
      <w:r>
        <w:rPr>
          <w:rFonts w:ascii="Times New Roman" w:eastAsia="宋体" w:hint="eastAsia"/>
          <w:b/>
          <w:bCs/>
          <w:color w:val="000000" w:themeColor="text1"/>
          <w:sz w:val="24"/>
          <w:szCs w:val="24"/>
        </w:rPr>
        <w:t>）地表水</w:t>
      </w:r>
    </w:p>
    <w:p w:rsidR="00C861DA" w:rsidRDefault="0044752E">
      <w:pPr>
        <w:snapToGrid w:val="0"/>
        <w:spacing w:line="360" w:lineRule="auto"/>
        <w:ind w:firstLine="480"/>
        <w:rPr>
          <w:rFonts w:ascii="Times New Roman" w:eastAsia="宋体"/>
          <w:color w:val="000000" w:themeColor="text1"/>
          <w:sz w:val="24"/>
          <w:szCs w:val="24"/>
        </w:rPr>
      </w:pPr>
      <w:r>
        <w:rPr>
          <w:rFonts w:ascii="Times New Roman" w:eastAsia="宋体" w:hint="eastAsia"/>
          <w:color w:val="000000" w:themeColor="text1"/>
          <w:sz w:val="24"/>
          <w:szCs w:val="24"/>
        </w:rPr>
        <w:t>本项目产生的生活废水依托“</w:t>
      </w:r>
      <w:r>
        <w:rPr>
          <w:rFonts w:ascii="Times New Roman" w:eastAsia="宋体" w:hint="eastAsia"/>
          <w:color w:val="000000" w:themeColor="text1"/>
          <w:sz w:val="24"/>
          <w:szCs w:val="24"/>
        </w:rPr>
        <w:t>3</w:t>
      </w:r>
      <w:r>
        <w:rPr>
          <w:rFonts w:ascii="Times New Roman" w:eastAsia="宋体"/>
          <w:color w:val="000000" w:themeColor="text1"/>
          <w:sz w:val="24"/>
          <w:szCs w:val="24"/>
        </w:rPr>
        <w:t>0</w:t>
      </w:r>
      <w:r>
        <w:rPr>
          <w:rFonts w:ascii="Times New Roman" w:eastAsia="宋体" w:hint="eastAsia"/>
          <w:color w:val="000000" w:themeColor="text1"/>
          <w:sz w:val="24"/>
          <w:szCs w:val="24"/>
        </w:rPr>
        <w:t>万吨合成氨装置”现有生活污水处置设施处理达标后用于项目区绿化，生产废水送至祥丰金麦有限公司湿法球磨站作为补充水，均不外排，故不设地表水评价范围，重点分析废水回用及不外排的可行性。</w:t>
      </w:r>
    </w:p>
    <w:p w:rsidR="00C861DA" w:rsidRDefault="0044752E">
      <w:pPr>
        <w:spacing w:line="360" w:lineRule="auto"/>
        <w:ind w:firstLine="480"/>
        <w:rPr>
          <w:rFonts w:ascii="Times New Roman" w:eastAsia="宋体" w:cs="仿宋"/>
          <w:b/>
          <w:bCs/>
          <w:color w:val="000000" w:themeColor="text1"/>
          <w:sz w:val="24"/>
          <w:szCs w:val="24"/>
        </w:rPr>
      </w:pPr>
      <w:bookmarkStart w:id="182" w:name="_Toc370589995"/>
      <w:bookmarkStart w:id="183" w:name="_Toc406987940"/>
      <w:bookmarkEnd w:id="177"/>
      <w:bookmarkEnd w:id="178"/>
      <w:r>
        <w:rPr>
          <w:rFonts w:ascii="Times New Roman" w:eastAsia="宋体" w:cs="仿宋" w:hint="eastAsia"/>
          <w:b/>
          <w:bCs/>
          <w:color w:val="000000" w:themeColor="text1"/>
          <w:sz w:val="24"/>
          <w:szCs w:val="24"/>
        </w:rPr>
        <w:t>（</w:t>
      </w:r>
      <w:r>
        <w:rPr>
          <w:rFonts w:ascii="Times New Roman" w:eastAsia="宋体" w:cs="仿宋" w:hint="eastAsia"/>
          <w:b/>
          <w:bCs/>
          <w:color w:val="000000" w:themeColor="text1"/>
          <w:sz w:val="24"/>
          <w:szCs w:val="24"/>
        </w:rPr>
        <w:t>3</w:t>
      </w:r>
      <w:r>
        <w:rPr>
          <w:rFonts w:ascii="Times New Roman" w:eastAsia="宋体" w:cs="仿宋" w:hint="eastAsia"/>
          <w:b/>
          <w:bCs/>
          <w:color w:val="000000" w:themeColor="text1"/>
          <w:sz w:val="24"/>
          <w:szCs w:val="24"/>
        </w:rPr>
        <w:t>）声环境</w:t>
      </w:r>
      <w:bookmarkEnd w:id="179"/>
      <w:bookmarkEnd w:id="180"/>
      <w:bookmarkEnd w:id="181"/>
      <w:bookmarkEnd w:id="182"/>
      <w:bookmarkEnd w:id="183"/>
    </w:p>
    <w:p w:rsidR="00C861DA" w:rsidRDefault="0044752E">
      <w:pPr>
        <w:pStyle w:val="af4"/>
        <w:spacing w:before="19" w:after="0" w:line="360" w:lineRule="auto"/>
        <w:ind w:firstLineChars="200" w:firstLine="480"/>
        <w:rPr>
          <w:rFonts w:ascii="Times New Roman" w:eastAsia="宋体" w:hAnsi="Times New Roman" w:cs="Times New Roman"/>
          <w:bCs/>
          <w:color w:val="000000" w:themeColor="text1"/>
          <w:kern w:val="0"/>
          <w:sz w:val="24"/>
          <w:szCs w:val="24"/>
        </w:rPr>
      </w:pPr>
      <w:bookmarkStart w:id="184" w:name="_Toc370589996"/>
      <w:bookmarkStart w:id="185" w:name="_Toc406987941"/>
      <w:r>
        <w:rPr>
          <w:rFonts w:ascii="Times New Roman" w:eastAsia="宋体" w:hAnsi="Times New Roman" w:cs="Times New Roman"/>
          <w:bCs/>
          <w:color w:val="000000" w:themeColor="text1"/>
          <w:kern w:val="0"/>
          <w:sz w:val="24"/>
          <w:szCs w:val="24"/>
        </w:rPr>
        <w:t>根据拟建项目的工程特征及项目所在地环境敏感点的分布情况，声环境影响评价的范围为场界外</w:t>
      </w:r>
      <w:r>
        <w:rPr>
          <w:rFonts w:ascii="Times New Roman" w:eastAsia="宋体" w:hAnsi="Times New Roman" w:cs="Times New Roman"/>
          <w:bCs/>
          <w:color w:val="000000" w:themeColor="text1"/>
          <w:kern w:val="0"/>
          <w:sz w:val="24"/>
          <w:szCs w:val="24"/>
        </w:rPr>
        <w:t>200</w:t>
      </w:r>
      <w:r>
        <w:rPr>
          <w:rFonts w:ascii="Times New Roman" w:eastAsia="宋体" w:hAnsi="Times New Roman" w:cs="Times New Roman"/>
          <w:bCs/>
          <w:color w:val="000000" w:themeColor="text1"/>
          <w:kern w:val="0"/>
          <w:sz w:val="24"/>
          <w:szCs w:val="24"/>
        </w:rPr>
        <w:t>米内的矩形区域。</w:t>
      </w:r>
    </w:p>
    <w:p w:rsidR="00C861DA" w:rsidRDefault="0044752E">
      <w:pPr>
        <w:spacing w:line="360" w:lineRule="auto"/>
        <w:ind w:firstLine="480"/>
        <w:rPr>
          <w:rFonts w:ascii="Times New Roman" w:eastAsia="宋体" w:cs="仿宋"/>
          <w:b/>
          <w:bCs/>
          <w:color w:val="000000" w:themeColor="text1"/>
          <w:sz w:val="24"/>
          <w:szCs w:val="24"/>
        </w:rPr>
      </w:pPr>
      <w:r>
        <w:rPr>
          <w:rFonts w:ascii="Times New Roman" w:eastAsia="宋体" w:cs="仿宋" w:hint="eastAsia"/>
          <w:b/>
          <w:bCs/>
          <w:color w:val="000000" w:themeColor="text1"/>
          <w:sz w:val="24"/>
          <w:szCs w:val="24"/>
        </w:rPr>
        <w:t>（</w:t>
      </w:r>
      <w:r>
        <w:rPr>
          <w:rFonts w:ascii="Times New Roman" w:eastAsia="宋体" w:cs="仿宋" w:hint="eastAsia"/>
          <w:b/>
          <w:bCs/>
          <w:color w:val="000000" w:themeColor="text1"/>
          <w:sz w:val="24"/>
          <w:szCs w:val="24"/>
        </w:rPr>
        <w:t>4</w:t>
      </w:r>
      <w:r>
        <w:rPr>
          <w:rFonts w:ascii="Times New Roman" w:eastAsia="宋体" w:cs="仿宋" w:hint="eastAsia"/>
          <w:b/>
          <w:bCs/>
          <w:color w:val="000000" w:themeColor="text1"/>
          <w:sz w:val="24"/>
          <w:szCs w:val="24"/>
        </w:rPr>
        <w:t>）地下水</w:t>
      </w:r>
    </w:p>
    <w:p w:rsidR="00C861DA" w:rsidRDefault="0044752E">
      <w:pPr>
        <w:snapToGrid w:val="0"/>
        <w:spacing w:line="360" w:lineRule="auto"/>
        <w:ind w:firstLine="480"/>
        <w:rPr>
          <w:rFonts w:ascii="Times New Roman" w:eastAsia="宋体"/>
          <w:color w:val="000000" w:themeColor="text1"/>
          <w:sz w:val="24"/>
          <w:szCs w:val="24"/>
        </w:rPr>
      </w:pPr>
      <w:r>
        <w:rPr>
          <w:rFonts w:ascii="Times New Roman" w:eastAsia="宋体" w:hint="eastAsia"/>
          <w:color w:val="000000" w:themeColor="text1"/>
          <w:sz w:val="24"/>
          <w:szCs w:val="24"/>
        </w:rPr>
        <w:t>本项目地下水环境评价工作等级为二级，根据</w:t>
      </w:r>
      <w:r>
        <w:rPr>
          <w:rFonts w:ascii="Times New Roman" w:eastAsia="宋体"/>
          <w:color w:val="000000" w:themeColor="text1"/>
          <w:sz w:val="24"/>
          <w:szCs w:val="24"/>
        </w:rPr>
        <w:t>《环境影响评价技术导则</w:t>
      </w:r>
      <w:r>
        <w:rPr>
          <w:rFonts w:ascii="Times New Roman" w:eastAsia="宋体" w:hint="eastAsia"/>
          <w:color w:val="000000" w:themeColor="text1"/>
          <w:sz w:val="24"/>
          <w:szCs w:val="24"/>
        </w:rPr>
        <w:t xml:space="preserve"> </w:t>
      </w:r>
      <w:r>
        <w:rPr>
          <w:rFonts w:ascii="Times New Roman" w:eastAsia="宋体"/>
          <w:color w:val="000000" w:themeColor="text1"/>
          <w:sz w:val="24"/>
          <w:szCs w:val="24"/>
        </w:rPr>
        <w:t>地下水环境》（</w:t>
      </w:r>
      <w:r>
        <w:rPr>
          <w:rFonts w:ascii="Times New Roman" w:eastAsia="宋体"/>
          <w:color w:val="000000" w:themeColor="text1"/>
          <w:sz w:val="24"/>
          <w:szCs w:val="24"/>
        </w:rPr>
        <w:t>HJ610-2016</w:t>
      </w:r>
      <w:r>
        <w:rPr>
          <w:rFonts w:ascii="Times New Roman" w:eastAsia="宋体"/>
          <w:color w:val="000000" w:themeColor="text1"/>
          <w:sz w:val="24"/>
          <w:szCs w:val="24"/>
        </w:rPr>
        <w:t>）</w:t>
      </w:r>
      <w:r>
        <w:rPr>
          <w:rFonts w:ascii="Times New Roman" w:eastAsia="宋体" w:hint="eastAsia"/>
          <w:color w:val="000000" w:themeColor="text1"/>
          <w:sz w:val="24"/>
          <w:szCs w:val="24"/>
        </w:rPr>
        <w:t>，采用查表法确定本项目地下水环境评价范围为</w:t>
      </w:r>
      <w:r>
        <w:rPr>
          <w:rFonts w:ascii="Times New Roman" w:eastAsia="宋体" w:hint="eastAsia"/>
          <w:color w:val="000000" w:themeColor="text1"/>
          <w:sz w:val="24"/>
          <w:szCs w:val="24"/>
        </w:rPr>
        <w:t>6km</w:t>
      </w:r>
      <w:r>
        <w:rPr>
          <w:rFonts w:ascii="Times New Roman" w:eastAsia="宋体" w:hint="eastAsia"/>
          <w:color w:val="000000" w:themeColor="text1"/>
          <w:sz w:val="24"/>
          <w:szCs w:val="24"/>
          <w:vertAlign w:val="superscript"/>
        </w:rPr>
        <w:t>2</w:t>
      </w:r>
      <w:r>
        <w:rPr>
          <w:rFonts w:ascii="Times New Roman" w:eastAsia="宋体" w:hint="eastAsia"/>
          <w:color w:val="000000" w:themeColor="text1"/>
          <w:sz w:val="24"/>
          <w:szCs w:val="24"/>
        </w:rPr>
        <w:t>的范围。</w:t>
      </w:r>
    </w:p>
    <w:p w:rsidR="00C861DA" w:rsidRDefault="0044752E">
      <w:pPr>
        <w:pStyle w:val="af4"/>
        <w:spacing w:before="19" w:after="0" w:line="360" w:lineRule="auto"/>
        <w:ind w:firstLineChars="200" w:firstLine="482"/>
        <w:rPr>
          <w:rFonts w:ascii="Times New Roman" w:eastAsia="宋体" w:hAnsi="Times New Roman" w:cs="Times New Roman"/>
          <w:b/>
          <w:color w:val="000000" w:themeColor="text1"/>
          <w:kern w:val="0"/>
          <w:sz w:val="24"/>
          <w:szCs w:val="24"/>
        </w:rPr>
      </w:pPr>
      <w:r>
        <w:rPr>
          <w:rFonts w:ascii="Times New Roman" w:eastAsia="宋体" w:hAnsi="Times New Roman" w:cs="Times New Roman"/>
          <w:b/>
          <w:color w:val="000000" w:themeColor="text1"/>
          <w:kern w:val="0"/>
          <w:sz w:val="24"/>
          <w:szCs w:val="24"/>
        </w:rPr>
        <w:t>（</w:t>
      </w:r>
      <w:r>
        <w:rPr>
          <w:rFonts w:ascii="Times New Roman" w:eastAsia="宋体" w:hAnsi="Times New Roman" w:cs="Times New Roman"/>
          <w:b/>
          <w:color w:val="000000" w:themeColor="text1"/>
          <w:kern w:val="0"/>
          <w:sz w:val="24"/>
          <w:szCs w:val="24"/>
        </w:rPr>
        <w:t>5</w:t>
      </w:r>
      <w:r>
        <w:rPr>
          <w:rFonts w:ascii="Times New Roman" w:eastAsia="宋体" w:hAnsi="Times New Roman" w:cs="Times New Roman"/>
          <w:b/>
          <w:color w:val="000000" w:themeColor="text1"/>
          <w:kern w:val="0"/>
          <w:sz w:val="24"/>
          <w:szCs w:val="24"/>
        </w:rPr>
        <w:t>）生态环境</w:t>
      </w:r>
    </w:p>
    <w:p w:rsidR="00C861DA" w:rsidRDefault="0044752E">
      <w:pPr>
        <w:pStyle w:val="af4"/>
        <w:spacing w:before="19" w:after="0" w:line="360" w:lineRule="auto"/>
        <w:ind w:firstLineChars="200"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据拟建项目的工程特征及项目所在地环境敏感点的分布情况，生态环境影响评价的范围为场界外</w:t>
      </w:r>
      <w:r>
        <w:rPr>
          <w:rFonts w:ascii="Times New Roman" w:eastAsia="宋体" w:hAnsi="Times New Roman" w:cs="Times New Roman"/>
          <w:bCs/>
          <w:color w:val="000000" w:themeColor="text1"/>
          <w:kern w:val="0"/>
          <w:sz w:val="24"/>
          <w:szCs w:val="24"/>
        </w:rPr>
        <w:t>200</w:t>
      </w:r>
      <w:r>
        <w:rPr>
          <w:rFonts w:ascii="Times New Roman" w:eastAsia="宋体" w:hAnsi="Times New Roman" w:cs="Times New Roman"/>
          <w:bCs/>
          <w:color w:val="000000" w:themeColor="text1"/>
          <w:kern w:val="0"/>
          <w:sz w:val="24"/>
          <w:szCs w:val="24"/>
        </w:rPr>
        <w:t>米内的矩形区域。</w:t>
      </w:r>
    </w:p>
    <w:p w:rsidR="00C861DA" w:rsidRDefault="0044752E">
      <w:pPr>
        <w:spacing w:line="360" w:lineRule="auto"/>
        <w:ind w:firstLine="480"/>
        <w:rPr>
          <w:rFonts w:ascii="Times New Roman" w:eastAsia="宋体" w:cs="仿宋"/>
          <w:b/>
          <w:bCs/>
          <w:color w:val="000000" w:themeColor="text1"/>
          <w:sz w:val="24"/>
          <w:szCs w:val="24"/>
        </w:rPr>
      </w:pPr>
      <w:r>
        <w:rPr>
          <w:rFonts w:ascii="Times New Roman" w:eastAsia="宋体" w:cs="仿宋" w:hint="eastAsia"/>
          <w:b/>
          <w:bCs/>
          <w:color w:val="000000" w:themeColor="text1"/>
          <w:sz w:val="24"/>
          <w:szCs w:val="24"/>
        </w:rPr>
        <w:t>（</w:t>
      </w:r>
      <w:r>
        <w:rPr>
          <w:rFonts w:ascii="Times New Roman" w:eastAsia="宋体" w:cs="仿宋" w:hint="eastAsia"/>
          <w:b/>
          <w:bCs/>
          <w:color w:val="000000" w:themeColor="text1"/>
          <w:sz w:val="24"/>
          <w:szCs w:val="24"/>
        </w:rPr>
        <w:t>6</w:t>
      </w:r>
      <w:r>
        <w:rPr>
          <w:rFonts w:ascii="Times New Roman" w:eastAsia="宋体" w:cs="仿宋" w:hint="eastAsia"/>
          <w:b/>
          <w:bCs/>
          <w:color w:val="000000" w:themeColor="text1"/>
          <w:sz w:val="24"/>
          <w:szCs w:val="24"/>
        </w:rPr>
        <w:t>）环境风险</w:t>
      </w:r>
      <w:bookmarkEnd w:id="184"/>
      <w:bookmarkEnd w:id="185"/>
    </w:p>
    <w:p w:rsidR="00C861DA" w:rsidRDefault="0044752E">
      <w:pPr>
        <w:spacing w:line="360" w:lineRule="auto"/>
        <w:ind w:firstLine="480"/>
        <w:rPr>
          <w:rFonts w:ascii="Times New Roman" w:eastAsia="宋体" w:cs="仿宋"/>
          <w:color w:val="000000" w:themeColor="text1"/>
          <w:sz w:val="24"/>
          <w:szCs w:val="24"/>
        </w:rPr>
      </w:pPr>
      <w:r>
        <w:rPr>
          <w:rFonts w:ascii="Times New Roman" w:eastAsia="宋体" w:cs="仿宋" w:hint="eastAsia"/>
          <w:color w:val="000000" w:themeColor="text1"/>
          <w:sz w:val="24"/>
          <w:szCs w:val="24"/>
        </w:rPr>
        <w:t>根据《建设项目环境风险评价技术导则》（</w:t>
      </w:r>
      <w:r>
        <w:rPr>
          <w:rFonts w:ascii="Times New Roman" w:eastAsia="宋体" w:cs="仿宋" w:hint="eastAsia"/>
          <w:color w:val="000000" w:themeColor="text1"/>
          <w:sz w:val="24"/>
          <w:szCs w:val="24"/>
        </w:rPr>
        <w:t>HJ/T169-20</w:t>
      </w:r>
      <w:r>
        <w:rPr>
          <w:rFonts w:ascii="Times New Roman" w:eastAsia="宋体" w:cs="仿宋"/>
          <w:color w:val="000000" w:themeColor="text1"/>
          <w:sz w:val="24"/>
          <w:szCs w:val="24"/>
        </w:rPr>
        <w:t>18</w:t>
      </w:r>
      <w:r>
        <w:rPr>
          <w:rFonts w:ascii="Times New Roman" w:eastAsia="宋体" w:cs="仿宋" w:hint="eastAsia"/>
          <w:color w:val="000000" w:themeColor="text1"/>
          <w:sz w:val="24"/>
          <w:szCs w:val="24"/>
        </w:rPr>
        <w:t>）的要求，结合本项目环境风险评价工作等级，确定本项目环境风险大气环境影响评价范围为以项目区边界外扩</w:t>
      </w:r>
      <w:r>
        <w:rPr>
          <w:rFonts w:ascii="Times New Roman" w:eastAsia="宋体" w:cs="仿宋"/>
          <w:color w:val="000000" w:themeColor="text1"/>
          <w:sz w:val="24"/>
          <w:szCs w:val="24"/>
        </w:rPr>
        <w:t>5</w:t>
      </w:r>
      <w:r>
        <w:rPr>
          <w:rFonts w:ascii="Times New Roman" w:eastAsia="宋体" w:cs="仿宋" w:hint="eastAsia"/>
          <w:color w:val="000000" w:themeColor="text1"/>
          <w:sz w:val="24"/>
          <w:szCs w:val="24"/>
        </w:rPr>
        <w:t>km</w:t>
      </w:r>
      <w:r>
        <w:rPr>
          <w:rFonts w:ascii="Times New Roman" w:eastAsia="宋体" w:cs="仿宋" w:hint="eastAsia"/>
          <w:color w:val="000000" w:themeColor="text1"/>
          <w:sz w:val="24"/>
          <w:szCs w:val="24"/>
        </w:rPr>
        <w:t>的范围。</w:t>
      </w:r>
    </w:p>
    <w:p w:rsidR="00C861DA" w:rsidRDefault="0044752E">
      <w:pPr>
        <w:spacing w:line="360" w:lineRule="auto"/>
        <w:jc w:val="center"/>
        <w:rPr>
          <w:rFonts w:ascii="Times New Roman" w:eastAsia="宋体"/>
          <w:b/>
          <w:color w:val="000000" w:themeColor="text1"/>
          <w:sz w:val="24"/>
          <w:szCs w:val="24"/>
        </w:rPr>
      </w:pPr>
      <w:r>
        <w:rPr>
          <w:rFonts w:ascii="Times New Roman" w:eastAsia="宋体" w:hint="eastAsia"/>
          <w:b/>
          <w:color w:val="000000" w:themeColor="text1"/>
          <w:sz w:val="24"/>
          <w:szCs w:val="24"/>
        </w:rPr>
        <w:t>表</w:t>
      </w:r>
      <w:r>
        <w:rPr>
          <w:rFonts w:ascii="Times New Roman" w:eastAsia="宋体" w:hint="eastAsia"/>
          <w:b/>
          <w:color w:val="000000" w:themeColor="text1"/>
          <w:sz w:val="24"/>
          <w:szCs w:val="24"/>
        </w:rPr>
        <w:t>2.6-</w:t>
      </w:r>
      <w:r>
        <w:rPr>
          <w:rFonts w:ascii="Times New Roman" w:eastAsia="宋体"/>
          <w:b/>
          <w:color w:val="000000" w:themeColor="text1"/>
          <w:sz w:val="24"/>
          <w:szCs w:val="24"/>
        </w:rPr>
        <w:t>14</w:t>
      </w:r>
      <w:r>
        <w:rPr>
          <w:rFonts w:ascii="Times New Roman" w:eastAsia="宋体" w:hint="eastAsia"/>
          <w:b/>
          <w:color w:val="000000" w:themeColor="text1"/>
          <w:sz w:val="24"/>
          <w:szCs w:val="24"/>
        </w:rPr>
        <w:t xml:space="preserve">  </w:t>
      </w:r>
      <w:r>
        <w:rPr>
          <w:rFonts w:ascii="Times New Roman" w:eastAsia="宋体" w:hint="eastAsia"/>
          <w:b/>
          <w:color w:val="000000" w:themeColor="text1"/>
          <w:sz w:val="24"/>
          <w:szCs w:val="24"/>
        </w:rPr>
        <w:t>评价等级及范围表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1274"/>
        <w:gridCol w:w="5608"/>
      </w:tblGrid>
      <w:tr w:rsidR="00C861DA">
        <w:trPr>
          <w:trHeight w:val="369"/>
          <w:jc w:val="center"/>
        </w:trPr>
        <w:tc>
          <w:tcPr>
            <w:tcW w:w="1414" w:type="dxa"/>
            <w:vAlign w:val="center"/>
          </w:tcPr>
          <w:p w:rsidR="00C861DA" w:rsidRDefault="0044752E">
            <w:pPr>
              <w:snapToGrid w:val="0"/>
              <w:jc w:val="center"/>
              <w:rPr>
                <w:rFonts w:ascii="Times New Roman" w:eastAsia="宋体"/>
                <w:b/>
                <w:color w:val="000000" w:themeColor="text1"/>
              </w:rPr>
            </w:pPr>
            <w:r>
              <w:rPr>
                <w:rFonts w:ascii="Times New Roman" w:eastAsia="宋体"/>
                <w:b/>
                <w:color w:val="000000" w:themeColor="text1"/>
              </w:rPr>
              <w:t>环境要素</w:t>
            </w:r>
          </w:p>
        </w:tc>
        <w:tc>
          <w:tcPr>
            <w:tcW w:w="1274" w:type="dxa"/>
            <w:vAlign w:val="center"/>
          </w:tcPr>
          <w:p w:rsidR="00C861DA" w:rsidRDefault="0044752E">
            <w:pPr>
              <w:snapToGrid w:val="0"/>
              <w:jc w:val="center"/>
              <w:rPr>
                <w:rFonts w:ascii="Times New Roman" w:eastAsia="宋体"/>
                <w:b/>
                <w:color w:val="000000" w:themeColor="text1"/>
              </w:rPr>
            </w:pPr>
            <w:r>
              <w:rPr>
                <w:rFonts w:ascii="Times New Roman" w:eastAsia="宋体" w:hint="eastAsia"/>
                <w:b/>
                <w:color w:val="000000" w:themeColor="text1"/>
              </w:rPr>
              <w:t>评价等级</w:t>
            </w:r>
          </w:p>
        </w:tc>
        <w:tc>
          <w:tcPr>
            <w:tcW w:w="5608" w:type="dxa"/>
            <w:vAlign w:val="center"/>
          </w:tcPr>
          <w:p w:rsidR="00C861DA" w:rsidRDefault="0044752E">
            <w:pPr>
              <w:snapToGrid w:val="0"/>
              <w:jc w:val="center"/>
              <w:rPr>
                <w:rFonts w:ascii="Times New Roman" w:eastAsia="宋体"/>
                <w:b/>
                <w:color w:val="000000" w:themeColor="text1"/>
              </w:rPr>
            </w:pPr>
            <w:r>
              <w:rPr>
                <w:rFonts w:ascii="Times New Roman" w:eastAsia="宋体"/>
                <w:b/>
                <w:color w:val="000000" w:themeColor="text1"/>
              </w:rPr>
              <w:t>评价范围</w:t>
            </w:r>
          </w:p>
        </w:tc>
      </w:tr>
      <w:tr w:rsidR="00C861DA">
        <w:trPr>
          <w:trHeight w:val="369"/>
          <w:jc w:val="center"/>
        </w:trPr>
        <w:tc>
          <w:tcPr>
            <w:tcW w:w="141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大气环境</w:t>
            </w:r>
          </w:p>
        </w:tc>
        <w:tc>
          <w:tcPr>
            <w:tcW w:w="1274" w:type="dxa"/>
            <w:vAlign w:val="center"/>
          </w:tcPr>
          <w:p w:rsidR="00C861DA" w:rsidRDefault="0044752E">
            <w:pPr>
              <w:snapToGrid w:val="0"/>
              <w:jc w:val="center"/>
              <w:rPr>
                <w:rFonts w:ascii="Times New Roman" w:eastAsia="宋体"/>
                <w:color w:val="000000" w:themeColor="text1"/>
                <w:szCs w:val="24"/>
              </w:rPr>
            </w:pPr>
            <w:r>
              <w:rPr>
                <w:rFonts w:ascii="Times New Roman" w:eastAsia="宋体" w:hint="eastAsia"/>
                <w:color w:val="000000" w:themeColor="text1"/>
                <w:szCs w:val="24"/>
              </w:rPr>
              <w:t>一级</w:t>
            </w:r>
          </w:p>
        </w:tc>
        <w:tc>
          <w:tcPr>
            <w:tcW w:w="5608" w:type="dxa"/>
            <w:vAlign w:val="center"/>
          </w:tcPr>
          <w:p w:rsidR="00C861DA" w:rsidRDefault="0044752E">
            <w:pPr>
              <w:snapToGrid w:val="0"/>
              <w:jc w:val="center"/>
              <w:rPr>
                <w:rFonts w:ascii="Times New Roman" w:eastAsia="宋体"/>
                <w:color w:val="000000" w:themeColor="text1"/>
              </w:rPr>
            </w:pPr>
            <w:r>
              <w:rPr>
                <w:rFonts w:ascii="Times New Roman" w:eastAsia="宋体" w:hint="eastAsia"/>
                <w:color w:val="000000" w:themeColor="text1"/>
                <w:szCs w:val="24"/>
              </w:rPr>
              <w:t>自厂界外延边长为</w:t>
            </w:r>
            <w:r>
              <w:rPr>
                <w:rFonts w:ascii="Times New Roman" w:eastAsia="宋体" w:hint="eastAsia"/>
                <w:color w:val="000000" w:themeColor="text1"/>
                <w:szCs w:val="24"/>
              </w:rPr>
              <w:t>5km</w:t>
            </w:r>
            <w:r>
              <w:rPr>
                <w:rFonts w:ascii="Times New Roman" w:eastAsia="宋体" w:hint="eastAsia"/>
                <w:color w:val="000000" w:themeColor="text1"/>
                <w:szCs w:val="24"/>
              </w:rPr>
              <w:t>的矩形区域。</w:t>
            </w:r>
          </w:p>
        </w:tc>
      </w:tr>
      <w:tr w:rsidR="00C861DA">
        <w:trPr>
          <w:trHeight w:val="369"/>
          <w:jc w:val="center"/>
        </w:trPr>
        <w:tc>
          <w:tcPr>
            <w:tcW w:w="141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地表水环境</w:t>
            </w:r>
          </w:p>
        </w:tc>
        <w:tc>
          <w:tcPr>
            <w:tcW w:w="1274" w:type="dxa"/>
            <w:vAlign w:val="center"/>
          </w:tcPr>
          <w:p w:rsidR="00C861DA" w:rsidRDefault="0044752E">
            <w:pPr>
              <w:snapToGrid w:val="0"/>
              <w:jc w:val="center"/>
              <w:rPr>
                <w:rFonts w:ascii="Times New Roman" w:eastAsia="宋体"/>
                <w:color w:val="000000" w:themeColor="text1"/>
                <w:szCs w:val="24"/>
              </w:rPr>
            </w:pPr>
            <w:r>
              <w:rPr>
                <w:rFonts w:ascii="Times New Roman" w:eastAsia="宋体" w:hint="eastAsia"/>
                <w:color w:val="000000" w:themeColor="text1"/>
                <w:szCs w:val="24"/>
              </w:rPr>
              <w:t>三级</w:t>
            </w:r>
            <w:r>
              <w:rPr>
                <w:rFonts w:ascii="Times New Roman" w:eastAsia="宋体" w:hint="eastAsia"/>
                <w:color w:val="000000" w:themeColor="text1"/>
                <w:szCs w:val="24"/>
              </w:rPr>
              <w:t>B</w:t>
            </w:r>
          </w:p>
        </w:tc>
        <w:tc>
          <w:tcPr>
            <w:tcW w:w="5608" w:type="dxa"/>
            <w:vAlign w:val="center"/>
          </w:tcPr>
          <w:p w:rsidR="00C861DA" w:rsidRDefault="0044752E">
            <w:pPr>
              <w:snapToGrid w:val="0"/>
              <w:jc w:val="center"/>
              <w:rPr>
                <w:rFonts w:ascii="Times New Roman" w:eastAsia="宋体"/>
                <w:color w:val="000000" w:themeColor="text1"/>
              </w:rPr>
            </w:pPr>
            <w:r>
              <w:rPr>
                <w:rFonts w:ascii="Times New Roman" w:eastAsia="宋体" w:hint="eastAsia"/>
                <w:color w:val="000000" w:themeColor="text1"/>
                <w:szCs w:val="24"/>
              </w:rPr>
              <w:t>不设地表水评价范围，重点分析废水回用及外排进入市政管网的可行性。</w:t>
            </w:r>
          </w:p>
        </w:tc>
      </w:tr>
      <w:tr w:rsidR="00C861DA">
        <w:trPr>
          <w:trHeight w:val="369"/>
          <w:jc w:val="center"/>
        </w:trPr>
        <w:tc>
          <w:tcPr>
            <w:tcW w:w="141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地下水环境</w:t>
            </w:r>
          </w:p>
        </w:tc>
        <w:tc>
          <w:tcPr>
            <w:tcW w:w="1274" w:type="dxa"/>
            <w:vAlign w:val="center"/>
          </w:tcPr>
          <w:p w:rsidR="00C861DA" w:rsidRDefault="0044752E">
            <w:pPr>
              <w:jc w:val="center"/>
              <w:rPr>
                <w:rFonts w:ascii="Times New Roman" w:eastAsia="宋体"/>
                <w:color w:val="000000" w:themeColor="text1"/>
              </w:rPr>
            </w:pPr>
            <w:r>
              <w:rPr>
                <w:rFonts w:ascii="Times New Roman" w:eastAsia="宋体" w:hint="eastAsia"/>
                <w:color w:val="000000" w:themeColor="text1"/>
              </w:rPr>
              <w:t>二级</w:t>
            </w:r>
          </w:p>
        </w:tc>
        <w:tc>
          <w:tcPr>
            <w:tcW w:w="5608" w:type="dxa"/>
            <w:vAlign w:val="center"/>
          </w:tcPr>
          <w:p w:rsidR="00C861DA" w:rsidRDefault="0044752E">
            <w:pPr>
              <w:ind w:firstLineChars="200" w:firstLine="420"/>
              <w:jc w:val="center"/>
              <w:rPr>
                <w:rFonts w:ascii="Times New Roman" w:eastAsia="宋体"/>
                <w:color w:val="000000" w:themeColor="text1"/>
              </w:rPr>
            </w:pPr>
            <w:r>
              <w:rPr>
                <w:rFonts w:ascii="Times New Roman" w:eastAsia="宋体" w:hint="eastAsia"/>
                <w:color w:val="000000" w:themeColor="text1"/>
              </w:rPr>
              <w:t>项目所在区域地下水水文地质单元，</w:t>
            </w:r>
            <w:r>
              <w:rPr>
                <w:rFonts w:ascii="Times New Roman" w:eastAsia="宋体" w:hint="eastAsia"/>
                <w:color w:val="000000" w:themeColor="text1"/>
              </w:rPr>
              <w:t>6km</w:t>
            </w:r>
            <w:r>
              <w:rPr>
                <w:rFonts w:ascii="Times New Roman" w:eastAsia="宋体" w:hint="eastAsia"/>
                <w:color w:val="000000" w:themeColor="text1"/>
                <w:vertAlign w:val="superscript"/>
              </w:rPr>
              <w:t>2</w:t>
            </w:r>
            <w:r>
              <w:rPr>
                <w:rFonts w:ascii="Times New Roman" w:eastAsia="宋体" w:hint="eastAsia"/>
                <w:color w:val="000000" w:themeColor="text1"/>
              </w:rPr>
              <w:t>的范围。</w:t>
            </w:r>
          </w:p>
        </w:tc>
      </w:tr>
      <w:tr w:rsidR="00C861DA">
        <w:trPr>
          <w:trHeight w:val="369"/>
          <w:jc w:val="center"/>
        </w:trPr>
        <w:tc>
          <w:tcPr>
            <w:tcW w:w="141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声环境</w:t>
            </w:r>
          </w:p>
        </w:tc>
        <w:tc>
          <w:tcPr>
            <w:tcW w:w="1274" w:type="dxa"/>
            <w:vAlign w:val="center"/>
          </w:tcPr>
          <w:p w:rsidR="00C861DA" w:rsidRDefault="0044752E">
            <w:pPr>
              <w:snapToGrid w:val="0"/>
              <w:jc w:val="center"/>
              <w:rPr>
                <w:rFonts w:ascii="Times New Roman" w:eastAsia="宋体"/>
                <w:color w:val="000000" w:themeColor="text1"/>
              </w:rPr>
            </w:pPr>
            <w:r>
              <w:rPr>
                <w:rFonts w:ascii="Times New Roman" w:eastAsia="宋体" w:hint="eastAsia"/>
                <w:color w:val="000000" w:themeColor="text1"/>
              </w:rPr>
              <w:t>三级</w:t>
            </w:r>
          </w:p>
        </w:tc>
        <w:tc>
          <w:tcPr>
            <w:tcW w:w="5608"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建设项目厂界外延</w:t>
            </w:r>
            <w:r>
              <w:rPr>
                <w:rFonts w:ascii="Times New Roman" w:eastAsia="宋体"/>
                <w:color w:val="000000" w:themeColor="text1"/>
              </w:rPr>
              <w:t>200m</w:t>
            </w:r>
            <w:r>
              <w:rPr>
                <w:rFonts w:ascii="Times New Roman" w:eastAsia="宋体"/>
                <w:color w:val="000000" w:themeColor="text1"/>
              </w:rPr>
              <w:t>范围</w:t>
            </w:r>
            <w:r>
              <w:rPr>
                <w:rFonts w:ascii="Times New Roman" w:eastAsia="宋体" w:hint="eastAsia"/>
                <w:color w:val="000000" w:themeColor="text1"/>
              </w:rPr>
              <w:t>。</w:t>
            </w:r>
          </w:p>
        </w:tc>
      </w:tr>
      <w:tr w:rsidR="00C861DA">
        <w:trPr>
          <w:trHeight w:val="369"/>
          <w:jc w:val="center"/>
        </w:trPr>
        <w:tc>
          <w:tcPr>
            <w:tcW w:w="141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生态环境</w:t>
            </w:r>
          </w:p>
        </w:tc>
        <w:tc>
          <w:tcPr>
            <w:tcW w:w="1274" w:type="dxa"/>
            <w:vAlign w:val="center"/>
          </w:tcPr>
          <w:p w:rsidR="00C861DA" w:rsidRDefault="0044752E">
            <w:pPr>
              <w:snapToGrid w:val="0"/>
              <w:jc w:val="center"/>
              <w:rPr>
                <w:rFonts w:ascii="Times New Roman" w:eastAsia="宋体"/>
                <w:color w:val="000000" w:themeColor="text1"/>
              </w:rPr>
            </w:pPr>
            <w:r>
              <w:rPr>
                <w:rFonts w:ascii="Times New Roman" w:eastAsia="宋体" w:hint="eastAsia"/>
                <w:color w:val="000000" w:themeColor="text1"/>
              </w:rPr>
              <w:t>三级</w:t>
            </w:r>
          </w:p>
        </w:tc>
        <w:tc>
          <w:tcPr>
            <w:tcW w:w="5608"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建设项目用地及厂界外延</w:t>
            </w:r>
            <w:r>
              <w:rPr>
                <w:rFonts w:ascii="Times New Roman" w:eastAsia="宋体"/>
                <w:color w:val="000000" w:themeColor="text1"/>
              </w:rPr>
              <w:t>200m</w:t>
            </w:r>
            <w:r>
              <w:rPr>
                <w:rFonts w:ascii="Times New Roman" w:eastAsia="宋体"/>
                <w:color w:val="000000" w:themeColor="text1"/>
              </w:rPr>
              <w:t>范围</w:t>
            </w:r>
            <w:r>
              <w:rPr>
                <w:rFonts w:ascii="Times New Roman" w:eastAsia="宋体" w:hint="eastAsia"/>
                <w:color w:val="000000" w:themeColor="text1"/>
              </w:rPr>
              <w:t>。</w:t>
            </w:r>
          </w:p>
        </w:tc>
      </w:tr>
      <w:tr w:rsidR="00C861DA">
        <w:trPr>
          <w:trHeight w:val="369"/>
          <w:jc w:val="center"/>
        </w:trPr>
        <w:tc>
          <w:tcPr>
            <w:tcW w:w="1414" w:type="dxa"/>
            <w:vAlign w:val="center"/>
          </w:tcPr>
          <w:p w:rsidR="00C861DA" w:rsidRDefault="0044752E">
            <w:pPr>
              <w:snapToGrid w:val="0"/>
              <w:jc w:val="center"/>
              <w:rPr>
                <w:rFonts w:ascii="Times New Roman" w:eastAsia="宋体"/>
                <w:color w:val="000000" w:themeColor="text1"/>
              </w:rPr>
            </w:pPr>
            <w:r>
              <w:rPr>
                <w:rFonts w:ascii="Times New Roman" w:eastAsia="宋体"/>
                <w:color w:val="000000" w:themeColor="text1"/>
              </w:rPr>
              <w:t>环境风险</w:t>
            </w:r>
          </w:p>
        </w:tc>
        <w:tc>
          <w:tcPr>
            <w:tcW w:w="1274" w:type="dxa"/>
            <w:vAlign w:val="center"/>
          </w:tcPr>
          <w:p w:rsidR="00C861DA" w:rsidRDefault="0044752E">
            <w:pPr>
              <w:snapToGrid w:val="0"/>
              <w:jc w:val="center"/>
              <w:rPr>
                <w:rFonts w:ascii="Times New Roman" w:eastAsia="宋体"/>
                <w:color w:val="000000" w:themeColor="text1"/>
              </w:rPr>
            </w:pPr>
            <w:r>
              <w:rPr>
                <w:rFonts w:ascii="Times New Roman" w:eastAsia="宋体" w:hint="eastAsia"/>
                <w:color w:val="000000" w:themeColor="text1"/>
              </w:rPr>
              <w:t>二级</w:t>
            </w:r>
          </w:p>
        </w:tc>
        <w:tc>
          <w:tcPr>
            <w:tcW w:w="5608" w:type="dxa"/>
            <w:vAlign w:val="center"/>
          </w:tcPr>
          <w:p w:rsidR="00C861DA" w:rsidRDefault="0044752E">
            <w:pPr>
              <w:snapToGrid w:val="0"/>
              <w:jc w:val="center"/>
              <w:rPr>
                <w:rFonts w:ascii="Times New Roman" w:eastAsia="宋体"/>
                <w:color w:val="000000" w:themeColor="text1"/>
              </w:rPr>
            </w:pPr>
            <w:r>
              <w:rPr>
                <w:rFonts w:ascii="Times New Roman" w:eastAsia="宋体" w:hint="eastAsia"/>
                <w:color w:val="000000" w:themeColor="text1"/>
              </w:rPr>
              <w:t>厂界外延</w:t>
            </w:r>
            <w:r>
              <w:rPr>
                <w:rFonts w:ascii="Times New Roman" w:eastAsia="宋体" w:hint="eastAsia"/>
                <w:color w:val="000000" w:themeColor="text1"/>
              </w:rPr>
              <w:t>5</w:t>
            </w:r>
            <w:r>
              <w:rPr>
                <w:rFonts w:ascii="Times New Roman" w:eastAsia="宋体"/>
                <w:color w:val="000000" w:themeColor="text1"/>
              </w:rPr>
              <w:t>km</w:t>
            </w:r>
            <w:r>
              <w:rPr>
                <w:rFonts w:ascii="Times New Roman" w:eastAsia="宋体"/>
                <w:color w:val="000000" w:themeColor="text1"/>
              </w:rPr>
              <w:t>的</w:t>
            </w:r>
            <w:r>
              <w:rPr>
                <w:rFonts w:ascii="Times New Roman" w:eastAsia="宋体" w:hint="eastAsia"/>
                <w:color w:val="000000" w:themeColor="text1"/>
              </w:rPr>
              <w:t>矩</w:t>
            </w:r>
            <w:r>
              <w:rPr>
                <w:rFonts w:ascii="Times New Roman" w:eastAsia="宋体"/>
                <w:color w:val="000000" w:themeColor="text1"/>
              </w:rPr>
              <w:t>形区域</w:t>
            </w:r>
            <w:r>
              <w:rPr>
                <w:rFonts w:ascii="Times New Roman" w:eastAsia="宋体" w:hint="eastAsia"/>
                <w:color w:val="000000" w:themeColor="text1"/>
              </w:rPr>
              <w:t>。</w:t>
            </w:r>
          </w:p>
        </w:tc>
      </w:tr>
    </w:tbl>
    <w:p w:rsidR="00C861DA" w:rsidRDefault="0044752E">
      <w:pPr>
        <w:pStyle w:val="22"/>
        <w:rPr>
          <w:rFonts w:ascii="Times New Roman" w:eastAsia="宋体" w:hAnsi="Times New Roman"/>
          <w:bCs w:val="0"/>
          <w:color w:val="000000" w:themeColor="text1"/>
          <w:sz w:val="28"/>
          <w:szCs w:val="28"/>
        </w:rPr>
      </w:pPr>
      <w:bookmarkStart w:id="186" w:name="_Toc15878"/>
      <w:bookmarkStart w:id="187" w:name="_Toc6826776"/>
      <w:bookmarkStart w:id="188" w:name="_Toc15934"/>
      <w:bookmarkStart w:id="189" w:name="_Toc28790"/>
      <w:bookmarkStart w:id="190" w:name="_Toc28806"/>
      <w:bookmarkStart w:id="191" w:name="_Toc497620108"/>
      <w:bookmarkStart w:id="192" w:name="_Toc2988"/>
      <w:r>
        <w:rPr>
          <w:rFonts w:ascii="Times New Roman" w:eastAsia="宋体" w:hAnsi="Times New Roman"/>
          <w:bCs w:val="0"/>
          <w:color w:val="000000" w:themeColor="text1"/>
          <w:sz w:val="28"/>
          <w:szCs w:val="28"/>
        </w:rPr>
        <w:t>2.7</w:t>
      </w:r>
      <w:r>
        <w:rPr>
          <w:rFonts w:ascii="Times New Roman" w:eastAsia="宋体" w:hAnsi="Times New Roman"/>
          <w:bCs w:val="0"/>
          <w:color w:val="000000" w:themeColor="text1"/>
          <w:sz w:val="28"/>
          <w:szCs w:val="28"/>
        </w:rPr>
        <w:t>主要环境保护目标</w:t>
      </w:r>
      <w:bookmarkEnd w:id="186"/>
      <w:bookmarkEnd w:id="187"/>
      <w:bookmarkEnd w:id="188"/>
      <w:bookmarkEnd w:id="189"/>
      <w:bookmarkEnd w:id="190"/>
      <w:bookmarkEnd w:id="191"/>
      <w:bookmarkEnd w:id="192"/>
    </w:p>
    <w:p w:rsidR="00C861DA" w:rsidRDefault="0044752E">
      <w:pPr>
        <w:snapToGrid w:val="0"/>
        <w:spacing w:line="360" w:lineRule="auto"/>
        <w:ind w:firstLine="482"/>
        <w:rPr>
          <w:rFonts w:ascii="Times New Roman" w:eastAsia="宋体"/>
          <w:color w:val="000000" w:themeColor="text1"/>
          <w:sz w:val="24"/>
          <w:szCs w:val="24"/>
        </w:rPr>
      </w:pPr>
      <w:r>
        <w:rPr>
          <w:rFonts w:ascii="Times New Roman" w:eastAsia="宋体"/>
          <w:color w:val="000000" w:themeColor="text1"/>
          <w:sz w:val="24"/>
          <w:szCs w:val="24"/>
        </w:rPr>
        <w:t>本项目环境保护目标如表</w:t>
      </w:r>
      <w:r>
        <w:rPr>
          <w:rFonts w:ascii="Times New Roman" w:eastAsia="宋体"/>
          <w:color w:val="000000" w:themeColor="text1"/>
          <w:sz w:val="24"/>
          <w:szCs w:val="24"/>
        </w:rPr>
        <w:t>2.7</w:t>
      </w:r>
      <w:r>
        <w:rPr>
          <w:rFonts w:ascii="Times New Roman" w:eastAsia="宋体" w:hint="eastAsia"/>
          <w:color w:val="000000" w:themeColor="text1"/>
          <w:sz w:val="24"/>
          <w:szCs w:val="24"/>
        </w:rPr>
        <w:t>-1</w:t>
      </w:r>
      <w:r>
        <w:rPr>
          <w:rFonts w:ascii="Times New Roman" w:eastAsia="宋体"/>
          <w:color w:val="000000" w:themeColor="text1"/>
          <w:sz w:val="24"/>
          <w:szCs w:val="24"/>
        </w:rPr>
        <w:t>所示</w:t>
      </w:r>
      <w:r>
        <w:rPr>
          <w:rFonts w:ascii="Times New Roman" w:eastAsia="宋体" w:hint="eastAsia"/>
          <w:color w:val="000000" w:themeColor="text1"/>
          <w:sz w:val="24"/>
          <w:szCs w:val="24"/>
        </w:rPr>
        <w:t>，环境风险保护目标如表</w:t>
      </w:r>
      <w:r>
        <w:rPr>
          <w:rFonts w:ascii="Times New Roman" w:eastAsia="宋体"/>
          <w:color w:val="000000" w:themeColor="text1"/>
          <w:sz w:val="24"/>
          <w:szCs w:val="24"/>
        </w:rPr>
        <w:t>2.7</w:t>
      </w:r>
      <w:r>
        <w:rPr>
          <w:rFonts w:ascii="Times New Roman" w:eastAsia="宋体" w:hint="eastAsia"/>
          <w:color w:val="000000" w:themeColor="text1"/>
          <w:sz w:val="24"/>
          <w:szCs w:val="24"/>
        </w:rPr>
        <w:t>-2</w:t>
      </w:r>
      <w:r>
        <w:rPr>
          <w:rFonts w:ascii="Times New Roman" w:eastAsia="宋体"/>
          <w:color w:val="000000" w:themeColor="text1"/>
          <w:sz w:val="24"/>
          <w:szCs w:val="24"/>
        </w:rPr>
        <w:t>所示。</w:t>
      </w:r>
    </w:p>
    <w:p w:rsidR="00C861DA" w:rsidRDefault="0044752E">
      <w:pPr>
        <w:snapToGrid w:val="0"/>
        <w:spacing w:line="360" w:lineRule="auto"/>
        <w:jc w:val="center"/>
        <w:rPr>
          <w:rFonts w:ascii="Times New Roman" w:eastAsia="宋体"/>
          <w:b/>
          <w:color w:val="000000" w:themeColor="text1"/>
          <w:sz w:val="24"/>
          <w:szCs w:val="24"/>
        </w:rPr>
      </w:pPr>
      <w:r>
        <w:rPr>
          <w:rFonts w:ascii="Times New Roman" w:eastAsia="宋体"/>
          <w:b/>
          <w:color w:val="000000" w:themeColor="text1"/>
          <w:sz w:val="24"/>
          <w:szCs w:val="24"/>
        </w:rPr>
        <w:t>表</w:t>
      </w:r>
      <w:r>
        <w:rPr>
          <w:rFonts w:ascii="Times New Roman" w:eastAsia="宋体"/>
          <w:b/>
          <w:color w:val="000000" w:themeColor="text1"/>
          <w:sz w:val="24"/>
          <w:szCs w:val="24"/>
        </w:rPr>
        <w:t>2.7</w:t>
      </w:r>
      <w:r>
        <w:rPr>
          <w:rFonts w:ascii="Times New Roman" w:eastAsia="宋体" w:hint="eastAsia"/>
          <w:b/>
          <w:color w:val="000000" w:themeColor="text1"/>
          <w:sz w:val="24"/>
          <w:szCs w:val="24"/>
        </w:rPr>
        <w:t xml:space="preserve">-1  </w:t>
      </w:r>
      <w:r>
        <w:rPr>
          <w:rFonts w:ascii="Times New Roman" w:eastAsia="宋体"/>
          <w:b/>
          <w:color w:val="000000" w:themeColor="text1"/>
          <w:sz w:val="24"/>
          <w:szCs w:val="24"/>
        </w:rPr>
        <w:t>环境保护目标表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1701"/>
        <w:gridCol w:w="1134"/>
        <w:gridCol w:w="1134"/>
        <w:gridCol w:w="1417"/>
        <w:gridCol w:w="1922"/>
      </w:tblGrid>
      <w:tr w:rsidR="00C861DA">
        <w:trPr>
          <w:trHeight w:val="369"/>
          <w:jc w:val="center"/>
        </w:trPr>
        <w:tc>
          <w:tcPr>
            <w:tcW w:w="988" w:type="dxa"/>
            <w:vAlign w:val="center"/>
          </w:tcPr>
          <w:p w:rsidR="00C861DA" w:rsidRDefault="0044752E">
            <w:pPr>
              <w:pStyle w:val="TableParagraph"/>
              <w:spacing w:before="102"/>
              <w:jc w:val="center"/>
              <w:rPr>
                <w:rFonts w:hAnsi="Times New Roman" w:cs="Times New Roman"/>
                <w:color w:val="000000" w:themeColor="text1"/>
              </w:rPr>
            </w:pPr>
            <w:bookmarkStart w:id="193" w:name="_Hlk6422326"/>
            <w:r>
              <w:rPr>
                <w:rFonts w:hAnsi="Times New Roman" w:cs="Times New Roman"/>
                <w:bCs/>
                <w:color w:val="000000" w:themeColor="text1"/>
              </w:rPr>
              <w:t>环境因子</w:t>
            </w:r>
          </w:p>
        </w:tc>
        <w:tc>
          <w:tcPr>
            <w:tcW w:w="1701" w:type="dxa"/>
            <w:vAlign w:val="center"/>
          </w:tcPr>
          <w:p w:rsidR="00C861DA" w:rsidRDefault="0044752E">
            <w:pPr>
              <w:pStyle w:val="TableParagraph"/>
              <w:spacing w:before="102"/>
              <w:jc w:val="center"/>
              <w:rPr>
                <w:rFonts w:hAnsi="Times New Roman" w:cs="Times New Roman"/>
                <w:color w:val="000000" w:themeColor="text1"/>
              </w:rPr>
            </w:pPr>
            <w:r>
              <w:rPr>
                <w:rFonts w:hAnsi="Times New Roman" w:cs="Times New Roman"/>
                <w:bCs/>
                <w:color w:val="000000" w:themeColor="text1"/>
              </w:rPr>
              <w:t>敏感目标名称</w:t>
            </w:r>
          </w:p>
        </w:tc>
        <w:tc>
          <w:tcPr>
            <w:tcW w:w="1134" w:type="dxa"/>
            <w:vAlign w:val="center"/>
          </w:tcPr>
          <w:p w:rsidR="00C861DA" w:rsidRDefault="0044752E">
            <w:pPr>
              <w:pStyle w:val="TableParagraph"/>
              <w:jc w:val="center"/>
              <w:rPr>
                <w:rFonts w:hAnsi="Times New Roman" w:cs="Times New Roman"/>
                <w:bCs/>
                <w:color w:val="000000" w:themeColor="text1"/>
              </w:rPr>
            </w:pPr>
            <w:r>
              <w:rPr>
                <w:rFonts w:hAnsi="Times New Roman" w:cs="Times New Roman"/>
                <w:bCs/>
                <w:color w:val="000000" w:themeColor="text1"/>
              </w:rPr>
              <w:t>保护目标基本特征</w:t>
            </w:r>
          </w:p>
        </w:tc>
        <w:tc>
          <w:tcPr>
            <w:tcW w:w="113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与项目区相对方位</w:t>
            </w:r>
          </w:p>
        </w:tc>
        <w:tc>
          <w:tcPr>
            <w:tcW w:w="1417" w:type="dxa"/>
            <w:vAlign w:val="center"/>
          </w:tcPr>
          <w:p w:rsidR="00C861DA" w:rsidRDefault="0044752E">
            <w:pPr>
              <w:pStyle w:val="TableParagraph"/>
              <w:spacing w:before="102"/>
              <w:jc w:val="center"/>
              <w:rPr>
                <w:rFonts w:hAnsi="Times New Roman" w:cs="Times New Roman"/>
                <w:color w:val="000000" w:themeColor="text1"/>
              </w:rPr>
            </w:pPr>
            <w:r>
              <w:rPr>
                <w:rFonts w:hAnsi="Times New Roman" w:cs="Times New Roman"/>
                <w:color w:val="000000" w:themeColor="text1"/>
              </w:rPr>
              <w:t>与项目区厂界最近距离（</w:t>
            </w:r>
            <w:r>
              <w:rPr>
                <w:rFonts w:hAnsi="Times New Roman" w:cs="Times New Roman"/>
                <w:color w:val="000000" w:themeColor="text1"/>
              </w:rPr>
              <w:t>km</w:t>
            </w:r>
            <w:r>
              <w:rPr>
                <w:rFonts w:hAnsi="Times New Roman" w:cs="Times New Roman"/>
                <w:color w:val="000000" w:themeColor="text1"/>
              </w:rPr>
              <w:t>）</w:t>
            </w:r>
          </w:p>
        </w:tc>
        <w:tc>
          <w:tcPr>
            <w:tcW w:w="1922" w:type="dxa"/>
            <w:vAlign w:val="center"/>
          </w:tcPr>
          <w:p w:rsidR="00C861DA" w:rsidRDefault="0044752E">
            <w:pPr>
              <w:pStyle w:val="TableParagraph"/>
              <w:spacing w:before="102"/>
              <w:jc w:val="center"/>
              <w:rPr>
                <w:rFonts w:hAnsi="Times New Roman" w:cs="Times New Roman"/>
                <w:color w:val="000000" w:themeColor="text1"/>
              </w:rPr>
            </w:pPr>
            <w:r>
              <w:rPr>
                <w:rFonts w:hAnsi="Times New Roman" w:cs="Times New Roman"/>
                <w:bCs/>
                <w:color w:val="000000" w:themeColor="text1"/>
              </w:rPr>
              <w:t>环境功能要求</w:t>
            </w:r>
          </w:p>
        </w:tc>
      </w:tr>
      <w:tr w:rsidR="00C861DA">
        <w:trPr>
          <w:trHeight w:val="369"/>
          <w:jc w:val="center"/>
        </w:trPr>
        <w:tc>
          <w:tcPr>
            <w:tcW w:w="988" w:type="dxa"/>
            <w:vMerge w:val="restart"/>
            <w:vAlign w:val="center"/>
          </w:tcPr>
          <w:p w:rsidR="00C861DA" w:rsidRDefault="0044752E">
            <w:pPr>
              <w:pStyle w:val="TableParagraph"/>
              <w:spacing w:before="173"/>
              <w:jc w:val="center"/>
              <w:rPr>
                <w:rFonts w:hAnsi="Times New Roman" w:cs="Times New Roman"/>
                <w:color w:val="000000" w:themeColor="text1"/>
              </w:rPr>
            </w:pPr>
            <w:r>
              <w:rPr>
                <w:rFonts w:hAnsi="Times New Roman" w:cs="Times New Roman"/>
                <w:color w:val="000000" w:themeColor="text1"/>
              </w:rPr>
              <w:t>环境空气</w:t>
            </w:r>
          </w:p>
        </w:tc>
        <w:tc>
          <w:tcPr>
            <w:tcW w:w="1701" w:type="dxa"/>
            <w:vAlign w:val="center"/>
          </w:tcPr>
          <w:p w:rsidR="00C861DA" w:rsidRDefault="0044752E">
            <w:pPr>
              <w:widowControl/>
              <w:jc w:val="center"/>
              <w:textAlignment w:val="center"/>
              <w:rPr>
                <w:rFonts w:ascii="宋体" w:eastAsia="宋体" w:hAnsi="宋体" w:cs="Times New Roman"/>
                <w:color w:val="000000" w:themeColor="text1"/>
                <w:highlight w:val="yellow"/>
              </w:rPr>
            </w:pPr>
            <w:r>
              <w:rPr>
                <w:rFonts w:ascii="宋体" w:eastAsia="宋体" w:hAnsi="宋体" w:hint="eastAsia"/>
                <w:color w:val="000000" w:themeColor="text1"/>
              </w:rPr>
              <w:t>祥丰金麦化工职工生活区</w:t>
            </w:r>
          </w:p>
        </w:tc>
        <w:tc>
          <w:tcPr>
            <w:tcW w:w="1134" w:type="dxa"/>
            <w:vAlign w:val="center"/>
          </w:tcPr>
          <w:p w:rsidR="00C861DA" w:rsidRDefault="0044752E">
            <w:pPr>
              <w:pStyle w:val="TableParagraph"/>
              <w:jc w:val="center"/>
              <w:rPr>
                <w:rFonts w:hAnsi="Times New Roman" w:cs="Times New Roman"/>
                <w:color w:val="000000" w:themeColor="text1"/>
              </w:rPr>
            </w:pPr>
            <w:r>
              <w:rPr>
                <w:rFonts w:hint="eastAsia"/>
                <w:color w:val="000000" w:themeColor="text1"/>
              </w:rPr>
              <w:t>约</w:t>
            </w:r>
            <w:r>
              <w:rPr>
                <w:rFonts w:hint="eastAsia"/>
                <w:color w:val="000000" w:themeColor="text1"/>
              </w:rPr>
              <w:t>5</w:t>
            </w:r>
            <w:r>
              <w:rPr>
                <w:color w:val="000000" w:themeColor="text1"/>
              </w:rPr>
              <w:t>00</w:t>
            </w:r>
            <w:r>
              <w:rPr>
                <w:rFonts w:hint="eastAsia"/>
                <w:color w:val="000000" w:themeColor="text1"/>
              </w:rPr>
              <w:t>人</w:t>
            </w:r>
          </w:p>
        </w:tc>
        <w:tc>
          <w:tcPr>
            <w:tcW w:w="1134" w:type="dxa"/>
            <w:vAlign w:val="center"/>
          </w:tcPr>
          <w:p w:rsidR="00C861DA" w:rsidRDefault="0044752E">
            <w:pPr>
              <w:pStyle w:val="TableParagraph"/>
              <w:jc w:val="center"/>
              <w:rPr>
                <w:color w:val="000000" w:themeColor="text1"/>
              </w:rPr>
            </w:pPr>
            <w:r>
              <w:rPr>
                <w:rFonts w:hint="eastAsia"/>
                <w:color w:val="000000" w:themeColor="text1"/>
              </w:rPr>
              <w:t>西南</w:t>
            </w:r>
          </w:p>
        </w:tc>
        <w:tc>
          <w:tcPr>
            <w:tcW w:w="1417" w:type="dxa"/>
            <w:vAlign w:val="center"/>
          </w:tcPr>
          <w:p w:rsidR="00C861DA" w:rsidRDefault="0044752E">
            <w:pPr>
              <w:pStyle w:val="TableParagraph"/>
              <w:jc w:val="center"/>
              <w:rPr>
                <w:color w:val="000000" w:themeColor="text1"/>
              </w:rPr>
            </w:pPr>
            <w:r>
              <w:rPr>
                <w:color w:val="000000" w:themeColor="text1"/>
              </w:rPr>
              <w:t>1.0</w:t>
            </w:r>
          </w:p>
        </w:tc>
        <w:tc>
          <w:tcPr>
            <w:tcW w:w="1922" w:type="dxa"/>
            <w:vMerge w:val="restart"/>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《环境空气质量标准》</w:t>
            </w:r>
            <w:r>
              <w:rPr>
                <w:rFonts w:hAnsi="Times New Roman" w:cs="Times New Roman"/>
                <w:color w:val="000000" w:themeColor="text1"/>
              </w:rPr>
              <w:t xml:space="preserve"> </w:t>
            </w:r>
            <w:r>
              <w:rPr>
                <w:rFonts w:hAnsi="Times New Roman" w:cs="Times New Roman"/>
                <w:color w:val="000000" w:themeColor="text1"/>
              </w:rPr>
              <w:t>（</w:t>
            </w:r>
            <w:r>
              <w:rPr>
                <w:rFonts w:hAnsi="Times New Roman" w:cs="Times New Roman"/>
                <w:color w:val="000000" w:themeColor="text1"/>
              </w:rPr>
              <w:t>GB3095-2012</w:t>
            </w:r>
            <w:r>
              <w:rPr>
                <w:rFonts w:hAnsi="Times New Roman" w:cs="Times New Roman"/>
                <w:color w:val="000000" w:themeColor="text1"/>
              </w:rPr>
              <w:t>）二级标准</w:t>
            </w:r>
          </w:p>
        </w:tc>
      </w:tr>
      <w:tr w:rsidR="00C861DA">
        <w:trPr>
          <w:trHeight w:val="369"/>
          <w:jc w:val="center"/>
        </w:trPr>
        <w:tc>
          <w:tcPr>
            <w:tcW w:w="988" w:type="dxa"/>
            <w:vMerge/>
            <w:vAlign w:val="center"/>
          </w:tcPr>
          <w:p w:rsidR="00C861DA" w:rsidRDefault="00C861DA">
            <w:pPr>
              <w:pStyle w:val="TableParagraph"/>
              <w:spacing w:before="173"/>
              <w:jc w:val="center"/>
              <w:rPr>
                <w:rFonts w:hAnsi="Times New Roman" w:cs="Times New Roman"/>
                <w:color w:val="000000" w:themeColor="text1"/>
              </w:rPr>
            </w:pPr>
          </w:p>
        </w:tc>
        <w:tc>
          <w:tcPr>
            <w:tcW w:w="1701" w:type="dxa"/>
            <w:vAlign w:val="center"/>
          </w:tcPr>
          <w:p w:rsidR="00C861DA" w:rsidRDefault="0044752E">
            <w:pPr>
              <w:widowControl/>
              <w:jc w:val="center"/>
              <w:textAlignment w:val="center"/>
              <w:rPr>
                <w:rFonts w:ascii="宋体" w:eastAsia="宋体" w:hAnsi="宋体" w:cs="Times New Roman"/>
                <w:color w:val="000000" w:themeColor="text1"/>
                <w:highlight w:val="yellow"/>
              </w:rPr>
            </w:pPr>
            <w:r>
              <w:rPr>
                <w:rFonts w:ascii="宋体" w:eastAsia="宋体" w:hAnsi="宋体"/>
                <w:color w:val="000000" w:themeColor="text1"/>
              </w:rPr>
              <w:t>大哨</w:t>
            </w:r>
          </w:p>
        </w:tc>
        <w:tc>
          <w:tcPr>
            <w:tcW w:w="1134" w:type="dxa"/>
            <w:vAlign w:val="center"/>
          </w:tcPr>
          <w:p w:rsidR="00C861DA" w:rsidRDefault="0044752E">
            <w:pPr>
              <w:pStyle w:val="TableParagraph"/>
              <w:jc w:val="center"/>
              <w:rPr>
                <w:rFonts w:hAnsi="Times New Roman" w:cs="Times New Roman"/>
                <w:color w:val="000000" w:themeColor="text1"/>
              </w:rPr>
            </w:pPr>
            <w:r>
              <w:rPr>
                <w:color w:val="000000" w:themeColor="text1"/>
              </w:rPr>
              <w:t>约</w:t>
            </w:r>
            <w:r>
              <w:rPr>
                <w:color w:val="000000" w:themeColor="text1"/>
              </w:rPr>
              <w:t>350</w:t>
            </w:r>
            <w:r>
              <w:rPr>
                <w:color w:val="000000" w:themeColor="text1"/>
              </w:rPr>
              <w:t>人</w:t>
            </w:r>
          </w:p>
        </w:tc>
        <w:tc>
          <w:tcPr>
            <w:tcW w:w="1134" w:type="dxa"/>
            <w:vAlign w:val="center"/>
          </w:tcPr>
          <w:p w:rsidR="00C861DA" w:rsidRDefault="0044752E">
            <w:pPr>
              <w:pStyle w:val="TableParagraph"/>
              <w:jc w:val="center"/>
              <w:rPr>
                <w:rFonts w:hAnsi="Times New Roman" w:cs="Times New Roman"/>
                <w:color w:val="000000" w:themeColor="text1"/>
              </w:rPr>
            </w:pPr>
            <w:r>
              <w:rPr>
                <w:color w:val="000000" w:themeColor="text1"/>
              </w:rPr>
              <w:t>南</w:t>
            </w:r>
          </w:p>
        </w:tc>
        <w:tc>
          <w:tcPr>
            <w:tcW w:w="1417" w:type="dxa"/>
            <w:vAlign w:val="center"/>
          </w:tcPr>
          <w:p w:rsidR="00C861DA" w:rsidRDefault="0044752E">
            <w:pPr>
              <w:pStyle w:val="TableParagraph"/>
              <w:jc w:val="center"/>
              <w:rPr>
                <w:rFonts w:hAnsi="Times New Roman" w:cs="Times New Roman"/>
                <w:color w:val="000000" w:themeColor="text1"/>
              </w:rPr>
            </w:pPr>
            <w:r>
              <w:rPr>
                <w:color w:val="000000" w:themeColor="text1"/>
              </w:rPr>
              <w:t>1.1</w:t>
            </w:r>
          </w:p>
        </w:tc>
        <w:tc>
          <w:tcPr>
            <w:tcW w:w="1922" w:type="dxa"/>
            <w:vMerge/>
            <w:vAlign w:val="center"/>
          </w:tcPr>
          <w:p w:rsidR="00C861DA" w:rsidRDefault="00C861DA">
            <w:pPr>
              <w:pStyle w:val="TableParagraph"/>
              <w:jc w:val="center"/>
              <w:rPr>
                <w:rFonts w:hAnsi="Times New Roman" w:cs="Times New Roman"/>
                <w:color w:val="000000" w:themeColor="text1"/>
              </w:rPr>
            </w:pPr>
          </w:p>
        </w:tc>
      </w:tr>
      <w:tr w:rsidR="00C861DA">
        <w:trPr>
          <w:trHeight w:val="369"/>
          <w:jc w:val="center"/>
        </w:trPr>
        <w:tc>
          <w:tcPr>
            <w:tcW w:w="988" w:type="dxa"/>
            <w:vMerge/>
            <w:vAlign w:val="center"/>
          </w:tcPr>
          <w:p w:rsidR="00C861DA" w:rsidRDefault="00C861DA">
            <w:pPr>
              <w:jc w:val="center"/>
              <w:rPr>
                <w:rFonts w:ascii="Times New Roman" w:eastAsia="宋体" w:hAnsi="Times New Roman" w:cs="Times New Roman"/>
                <w:color w:val="000000" w:themeColor="text1"/>
              </w:rPr>
            </w:pPr>
          </w:p>
        </w:tc>
        <w:tc>
          <w:tcPr>
            <w:tcW w:w="1701" w:type="dxa"/>
            <w:vAlign w:val="center"/>
          </w:tcPr>
          <w:p w:rsidR="00C861DA" w:rsidRDefault="0044752E">
            <w:pPr>
              <w:widowControl/>
              <w:jc w:val="center"/>
              <w:textAlignment w:val="center"/>
              <w:rPr>
                <w:rFonts w:ascii="宋体" w:eastAsia="宋体" w:hAnsi="宋体" w:cs="Times New Roman"/>
                <w:color w:val="000000" w:themeColor="text1"/>
                <w:highlight w:val="yellow"/>
              </w:rPr>
            </w:pPr>
            <w:r>
              <w:rPr>
                <w:rFonts w:ascii="宋体" w:eastAsia="宋体" w:hAnsi="宋体"/>
                <w:color w:val="000000" w:themeColor="text1"/>
              </w:rPr>
              <w:t>下禄脿</w:t>
            </w:r>
          </w:p>
        </w:tc>
        <w:tc>
          <w:tcPr>
            <w:tcW w:w="1134" w:type="dxa"/>
            <w:vAlign w:val="center"/>
          </w:tcPr>
          <w:p w:rsidR="00C861DA" w:rsidRDefault="0044752E">
            <w:pPr>
              <w:pStyle w:val="TableParagraph"/>
              <w:jc w:val="center"/>
              <w:rPr>
                <w:rFonts w:hAnsi="Times New Roman" w:cs="Times New Roman"/>
                <w:color w:val="000000" w:themeColor="text1"/>
              </w:rPr>
            </w:pPr>
            <w:r>
              <w:rPr>
                <w:color w:val="000000" w:themeColor="text1"/>
              </w:rPr>
              <w:t>约</w:t>
            </w:r>
            <w:r>
              <w:rPr>
                <w:color w:val="000000" w:themeColor="text1"/>
              </w:rPr>
              <w:t>450</w:t>
            </w:r>
            <w:r>
              <w:rPr>
                <w:color w:val="000000" w:themeColor="text1"/>
              </w:rPr>
              <w:t>人</w:t>
            </w:r>
          </w:p>
        </w:tc>
        <w:tc>
          <w:tcPr>
            <w:tcW w:w="1134" w:type="dxa"/>
            <w:vAlign w:val="center"/>
          </w:tcPr>
          <w:p w:rsidR="00C861DA" w:rsidRDefault="0044752E">
            <w:pPr>
              <w:pStyle w:val="TableParagraph"/>
              <w:jc w:val="center"/>
              <w:rPr>
                <w:rFonts w:hAnsi="Times New Roman" w:cs="Times New Roman"/>
                <w:color w:val="000000" w:themeColor="text1"/>
              </w:rPr>
            </w:pPr>
            <w:r>
              <w:rPr>
                <w:color w:val="000000" w:themeColor="text1"/>
              </w:rPr>
              <w:t>西南</w:t>
            </w:r>
          </w:p>
        </w:tc>
        <w:tc>
          <w:tcPr>
            <w:tcW w:w="1417" w:type="dxa"/>
            <w:vAlign w:val="center"/>
          </w:tcPr>
          <w:p w:rsidR="00C861DA" w:rsidRDefault="0044752E">
            <w:pPr>
              <w:pStyle w:val="TableParagraph"/>
              <w:jc w:val="center"/>
              <w:rPr>
                <w:rFonts w:hAnsi="Times New Roman" w:cs="Times New Roman"/>
                <w:color w:val="000000" w:themeColor="text1"/>
              </w:rPr>
            </w:pPr>
            <w:r>
              <w:rPr>
                <w:color w:val="000000" w:themeColor="text1"/>
              </w:rPr>
              <w:t>1.51</w:t>
            </w:r>
          </w:p>
        </w:tc>
        <w:tc>
          <w:tcPr>
            <w:tcW w:w="1922" w:type="dxa"/>
            <w:vMerge/>
            <w:vAlign w:val="center"/>
          </w:tcPr>
          <w:p w:rsidR="00C861DA" w:rsidRDefault="00C861DA">
            <w:pPr>
              <w:jc w:val="center"/>
              <w:rPr>
                <w:rFonts w:ascii="Times New Roman" w:eastAsia="宋体" w:hAnsi="Times New Roman" w:cs="Times New Roman"/>
                <w:color w:val="000000" w:themeColor="text1"/>
              </w:rPr>
            </w:pPr>
          </w:p>
        </w:tc>
      </w:tr>
      <w:tr w:rsidR="00C861DA">
        <w:trPr>
          <w:trHeight w:val="369"/>
          <w:jc w:val="center"/>
        </w:trPr>
        <w:tc>
          <w:tcPr>
            <w:tcW w:w="988" w:type="dxa"/>
            <w:vMerge/>
            <w:vAlign w:val="center"/>
          </w:tcPr>
          <w:p w:rsidR="00C861DA" w:rsidRDefault="00C861DA">
            <w:pPr>
              <w:jc w:val="center"/>
              <w:rPr>
                <w:rFonts w:ascii="Times New Roman" w:eastAsia="宋体" w:hAnsi="Times New Roman" w:cs="Times New Roman"/>
                <w:color w:val="000000" w:themeColor="text1"/>
              </w:rPr>
            </w:pPr>
          </w:p>
        </w:tc>
        <w:tc>
          <w:tcPr>
            <w:tcW w:w="1701" w:type="dxa"/>
            <w:vAlign w:val="center"/>
          </w:tcPr>
          <w:p w:rsidR="00C861DA" w:rsidRDefault="0044752E">
            <w:pPr>
              <w:widowControl/>
              <w:jc w:val="center"/>
              <w:textAlignment w:val="center"/>
              <w:rPr>
                <w:rFonts w:ascii="宋体" w:eastAsia="宋体" w:hAnsi="宋体" w:cs="Times New Roman"/>
                <w:color w:val="000000" w:themeColor="text1"/>
                <w:highlight w:val="yellow"/>
              </w:rPr>
            </w:pPr>
            <w:r>
              <w:rPr>
                <w:rFonts w:ascii="宋体" w:eastAsia="宋体" w:hAnsi="宋体"/>
                <w:color w:val="000000" w:themeColor="text1"/>
              </w:rPr>
              <w:t>小河边</w:t>
            </w:r>
          </w:p>
        </w:tc>
        <w:tc>
          <w:tcPr>
            <w:tcW w:w="1134" w:type="dxa"/>
          </w:tcPr>
          <w:p w:rsidR="00C861DA" w:rsidRDefault="0044752E">
            <w:pPr>
              <w:pStyle w:val="TableParagraph"/>
              <w:jc w:val="center"/>
              <w:rPr>
                <w:rFonts w:hAnsi="Times New Roman" w:cs="Times New Roman"/>
                <w:color w:val="000000" w:themeColor="text1"/>
              </w:rPr>
            </w:pPr>
            <w:r>
              <w:rPr>
                <w:color w:val="000000" w:themeColor="text1"/>
              </w:rPr>
              <w:t>约</w:t>
            </w:r>
            <w:r>
              <w:rPr>
                <w:color w:val="000000" w:themeColor="text1"/>
              </w:rPr>
              <w:t>80</w:t>
            </w:r>
            <w:r>
              <w:rPr>
                <w:color w:val="000000" w:themeColor="text1"/>
              </w:rPr>
              <w:t>人</w:t>
            </w:r>
          </w:p>
        </w:tc>
        <w:tc>
          <w:tcPr>
            <w:tcW w:w="1134" w:type="dxa"/>
            <w:vAlign w:val="center"/>
          </w:tcPr>
          <w:p w:rsidR="00C861DA" w:rsidRDefault="0044752E">
            <w:pPr>
              <w:pStyle w:val="TableParagraph"/>
              <w:jc w:val="center"/>
              <w:rPr>
                <w:rFonts w:hAnsi="Times New Roman" w:cs="Times New Roman"/>
                <w:color w:val="000000" w:themeColor="text1"/>
              </w:rPr>
            </w:pPr>
            <w:r>
              <w:rPr>
                <w:color w:val="000000" w:themeColor="text1"/>
              </w:rPr>
              <w:t>西</w:t>
            </w:r>
          </w:p>
        </w:tc>
        <w:tc>
          <w:tcPr>
            <w:tcW w:w="1417" w:type="dxa"/>
            <w:vAlign w:val="center"/>
          </w:tcPr>
          <w:p w:rsidR="00C861DA" w:rsidRDefault="0044752E">
            <w:pPr>
              <w:pStyle w:val="TableParagraph"/>
              <w:jc w:val="center"/>
              <w:rPr>
                <w:rFonts w:hAnsi="Times New Roman" w:cs="Times New Roman"/>
                <w:color w:val="000000" w:themeColor="text1"/>
              </w:rPr>
            </w:pPr>
            <w:r>
              <w:rPr>
                <w:color w:val="000000" w:themeColor="text1"/>
              </w:rPr>
              <w:t>1.77</w:t>
            </w:r>
          </w:p>
        </w:tc>
        <w:tc>
          <w:tcPr>
            <w:tcW w:w="1922" w:type="dxa"/>
            <w:vMerge/>
            <w:vAlign w:val="center"/>
          </w:tcPr>
          <w:p w:rsidR="00C861DA" w:rsidRDefault="00C861DA">
            <w:pPr>
              <w:jc w:val="center"/>
              <w:rPr>
                <w:rFonts w:ascii="Times New Roman" w:eastAsia="宋体" w:hAnsi="Times New Roman" w:cs="Times New Roman"/>
                <w:color w:val="000000" w:themeColor="text1"/>
              </w:rPr>
            </w:pPr>
          </w:p>
        </w:tc>
      </w:tr>
      <w:tr w:rsidR="00C861DA">
        <w:trPr>
          <w:trHeight w:val="369"/>
          <w:jc w:val="center"/>
        </w:trPr>
        <w:tc>
          <w:tcPr>
            <w:tcW w:w="988" w:type="dxa"/>
            <w:vMerge/>
            <w:vAlign w:val="center"/>
          </w:tcPr>
          <w:p w:rsidR="00C861DA" w:rsidRDefault="00C861DA">
            <w:pPr>
              <w:jc w:val="center"/>
              <w:rPr>
                <w:rFonts w:ascii="Times New Roman" w:eastAsia="宋体" w:hAnsi="Times New Roman" w:cs="Times New Roman"/>
                <w:color w:val="000000" w:themeColor="text1"/>
              </w:rPr>
            </w:pPr>
          </w:p>
        </w:tc>
        <w:tc>
          <w:tcPr>
            <w:tcW w:w="1701" w:type="dxa"/>
            <w:vAlign w:val="center"/>
          </w:tcPr>
          <w:p w:rsidR="00C861DA" w:rsidRDefault="0044752E">
            <w:pPr>
              <w:widowControl/>
              <w:jc w:val="center"/>
              <w:textAlignment w:val="center"/>
              <w:rPr>
                <w:rFonts w:ascii="宋体" w:eastAsia="宋体" w:hAnsi="宋体" w:cs="Times New Roman"/>
                <w:color w:val="000000" w:themeColor="text1"/>
                <w:highlight w:val="yellow"/>
              </w:rPr>
            </w:pPr>
            <w:r>
              <w:rPr>
                <w:rFonts w:ascii="宋体" w:eastAsia="宋体" w:hAnsi="宋体"/>
                <w:color w:val="000000" w:themeColor="text1"/>
              </w:rPr>
              <w:t>多依树</w:t>
            </w:r>
          </w:p>
        </w:tc>
        <w:tc>
          <w:tcPr>
            <w:tcW w:w="1134" w:type="dxa"/>
            <w:vAlign w:val="center"/>
          </w:tcPr>
          <w:p w:rsidR="00C861DA" w:rsidRDefault="0044752E">
            <w:pPr>
              <w:pStyle w:val="TableParagraph"/>
              <w:jc w:val="center"/>
              <w:rPr>
                <w:rFonts w:hAnsi="Times New Roman" w:cs="Times New Roman"/>
                <w:color w:val="000000" w:themeColor="text1"/>
              </w:rPr>
            </w:pPr>
            <w:r>
              <w:rPr>
                <w:color w:val="000000" w:themeColor="text1"/>
              </w:rPr>
              <w:t>约</w:t>
            </w:r>
            <w:r>
              <w:rPr>
                <w:color w:val="000000" w:themeColor="text1"/>
              </w:rPr>
              <w:t>500</w:t>
            </w:r>
            <w:r>
              <w:rPr>
                <w:color w:val="000000" w:themeColor="text1"/>
              </w:rPr>
              <w:t>人</w:t>
            </w:r>
          </w:p>
        </w:tc>
        <w:tc>
          <w:tcPr>
            <w:tcW w:w="1134" w:type="dxa"/>
            <w:vAlign w:val="center"/>
          </w:tcPr>
          <w:p w:rsidR="00C861DA" w:rsidRDefault="0044752E">
            <w:pPr>
              <w:pStyle w:val="TableParagraph"/>
              <w:jc w:val="center"/>
              <w:rPr>
                <w:rFonts w:hAnsi="Times New Roman" w:cs="Times New Roman"/>
                <w:color w:val="000000" w:themeColor="text1"/>
              </w:rPr>
            </w:pPr>
            <w:r>
              <w:rPr>
                <w:color w:val="000000" w:themeColor="text1"/>
              </w:rPr>
              <w:t>西北</w:t>
            </w:r>
          </w:p>
        </w:tc>
        <w:tc>
          <w:tcPr>
            <w:tcW w:w="1417" w:type="dxa"/>
            <w:vAlign w:val="center"/>
          </w:tcPr>
          <w:p w:rsidR="00C861DA" w:rsidRDefault="0044752E">
            <w:pPr>
              <w:pStyle w:val="TableParagraph"/>
              <w:jc w:val="center"/>
              <w:rPr>
                <w:rFonts w:hAnsi="Times New Roman" w:cs="Times New Roman"/>
                <w:color w:val="000000" w:themeColor="text1"/>
              </w:rPr>
            </w:pPr>
            <w:r>
              <w:rPr>
                <w:color w:val="000000" w:themeColor="text1"/>
              </w:rPr>
              <w:t>1.80</w:t>
            </w:r>
          </w:p>
        </w:tc>
        <w:tc>
          <w:tcPr>
            <w:tcW w:w="1922" w:type="dxa"/>
            <w:vMerge/>
            <w:vAlign w:val="center"/>
          </w:tcPr>
          <w:p w:rsidR="00C861DA" w:rsidRDefault="00C861DA">
            <w:pPr>
              <w:jc w:val="center"/>
              <w:rPr>
                <w:rFonts w:ascii="Times New Roman" w:eastAsia="宋体" w:hAnsi="Times New Roman" w:cs="Times New Roman"/>
                <w:color w:val="000000" w:themeColor="text1"/>
              </w:rPr>
            </w:pPr>
          </w:p>
        </w:tc>
      </w:tr>
      <w:tr w:rsidR="00C861DA">
        <w:trPr>
          <w:trHeight w:val="369"/>
          <w:jc w:val="center"/>
        </w:trPr>
        <w:tc>
          <w:tcPr>
            <w:tcW w:w="988" w:type="dxa"/>
            <w:vMerge/>
            <w:vAlign w:val="center"/>
          </w:tcPr>
          <w:p w:rsidR="00C861DA" w:rsidRDefault="00C861DA">
            <w:pPr>
              <w:jc w:val="center"/>
              <w:rPr>
                <w:rFonts w:ascii="Times New Roman" w:eastAsia="宋体" w:hAnsi="Times New Roman" w:cs="Times New Roman"/>
                <w:color w:val="000000" w:themeColor="text1"/>
              </w:rPr>
            </w:pPr>
          </w:p>
        </w:tc>
        <w:tc>
          <w:tcPr>
            <w:tcW w:w="1701" w:type="dxa"/>
            <w:vAlign w:val="center"/>
          </w:tcPr>
          <w:p w:rsidR="00C861DA" w:rsidRDefault="0044752E">
            <w:pPr>
              <w:widowControl/>
              <w:jc w:val="center"/>
              <w:textAlignment w:val="center"/>
              <w:rPr>
                <w:rFonts w:ascii="宋体" w:eastAsia="宋体" w:hAnsi="宋体" w:cs="Times New Roman"/>
                <w:color w:val="000000" w:themeColor="text1"/>
                <w:highlight w:val="yellow"/>
              </w:rPr>
            </w:pPr>
            <w:r>
              <w:rPr>
                <w:rFonts w:ascii="宋体" w:eastAsia="宋体" w:hAnsi="宋体"/>
                <w:color w:val="000000" w:themeColor="text1"/>
              </w:rPr>
              <w:t>安丰营</w:t>
            </w:r>
          </w:p>
        </w:tc>
        <w:tc>
          <w:tcPr>
            <w:tcW w:w="1134" w:type="dxa"/>
            <w:vAlign w:val="center"/>
          </w:tcPr>
          <w:p w:rsidR="00C861DA" w:rsidRDefault="0044752E">
            <w:pPr>
              <w:pStyle w:val="TableParagraph"/>
              <w:jc w:val="center"/>
              <w:rPr>
                <w:rFonts w:hAnsi="Times New Roman" w:cs="Times New Roman"/>
                <w:color w:val="000000" w:themeColor="text1"/>
              </w:rPr>
            </w:pPr>
            <w:r>
              <w:rPr>
                <w:color w:val="000000" w:themeColor="text1"/>
              </w:rPr>
              <w:t>约</w:t>
            </w:r>
            <w:r>
              <w:rPr>
                <w:color w:val="000000" w:themeColor="text1"/>
              </w:rPr>
              <w:t>500</w:t>
            </w:r>
            <w:r>
              <w:rPr>
                <w:color w:val="000000" w:themeColor="text1"/>
              </w:rPr>
              <w:t>人</w:t>
            </w:r>
          </w:p>
        </w:tc>
        <w:tc>
          <w:tcPr>
            <w:tcW w:w="1134" w:type="dxa"/>
            <w:vAlign w:val="center"/>
          </w:tcPr>
          <w:p w:rsidR="00C861DA" w:rsidRDefault="0044752E">
            <w:pPr>
              <w:pStyle w:val="TableParagraph"/>
              <w:jc w:val="center"/>
              <w:rPr>
                <w:rFonts w:hAnsi="Times New Roman" w:cs="Times New Roman"/>
                <w:color w:val="000000" w:themeColor="text1"/>
              </w:rPr>
            </w:pPr>
            <w:r>
              <w:rPr>
                <w:color w:val="000000" w:themeColor="text1"/>
              </w:rPr>
              <w:t>西南</w:t>
            </w:r>
          </w:p>
        </w:tc>
        <w:tc>
          <w:tcPr>
            <w:tcW w:w="1417" w:type="dxa"/>
            <w:vAlign w:val="center"/>
          </w:tcPr>
          <w:p w:rsidR="00C861DA" w:rsidRDefault="0044752E">
            <w:pPr>
              <w:pStyle w:val="TableParagraph"/>
              <w:jc w:val="center"/>
              <w:rPr>
                <w:rFonts w:hAnsi="Times New Roman" w:cs="Times New Roman"/>
                <w:color w:val="000000" w:themeColor="text1"/>
              </w:rPr>
            </w:pPr>
            <w:r>
              <w:rPr>
                <w:color w:val="000000" w:themeColor="text1"/>
              </w:rPr>
              <w:t>1.85</w:t>
            </w:r>
          </w:p>
        </w:tc>
        <w:tc>
          <w:tcPr>
            <w:tcW w:w="1922" w:type="dxa"/>
            <w:vMerge/>
            <w:vAlign w:val="center"/>
          </w:tcPr>
          <w:p w:rsidR="00C861DA" w:rsidRDefault="00C861DA">
            <w:pPr>
              <w:jc w:val="center"/>
              <w:rPr>
                <w:rFonts w:ascii="Times New Roman" w:eastAsia="宋体" w:hAnsi="Times New Roman" w:cs="Times New Roman"/>
                <w:color w:val="000000" w:themeColor="text1"/>
              </w:rPr>
            </w:pPr>
          </w:p>
        </w:tc>
      </w:tr>
      <w:tr w:rsidR="00C861DA">
        <w:trPr>
          <w:trHeight w:val="369"/>
          <w:jc w:val="center"/>
        </w:trPr>
        <w:tc>
          <w:tcPr>
            <w:tcW w:w="988" w:type="dxa"/>
            <w:vMerge/>
            <w:vAlign w:val="center"/>
          </w:tcPr>
          <w:p w:rsidR="00C861DA" w:rsidRDefault="00C861DA">
            <w:pPr>
              <w:jc w:val="center"/>
              <w:rPr>
                <w:rFonts w:ascii="Times New Roman" w:eastAsia="宋体" w:hAnsi="Times New Roman" w:cs="Times New Roman"/>
                <w:color w:val="000000" w:themeColor="text1"/>
              </w:rPr>
            </w:pPr>
          </w:p>
        </w:tc>
        <w:tc>
          <w:tcPr>
            <w:tcW w:w="1701" w:type="dxa"/>
            <w:vAlign w:val="center"/>
          </w:tcPr>
          <w:p w:rsidR="00C861DA" w:rsidRDefault="0044752E">
            <w:pPr>
              <w:widowControl/>
              <w:jc w:val="center"/>
              <w:textAlignment w:val="center"/>
              <w:rPr>
                <w:rFonts w:ascii="宋体" w:eastAsia="宋体" w:hAnsi="宋体" w:cs="Times New Roman"/>
                <w:color w:val="000000" w:themeColor="text1"/>
                <w:highlight w:val="yellow"/>
                <w:lang w:bidi="ar"/>
              </w:rPr>
            </w:pPr>
            <w:r>
              <w:rPr>
                <w:rFonts w:ascii="宋体" w:eastAsia="宋体" w:hAnsi="宋体"/>
                <w:color w:val="000000" w:themeColor="text1"/>
                <w:lang w:bidi="ar"/>
              </w:rPr>
              <w:t>大石凹</w:t>
            </w:r>
          </w:p>
        </w:tc>
        <w:tc>
          <w:tcPr>
            <w:tcW w:w="1134" w:type="dxa"/>
          </w:tcPr>
          <w:p w:rsidR="00C861DA" w:rsidRDefault="0044752E">
            <w:pPr>
              <w:pStyle w:val="TableParagraph"/>
              <w:jc w:val="center"/>
              <w:rPr>
                <w:rFonts w:hAnsi="Times New Roman" w:cs="Times New Roman"/>
                <w:color w:val="000000" w:themeColor="text1"/>
              </w:rPr>
            </w:pPr>
            <w:r>
              <w:rPr>
                <w:color w:val="000000" w:themeColor="text1"/>
              </w:rPr>
              <w:t>约</w:t>
            </w:r>
            <w:r>
              <w:rPr>
                <w:color w:val="000000" w:themeColor="text1"/>
              </w:rPr>
              <w:t>80</w:t>
            </w:r>
            <w:r>
              <w:rPr>
                <w:color w:val="000000" w:themeColor="text1"/>
              </w:rPr>
              <w:t>人</w:t>
            </w:r>
          </w:p>
        </w:tc>
        <w:tc>
          <w:tcPr>
            <w:tcW w:w="1134" w:type="dxa"/>
            <w:vAlign w:val="center"/>
          </w:tcPr>
          <w:p w:rsidR="00C861DA" w:rsidRDefault="0044752E">
            <w:pPr>
              <w:pStyle w:val="TableParagraph"/>
              <w:jc w:val="center"/>
              <w:rPr>
                <w:rFonts w:hAnsi="Times New Roman" w:cs="Times New Roman"/>
                <w:color w:val="000000" w:themeColor="text1"/>
              </w:rPr>
            </w:pPr>
            <w:r>
              <w:rPr>
                <w:color w:val="000000" w:themeColor="text1"/>
              </w:rPr>
              <w:t>西</w:t>
            </w:r>
          </w:p>
        </w:tc>
        <w:tc>
          <w:tcPr>
            <w:tcW w:w="1417" w:type="dxa"/>
            <w:vAlign w:val="center"/>
          </w:tcPr>
          <w:p w:rsidR="00C861DA" w:rsidRDefault="0044752E">
            <w:pPr>
              <w:pStyle w:val="TableParagraph"/>
              <w:jc w:val="center"/>
              <w:rPr>
                <w:rFonts w:hAnsi="Times New Roman" w:cs="Times New Roman"/>
                <w:color w:val="000000" w:themeColor="text1"/>
              </w:rPr>
            </w:pPr>
            <w:r>
              <w:rPr>
                <w:color w:val="000000" w:themeColor="text1"/>
              </w:rPr>
              <w:t>2.48</w:t>
            </w:r>
          </w:p>
        </w:tc>
        <w:tc>
          <w:tcPr>
            <w:tcW w:w="1922" w:type="dxa"/>
            <w:vMerge/>
            <w:vAlign w:val="center"/>
          </w:tcPr>
          <w:p w:rsidR="00C861DA" w:rsidRDefault="00C861DA">
            <w:pPr>
              <w:jc w:val="center"/>
              <w:rPr>
                <w:rFonts w:ascii="Times New Roman" w:eastAsia="宋体" w:hAnsi="Times New Roman" w:cs="Times New Roman"/>
                <w:color w:val="000000" w:themeColor="text1"/>
              </w:rPr>
            </w:pPr>
          </w:p>
        </w:tc>
      </w:tr>
      <w:tr w:rsidR="00C861DA">
        <w:trPr>
          <w:trHeight w:val="369"/>
          <w:jc w:val="center"/>
        </w:trPr>
        <w:tc>
          <w:tcPr>
            <w:tcW w:w="988" w:type="dxa"/>
            <w:vMerge/>
            <w:vAlign w:val="center"/>
          </w:tcPr>
          <w:p w:rsidR="00C861DA" w:rsidRDefault="00C861DA">
            <w:pPr>
              <w:jc w:val="center"/>
              <w:rPr>
                <w:rFonts w:ascii="Times New Roman" w:eastAsia="宋体" w:hAnsi="Times New Roman" w:cs="Times New Roman"/>
                <w:color w:val="000000" w:themeColor="text1"/>
              </w:rPr>
            </w:pPr>
          </w:p>
        </w:tc>
        <w:tc>
          <w:tcPr>
            <w:tcW w:w="1701" w:type="dxa"/>
            <w:vAlign w:val="center"/>
          </w:tcPr>
          <w:p w:rsidR="00C861DA" w:rsidRDefault="0044752E">
            <w:pPr>
              <w:widowControl/>
              <w:jc w:val="center"/>
              <w:textAlignment w:val="center"/>
              <w:rPr>
                <w:rFonts w:ascii="宋体" w:eastAsia="宋体" w:hAnsi="宋体"/>
                <w:color w:val="000000" w:themeColor="text1"/>
                <w:lang w:bidi="ar"/>
              </w:rPr>
            </w:pPr>
            <w:r>
              <w:rPr>
                <w:rFonts w:ascii="宋体" w:eastAsia="宋体" w:hAnsi="宋体"/>
                <w:color w:val="000000" w:themeColor="text1"/>
              </w:rPr>
              <w:t>水井湾</w:t>
            </w:r>
          </w:p>
        </w:tc>
        <w:tc>
          <w:tcPr>
            <w:tcW w:w="1134" w:type="dxa"/>
            <w:vAlign w:val="center"/>
          </w:tcPr>
          <w:p w:rsidR="00C861DA" w:rsidRDefault="0044752E">
            <w:pPr>
              <w:pStyle w:val="TableParagraph"/>
              <w:jc w:val="center"/>
              <w:rPr>
                <w:color w:val="000000" w:themeColor="text1"/>
              </w:rPr>
            </w:pPr>
            <w:r>
              <w:rPr>
                <w:color w:val="000000" w:themeColor="text1"/>
              </w:rPr>
              <w:t>约</w:t>
            </w:r>
            <w:r>
              <w:rPr>
                <w:color w:val="000000" w:themeColor="text1"/>
              </w:rPr>
              <w:t>150</w:t>
            </w:r>
            <w:r>
              <w:rPr>
                <w:color w:val="000000" w:themeColor="text1"/>
              </w:rPr>
              <w:t>人</w:t>
            </w:r>
          </w:p>
        </w:tc>
        <w:tc>
          <w:tcPr>
            <w:tcW w:w="1134" w:type="dxa"/>
            <w:vAlign w:val="center"/>
          </w:tcPr>
          <w:p w:rsidR="00C861DA" w:rsidRDefault="0044752E">
            <w:pPr>
              <w:pStyle w:val="TableParagraph"/>
              <w:jc w:val="center"/>
              <w:rPr>
                <w:color w:val="000000" w:themeColor="text1"/>
              </w:rPr>
            </w:pPr>
            <w:r>
              <w:rPr>
                <w:color w:val="000000" w:themeColor="text1"/>
              </w:rPr>
              <w:t>东南</w:t>
            </w:r>
          </w:p>
        </w:tc>
        <w:tc>
          <w:tcPr>
            <w:tcW w:w="1417" w:type="dxa"/>
            <w:vAlign w:val="center"/>
          </w:tcPr>
          <w:p w:rsidR="00C861DA" w:rsidRDefault="0044752E">
            <w:pPr>
              <w:pStyle w:val="TableParagraph"/>
              <w:jc w:val="center"/>
              <w:rPr>
                <w:color w:val="000000" w:themeColor="text1"/>
              </w:rPr>
            </w:pPr>
            <w:r>
              <w:rPr>
                <w:color w:val="000000" w:themeColor="text1"/>
              </w:rPr>
              <w:t>3.35</w:t>
            </w:r>
          </w:p>
        </w:tc>
        <w:tc>
          <w:tcPr>
            <w:tcW w:w="1922" w:type="dxa"/>
            <w:vMerge/>
            <w:vAlign w:val="center"/>
          </w:tcPr>
          <w:p w:rsidR="00C861DA" w:rsidRDefault="00C861DA">
            <w:pPr>
              <w:jc w:val="center"/>
              <w:rPr>
                <w:rFonts w:ascii="Times New Roman" w:eastAsia="宋体" w:hAnsi="Times New Roman" w:cs="Times New Roman"/>
                <w:color w:val="000000" w:themeColor="text1"/>
              </w:rPr>
            </w:pPr>
          </w:p>
        </w:tc>
      </w:tr>
      <w:tr w:rsidR="00C861DA">
        <w:trPr>
          <w:trHeight w:val="369"/>
          <w:jc w:val="center"/>
        </w:trPr>
        <w:tc>
          <w:tcPr>
            <w:tcW w:w="988" w:type="dxa"/>
            <w:vMerge/>
            <w:vAlign w:val="center"/>
          </w:tcPr>
          <w:p w:rsidR="00C861DA" w:rsidRDefault="00C861DA">
            <w:pPr>
              <w:jc w:val="center"/>
              <w:rPr>
                <w:rFonts w:ascii="Times New Roman" w:eastAsia="宋体" w:hAnsi="Times New Roman" w:cs="Times New Roman"/>
                <w:color w:val="000000" w:themeColor="text1"/>
              </w:rPr>
            </w:pPr>
          </w:p>
        </w:tc>
        <w:tc>
          <w:tcPr>
            <w:tcW w:w="1701" w:type="dxa"/>
            <w:vAlign w:val="center"/>
          </w:tcPr>
          <w:p w:rsidR="00C861DA" w:rsidRDefault="0044752E">
            <w:pPr>
              <w:widowControl/>
              <w:jc w:val="center"/>
              <w:textAlignment w:val="center"/>
              <w:rPr>
                <w:rFonts w:ascii="宋体" w:eastAsia="宋体" w:hAnsi="宋体"/>
                <w:color w:val="000000" w:themeColor="text1"/>
                <w:lang w:bidi="ar"/>
              </w:rPr>
            </w:pPr>
            <w:r>
              <w:rPr>
                <w:rFonts w:ascii="宋体" w:eastAsia="宋体" w:hAnsi="宋体"/>
                <w:color w:val="000000" w:themeColor="text1"/>
              </w:rPr>
              <w:t>李白</w:t>
            </w:r>
          </w:p>
        </w:tc>
        <w:tc>
          <w:tcPr>
            <w:tcW w:w="1134" w:type="dxa"/>
            <w:vAlign w:val="center"/>
          </w:tcPr>
          <w:p w:rsidR="00C861DA" w:rsidRDefault="0044752E">
            <w:pPr>
              <w:pStyle w:val="TableParagraph"/>
              <w:jc w:val="center"/>
              <w:rPr>
                <w:color w:val="000000" w:themeColor="text1"/>
              </w:rPr>
            </w:pPr>
            <w:r>
              <w:rPr>
                <w:color w:val="000000" w:themeColor="text1"/>
              </w:rPr>
              <w:t>约</w:t>
            </w:r>
            <w:r>
              <w:rPr>
                <w:color w:val="000000" w:themeColor="text1"/>
              </w:rPr>
              <w:t>300</w:t>
            </w:r>
            <w:r>
              <w:rPr>
                <w:color w:val="000000" w:themeColor="text1"/>
              </w:rPr>
              <w:t>人</w:t>
            </w:r>
          </w:p>
        </w:tc>
        <w:tc>
          <w:tcPr>
            <w:tcW w:w="1134" w:type="dxa"/>
            <w:vAlign w:val="center"/>
          </w:tcPr>
          <w:p w:rsidR="00C861DA" w:rsidRDefault="0044752E">
            <w:pPr>
              <w:pStyle w:val="TableParagraph"/>
              <w:jc w:val="center"/>
              <w:rPr>
                <w:color w:val="000000" w:themeColor="text1"/>
              </w:rPr>
            </w:pPr>
            <w:r>
              <w:rPr>
                <w:color w:val="000000" w:themeColor="text1"/>
              </w:rPr>
              <w:t>东北</w:t>
            </w:r>
          </w:p>
        </w:tc>
        <w:tc>
          <w:tcPr>
            <w:tcW w:w="1417" w:type="dxa"/>
            <w:vAlign w:val="center"/>
          </w:tcPr>
          <w:p w:rsidR="00C861DA" w:rsidRDefault="0044752E">
            <w:pPr>
              <w:pStyle w:val="TableParagraph"/>
              <w:jc w:val="center"/>
              <w:rPr>
                <w:color w:val="000000" w:themeColor="text1"/>
              </w:rPr>
            </w:pPr>
            <w:r>
              <w:rPr>
                <w:color w:val="000000" w:themeColor="text1"/>
              </w:rPr>
              <w:t>3.51</w:t>
            </w:r>
          </w:p>
        </w:tc>
        <w:tc>
          <w:tcPr>
            <w:tcW w:w="1922" w:type="dxa"/>
            <w:vMerge/>
            <w:vAlign w:val="center"/>
          </w:tcPr>
          <w:p w:rsidR="00C861DA" w:rsidRDefault="00C861DA">
            <w:pPr>
              <w:jc w:val="center"/>
              <w:rPr>
                <w:rFonts w:ascii="Times New Roman" w:eastAsia="宋体" w:hAnsi="Times New Roman" w:cs="Times New Roman"/>
                <w:color w:val="000000" w:themeColor="text1"/>
              </w:rPr>
            </w:pPr>
          </w:p>
        </w:tc>
      </w:tr>
      <w:tr w:rsidR="00C861DA">
        <w:trPr>
          <w:trHeight w:val="369"/>
          <w:jc w:val="center"/>
        </w:trPr>
        <w:tc>
          <w:tcPr>
            <w:tcW w:w="988" w:type="dxa"/>
            <w:vMerge w:val="restart"/>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地表水</w:t>
            </w:r>
          </w:p>
        </w:tc>
        <w:tc>
          <w:tcPr>
            <w:tcW w:w="1701" w:type="dxa"/>
            <w:vAlign w:val="center"/>
          </w:tcPr>
          <w:p w:rsidR="00C861DA" w:rsidRDefault="0044752E">
            <w:pPr>
              <w:pStyle w:val="TableParagraph"/>
              <w:spacing w:before="28"/>
              <w:jc w:val="center"/>
              <w:rPr>
                <w:rFonts w:hAnsi="Times New Roman" w:cs="Times New Roman"/>
                <w:color w:val="000000" w:themeColor="text1"/>
              </w:rPr>
            </w:pPr>
            <w:r>
              <w:rPr>
                <w:color w:val="000000" w:themeColor="text1"/>
              </w:rPr>
              <w:t>螃蟹河水库</w:t>
            </w:r>
          </w:p>
        </w:tc>
        <w:tc>
          <w:tcPr>
            <w:tcW w:w="1134" w:type="dxa"/>
            <w:vAlign w:val="center"/>
          </w:tcPr>
          <w:p w:rsidR="00C861DA" w:rsidRDefault="0044752E">
            <w:pPr>
              <w:pStyle w:val="TableParagraph"/>
              <w:spacing w:before="28"/>
              <w:jc w:val="center"/>
              <w:rPr>
                <w:rFonts w:hAnsi="Times New Roman" w:cs="Times New Roman"/>
                <w:color w:val="000000" w:themeColor="text1"/>
              </w:rPr>
            </w:pPr>
            <w:r>
              <w:rPr>
                <w:color w:val="000000" w:themeColor="text1"/>
              </w:rPr>
              <w:t>/</w:t>
            </w:r>
          </w:p>
        </w:tc>
        <w:tc>
          <w:tcPr>
            <w:tcW w:w="1134" w:type="dxa"/>
            <w:vAlign w:val="center"/>
          </w:tcPr>
          <w:p w:rsidR="00C861DA" w:rsidRDefault="0044752E">
            <w:pPr>
              <w:pStyle w:val="TableParagraph"/>
              <w:spacing w:before="28"/>
              <w:jc w:val="center"/>
              <w:rPr>
                <w:rFonts w:hAnsi="Times New Roman" w:cs="Times New Roman"/>
                <w:color w:val="000000" w:themeColor="text1"/>
              </w:rPr>
            </w:pPr>
            <w:r>
              <w:rPr>
                <w:rFonts w:hint="eastAsia"/>
                <w:color w:val="000000" w:themeColor="text1"/>
              </w:rPr>
              <w:t>西</w:t>
            </w:r>
            <w:r>
              <w:rPr>
                <w:color w:val="000000" w:themeColor="text1"/>
              </w:rPr>
              <w:t>南</w:t>
            </w:r>
          </w:p>
        </w:tc>
        <w:tc>
          <w:tcPr>
            <w:tcW w:w="1417" w:type="dxa"/>
            <w:vAlign w:val="center"/>
          </w:tcPr>
          <w:p w:rsidR="00C861DA" w:rsidRDefault="0044752E">
            <w:pPr>
              <w:pStyle w:val="TableParagraph"/>
              <w:jc w:val="center"/>
              <w:rPr>
                <w:rFonts w:hAnsi="Times New Roman" w:cs="Times New Roman"/>
                <w:color w:val="000000" w:themeColor="text1"/>
              </w:rPr>
            </w:pPr>
            <w:r>
              <w:rPr>
                <w:color w:val="000000" w:themeColor="text1"/>
              </w:rPr>
              <w:t>0.01</w:t>
            </w:r>
          </w:p>
        </w:tc>
        <w:tc>
          <w:tcPr>
            <w:tcW w:w="1922" w:type="dxa"/>
            <w:vMerge w:val="restart"/>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《地表水环境质量标准》（</w:t>
            </w:r>
            <w:r>
              <w:rPr>
                <w:rFonts w:hAnsi="Times New Roman" w:cs="Times New Roman"/>
                <w:color w:val="000000" w:themeColor="text1"/>
              </w:rPr>
              <w:t>GB3838-2002</w:t>
            </w:r>
            <w:r>
              <w:rPr>
                <w:rFonts w:hAnsi="Times New Roman" w:cs="Times New Roman"/>
                <w:color w:val="000000" w:themeColor="text1"/>
              </w:rPr>
              <w:t>）</w:t>
            </w:r>
            <w:r>
              <w:rPr>
                <w:rFonts w:ascii="宋体" w:hAnsi="宋体" w:cs="宋体" w:hint="eastAsia"/>
                <w:color w:val="000000" w:themeColor="text1"/>
              </w:rPr>
              <w:t>Ⅲ</w:t>
            </w:r>
            <w:r>
              <w:rPr>
                <w:rFonts w:hAnsi="Times New Roman" w:cs="Times New Roman"/>
                <w:color w:val="000000" w:themeColor="text1"/>
              </w:rPr>
              <w:t>类标准</w:t>
            </w:r>
          </w:p>
        </w:tc>
      </w:tr>
      <w:tr w:rsidR="00C861DA">
        <w:trPr>
          <w:trHeight w:val="369"/>
          <w:jc w:val="center"/>
        </w:trPr>
        <w:tc>
          <w:tcPr>
            <w:tcW w:w="988" w:type="dxa"/>
            <w:vMerge/>
            <w:vAlign w:val="center"/>
          </w:tcPr>
          <w:p w:rsidR="00C861DA" w:rsidRDefault="00C861DA">
            <w:pPr>
              <w:pStyle w:val="TableParagraph"/>
              <w:jc w:val="center"/>
              <w:rPr>
                <w:rFonts w:hAnsi="Times New Roman" w:cs="Times New Roman"/>
                <w:color w:val="000000" w:themeColor="text1"/>
              </w:rPr>
            </w:pPr>
          </w:p>
        </w:tc>
        <w:tc>
          <w:tcPr>
            <w:tcW w:w="1701" w:type="dxa"/>
            <w:vAlign w:val="center"/>
          </w:tcPr>
          <w:p w:rsidR="00C861DA" w:rsidRDefault="0044752E">
            <w:pPr>
              <w:pStyle w:val="TableParagraph"/>
              <w:spacing w:before="28"/>
              <w:jc w:val="center"/>
              <w:rPr>
                <w:rFonts w:hAnsi="Times New Roman" w:cs="Times New Roman"/>
                <w:color w:val="000000" w:themeColor="text1"/>
              </w:rPr>
            </w:pPr>
            <w:r>
              <w:rPr>
                <w:color w:val="000000" w:themeColor="text1"/>
              </w:rPr>
              <w:t>禄脿河</w:t>
            </w:r>
          </w:p>
        </w:tc>
        <w:tc>
          <w:tcPr>
            <w:tcW w:w="1134" w:type="dxa"/>
            <w:vAlign w:val="center"/>
          </w:tcPr>
          <w:p w:rsidR="00C861DA" w:rsidRDefault="0044752E">
            <w:pPr>
              <w:pStyle w:val="TableParagraph"/>
              <w:spacing w:before="28"/>
              <w:jc w:val="center"/>
              <w:rPr>
                <w:rFonts w:hAnsi="Times New Roman" w:cs="Times New Roman"/>
                <w:color w:val="000000" w:themeColor="text1"/>
              </w:rPr>
            </w:pPr>
            <w:r>
              <w:rPr>
                <w:color w:val="000000" w:themeColor="text1"/>
              </w:rPr>
              <w:t>/</w:t>
            </w:r>
          </w:p>
        </w:tc>
        <w:tc>
          <w:tcPr>
            <w:tcW w:w="1134" w:type="dxa"/>
            <w:vAlign w:val="center"/>
          </w:tcPr>
          <w:p w:rsidR="00C861DA" w:rsidRDefault="0044752E">
            <w:pPr>
              <w:pStyle w:val="TableParagraph"/>
              <w:spacing w:before="28"/>
              <w:jc w:val="center"/>
              <w:rPr>
                <w:rFonts w:hAnsi="Times New Roman" w:cs="Times New Roman"/>
                <w:color w:val="000000" w:themeColor="text1"/>
              </w:rPr>
            </w:pPr>
            <w:r>
              <w:rPr>
                <w:color w:val="000000" w:themeColor="text1"/>
              </w:rPr>
              <w:t>西</w:t>
            </w:r>
          </w:p>
        </w:tc>
        <w:tc>
          <w:tcPr>
            <w:tcW w:w="1417" w:type="dxa"/>
            <w:vAlign w:val="center"/>
          </w:tcPr>
          <w:p w:rsidR="00C861DA" w:rsidRDefault="0044752E">
            <w:pPr>
              <w:pStyle w:val="TableParagraph"/>
              <w:jc w:val="center"/>
              <w:rPr>
                <w:rFonts w:hAnsi="Times New Roman" w:cs="Times New Roman"/>
                <w:color w:val="000000" w:themeColor="text1"/>
              </w:rPr>
            </w:pPr>
            <w:r>
              <w:rPr>
                <w:rFonts w:hint="eastAsia"/>
                <w:color w:val="000000" w:themeColor="text1"/>
              </w:rPr>
              <w:t>1</w:t>
            </w:r>
            <w:r>
              <w:rPr>
                <w:color w:val="000000" w:themeColor="text1"/>
              </w:rPr>
              <w:t>.49</w:t>
            </w:r>
          </w:p>
        </w:tc>
        <w:tc>
          <w:tcPr>
            <w:tcW w:w="1922" w:type="dxa"/>
            <w:vMerge/>
            <w:vAlign w:val="center"/>
          </w:tcPr>
          <w:p w:rsidR="00C861DA" w:rsidRDefault="00C861DA">
            <w:pPr>
              <w:pStyle w:val="TableParagraph"/>
              <w:jc w:val="center"/>
              <w:rPr>
                <w:rFonts w:hAnsi="Times New Roman" w:cs="Times New Roman"/>
                <w:color w:val="000000" w:themeColor="text1"/>
              </w:rPr>
            </w:pPr>
          </w:p>
        </w:tc>
      </w:tr>
      <w:tr w:rsidR="00C861DA">
        <w:trPr>
          <w:trHeight w:val="369"/>
          <w:jc w:val="center"/>
        </w:trPr>
        <w:tc>
          <w:tcPr>
            <w:tcW w:w="988" w:type="dxa"/>
            <w:vAlign w:val="center"/>
          </w:tcPr>
          <w:p w:rsidR="00C861DA" w:rsidRDefault="0044752E">
            <w:pPr>
              <w:pStyle w:val="TableParagraph"/>
              <w:spacing w:before="101"/>
              <w:jc w:val="center"/>
              <w:rPr>
                <w:rFonts w:hAnsi="Times New Roman" w:cs="Times New Roman"/>
                <w:color w:val="000000" w:themeColor="text1"/>
              </w:rPr>
            </w:pPr>
            <w:r>
              <w:rPr>
                <w:rFonts w:hAnsi="Times New Roman" w:cs="Times New Roman"/>
                <w:color w:val="000000" w:themeColor="text1"/>
              </w:rPr>
              <w:t>地下水</w:t>
            </w:r>
          </w:p>
        </w:tc>
        <w:tc>
          <w:tcPr>
            <w:tcW w:w="5386" w:type="dxa"/>
            <w:gridSpan w:val="4"/>
            <w:vAlign w:val="center"/>
          </w:tcPr>
          <w:p w:rsidR="00C861DA" w:rsidRDefault="0044752E">
            <w:pPr>
              <w:pStyle w:val="TableParagraph"/>
              <w:spacing w:before="101"/>
              <w:jc w:val="center"/>
              <w:rPr>
                <w:rFonts w:hAnsi="Times New Roman" w:cs="Times New Roman"/>
                <w:color w:val="000000" w:themeColor="text1"/>
              </w:rPr>
            </w:pPr>
            <w:r>
              <w:rPr>
                <w:rFonts w:hAnsi="Times New Roman" w:cs="Times New Roman"/>
                <w:color w:val="000000" w:themeColor="text1"/>
              </w:rPr>
              <w:t>项目区所在地水文地质单元内的地下水</w:t>
            </w:r>
          </w:p>
        </w:tc>
        <w:tc>
          <w:tcPr>
            <w:tcW w:w="1922"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《地下水质量标准》</w:t>
            </w:r>
          </w:p>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w:t>
            </w:r>
            <w:r>
              <w:rPr>
                <w:rFonts w:hAnsi="Times New Roman" w:cs="Times New Roman"/>
                <w:color w:val="000000" w:themeColor="text1"/>
              </w:rPr>
              <w:t>GB/T14848-2017</w:t>
            </w:r>
            <w:r>
              <w:rPr>
                <w:rFonts w:hAnsi="Times New Roman" w:cs="Times New Roman"/>
                <w:color w:val="000000" w:themeColor="text1"/>
              </w:rPr>
              <w:t>）</w:t>
            </w:r>
            <w:r>
              <w:rPr>
                <w:rFonts w:ascii="宋体" w:hAnsi="宋体" w:cs="宋体" w:hint="eastAsia"/>
                <w:color w:val="000000" w:themeColor="text1"/>
              </w:rPr>
              <w:t>Ⅲ</w:t>
            </w:r>
            <w:r>
              <w:rPr>
                <w:rFonts w:hAnsi="Times New Roman" w:cs="Times New Roman"/>
                <w:color w:val="000000" w:themeColor="text1"/>
              </w:rPr>
              <w:t>类标准</w:t>
            </w:r>
          </w:p>
        </w:tc>
      </w:tr>
      <w:tr w:rsidR="00C861DA">
        <w:trPr>
          <w:trHeight w:val="369"/>
          <w:jc w:val="center"/>
        </w:trPr>
        <w:tc>
          <w:tcPr>
            <w:tcW w:w="988" w:type="dxa"/>
            <w:vAlign w:val="center"/>
          </w:tcPr>
          <w:p w:rsidR="00C861DA" w:rsidRDefault="0044752E">
            <w:pPr>
              <w:pStyle w:val="TableParagraph"/>
              <w:spacing w:before="47"/>
              <w:jc w:val="center"/>
              <w:rPr>
                <w:rFonts w:hAnsi="Times New Roman" w:cs="Times New Roman"/>
                <w:color w:val="000000" w:themeColor="text1"/>
              </w:rPr>
            </w:pPr>
            <w:r>
              <w:rPr>
                <w:rFonts w:hAnsi="Times New Roman" w:cs="Times New Roman"/>
                <w:color w:val="000000" w:themeColor="text1"/>
              </w:rPr>
              <w:t>生态环境</w:t>
            </w:r>
          </w:p>
        </w:tc>
        <w:tc>
          <w:tcPr>
            <w:tcW w:w="5386" w:type="dxa"/>
            <w:gridSpan w:val="4"/>
            <w:vAlign w:val="center"/>
          </w:tcPr>
          <w:p w:rsidR="00C861DA" w:rsidRDefault="0044752E">
            <w:pPr>
              <w:pStyle w:val="TableParagraph"/>
              <w:spacing w:before="47"/>
              <w:jc w:val="center"/>
              <w:rPr>
                <w:rFonts w:hAnsi="Times New Roman" w:cs="Times New Roman"/>
                <w:color w:val="000000" w:themeColor="text1"/>
              </w:rPr>
            </w:pPr>
            <w:r>
              <w:rPr>
                <w:rFonts w:hAnsi="Times New Roman" w:cs="Times New Roman"/>
                <w:color w:val="000000" w:themeColor="text1"/>
              </w:rPr>
              <w:t>水土流失、项目周边</w:t>
            </w:r>
            <w:r>
              <w:rPr>
                <w:rFonts w:hAnsi="Times New Roman" w:cs="Times New Roman"/>
                <w:color w:val="000000" w:themeColor="text1"/>
              </w:rPr>
              <w:t>200m</w:t>
            </w:r>
            <w:r>
              <w:rPr>
                <w:rFonts w:hAnsi="Times New Roman" w:cs="Times New Roman"/>
                <w:color w:val="000000" w:themeColor="text1"/>
              </w:rPr>
              <w:t>范围内植被</w:t>
            </w:r>
          </w:p>
        </w:tc>
        <w:tc>
          <w:tcPr>
            <w:tcW w:w="1922" w:type="dxa"/>
            <w:vAlign w:val="center"/>
          </w:tcPr>
          <w:p w:rsidR="00C861DA" w:rsidRDefault="0044752E">
            <w:pPr>
              <w:pStyle w:val="TableParagraph"/>
              <w:spacing w:before="97"/>
              <w:jc w:val="center"/>
              <w:rPr>
                <w:rFonts w:hAnsi="Times New Roman" w:cs="Times New Roman"/>
                <w:color w:val="000000" w:themeColor="text1"/>
              </w:rPr>
            </w:pPr>
            <w:r>
              <w:rPr>
                <w:rFonts w:hAnsi="Times New Roman" w:cs="Times New Roman"/>
                <w:color w:val="000000" w:themeColor="text1"/>
              </w:rPr>
              <w:t>/</w:t>
            </w:r>
          </w:p>
        </w:tc>
      </w:tr>
      <w:bookmarkEnd w:id="193"/>
    </w:tbl>
    <w:p w:rsidR="00C861DA" w:rsidRDefault="00C861DA">
      <w:pPr>
        <w:snapToGrid w:val="0"/>
        <w:spacing w:line="360" w:lineRule="auto"/>
        <w:jc w:val="center"/>
        <w:rPr>
          <w:rFonts w:ascii="Times New Roman" w:eastAsia="宋体"/>
          <w:b/>
          <w:color w:val="000000" w:themeColor="text1"/>
          <w:sz w:val="24"/>
          <w:szCs w:val="24"/>
        </w:rPr>
      </w:pPr>
    </w:p>
    <w:p w:rsidR="00C861DA" w:rsidRDefault="0044752E">
      <w:pPr>
        <w:pStyle w:val="21"/>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2.7-2  </w:t>
      </w:r>
      <w:r>
        <w:rPr>
          <w:rFonts w:ascii="Times New Roman" w:eastAsia="宋体" w:hAnsi="Times New Roman" w:cs="Times New Roman"/>
          <w:b/>
          <w:color w:val="000000" w:themeColor="text1"/>
          <w:sz w:val="24"/>
        </w:rPr>
        <w:t>环境风险保护目标</w:t>
      </w:r>
      <w:r>
        <w:rPr>
          <w:rFonts w:ascii="Times New Roman" w:eastAsia="宋体" w:hAnsi="Times New Roman" w:cs="Times New Roman" w:hint="eastAsia"/>
          <w:b/>
          <w:color w:val="000000" w:themeColor="text1"/>
          <w:sz w:val="24"/>
        </w:rPr>
        <w:t>一览</w:t>
      </w:r>
      <w:r>
        <w:rPr>
          <w:rFonts w:ascii="Times New Roman" w:eastAsia="宋体" w:hAnsi="Times New Roman" w:cs="Times New Roman"/>
          <w:b/>
          <w:color w:val="000000" w:themeColor="text1"/>
          <w:sz w:val="24"/>
        </w:rPr>
        <w:t>表</w:t>
      </w:r>
    </w:p>
    <w:tbl>
      <w:tblPr>
        <w:tblStyle w:val="affa"/>
        <w:tblW w:w="8296" w:type="dxa"/>
        <w:jc w:val="center"/>
        <w:tblLayout w:type="fixed"/>
        <w:tblLook w:val="04A0" w:firstRow="1" w:lastRow="0" w:firstColumn="1" w:lastColumn="0" w:noHBand="0" w:noVBand="1"/>
      </w:tblPr>
      <w:tblGrid>
        <w:gridCol w:w="615"/>
        <w:gridCol w:w="1507"/>
        <w:gridCol w:w="1134"/>
        <w:gridCol w:w="1134"/>
        <w:gridCol w:w="850"/>
        <w:gridCol w:w="1276"/>
        <w:gridCol w:w="1780"/>
      </w:tblGrid>
      <w:tr w:rsidR="00C861DA">
        <w:trPr>
          <w:trHeight w:val="369"/>
          <w:jc w:val="center"/>
        </w:trPr>
        <w:tc>
          <w:tcPr>
            <w:tcW w:w="8296" w:type="dxa"/>
            <w:gridSpan w:val="7"/>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bookmarkStart w:id="194" w:name="_Hlk6422427"/>
            <w:r>
              <w:rPr>
                <w:rFonts w:ascii="Times New Roman" w:eastAsia="宋体" w:hAnsi="Times New Roman" w:cs="Times New Roman" w:hint="eastAsia"/>
                <w:color w:val="000000" w:themeColor="text1"/>
                <w:kern w:val="0"/>
                <w:sz w:val="20"/>
                <w:szCs w:val="20"/>
              </w:rPr>
              <w:t>厂址周边</w:t>
            </w:r>
            <w:r>
              <w:rPr>
                <w:rFonts w:ascii="Times New Roman" w:eastAsia="宋体" w:hAnsi="Times New Roman" w:cs="Times New Roman" w:hint="eastAsia"/>
                <w:color w:val="000000" w:themeColor="text1"/>
                <w:kern w:val="0"/>
                <w:sz w:val="20"/>
                <w:szCs w:val="20"/>
              </w:rPr>
              <w:t>5</w:t>
            </w:r>
            <w:r>
              <w:rPr>
                <w:rFonts w:ascii="Times New Roman" w:eastAsia="宋体" w:hAnsi="Times New Roman" w:cs="Times New Roman"/>
                <w:color w:val="000000" w:themeColor="text1"/>
                <w:kern w:val="0"/>
                <w:sz w:val="20"/>
                <w:szCs w:val="20"/>
              </w:rPr>
              <w:t>km</w:t>
            </w:r>
            <w:r>
              <w:rPr>
                <w:rFonts w:ascii="Times New Roman" w:eastAsia="宋体" w:hAnsi="Times New Roman" w:cs="Times New Roman" w:hint="eastAsia"/>
                <w:color w:val="000000" w:themeColor="text1"/>
                <w:kern w:val="0"/>
                <w:sz w:val="20"/>
                <w:szCs w:val="20"/>
              </w:rPr>
              <w:t>范围内</w:t>
            </w:r>
          </w:p>
        </w:tc>
      </w:tr>
      <w:tr w:rsidR="00C861DA">
        <w:trPr>
          <w:trHeight w:val="369"/>
          <w:jc w:val="center"/>
        </w:trPr>
        <w:tc>
          <w:tcPr>
            <w:tcW w:w="615"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序号</w:t>
            </w:r>
          </w:p>
        </w:tc>
        <w:tc>
          <w:tcPr>
            <w:tcW w:w="150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敏感目标名称</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相对方位</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距离</w:t>
            </w:r>
            <w:r>
              <w:rPr>
                <w:rFonts w:ascii="Times New Roman" w:eastAsia="宋体" w:hAnsi="Times New Roman" w:cs="Times New Roman" w:hint="eastAsia"/>
                <w:color w:val="000000" w:themeColor="text1"/>
                <w:kern w:val="0"/>
                <w:sz w:val="20"/>
                <w:szCs w:val="20"/>
              </w:rPr>
              <w:t>/</w:t>
            </w:r>
            <w:r>
              <w:rPr>
                <w:rFonts w:ascii="Times New Roman" w:eastAsia="宋体" w:hAnsi="Times New Roman" w:cs="Times New Roman"/>
                <w:color w:val="000000" w:themeColor="text1"/>
                <w:kern w:val="0"/>
                <w:sz w:val="20"/>
                <w:szCs w:val="20"/>
              </w:rPr>
              <w:t>km</w:t>
            </w:r>
          </w:p>
        </w:tc>
        <w:tc>
          <w:tcPr>
            <w:tcW w:w="850"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属性</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人口数</w:t>
            </w:r>
          </w:p>
        </w:tc>
        <w:tc>
          <w:tcPr>
            <w:tcW w:w="178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最近风险单元</w:t>
            </w:r>
          </w:p>
        </w:tc>
      </w:tr>
      <w:tr w:rsidR="00C861DA">
        <w:trPr>
          <w:trHeight w:val="369"/>
          <w:jc w:val="center"/>
        </w:trPr>
        <w:tc>
          <w:tcPr>
            <w:tcW w:w="615"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w:t>
            </w:r>
          </w:p>
        </w:tc>
        <w:tc>
          <w:tcPr>
            <w:tcW w:w="150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祥丰金麦化工职工生活区</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西南</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1.0</w:t>
            </w:r>
          </w:p>
        </w:tc>
        <w:tc>
          <w:tcPr>
            <w:tcW w:w="850"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生活区</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约</w:t>
            </w:r>
            <w:r>
              <w:rPr>
                <w:rFonts w:ascii="Times New Roman" w:eastAsia="宋体" w:hAnsi="Times New Roman" w:cs="Times New Roman" w:hint="eastAsia"/>
                <w:color w:val="000000" w:themeColor="text1"/>
                <w:kern w:val="0"/>
                <w:sz w:val="20"/>
                <w:szCs w:val="20"/>
              </w:rPr>
              <w:t>5</w:t>
            </w:r>
            <w:r>
              <w:rPr>
                <w:rFonts w:ascii="Times New Roman" w:eastAsia="宋体" w:hAnsi="Times New Roman" w:cs="Times New Roman"/>
                <w:color w:val="000000" w:themeColor="text1"/>
                <w:kern w:val="0"/>
                <w:sz w:val="20"/>
                <w:szCs w:val="20"/>
              </w:rPr>
              <w:t>00</w:t>
            </w:r>
            <w:r>
              <w:rPr>
                <w:rFonts w:ascii="Times New Roman" w:eastAsia="宋体" w:hAnsi="Times New Roman" w:cs="Times New Roman" w:hint="eastAsia"/>
                <w:color w:val="000000" w:themeColor="text1"/>
                <w:kern w:val="0"/>
                <w:sz w:val="20"/>
                <w:szCs w:val="20"/>
              </w:rPr>
              <w:t>人</w:t>
            </w:r>
          </w:p>
        </w:tc>
        <w:tc>
          <w:tcPr>
            <w:tcW w:w="178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尿素造粒塔</w:t>
            </w:r>
          </w:p>
        </w:tc>
      </w:tr>
      <w:tr w:rsidR="00C861DA">
        <w:trPr>
          <w:trHeight w:val="369"/>
          <w:jc w:val="center"/>
        </w:trPr>
        <w:tc>
          <w:tcPr>
            <w:tcW w:w="615"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2</w:t>
            </w:r>
          </w:p>
        </w:tc>
        <w:tc>
          <w:tcPr>
            <w:tcW w:w="150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大哨</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南</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1.1</w:t>
            </w:r>
          </w:p>
        </w:tc>
        <w:tc>
          <w:tcPr>
            <w:tcW w:w="850"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350</w:t>
            </w:r>
            <w:r>
              <w:rPr>
                <w:rFonts w:ascii="Times New Roman" w:eastAsia="宋体" w:hAnsi="Times New Roman" w:cs="Times New Roman"/>
                <w:color w:val="000000" w:themeColor="text1"/>
                <w:kern w:val="0"/>
                <w:sz w:val="20"/>
                <w:szCs w:val="20"/>
              </w:rPr>
              <w:t>人</w:t>
            </w:r>
          </w:p>
        </w:tc>
        <w:tc>
          <w:tcPr>
            <w:tcW w:w="178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尿素造粒塔</w:t>
            </w:r>
          </w:p>
        </w:tc>
      </w:tr>
      <w:tr w:rsidR="00C861DA">
        <w:trPr>
          <w:trHeight w:val="369"/>
          <w:jc w:val="center"/>
        </w:trPr>
        <w:tc>
          <w:tcPr>
            <w:tcW w:w="615"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3</w:t>
            </w:r>
          </w:p>
        </w:tc>
        <w:tc>
          <w:tcPr>
            <w:tcW w:w="150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下禄脿</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西南</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1.51</w:t>
            </w:r>
          </w:p>
        </w:tc>
        <w:tc>
          <w:tcPr>
            <w:tcW w:w="85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450</w:t>
            </w:r>
            <w:r>
              <w:rPr>
                <w:rFonts w:ascii="Times New Roman" w:eastAsia="宋体" w:hAnsi="Times New Roman" w:cs="Times New Roman"/>
                <w:color w:val="000000" w:themeColor="text1"/>
                <w:kern w:val="0"/>
                <w:sz w:val="20"/>
                <w:szCs w:val="20"/>
              </w:rPr>
              <w:t>人</w:t>
            </w:r>
          </w:p>
        </w:tc>
        <w:tc>
          <w:tcPr>
            <w:tcW w:w="178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尿素造粒塔</w:t>
            </w:r>
          </w:p>
        </w:tc>
      </w:tr>
      <w:tr w:rsidR="00C861DA">
        <w:trPr>
          <w:trHeight w:val="369"/>
          <w:jc w:val="center"/>
        </w:trPr>
        <w:tc>
          <w:tcPr>
            <w:tcW w:w="615"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4</w:t>
            </w:r>
          </w:p>
        </w:tc>
        <w:tc>
          <w:tcPr>
            <w:tcW w:w="150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小河边</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西</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1.77</w:t>
            </w:r>
          </w:p>
        </w:tc>
        <w:tc>
          <w:tcPr>
            <w:tcW w:w="85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76"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80</w:t>
            </w:r>
            <w:r>
              <w:rPr>
                <w:rFonts w:ascii="Times New Roman" w:eastAsia="宋体" w:hAnsi="Times New Roman" w:cs="Times New Roman"/>
                <w:color w:val="000000" w:themeColor="text1"/>
                <w:kern w:val="0"/>
                <w:sz w:val="20"/>
                <w:szCs w:val="20"/>
              </w:rPr>
              <w:t>人</w:t>
            </w:r>
          </w:p>
        </w:tc>
        <w:tc>
          <w:tcPr>
            <w:tcW w:w="178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硝酸铵生产设备</w:t>
            </w:r>
          </w:p>
        </w:tc>
      </w:tr>
      <w:tr w:rsidR="00C861DA">
        <w:trPr>
          <w:trHeight w:val="369"/>
          <w:jc w:val="center"/>
        </w:trPr>
        <w:tc>
          <w:tcPr>
            <w:tcW w:w="615"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5</w:t>
            </w:r>
          </w:p>
        </w:tc>
        <w:tc>
          <w:tcPr>
            <w:tcW w:w="150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多依树</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西北</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1.80</w:t>
            </w:r>
          </w:p>
        </w:tc>
        <w:tc>
          <w:tcPr>
            <w:tcW w:w="85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500</w:t>
            </w:r>
            <w:r>
              <w:rPr>
                <w:rFonts w:ascii="Times New Roman" w:eastAsia="宋体" w:hAnsi="Times New Roman" w:cs="Times New Roman"/>
                <w:color w:val="000000" w:themeColor="text1"/>
                <w:kern w:val="0"/>
                <w:sz w:val="20"/>
                <w:szCs w:val="20"/>
              </w:rPr>
              <w:t>人</w:t>
            </w:r>
          </w:p>
        </w:tc>
        <w:tc>
          <w:tcPr>
            <w:tcW w:w="178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硝酸铵生产设备</w:t>
            </w:r>
          </w:p>
        </w:tc>
      </w:tr>
      <w:tr w:rsidR="00C861DA">
        <w:trPr>
          <w:trHeight w:val="369"/>
          <w:jc w:val="center"/>
        </w:trPr>
        <w:tc>
          <w:tcPr>
            <w:tcW w:w="615"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6</w:t>
            </w:r>
          </w:p>
        </w:tc>
        <w:tc>
          <w:tcPr>
            <w:tcW w:w="150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安丰营</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西南</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1.85</w:t>
            </w:r>
          </w:p>
        </w:tc>
        <w:tc>
          <w:tcPr>
            <w:tcW w:w="85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500</w:t>
            </w:r>
            <w:r>
              <w:rPr>
                <w:rFonts w:ascii="Times New Roman" w:eastAsia="宋体" w:hAnsi="Times New Roman" w:cs="Times New Roman"/>
                <w:color w:val="000000" w:themeColor="text1"/>
                <w:kern w:val="0"/>
                <w:sz w:val="20"/>
                <w:szCs w:val="20"/>
              </w:rPr>
              <w:t>人</w:t>
            </w:r>
          </w:p>
        </w:tc>
        <w:tc>
          <w:tcPr>
            <w:tcW w:w="178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尿素造粒塔</w:t>
            </w:r>
          </w:p>
        </w:tc>
      </w:tr>
      <w:tr w:rsidR="00C861DA">
        <w:trPr>
          <w:trHeight w:val="369"/>
          <w:jc w:val="center"/>
        </w:trPr>
        <w:tc>
          <w:tcPr>
            <w:tcW w:w="615"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7</w:t>
            </w:r>
          </w:p>
        </w:tc>
        <w:tc>
          <w:tcPr>
            <w:tcW w:w="150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lang w:bidi="ar"/>
              </w:rPr>
              <w:t>大石凹</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西</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2.48</w:t>
            </w:r>
          </w:p>
        </w:tc>
        <w:tc>
          <w:tcPr>
            <w:tcW w:w="85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76"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80</w:t>
            </w:r>
            <w:r>
              <w:rPr>
                <w:rFonts w:ascii="Times New Roman" w:eastAsia="宋体" w:hAnsi="Times New Roman" w:cs="Times New Roman"/>
                <w:color w:val="000000" w:themeColor="text1"/>
                <w:kern w:val="0"/>
                <w:sz w:val="20"/>
                <w:szCs w:val="20"/>
              </w:rPr>
              <w:t>人</w:t>
            </w:r>
          </w:p>
        </w:tc>
        <w:tc>
          <w:tcPr>
            <w:tcW w:w="178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尿素造粒塔</w:t>
            </w:r>
          </w:p>
        </w:tc>
      </w:tr>
      <w:tr w:rsidR="00C861DA">
        <w:trPr>
          <w:trHeight w:val="369"/>
          <w:jc w:val="center"/>
        </w:trPr>
        <w:tc>
          <w:tcPr>
            <w:tcW w:w="615"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8</w:t>
            </w:r>
          </w:p>
        </w:tc>
        <w:tc>
          <w:tcPr>
            <w:tcW w:w="150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水井湾</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东南</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3.35</w:t>
            </w:r>
          </w:p>
        </w:tc>
        <w:tc>
          <w:tcPr>
            <w:tcW w:w="85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150</w:t>
            </w:r>
            <w:r>
              <w:rPr>
                <w:rFonts w:ascii="Times New Roman" w:eastAsia="宋体" w:hAnsi="Times New Roman" w:cs="Times New Roman"/>
                <w:color w:val="000000" w:themeColor="text1"/>
                <w:kern w:val="0"/>
                <w:sz w:val="20"/>
                <w:szCs w:val="20"/>
              </w:rPr>
              <w:t>人</w:t>
            </w:r>
          </w:p>
        </w:tc>
        <w:tc>
          <w:tcPr>
            <w:tcW w:w="178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硝酸铵生产设备</w:t>
            </w:r>
          </w:p>
        </w:tc>
      </w:tr>
      <w:tr w:rsidR="00C861DA">
        <w:trPr>
          <w:trHeight w:val="369"/>
          <w:jc w:val="center"/>
        </w:trPr>
        <w:tc>
          <w:tcPr>
            <w:tcW w:w="615"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9</w:t>
            </w:r>
          </w:p>
        </w:tc>
        <w:tc>
          <w:tcPr>
            <w:tcW w:w="150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李白</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东北</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3.51</w:t>
            </w:r>
          </w:p>
        </w:tc>
        <w:tc>
          <w:tcPr>
            <w:tcW w:w="85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300</w:t>
            </w:r>
            <w:r>
              <w:rPr>
                <w:rFonts w:ascii="Times New Roman" w:eastAsia="宋体" w:hAnsi="Times New Roman" w:cs="Times New Roman"/>
                <w:color w:val="000000" w:themeColor="text1"/>
                <w:kern w:val="0"/>
                <w:sz w:val="20"/>
                <w:szCs w:val="20"/>
              </w:rPr>
              <w:t>人</w:t>
            </w:r>
          </w:p>
        </w:tc>
        <w:tc>
          <w:tcPr>
            <w:tcW w:w="178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硝酸铵生产设备</w:t>
            </w:r>
          </w:p>
        </w:tc>
      </w:tr>
      <w:tr w:rsidR="00C861DA">
        <w:trPr>
          <w:trHeight w:val="369"/>
          <w:jc w:val="center"/>
        </w:trPr>
        <w:tc>
          <w:tcPr>
            <w:tcW w:w="615"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10</w:t>
            </w:r>
          </w:p>
        </w:tc>
        <w:tc>
          <w:tcPr>
            <w:tcW w:w="150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白塔村</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东</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3.61</w:t>
            </w:r>
          </w:p>
        </w:tc>
        <w:tc>
          <w:tcPr>
            <w:tcW w:w="85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350</w:t>
            </w:r>
            <w:r>
              <w:rPr>
                <w:rFonts w:ascii="Times New Roman" w:eastAsia="宋体" w:hAnsi="Times New Roman" w:cs="Times New Roman"/>
                <w:color w:val="000000" w:themeColor="text1"/>
                <w:kern w:val="0"/>
                <w:sz w:val="20"/>
                <w:szCs w:val="20"/>
              </w:rPr>
              <w:t>人</w:t>
            </w:r>
          </w:p>
        </w:tc>
        <w:tc>
          <w:tcPr>
            <w:tcW w:w="178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硝酸铵生产设备</w:t>
            </w:r>
          </w:p>
        </w:tc>
      </w:tr>
      <w:tr w:rsidR="00C861DA">
        <w:trPr>
          <w:trHeight w:val="369"/>
          <w:jc w:val="center"/>
        </w:trPr>
        <w:tc>
          <w:tcPr>
            <w:tcW w:w="615"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11</w:t>
            </w:r>
          </w:p>
        </w:tc>
        <w:tc>
          <w:tcPr>
            <w:tcW w:w="150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罗鸣</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东北</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3.66</w:t>
            </w:r>
          </w:p>
        </w:tc>
        <w:tc>
          <w:tcPr>
            <w:tcW w:w="85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250</w:t>
            </w:r>
            <w:r>
              <w:rPr>
                <w:rFonts w:ascii="Times New Roman" w:eastAsia="宋体" w:hAnsi="Times New Roman" w:cs="Times New Roman"/>
                <w:color w:val="000000" w:themeColor="text1"/>
                <w:kern w:val="0"/>
                <w:sz w:val="20"/>
                <w:szCs w:val="20"/>
              </w:rPr>
              <w:t>人</w:t>
            </w:r>
          </w:p>
        </w:tc>
        <w:tc>
          <w:tcPr>
            <w:tcW w:w="178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硝酸铵生产设备</w:t>
            </w:r>
          </w:p>
        </w:tc>
      </w:tr>
      <w:tr w:rsidR="00C861DA">
        <w:trPr>
          <w:trHeight w:val="369"/>
          <w:jc w:val="center"/>
        </w:trPr>
        <w:tc>
          <w:tcPr>
            <w:tcW w:w="615"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12</w:t>
            </w:r>
          </w:p>
        </w:tc>
        <w:tc>
          <w:tcPr>
            <w:tcW w:w="150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河上庄</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北</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4.12</w:t>
            </w:r>
          </w:p>
        </w:tc>
        <w:tc>
          <w:tcPr>
            <w:tcW w:w="85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400</w:t>
            </w:r>
            <w:r>
              <w:rPr>
                <w:rFonts w:ascii="Times New Roman" w:eastAsia="宋体" w:hAnsi="Times New Roman" w:cs="Times New Roman"/>
                <w:color w:val="000000" w:themeColor="text1"/>
                <w:kern w:val="0"/>
                <w:sz w:val="20"/>
                <w:szCs w:val="20"/>
              </w:rPr>
              <w:t>人</w:t>
            </w:r>
          </w:p>
        </w:tc>
        <w:tc>
          <w:tcPr>
            <w:tcW w:w="178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硝酸铵生产设备</w:t>
            </w:r>
          </w:p>
        </w:tc>
      </w:tr>
      <w:tr w:rsidR="00C861DA">
        <w:trPr>
          <w:trHeight w:val="369"/>
          <w:jc w:val="center"/>
        </w:trPr>
        <w:tc>
          <w:tcPr>
            <w:tcW w:w="615"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13</w:t>
            </w:r>
          </w:p>
        </w:tc>
        <w:tc>
          <w:tcPr>
            <w:tcW w:w="150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松坪</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东</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4.23</w:t>
            </w:r>
          </w:p>
        </w:tc>
        <w:tc>
          <w:tcPr>
            <w:tcW w:w="85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100</w:t>
            </w:r>
            <w:r>
              <w:rPr>
                <w:rFonts w:ascii="Times New Roman" w:eastAsia="宋体" w:hAnsi="Times New Roman" w:cs="Times New Roman"/>
                <w:color w:val="000000" w:themeColor="text1"/>
                <w:kern w:val="0"/>
                <w:sz w:val="20"/>
                <w:szCs w:val="20"/>
              </w:rPr>
              <w:t>人</w:t>
            </w:r>
          </w:p>
        </w:tc>
        <w:tc>
          <w:tcPr>
            <w:tcW w:w="178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硝酸生产设备</w:t>
            </w:r>
          </w:p>
        </w:tc>
      </w:tr>
      <w:tr w:rsidR="00C861DA">
        <w:trPr>
          <w:trHeight w:val="369"/>
          <w:jc w:val="center"/>
        </w:trPr>
        <w:tc>
          <w:tcPr>
            <w:tcW w:w="615"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14</w:t>
            </w:r>
          </w:p>
        </w:tc>
        <w:tc>
          <w:tcPr>
            <w:tcW w:w="150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青龙哨</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东南</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4.49</w:t>
            </w:r>
          </w:p>
        </w:tc>
        <w:tc>
          <w:tcPr>
            <w:tcW w:w="85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300</w:t>
            </w:r>
            <w:r>
              <w:rPr>
                <w:rFonts w:ascii="Times New Roman" w:eastAsia="宋体" w:hAnsi="Times New Roman" w:cs="Times New Roman"/>
                <w:color w:val="000000" w:themeColor="text1"/>
                <w:kern w:val="0"/>
                <w:sz w:val="20"/>
                <w:szCs w:val="20"/>
              </w:rPr>
              <w:t>人</w:t>
            </w:r>
          </w:p>
        </w:tc>
        <w:tc>
          <w:tcPr>
            <w:tcW w:w="178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硝酸生产设备</w:t>
            </w:r>
          </w:p>
        </w:tc>
      </w:tr>
      <w:tr w:rsidR="00C861DA">
        <w:trPr>
          <w:trHeight w:val="369"/>
          <w:jc w:val="center"/>
        </w:trPr>
        <w:tc>
          <w:tcPr>
            <w:tcW w:w="615"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1</w:t>
            </w:r>
            <w:r>
              <w:rPr>
                <w:rFonts w:ascii="Times New Roman" w:eastAsia="宋体" w:hAnsi="Times New Roman" w:cs="Times New Roman"/>
                <w:color w:val="000000" w:themeColor="text1"/>
                <w:kern w:val="0"/>
                <w:sz w:val="20"/>
                <w:szCs w:val="20"/>
              </w:rPr>
              <w:t>5</w:t>
            </w:r>
          </w:p>
        </w:tc>
        <w:tc>
          <w:tcPr>
            <w:tcW w:w="1507"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青龙镇</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东北</w:t>
            </w:r>
          </w:p>
        </w:tc>
        <w:tc>
          <w:tcPr>
            <w:tcW w:w="113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4.6</w:t>
            </w:r>
          </w:p>
        </w:tc>
        <w:tc>
          <w:tcPr>
            <w:tcW w:w="85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村寨</w:t>
            </w:r>
          </w:p>
        </w:tc>
        <w:tc>
          <w:tcPr>
            <w:tcW w:w="127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约</w:t>
            </w:r>
            <w:r>
              <w:rPr>
                <w:rFonts w:ascii="Times New Roman" w:eastAsia="宋体" w:hAnsi="Times New Roman" w:cs="Times New Roman"/>
                <w:color w:val="000000" w:themeColor="text1"/>
                <w:kern w:val="0"/>
                <w:sz w:val="20"/>
                <w:szCs w:val="20"/>
              </w:rPr>
              <w:t>500</w:t>
            </w:r>
            <w:r>
              <w:rPr>
                <w:rFonts w:ascii="Times New Roman" w:eastAsia="宋体" w:hAnsi="Times New Roman" w:cs="Times New Roman"/>
                <w:color w:val="000000" w:themeColor="text1"/>
                <w:kern w:val="0"/>
                <w:sz w:val="20"/>
                <w:szCs w:val="20"/>
              </w:rPr>
              <w:t>人</w:t>
            </w:r>
          </w:p>
        </w:tc>
        <w:tc>
          <w:tcPr>
            <w:tcW w:w="1780" w:type="dxa"/>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硝酸生产设备</w:t>
            </w:r>
          </w:p>
        </w:tc>
      </w:tr>
      <w:bookmarkEnd w:id="194"/>
    </w:tbl>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afe"/>
        <w:pBdr>
          <w:bottom w:val="single" w:sz="6" w:space="30" w:color="auto"/>
        </w:pBdr>
        <w:rPr>
          <w:color w:val="000000" w:themeColor="text1"/>
        </w:rPr>
      </w:pPr>
    </w:p>
    <w:p w:rsidR="00C861DA" w:rsidRDefault="00C861DA">
      <w:pPr>
        <w:pStyle w:val="afe"/>
        <w:rPr>
          <w:color w:val="000000" w:themeColor="text1"/>
        </w:rPr>
        <w:sectPr w:rsidR="00C861DA">
          <w:pgSz w:w="11906" w:h="16838"/>
          <w:pgMar w:top="1440" w:right="1800" w:bottom="1440" w:left="1800" w:header="851" w:footer="992" w:gutter="0"/>
          <w:cols w:space="425"/>
          <w:docGrid w:type="lines" w:linePitch="312"/>
        </w:sectPr>
      </w:pPr>
    </w:p>
    <w:bookmarkStart w:id="195" w:name="_Toc13944"/>
    <w:bookmarkStart w:id="196" w:name="_Toc19556"/>
    <w:bookmarkStart w:id="197" w:name="_Toc30277"/>
    <w:bookmarkStart w:id="198" w:name="_Toc30844"/>
    <w:p w:rsidR="00C861DA" w:rsidRDefault="0044752E">
      <w:pPr>
        <w:pStyle w:val="12"/>
        <w:jc w:val="center"/>
        <w:rPr>
          <w:rFonts w:ascii="Times New Roman" w:eastAsia="宋体"/>
          <w:b/>
          <w:color w:val="000000" w:themeColor="text1"/>
          <w:sz w:val="28"/>
          <w:szCs w:val="24"/>
        </w:rPr>
      </w:pPr>
      <w:r>
        <w:rPr>
          <w:rFonts w:ascii="Times New Roman" w:eastAsia="宋体" w:hint="eastAsia"/>
          <w:b/>
          <w:color w:val="000000" w:themeColor="text1"/>
          <w:sz w:val="28"/>
          <w:szCs w:val="24"/>
        </w:rPr>
        <w:fldChar w:fldCharType="begin"/>
      </w:r>
      <w:r>
        <w:rPr>
          <w:rFonts w:ascii="Times New Roman" w:eastAsia="宋体" w:hint="eastAsia"/>
          <w:b/>
          <w:color w:val="000000" w:themeColor="text1"/>
          <w:sz w:val="28"/>
          <w:szCs w:val="24"/>
        </w:rPr>
        <w:instrText xml:space="preserve"> HYPERLINK \l "_Toc513125268" </w:instrText>
      </w:r>
      <w:r>
        <w:rPr>
          <w:rFonts w:ascii="Times New Roman" w:eastAsia="宋体" w:hint="eastAsia"/>
          <w:b/>
          <w:color w:val="000000" w:themeColor="text1"/>
          <w:sz w:val="28"/>
          <w:szCs w:val="24"/>
        </w:rPr>
        <w:fldChar w:fldCharType="separate"/>
      </w:r>
      <w:bookmarkStart w:id="199" w:name="_Toc6826777"/>
      <w:r>
        <w:rPr>
          <w:rFonts w:ascii="Times New Roman" w:eastAsia="宋体" w:hint="eastAsia"/>
          <w:b/>
          <w:color w:val="000000" w:themeColor="text1"/>
          <w:sz w:val="28"/>
          <w:szCs w:val="24"/>
        </w:rPr>
        <w:t>3</w:t>
      </w:r>
      <w:r>
        <w:rPr>
          <w:rFonts w:ascii="Times New Roman" w:eastAsia="宋体" w:hint="eastAsia"/>
          <w:b/>
          <w:color w:val="000000" w:themeColor="text1"/>
          <w:sz w:val="28"/>
          <w:szCs w:val="24"/>
        </w:rPr>
        <w:t>、项目概况</w:t>
      </w:r>
      <w:bookmarkEnd w:id="199"/>
      <w:r>
        <w:rPr>
          <w:rFonts w:ascii="Times New Roman" w:eastAsia="宋体" w:hint="eastAsia"/>
          <w:b/>
          <w:color w:val="000000" w:themeColor="text1"/>
          <w:sz w:val="28"/>
          <w:szCs w:val="24"/>
        </w:rPr>
        <w:fldChar w:fldCharType="end"/>
      </w:r>
      <w:bookmarkEnd w:id="195"/>
      <w:bookmarkEnd w:id="196"/>
      <w:bookmarkEnd w:id="197"/>
      <w:bookmarkEnd w:id="198"/>
    </w:p>
    <w:bookmarkStart w:id="200" w:name="_Toc7521"/>
    <w:bookmarkStart w:id="201" w:name="_Toc28940"/>
    <w:bookmarkStart w:id="202" w:name="_Toc10113"/>
    <w:bookmarkStart w:id="203" w:name="_Toc4874"/>
    <w:p w:rsidR="00C861DA" w:rsidRDefault="0044752E">
      <w:pPr>
        <w:pStyle w:val="22"/>
        <w:rPr>
          <w:rFonts w:ascii="Times New Roman" w:eastAsia="宋体" w:hAnsi="Times New Roman"/>
          <w:bCs w:val="0"/>
          <w:color w:val="000000" w:themeColor="text1"/>
          <w:sz w:val="28"/>
          <w:szCs w:val="28"/>
        </w:rPr>
      </w:pPr>
      <w:r>
        <w:rPr>
          <w:rFonts w:ascii="Times New Roman" w:eastAsia="宋体" w:hAnsi="Times New Roman"/>
          <w:bCs w:val="0"/>
          <w:color w:val="000000" w:themeColor="text1"/>
          <w:sz w:val="28"/>
          <w:szCs w:val="28"/>
        </w:rPr>
        <w:fldChar w:fldCharType="begin"/>
      </w:r>
      <w:r>
        <w:rPr>
          <w:rFonts w:ascii="Times New Roman" w:eastAsia="宋体" w:hAnsi="Times New Roman"/>
          <w:bCs w:val="0"/>
          <w:color w:val="000000" w:themeColor="text1"/>
          <w:sz w:val="28"/>
          <w:szCs w:val="28"/>
        </w:rPr>
        <w:instrText xml:space="preserve"> HYPERLINK \l "</w:instrText>
      </w:r>
      <w:r>
        <w:rPr>
          <w:rFonts w:ascii="Times New Roman" w:eastAsia="宋体" w:hAnsi="Times New Roman"/>
          <w:bCs w:val="0"/>
          <w:color w:val="000000" w:themeColor="text1"/>
          <w:sz w:val="28"/>
          <w:szCs w:val="28"/>
        </w:rPr>
        <w:instrText xml:space="preserve">_Toc513125269" </w:instrText>
      </w:r>
      <w:r>
        <w:rPr>
          <w:rFonts w:ascii="Times New Roman" w:eastAsia="宋体" w:hAnsi="Times New Roman"/>
          <w:bCs w:val="0"/>
          <w:color w:val="000000" w:themeColor="text1"/>
          <w:sz w:val="28"/>
          <w:szCs w:val="28"/>
        </w:rPr>
        <w:fldChar w:fldCharType="separate"/>
      </w:r>
      <w:bookmarkStart w:id="204" w:name="_Toc6826778"/>
      <w:r>
        <w:rPr>
          <w:rFonts w:ascii="Times New Roman" w:eastAsia="宋体" w:hAnsi="Times New Roman"/>
          <w:bCs w:val="0"/>
          <w:color w:val="000000" w:themeColor="text1"/>
          <w:sz w:val="28"/>
          <w:szCs w:val="28"/>
        </w:rPr>
        <w:t>3.1</w:t>
      </w:r>
      <w:r>
        <w:rPr>
          <w:rFonts w:ascii="Times New Roman" w:eastAsia="宋体" w:hAnsi="Times New Roman" w:hint="eastAsia"/>
          <w:bCs w:val="0"/>
          <w:color w:val="000000" w:themeColor="text1"/>
          <w:sz w:val="28"/>
          <w:szCs w:val="28"/>
        </w:rPr>
        <w:t>项目基本情况</w:t>
      </w:r>
      <w:bookmarkEnd w:id="204"/>
      <w:r>
        <w:rPr>
          <w:rFonts w:ascii="Times New Roman" w:eastAsia="宋体" w:hAnsi="Times New Roman"/>
          <w:bCs w:val="0"/>
          <w:color w:val="000000" w:themeColor="text1"/>
          <w:sz w:val="28"/>
          <w:szCs w:val="28"/>
        </w:rPr>
        <w:fldChar w:fldCharType="end"/>
      </w:r>
      <w:bookmarkEnd w:id="200"/>
      <w:bookmarkEnd w:id="201"/>
      <w:bookmarkEnd w:id="202"/>
      <w:bookmarkEnd w:id="203"/>
    </w:p>
    <w:p w:rsidR="00C861DA" w:rsidRDefault="0044752E">
      <w:pPr>
        <w:spacing w:line="360" w:lineRule="auto"/>
        <w:ind w:firstLineChars="200" w:firstLine="482"/>
        <w:jc w:val="both"/>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项目名称：</w:t>
      </w:r>
      <w:r>
        <w:rPr>
          <w:rFonts w:ascii="Times New Roman" w:eastAsia="宋体" w:hAnsi="Times New Roman" w:cs="Times New Roman" w:hint="eastAsia"/>
          <w:color w:val="000000" w:themeColor="text1"/>
          <w:sz w:val="24"/>
          <w:szCs w:val="24"/>
        </w:rPr>
        <w:t>年产</w:t>
      </w:r>
      <w:r>
        <w:rPr>
          <w:rFonts w:ascii="Times New Roman" w:eastAsia="宋体" w:hAnsi="Times New Roman" w:cs="Times New Roman" w:hint="eastAsia"/>
          <w:color w:val="000000" w:themeColor="text1"/>
          <w:sz w:val="24"/>
          <w:szCs w:val="24"/>
        </w:rPr>
        <w:t>8</w:t>
      </w:r>
      <w:r>
        <w:rPr>
          <w:rFonts w:ascii="Times New Roman" w:eastAsia="宋体" w:hAnsi="Times New Roman" w:cs="Times New Roman"/>
          <w:color w:val="000000" w:themeColor="text1"/>
          <w:sz w:val="24"/>
          <w:szCs w:val="24"/>
        </w:rPr>
        <w:t>0</w:t>
      </w:r>
      <w:r>
        <w:rPr>
          <w:rFonts w:ascii="Times New Roman" w:eastAsia="宋体" w:hAnsi="Times New Roman" w:cs="Times New Roman" w:hint="eastAsia"/>
          <w:color w:val="000000" w:themeColor="text1"/>
          <w:sz w:val="24"/>
          <w:szCs w:val="24"/>
        </w:rPr>
        <w:t>万吨新型生态绿色有机肥项目</w:t>
      </w:r>
    </w:p>
    <w:p w:rsidR="00C861DA" w:rsidRDefault="0044752E">
      <w:pPr>
        <w:spacing w:line="360" w:lineRule="auto"/>
        <w:ind w:firstLineChars="200" w:firstLine="482"/>
        <w:jc w:val="both"/>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建设单位：</w:t>
      </w:r>
      <w:r>
        <w:rPr>
          <w:rFonts w:ascii="Times New Roman" w:eastAsia="宋体" w:hAnsi="Times New Roman" w:cs="Times New Roman"/>
          <w:color w:val="000000" w:themeColor="text1"/>
          <w:sz w:val="24"/>
          <w:szCs w:val="24"/>
        </w:rPr>
        <w:t>云南祥丰石化有限公司</w:t>
      </w:r>
    </w:p>
    <w:p w:rsidR="00C861DA" w:rsidRDefault="0044752E">
      <w:pPr>
        <w:spacing w:line="360" w:lineRule="auto"/>
        <w:ind w:firstLineChars="200" w:firstLine="482"/>
        <w:jc w:val="both"/>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建设地点：</w:t>
      </w:r>
      <w:r>
        <w:rPr>
          <w:rFonts w:ascii="Times New Roman" w:eastAsia="宋体" w:hAnsi="Times New Roman" w:cs="Times New Roman"/>
          <w:color w:val="000000" w:themeColor="text1"/>
          <w:sz w:val="24"/>
          <w:szCs w:val="24"/>
        </w:rPr>
        <w:t>安宁市禄脿街道安丰营村委会，</w:t>
      </w:r>
      <w:r>
        <w:rPr>
          <w:rFonts w:ascii="Times New Roman" w:eastAsia="宋体" w:hAnsi="Times New Roman" w:cs="Times New Roman" w:hint="eastAsia"/>
          <w:color w:val="000000" w:themeColor="text1"/>
          <w:sz w:val="24"/>
          <w:szCs w:val="24"/>
        </w:rPr>
        <w:t>厂区中心坐标为：</w:t>
      </w:r>
      <w:r>
        <w:rPr>
          <w:rFonts w:ascii="Times New Roman" w:eastAsia="宋体" w:hAnsi="Times New Roman" w:cs="Times New Roman" w:hint="eastAsia"/>
          <w:color w:val="000000" w:themeColor="text1"/>
          <w:sz w:val="24"/>
          <w:szCs w:val="24"/>
        </w:rPr>
        <w:t>N</w:t>
      </w:r>
      <w:r>
        <w:rPr>
          <w:rFonts w:ascii="Times New Roman" w:eastAsia="宋体" w:hAnsi="Times New Roman" w:cs="Times New Roman"/>
          <w:color w:val="000000" w:themeColor="text1"/>
          <w:sz w:val="24"/>
          <w:szCs w:val="24"/>
        </w:rPr>
        <w:t xml:space="preserve"> 102°18'18.65"</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E</w:t>
      </w:r>
      <w:r>
        <w:rPr>
          <w:rFonts w:ascii="Times New Roman" w:eastAsia="宋体" w:hAnsi="Times New Roman" w:cs="Times New Roman"/>
          <w:color w:val="000000" w:themeColor="text1"/>
          <w:sz w:val="24"/>
          <w:szCs w:val="24"/>
        </w:rPr>
        <w:t xml:space="preserve"> 24°58'54.83"</w:t>
      </w:r>
      <w:r>
        <w:rPr>
          <w:rFonts w:ascii="Times New Roman" w:eastAsia="宋体" w:hAnsi="Times New Roman" w:cs="Times New Roman"/>
          <w:color w:val="000000" w:themeColor="text1"/>
          <w:sz w:val="24"/>
          <w:szCs w:val="24"/>
        </w:rPr>
        <w:t>。</w:t>
      </w:r>
    </w:p>
    <w:p w:rsidR="00C861DA" w:rsidRDefault="0044752E">
      <w:pPr>
        <w:spacing w:line="360" w:lineRule="auto"/>
        <w:ind w:firstLineChars="200" w:firstLine="482"/>
        <w:jc w:val="both"/>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建设性质：</w:t>
      </w:r>
      <w:r>
        <w:rPr>
          <w:rFonts w:ascii="Times New Roman" w:eastAsia="宋体" w:hAnsi="Times New Roman" w:cs="Times New Roman"/>
          <w:color w:val="000000" w:themeColor="text1"/>
          <w:sz w:val="24"/>
          <w:szCs w:val="24"/>
        </w:rPr>
        <w:t>新建</w:t>
      </w:r>
    </w:p>
    <w:p w:rsidR="00C861DA" w:rsidRDefault="0044752E">
      <w:pPr>
        <w:spacing w:line="360" w:lineRule="auto"/>
        <w:ind w:firstLineChars="200" w:firstLine="482"/>
        <w:jc w:val="both"/>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占地面积：</w:t>
      </w:r>
      <w:r>
        <w:rPr>
          <w:rFonts w:ascii="Times New Roman" w:eastAsia="宋体" w:hAnsi="Times New Roman" w:cs="Times New Roman" w:hint="eastAsia"/>
          <w:color w:val="000000" w:themeColor="text1"/>
          <w:sz w:val="24"/>
          <w:szCs w:val="24"/>
        </w:rPr>
        <w:t>占地面积为</w:t>
      </w:r>
      <w:r>
        <w:rPr>
          <w:rFonts w:ascii="Times New Roman" w:eastAsia="宋体" w:hAnsi="Times New Roman" w:cs="Times New Roman" w:hint="eastAsia"/>
          <w:color w:val="000000" w:themeColor="text1"/>
          <w:sz w:val="24"/>
          <w:szCs w:val="24"/>
        </w:rPr>
        <w:t>1</w:t>
      </w:r>
      <w:r>
        <w:rPr>
          <w:rFonts w:ascii="Times New Roman" w:eastAsia="宋体" w:hAnsi="Times New Roman" w:cs="Times New Roman"/>
          <w:color w:val="000000" w:themeColor="text1"/>
          <w:sz w:val="24"/>
          <w:szCs w:val="24"/>
        </w:rPr>
        <w:t>30607.31m</w:t>
      </w:r>
      <w:r>
        <w:rPr>
          <w:rFonts w:ascii="Times New Roman" w:eastAsia="宋体" w:hAnsi="Times New Roman" w:cs="Times New Roman"/>
          <w:color w:val="000000" w:themeColor="text1"/>
          <w:sz w:val="24"/>
          <w:szCs w:val="24"/>
          <w:vertAlign w:val="superscript"/>
        </w:rPr>
        <w:t>2</w:t>
      </w:r>
      <w:r>
        <w:rPr>
          <w:rFonts w:ascii="Times New Roman" w:eastAsia="宋体" w:hAnsi="Times New Roman" w:cs="Times New Roman" w:hint="eastAsia"/>
          <w:color w:val="000000" w:themeColor="text1"/>
          <w:sz w:val="24"/>
          <w:szCs w:val="24"/>
        </w:rPr>
        <w:t>，建筑面积为</w:t>
      </w:r>
      <w:r>
        <w:rPr>
          <w:rFonts w:ascii="Times New Roman" w:eastAsia="宋体" w:hAnsi="Times New Roman" w:cs="Times New Roman" w:hint="eastAsia"/>
          <w:color w:val="000000" w:themeColor="text1"/>
          <w:sz w:val="24"/>
          <w:szCs w:val="24"/>
        </w:rPr>
        <w:t>6</w:t>
      </w:r>
      <w:r>
        <w:rPr>
          <w:rFonts w:ascii="Times New Roman" w:eastAsia="宋体" w:hAnsi="Times New Roman" w:cs="Times New Roman"/>
          <w:color w:val="000000" w:themeColor="text1"/>
          <w:sz w:val="24"/>
          <w:szCs w:val="24"/>
        </w:rPr>
        <w:t>9153.34m</w:t>
      </w:r>
      <w:r>
        <w:rPr>
          <w:rFonts w:ascii="Times New Roman" w:eastAsia="宋体" w:hAnsi="Times New Roman" w:cs="Times New Roman"/>
          <w:color w:val="000000" w:themeColor="text1"/>
          <w:sz w:val="24"/>
          <w:szCs w:val="24"/>
          <w:vertAlign w:val="superscript"/>
        </w:rPr>
        <w:t>2</w:t>
      </w:r>
      <w:r>
        <w:rPr>
          <w:rFonts w:ascii="Times New Roman" w:eastAsia="宋体" w:hAnsi="Times New Roman" w:cs="Times New Roman" w:hint="eastAsia"/>
          <w:b/>
          <w:color w:val="000000" w:themeColor="text1"/>
          <w:sz w:val="24"/>
          <w:szCs w:val="24"/>
        </w:rPr>
        <w:t>。</w:t>
      </w:r>
    </w:p>
    <w:p w:rsidR="00C861DA" w:rsidRDefault="0044752E">
      <w:pPr>
        <w:spacing w:line="360" w:lineRule="auto"/>
        <w:ind w:firstLineChars="200" w:firstLine="482"/>
        <w:jc w:val="both"/>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项目投资：</w:t>
      </w:r>
      <w:r>
        <w:rPr>
          <w:rFonts w:ascii="Times New Roman" w:eastAsia="宋体" w:hAnsi="Times New Roman" w:cs="Times New Roman" w:hint="eastAsia"/>
          <w:color w:val="000000" w:themeColor="text1"/>
          <w:sz w:val="24"/>
          <w:szCs w:val="24"/>
        </w:rPr>
        <w:t>自筹资金</w:t>
      </w:r>
      <w:r>
        <w:rPr>
          <w:rFonts w:ascii="Times New Roman" w:eastAsia="宋体" w:hAnsi="Times New Roman" w:cs="Times New Roman" w:hint="eastAsia"/>
          <w:color w:val="000000" w:themeColor="text1"/>
          <w:sz w:val="24"/>
          <w:szCs w:val="24"/>
        </w:rPr>
        <w:t>8</w:t>
      </w:r>
      <w:r>
        <w:rPr>
          <w:rFonts w:ascii="Times New Roman" w:eastAsia="宋体" w:hAnsi="Times New Roman" w:cs="Times New Roman"/>
          <w:color w:val="000000" w:themeColor="text1"/>
          <w:sz w:val="24"/>
          <w:szCs w:val="24"/>
        </w:rPr>
        <w:t>6418.08</w:t>
      </w:r>
      <w:r>
        <w:rPr>
          <w:rFonts w:ascii="Times New Roman" w:eastAsia="宋体" w:hAnsi="Times New Roman" w:cs="Times New Roman" w:hint="eastAsia"/>
          <w:color w:val="000000" w:themeColor="text1"/>
          <w:sz w:val="24"/>
          <w:szCs w:val="24"/>
        </w:rPr>
        <w:t>万元</w:t>
      </w:r>
    </w:p>
    <w:p w:rsidR="00C861DA" w:rsidRDefault="0044752E">
      <w:pPr>
        <w:spacing w:line="360" w:lineRule="auto"/>
        <w:ind w:firstLineChars="200" w:firstLine="482"/>
        <w:jc w:val="both"/>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行业类别：</w:t>
      </w:r>
      <w:r>
        <w:rPr>
          <w:rFonts w:ascii="Times New Roman" w:eastAsia="宋体" w:hAnsi="Times New Roman" w:cs="Times New Roman"/>
          <w:color w:val="000000" w:themeColor="text1"/>
          <w:sz w:val="24"/>
          <w:szCs w:val="24"/>
        </w:rPr>
        <w:t>C262</w:t>
      </w:r>
      <w:r>
        <w:rPr>
          <w:rFonts w:ascii="Times New Roman" w:eastAsia="宋体" w:hAnsi="Times New Roman" w:cs="Times New Roman" w:hint="eastAsia"/>
          <w:color w:val="000000" w:themeColor="text1"/>
          <w:sz w:val="24"/>
          <w:szCs w:val="24"/>
        </w:rPr>
        <w:t>肥料制造。</w:t>
      </w:r>
    </w:p>
    <w:p w:rsidR="00C861DA" w:rsidRDefault="0044752E">
      <w:pPr>
        <w:pStyle w:val="22"/>
        <w:rPr>
          <w:rFonts w:ascii="Times New Roman" w:eastAsia="宋体" w:cs="Arial"/>
          <w:b w:val="0"/>
          <w:bCs w:val="0"/>
          <w:color w:val="000000" w:themeColor="text1"/>
          <w:sz w:val="24"/>
          <w:szCs w:val="28"/>
        </w:rPr>
      </w:pPr>
      <w:bookmarkStart w:id="205" w:name="_Toc6826779"/>
      <w:r>
        <w:rPr>
          <w:rFonts w:ascii="Times New Roman" w:eastAsia="宋体" w:hAnsi="Times New Roman" w:hint="eastAsia"/>
          <w:bCs w:val="0"/>
          <w:color w:val="000000" w:themeColor="text1"/>
          <w:sz w:val="28"/>
          <w:szCs w:val="28"/>
        </w:rPr>
        <w:t>3</w:t>
      </w:r>
      <w:r>
        <w:rPr>
          <w:rFonts w:ascii="Times New Roman" w:eastAsia="宋体" w:hAnsi="Times New Roman"/>
          <w:bCs w:val="0"/>
          <w:color w:val="000000" w:themeColor="text1"/>
          <w:sz w:val="28"/>
          <w:szCs w:val="28"/>
        </w:rPr>
        <w:t>.2</w:t>
      </w:r>
      <w:r>
        <w:rPr>
          <w:rFonts w:ascii="Times New Roman" w:eastAsia="宋体" w:hAnsi="Times New Roman" w:hint="eastAsia"/>
          <w:bCs w:val="0"/>
          <w:color w:val="000000" w:themeColor="text1"/>
          <w:sz w:val="28"/>
          <w:szCs w:val="28"/>
        </w:rPr>
        <w:t>拟建项目</w:t>
      </w:r>
      <w:r>
        <w:rPr>
          <w:rFonts w:ascii="Times New Roman" w:eastAsia="宋体" w:hAnsi="Times New Roman"/>
          <w:bCs w:val="0"/>
          <w:color w:val="000000" w:themeColor="text1"/>
          <w:sz w:val="28"/>
          <w:szCs w:val="28"/>
        </w:rPr>
        <w:t>建设</w:t>
      </w:r>
      <w:r>
        <w:rPr>
          <w:rFonts w:ascii="Times New Roman" w:eastAsia="宋体" w:hAnsi="Times New Roman" w:hint="eastAsia"/>
          <w:bCs w:val="0"/>
          <w:color w:val="000000" w:themeColor="text1"/>
          <w:sz w:val="28"/>
          <w:szCs w:val="28"/>
        </w:rPr>
        <w:t>内容</w:t>
      </w:r>
      <w:r>
        <w:rPr>
          <w:rFonts w:ascii="Times New Roman" w:eastAsia="宋体" w:hAnsi="Times New Roman"/>
          <w:bCs w:val="0"/>
          <w:color w:val="000000" w:themeColor="text1"/>
          <w:sz w:val="28"/>
          <w:szCs w:val="28"/>
        </w:rPr>
        <w:t>及规模</w:t>
      </w:r>
      <w:bookmarkEnd w:id="205"/>
    </w:p>
    <w:p w:rsidR="00C861DA" w:rsidRDefault="0044752E">
      <w:pPr>
        <w:pStyle w:val="32"/>
        <w:rPr>
          <w:rFonts w:ascii="Times New Roman" w:eastAsia="宋体"/>
          <w:bCs w:val="0"/>
          <w:color w:val="000000" w:themeColor="text1"/>
          <w:sz w:val="24"/>
          <w:szCs w:val="24"/>
        </w:rPr>
      </w:pPr>
      <w:bookmarkStart w:id="206" w:name="_Toc6826780"/>
      <w:r>
        <w:rPr>
          <w:rFonts w:ascii="Times New Roman" w:eastAsia="宋体" w:hint="eastAsia"/>
          <w:bCs w:val="0"/>
          <w:color w:val="000000" w:themeColor="text1"/>
          <w:sz w:val="24"/>
          <w:szCs w:val="24"/>
        </w:rPr>
        <w:t>3</w:t>
      </w:r>
      <w:r>
        <w:rPr>
          <w:rFonts w:ascii="Times New Roman" w:eastAsia="宋体"/>
          <w:bCs w:val="0"/>
          <w:color w:val="000000" w:themeColor="text1"/>
          <w:sz w:val="24"/>
          <w:szCs w:val="24"/>
        </w:rPr>
        <w:t>.2.1</w:t>
      </w:r>
      <w:r>
        <w:rPr>
          <w:rFonts w:ascii="Times New Roman" w:eastAsia="宋体"/>
          <w:bCs w:val="0"/>
          <w:color w:val="000000" w:themeColor="text1"/>
          <w:sz w:val="24"/>
          <w:szCs w:val="24"/>
        </w:rPr>
        <w:t>工程内容</w:t>
      </w:r>
      <w:bookmarkEnd w:id="206"/>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本项目投资建设</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条绿色</w:t>
      </w:r>
      <w:r>
        <w:rPr>
          <w:rFonts w:ascii="Times New Roman" w:eastAsia="宋体" w:hAnsi="Times New Roman" w:cs="Times New Roman" w:hint="eastAsia"/>
          <w:color w:val="000000" w:themeColor="text1"/>
          <w:sz w:val="24"/>
        </w:rPr>
        <w:t>有机</w:t>
      </w:r>
      <w:r>
        <w:rPr>
          <w:rFonts w:ascii="Times New Roman" w:eastAsia="宋体" w:hAnsi="Times New Roman" w:cs="Times New Roman"/>
          <w:color w:val="000000" w:themeColor="text1"/>
          <w:sz w:val="24"/>
        </w:rPr>
        <w:t>硝基复合肥生产线和</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条绿色</w:t>
      </w:r>
      <w:r>
        <w:rPr>
          <w:rFonts w:ascii="Times New Roman" w:eastAsia="宋体" w:hAnsi="Times New Roman" w:cs="Times New Roman" w:hint="eastAsia"/>
          <w:color w:val="000000" w:themeColor="text1"/>
          <w:sz w:val="24"/>
        </w:rPr>
        <w:t>有机</w:t>
      </w:r>
      <w:r>
        <w:rPr>
          <w:rFonts w:ascii="Times New Roman" w:eastAsia="宋体" w:hAnsi="Times New Roman" w:cs="Times New Roman"/>
          <w:color w:val="000000" w:themeColor="text1"/>
          <w:sz w:val="24"/>
        </w:rPr>
        <w:t>尿基复合肥生产线</w:t>
      </w:r>
      <w:r>
        <w:rPr>
          <w:rFonts w:ascii="Times New Roman" w:eastAsia="宋体" w:hAnsi="Times New Roman" w:cs="Times New Roman" w:hint="eastAsia"/>
          <w:color w:val="000000" w:themeColor="text1"/>
          <w:sz w:val="24"/>
        </w:rPr>
        <w:t>及其配套</w:t>
      </w:r>
      <w:r>
        <w:rPr>
          <w:rFonts w:ascii="Times New Roman" w:eastAsia="宋体" w:hAnsi="Times New Roman" w:cs="Times New Roman"/>
          <w:color w:val="000000" w:themeColor="text1"/>
          <w:sz w:val="24"/>
        </w:rPr>
        <w:t>仓储设施，其中绿色</w:t>
      </w:r>
      <w:r>
        <w:rPr>
          <w:rFonts w:ascii="Times New Roman" w:eastAsia="宋体" w:hAnsi="Times New Roman" w:cs="Times New Roman" w:hint="eastAsia"/>
          <w:color w:val="000000" w:themeColor="text1"/>
          <w:sz w:val="24"/>
        </w:rPr>
        <w:t>有机</w:t>
      </w:r>
      <w:r>
        <w:rPr>
          <w:rFonts w:ascii="Times New Roman" w:eastAsia="宋体" w:hAnsi="Times New Roman" w:cs="Times New Roman"/>
          <w:color w:val="000000" w:themeColor="text1"/>
          <w:sz w:val="24"/>
        </w:rPr>
        <w:t>硝基复合肥生产线包括硝酸合成装置</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套、硝铵合成装置</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套、造粒塔</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座以及</w:t>
      </w:r>
      <w:r>
        <w:rPr>
          <w:rFonts w:ascii="Times New Roman" w:eastAsia="宋体" w:hAnsi="Times New Roman" w:cs="Times New Roman" w:hint="eastAsia"/>
          <w:color w:val="000000" w:themeColor="text1"/>
          <w:sz w:val="24"/>
        </w:rPr>
        <w:t>其他</w:t>
      </w:r>
      <w:r>
        <w:rPr>
          <w:rFonts w:ascii="Times New Roman" w:eastAsia="宋体" w:hAnsi="Times New Roman" w:cs="Times New Roman"/>
          <w:color w:val="000000" w:themeColor="text1"/>
          <w:sz w:val="24"/>
        </w:rPr>
        <w:t>生产配套设施；绿色</w:t>
      </w:r>
      <w:r>
        <w:rPr>
          <w:rFonts w:ascii="Times New Roman" w:eastAsia="宋体" w:hAnsi="Times New Roman" w:cs="Times New Roman" w:hint="eastAsia"/>
          <w:color w:val="000000" w:themeColor="text1"/>
          <w:sz w:val="24"/>
        </w:rPr>
        <w:t>有机</w:t>
      </w:r>
      <w:r>
        <w:rPr>
          <w:rFonts w:ascii="Times New Roman" w:eastAsia="宋体" w:hAnsi="Times New Roman" w:cs="Times New Roman"/>
          <w:color w:val="000000" w:themeColor="text1"/>
          <w:sz w:val="24"/>
        </w:rPr>
        <w:t>尿基复合肥生产线包括尿素合成装置</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套、造粒塔</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座以及生产配套设施；两条生产线共用有机质等原料存储仓库</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座。</w:t>
      </w:r>
    </w:p>
    <w:p w:rsidR="00C861DA" w:rsidRDefault="0044752E">
      <w:pPr>
        <w:pStyle w:val="32"/>
        <w:rPr>
          <w:rFonts w:ascii="Times New Roman" w:eastAsia="宋体"/>
          <w:bCs w:val="0"/>
          <w:color w:val="000000" w:themeColor="text1"/>
          <w:sz w:val="24"/>
          <w:szCs w:val="24"/>
        </w:rPr>
      </w:pPr>
      <w:bookmarkStart w:id="207" w:name="_Toc6826781"/>
      <w:r>
        <w:rPr>
          <w:rFonts w:ascii="Times New Roman" w:eastAsia="宋体" w:hint="eastAsia"/>
          <w:bCs w:val="0"/>
          <w:color w:val="000000" w:themeColor="text1"/>
          <w:sz w:val="24"/>
          <w:szCs w:val="24"/>
        </w:rPr>
        <w:t>3</w:t>
      </w:r>
      <w:r>
        <w:rPr>
          <w:rFonts w:ascii="Times New Roman" w:eastAsia="宋体"/>
          <w:bCs w:val="0"/>
          <w:color w:val="000000" w:themeColor="text1"/>
          <w:sz w:val="24"/>
          <w:szCs w:val="24"/>
        </w:rPr>
        <w:t>.2.2</w:t>
      </w:r>
      <w:r>
        <w:rPr>
          <w:rFonts w:ascii="Times New Roman" w:eastAsia="宋体"/>
          <w:bCs w:val="0"/>
          <w:color w:val="000000" w:themeColor="text1"/>
          <w:sz w:val="24"/>
          <w:szCs w:val="24"/>
        </w:rPr>
        <w:t>工程规模</w:t>
      </w:r>
      <w:bookmarkEnd w:id="207"/>
    </w:p>
    <w:p w:rsidR="00C861DA" w:rsidRDefault="0044752E">
      <w:pPr>
        <w:spacing w:line="360" w:lineRule="auto"/>
        <w:ind w:leftChars="50" w:left="105" w:rightChars="50" w:right="105" w:firstLineChars="200" w:firstLine="480"/>
        <w:jc w:val="both"/>
        <w:rPr>
          <w:rFonts w:ascii="Times New Roman" w:eastAsia="宋体" w:hAnsi="Times New Roman" w:cs="Times New Roman"/>
          <w:b/>
          <w:color w:val="000000" w:themeColor="text1"/>
          <w:sz w:val="24"/>
        </w:rPr>
      </w:pPr>
      <w:r>
        <w:rPr>
          <w:rFonts w:ascii="Times New Roman" w:eastAsia="宋体" w:hAnsi="Times New Roman" w:cs="Times New Roman"/>
          <w:color w:val="000000" w:themeColor="text1"/>
          <w:sz w:val="24"/>
        </w:rPr>
        <w:t>根据可研，本项目建成后</w:t>
      </w:r>
      <w:r>
        <w:rPr>
          <w:rFonts w:ascii="Times New Roman" w:eastAsia="宋体" w:hAnsi="Times New Roman" w:cs="Times New Roman"/>
          <w:color w:val="000000" w:themeColor="text1"/>
          <w:sz w:val="24"/>
          <w:szCs w:val="24"/>
        </w:rPr>
        <w:t>占地面积为</w:t>
      </w:r>
      <w:r>
        <w:rPr>
          <w:rFonts w:ascii="Times New Roman" w:eastAsia="宋体" w:hAnsi="Times New Roman" w:cs="Times New Roman"/>
          <w:color w:val="000000" w:themeColor="text1"/>
          <w:sz w:val="24"/>
          <w:szCs w:val="24"/>
        </w:rPr>
        <w:t>130607.31m</w:t>
      </w:r>
      <w:r>
        <w:rPr>
          <w:rFonts w:ascii="Times New Roman" w:eastAsia="宋体" w:hAnsi="Times New Roman" w:cs="Times New Roman"/>
          <w:color w:val="000000" w:themeColor="text1"/>
          <w:sz w:val="24"/>
          <w:szCs w:val="24"/>
          <w:vertAlign w:val="superscript"/>
        </w:rPr>
        <w:t>2</w:t>
      </w:r>
      <w:r>
        <w:rPr>
          <w:rFonts w:ascii="Times New Roman" w:eastAsia="宋体" w:hAnsi="Times New Roman" w:cs="Times New Roman"/>
          <w:color w:val="000000" w:themeColor="text1"/>
          <w:sz w:val="24"/>
          <w:szCs w:val="24"/>
        </w:rPr>
        <w:t>，建筑面积为</w:t>
      </w:r>
      <w:r>
        <w:rPr>
          <w:rFonts w:ascii="Times New Roman" w:eastAsia="宋体" w:hAnsi="Times New Roman" w:cs="Times New Roman"/>
          <w:color w:val="000000" w:themeColor="text1"/>
          <w:sz w:val="24"/>
          <w:szCs w:val="24"/>
        </w:rPr>
        <w:t>69153.34m</w:t>
      </w:r>
      <w:r>
        <w:rPr>
          <w:rFonts w:ascii="Times New Roman" w:eastAsia="宋体" w:hAnsi="Times New Roman" w:cs="Times New Roman"/>
          <w:color w:val="000000" w:themeColor="text1"/>
          <w:sz w:val="24"/>
          <w:szCs w:val="24"/>
          <w:vertAlign w:val="superscript"/>
        </w:rPr>
        <w:t>2</w:t>
      </w:r>
      <w:r>
        <w:rPr>
          <w:rFonts w:ascii="Times New Roman" w:eastAsia="宋体" w:hAnsi="Times New Roman" w:cs="Times New Roman"/>
          <w:b/>
          <w:color w:val="000000" w:themeColor="text1"/>
          <w:sz w:val="24"/>
          <w:szCs w:val="24"/>
        </w:rPr>
        <w:t>，</w:t>
      </w:r>
      <w:r>
        <w:rPr>
          <w:rFonts w:ascii="Times New Roman" w:eastAsia="宋体" w:hAnsi="Times New Roman" w:cs="Times New Roman"/>
          <w:color w:val="000000" w:themeColor="text1"/>
          <w:sz w:val="24"/>
          <w:szCs w:val="24"/>
        </w:rPr>
        <w:t>总投资</w:t>
      </w:r>
      <w:r>
        <w:rPr>
          <w:rFonts w:ascii="Times New Roman" w:eastAsia="宋体" w:hAnsi="Times New Roman" w:cs="Times New Roman"/>
          <w:color w:val="000000" w:themeColor="text1"/>
          <w:sz w:val="24"/>
          <w:szCs w:val="24"/>
        </w:rPr>
        <w:t>86418.08</w:t>
      </w:r>
      <w:r>
        <w:rPr>
          <w:rFonts w:ascii="Times New Roman" w:eastAsia="宋体" w:hAnsi="Times New Roman" w:cs="Times New Roman"/>
          <w:color w:val="000000" w:themeColor="text1"/>
          <w:sz w:val="24"/>
          <w:szCs w:val="24"/>
        </w:rPr>
        <w:t>万元，年产</w:t>
      </w:r>
      <w:r>
        <w:rPr>
          <w:rFonts w:ascii="Times New Roman" w:eastAsia="宋体" w:hAnsi="Times New Roman" w:cs="Times New Roman"/>
          <w:color w:val="000000" w:themeColor="text1"/>
          <w:sz w:val="24"/>
          <w:szCs w:val="24"/>
        </w:rPr>
        <w:t>80</w:t>
      </w:r>
      <w:r>
        <w:rPr>
          <w:rFonts w:ascii="Times New Roman" w:eastAsia="宋体" w:hAnsi="Times New Roman" w:cs="Times New Roman"/>
          <w:color w:val="000000" w:themeColor="text1"/>
          <w:sz w:val="24"/>
          <w:szCs w:val="24"/>
        </w:rPr>
        <w:t>万吨新型生态绿色有机肥，其中年产</w:t>
      </w:r>
      <w:r>
        <w:rPr>
          <w:rFonts w:ascii="Times New Roman" w:eastAsia="宋体" w:hAnsi="Times New Roman" w:cs="Times New Roman"/>
          <w:color w:val="000000" w:themeColor="text1"/>
          <w:sz w:val="24"/>
          <w:szCs w:val="24"/>
        </w:rPr>
        <w:t>30</w:t>
      </w:r>
      <w:r>
        <w:rPr>
          <w:rFonts w:ascii="Times New Roman" w:eastAsia="宋体" w:hAnsi="Times New Roman" w:cs="Times New Roman"/>
          <w:color w:val="000000" w:themeColor="text1"/>
          <w:sz w:val="24"/>
          <w:szCs w:val="24"/>
        </w:rPr>
        <w:t>万吨绿色</w:t>
      </w:r>
      <w:r>
        <w:rPr>
          <w:rFonts w:ascii="Times New Roman" w:eastAsia="宋体" w:hAnsi="Times New Roman" w:cs="Times New Roman" w:hint="eastAsia"/>
          <w:color w:val="000000" w:themeColor="text1"/>
          <w:sz w:val="24"/>
          <w:szCs w:val="24"/>
        </w:rPr>
        <w:t>有机</w:t>
      </w:r>
      <w:r>
        <w:rPr>
          <w:rFonts w:ascii="Times New Roman" w:eastAsia="宋体" w:hAnsi="Times New Roman" w:cs="Times New Roman"/>
          <w:color w:val="000000" w:themeColor="text1"/>
          <w:sz w:val="24"/>
          <w:szCs w:val="24"/>
        </w:rPr>
        <w:t>硝基复合肥，年产</w:t>
      </w:r>
      <w:r>
        <w:rPr>
          <w:rFonts w:ascii="Times New Roman" w:eastAsia="宋体" w:hAnsi="Times New Roman" w:cs="Times New Roman"/>
          <w:color w:val="000000" w:themeColor="text1"/>
          <w:sz w:val="24"/>
          <w:szCs w:val="24"/>
        </w:rPr>
        <w:t>50</w:t>
      </w:r>
      <w:r>
        <w:rPr>
          <w:rFonts w:ascii="Times New Roman" w:eastAsia="宋体" w:hAnsi="Times New Roman" w:cs="Times New Roman"/>
          <w:color w:val="000000" w:themeColor="text1"/>
          <w:sz w:val="24"/>
          <w:szCs w:val="24"/>
        </w:rPr>
        <w:t>万吨绿色</w:t>
      </w:r>
      <w:r>
        <w:rPr>
          <w:rFonts w:ascii="Times New Roman" w:eastAsia="宋体" w:hAnsi="Times New Roman" w:cs="Times New Roman" w:hint="eastAsia"/>
          <w:color w:val="000000" w:themeColor="text1"/>
          <w:sz w:val="24"/>
          <w:szCs w:val="24"/>
        </w:rPr>
        <w:t>有机</w:t>
      </w:r>
      <w:r>
        <w:rPr>
          <w:rFonts w:ascii="Times New Roman" w:eastAsia="宋体" w:hAnsi="Times New Roman" w:cs="Times New Roman"/>
          <w:color w:val="000000" w:themeColor="text1"/>
          <w:sz w:val="24"/>
          <w:szCs w:val="24"/>
        </w:rPr>
        <w:t>尿基复合肥。</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拟建项目建设内容见表</w:t>
      </w:r>
      <w:r>
        <w:rPr>
          <w:rFonts w:ascii="Times New Roman" w:eastAsia="宋体" w:hAnsi="Times New Roman" w:cs="Times New Roman"/>
          <w:color w:val="000000" w:themeColor="text1"/>
          <w:sz w:val="24"/>
          <w:szCs w:val="24"/>
        </w:rPr>
        <w:t>1-1</w:t>
      </w:r>
      <w:r>
        <w:rPr>
          <w:rFonts w:ascii="Times New Roman" w:eastAsia="宋体" w:hAnsi="Times New Roman" w:cs="Times New Roman" w:hint="eastAsia"/>
          <w:color w:val="000000" w:themeColor="text1"/>
          <w:sz w:val="24"/>
          <w:szCs w:val="24"/>
        </w:rPr>
        <w:t>，项目平面布置见</w:t>
      </w:r>
      <w:r>
        <w:rPr>
          <w:rFonts w:ascii="Times New Roman" w:eastAsia="宋体" w:hAnsi="Times New Roman" w:cs="Times New Roman"/>
          <w:color w:val="000000" w:themeColor="text1"/>
          <w:sz w:val="24"/>
          <w:szCs w:val="24"/>
        </w:rPr>
        <w:t>附图</w:t>
      </w:r>
      <w:r>
        <w:rPr>
          <w:rFonts w:ascii="Times New Roman" w:eastAsia="宋体" w:hAnsi="Times New Roman" w:cs="Times New Roman" w:hint="eastAsia"/>
          <w:color w:val="000000" w:themeColor="text1"/>
          <w:sz w:val="24"/>
          <w:szCs w:val="24"/>
        </w:rPr>
        <w:t>3</w:t>
      </w:r>
      <w:r>
        <w:rPr>
          <w:rFonts w:ascii="Times New Roman" w:eastAsia="宋体" w:hAnsi="Times New Roman" w:cs="Times New Roman"/>
          <w:color w:val="000000" w:themeColor="text1"/>
          <w:sz w:val="24"/>
          <w:szCs w:val="24"/>
        </w:rPr>
        <w:t>。</w:t>
      </w:r>
    </w:p>
    <w:p w:rsidR="00C861DA" w:rsidRDefault="0044752E">
      <w:pPr>
        <w:spacing w:line="360" w:lineRule="auto"/>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1-1  </w:t>
      </w:r>
      <w:r>
        <w:rPr>
          <w:rFonts w:ascii="Times New Roman" w:eastAsia="宋体" w:hAnsi="Times New Roman" w:cs="Times New Roman"/>
          <w:b/>
          <w:color w:val="000000" w:themeColor="text1"/>
          <w:sz w:val="24"/>
        </w:rPr>
        <w:t>拟建项目建设内容一览表</w:t>
      </w:r>
    </w:p>
    <w:tbl>
      <w:tblPr>
        <w:tblW w:w="83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2"/>
        <w:gridCol w:w="804"/>
        <w:gridCol w:w="1134"/>
        <w:gridCol w:w="4677"/>
        <w:gridCol w:w="950"/>
      </w:tblGrid>
      <w:tr w:rsidR="00C861DA">
        <w:trPr>
          <w:trHeight w:val="397"/>
        </w:trPr>
        <w:tc>
          <w:tcPr>
            <w:tcW w:w="752" w:type="dxa"/>
            <w:vAlign w:val="center"/>
          </w:tcPr>
          <w:p w:rsidR="00C861DA" w:rsidRDefault="0044752E">
            <w:pPr>
              <w:pStyle w:val="TableParagraph"/>
              <w:spacing w:before="52"/>
              <w:jc w:val="center"/>
              <w:rPr>
                <w:rFonts w:cs="宋体"/>
                <w:b/>
                <w:bCs/>
                <w:color w:val="000000" w:themeColor="text1"/>
              </w:rPr>
            </w:pPr>
            <w:r>
              <w:rPr>
                <w:rFonts w:cs="宋体" w:hint="eastAsia"/>
                <w:b/>
                <w:bCs/>
                <w:color w:val="000000" w:themeColor="text1"/>
              </w:rPr>
              <w:t>项目</w:t>
            </w:r>
          </w:p>
          <w:p w:rsidR="00C861DA" w:rsidRDefault="0044752E">
            <w:pPr>
              <w:pStyle w:val="TableParagraph"/>
              <w:spacing w:before="52"/>
              <w:jc w:val="center"/>
              <w:rPr>
                <w:rFonts w:cs="宋体"/>
                <w:b/>
                <w:bCs/>
                <w:color w:val="000000" w:themeColor="text1"/>
              </w:rPr>
            </w:pPr>
            <w:r>
              <w:rPr>
                <w:rFonts w:cs="宋体" w:hint="eastAsia"/>
                <w:b/>
                <w:bCs/>
                <w:color w:val="000000" w:themeColor="text1"/>
              </w:rPr>
              <w:t>组成</w:t>
            </w:r>
          </w:p>
        </w:tc>
        <w:tc>
          <w:tcPr>
            <w:tcW w:w="1938" w:type="dxa"/>
            <w:gridSpan w:val="2"/>
            <w:vAlign w:val="center"/>
          </w:tcPr>
          <w:p w:rsidR="00C861DA" w:rsidRDefault="0044752E">
            <w:pPr>
              <w:pStyle w:val="TableParagraph"/>
              <w:spacing w:before="52"/>
              <w:jc w:val="center"/>
              <w:rPr>
                <w:rFonts w:cs="宋体"/>
                <w:b/>
                <w:bCs/>
                <w:color w:val="000000" w:themeColor="text1"/>
              </w:rPr>
            </w:pPr>
            <w:r>
              <w:rPr>
                <w:rFonts w:cs="宋体" w:hint="eastAsia"/>
                <w:b/>
                <w:bCs/>
                <w:color w:val="000000" w:themeColor="text1"/>
              </w:rPr>
              <w:t>名称</w:t>
            </w:r>
          </w:p>
        </w:tc>
        <w:tc>
          <w:tcPr>
            <w:tcW w:w="4677" w:type="dxa"/>
            <w:vAlign w:val="center"/>
          </w:tcPr>
          <w:p w:rsidR="00C861DA" w:rsidRDefault="0044752E">
            <w:pPr>
              <w:pStyle w:val="TableParagraph"/>
              <w:spacing w:before="52"/>
              <w:jc w:val="center"/>
              <w:rPr>
                <w:rFonts w:cs="宋体"/>
                <w:b/>
                <w:bCs/>
                <w:color w:val="000000" w:themeColor="text1"/>
              </w:rPr>
            </w:pPr>
            <w:r>
              <w:rPr>
                <w:rFonts w:cs="宋体" w:hint="eastAsia"/>
                <w:b/>
                <w:bCs/>
                <w:color w:val="000000" w:themeColor="text1"/>
              </w:rPr>
              <w:t>建设内容及规模</w:t>
            </w:r>
          </w:p>
        </w:tc>
        <w:tc>
          <w:tcPr>
            <w:tcW w:w="950" w:type="dxa"/>
            <w:vAlign w:val="center"/>
          </w:tcPr>
          <w:p w:rsidR="00C861DA" w:rsidRDefault="0044752E">
            <w:pPr>
              <w:pStyle w:val="TableParagraph"/>
              <w:spacing w:before="52"/>
              <w:jc w:val="center"/>
              <w:rPr>
                <w:rFonts w:cs="宋体"/>
                <w:b/>
                <w:bCs/>
                <w:color w:val="000000" w:themeColor="text1"/>
              </w:rPr>
            </w:pPr>
            <w:r>
              <w:rPr>
                <w:rFonts w:cs="宋体"/>
                <w:b/>
                <w:bCs/>
                <w:color w:val="000000" w:themeColor="text1"/>
              </w:rPr>
              <w:t>备注</w:t>
            </w:r>
          </w:p>
        </w:tc>
      </w:tr>
      <w:tr w:rsidR="00C861DA">
        <w:trPr>
          <w:trHeight w:val="397"/>
        </w:trPr>
        <w:tc>
          <w:tcPr>
            <w:tcW w:w="752" w:type="dxa"/>
            <w:vMerge w:val="restart"/>
            <w:vAlign w:val="center"/>
          </w:tcPr>
          <w:p w:rsidR="00C861DA" w:rsidRDefault="0044752E">
            <w:pPr>
              <w:pStyle w:val="TableParagraph"/>
              <w:jc w:val="center"/>
              <w:rPr>
                <w:rFonts w:cs="宋体"/>
                <w:color w:val="000000" w:themeColor="text1"/>
              </w:rPr>
            </w:pPr>
            <w:r>
              <w:rPr>
                <w:rFonts w:cs="宋体" w:hint="eastAsia"/>
                <w:color w:val="000000" w:themeColor="text1"/>
              </w:rPr>
              <w:t>主体</w:t>
            </w:r>
          </w:p>
          <w:p w:rsidR="00C861DA" w:rsidRDefault="0044752E">
            <w:pPr>
              <w:pStyle w:val="TableParagraph"/>
              <w:jc w:val="center"/>
              <w:rPr>
                <w:rFonts w:cs="宋体"/>
                <w:color w:val="000000" w:themeColor="text1"/>
              </w:rPr>
            </w:pPr>
            <w:r>
              <w:rPr>
                <w:rFonts w:cs="宋体" w:hint="eastAsia"/>
                <w:color w:val="000000" w:themeColor="text1"/>
              </w:rPr>
              <w:t>工程</w:t>
            </w:r>
          </w:p>
        </w:tc>
        <w:tc>
          <w:tcPr>
            <w:tcW w:w="804" w:type="dxa"/>
            <w:vMerge w:val="restart"/>
            <w:vAlign w:val="center"/>
          </w:tcPr>
          <w:p w:rsidR="00C861DA" w:rsidRDefault="0044752E">
            <w:pPr>
              <w:pStyle w:val="TableParagraph"/>
              <w:jc w:val="center"/>
              <w:rPr>
                <w:rFonts w:cs="宋体"/>
                <w:color w:val="000000" w:themeColor="text1"/>
              </w:rPr>
            </w:pPr>
            <w:r>
              <w:rPr>
                <w:rFonts w:cs="宋体" w:hint="eastAsia"/>
                <w:color w:val="000000" w:themeColor="text1"/>
              </w:rPr>
              <w:t>绿色有机硝基复合肥生产线</w:t>
            </w:r>
          </w:p>
        </w:tc>
        <w:tc>
          <w:tcPr>
            <w:tcW w:w="1134" w:type="dxa"/>
            <w:vAlign w:val="center"/>
          </w:tcPr>
          <w:p w:rsidR="00C861DA" w:rsidRDefault="0044752E">
            <w:pPr>
              <w:pStyle w:val="TableParagraph"/>
              <w:jc w:val="center"/>
              <w:rPr>
                <w:rFonts w:cs="宋体"/>
                <w:color w:val="000000" w:themeColor="text1"/>
              </w:rPr>
            </w:pPr>
            <w:r>
              <w:rPr>
                <w:rFonts w:cs="宋体" w:hint="eastAsia"/>
                <w:color w:val="000000" w:themeColor="text1"/>
              </w:rPr>
              <w:t>稀硝酸生产装置</w:t>
            </w:r>
          </w:p>
        </w:tc>
        <w:tc>
          <w:tcPr>
            <w:tcW w:w="4677" w:type="dxa"/>
          </w:tcPr>
          <w:p w:rsidR="00C861DA" w:rsidRDefault="0044752E">
            <w:pPr>
              <w:pStyle w:val="TableParagraph"/>
              <w:ind w:firstLineChars="200" w:firstLine="420"/>
              <w:jc w:val="both"/>
              <w:rPr>
                <w:rFonts w:cs="宋体"/>
                <w:color w:val="000000" w:themeColor="text1"/>
              </w:rPr>
            </w:pPr>
            <w:r>
              <w:rPr>
                <w:rFonts w:cs="宋体" w:hint="eastAsia"/>
                <w:color w:val="000000" w:themeColor="text1"/>
              </w:rPr>
              <w:t>位于的项目区的北侧，建设</w:t>
            </w:r>
            <w:r>
              <w:rPr>
                <w:rFonts w:cs="宋体" w:hint="eastAsia"/>
                <w:color w:val="000000" w:themeColor="text1"/>
              </w:rPr>
              <w:t>1</w:t>
            </w:r>
            <w:r>
              <w:rPr>
                <w:rFonts w:cs="宋体" w:hint="eastAsia"/>
                <w:color w:val="000000" w:themeColor="text1"/>
              </w:rPr>
              <w:t>条稀硝酸生产线，使用双加压氨氧化法制备硝酸。</w:t>
            </w:r>
          </w:p>
          <w:p w:rsidR="00C861DA" w:rsidRDefault="0044752E">
            <w:pPr>
              <w:pStyle w:val="TableParagraph"/>
              <w:ind w:firstLineChars="200" w:firstLine="422"/>
              <w:jc w:val="both"/>
              <w:rPr>
                <w:rFonts w:cs="宋体"/>
                <w:color w:val="000000" w:themeColor="text1"/>
              </w:rPr>
            </w:pPr>
            <w:r>
              <w:rPr>
                <w:rFonts w:cs="宋体" w:hint="eastAsia"/>
                <w:b/>
                <w:color w:val="000000" w:themeColor="text1"/>
              </w:rPr>
              <w:t>设备：</w:t>
            </w:r>
            <w:r>
              <w:rPr>
                <w:rFonts w:cs="宋体" w:hint="eastAsia"/>
                <w:color w:val="000000" w:themeColor="text1"/>
              </w:rPr>
              <w:t>氨氧化炉、吸收塔、液氨供应输送管道、</w:t>
            </w:r>
            <w:r>
              <w:rPr>
                <w:rFonts w:cs="宋体" w:hint="eastAsia"/>
                <w:color w:val="000000" w:themeColor="text1"/>
              </w:rPr>
              <w:t>1</w:t>
            </w:r>
            <w:r>
              <w:rPr>
                <w:rFonts w:cs="宋体" w:hint="eastAsia"/>
                <w:color w:val="000000" w:themeColor="text1"/>
              </w:rPr>
              <w:t>套</w:t>
            </w:r>
            <w:r>
              <w:rPr>
                <w:rFonts w:cs="宋体" w:hint="eastAsia"/>
                <w:color w:val="000000" w:themeColor="text1"/>
              </w:rPr>
              <w:t>SCR</w:t>
            </w:r>
            <w:r>
              <w:rPr>
                <w:rFonts w:cs="宋体" w:hint="eastAsia"/>
                <w:color w:val="000000" w:themeColor="text1"/>
              </w:rPr>
              <w:t>脱硝系统设施及四合一机组。</w:t>
            </w:r>
          </w:p>
        </w:tc>
        <w:tc>
          <w:tcPr>
            <w:tcW w:w="950" w:type="dxa"/>
            <w:vAlign w:val="center"/>
          </w:tcPr>
          <w:p w:rsidR="00C861DA" w:rsidRDefault="0044752E">
            <w:pPr>
              <w:pStyle w:val="TableParagraph"/>
              <w:jc w:val="center"/>
              <w:rPr>
                <w:rFonts w:cs="宋体"/>
                <w:color w:val="000000" w:themeColor="text1"/>
              </w:rPr>
            </w:pPr>
            <w:r>
              <w:rPr>
                <w:rFonts w:cs="宋体" w:hint="eastAsia"/>
                <w:color w:val="000000" w:themeColor="text1"/>
              </w:rPr>
              <w:t>新建</w:t>
            </w:r>
          </w:p>
        </w:tc>
      </w:tr>
      <w:tr w:rsidR="00C861DA">
        <w:trPr>
          <w:trHeight w:val="397"/>
        </w:trPr>
        <w:tc>
          <w:tcPr>
            <w:tcW w:w="752" w:type="dxa"/>
            <w:vMerge/>
            <w:vAlign w:val="center"/>
          </w:tcPr>
          <w:p w:rsidR="00C861DA" w:rsidRDefault="00C861DA">
            <w:pPr>
              <w:pStyle w:val="TableParagraph"/>
              <w:jc w:val="center"/>
              <w:rPr>
                <w:rFonts w:cs="宋体"/>
                <w:color w:val="000000" w:themeColor="text1"/>
              </w:rPr>
            </w:pPr>
          </w:p>
        </w:tc>
        <w:tc>
          <w:tcPr>
            <w:tcW w:w="804" w:type="dxa"/>
            <w:vMerge/>
            <w:vAlign w:val="center"/>
          </w:tcPr>
          <w:p w:rsidR="00C861DA" w:rsidRDefault="00C861DA">
            <w:pPr>
              <w:pStyle w:val="TableParagraph"/>
              <w:jc w:val="center"/>
              <w:rPr>
                <w:rFonts w:cs="宋体"/>
                <w:color w:val="000000" w:themeColor="text1"/>
              </w:rPr>
            </w:pPr>
          </w:p>
        </w:tc>
        <w:tc>
          <w:tcPr>
            <w:tcW w:w="1134" w:type="dxa"/>
            <w:vAlign w:val="center"/>
          </w:tcPr>
          <w:p w:rsidR="00C861DA" w:rsidRDefault="0044752E">
            <w:pPr>
              <w:pStyle w:val="TableParagraph"/>
              <w:jc w:val="center"/>
              <w:rPr>
                <w:rFonts w:cs="宋体"/>
                <w:color w:val="000000" w:themeColor="text1"/>
              </w:rPr>
            </w:pPr>
            <w:r>
              <w:rPr>
                <w:rFonts w:cs="宋体" w:hint="eastAsia"/>
                <w:color w:val="000000" w:themeColor="text1"/>
              </w:rPr>
              <w:t>硝铵生产装置</w:t>
            </w:r>
          </w:p>
        </w:tc>
        <w:tc>
          <w:tcPr>
            <w:tcW w:w="4677" w:type="dxa"/>
          </w:tcPr>
          <w:p w:rsidR="00C861DA" w:rsidRDefault="0044752E">
            <w:pPr>
              <w:pStyle w:val="TableParagraph"/>
              <w:ind w:firstLineChars="200" w:firstLine="420"/>
              <w:rPr>
                <w:rFonts w:cs="宋体"/>
                <w:color w:val="000000" w:themeColor="text1"/>
              </w:rPr>
            </w:pPr>
            <w:r>
              <w:rPr>
                <w:rFonts w:cs="宋体" w:hint="eastAsia"/>
                <w:color w:val="000000" w:themeColor="text1"/>
              </w:rPr>
              <w:t>位于项目区的北侧，建设</w:t>
            </w:r>
            <w:r>
              <w:rPr>
                <w:rFonts w:cs="宋体" w:hint="eastAsia"/>
                <w:color w:val="000000" w:themeColor="text1"/>
              </w:rPr>
              <w:t>1</w:t>
            </w:r>
            <w:r>
              <w:rPr>
                <w:rFonts w:cs="宋体" w:hint="eastAsia"/>
                <w:color w:val="000000" w:themeColor="text1"/>
              </w:rPr>
              <w:t>条硝铵生产线，使用硝酸与氨合成硝铵。</w:t>
            </w:r>
          </w:p>
          <w:p w:rsidR="00C861DA" w:rsidRDefault="0044752E">
            <w:pPr>
              <w:pStyle w:val="TableParagraph"/>
              <w:ind w:firstLineChars="200" w:firstLine="422"/>
              <w:rPr>
                <w:rFonts w:cs="宋体"/>
                <w:color w:val="000000" w:themeColor="text1"/>
              </w:rPr>
            </w:pPr>
            <w:r>
              <w:rPr>
                <w:rFonts w:cs="宋体" w:hint="eastAsia"/>
                <w:b/>
                <w:color w:val="000000" w:themeColor="text1"/>
              </w:rPr>
              <w:t>设备：</w:t>
            </w:r>
            <w:r>
              <w:rPr>
                <w:rFonts w:cs="宋体" w:hint="eastAsia"/>
                <w:color w:val="000000" w:themeColor="text1"/>
              </w:rPr>
              <w:t>高压气液混合反应器、立式降膜式蒸发器。</w:t>
            </w:r>
          </w:p>
        </w:tc>
        <w:tc>
          <w:tcPr>
            <w:tcW w:w="950" w:type="dxa"/>
            <w:vAlign w:val="center"/>
          </w:tcPr>
          <w:p w:rsidR="00C861DA" w:rsidRDefault="0044752E">
            <w:pPr>
              <w:pStyle w:val="TableParagraph"/>
              <w:jc w:val="center"/>
              <w:rPr>
                <w:rFonts w:cs="宋体"/>
                <w:color w:val="000000" w:themeColor="text1"/>
              </w:rPr>
            </w:pPr>
            <w:r>
              <w:rPr>
                <w:rFonts w:cs="宋体" w:hint="eastAsia"/>
                <w:color w:val="000000" w:themeColor="text1"/>
              </w:rPr>
              <w:t>新建</w:t>
            </w:r>
          </w:p>
        </w:tc>
      </w:tr>
      <w:tr w:rsidR="00C861DA">
        <w:trPr>
          <w:trHeight w:val="397"/>
        </w:trPr>
        <w:tc>
          <w:tcPr>
            <w:tcW w:w="752" w:type="dxa"/>
            <w:vMerge/>
            <w:vAlign w:val="center"/>
          </w:tcPr>
          <w:p w:rsidR="00C861DA" w:rsidRDefault="00C861DA">
            <w:pPr>
              <w:pStyle w:val="TableParagraph"/>
              <w:jc w:val="center"/>
              <w:rPr>
                <w:rFonts w:cs="宋体"/>
                <w:color w:val="000000" w:themeColor="text1"/>
              </w:rPr>
            </w:pPr>
          </w:p>
        </w:tc>
        <w:tc>
          <w:tcPr>
            <w:tcW w:w="804" w:type="dxa"/>
            <w:vMerge/>
            <w:vAlign w:val="center"/>
          </w:tcPr>
          <w:p w:rsidR="00C861DA" w:rsidRDefault="00C861DA">
            <w:pPr>
              <w:pStyle w:val="TableParagraph"/>
              <w:jc w:val="center"/>
              <w:rPr>
                <w:rFonts w:cs="宋体"/>
                <w:color w:val="000000" w:themeColor="text1"/>
              </w:rPr>
            </w:pPr>
          </w:p>
        </w:tc>
        <w:tc>
          <w:tcPr>
            <w:tcW w:w="1134" w:type="dxa"/>
            <w:vAlign w:val="center"/>
          </w:tcPr>
          <w:p w:rsidR="00C861DA" w:rsidRDefault="0044752E">
            <w:pPr>
              <w:pStyle w:val="TableParagraph"/>
              <w:jc w:val="center"/>
              <w:rPr>
                <w:rFonts w:cs="宋体"/>
                <w:color w:val="000000" w:themeColor="text1"/>
              </w:rPr>
            </w:pPr>
            <w:r>
              <w:rPr>
                <w:rFonts w:cs="宋体" w:hint="eastAsia"/>
                <w:color w:val="000000" w:themeColor="text1"/>
              </w:rPr>
              <w:t>绿色有机硝基复合肥备料装置</w:t>
            </w:r>
          </w:p>
        </w:tc>
        <w:tc>
          <w:tcPr>
            <w:tcW w:w="4677" w:type="dxa"/>
          </w:tcPr>
          <w:p w:rsidR="00C861DA" w:rsidRDefault="0044752E">
            <w:pPr>
              <w:pStyle w:val="TableParagraph"/>
              <w:ind w:firstLineChars="200" w:firstLine="420"/>
              <w:rPr>
                <w:rFonts w:cs="宋体"/>
                <w:color w:val="000000" w:themeColor="text1"/>
              </w:rPr>
            </w:pPr>
            <w:r>
              <w:rPr>
                <w:rFonts w:cs="宋体" w:hint="eastAsia"/>
                <w:color w:val="000000" w:themeColor="text1"/>
              </w:rPr>
              <w:t>位于项目区西侧，共建设</w:t>
            </w:r>
            <w:r>
              <w:rPr>
                <w:rFonts w:cs="宋体"/>
                <w:color w:val="000000" w:themeColor="text1"/>
              </w:rPr>
              <w:t>1</w:t>
            </w:r>
            <w:r>
              <w:rPr>
                <w:rFonts w:cs="宋体" w:hint="eastAsia"/>
                <w:color w:val="000000" w:themeColor="text1"/>
              </w:rPr>
              <w:t>条生产线，用于破碎、混合硝酸铵及有机质等原料。</w:t>
            </w:r>
          </w:p>
          <w:p w:rsidR="00C861DA" w:rsidRDefault="0044752E">
            <w:pPr>
              <w:pStyle w:val="TableParagraph"/>
              <w:ind w:firstLineChars="200" w:firstLine="422"/>
              <w:rPr>
                <w:rFonts w:cs="宋体"/>
                <w:color w:val="000000" w:themeColor="text1"/>
              </w:rPr>
            </w:pPr>
            <w:r>
              <w:rPr>
                <w:rFonts w:cs="宋体" w:hint="eastAsia"/>
                <w:b/>
                <w:color w:val="000000" w:themeColor="text1"/>
              </w:rPr>
              <w:t>设备：</w:t>
            </w:r>
            <w:r>
              <w:rPr>
                <w:rFonts w:cs="宋体" w:hint="eastAsia"/>
                <w:color w:val="000000" w:themeColor="text1"/>
              </w:rPr>
              <w:t>齿式破碎机、分级筛、均混器、造粒机及</w:t>
            </w:r>
            <w:r>
              <w:rPr>
                <w:rFonts w:cs="宋体" w:hint="eastAsia"/>
                <w:color w:val="000000" w:themeColor="text1"/>
              </w:rPr>
              <w:t>1</w:t>
            </w:r>
            <w:r>
              <w:rPr>
                <w:rFonts w:cs="宋体" w:hint="eastAsia"/>
                <w:color w:val="000000" w:themeColor="text1"/>
              </w:rPr>
              <w:t>套布袋除尘设施。</w:t>
            </w:r>
          </w:p>
        </w:tc>
        <w:tc>
          <w:tcPr>
            <w:tcW w:w="950" w:type="dxa"/>
            <w:vAlign w:val="center"/>
          </w:tcPr>
          <w:p w:rsidR="00C861DA" w:rsidRDefault="0044752E">
            <w:pPr>
              <w:pStyle w:val="TableParagraph"/>
              <w:jc w:val="center"/>
              <w:rPr>
                <w:rFonts w:cs="宋体"/>
                <w:color w:val="000000" w:themeColor="text1"/>
              </w:rPr>
            </w:pPr>
            <w:r>
              <w:rPr>
                <w:rFonts w:cs="宋体" w:hint="eastAsia"/>
                <w:color w:val="000000" w:themeColor="text1"/>
              </w:rPr>
              <w:t>新建</w:t>
            </w:r>
          </w:p>
        </w:tc>
      </w:tr>
      <w:tr w:rsidR="00C861DA">
        <w:trPr>
          <w:trHeight w:val="397"/>
        </w:trPr>
        <w:tc>
          <w:tcPr>
            <w:tcW w:w="752" w:type="dxa"/>
            <w:vMerge/>
            <w:vAlign w:val="center"/>
          </w:tcPr>
          <w:p w:rsidR="00C861DA" w:rsidRDefault="00C861DA">
            <w:pPr>
              <w:pStyle w:val="TableParagraph"/>
              <w:jc w:val="center"/>
              <w:rPr>
                <w:rFonts w:cs="宋体"/>
                <w:color w:val="000000" w:themeColor="text1"/>
              </w:rPr>
            </w:pPr>
          </w:p>
        </w:tc>
        <w:tc>
          <w:tcPr>
            <w:tcW w:w="804" w:type="dxa"/>
            <w:vMerge/>
            <w:vAlign w:val="center"/>
          </w:tcPr>
          <w:p w:rsidR="00C861DA" w:rsidRDefault="00C861DA">
            <w:pPr>
              <w:pStyle w:val="TableParagraph"/>
              <w:jc w:val="center"/>
              <w:rPr>
                <w:rFonts w:cs="宋体"/>
                <w:color w:val="000000" w:themeColor="text1"/>
              </w:rPr>
            </w:pPr>
          </w:p>
        </w:tc>
        <w:tc>
          <w:tcPr>
            <w:tcW w:w="1134" w:type="dxa"/>
            <w:vAlign w:val="center"/>
          </w:tcPr>
          <w:p w:rsidR="00C861DA" w:rsidRDefault="0044752E">
            <w:pPr>
              <w:pStyle w:val="TableParagraph"/>
              <w:jc w:val="center"/>
              <w:rPr>
                <w:rFonts w:cs="宋体"/>
                <w:color w:val="000000" w:themeColor="text1"/>
              </w:rPr>
            </w:pPr>
            <w:r>
              <w:rPr>
                <w:rFonts w:cs="宋体" w:hint="eastAsia"/>
                <w:color w:val="000000" w:themeColor="text1"/>
              </w:rPr>
              <w:t>绿色有机硝基复合肥造粒装置</w:t>
            </w:r>
          </w:p>
        </w:tc>
        <w:tc>
          <w:tcPr>
            <w:tcW w:w="4677" w:type="dxa"/>
          </w:tcPr>
          <w:p w:rsidR="00C861DA" w:rsidRDefault="0044752E">
            <w:pPr>
              <w:pStyle w:val="TableParagraph"/>
              <w:ind w:firstLineChars="200" w:firstLine="420"/>
              <w:rPr>
                <w:rFonts w:cs="宋体"/>
                <w:color w:val="000000" w:themeColor="text1"/>
              </w:rPr>
            </w:pPr>
            <w:r>
              <w:rPr>
                <w:rFonts w:cs="宋体" w:hint="eastAsia"/>
                <w:color w:val="000000" w:themeColor="text1"/>
              </w:rPr>
              <w:t>位于项目区西侧，与备料装置相邻，工建设</w:t>
            </w:r>
            <w:r>
              <w:rPr>
                <w:rFonts w:cs="宋体" w:hint="eastAsia"/>
                <w:color w:val="000000" w:themeColor="text1"/>
              </w:rPr>
              <w:t>1</w:t>
            </w:r>
            <w:r>
              <w:rPr>
                <w:rFonts w:cs="宋体" w:hint="eastAsia"/>
                <w:color w:val="000000" w:themeColor="text1"/>
              </w:rPr>
              <w:t>套造粒设施，用于将硝酸铵及有机质混合物造粒。</w:t>
            </w:r>
          </w:p>
          <w:p w:rsidR="00C861DA" w:rsidRDefault="0044752E">
            <w:pPr>
              <w:pStyle w:val="TableParagraph"/>
              <w:ind w:firstLineChars="200" w:firstLine="422"/>
              <w:rPr>
                <w:rFonts w:cs="宋体"/>
                <w:color w:val="000000" w:themeColor="text1"/>
              </w:rPr>
            </w:pPr>
            <w:r>
              <w:rPr>
                <w:rFonts w:cs="宋体" w:hint="eastAsia"/>
                <w:b/>
                <w:color w:val="000000" w:themeColor="text1"/>
              </w:rPr>
              <w:t>设备：</w:t>
            </w:r>
            <w:r>
              <w:rPr>
                <w:rFonts w:cs="宋体" w:hint="eastAsia"/>
                <w:color w:val="000000" w:themeColor="text1"/>
              </w:rPr>
              <w:t>造粒塔、布袋除尘。</w:t>
            </w:r>
          </w:p>
        </w:tc>
        <w:tc>
          <w:tcPr>
            <w:tcW w:w="950" w:type="dxa"/>
            <w:vAlign w:val="center"/>
          </w:tcPr>
          <w:p w:rsidR="00C861DA" w:rsidRDefault="0044752E">
            <w:pPr>
              <w:pStyle w:val="TableParagraph"/>
              <w:jc w:val="center"/>
              <w:rPr>
                <w:rFonts w:cs="宋体"/>
                <w:color w:val="000000" w:themeColor="text1"/>
              </w:rPr>
            </w:pPr>
            <w:r>
              <w:rPr>
                <w:rFonts w:cs="宋体" w:hint="eastAsia"/>
                <w:color w:val="000000" w:themeColor="text1"/>
              </w:rPr>
              <w:t>新建</w:t>
            </w:r>
          </w:p>
        </w:tc>
      </w:tr>
      <w:tr w:rsidR="00C861DA">
        <w:trPr>
          <w:trHeight w:val="397"/>
        </w:trPr>
        <w:tc>
          <w:tcPr>
            <w:tcW w:w="752" w:type="dxa"/>
            <w:vMerge/>
            <w:vAlign w:val="center"/>
          </w:tcPr>
          <w:p w:rsidR="00C861DA" w:rsidRDefault="00C861DA">
            <w:pPr>
              <w:pStyle w:val="TableParagraph"/>
              <w:jc w:val="center"/>
              <w:rPr>
                <w:rFonts w:cs="宋体"/>
                <w:color w:val="000000" w:themeColor="text1"/>
              </w:rPr>
            </w:pPr>
          </w:p>
        </w:tc>
        <w:tc>
          <w:tcPr>
            <w:tcW w:w="804" w:type="dxa"/>
            <w:vMerge/>
            <w:vAlign w:val="center"/>
          </w:tcPr>
          <w:p w:rsidR="00C861DA" w:rsidRDefault="00C861DA">
            <w:pPr>
              <w:pStyle w:val="TableParagraph"/>
              <w:jc w:val="center"/>
              <w:rPr>
                <w:rFonts w:cs="宋体"/>
                <w:color w:val="000000" w:themeColor="text1"/>
              </w:rPr>
            </w:pPr>
          </w:p>
        </w:tc>
        <w:tc>
          <w:tcPr>
            <w:tcW w:w="1134" w:type="dxa"/>
            <w:vAlign w:val="center"/>
          </w:tcPr>
          <w:p w:rsidR="00C861DA" w:rsidRDefault="0044752E">
            <w:pPr>
              <w:pStyle w:val="TableParagraph"/>
              <w:jc w:val="center"/>
              <w:rPr>
                <w:rFonts w:cs="宋体"/>
                <w:color w:val="000000" w:themeColor="text1"/>
              </w:rPr>
            </w:pPr>
            <w:r>
              <w:rPr>
                <w:rFonts w:cs="宋体" w:hint="eastAsia"/>
                <w:color w:val="000000" w:themeColor="text1"/>
              </w:rPr>
              <w:t>筛分冷却框架</w:t>
            </w:r>
          </w:p>
        </w:tc>
        <w:tc>
          <w:tcPr>
            <w:tcW w:w="4677" w:type="dxa"/>
          </w:tcPr>
          <w:p w:rsidR="00C861DA" w:rsidRDefault="0044752E">
            <w:pPr>
              <w:pStyle w:val="TableParagraph"/>
              <w:ind w:firstLineChars="200" w:firstLine="420"/>
              <w:rPr>
                <w:rFonts w:cs="宋体"/>
                <w:color w:val="000000" w:themeColor="text1"/>
              </w:rPr>
            </w:pPr>
            <w:r>
              <w:rPr>
                <w:rFonts w:cs="宋体" w:hint="eastAsia"/>
                <w:color w:val="000000" w:themeColor="text1"/>
              </w:rPr>
              <w:t>位于项目区西侧靠北，用于冷却筛分已造粒的绿色有机硝基复合肥。</w:t>
            </w:r>
          </w:p>
          <w:p w:rsidR="00C861DA" w:rsidRDefault="0044752E">
            <w:pPr>
              <w:pStyle w:val="TableParagraph"/>
              <w:ind w:firstLineChars="200" w:firstLine="422"/>
              <w:rPr>
                <w:rFonts w:cs="宋体"/>
                <w:color w:val="000000" w:themeColor="text1"/>
              </w:rPr>
            </w:pPr>
            <w:r>
              <w:rPr>
                <w:rFonts w:cs="宋体" w:hint="eastAsia"/>
                <w:b/>
                <w:color w:val="000000" w:themeColor="text1"/>
              </w:rPr>
              <w:t>设备：</w:t>
            </w:r>
            <w:r>
              <w:rPr>
                <w:rFonts w:cs="宋体" w:hint="eastAsia"/>
                <w:color w:val="000000" w:themeColor="text1"/>
              </w:rPr>
              <w:t>冷却管、振动筛及布袋除尘设施。</w:t>
            </w:r>
          </w:p>
        </w:tc>
        <w:tc>
          <w:tcPr>
            <w:tcW w:w="950" w:type="dxa"/>
            <w:vAlign w:val="center"/>
          </w:tcPr>
          <w:p w:rsidR="00C861DA" w:rsidRDefault="0044752E">
            <w:pPr>
              <w:pStyle w:val="TableParagraph"/>
              <w:jc w:val="center"/>
              <w:rPr>
                <w:rFonts w:cs="宋体"/>
                <w:color w:val="000000" w:themeColor="text1"/>
              </w:rPr>
            </w:pPr>
            <w:r>
              <w:rPr>
                <w:rFonts w:cs="宋体" w:hint="eastAsia"/>
                <w:color w:val="000000" w:themeColor="text1"/>
              </w:rPr>
              <w:t>新建</w:t>
            </w:r>
          </w:p>
        </w:tc>
      </w:tr>
      <w:tr w:rsidR="00C861DA">
        <w:trPr>
          <w:trHeight w:val="397"/>
        </w:trPr>
        <w:tc>
          <w:tcPr>
            <w:tcW w:w="752" w:type="dxa"/>
            <w:vMerge/>
            <w:vAlign w:val="center"/>
          </w:tcPr>
          <w:p w:rsidR="00C861DA" w:rsidRDefault="00C861DA">
            <w:pPr>
              <w:pStyle w:val="TableParagraph"/>
              <w:jc w:val="center"/>
              <w:rPr>
                <w:rFonts w:cs="宋体"/>
                <w:color w:val="000000" w:themeColor="text1"/>
              </w:rPr>
            </w:pPr>
          </w:p>
        </w:tc>
        <w:tc>
          <w:tcPr>
            <w:tcW w:w="804" w:type="dxa"/>
            <w:vMerge w:val="restart"/>
            <w:vAlign w:val="center"/>
          </w:tcPr>
          <w:p w:rsidR="00C861DA" w:rsidRDefault="0044752E">
            <w:pPr>
              <w:pStyle w:val="TableParagraph"/>
              <w:jc w:val="center"/>
              <w:rPr>
                <w:rFonts w:cs="宋体"/>
                <w:color w:val="000000" w:themeColor="text1"/>
              </w:rPr>
            </w:pPr>
            <w:r>
              <w:rPr>
                <w:rFonts w:cs="宋体" w:hint="eastAsia"/>
                <w:color w:val="000000" w:themeColor="text1"/>
              </w:rPr>
              <w:t>绿色有机尿基复合肥生产线</w:t>
            </w:r>
          </w:p>
        </w:tc>
        <w:tc>
          <w:tcPr>
            <w:tcW w:w="1134" w:type="dxa"/>
            <w:vAlign w:val="center"/>
          </w:tcPr>
          <w:p w:rsidR="00C861DA" w:rsidRDefault="0044752E">
            <w:pPr>
              <w:pStyle w:val="TableParagraph"/>
              <w:jc w:val="center"/>
              <w:rPr>
                <w:rFonts w:cs="宋体"/>
                <w:color w:val="000000" w:themeColor="text1"/>
              </w:rPr>
            </w:pPr>
            <w:r>
              <w:rPr>
                <w:rFonts w:cs="宋体" w:hint="eastAsia"/>
                <w:color w:val="000000" w:themeColor="text1"/>
              </w:rPr>
              <w:t>尿素合成装置</w:t>
            </w:r>
          </w:p>
        </w:tc>
        <w:tc>
          <w:tcPr>
            <w:tcW w:w="4677" w:type="dxa"/>
          </w:tcPr>
          <w:p w:rsidR="00C861DA" w:rsidRDefault="0044752E">
            <w:pPr>
              <w:pStyle w:val="TableParagraph"/>
              <w:ind w:firstLineChars="200" w:firstLine="420"/>
              <w:jc w:val="both"/>
              <w:rPr>
                <w:rFonts w:cs="宋体"/>
                <w:color w:val="000000" w:themeColor="text1"/>
              </w:rPr>
            </w:pPr>
            <w:r>
              <w:rPr>
                <w:rFonts w:cs="宋体" w:hint="eastAsia"/>
                <w:color w:val="000000" w:themeColor="text1"/>
              </w:rPr>
              <w:t>位于项目区中部，建设</w:t>
            </w:r>
            <w:r>
              <w:rPr>
                <w:rFonts w:cs="宋体" w:hint="eastAsia"/>
                <w:color w:val="000000" w:themeColor="text1"/>
              </w:rPr>
              <w:t>1</w:t>
            </w:r>
            <w:r>
              <w:rPr>
                <w:rFonts w:cs="宋体" w:hint="eastAsia"/>
                <w:color w:val="000000" w:themeColor="text1"/>
              </w:rPr>
              <w:t>条尿素生产线，使用压缩二氧化碳和液氨在高压圈内合成尿素。</w:t>
            </w:r>
          </w:p>
          <w:p w:rsidR="00C861DA" w:rsidRDefault="0044752E">
            <w:pPr>
              <w:pStyle w:val="TableParagraph"/>
              <w:ind w:firstLineChars="200" w:firstLine="422"/>
              <w:jc w:val="both"/>
              <w:rPr>
                <w:rFonts w:cs="宋体"/>
                <w:color w:val="000000" w:themeColor="text1"/>
              </w:rPr>
            </w:pPr>
            <w:r>
              <w:rPr>
                <w:rFonts w:cs="宋体" w:hint="eastAsia"/>
                <w:b/>
                <w:color w:val="000000" w:themeColor="text1"/>
              </w:rPr>
              <w:t>设备</w:t>
            </w:r>
            <w:r>
              <w:rPr>
                <w:rFonts w:cs="宋体" w:hint="eastAsia"/>
                <w:b/>
                <w:color w:val="000000" w:themeColor="text1"/>
              </w:rPr>
              <w:t>:</w:t>
            </w:r>
            <w:r>
              <w:rPr>
                <w:rFonts w:cs="宋体" w:hint="eastAsia"/>
                <w:color w:val="000000" w:themeColor="text1"/>
              </w:rPr>
              <w:t>压缩机、冷凝器、分段吸收器及合成塔等。</w:t>
            </w:r>
          </w:p>
        </w:tc>
        <w:tc>
          <w:tcPr>
            <w:tcW w:w="950" w:type="dxa"/>
            <w:vAlign w:val="center"/>
          </w:tcPr>
          <w:p w:rsidR="00C861DA" w:rsidRDefault="0044752E">
            <w:pPr>
              <w:pStyle w:val="TableParagraph"/>
              <w:jc w:val="center"/>
              <w:rPr>
                <w:rFonts w:cs="宋体"/>
                <w:color w:val="000000" w:themeColor="text1"/>
              </w:rPr>
            </w:pPr>
            <w:r>
              <w:rPr>
                <w:rFonts w:cs="宋体" w:hint="eastAsia"/>
                <w:color w:val="000000" w:themeColor="text1"/>
              </w:rPr>
              <w:t>新建</w:t>
            </w:r>
          </w:p>
        </w:tc>
      </w:tr>
      <w:tr w:rsidR="00C861DA">
        <w:trPr>
          <w:trHeight w:val="397"/>
        </w:trPr>
        <w:tc>
          <w:tcPr>
            <w:tcW w:w="752" w:type="dxa"/>
            <w:vMerge/>
            <w:vAlign w:val="center"/>
          </w:tcPr>
          <w:p w:rsidR="00C861DA" w:rsidRDefault="00C861DA">
            <w:pPr>
              <w:pStyle w:val="TableParagraph"/>
              <w:jc w:val="center"/>
              <w:rPr>
                <w:rFonts w:cs="宋体"/>
                <w:color w:val="000000" w:themeColor="text1"/>
              </w:rPr>
            </w:pPr>
          </w:p>
        </w:tc>
        <w:tc>
          <w:tcPr>
            <w:tcW w:w="804" w:type="dxa"/>
            <w:vMerge/>
            <w:vAlign w:val="center"/>
          </w:tcPr>
          <w:p w:rsidR="00C861DA" w:rsidRDefault="00C861DA">
            <w:pPr>
              <w:pStyle w:val="TableParagraph"/>
              <w:jc w:val="center"/>
              <w:rPr>
                <w:rFonts w:cs="宋体"/>
                <w:color w:val="000000" w:themeColor="text1"/>
              </w:rPr>
            </w:pPr>
          </w:p>
        </w:tc>
        <w:tc>
          <w:tcPr>
            <w:tcW w:w="1134" w:type="dxa"/>
            <w:vAlign w:val="center"/>
          </w:tcPr>
          <w:p w:rsidR="00C861DA" w:rsidRDefault="0044752E">
            <w:pPr>
              <w:pStyle w:val="TableParagraph"/>
              <w:jc w:val="center"/>
              <w:rPr>
                <w:rFonts w:cs="宋体"/>
                <w:color w:val="000000" w:themeColor="text1"/>
              </w:rPr>
            </w:pPr>
            <w:r>
              <w:rPr>
                <w:rFonts w:cs="宋体" w:hint="eastAsia"/>
                <w:color w:val="000000" w:themeColor="text1"/>
              </w:rPr>
              <w:t>筛分冷却框架</w:t>
            </w:r>
          </w:p>
        </w:tc>
        <w:tc>
          <w:tcPr>
            <w:tcW w:w="4677" w:type="dxa"/>
          </w:tcPr>
          <w:p w:rsidR="00C861DA" w:rsidRDefault="0044752E">
            <w:pPr>
              <w:pStyle w:val="TableParagraph"/>
              <w:ind w:firstLineChars="200" w:firstLine="420"/>
              <w:jc w:val="both"/>
              <w:rPr>
                <w:rFonts w:cs="宋体"/>
                <w:color w:val="000000" w:themeColor="text1"/>
              </w:rPr>
            </w:pPr>
            <w:r>
              <w:rPr>
                <w:rFonts w:cs="宋体" w:hint="eastAsia"/>
                <w:color w:val="000000" w:themeColor="text1"/>
              </w:rPr>
              <w:t>位于项目区南侧，用于原料筛分破碎。</w:t>
            </w:r>
          </w:p>
          <w:p w:rsidR="00C861DA" w:rsidRDefault="0044752E">
            <w:pPr>
              <w:pStyle w:val="TableParagraph"/>
              <w:ind w:firstLineChars="200" w:firstLine="422"/>
              <w:jc w:val="both"/>
              <w:rPr>
                <w:rFonts w:cs="宋体"/>
                <w:color w:val="000000" w:themeColor="text1"/>
              </w:rPr>
            </w:pPr>
            <w:r>
              <w:rPr>
                <w:rFonts w:cs="宋体" w:hint="eastAsia"/>
                <w:b/>
                <w:color w:val="000000" w:themeColor="text1"/>
              </w:rPr>
              <w:t>设备：</w:t>
            </w:r>
            <w:r>
              <w:rPr>
                <w:rFonts w:cs="宋体" w:hint="eastAsia"/>
                <w:color w:val="000000" w:themeColor="text1"/>
              </w:rPr>
              <w:t>冷却管、振动筛及布袋除尘设施。</w:t>
            </w:r>
          </w:p>
        </w:tc>
        <w:tc>
          <w:tcPr>
            <w:tcW w:w="950" w:type="dxa"/>
            <w:vAlign w:val="center"/>
          </w:tcPr>
          <w:p w:rsidR="00C861DA" w:rsidRDefault="0044752E">
            <w:pPr>
              <w:pStyle w:val="TableParagraph"/>
              <w:jc w:val="center"/>
              <w:rPr>
                <w:rFonts w:cs="宋体"/>
                <w:color w:val="000000" w:themeColor="text1"/>
              </w:rPr>
            </w:pPr>
            <w:r>
              <w:rPr>
                <w:rFonts w:cs="宋体" w:hint="eastAsia"/>
                <w:color w:val="000000" w:themeColor="text1"/>
              </w:rPr>
              <w:t>新建</w:t>
            </w:r>
          </w:p>
        </w:tc>
      </w:tr>
      <w:tr w:rsidR="00C861DA">
        <w:trPr>
          <w:trHeight w:val="397"/>
        </w:trPr>
        <w:tc>
          <w:tcPr>
            <w:tcW w:w="752" w:type="dxa"/>
            <w:vMerge/>
            <w:vAlign w:val="center"/>
          </w:tcPr>
          <w:p w:rsidR="00C861DA" w:rsidRDefault="00C861DA">
            <w:pPr>
              <w:pStyle w:val="TableParagraph"/>
              <w:jc w:val="center"/>
              <w:rPr>
                <w:rFonts w:cs="宋体"/>
                <w:color w:val="000000" w:themeColor="text1"/>
              </w:rPr>
            </w:pPr>
          </w:p>
        </w:tc>
        <w:tc>
          <w:tcPr>
            <w:tcW w:w="804" w:type="dxa"/>
            <w:vMerge/>
            <w:vAlign w:val="center"/>
          </w:tcPr>
          <w:p w:rsidR="00C861DA" w:rsidRDefault="00C861DA">
            <w:pPr>
              <w:pStyle w:val="TableParagraph"/>
              <w:jc w:val="center"/>
              <w:rPr>
                <w:rFonts w:cs="宋体"/>
                <w:color w:val="000000" w:themeColor="text1"/>
              </w:rPr>
            </w:pPr>
          </w:p>
        </w:tc>
        <w:tc>
          <w:tcPr>
            <w:tcW w:w="1134" w:type="dxa"/>
            <w:vAlign w:val="center"/>
          </w:tcPr>
          <w:p w:rsidR="00C861DA" w:rsidRDefault="0044752E">
            <w:pPr>
              <w:pStyle w:val="TableParagraph"/>
              <w:jc w:val="center"/>
              <w:rPr>
                <w:rFonts w:cs="宋体"/>
                <w:color w:val="000000" w:themeColor="text1"/>
              </w:rPr>
            </w:pPr>
            <w:r>
              <w:rPr>
                <w:rFonts w:cs="宋体" w:hint="eastAsia"/>
                <w:color w:val="000000" w:themeColor="text1"/>
              </w:rPr>
              <w:t>绿色有机尿基复合肥备料装置</w:t>
            </w:r>
          </w:p>
        </w:tc>
        <w:tc>
          <w:tcPr>
            <w:tcW w:w="4677" w:type="dxa"/>
          </w:tcPr>
          <w:p w:rsidR="00C861DA" w:rsidRDefault="0044752E">
            <w:pPr>
              <w:pStyle w:val="TableParagraph"/>
              <w:ind w:firstLineChars="200" w:firstLine="420"/>
              <w:rPr>
                <w:rFonts w:cs="宋体"/>
                <w:color w:val="000000" w:themeColor="text1"/>
              </w:rPr>
            </w:pPr>
            <w:r>
              <w:rPr>
                <w:rFonts w:cs="宋体" w:hint="eastAsia"/>
                <w:color w:val="000000" w:themeColor="text1"/>
              </w:rPr>
              <w:t>位于项目区中部，共建设</w:t>
            </w:r>
            <w:r>
              <w:rPr>
                <w:rFonts w:cs="宋体"/>
                <w:color w:val="000000" w:themeColor="text1"/>
              </w:rPr>
              <w:t>1</w:t>
            </w:r>
            <w:r>
              <w:rPr>
                <w:rFonts w:cs="宋体" w:hint="eastAsia"/>
                <w:color w:val="000000" w:themeColor="text1"/>
              </w:rPr>
              <w:t>条生产线，用于破碎、混合尿素及有机质等原料。</w:t>
            </w:r>
          </w:p>
          <w:p w:rsidR="00C861DA" w:rsidRDefault="0044752E">
            <w:pPr>
              <w:pStyle w:val="TableParagraph"/>
              <w:ind w:firstLineChars="200" w:firstLine="422"/>
              <w:jc w:val="both"/>
              <w:rPr>
                <w:rFonts w:cs="宋体"/>
                <w:color w:val="000000" w:themeColor="text1"/>
              </w:rPr>
            </w:pPr>
            <w:r>
              <w:rPr>
                <w:rFonts w:cs="宋体" w:hint="eastAsia"/>
                <w:b/>
                <w:color w:val="000000" w:themeColor="text1"/>
              </w:rPr>
              <w:t>设备：</w:t>
            </w:r>
            <w:r>
              <w:rPr>
                <w:rFonts w:cs="宋体" w:hint="eastAsia"/>
                <w:color w:val="000000" w:themeColor="text1"/>
              </w:rPr>
              <w:t>齿式破碎机、分级筛、均混器及</w:t>
            </w:r>
            <w:r>
              <w:rPr>
                <w:rFonts w:cs="宋体" w:hint="eastAsia"/>
                <w:color w:val="000000" w:themeColor="text1"/>
              </w:rPr>
              <w:t>1</w:t>
            </w:r>
            <w:r>
              <w:rPr>
                <w:rFonts w:cs="宋体" w:hint="eastAsia"/>
                <w:color w:val="000000" w:themeColor="text1"/>
              </w:rPr>
              <w:t>套布袋除尘设施。</w:t>
            </w:r>
          </w:p>
        </w:tc>
        <w:tc>
          <w:tcPr>
            <w:tcW w:w="950" w:type="dxa"/>
            <w:vAlign w:val="center"/>
          </w:tcPr>
          <w:p w:rsidR="00C861DA" w:rsidRDefault="0044752E">
            <w:pPr>
              <w:pStyle w:val="TableParagraph"/>
              <w:jc w:val="center"/>
              <w:rPr>
                <w:rFonts w:cs="宋体"/>
                <w:color w:val="000000" w:themeColor="text1"/>
              </w:rPr>
            </w:pPr>
            <w:r>
              <w:rPr>
                <w:rFonts w:cs="宋体" w:hint="eastAsia"/>
                <w:color w:val="000000" w:themeColor="text1"/>
              </w:rPr>
              <w:t>新建</w:t>
            </w:r>
          </w:p>
        </w:tc>
      </w:tr>
      <w:tr w:rsidR="00C861DA">
        <w:trPr>
          <w:trHeight w:val="397"/>
        </w:trPr>
        <w:tc>
          <w:tcPr>
            <w:tcW w:w="752" w:type="dxa"/>
            <w:vMerge/>
            <w:vAlign w:val="center"/>
          </w:tcPr>
          <w:p w:rsidR="00C861DA" w:rsidRDefault="00C861DA">
            <w:pPr>
              <w:pStyle w:val="TableParagraph"/>
              <w:jc w:val="center"/>
              <w:rPr>
                <w:rFonts w:cs="宋体"/>
                <w:color w:val="000000" w:themeColor="text1"/>
              </w:rPr>
            </w:pPr>
          </w:p>
        </w:tc>
        <w:tc>
          <w:tcPr>
            <w:tcW w:w="804" w:type="dxa"/>
            <w:vMerge/>
            <w:vAlign w:val="center"/>
          </w:tcPr>
          <w:p w:rsidR="00C861DA" w:rsidRDefault="00C861DA">
            <w:pPr>
              <w:pStyle w:val="TableParagraph"/>
              <w:jc w:val="center"/>
              <w:rPr>
                <w:rFonts w:cs="宋体"/>
                <w:color w:val="000000" w:themeColor="text1"/>
              </w:rPr>
            </w:pPr>
          </w:p>
        </w:tc>
        <w:tc>
          <w:tcPr>
            <w:tcW w:w="1134" w:type="dxa"/>
            <w:vAlign w:val="center"/>
          </w:tcPr>
          <w:p w:rsidR="00C861DA" w:rsidRDefault="0044752E">
            <w:pPr>
              <w:pStyle w:val="TableParagraph"/>
              <w:jc w:val="center"/>
              <w:rPr>
                <w:rFonts w:cs="宋体"/>
                <w:color w:val="000000" w:themeColor="text1"/>
              </w:rPr>
            </w:pPr>
            <w:r>
              <w:rPr>
                <w:rFonts w:cs="宋体" w:hint="eastAsia"/>
                <w:color w:val="000000" w:themeColor="text1"/>
              </w:rPr>
              <w:t>尿素造粒塔</w:t>
            </w:r>
          </w:p>
        </w:tc>
        <w:tc>
          <w:tcPr>
            <w:tcW w:w="4677" w:type="dxa"/>
          </w:tcPr>
          <w:p w:rsidR="00C861DA" w:rsidRDefault="0044752E">
            <w:pPr>
              <w:pStyle w:val="TableParagraph"/>
              <w:ind w:firstLineChars="200" w:firstLine="420"/>
              <w:rPr>
                <w:rFonts w:cs="宋体"/>
                <w:color w:val="000000" w:themeColor="text1"/>
              </w:rPr>
            </w:pPr>
            <w:r>
              <w:rPr>
                <w:rFonts w:cs="宋体" w:hint="eastAsia"/>
                <w:color w:val="000000" w:themeColor="text1"/>
              </w:rPr>
              <w:t>位于项目区中部，建设</w:t>
            </w:r>
            <w:r>
              <w:rPr>
                <w:rFonts w:cs="宋体" w:hint="eastAsia"/>
                <w:color w:val="000000" w:themeColor="text1"/>
              </w:rPr>
              <w:t>1</w:t>
            </w:r>
            <w:r>
              <w:rPr>
                <w:rFonts w:cs="宋体" w:hint="eastAsia"/>
                <w:color w:val="000000" w:themeColor="text1"/>
              </w:rPr>
              <w:t>座尿素造粒塔，使熔融的尿素形成固体颗粒，仅在尿素产能过剩时使用，正常生产情况下不开启。</w:t>
            </w:r>
          </w:p>
          <w:p w:rsidR="00C861DA" w:rsidRDefault="0044752E">
            <w:pPr>
              <w:pStyle w:val="TableParagraph"/>
              <w:ind w:firstLineChars="200" w:firstLine="422"/>
              <w:rPr>
                <w:rFonts w:cs="宋体"/>
                <w:color w:val="000000" w:themeColor="text1"/>
              </w:rPr>
            </w:pPr>
            <w:r>
              <w:rPr>
                <w:rFonts w:cs="宋体" w:hint="eastAsia"/>
                <w:b/>
                <w:color w:val="000000" w:themeColor="text1"/>
              </w:rPr>
              <w:t>设备：</w:t>
            </w:r>
            <w:r>
              <w:rPr>
                <w:rFonts w:cs="宋体" w:hint="eastAsia"/>
                <w:color w:val="000000" w:themeColor="text1"/>
              </w:rPr>
              <w:t>造粒机等。</w:t>
            </w:r>
          </w:p>
        </w:tc>
        <w:tc>
          <w:tcPr>
            <w:tcW w:w="950" w:type="dxa"/>
            <w:vAlign w:val="center"/>
          </w:tcPr>
          <w:p w:rsidR="00C861DA" w:rsidRDefault="0044752E">
            <w:pPr>
              <w:pStyle w:val="TableParagraph"/>
              <w:jc w:val="center"/>
              <w:rPr>
                <w:rFonts w:cs="宋体"/>
                <w:color w:val="000000" w:themeColor="text1"/>
              </w:rPr>
            </w:pPr>
            <w:r>
              <w:rPr>
                <w:rFonts w:cs="宋体" w:hint="eastAsia"/>
                <w:color w:val="000000" w:themeColor="text1"/>
              </w:rPr>
              <w:t>新建</w:t>
            </w:r>
          </w:p>
        </w:tc>
      </w:tr>
      <w:tr w:rsidR="00C861DA">
        <w:trPr>
          <w:trHeight w:val="397"/>
        </w:trPr>
        <w:tc>
          <w:tcPr>
            <w:tcW w:w="752" w:type="dxa"/>
            <w:vMerge w:val="restart"/>
            <w:vAlign w:val="center"/>
          </w:tcPr>
          <w:p w:rsidR="00C861DA" w:rsidRDefault="0044752E">
            <w:pPr>
              <w:pStyle w:val="TableParagraph"/>
              <w:spacing w:before="52"/>
              <w:jc w:val="center"/>
              <w:rPr>
                <w:rFonts w:cs="宋体"/>
                <w:color w:val="000000" w:themeColor="text1"/>
              </w:rPr>
            </w:pPr>
            <w:r>
              <w:rPr>
                <w:rFonts w:cs="宋体" w:hint="eastAsia"/>
                <w:color w:val="000000" w:themeColor="text1"/>
              </w:rPr>
              <w:t>公用</w:t>
            </w:r>
          </w:p>
          <w:p w:rsidR="00C861DA" w:rsidRDefault="0044752E">
            <w:pPr>
              <w:pStyle w:val="TableParagraph"/>
              <w:spacing w:before="52"/>
              <w:jc w:val="center"/>
              <w:rPr>
                <w:rFonts w:cs="宋体"/>
                <w:color w:val="000000" w:themeColor="text1"/>
              </w:rPr>
            </w:pPr>
            <w:r>
              <w:rPr>
                <w:rFonts w:cs="宋体"/>
                <w:color w:val="000000" w:themeColor="text1"/>
              </w:rPr>
              <w:t>工程</w:t>
            </w:r>
          </w:p>
        </w:tc>
        <w:tc>
          <w:tcPr>
            <w:tcW w:w="1938" w:type="dxa"/>
            <w:gridSpan w:val="2"/>
            <w:vAlign w:val="center"/>
          </w:tcPr>
          <w:p w:rsidR="00C861DA" w:rsidRDefault="0044752E">
            <w:pPr>
              <w:pStyle w:val="TableParagraph"/>
              <w:spacing w:before="52"/>
              <w:jc w:val="center"/>
              <w:rPr>
                <w:rFonts w:cs="宋体"/>
                <w:color w:val="000000" w:themeColor="text1"/>
              </w:rPr>
            </w:pPr>
            <w:r>
              <w:rPr>
                <w:rFonts w:cs="宋体" w:hint="eastAsia"/>
                <w:color w:val="000000" w:themeColor="text1"/>
              </w:rPr>
              <w:t>机柜间</w:t>
            </w:r>
          </w:p>
        </w:tc>
        <w:tc>
          <w:tcPr>
            <w:tcW w:w="4677" w:type="dxa"/>
            <w:vAlign w:val="center"/>
          </w:tcPr>
          <w:p w:rsidR="00C861DA" w:rsidRDefault="0044752E">
            <w:pPr>
              <w:pStyle w:val="TableParagraph"/>
              <w:ind w:firstLineChars="200" w:firstLine="420"/>
              <w:jc w:val="both"/>
              <w:rPr>
                <w:color w:val="000000" w:themeColor="text1"/>
              </w:rPr>
            </w:pPr>
            <w:r>
              <w:rPr>
                <w:rFonts w:hint="eastAsia"/>
                <w:color w:val="000000" w:themeColor="text1"/>
              </w:rPr>
              <w:t>位于尿素主装置中部偏东，用于各生产设施集中控制。</w:t>
            </w:r>
          </w:p>
          <w:p w:rsidR="00C861DA" w:rsidRDefault="0044752E">
            <w:pPr>
              <w:pStyle w:val="TableParagraph"/>
              <w:ind w:firstLineChars="200" w:firstLine="422"/>
              <w:jc w:val="both"/>
              <w:rPr>
                <w:color w:val="000000" w:themeColor="text1"/>
              </w:rPr>
            </w:pPr>
            <w:r>
              <w:rPr>
                <w:rFonts w:hint="eastAsia"/>
                <w:b/>
                <w:color w:val="000000" w:themeColor="text1"/>
              </w:rPr>
              <w:t>设备：</w:t>
            </w:r>
            <w:r>
              <w:rPr>
                <w:rFonts w:hint="eastAsia"/>
                <w:color w:val="000000" w:themeColor="text1"/>
              </w:rPr>
              <w:t>控制柜等。</w:t>
            </w:r>
          </w:p>
        </w:tc>
        <w:tc>
          <w:tcPr>
            <w:tcW w:w="950" w:type="dxa"/>
            <w:vAlign w:val="center"/>
          </w:tcPr>
          <w:p w:rsidR="00C861DA" w:rsidRDefault="0044752E">
            <w:pPr>
              <w:pStyle w:val="TableParagraph"/>
              <w:jc w:val="center"/>
              <w:rPr>
                <w:color w:val="000000" w:themeColor="text1"/>
              </w:rPr>
            </w:pPr>
            <w:r>
              <w:rPr>
                <w:rFonts w:hint="eastAsia"/>
                <w:color w:val="000000" w:themeColor="text1"/>
              </w:rPr>
              <w:t>新建</w:t>
            </w:r>
          </w:p>
        </w:tc>
      </w:tr>
      <w:tr w:rsidR="00C861DA">
        <w:trPr>
          <w:trHeight w:val="397"/>
        </w:trPr>
        <w:tc>
          <w:tcPr>
            <w:tcW w:w="752" w:type="dxa"/>
            <w:vMerge/>
          </w:tcPr>
          <w:p w:rsidR="00C861DA" w:rsidRDefault="00C861DA">
            <w:pPr>
              <w:pStyle w:val="TableParagraph"/>
              <w:spacing w:before="52"/>
              <w:rPr>
                <w:rFonts w:cs="宋体"/>
                <w:color w:val="000000" w:themeColor="text1"/>
              </w:rPr>
            </w:pPr>
          </w:p>
        </w:tc>
        <w:tc>
          <w:tcPr>
            <w:tcW w:w="1938" w:type="dxa"/>
            <w:gridSpan w:val="2"/>
            <w:vAlign w:val="center"/>
          </w:tcPr>
          <w:p w:rsidR="00C861DA" w:rsidRDefault="0044752E">
            <w:pPr>
              <w:pStyle w:val="TableParagraph"/>
              <w:spacing w:before="52"/>
              <w:jc w:val="center"/>
              <w:rPr>
                <w:rFonts w:cs="宋体"/>
                <w:color w:val="000000" w:themeColor="text1"/>
              </w:rPr>
            </w:pPr>
            <w:r>
              <w:rPr>
                <w:rFonts w:hint="eastAsia"/>
                <w:color w:val="000000" w:themeColor="text1"/>
              </w:rPr>
              <w:t>变电所</w:t>
            </w:r>
          </w:p>
        </w:tc>
        <w:tc>
          <w:tcPr>
            <w:tcW w:w="4677" w:type="dxa"/>
            <w:vAlign w:val="center"/>
          </w:tcPr>
          <w:p w:rsidR="00C861DA" w:rsidRDefault="0044752E">
            <w:pPr>
              <w:pStyle w:val="TableParagraph"/>
              <w:spacing w:before="52"/>
              <w:ind w:firstLineChars="200" w:firstLine="420"/>
              <w:jc w:val="both"/>
              <w:rPr>
                <w:rFonts w:cs="宋体"/>
                <w:color w:val="000000" w:themeColor="text1"/>
              </w:rPr>
            </w:pPr>
            <w:r>
              <w:rPr>
                <w:rFonts w:cs="宋体" w:hint="eastAsia"/>
                <w:color w:val="000000" w:themeColor="text1"/>
              </w:rPr>
              <w:t>位于项目区中部偏东，用于降低由电网引入的高压电以提供项目生产使用。</w:t>
            </w:r>
          </w:p>
          <w:p w:rsidR="00C861DA" w:rsidRDefault="0044752E">
            <w:pPr>
              <w:pStyle w:val="TableParagraph"/>
              <w:spacing w:before="52"/>
              <w:ind w:firstLineChars="200" w:firstLine="422"/>
              <w:jc w:val="both"/>
              <w:rPr>
                <w:rFonts w:cs="宋体"/>
                <w:color w:val="000000" w:themeColor="text1"/>
              </w:rPr>
            </w:pPr>
            <w:r>
              <w:rPr>
                <w:rFonts w:cs="宋体" w:hint="eastAsia"/>
                <w:b/>
                <w:color w:val="000000" w:themeColor="text1"/>
              </w:rPr>
              <w:t>设备：</w:t>
            </w:r>
            <w:r>
              <w:rPr>
                <w:rFonts w:cs="宋体" w:hint="eastAsia"/>
                <w:color w:val="000000" w:themeColor="text1"/>
              </w:rPr>
              <w:t>变压器采用干式变压器。</w:t>
            </w:r>
          </w:p>
        </w:tc>
        <w:tc>
          <w:tcPr>
            <w:tcW w:w="950" w:type="dxa"/>
            <w:vAlign w:val="center"/>
          </w:tcPr>
          <w:p w:rsidR="00C861DA" w:rsidRDefault="0044752E">
            <w:pPr>
              <w:pStyle w:val="TableParagraph"/>
              <w:spacing w:before="52"/>
              <w:jc w:val="center"/>
              <w:rPr>
                <w:color w:val="000000" w:themeColor="text1"/>
              </w:rPr>
            </w:pPr>
            <w:r>
              <w:rPr>
                <w:rFonts w:hint="eastAsia"/>
                <w:color w:val="000000" w:themeColor="text1"/>
              </w:rPr>
              <w:t>新建</w:t>
            </w:r>
          </w:p>
        </w:tc>
      </w:tr>
      <w:tr w:rsidR="00C861DA">
        <w:trPr>
          <w:trHeight w:val="397"/>
        </w:trPr>
        <w:tc>
          <w:tcPr>
            <w:tcW w:w="752" w:type="dxa"/>
            <w:vMerge w:val="restart"/>
            <w:vAlign w:val="center"/>
          </w:tcPr>
          <w:p w:rsidR="00C861DA" w:rsidRDefault="0044752E">
            <w:pPr>
              <w:pStyle w:val="TableParagraph"/>
              <w:spacing w:before="52"/>
              <w:jc w:val="center"/>
              <w:rPr>
                <w:rFonts w:cs="宋体"/>
                <w:color w:val="000000" w:themeColor="text1"/>
              </w:rPr>
            </w:pPr>
            <w:r>
              <w:rPr>
                <w:rFonts w:cs="宋体" w:hint="eastAsia"/>
                <w:color w:val="000000" w:themeColor="text1"/>
              </w:rPr>
              <w:t>辅助工程</w:t>
            </w:r>
          </w:p>
        </w:tc>
        <w:tc>
          <w:tcPr>
            <w:tcW w:w="1938" w:type="dxa"/>
            <w:gridSpan w:val="2"/>
            <w:vAlign w:val="center"/>
          </w:tcPr>
          <w:p w:rsidR="00C861DA" w:rsidRDefault="0044752E">
            <w:pPr>
              <w:pStyle w:val="TableParagraph"/>
              <w:spacing w:before="52"/>
              <w:jc w:val="center"/>
              <w:rPr>
                <w:rFonts w:cs="宋体"/>
                <w:color w:val="000000" w:themeColor="text1"/>
              </w:rPr>
            </w:pPr>
            <w:r>
              <w:rPr>
                <w:rFonts w:cs="宋体" w:hint="eastAsia"/>
                <w:color w:val="000000" w:themeColor="text1"/>
              </w:rPr>
              <w:t>复合肥原料仓</w:t>
            </w:r>
          </w:p>
        </w:tc>
        <w:tc>
          <w:tcPr>
            <w:tcW w:w="4677" w:type="dxa"/>
          </w:tcPr>
          <w:p w:rsidR="00C861DA" w:rsidRDefault="0044752E">
            <w:pPr>
              <w:pStyle w:val="TableParagraph"/>
              <w:spacing w:before="52"/>
              <w:ind w:firstLineChars="200" w:firstLine="420"/>
              <w:rPr>
                <w:rFonts w:cs="宋体"/>
                <w:color w:val="000000" w:themeColor="text1"/>
              </w:rPr>
            </w:pPr>
            <w:r>
              <w:rPr>
                <w:rFonts w:cs="宋体" w:hint="eastAsia"/>
                <w:color w:val="000000" w:themeColor="text1"/>
              </w:rPr>
              <w:t>位于项目区中部，长</w:t>
            </w:r>
            <w:r>
              <w:rPr>
                <w:rFonts w:cs="宋体" w:hint="eastAsia"/>
                <w:color w:val="000000" w:themeColor="text1"/>
              </w:rPr>
              <w:t>8</w:t>
            </w:r>
            <w:r>
              <w:rPr>
                <w:rFonts w:cs="宋体"/>
                <w:color w:val="000000" w:themeColor="text1"/>
              </w:rPr>
              <w:t>6m</w:t>
            </w:r>
            <w:r>
              <w:rPr>
                <w:rFonts w:cs="宋体" w:hint="eastAsia"/>
                <w:color w:val="000000" w:themeColor="text1"/>
              </w:rPr>
              <w:t>，宽</w:t>
            </w:r>
            <w:r>
              <w:rPr>
                <w:rFonts w:cs="宋体" w:hint="eastAsia"/>
                <w:color w:val="000000" w:themeColor="text1"/>
              </w:rPr>
              <w:t>1</w:t>
            </w:r>
            <w:r>
              <w:rPr>
                <w:rFonts w:cs="宋体"/>
                <w:color w:val="000000" w:themeColor="text1"/>
              </w:rPr>
              <w:t>4m</w:t>
            </w:r>
            <w:r>
              <w:rPr>
                <w:rFonts w:cs="宋体" w:hint="eastAsia"/>
                <w:color w:val="000000" w:themeColor="text1"/>
              </w:rPr>
              <w:t>，</w:t>
            </w:r>
            <w:r>
              <w:rPr>
                <w:rFonts w:cs="宋体" w:hint="eastAsia"/>
                <w:color w:val="000000" w:themeColor="text1"/>
              </w:rPr>
              <w:t>1</w:t>
            </w:r>
            <w:r>
              <w:rPr>
                <w:rFonts w:cs="宋体"/>
                <w:color w:val="000000" w:themeColor="text1"/>
              </w:rPr>
              <w:t>F</w:t>
            </w:r>
            <w:r>
              <w:rPr>
                <w:rFonts w:cs="宋体" w:hint="eastAsia"/>
                <w:color w:val="000000" w:themeColor="text1"/>
              </w:rPr>
              <w:t>，建筑面积</w:t>
            </w:r>
            <w:r>
              <w:rPr>
                <w:rFonts w:cs="宋体" w:hint="eastAsia"/>
                <w:color w:val="000000" w:themeColor="text1"/>
              </w:rPr>
              <w:t>1</w:t>
            </w:r>
            <w:r>
              <w:rPr>
                <w:rFonts w:cs="宋体"/>
                <w:color w:val="000000" w:themeColor="text1"/>
              </w:rPr>
              <w:t>204m</w:t>
            </w:r>
            <w:r>
              <w:rPr>
                <w:rFonts w:cs="宋体"/>
                <w:color w:val="000000" w:themeColor="text1"/>
                <w:vertAlign w:val="superscript"/>
              </w:rPr>
              <w:t>2</w:t>
            </w:r>
            <w:r>
              <w:rPr>
                <w:rFonts w:cs="宋体" w:hint="eastAsia"/>
                <w:color w:val="000000" w:themeColor="text1"/>
              </w:rPr>
              <w:t>，砖混结构，用于生产原料的存储，各原料分别存储。</w:t>
            </w:r>
          </w:p>
        </w:tc>
        <w:tc>
          <w:tcPr>
            <w:tcW w:w="950" w:type="dxa"/>
            <w:vAlign w:val="center"/>
          </w:tcPr>
          <w:p w:rsidR="00C861DA" w:rsidRDefault="0044752E">
            <w:pPr>
              <w:jc w:val="center"/>
              <w:rPr>
                <w:rFonts w:ascii="Times New Roman" w:eastAsia="宋体"/>
                <w:color w:val="000000" w:themeColor="text1"/>
              </w:rPr>
            </w:pPr>
            <w:r>
              <w:rPr>
                <w:rFonts w:ascii="Times New Roman" w:eastAsia="宋体" w:hint="eastAsia"/>
                <w:color w:val="000000" w:themeColor="text1"/>
              </w:rPr>
              <w:t>新建</w:t>
            </w:r>
          </w:p>
        </w:tc>
      </w:tr>
      <w:tr w:rsidR="00C861DA">
        <w:trPr>
          <w:trHeight w:val="397"/>
        </w:trPr>
        <w:tc>
          <w:tcPr>
            <w:tcW w:w="752" w:type="dxa"/>
            <w:vMerge/>
            <w:vAlign w:val="center"/>
          </w:tcPr>
          <w:p w:rsidR="00C861DA" w:rsidRDefault="00C861DA">
            <w:pPr>
              <w:pStyle w:val="TableParagraph"/>
              <w:spacing w:before="52"/>
              <w:jc w:val="center"/>
              <w:rPr>
                <w:rFonts w:cs="宋体"/>
                <w:color w:val="000000" w:themeColor="text1"/>
              </w:rPr>
            </w:pPr>
          </w:p>
        </w:tc>
        <w:tc>
          <w:tcPr>
            <w:tcW w:w="1938" w:type="dxa"/>
            <w:gridSpan w:val="2"/>
            <w:vAlign w:val="center"/>
          </w:tcPr>
          <w:p w:rsidR="00C861DA" w:rsidRDefault="0044752E">
            <w:pPr>
              <w:pStyle w:val="TableParagraph"/>
              <w:spacing w:before="52"/>
              <w:jc w:val="center"/>
              <w:rPr>
                <w:rFonts w:cs="宋体"/>
                <w:color w:val="000000" w:themeColor="text1"/>
              </w:rPr>
            </w:pPr>
            <w:r>
              <w:rPr>
                <w:rFonts w:cs="宋体" w:hint="eastAsia"/>
                <w:color w:val="000000" w:themeColor="text1"/>
              </w:rPr>
              <w:t>成品散库</w:t>
            </w:r>
          </w:p>
        </w:tc>
        <w:tc>
          <w:tcPr>
            <w:tcW w:w="4677" w:type="dxa"/>
            <w:vAlign w:val="center"/>
          </w:tcPr>
          <w:p w:rsidR="00C861DA" w:rsidRDefault="0044752E">
            <w:pPr>
              <w:pStyle w:val="TableParagraph"/>
              <w:ind w:firstLineChars="200" w:firstLine="420"/>
              <w:jc w:val="both"/>
              <w:rPr>
                <w:rFonts w:cs="宋体"/>
                <w:color w:val="000000" w:themeColor="text1"/>
              </w:rPr>
            </w:pPr>
            <w:r>
              <w:rPr>
                <w:rFonts w:cs="宋体" w:hint="eastAsia"/>
                <w:color w:val="000000" w:themeColor="text1"/>
              </w:rPr>
              <w:t>位于项目区南侧，长</w:t>
            </w:r>
            <w:r>
              <w:rPr>
                <w:rFonts w:cs="宋体" w:hint="eastAsia"/>
                <w:color w:val="000000" w:themeColor="text1"/>
              </w:rPr>
              <w:t>1</w:t>
            </w:r>
            <w:r>
              <w:rPr>
                <w:rFonts w:cs="宋体"/>
                <w:color w:val="000000" w:themeColor="text1"/>
              </w:rPr>
              <w:t>44m</w:t>
            </w:r>
            <w:r>
              <w:rPr>
                <w:rFonts w:cs="宋体" w:hint="eastAsia"/>
                <w:color w:val="000000" w:themeColor="text1"/>
              </w:rPr>
              <w:t>，宽</w:t>
            </w:r>
            <w:r>
              <w:rPr>
                <w:rFonts w:cs="宋体" w:hint="eastAsia"/>
                <w:color w:val="000000" w:themeColor="text1"/>
              </w:rPr>
              <w:t>5</w:t>
            </w:r>
            <w:r>
              <w:rPr>
                <w:rFonts w:cs="宋体"/>
                <w:color w:val="000000" w:themeColor="text1"/>
              </w:rPr>
              <w:t>0m</w:t>
            </w:r>
            <w:r>
              <w:rPr>
                <w:rFonts w:cs="宋体" w:hint="eastAsia"/>
                <w:color w:val="000000" w:themeColor="text1"/>
              </w:rPr>
              <w:t>，</w:t>
            </w:r>
            <w:r>
              <w:rPr>
                <w:rFonts w:cs="宋体" w:hint="eastAsia"/>
                <w:color w:val="000000" w:themeColor="text1"/>
              </w:rPr>
              <w:t>1</w:t>
            </w:r>
            <w:r>
              <w:rPr>
                <w:rFonts w:cs="宋体"/>
                <w:color w:val="000000" w:themeColor="text1"/>
              </w:rPr>
              <w:t>F</w:t>
            </w:r>
            <w:r>
              <w:rPr>
                <w:rFonts w:cs="宋体" w:hint="eastAsia"/>
                <w:color w:val="000000" w:themeColor="text1"/>
              </w:rPr>
              <w:t>，建筑面积</w:t>
            </w:r>
            <w:r>
              <w:rPr>
                <w:rFonts w:cs="宋体"/>
                <w:color w:val="000000" w:themeColor="text1"/>
              </w:rPr>
              <w:t>7200m</w:t>
            </w:r>
            <w:r>
              <w:rPr>
                <w:rFonts w:cs="宋体"/>
                <w:color w:val="000000" w:themeColor="text1"/>
                <w:vertAlign w:val="superscript"/>
              </w:rPr>
              <w:t>2</w:t>
            </w:r>
            <w:r>
              <w:rPr>
                <w:rFonts w:cs="宋体" w:hint="eastAsia"/>
                <w:color w:val="000000" w:themeColor="text1"/>
              </w:rPr>
              <w:t>，砖混结构，用于堆放包装待包装的成品。</w:t>
            </w:r>
          </w:p>
        </w:tc>
        <w:tc>
          <w:tcPr>
            <w:tcW w:w="950" w:type="dxa"/>
            <w:vAlign w:val="center"/>
          </w:tcPr>
          <w:p w:rsidR="00C861DA" w:rsidRDefault="0044752E">
            <w:pPr>
              <w:jc w:val="center"/>
              <w:rPr>
                <w:rFonts w:ascii="Times New Roman" w:eastAsia="宋体" w:cs="宋体"/>
                <w:color w:val="000000" w:themeColor="text1"/>
              </w:rPr>
            </w:pPr>
            <w:r>
              <w:rPr>
                <w:rFonts w:ascii="Times New Roman" w:eastAsia="宋体" w:cs="宋体" w:hint="eastAsia"/>
                <w:color w:val="000000" w:themeColor="text1"/>
              </w:rPr>
              <w:t>新建</w:t>
            </w:r>
          </w:p>
        </w:tc>
      </w:tr>
      <w:tr w:rsidR="00C861DA">
        <w:trPr>
          <w:trHeight w:val="397"/>
        </w:trPr>
        <w:tc>
          <w:tcPr>
            <w:tcW w:w="752" w:type="dxa"/>
            <w:vMerge/>
          </w:tcPr>
          <w:p w:rsidR="00C861DA" w:rsidRDefault="00C861DA">
            <w:pPr>
              <w:pStyle w:val="TableParagraph"/>
              <w:spacing w:before="52"/>
              <w:jc w:val="center"/>
              <w:rPr>
                <w:rFonts w:cs="宋体"/>
                <w:color w:val="000000" w:themeColor="text1"/>
              </w:rPr>
            </w:pPr>
          </w:p>
        </w:tc>
        <w:tc>
          <w:tcPr>
            <w:tcW w:w="1938" w:type="dxa"/>
            <w:gridSpan w:val="2"/>
            <w:vAlign w:val="center"/>
          </w:tcPr>
          <w:p w:rsidR="00C861DA" w:rsidRDefault="0044752E">
            <w:pPr>
              <w:pStyle w:val="TableParagraph"/>
              <w:spacing w:before="52"/>
              <w:jc w:val="center"/>
              <w:rPr>
                <w:rFonts w:cs="宋体"/>
                <w:color w:val="000000" w:themeColor="text1"/>
              </w:rPr>
            </w:pPr>
            <w:r>
              <w:rPr>
                <w:rFonts w:cs="宋体" w:hint="eastAsia"/>
                <w:color w:val="000000" w:themeColor="text1"/>
              </w:rPr>
              <w:t>成品袋库</w:t>
            </w:r>
          </w:p>
        </w:tc>
        <w:tc>
          <w:tcPr>
            <w:tcW w:w="4677" w:type="dxa"/>
            <w:vAlign w:val="center"/>
          </w:tcPr>
          <w:p w:rsidR="00C861DA" w:rsidRDefault="0044752E">
            <w:pPr>
              <w:pStyle w:val="TableParagraph"/>
              <w:spacing w:before="52"/>
              <w:ind w:firstLineChars="200" w:firstLine="420"/>
              <w:jc w:val="both"/>
              <w:rPr>
                <w:rFonts w:cs="宋体"/>
                <w:color w:val="000000" w:themeColor="text1"/>
              </w:rPr>
            </w:pPr>
            <w:r>
              <w:rPr>
                <w:rFonts w:cs="宋体" w:hint="eastAsia"/>
                <w:color w:val="000000" w:themeColor="text1"/>
              </w:rPr>
              <w:t>位于项目区南侧，长</w:t>
            </w:r>
            <w:r>
              <w:rPr>
                <w:rFonts w:cs="宋体" w:hint="eastAsia"/>
                <w:color w:val="000000" w:themeColor="text1"/>
              </w:rPr>
              <w:t>1</w:t>
            </w:r>
            <w:r>
              <w:rPr>
                <w:rFonts w:cs="宋体"/>
                <w:color w:val="000000" w:themeColor="text1"/>
              </w:rPr>
              <w:t>30m</w:t>
            </w:r>
            <w:r>
              <w:rPr>
                <w:rFonts w:cs="宋体" w:hint="eastAsia"/>
                <w:color w:val="000000" w:themeColor="text1"/>
              </w:rPr>
              <w:t>，宽</w:t>
            </w:r>
            <w:r>
              <w:rPr>
                <w:rFonts w:cs="宋体" w:hint="eastAsia"/>
                <w:color w:val="000000" w:themeColor="text1"/>
              </w:rPr>
              <w:t>3</w:t>
            </w:r>
            <w:r>
              <w:rPr>
                <w:rFonts w:cs="宋体"/>
                <w:color w:val="000000" w:themeColor="text1"/>
              </w:rPr>
              <w:t>6m</w:t>
            </w:r>
            <w:r>
              <w:rPr>
                <w:rFonts w:cs="宋体" w:hint="eastAsia"/>
                <w:color w:val="000000" w:themeColor="text1"/>
              </w:rPr>
              <w:t>，</w:t>
            </w:r>
            <w:r>
              <w:rPr>
                <w:rFonts w:cs="宋体" w:hint="eastAsia"/>
                <w:color w:val="000000" w:themeColor="text1"/>
              </w:rPr>
              <w:t>1</w:t>
            </w:r>
            <w:r>
              <w:rPr>
                <w:rFonts w:cs="宋体"/>
                <w:color w:val="000000" w:themeColor="text1"/>
              </w:rPr>
              <w:t>F</w:t>
            </w:r>
            <w:r>
              <w:rPr>
                <w:rFonts w:cs="宋体" w:hint="eastAsia"/>
                <w:color w:val="000000" w:themeColor="text1"/>
              </w:rPr>
              <w:t>，砖混结构，建筑面积</w:t>
            </w:r>
            <w:r>
              <w:rPr>
                <w:rFonts w:cs="宋体" w:hint="eastAsia"/>
                <w:color w:val="000000" w:themeColor="text1"/>
              </w:rPr>
              <w:t>4</w:t>
            </w:r>
            <w:r>
              <w:rPr>
                <w:rFonts w:cs="宋体"/>
                <w:color w:val="000000" w:themeColor="text1"/>
              </w:rPr>
              <w:t>680m</w:t>
            </w:r>
            <w:r>
              <w:rPr>
                <w:rFonts w:cs="宋体"/>
                <w:color w:val="000000" w:themeColor="text1"/>
                <w:vertAlign w:val="superscript"/>
              </w:rPr>
              <w:t>2</w:t>
            </w:r>
            <w:r>
              <w:rPr>
                <w:rFonts w:cs="宋体" w:hint="eastAsia"/>
                <w:color w:val="000000" w:themeColor="text1"/>
              </w:rPr>
              <w:t>，主要用于包装好的袋装成品存放。</w:t>
            </w:r>
          </w:p>
        </w:tc>
        <w:tc>
          <w:tcPr>
            <w:tcW w:w="950" w:type="dxa"/>
            <w:vAlign w:val="center"/>
          </w:tcPr>
          <w:p w:rsidR="00C861DA" w:rsidRDefault="0044752E">
            <w:pPr>
              <w:jc w:val="center"/>
              <w:rPr>
                <w:rFonts w:ascii="Times New Roman" w:eastAsia="宋体"/>
                <w:color w:val="000000" w:themeColor="text1"/>
              </w:rPr>
            </w:pPr>
            <w:r>
              <w:rPr>
                <w:rFonts w:ascii="Times New Roman" w:eastAsia="宋体" w:hint="eastAsia"/>
                <w:color w:val="000000" w:themeColor="text1"/>
              </w:rPr>
              <w:t>新建</w:t>
            </w:r>
          </w:p>
        </w:tc>
      </w:tr>
      <w:tr w:rsidR="00C861DA">
        <w:trPr>
          <w:trHeight w:val="397"/>
        </w:trPr>
        <w:tc>
          <w:tcPr>
            <w:tcW w:w="752" w:type="dxa"/>
            <w:vMerge/>
          </w:tcPr>
          <w:p w:rsidR="00C861DA" w:rsidRDefault="00C861DA">
            <w:pPr>
              <w:pStyle w:val="TableParagraph"/>
              <w:spacing w:before="52"/>
              <w:jc w:val="center"/>
              <w:rPr>
                <w:rFonts w:cs="宋体"/>
                <w:color w:val="000000" w:themeColor="text1"/>
              </w:rPr>
            </w:pPr>
          </w:p>
        </w:tc>
        <w:tc>
          <w:tcPr>
            <w:tcW w:w="1938" w:type="dxa"/>
            <w:gridSpan w:val="2"/>
            <w:vAlign w:val="center"/>
          </w:tcPr>
          <w:p w:rsidR="00C861DA" w:rsidRDefault="0044752E">
            <w:pPr>
              <w:pStyle w:val="TableParagraph"/>
              <w:spacing w:before="52"/>
              <w:jc w:val="center"/>
              <w:rPr>
                <w:rFonts w:cs="宋体"/>
                <w:color w:val="000000" w:themeColor="text1"/>
              </w:rPr>
            </w:pPr>
            <w:r>
              <w:rPr>
                <w:rFonts w:cs="宋体" w:hint="eastAsia"/>
                <w:color w:val="000000" w:themeColor="text1"/>
              </w:rPr>
              <w:t>包装楼</w:t>
            </w:r>
          </w:p>
        </w:tc>
        <w:tc>
          <w:tcPr>
            <w:tcW w:w="4677" w:type="dxa"/>
            <w:vAlign w:val="center"/>
          </w:tcPr>
          <w:p w:rsidR="00C861DA" w:rsidRDefault="0044752E">
            <w:pPr>
              <w:pStyle w:val="TableParagraph"/>
              <w:spacing w:before="52"/>
              <w:ind w:firstLineChars="200" w:firstLine="420"/>
              <w:jc w:val="both"/>
              <w:rPr>
                <w:rFonts w:cs="宋体"/>
                <w:color w:val="000000" w:themeColor="text1"/>
              </w:rPr>
            </w:pPr>
            <w:r>
              <w:rPr>
                <w:rFonts w:cs="宋体" w:hint="eastAsia"/>
                <w:color w:val="000000" w:themeColor="text1"/>
              </w:rPr>
              <w:t>位于项目区南侧，成品散库和成品袋库之间，长</w:t>
            </w:r>
            <w:r>
              <w:rPr>
                <w:rFonts w:cs="宋体" w:hint="eastAsia"/>
                <w:color w:val="000000" w:themeColor="text1"/>
              </w:rPr>
              <w:t>3</w:t>
            </w:r>
            <w:r>
              <w:rPr>
                <w:rFonts w:cs="宋体"/>
                <w:color w:val="000000" w:themeColor="text1"/>
              </w:rPr>
              <w:t>2m</w:t>
            </w:r>
            <w:r>
              <w:rPr>
                <w:rFonts w:cs="宋体" w:hint="eastAsia"/>
                <w:color w:val="000000" w:themeColor="text1"/>
              </w:rPr>
              <w:t>，宽</w:t>
            </w:r>
            <w:r>
              <w:rPr>
                <w:rFonts w:cs="宋体" w:hint="eastAsia"/>
                <w:color w:val="000000" w:themeColor="text1"/>
              </w:rPr>
              <w:t>1</w:t>
            </w:r>
            <w:r>
              <w:rPr>
                <w:rFonts w:cs="宋体"/>
                <w:color w:val="000000" w:themeColor="text1"/>
              </w:rPr>
              <w:t>1m</w:t>
            </w:r>
            <w:r>
              <w:rPr>
                <w:rFonts w:cs="宋体" w:hint="eastAsia"/>
                <w:color w:val="000000" w:themeColor="text1"/>
              </w:rPr>
              <w:t>，</w:t>
            </w:r>
            <w:r>
              <w:rPr>
                <w:rFonts w:cs="宋体" w:hint="eastAsia"/>
                <w:color w:val="000000" w:themeColor="text1"/>
              </w:rPr>
              <w:t>1</w:t>
            </w:r>
            <w:r>
              <w:rPr>
                <w:rFonts w:cs="宋体"/>
                <w:color w:val="000000" w:themeColor="text1"/>
              </w:rPr>
              <w:t>F</w:t>
            </w:r>
            <w:r>
              <w:rPr>
                <w:rFonts w:cs="宋体" w:hint="eastAsia"/>
                <w:color w:val="000000" w:themeColor="text1"/>
              </w:rPr>
              <w:t>，砖混结构，主要用于散装复合肥包装成袋。</w:t>
            </w:r>
          </w:p>
          <w:p w:rsidR="00C861DA" w:rsidRDefault="0044752E">
            <w:pPr>
              <w:pStyle w:val="TableParagraph"/>
              <w:spacing w:before="52"/>
              <w:ind w:firstLineChars="200" w:firstLine="422"/>
              <w:jc w:val="both"/>
              <w:rPr>
                <w:rFonts w:cs="宋体"/>
                <w:color w:val="000000" w:themeColor="text1"/>
              </w:rPr>
            </w:pPr>
            <w:r>
              <w:rPr>
                <w:rFonts w:cs="宋体" w:hint="eastAsia"/>
                <w:b/>
                <w:color w:val="000000" w:themeColor="text1"/>
              </w:rPr>
              <w:t>设备：</w:t>
            </w:r>
            <w:r>
              <w:rPr>
                <w:rFonts w:cs="宋体" w:hint="eastAsia"/>
                <w:color w:val="000000" w:themeColor="text1"/>
              </w:rPr>
              <w:t>袋装机等。</w:t>
            </w:r>
          </w:p>
        </w:tc>
        <w:tc>
          <w:tcPr>
            <w:tcW w:w="950" w:type="dxa"/>
            <w:vAlign w:val="center"/>
          </w:tcPr>
          <w:p w:rsidR="00C861DA" w:rsidRDefault="0044752E">
            <w:pPr>
              <w:jc w:val="center"/>
              <w:rPr>
                <w:rFonts w:ascii="Times New Roman" w:eastAsia="宋体"/>
                <w:color w:val="000000" w:themeColor="text1"/>
              </w:rPr>
            </w:pPr>
            <w:r>
              <w:rPr>
                <w:rFonts w:ascii="Times New Roman" w:eastAsia="宋体" w:hint="eastAsia"/>
                <w:color w:val="000000" w:themeColor="text1"/>
              </w:rPr>
              <w:t>新建</w:t>
            </w:r>
          </w:p>
        </w:tc>
      </w:tr>
      <w:tr w:rsidR="00C861DA">
        <w:trPr>
          <w:trHeight w:val="397"/>
        </w:trPr>
        <w:tc>
          <w:tcPr>
            <w:tcW w:w="752" w:type="dxa"/>
            <w:vMerge w:val="restart"/>
            <w:vAlign w:val="center"/>
          </w:tcPr>
          <w:p w:rsidR="00C861DA" w:rsidRDefault="0044752E">
            <w:pPr>
              <w:pStyle w:val="TableParagraph"/>
              <w:jc w:val="center"/>
              <w:rPr>
                <w:rFonts w:cs="宋体"/>
                <w:color w:val="000000" w:themeColor="text1"/>
              </w:rPr>
            </w:pPr>
            <w:r>
              <w:rPr>
                <w:rFonts w:cs="宋体" w:hint="eastAsia"/>
                <w:color w:val="000000" w:themeColor="text1"/>
              </w:rPr>
              <w:t>依托工程</w:t>
            </w:r>
          </w:p>
        </w:tc>
        <w:tc>
          <w:tcPr>
            <w:tcW w:w="1938" w:type="dxa"/>
            <w:gridSpan w:val="2"/>
            <w:vAlign w:val="center"/>
          </w:tcPr>
          <w:p w:rsidR="00C861DA" w:rsidRDefault="0044752E">
            <w:pPr>
              <w:pStyle w:val="TableParagraph"/>
              <w:spacing w:before="52"/>
              <w:jc w:val="center"/>
              <w:rPr>
                <w:rFonts w:cs="宋体"/>
                <w:color w:val="000000" w:themeColor="text1"/>
              </w:rPr>
            </w:pPr>
            <w:r>
              <w:rPr>
                <w:rFonts w:cs="宋体" w:hint="eastAsia"/>
                <w:color w:val="000000" w:themeColor="text1"/>
              </w:rPr>
              <w:t>办公生活设施</w:t>
            </w:r>
          </w:p>
        </w:tc>
        <w:tc>
          <w:tcPr>
            <w:tcW w:w="4677" w:type="dxa"/>
            <w:vAlign w:val="center"/>
          </w:tcPr>
          <w:p w:rsidR="00C861DA" w:rsidRDefault="0044752E">
            <w:pPr>
              <w:pStyle w:val="TableParagraph"/>
              <w:spacing w:before="52"/>
              <w:ind w:firstLineChars="200" w:firstLine="420"/>
              <w:jc w:val="both"/>
              <w:rPr>
                <w:rFonts w:cs="宋体"/>
                <w:color w:val="000000" w:themeColor="text1"/>
              </w:rPr>
            </w:pPr>
            <w:r>
              <w:rPr>
                <w:rFonts w:hint="eastAsia"/>
                <w:color w:val="000000" w:themeColor="text1"/>
              </w:rPr>
              <w:t>员工的办公生活设施均依托“</w:t>
            </w:r>
            <w:r>
              <w:rPr>
                <w:rFonts w:hint="eastAsia"/>
                <w:color w:val="000000" w:themeColor="text1"/>
              </w:rPr>
              <w:t>3</w:t>
            </w:r>
            <w:r>
              <w:rPr>
                <w:color w:val="000000" w:themeColor="text1"/>
              </w:rPr>
              <w:t>0</w:t>
            </w:r>
            <w:r>
              <w:rPr>
                <w:rFonts w:hint="eastAsia"/>
                <w:color w:val="000000" w:themeColor="text1"/>
              </w:rPr>
              <w:t>万吨合成氨装置项目”的办公生活设施使用，包括办公室、员工宿舍、食堂等。</w:t>
            </w:r>
          </w:p>
        </w:tc>
        <w:tc>
          <w:tcPr>
            <w:tcW w:w="950" w:type="dxa"/>
            <w:vAlign w:val="center"/>
          </w:tcPr>
          <w:p w:rsidR="00C861DA" w:rsidRDefault="0044752E">
            <w:pPr>
              <w:jc w:val="center"/>
              <w:rPr>
                <w:rFonts w:ascii="Times New Roman" w:eastAsia="宋体" w:cs="宋体"/>
                <w:color w:val="000000" w:themeColor="text1"/>
              </w:rPr>
            </w:pPr>
            <w:r>
              <w:rPr>
                <w:rFonts w:ascii="Times New Roman" w:eastAsia="宋体" w:cs="宋体" w:hint="eastAsia"/>
                <w:color w:val="000000" w:themeColor="text1"/>
              </w:rPr>
              <w:t>依托</w:t>
            </w:r>
          </w:p>
        </w:tc>
      </w:tr>
      <w:tr w:rsidR="00C861DA">
        <w:trPr>
          <w:trHeight w:val="397"/>
        </w:trPr>
        <w:tc>
          <w:tcPr>
            <w:tcW w:w="752" w:type="dxa"/>
            <w:vMerge/>
            <w:vAlign w:val="center"/>
          </w:tcPr>
          <w:p w:rsidR="00C861DA" w:rsidRDefault="00C861DA">
            <w:pPr>
              <w:pStyle w:val="TableParagraph"/>
              <w:jc w:val="center"/>
              <w:rPr>
                <w:rFonts w:cs="宋体"/>
                <w:color w:val="000000" w:themeColor="text1"/>
              </w:rPr>
            </w:pPr>
          </w:p>
        </w:tc>
        <w:tc>
          <w:tcPr>
            <w:tcW w:w="1938" w:type="dxa"/>
            <w:gridSpan w:val="2"/>
            <w:vAlign w:val="center"/>
          </w:tcPr>
          <w:p w:rsidR="00C861DA" w:rsidRDefault="0044752E">
            <w:pPr>
              <w:pStyle w:val="TableParagraph"/>
              <w:spacing w:before="52"/>
              <w:jc w:val="center"/>
              <w:rPr>
                <w:rFonts w:cs="宋体"/>
                <w:color w:val="000000" w:themeColor="text1"/>
              </w:rPr>
            </w:pPr>
            <w:r>
              <w:rPr>
                <w:rFonts w:cs="宋体" w:hint="eastAsia"/>
                <w:color w:val="000000" w:themeColor="text1"/>
              </w:rPr>
              <w:t>生活废水处理站</w:t>
            </w:r>
          </w:p>
        </w:tc>
        <w:tc>
          <w:tcPr>
            <w:tcW w:w="4677" w:type="dxa"/>
            <w:vAlign w:val="center"/>
          </w:tcPr>
          <w:p w:rsidR="00C861DA" w:rsidRDefault="0044752E">
            <w:pPr>
              <w:pStyle w:val="TableParagraph"/>
              <w:spacing w:before="52"/>
              <w:ind w:firstLineChars="200" w:firstLine="420"/>
              <w:jc w:val="both"/>
              <w:rPr>
                <w:color w:val="000000" w:themeColor="text1"/>
              </w:rPr>
            </w:pPr>
            <w:r>
              <w:rPr>
                <w:rFonts w:hint="eastAsia"/>
                <w:color w:val="000000" w:themeColor="text1"/>
              </w:rPr>
              <w:t>员工办公生活产生的生活废水与“</w:t>
            </w:r>
            <w:r>
              <w:rPr>
                <w:rFonts w:hint="eastAsia"/>
                <w:color w:val="000000" w:themeColor="text1"/>
              </w:rPr>
              <w:t>3</w:t>
            </w:r>
            <w:r>
              <w:rPr>
                <w:color w:val="000000" w:themeColor="text1"/>
              </w:rPr>
              <w:t>0</w:t>
            </w:r>
            <w:r>
              <w:rPr>
                <w:rFonts w:hint="eastAsia"/>
                <w:color w:val="000000" w:themeColor="text1"/>
              </w:rPr>
              <w:t>万吨合成氨装置项目”员工生活废水混合统一处置。</w:t>
            </w:r>
          </w:p>
        </w:tc>
        <w:tc>
          <w:tcPr>
            <w:tcW w:w="950" w:type="dxa"/>
            <w:vAlign w:val="center"/>
          </w:tcPr>
          <w:p w:rsidR="00C861DA" w:rsidRDefault="0044752E">
            <w:pPr>
              <w:jc w:val="center"/>
              <w:rPr>
                <w:rFonts w:ascii="Times New Roman" w:eastAsia="宋体" w:cs="宋体"/>
                <w:color w:val="000000" w:themeColor="text1"/>
              </w:rPr>
            </w:pPr>
            <w:r>
              <w:rPr>
                <w:rFonts w:ascii="Times New Roman" w:eastAsia="宋体" w:cs="宋体" w:hint="eastAsia"/>
                <w:color w:val="000000" w:themeColor="text1"/>
              </w:rPr>
              <w:t>依托</w:t>
            </w:r>
          </w:p>
        </w:tc>
      </w:tr>
      <w:tr w:rsidR="00C861DA">
        <w:trPr>
          <w:trHeight w:val="397"/>
        </w:trPr>
        <w:tc>
          <w:tcPr>
            <w:tcW w:w="752" w:type="dxa"/>
            <w:vMerge/>
            <w:vAlign w:val="center"/>
          </w:tcPr>
          <w:p w:rsidR="00C861DA" w:rsidRDefault="00C861DA">
            <w:pPr>
              <w:pStyle w:val="TableParagraph"/>
              <w:jc w:val="center"/>
              <w:rPr>
                <w:rFonts w:cs="宋体"/>
                <w:color w:val="000000" w:themeColor="text1"/>
              </w:rPr>
            </w:pPr>
          </w:p>
        </w:tc>
        <w:tc>
          <w:tcPr>
            <w:tcW w:w="1938" w:type="dxa"/>
            <w:gridSpan w:val="2"/>
            <w:vAlign w:val="center"/>
          </w:tcPr>
          <w:p w:rsidR="00C861DA" w:rsidRDefault="0044752E">
            <w:pPr>
              <w:pStyle w:val="TableParagraph"/>
              <w:spacing w:before="52"/>
              <w:jc w:val="center"/>
              <w:rPr>
                <w:rFonts w:cs="宋体"/>
                <w:color w:val="000000" w:themeColor="text1"/>
              </w:rPr>
            </w:pPr>
            <w:r>
              <w:rPr>
                <w:rFonts w:cs="宋体" w:hint="eastAsia"/>
                <w:color w:val="000000" w:themeColor="text1"/>
              </w:rPr>
              <w:t>危废暂存间</w:t>
            </w:r>
          </w:p>
        </w:tc>
        <w:tc>
          <w:tcPr>
            <w:tcW w:w="4677" w:type="dxa"/>
            <w:vAlign w:val="center"/>
          </w:tcPr>
          <w:p w:rsidR="00C861DA" w:rsidRDefault="0044752E">
            <w:pPr>
              <w:pStyle w:val="TableParagraph"/>
              <w:spacing w:before="52"/>
              <w:ind w:firstLineChars="200" w:firstLine="420"/>
              <w:jc w:val="both"/>
              <w:rPr>
                <w:color w:val="000000" w:themeColor="text1"/>
              </w:rPr>
            </w:pPr>
            <w:r>
              <w:rPr>
                <w:rFonts w:hint="eastAsia"/>
                <w:color w:val="000000" w:themeColor="text1"/>
              </w:rPr>
              <w:t>本项目不再单独建设危废暂存间，生产产生的危废依托“</w:t>
            </w:r>
            <w:r>
              <w:rPr>
                <w:rFonts w:hint="eastAsia"/>
                <w:color w:val="000000" w:themeColor="text1"/>
              </w:rPr>
              <w:t>3</w:t>
            </w:r>
            <w:r>
              <w:rPr>
                <w:color w:val="000000" w:themeColor="text1"/>
              </w:rPr>
              <w:t>0</w:t>
            </w:r>
            <w:r>
              <w:rPr>
                <w:rFonts w:hint="eastAsia"/>
                <w:color w:val="000000" w:themeColor="text1"/>
              </w:rPr>
              <w:t>万吨合成氨装置项目”危废暂存间处置。</w:t>
            </w:r>
          </w:p>
        </w:tc>
        <w:tc>
          <w:tcPr>
            <w:tcW w:w="950" w:type="dxa"/>
            <w:vAlign w:val="center"/>
          </w:tcPr>
          <w:p w:rsidR="00C861DA" w:rsidRDefault="0044752E">
            <w:pPr>
              <w:jc w:val="center"/>
              <w:rPr>
                <w:rFonts w:ascii="Times New Roman" w:eastAsia="宋体" w:cs="宋体"/>
                <w:color w:val="000000" w:themeColor="text1"/>
              </w:rPr>
            </w:pPr>
            <w:r>
              <w:rPr>
                <w:rFonts w:ascii="Times New Roman" w:eastAsia="宋体" w:cs="宋体" w:hint="eastAsia"/>
                <w:color w:val="000000" w:themeColor="text1"/>
              </w:rPr>
              <w:t>依托</w:t>
            </w:r>
          </w:p>
        </w:tc>
      </w:tr>
      <w:tr w:rsidR="00C861DA">
        <w:trPr>
          <w:trHeight w:val="397"/>
        </w:trPr>
        <w:tc>
          <w:tcPr>
            <w:tcW w:w="752" w:type="dxa"/>
            <w:vMerge w:val="restart"/>
            <w:vAlign w:val="center"/>
          </w:tcPr>
          <w:p w:rsidR="00C861DA" w:rsidRDefault="0044752E">
            <w:pPr>
              <w:pStyle w:val="TableParagraph"/>
              <w:spacing w:before="52"/>
              <w:jc w:val="center"/>
              <w:rPr>
                <w:rFonts w:cs="宋体"/>
                <w:color w:val="000000" w:themeColor="text1"/>
              </w:rPr>
            </w:pPr>
            <w:r>
              <w:rPr>
                <w:rFonts w:cs="宋体" w:hint="eastAsia"/>
                <w:color w:val="000000" w:themeColor="text1"/>
              </w:rPr>
              <w:t>环保</w:t>
            </w:r>
          </w:p>
          <w:p w:rsidR="00C861DA" w:rsidRDefault="0044752E">
            <w:pPr>
              <w:pStyle w:val="TableParagraph"/>
              <w:spacing w:before="52"/>
              <w:jc w:val="center"/>
              <w:rPr>
                <w:rFonts w:cs="宋体"/>
                <w:color w:val="000000" w:themeColor="text1"/>
              </w:rPr>
            </w:pPr>
            <w:r>
              <w:rPr>
                <w:rFonts w:cs="宋体" w:hint="eastAsia"/>
                <w:color w:val="000000" w:themeColor="text1"/>
              </w:rPr>
              <w:t>工程</w:t>
            </w:r>
          </w:p>
        </w:tc>
        <w:tc>
          <w:tcPr>
            <w:tcW w:w="804" w:type="dxa"/>
            <w:vMerge w:val="restart"/>
            <w:vAlign w:val="center"/>
          </w:tcPr>
          <w:p w:rsidR="00C861DA" w:rsidRDefault="0044752E">
            <w:pPr>
              <w:pStyle w:val="TableParagraph"/>
              <w:jc w:val="center"/>
              <w:rPr>
                <w:rFonts w:cs="宋体"/>
                <w:color w:val="000000" w:themeColor="text1"/>
              </w:rPr>
            </w:pPr>
            <w:r>
              <w:rPr>
                <w:rFonts w:cs="宋体" w:hint="eastAsia"/>
                <w:color w:val="000000" w:themeColor="text1"/>
              </w:rPr>
              <w:t>废水处理设施</w:t>
            </w:r>
          </w:p>
        </w:tc>
        <w:tc>
          <w:tcPr>
            <w:tcW w:w="1134" w:type="dxa"/>
            <w:vAlign w:val="center"/>
          </w:tcPr>
          <w:p w:rsidR="00C861DA" w:rsidRDefault="0044752E">
            <w:pPr>
              <w:pStyle w:val="TableParagraph"/>
              <w:jc w:val="center"/>
              <w:rPr>
                <w:rFonts w:cs="宋体"/>
                <w:color w:val="000000" w:themeColor="text1"/>
              </w:rPr>
            </w:pPr>
            <w:r>
              <w:rPr>
                <w:rFonts w:cs="宋体" w:hint="eastAsia"/>
                <w:color w:val="000000" w:themeColor="text1"/>
              </w:rPr>
              <w:t>事故水池</w:t>
            </w:r>
          </w:p>
        </w:tc>
        <w:tc>
          <w:tcPr>
            <w:tcW w:w="4677" w:type="dxa"/>
            <w:vAlign w:val="center"/>
          </w:tcPr>
          <w:p w:rsidR="00C861DA" w:rsidRDefault="0044752E">
            <w:pPr>
              <w:pStyle w:val="TableParagraph"/>
              <w:spacing w:before="52"/>
              <w:ind w:firstLineChars="200" w:firstLine="420"/>
              <w:jc w:val="both"/>
              <w:rPr>
                <w:rFonts w:cs="宋体"/>
                <w:color w:val="000000" w:themeColor="text1"/>
              </w:rPr>
            </w:pPr>
            <w:r>
              <w:rPr>
                <w:rFonts w:cs="宋体" w:hint="eastAsia"/>
                <w:color w:val="000000" w:themeColor="text1"/>
              </w:rPr>
              <w:t>位于本项目西南角，与绿色有机硝基复合肥相邻，设置一个</w:t>
            </w:r>
            <w:r>
              <w:rPr>
                <w:rFonts w:hint="eastAsia"/>
                <w:color w:val="000000" w:themeColor="text1"/>
              </w:rPr>
              <w:t>容积为</w:t>
            </w:r>
            <w:r>
              <w:rPr>
                <w:rFonts w:hint="eastAsia"/>
                <w:color w:val="000000" w:themeColor="text1"/>
              </w:rPr>
              <w:t>2</w:t>
            </w:r>
            <w:r>
              <w:rPr>
                <w:color w:val="000000" w:themeColor="text1"/>
              </w:rPr>
              <w:t>60</w:t>
            </w:r>
            <w:r>
              <w:rPr>
                <w:rFonts w:hint="eastAsia"/>
                <w:color w:val="000000" w:themeColor="text1"/>
              </w:rPr>
              <w:t>0m</w:t>
            </w:r>
            <w:r>
              <w:rPr>
                <w:rFonts w:hint="eastAsia"/>
                <w:color w:val="000000" w:themeColor="text1"/>
                <w:vertAlign w:val="superscript"/>
              </w:rPr>
              <w:t>3</w:t>
            </w:r>
            <w:r>
              <w:rPr>
                <w:rFonts w:hint="eastAsia"/>
                <w:color w:val="000000" w:themeColor="text1"/>
              </w:rPr>
              <w:t>的事故水池，事故状态下所有废水均进入事故水池，不外排。</w:t>
            </w:r>
          </w:p>
        </w:tc>
        <w:tc>
          <w:tcPr>
            <w:tcW w:w="950" w:type="dxa"/>
            <w:vAlign w:val="center"/>
          </w:tcPr>
          <w:p w:rsidR="00C861DA" w:rsidRDefault="0044752E">
            <w:pPr>
              <w:jc w:val="center"/>
              <w:rPr>
                <w:rFonts w:ascii="Times New Roman" w:eastAsia="宋体" w:cs="宋体"/>
                <w:color w:val="000000" w:themeColor="text1"/>
              </w:rPr>
            </w:pPr>
            <w:r>
              <w:rPr>
                <w:rFonts w:ascii="Times New Roman" w:eastAsia="宋体" w:cs="宋体" w:hint="eastAsia"/>
                <w:color w:val="000000" w:themeColor="text1"/>
              </w:rPr>
              <w:t>新建</w:t>
            </w:r>
          </w:p>
        </w:tc>
      </w:tr>
      <w:tr w:rsidR="00C861DA">
        <w:trPr>
          <w:trHeight w:val="397"/>
        </w:trPr>
        <w:tc>
          <w:tcPr>
            <w:tcW w:w="752" w:type="dxa"/>
            <w:vMerge/>
            <w:vAlign w:val="center"/>
          </w:tcPr>
          <w:p w:rsidR="00C861DA" w:rsidRDefault="00C861DA">
            <w:pPr>
              <w:pStyle w:val="TableParagraph"/>
              <w:spacing w:before="52"/>
              <w:jc w:val="center"/>
              <w:rPr>
                <w:rFonts w:cs="宋体"/>
                <w:color w:val="000000" w:themeColor="text1"/>
              </w:rPr>
            </w:pPr>
          </w:p>
        </w:tc>
        <w:tc>
          <w:tcPr>
            <w:tcW w:w="804" w:type="dxa"/>
            <w:vMerge/>
            <w:vAlign w:val="center"/>
          </w:tcPr>
          <w:p w:rsidR="00C861DA" w:rsidRDefault="00C861DA">
            <w:pPr>
              <w:pStyle w:val="TableParagraph"/>
              <w:jc w:val="center"/>
              <w:rPr>
                <w:rFonts w:cs="宋体"/>
                <w:color w:val="000000" w:themeColor="text1"/>
              </w:rPr>
            </w:pPr>
          </w:p>
        </w:tc>
        <w:tc>
          <w:tcPr>
            <w:tcW w:w="1134" w:type="dxa"/>
            <w:vAlign w:val="center"/>
          </w:tcPr>
          <w:p w:rsidR="00C861DA" w:rsidRDefault="0044752E">
            <w:pPr>
              <w:pStyle w:val="TableParagraph"/>
              <w:jc w:val="center"/>
              <w:rPr>
                <w:rFonts w:cs="宋体"/>
                <w:color w:val="000000" w:themeColor="text1"/>
              </w:rPr>
            </w:pPr>
            <w:r>
              <w:rPr>
                <w:color w:val="000000" w:themeColor="text1"/>
              </w:rPr>
              <w:t>初期雨水收集池</w:t>
            </w:r>
          </w:p>
        </w:tc>
        <w:tc>
          <w:tcPr>
            <w:tcW w:w="4677" w:type="dxa"/>
            <w:vAlign w:val="center"/>
          </w:tcPr>
          <w:p w:rsidR="00C861DA" w:rsidRDefault="0044752E">
            <w:pPr>
              <w:pStyle w:val="TableParagraph"/>
              <w:spacing w:before="52"/>
              <w:ind w:firstLineChars="200" w:firstLine="420"/>
              <w:jc w:val="both"/>
              <w:rPr>
                <w:rFonts w:cs="宋体"/>
                <w:color w:val="000000" w:themeColor="text1"/>
              </w:rPr>
            </w:pPr>
            <w:r>
              <w:rPr>
                <w:rFonts w:cs="宋体" w:hint="eastAsia"/>
                <w:color w:val="000000" w:themeColor="text1"/>
              </w:rPr>
              <w:t>位于本项目西南角，与事故水池相邻，容积为</w:t>
            </w:r>
            <w:r>
              <w:rPr>
                <w:rFonts w:cs="宋体"/>
                <w:color w:val="000000" w:themeColor="text1"/>
              </w:rPr>
              <w:t>4300</w:t>
            </w:r>
            <w:r>
              <w:rPr>
                <w:rFonts w:cs="宋体" w:hint="eastAsia"/>
                <w:color w:val="000000" w:themeColor="text1"/>
              </w:rPr>
              <w:t>m</w:t>
            </w:r>
            <w:r>
              <w:rPr>
                <w:rFonts w:cs="宋体"/>
                <w:color w:val="000000" w:themeColor="text1"/>
                <w:vertAlign w:val="superscript"/>
              </w:rPr>
              <w:t>3</w:t>
            </w:r>
            <w:r>
              <w:rPr>
                <w:rFonts w:cs="宋体" w:hint="eastAsia"/>
                <w:color w:val="000000" w:themeColor="text1"/>
              </w:rPr>
              <w:t>，用于</w:t>
            </w:r>
            <w:r>
              <w:rPr>
                <w:color w:val="000000" w:themeColor="text1"/>
              </w:rPr>
              <w:t>收集</w:t>
            </w:r>
            <w:r>
              <w:rPr>
                <w:rFonts w:cs="宋体" w:hint="eastAsia"/>
                <w:color w:val="000000" w:themeColor="text1"/>
              </w:rPr>
              <w:t>初期雨水。</w:t>
            </w:r>
          </w:p>
        </w:tc>
        <w:tc>
          <w:tcPr>
            <w:tcW w:w="950" w:type="dxa"/>
            <w:vAlign w:val="center"/>
          </w:tcPr>
          <w:p w:rsidR="00C861DA" w:rsidRDefault="0044752E">
            <w:pPr>
              <w:jc w:val="center"/>
              <w:rPr>
                <w:rFonts w:ascii="Times New Roman" w:eastAsia="宋体" w:cs="宋体"/>
                <w:color w:val="000000" w:themeColor="text1"/>
              </w:rPr>
            </w:pPr>
            <w:r>
              <w:rPr>
                <w:rFonts w:ascii="Times New Roman" w:eastAsia="宋体" w:cs="宋体" w:hint="eastAsia"/>
                <w:color w:val="000000" w:themeColor="text1"/>
              </w:rPr>
              <w:t>新建</w:t>
            </w:r>
          </w:p>
        </w:tc>
      </w:tr>
      <w:tr w:rsidR="00C861DA">
        <w:trPr>
          <w:trHeight w:val="397"/>
        </w:trPr>
        <w:tc>
          <w:tcPr>
            <w:tcW w:w="752" w:type="dxa"/>
            <w:vMerge/>
            <w:vAlign w:val="center"/>
          </w:tcPr>
          <w:p w:rsidR="00C861DA" w:rsidRDefault="00C861DA">
            <w:pPr>
              <w:pStyle w:val="TableParagraph"/>
              <w:spacing w:before="52"/>
              <w:jc w:val="center"/>
              <w:rPr>
                <w:rFonts w:cs="宋体"/>
                <w:color w:val="000000" w:themeColor="text1"/>
              </w:rPr>
            </w:pPr>
          </w:p>
        </w:tc>
        <w:tc>
          <w:tcPr>
            <w:tcW w:w="804" w:type="dxa"/>
            <w:vMerge/>
            <w:vAlign w:val="center"/>
          </w:tcPr>
          <w:p w:rsidR="00C861DA" w:rsidRDefault="00C861DA">
            <w:pPr>
              <w:pStyle w:val="TableParagraph"/>
              <w:jc w:val="center"/>
              <w:rPr>
                <w:rFonts w:cs="宋体"/>
                <w:color w:val="000000" w:themeColor="text1"/>
              </w:rPr>
            </w:pPr>
          </w:p>
        </w:tc>
        <w:tc>
          <w:tcPr>
            <w:tcW w:w="1134" w:type="dxa"/>
            <w:vAlign w:val="center"/>
          </w:tcPr>
          <w:p w:rsidR="00C861DA" w:rsidRDefault="0044752E">
            <w:pPr>
              <w:pStyle w:val="TableParagraph"/>
              <w:jc w:val="center"/>
              <w:rPr>
                <w:rFonts w:cs="宋体"/>
                <w:color w:val="000000" w:themeColor="text1"/>
              </w:rPr>
            </w:pPr>
            <w:r>
              <w:rPr>
                <w:rFonts w:hint="eastAsia"/>
                <w:color w:val="000000" w:themeColor="text1"/>
              </w:rPr>
              <w:t>生产废水收集池</w:t>
            </w:r>
          </w:p>
        </w:tc>
        <w:tc>
          <w:tcPr>
            <w:tcW w:w="4677" w:type="dxa"/>
            <w:vAlign w:val="center"/>
          </w:tcPr>
          <w:p w:rsidR="00C861DA" w:rsidRDefault="0044752E">
            <w:pPr>
              <w:pStyle w:val="TableParagraph"/>
              <w:spacing w:before="52"/>
              <w:ind w:firstLineChars="200" w:firstLine="420"/>
              <w:jc w:val="both"/>
              <w:rPr>
                <w:rFonts w:cs="宋体"/>
                <w:color w:val="000000" w:themeColor="text1"/>
              </w:rPr>
            </w:pPr>
            <w:r>
              <w:rPr>
                <w:rFonts w:cs="宋体" w:hint="eastAsia"/>
                <w:color w:val="000000" w:themeColor="text1"/>
              </w:rPr>
              <w:t>位于本项目西南角，与雨水池相邻，容积为</w:t>
            </w:r>
            <w:r>
              <w:rPr>
                <w:rFonts w:cs="宋体" w:hint="eastAsia"/>
                <w:color w:val="000000" w:themeColor="text1"/>
              </w:rPr>
              <w:t>3</w:t>
            </w:r>
            <w:r>
              <w:rPr>
                <w:rFonts w:cs="宋体"/>
                <w:color w:val="000000" w:themeColor="text1"/>
              </w:rPr>
              <w:t>000m</w:t>
            </w:r>
            <w:r>
              <w:rPr>
                <w:rFonts w:cs="宋体"/>
                <w:color w:val="000000" w:themeColor="text1"/>
                <w:vertAlign w:val="superscript"/>
              </w:rPr>
              <w:t>3</w:t>
            </w:r>
            <w:r>
              <w:rPr>
                <w:rFonts w:cs="宋体" w:hint="eastAsia"/>
                <w:color w:val="000000" w:themeColor="text1"/>
              </w:rPr>
              <w:t>，用于收集暂存生产废水。</w:t>
            </w:r>
          </w:p>
        </w:tc>
        <w:tc>
          <w:tcPr>
            <w:tcW w:w="950" w:type="dxa"/>
            <w:vAlign w:val="center"/>
          </w:tcPr>
          <w:p w:rsidR="00C861DA" w:rsidRDefault="0044752E">
            <w:pPr>
              <w:jc w:val="center"/>
              <w:rPr>
                <w:rFonts w:ascii="Times New Roman" w:eastAsia="宋体" w:cs="宋体"/>
                <w:color w:val="000000" w:themeColor="text1"/>
              </w:rPr>
            </w:pPr>
            <w:r>
              <w:rPr>
                <w:rFonts w:ascii="Times New Roman" w:eastAsia="宋体" w:cs="宋体" w:hint="eastAsia"/>
                <w:color w:val="000000" w:themeColor="text1"/>
              </w:rPr>
              <w:t>新建</w:t>
            </w:r>
          </w:p>
        </w:tc>
      </w:tr>
      <w:tr w:rsidR="00C861DA">
        <w:trPr>
          <w:trHeight w:val="397"/>
        </w:trPr>
        <w:tc>
          <w:tcPr>
            <w:tcW w:w="752" w:type="dxa"/>
            <w:vMerge/>
            <w:vAlign w:val="center"/>
          </w:tcPr>
          <w:p w:rsidR="00C861DA" w:rsidRDefault="00C861DA">
            <w:pPr>
              <w:pStyle w:val="TableParagraph"/>
              <w:spacing w:before="52"/>
              <w:jc w:val="center"/>
              <w:rPr>
                <w:rFonts w:cs="宋体"/>
                <w:color w:val="000000" w:themeColor="text1"/>
              </w:rPr>
            </w:pPr>
          </w:p>
        </w:tc>
        <w:tc>
          <w:tcPr>
            <w:tcW w:w="804" w:type="dxa"/>
            <w:vMerge w:val="restart"/>
            <w:vAlign w:val="center"/>
          </w:tcPr>
          <w:p w:rsidR="00C861DA" w:rsidRDefault="0044752E">
            <w:pPr>
              <w:pStyle w:val="TableParagraph"/>
              <w:jc w:val="center"/>
              <w:rPr>
                <w:rFonts w:cs="宋体"/>
                <w:color w:val="000000" w:themeColor="text1"/>
              </w:rPr>
            </w:pPr>
            <w:r>
              <w:rPr>
                <w:rFonts w:cs="宋体" w:hint="eastAsia"/>
                <w:color w:val="000000" w:themeColor="text1"/>
              </w:rPr>
              <w:t>废气处理设施</w:t>
            </w:r>
          </w:p>
        </w:tc>
        <w:tc>
          <w:tcPr>
            <w:tcW w:w="1134" w:type="dxa"/>
            <w:vAlign w:val="center"/>
          </w:tcPr>
          <w:p w:rsidR="00C861DA" w:rsidRDefault="0044752E">
            <w:pPr>
              <w:pStyle w:val="TableParagraph"/>
              <w:jc w:val="center"/>
              <w:rPr>
                <w:rFonts w:cs="宋体"/>
                <w:color w:val="000000" w:themeColor="text1"/>
              </w:rPr>
            </w:pPr>
            <w:r>
              <w:rPr>
                <w:rFonts w:cs="宋体" w:hint="eastAsia"/>
                <w:color w:val="000000" w:themeColor="text1"/>
              </w:rPr>
              <w:t>布袋除尘器</w:t>
            </w:r>
          </w:p>
        </w:tc>
        <w:tc>
          <w:tcPr>
            <w:tcW w:w="4677" w:type="dxa"/>
            <w:vAlign w:val="center"/>
          </w:tcPr>
          <w:p w:rsidR="00C861DA" w:rsidRDefault="0044752E">
            <w:pPr>
              <w:pStyle w:val="TableParagraph"/>
              <w:spacing w:before="52"/>
              <w:ind w:firstLineChars="200" w:firstLine="420"/>
              <w:jc w:val="both"/>
              <w:rPr>
                <w:rFonts w:cs="宋体"/>
                <w:color w:val="000000" w:themeColor="text1"/>
              </w:rPr>
            </w:pPr>
            <w:r>
              <w:rPr>
                <w:rFonts w:cs="宋体" w:hint="eastAsia"/>
                <w:color w:val="000000" w:themeColor="text1"/>
              </w:rPr>
              <w:t>共设置</w:t>
            </w:r>
            <w:r>
              <w:rPr>
                <w:rFonts w:cs="宋体" w:hint="eastAsia"/>
                <w:color w:val="000000" w:themeColor="text1"/>
              </w:rPr>
              <w:t>5</w:t>
            </w:r>
            <w:r>
              <w:rPr>
                <w:rFonts w:cs="宋体" w:hint="eastAsia"/>
                <w:color w:val="000000" w:themeColor="text1"/>
              </w:rPr>
              <w:t>套布袋除尘系统，用于生产过程中颗粒物的去除。</w:t>
            </w:r>
          </w:p>
        </w:tc>
        <w:tc>
          <w:tcPr>
            <w:tcW w:w="950" w:type="dxa"/>
            <w:vAlign w:val="center"/>
          </w:tcPr>
          <w:p w:rsidR="00C861DA" w:rsidRDefault="0044752E">
            <w:pPr>
              <w:jc w:val="center"/>
              <w:rPr>
                <w:rFonts w:ascii="Times New Roman" w:eastAsia="宋体" w:cs="宋体"/>
                <w:color w:val="000000" w:themeColor="text1"/>
              </w:rPr>
            </w:pPr>
            <w:r>
              <w:rPr>
                <w:rFonts w:ascii="Times New Roman" w:eastAsia="宋体" w:cs="宋体" w:hint="eastAsia"/>
                <w:color w:val="000000" w:themeColor="text1"/>
              </w:rPr>
              <w:t>新建</w:t>
            </w:r>
          </w:p>
        </w:tc>
      </w:tr>
      <w:tr w:rsidR="00C861DA">
        <w:trPr>
          <w:trHeight w:val="397"/>
        </w:trPr>
        <w:tc>
          <w:tcPr>
            <w:tcW w:w="752" w:type="dxa"/>
            <w:vMerge/>
            <w:vAlign w:val="center"/>
          </w:tcPr>
          <w:p w:rsidR="00C861DA" w:rsidRDefault="00C861DA">
            <w:pPr>
              <w:pStyle w:val="TableParagraph"/>
              <w:spacing w:before="52"/>
              <w:jc w:val="center"/>
              <w:rPr>
                <w:rFonts w:cs="宋体"/>
                <w:color w:val="000000" w:themeColor="text1"/>
              </w:rPr>
            </w:pPr>
          </w:p>
        </w:tc>
        <w:tc>
          <w:tcPr>
            <w:tcW w:w="804" w:type="dxa"/>
            <w:vMerge/>
            <w:vAlign w:val="center"/>
          </w:tcPr>
          <w:p w:rsidR="00C861DA" w:rsidRDefault="00C861DA">
            <w:pPr>
              <w:pStyle w:val="TableParagraph"/>
              <w:jc w:val="center"/>
              <w:rPr>
                <w:rFonts w:cs="宋体"/>
                <w:color w:val="000000" w:themeColor="text1"/>
              </w:rPr>
            </w:pPr>
          </w:p>
        </w:tc>
        <w:tc>
          <w:tcPr>
            <w:tcW w:w="1134" w:type="dxa"/>
            <w:vAlign w:val="center"/>
          </w:tcPr>
          <w:p w:rsidR="00C861DA" w:rsidRDefault="0044752E">
            <w:pPr>
              <w:pStyle w:val="TableParagraph"/>
              <w:jc w:val="center"/>
              <w:rPr>
                <w:rFonts w:cs="宋体"/>
                <w:color w:val="000000" w:themeColor="text1"/>
              </w:rPr>
            </w:pPr>
            <w:r>
              <w:rPr>
                <w:rFonts w:cs="宋体" w:hint="eastAsia"/>
                <w:color w:val="000000" w:themeColor="text1"/>
              </w:rPr>
              <w:t>SCR</w:t>
            </w:r>
            <w:r>
              <w:rPr>
                <w:rFonts w:cs="宋体" w:hint="eastAsia"/>
                <w:color w:val="000000" w:themeColor="text1"/>
              </w:rPr>
              <w:t>脱硝设施</w:t>
            </w:r>
          </w:p>
        </w:tc>
        <w:tc>
          <w:tcPr>
            <w:tcW w:w="4677" w:type="dxa"/>
            <w:vAlign w:val="center"/>
          </w:tcPr>
          <w:p w:rsidR="00C861DA" w:rsidRDefault="0044752E">
            <w:pPr>
              <w:pStyle w:val="TableParagraph"/>
              <w:spacing w:before="52"/>
              <w:ind w:firstLineChars="200" w:firstLine="420"/>
              <w:jc w:val="both"/>
              <w:rPr>
                <w:rFonts w:cs="宋体"/>
                <w:color w:val="000000" w:themeColor="text1"/>
              </w:rPr>
            </w:pPr>
            <w:r>
              <w:rPr>
                <w:rFonts w:cs="宋体" w:hint="eastAsia"/>
                <w:color w:val="000000" w:themeColor="text1"/>
              </w:rPr>
              <w:t>设置</w:t>
            </w:r>
            <w:r>
              <w:rPr>
                <w:rFonts w:cs="宋体" w:hint="eastAsia"/>
                <w:color w:val="000000" w:themeColor="text1"/>
              </w:rPr>
              <w:t>1</w:t>
            </w:r>
            <w:r>
              <w:rPr>
                <w:rFonts w:cs="宋体" w:hint="eastAsia"/>
                <w:color w:val="000000" w:themeColor="text1"/>
              </w:rPr>
              <w:t>套</w:t>
            </w:r>
            <w:r>
              <w:rPr>
                <w:rFonts w:cs="宋体" w:hint="eastAsia"/>
                <w:color w:val="000000" w:themeColor="text1"/>
              </w:rPr>
              <w:t>SCR</w:t>
            </w:r>
            <w:r>
              <w:rPr>
                <w:rFonts w:cs="宋体" w:hint="eastAsia"/>
                <w:color w:val="000000" w:themeColor="text1"/>
              </w:rPr>
              <w:t>脱硝设施，用于稀硝酸生产尾气中氮氧化物的去除。</w:t>
            </w:r>
          </w:p>
        </w:tc>
        <w:tc>
          <w:tcPr>
            <w:tcW w:w="950" w:type="dxa"/>
            <w:vAlign w:val="center"/>
          </w:tcPr>
          <w:p w:rsidR="00C861DA" w:rsidRDefault="0044752E">
            <w:pPr>
              <w:jc w:val="center"/>
              <w:rPr>
                <w:rFonts w:ascii="Times New Roman" w:eastAsia="宋体" w:cs="宋体"/>
                <w:color w:val="000000" w:themeColor="text1"/>
              </w:rPr>
            </w:pPr>
            <w:r>
              <w:rPr>
                <w:rFonts w:ascii="Times New Roman" w:eastAsia="宋体" w:cs="宋体" w:hint="eastAsia"/>
                <w:color w:val="000000" w:themeColor="text1"/>
              </w:rPr>
              <w:t>新建</w:t>
            </w:r>
          </w:p>
        </w:tc>
      </w:tr>
      <w:tr w:rsidR="00C861DA">
        <w:trPr>
          <w:trHeight w:val="397"/>
        </w:trPr>
        <w:tc>
          <w:tcPr>
            <w:tcW w:w="752" w:type="dxa"/>
            <w:vMerge/>
            <w:vAlign w:val="center"/>
          </w:tcPr>
          <w:p w:rsidR="00C861DA" w:rsidRDefault="00C861DA">
            <w:pPr>
              <w:pStyle w:val="TableParagraph"/>
              <w:spacing w:before="52"/>
              <w:jc w:val="center"/>
              <w:rPr>
                <w:rFonts w:cs="宋体"/>
                <w:color w:val="000000" w:themeColor="text1"/>
              </w:rPr>
            </w:pPr>
          </w:p>
        </w:tc>
        <w:tc>
          <w:tcPr>
            <w:tcW w:w="804" w:type="dxa"/>
            <w:vMerge/>
            <w:vAlign w:val="center"/>
          </w:tcPr>
          <w:p w:rsidR="00C861DA" w:rsidRDefault="00C861DA">
            <w:pPr>
              <w:pStyle w:val="TableParagraph"/>
              <w:jc w:val="center"/>
              <w:rPr>
                <w:rFonts w:cs="宋体"/>
                <w:color w:val="000000" w:themeColor="text1"/>
              </w:rPr>
            </w:pPr>
          </w:p>
        </w:tc>
        <w:tc>
          <w:tcPr>
            <w:tcW w:w="1134" w:type="dxa"/>
            <w:vAlign w:val="center"/>
          </w:tcPr>
          <w:p w:rsidR="00C861DA" w:rsidRDefault="0044752E">
            <w:pPr>
              <w:pStyle w:val="TableParagraph"/>
              <w:jc w:val="center"/>
              <w:rPr>
                <w:rFonts w:cs="宋体"/>
                <w:color w:val="000000" w:themeColor="text1"/>
              </w:rPr>
            </w:pPr>
            <w:r>
              <w:rPr>
                <w:rFonts w:cs="宋体" w:hint="eastAsia"/>
                <w:color w:val="000000" w:themeColor="text1"/>
              </w:rPr>
              <w:t>尾气洗涤塔</w:t>
            </w:r>
          </w:p>
        </w:tc>
        <w:tc>
          <w:tcPr>
            <w:tcW w:w="4677" w:type="dxa"/>
            <w:vAlign w:val="center"/>
          </w:tcPr>
          <w:p w:rsidR="00C861DA" w:rsidRDefault="0044752E">
            <w:pPr>
              <w:pStyle w:val="TableParagraph"/>
              <w:spacing w:before="52"/>
              <w:ind w:firstLineChars="200" w:firstLine="420"/>
              <w:jc w:val="both"/>
              <w:rPr>
                <w:rFonts w:cs="宋体"/>
                <w:color w:val="000000" w:themeColor="text1"/>
              </w:rPr>
            </w:pPr>
            <w:r>
              <w:rPr>
                <w:rFonts w:cs="宋体" w:hint="eastAsia"/>
                <w:color w:val="000000" w:themeColor="text1"/>
              </w:rPr>
              <w:t>用于尿素合成尾气中氨的去除</w:t>
            </w:r>
          </w:p>
        </w:tc>
        <w:tc>
          <w:tcPr>
            <w:tcW w:w="950" w:type="dxa"/>
            <w:vAlign w:val="center"/>
          </w:tcPr>
          <w:p w:rsidR="00C861DA" w:rsidRDefault="0044752E">
            <w:pPr>
              <w:jc w:val="center"/>
              <w:rPr>
                <w:rFonts w:ascii="Times New Roman" w:eastAsia="宋体" w:cs="宋体"/>
                <w:color w:val="000000" w:themeColor="text1"/>
              </w:rPr>
            </w:pPr>
            <w:r>
              <w:rPr>
                <w:rFonts w:ascii="Times New Roman" w:eastAsia="宋体" w:cs="宋体" w:hint="eastAsia"/>
                <w:color w:val="000000" w:themeColor="text1"/>
              </w:rPr>
              <w:t>新建</w:t>
            </w:r>
          </w:p>
        </w:tc>
      </w:tr>
      <w:tr w:rsidR="00C861DA">
        <w:trPr>
          <w:trHeight w:val="397"/>
        </w:trPr>
        <w:tc>
          <w:tcPr>
            <w:tcW w:w="752" w:type="dxa"/>
            <w:vMerge/>
            <w:vAlign w:val="center"/>
          </w:tcPr>
          <w:p w:rsidR="00C861DA" w:rsidRDefault="00C861DA">
            <w:pPr>
              <w:pStyle w:val="TableParagraph"/>
              <w:spacing w:before="52"/>
              <w:jc w:val="center"/>
              <w:rPr>
                <w:rFonts w:cs="宋体"/>
                <w:color w:val="000000" w:themeColor="text1"/>
              </w:rPr>
            </w:pPr>
          </w:p>
        </w:tc>
        <w:tc>
          <w:tcPr>
            <w:tcW w:w="804" w:type="dxa"/>
            <w:vMerge/>
            <w:vAlign w:val="center"/>
          </w:tcPr>
          <w:p w:rsidR="00C861DA" w:rsidRDefault="00C861DA">
            <w:pPr>
              <w:pStyle w:val="TableParagraph"/>
              <w:jc w:val="center"/>
              <w:rPr>
                <w:rFonts w:cs="宋体"/>
                <w:color w:val="000000" w:themeColor="text1"/>
              </w:rPr>
            </w:pPr>
          </w:p>
        </w:tc>
        <w:tc>
          <w:tcPr>
            <w:tcW w:w="1134" w:type="dxa"/>
            <w:vAlign w:val="center"/>
          </w:tcPr>
          <w:p w:rsidR="00C861DA" w:rsidRDefault="0044752E">
            <w:pPr>
              <w:pStyle w:val="TableParagraph"/>
              <w:jc w:val="center"/>
              <w:rPr>
                <w:rFonts w:cs="宋体"/>
                <w:color w:val="000000" w:themeColor="text1"/>
              </w:rPr>
            </w:pPr>
            <w:r>
              <w:rPr>
                <w:rFonts w:cs="宋体" w:hint="eastAsia"/>
                <w:color w:val="000000" w:themeColor="text1"/>
              </w:rPr>
              <w:t>排气筒</w:t>
            </w:r>
          </w:p>
        </w:tc>
        <w:tc>
          <w:tcPr>
            <w:tcW w:w="4677" w:type="dxa"/>
            <w:vAlign w:val="center"/>
          </w:tcPr>
          <w:p w:rsidR="00C861DA" w:rsidRDefault="0044752E">
            <w:pPr>
              <w:pStyle w:val="TableParagraph"/>
              <w:spacing w:before="52"/>
              <w:ind w:firstLineChars="200" w:firstLine="420"/>
              <w:jc w:val="both"/>
              <w:rPr>
                <w:rFonts w:cs="宋体"/>
                <w:color w:val="000000" w:themeColor="text1"/>
              </w:rPr>
            </w:pPr>
            <w:r>
              <w:rPr>
                <w:rFonts w:cs="宋体" w:hint="eastAsia"/>
                <w:color w:val="000000" w:themeColor="text1"/>
              </w:rPr>
              <w:t>共设置</w:t>
            </w:r>
            <w:r>
              <w:rPr>
                <w:rFonts w:cs="宋体" w:hint="eastAsia"/>
                <w:color w:val="000000" w:themeColor="text1"/>
              </w:rPr>
              <w:t>9</w:t>
            </w:r>
            <w:r>
              <w:rPr>
                <w:rFonts w:cs="宋体" w:hint="eastAsia"/>
                <w:color w:val="000000" w:themeColor="text1"/>
              </w:rPr>
              <w:t>个排气筒，用于生产过程中各个环节的废气有组织排放。</w:t>
            </w:r>
          </w:p>
        </w:tc>
        <w:tc>
          <w:tcPr>
            <w:tcW w:w="950" w:type="dxa"/>
            <w:vAlign w:val="center"/>
          </w:tcPr>
          <w:p w:rsidR="00C861DA" w:rsidRDefault="0044752E">
            <w:pPr>
              <w:jc w:val="center"/>
              <w:rPr>
                <w:rFonts w:ascii="Times New Roman" w:eastAsia="宋体" w:cs="宋体"/>
                <w:color w:val="000000" w:themeColor="text1"/>
              </w:rPr>
            </w:pPr>
            <w:r>
              <w:rPr>
                <w:rFonts w:ascii="Times New Roman" w:eastAsia="宋体" w:cs="宋体" w:hint="eastAsia"/>
                <w:color w:val="000000" w:themeColor="text1"/>
              </w:rPr>
              <w:t>新建</w:t>
            </w:r>
          </w:p>
        </w:tc>
      </w:tr>
    </w:tbl>
    <w:p w:rsidR="00C861DA" w:rsidRDefault="0044752E">
      <w:pPr>
        <w:pStyle w:val="32"/>
        <w:rPr>
          <w:rFonts w:ascii="Times New Roman" w:eastAsia="宋体"/>
          <w:bCs w:val="0"/>
          <w:color w:val="000000" w:themeColor="text1"/>
          <w:sz w:val="24"/>
          <w:szCs w:val="24"/>
        </w:rPr>
      </w:pPr>
      <w:bookmarkStart w:id="208" w:name="_Toc6826782"/>
      <w:r>
        <w:rPr>
          <w:rFonts w:ascii="Times New Roman" w:eastAsia="宋体" w:hint="eastAsia"/>
          <w:bCs w:val="0"/>
          <w:color w:val="000000" w:themeColor="text1"/>
          <w:sz w:val="24"/>
          <w:szCs w:val="24"/>
        </w:rPr>
        <w:t>3</w:t>
      </w:r>
      <w:r>
        <w:rPr>
          <w:rFonts w:ascii="Times New Roman" w:eastAsia="宋体"/>
          <w:bCs w:val="0"/>
          <w:color w:val="000000" w:themeColor="text1"/>
          <w:sz w:val="24"/>
          <w:szCs w:val="24"/>
        </w:rPr>
        <w:t>.2.3</w:t>
      </w:r>
      <w:r>
        <w:rPr>
          <w:rFonts w:ascii="Times New Roman" w:eastAsia="宋体"/>
          <w:bCs w:val="0"/>
          <w:color w:val="000000" w:themeColor="text1"/>
          <w:sz w:val="24"/>
          <w:szCs w:val="24"/>
        </w:rPr>
        <w:t>主体工程</w:t>
      </w:r>
      <w:bookmarkEnd w:id="208"/>
    </w:p>
    <w:p w:rsidR="00C861DA" w:rsidRDefault="0044752E">
      <w:pPr>
        <w:spacing w:line="360" w:lineRule="auto"/>
        <w:ind w:leftChars="50" w:left="105" w:rightChars="50" w:right="105"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1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①</w:t>
      </w:r>
      <w:r>
        <w:rPr>
          <w:rFonts w:ascii="Times New Roman" w:eastAsia="宋体" w:hAnsi="Times New Roman" w:cs="Times New Roman"/>
          <w:b/>
          <w:color w:val="000000" w:themeColor="text1"/>
          <w:sz w:val="24"/>
        </w:rPr>
        <w:fldChar w:fldCharType="end"/>
      </w:r>
      <w:r>
        <w:rPr>
          <w:rFonts w:ascii="Times New Roman" w:eastAsia="宋体" w:hAnsi="Times New Roman" w:cs="Times New Roman" w:hint="eastAsia"/>
          <w:b/>
          <w:color w:val="000000" w:themeColor="text1"/>
          <w:sz w:val="24"/>
        </w:rPr>
        <w:t>绿色有机硝基复合肥生产线</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本项目的主要设施，</w:t>
      </w:r>
      <w:r>
        <w:rPr>
          <w:rFonts w:ascii="Times New Roman" w:eastAsia="宋体" w:hAnsi="Times New Roman" w:cs="Times New Roman" w:hint="eastAsia"/>
          <w:color w:val="000000" w:themeColor="text1"/>
          <w:sz w:val="24"/>
        </w:rPr>
        <w:t>共建设</w:t>
      </w:r>
      <w:r>
        <w:rPr>
          <w:rFonts w:ascii="Times New Roman" w:eastAsia="宋体" w:hAnsi="Times New Roman" w:cs="Times New Roman" w:hint="eastAsia"/>
          <w:color w:val="000000" w:themeColor="text1"/>
          <w:sz w:val="24"/>
        </w:rPr>
        <w:t>1</w:t>
      </w:r>
      <w:r>
        <w:rPr>
          <w:rFonts w:ascii="Times New Roman" w:eastAsia="宋体" w:hAnsi="Times New Roman" w:cs="Times New Roman" w:hint="eastAsia"/>
          <w:color w:val="000000" w:themeColor="text1"/>
          <w:sz w:val="24"/>
        </w:rPr>
        <w:t>条绿色有机硝基复合肥生产线，包括硝酸生产装置、硝铵生产装置和小计复合肥生产装置</w:t>
      </w:r>
      <w:r>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使用液氨和有机质生产绿色有机硝基复合肥</w:t>
      </w:r>
      <w:r>
        <w:rPr>
          <w:rFonts w:ascii="Times New Roman" w:eastAsia="宋体" w:hAnsi="Times New Roman" w:cs="Times New Roman"/>
          <w:color w:val="000000" w:themeColor="text1"/>
          <w:sz w:val="24"/>
        </w:rPr>
        <w:t>。</w:t>
      </w:r>
    </w:p>
    <w:p w:rsidR="00C861DA" w:rsidRDefault="0044752E">
      <w:pPr>
        <w:spacing w:line="360" w:lineRule="auto"/>
        <w:ind w:leftChars="50" w:left="105" w:rightChars="50" w:right="105"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2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②</w:t>
      </w:r>
      <w:r>
        <w:rPr>
          <w:rFonts w:ascii="Times New Roman" w:eastAsia="宋体" w:hAnsi="Times New Roman" w:cs="Times New Roman"/>
          <w:b/>
          <w:color w:val="000000" w:themeColor="text1"/>
          <w:sz w:val="24"/>
        </w:rPr>
        <w:fldChar w:fldCharType="end"/>
      </w:r>
      <w:r>
        <w:rPr>
          <w:rFonts w:ascii="Times New Roman" w:eastAsia="宋体" w:hAnsi="Times New Roman" w:cs="Times New Roman" w:hint="eastAsia"/>
          <w:b/>
          <w:color w:val="000000" w:themeColor="text1"/>
          <w:sz w:val="24"/>
        </w:rPr>
        <w:t>绿色有机硝基复合肥生产线</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本项目的主要设施，共建设</w:t>
      </w:r>
      <w:r>
        <w:rPr>
          <w:rFonts w:ascii="Times New Roman" w:eastAsia="宋体" w:hAnsi="Times New Roman" w:cs="Times New Roman" w:hint="eastAsia"/>
          <w:color w:val="000000" w:themeColor="text1"/>
          <w:sz w:val="24"/>
        </w:rPr>
        <w:t>1</w:t>
      </w:r>
      <w:r>
        <w:rPr>
          <w:rFonts w:ascii="Times New Roman" w:eastAsia="宋体" w:hAnsi="Times New Roman" w:cs="Times New Roman" w:hint="eastAsia"/>
          <w:color w:val="000000" w:themeColor="text1"/>
          <w:sz w:val="24"/>
        </w:rPr>
        <w:t>条绿色有机硝基复合肥生产线，包括尿素合成装置、筛分冷却框架和尿素造粒塔，使用液氨、</w:t>
      </w:r>
      <w:r>
        <w:rPr>
          <w:rFonts w:ascii="Times New Roman" w:eastAsia="宋体" w:hAnsi="Times New Roman" w:cs="Times New Roman" w:hint="eastAsia"/>
          <w:color w:val="000000" w:themeColor="text1"/>
          <w:sz w:val="24"/>
        </w:rPr>
        <w:t>CO</w:t>
      </w:r>
      <w:r>
        <w:rPr>
          <w:rFonts w:ascii="Times New Roman" w:eastAsia="宋体" w:hAnsi="Times New Roman" w:cs="Times New Roman"/>
          <w:color w:val="000000" w:themeColor="text1"/>
          <w:sz w:val="24"/>
          <w:vertAlign w:val="subscript"/>
        </w:rPr>
        <w:t>2</w:t>
      </w:r>
      <w:r>
        <w:rPr>
          <w:rFonts w:ascii="Times New Roman" w:eastAsia="宋体" w:hAnsi="Times New Roman" w:cs="Times New Roman" w:hint="eastAsia"/>
          <w:color w:val="000000" w:themeColor="text1"/>
          <w:sz w:val="24"/>
        </w:rPr>
        <w:t>及有机质生产绿色有机硝基复合肥。</w:t>
      </w:r>
    </w:p>
    <w:p w:rsidR="00C861DA" w:rsidRDefault="0044752E">
      <w:pPr>
        <w:pStyle w:val="32"/>
        <w:rPr>
          <w:rFonts w:ascii="Times New Roman" w:eastAsia="宋体"/>
          <w:bCs w:val="0"/>
          <w:color w:val="000000" w:themeColor="text1"/>
          <w:sz w:val="24"/>
          <w:szCs w:val="24"/>
        </w:rPr>
      </w:pPr>
      <w:bookmarkStart w:id="209" w:name="_Toc6826783"/>
      <w:r>
        <w:rPr>
          <w:rFonts w:ascii="Times New Roman" w:eastAsia="宋体" w:hint="eastAsia"/>
          <w:bCs w:val="0"/>
          <w:color w:val="000000" w:themeColor="text1"/>
          <w:sz w:val="24"/>
          <w:szCs w:val="24"/>
        </w:rPr>
        <w:t>3</w:t>
      </w:r>
      <w:r>
        <w:rPr>
          <w:rFonts w:ascii="Times New Roman" w:eastAsia="宋体"/>
          <w:bCs w:val="0"/>
          <w:color w:val="000000" w:themeColor="text1"/>
          <w:sz w:val="24"/>
          <w:szCs w:val="24"/>
        </w:rPr>
        <w:t>.2.4</w:t>
      </w:r>
      <w:r>
        <w:rPr>
          <w:rFonts w:ascii="Times New Roman" w:eastAsia="宋体"/>
          <w:bCs w:val="0"/>
          <w:color w:val="000000" w:themeColor="text1"/>
          <w:sz w:val="24"/>
          <w:szCs w:val="24"/>
        </w:rPr>
        <w:t>公用工程</w:t>
      </w:r>
      <w:bookmarkEnd w:id="209"/>
    </w:p>
    <w:p w:rsidR="00C861DA" w:rsidRDefault="0044752E">
      <w:pPr>
        <w:spacing w:line="360" w:lineRule="auto"/>
        <w:ind w:leftChars="50" w:left="105" w:rightChars="50" w:right="105"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1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①</w:t>
      </w:r>
      <w:r>
        <w:rPr>
          <w:rFonts w:ascii="Times New Roman" w:eastAsia="宋体" w:hAnsi="Times New Roman" w:cs="Times New Roman"/>
          <w:b/>
          <w:color w:val="000000" w:themeColor="text1"/>
          <w:sz w:val="24"/>
        </w:rPr>
        <w:fldChar w:fldCharType="end"/>
      </w:r>
      <w:r>
        <w:rPr>
          <w:rFonts w:ascii="Times New Roman" w:eastAsia="宋体" w:hAnsi="Times New Roman" w:cs="Times New Roman"/>
          <w:b/>
          <w:color w:val="000000" w:themeColor="text1"/>
          <w:sz w:val="24"/>
        </w:rPr>
        <w:t>给水工程</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项目供水从祥丰金麦有限公司生产给水管道上接</w:t>
      </w:r>
      <w:r>
        <w:rPr>
          <w:rFonts w:ascii="Times New Roman" w:eastAsia="宋体" w:hAnsi="Times New Roman" w:cs="Times New Roman"/>
          <w:color w:val="000000" w:themeColor="text1"/>
          <w:sz w:val="24"/>
        </w:rPr>
        <w:t>DN50mm</w:t>
      </w:r>
      <w:r>
        <w:rPr>
          <w:rFonts w:ascii="Times New Roman" w:eastAsia="宋体" w:hAnsi="Times New Roman" w:cs="Times New Roman"/>
          <w:color w:val="000000" w:themeColor="text1"/>
          <w:sz w:val="24"/>
        </w:rPr>
        <w:t>的引入管，供水压力</w:t>
      </w:r>
      <w:r>
        <w:rPr>
          <w:rFonts w:ascii="Times New Roman" w:eastAsia="宋体" w:hAnsi="Times New Roman" w:cs="Times New Roman"/>
          <w:color w:val="000000" w:themeColor="text1"/>
          <w:sz w:val="24"/>
        </w:rPr>
        <w:t>≥0.30Mpa</w:t>
      </w:r>
      <w:r>
        <w:rPr>
          <w:rFonts w:ascii="Times New Roman" w:eastAsia="宋体" w:hAnsi="Times New Roman" w:cs="Times New Roman"/>
          <w:color w:val="000000" w:themeColor="text1"/>
          <w:sz w:val="24"/>
        </w:rPr>
        <w:t>，能够满足项目</w:t>
      </w:r>
      <w:r>
        <w:rPr>
          <w:rFonts w:ascii="Times New Roman" w:eastAsia="宋体" w:hAnsi="Times New Roman" w:cs="Times New Roman" w:hint="eastAsia"/>
          <w:color w:val="000000" w:themeColor="text1"/>
          <w:sz w:val="24"/>
        </w:rPr>
        <w:t>各环节冷却器冷却降温用水，年用水量为</w:t>
      </w:r>
      <w:r>
        <w:rPr>
          <w:rFonts w:ascii="Times New Roman" w:eastAsia="宋体" w:hAnsi="Times New Roman" w:cs="Times New Roman" w:hint="eastAsia"/>
          <w:color w:val="000000" w:themeColor="text1"/>
          <w:sz w:val="24"/>
        </w:rPr>
        <w:t>5</w:t>
      </w:r>
      <w:r>
        <w:rPr>
          <w:rFonts w:ascii="Times New Roman" w:eastAsia="宋体" w:hAnsi="Times New Roman" w:cs="Times New Roman"/>
          <w:color w:val="000000" w:themeColor="text1"/>
          <w:sz w:val="24"/>
        </w:rPr>
        <w:t>7600</w:t>
      </w:r>
      <w:r>
        <w:rPr>
          <w:rFonts w:ascii="Times New Roman" w:eastAsia="宋体" w:hAnsi="Times New Roman" w:cs="Times New Roman" w:hint="eastAsia"/>
          <w:color w:val="000000" w:themeColor="text1"/>
          <w:sz w:val="24"/>
        </w:rPr>
        <w:t>吨</w:t>
      </w:r>
      <w:r>
        <w:rPr>
          <w:rFonts w:ascii="Times New Roman" w:eastAsia="宋体" w:hAnsi="Times New Roman" w:cs="Times New Roman"/>
          <w:color w:val="000000" w:themeColor="text1"/>
          <w:sz w:val="24"/>
        </w:rPr>
        <w:t>。</w:t>
      </w:r>
    </w:p>
    <w:p w:rsidR="00C861DA" w:rsidRDefault="0044752E">
      <w:pPr>
        <w:spacing w:line="360" w:lineRule="auto"/>
        <w:ind w:leftChars="50" w:left="105" w:rightChars="50" w:right="105"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2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②</w:t>
      </w:r>
      <w:r>
        <w:rPr>
          <w:rFonts w:ascii="Times New Roman" w:eastAsia="宋体" w:hAnsi="Times New Roman" w:cs="Times New Roman"/>
          <w:b/>
          <w:color w:val="000000" w:themeColor="text1"/>
          <w:sz w:val="24"/>
        </w:rPr>
        <w:fldChar w:fldCharType="end"/>
      </w:r>
      <w:r>
        <w:rPr>
          <w:rFonts w:ascii="Times New Roman" w:eastAsia="宋体" w:hAnsi="Times New Roman" w:cs="Times New Roman"/>
          <w:b/>
          <w:color w:val="000000" w:themeColor="text1"/>
          <w:sz w:val="24"/>
        </w:rPr>
        <w:t>排水工程</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厂区排水采用雨污分流制，废水均不外排。</w:t>
      </w:r>
    </w:p>
    <w:p w:rsidR="00C861DA" w:rsidRDefault="0044752E">
      <w:pPr>
        <w:spacing w:line="360" w:lineRule="auto"/>
        <w:ind w:leftChars="50" w:left="105" w:rightChars="50" w:right="105" w:firstLineChars="200" w:firstLine="482"/>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初期雨水：</w:t>
      </w:r>
      <w:r>
        <w:rPr>
          <w:rFonts w:ascii="Times New Roman" w:eastAsia="宋体" w:hAnsi="Times New Roman" w:cs="Times New Roman"/>
          <w:color w:val="000000" w:themeColor="text1"/>
          <w:sz w:val="24"/>
          <w:szCs w:val="24"/>
        </w:rPr>
        <w:t>经重力排入雨水沉砂池经沉淀处理后用做场地降尘洒水。</w:t>
      </w:r>
    </w:p>
    <w:p w:rsidR="00C861DA" w:rsidRDefault="0044752E">
      <w:pPr>
        <w:pStyle w:val="21"/>
        <w:rPr>
          <w:rFonts w:ascii="Times New Roman" w:eastAsia="宋体" w:hAnsi="Times New Roman" w:cs="Times New Roman"/>
          <w:color w:val="000000" w:themeColor="text1"/>
          <w:sz w:val="24"/>
          <w:szCs w:val="24"/>
        </w:rPr>
      </w:pPr>
      <w:r>
        <w:rPr>
          <w:rFonts w:ascii="Times New Roman" w:eastAsia="宋体" w:hAnsi="Times New Roman" w:cs="Times New Roman" w:hint="eastAsia"/>
          <w:b/>
          <w:color w:val="000000" w:themeColor="text1"/>
          <w:sz w:val="24"/>
          <w:szCs w:val="24"/>
        </w:rPr>
        <w:t>生产废水</w:t>
      </w:r>
      <w:r>
        <w:rPr>
          <w:rFonts w:ascii="Times New Roman" w:eastAsia="宋体" w:hAnsi="Times New Roman" w:cs="Times New Roman"/>
          <w:b/>
          <w:color w:val="000000" w:themeColor="text1"/>
          <w:sz w:val="24"/>
          <w:szCs w:val="24"/>
        </w:rPr>
        <w:t>：</w:t>
      </w:r>
      <w:r>
        <w:rPr>
          <w:rFonts w:ascii="Times New Roman" w:eastAsia="宋体" w:hAnsi="Times New Roman" w:cs="Times New Roman"/>
          <w:color w:val="000000" w:themeColor="text1"/>
          <w:sz w:val="24"/>
          <w:szCs w:val="24"/>
        </w:rPr>
        <w:t>本项目</w:t>
      </w:r>
      <w:r>
        <w:rPr>
          <w:rFonts w:ascii="Times New Roman" w:eastAsia="宋体" w:hAnsi="Times New Roman" w:cs="Times New Roman" w:hint="eastAsia"/>
          <w:color w:val="000000" w:themeColor="text1"/>
          <w:sz w:val="24"/>
          <w:szCs w:val="24"/>
        </w:rPr>
        <w:t>生产废水均收集与生产废水收集池并输送至祥丰金麦化工湿法球磨站作为补充水</w:t>
      </w:r>
      <w:r>
        <w:rPr>
          <w:rFonts w:ascii="Times New Roman" w:eastAsia="宋体" w:hAnsi="Times New Roman" w:cs="Times New Roman"/>
          <w:color w:val="000000" w:themeColor="text1"/>
          <w:sz w:val="24"/>
          <w:szCs w:val="24"/>
        </w:rPr>
        <w:t>，不外排。</w:t>
      </w:r>
    </w:p>
    <w:p w:rsidR="00C861DA" w:rsidRDefault="0044752E">
      <w:pPr>
        <w:pStyle w:val="21"/>
        <w:rPr>
          <w:rFonts w:ascii="Times New Roman" w:eastAsia="宋体" w:hAnsi="Times New Roman" w:cs="Times New Roman"/>
          <w:color w:val="000000" w:themeColor="text1"/>
          <w:sz w:val="24"/>
          <w:szCs w:val="24"/>
        </w:rPr>
      </w:pPr>
      <w:r>
        <w:rPr>
          <w:rFonts w:ascii="Times New Roman" w:eastAsia="宋体" w:hAnsi="Times New Roman" w:cs="Times New Roman" w:hint="eastAsia"/>
          <w:b/>
          <w:color w:val="000000" w:themeColor="text1"/>
          <w:sz w:val="24"/>
          <w:szCs w:val="24"/>
        </w:rPr>
        <w:t>生活废水：</w:t>
      </w:r>
      <w:r>
        <w:rPr>
          <w:rFonts w:ascii="Times New Roman" w:eastAsia="宋体" w:hAnsi="Times New Roman" w:cs="Times New Roman" w:hint="eastAsia"/>
          <w:color w:val="000000" w:themeColor="text1"/>
          <w:sz w:val="24"/>
          <w:szCs w:val="24"/>
        </w:rPr>
        <w:t>本项目员工生活均依托“</w:t>
      </w:r>
      <w:r>
        <w:rPr>
          <w:rFonts w:ascii="Times New Roman" w:eastAsia="宋体" w:hAnsi="Times New Roman" w:cs="Times New Roman" w:hint="eastAsia"/>
          <w:color w:val="000000" w:themeColor="text1"/>
          <w:sz w:val="24"/>
          <w:szCs w:val="24"/>
        </w:rPr>
        <w:t>3</w:t>
      </w:r>
      <w:r>
        <w:rPr>
          <w:rFonts w:ascii="Times New Roman" w:eastAsia="宋体" w:hAnsi="Times New Roman" w:cs="Times New Roman"/>
          <w:color w:val="000000" w:themeColor="text1"/>
          <w:sz w:val="24"/>
          <w:szCs w:val="24"/>
        </w:rPr>
        <w:t>0</w:t>
      </w:r>
      <w:r>
        <w:rPr>
          <w:rFonts w:ascii="Times New Roman" w:eastAsia="宋体" w:hAnsi="Times New Roman" w:cs="Times New Roman" w:hint="eastAsia"/>
          <w:color w:val="000000" w:themeColor="text1"/>
          <w:sz w:val="24"/>
          <w:szCs w:val="24"/>
        </w:rPr>
        <w:t>万吨合成氨装置项目”办公生活设施，产生的生活废水依托该项目生活废水处理站处置达标后用于绿化，不外排。</w:t>
      </w:r>
    </w:p>
    <w:p w:rsidR="00C861DA" w:rsidRDefault="0044752E">
      <w:pPr>
        <w:spacing w:line="360" w:lineRule="auto"/>
        <w:ind w:leftChars="50" w:left="105" w:rightChars="50" w:right="105"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3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③</w:t>
      </w:r>
      <w:r>
        <w:rPr>
          <w:rFonts w:ascii="Times New Roman" w:eastAsia="宋体" w:hAnsi="Times New Roman" w:cs="Times New Roman"/>
          <w:b/>
          <w:color w:val="000000" w:themeColor="text1"/>
          <w:sz w:val="24"/>
        </w:rPr>
        <w:fldChar w:fldCharType="end"/>
      </w:r>
      <w:r>
        <w:rPr>
          <w:rFonts w:ascii="Times New Roman" w:eastAsia="宋体" w:hAnsi="Times New Roman" w:cs="Times New Roman"/>
          <w:b/>
          <w:color w:val="000000" w:themeColor="text1"/>
          <w:sz w:val="24"/>
        </w:rPr>
        <w:t>供电</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电源引自工业园区</w:t>
      </w:r>
      <w:r>
        <w:rPr>
          <w:rFonts w:ascii="Times New Roman" w:eastAsia="宋体" w:hAnsi="Times New Roman" w:cs="Times New Roman"/>
          <w:color w:val="000000" w:themeColor="text1"/>
          <w:sz w:val="24"/>
        </w:rPr>
        <w:t>10kV</w:t>
      </w:r>
      <w:r>
        <w:rPr>
          <w:rFonts w:ascii="Times New Roman" w:eastAsia="宋体" w:hAnsi="Times New Roman" w:cs="Times New Roman"/>
          <w:color w:val="000000" w:themeColor="text1"/>
          <w:sz w:val="24"/>
        </w:rPr>
        <w:t>变电站</w:t>
      </w:r>
      <w:r>
        <w:rPr>
          <w:rFonts w:ascii="Times New Roman" w:eastAsia="宋体" w:hAnsi="Times New Roman" w:cs="Times New Roman" w:hint="eastAsia"/>
          <w:color w:val="000000" w:themeColor="text1"/>
          <w:sz w:val="24"/>
        </w:rPr>
        <w:t>，经自检变电所降压后使用</w:t>
      </w:r>
      <w:r>
        <w:rPr>
          <w:rFonts w:ascii="Times New Roman" w:eastAsia="宋体" w:hAnsi="Times New Roman" w:cs="Times New Roman"/>
          <w:color w:val="000000" w:themeColor="text1"/>
          <w:sz w:val="24"/>
        </w:rPr>
        <w:t>。</w:t>
      </w:r>
    </w:p>
    <w:p w:rsidR="00C861DA" w:rsidRDefault="0044752E">
      <w:pPr>
        <w:pStyle w:val="32"/>
        <w:rPr>
          <w:rFonts w:ascii="Times New Roman" w:eastAsia="宋体"/>
          <w:bCs w:val="0"/>
          <w:color w:val="000000" w:themeColor="text1"/>
          <w:sz w:val="24"/>
          <w:szCs w:val="24"/>
        </w:rPr>
      </w:pPr>
      <w:bookmarkStart w:id="210" w:name="_Toc6826784"/>
      <w:r>
        <w:rPr>
          <w:rFonts w:ascii="Times New Roman" w:eastAsia="宋体" w:hint="eastAsia"/>
          <w:bCs w:val="0"/>
          <w:color w:val="000000" w:themeColor="text1"/>
          <w:sz w:val="24"/>
          <w:szCs w:val="24"/>
        </w:rPr>
        <w:t>3</w:t>
      </w:r>
      <w:r>
        <w:rPr>
          <w:rFonts w:ascii="Times New Roman" w:eastAsia="宋体"/>
          <w:bCs w:val="0"/>
          <w:color w:val="000000" w:themeColor="text1"/>
          <w:sz w:val="24"/>
          <w:szCs w:val="24"/>
        </w:rPr>
        <w:t>.2.5</w:t>
      </w:r>
      <w:r>
        <w:rPr>
          <w:rFonts w:ascii="Times New Roman" w:eastAsia="宋体"/>
          <w:bCs w:val="0"/>
          <w:color w:val="000000" w:themeColor="text1"/>
          <w:sz w:val="24"/>
          <w:szCs w:val="24"/>
        </w:rPr>
        <w:t>辅助工程</w:t>
      </w:r>
      <w:bookmarkEnd w:id="210"/>
    </w:p>
    <w:p w:rsidR="00C861DA" w:rsidRDefault="0044752E">
      <w:pPr>
        <w:spacing w:line="360" w:lineRule="auto"/>
        <w:ind w:leftChars="50" w:left="105" w:rightChars="50" w:right="105"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1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①</w:t>
      </w:r>
      <w:r>
        <w:rPr>
          <w:rFonts w:ascii="Times New Roman" w:eastAsia="宋体" w:hAnsi="Times New Roman" w:cs="Times New Roman"/>
          <w:b/>
          <w:color w:val="000000" w:themeColor="text1"/>
          <w:sz w:val="24"/>
        </w:rPr>
        <w:fldChar w:fldCharType="end"/>
      </w:r>
      <w:r>
        <w:rPr>
          <w:rFonts w:ascii="Times New Roman" w:eastAsia="宋体" w:hAnsi="Times New Roman" w:cs="Times New Roman" w:hint="eastAsia"/>
          <w:b/>
          <w:color w:val="000000" w:themeColor="text1"/>
          <w:sz w:val="24"/>
        </w:rPr>
        <w:t>复合肥原料仓</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设有</w:t>
      </w:r>
      <w:r>
        <w:rPr>
          <w:rFonts w:ascii="Times New Roman" w:eastAsia="宋体" w:hAnsi="Times New Roman" w:cs="Times New Roman" w:hint="eastAsia"/>
          <w:color w:val="000000" w:themeColor="text1"/>
          <w:sz w:val="24"/>
        </w:rPr>
        <w:t>原料仓库</w:t>
      </w:r>
      <w:r>
        <w:rPr>
          <w:rFonts w:ascii="Times New Roman" w:eastAsia="宋体" w:hAnsi="Times New Roman" w:cs="Times New Roman"/>
          <w:color w:val="000000" w:themeColor="text1"/>
          <w:sz w:val="24"/>
        </w:rPr>
        <w:t>，提供</w:t>
      </w:r>
      <w:r>
        <w:rPr>
          <w:rFonts w:ascii="Times New Roman" w:eastAsia="宋体" w:hAnsi="Times New Roman" w:cs="Times New Roman" w:hint="eastAsia"/>
          <w:color w:val="000000" w:themeColor="text1"/>
          <w:sz w:val="24"/>
        </w:rPr>
        <w:t>有机质、硝酸钾等原料</w:t>
      </w:r>
      <w:r>
        <w:rPr>
          <w:rFonts w:ascii="Times New Roman" w:eastAsia="宋体" w:hAnsi="Times New Roman" w:cs="Times New Roman"/>
          <w:color w:val="000000" w:themeColor="text1"/>
          <w:sz w:val="24"/>
        </w:rPr>
        <w:t>的</w:t>
      </w:r>
      <w:r>
        <w:rPr>
          <w:rFonts w:ascii="Times New Roman" w:eastAsia="宋体" w:hAnsi="Times New Roman" w:cs="Times New Roman" w:hint="eastAsia"/>
          <w:color w:val="000000" w:themeColor="text1"/>
          <w:sz w:val="24"/>
        </w:rPr>
        <w:t>堆放</w:t>
      </w:r>
      <w:r>
        <w:rPr>
          <w:rFonts w:ascii="Times New Roman" w:eastAsia="宋体" w:hAnsi="Times New Roman" w:cs="Times New Roman"/>
          <w:color w:val="000000" w:themeColor="text1"/>
          <w:sz w:val="24"/>
        </w:rPr>
        <w:t>场</w:t>
      </w:r>
      <w:r>
        <w:rPr>
          <w:rFonts w:ascii="Times New Roman" w:eastAsia="宋体" w:hAnsi="Times New Roman" w:cs="Times New Roman" w:hint="eastAsia"/>
          <w:color w:val="000000" w:themeColor="text1"/>
          <w:sz w:val="24"/>
        </w:rPr>
        <w:t>房</w:t>
      </w:r>
      <w:r>
        <w:rPr>
          <w:rFonts w:ascii="Times New Roman" w:eastAsia="宋体" w:hAnsi="Times New Roman" w:cs="Times New Roman"/>
          <w:color w:val="000000" w:themeColor="text1"/>
          <w:sz w:val="24"/>
        </w:rPr>
        <w:t>。</w:t>
      </w:r>
    </w:p>
    <w:p w:rsidR="00C861DA" w:rsidRDefault="0044752E">
      <w:pPr>
        <w:spacing w:line="360" w:lineRule="auto"/>
        <w:ind w:leftChars="50" w:left="105" w:rightChars="50" w:right="105"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2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②</w:t>
      </w:r>
      <w:r>
        <w:rPr>
          <w:rFonts w:ascii="Times New Roman" w:eastAsia="宋体" w:hAnsi="Times New Roman" w:cs="Times New Roman"/>
          <w:b/>
          <w:color w:val="000000" w:themeColor="text1"/>
          <w:sz w:val="24"/>
        </w:rPr>
        <w:fldChar w:fldCharType="end"/>
      </w:r>
      <w:r>
        <w:rPr>
          <w:rFonts w:ascii="Times New Roman" w:eastAsia="宋体" w:hAnsi="Times New Roman" w:cs="Times New Roman" w:hint="eastAsia"/>
          <w:b/>
          <w:color w:val="000000" w:themeColor="text1"/>
          <w:sz w:val="24"/>
        </w:rPr>
        <w:t>成品散库</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各生产线生产出的成品在包装前暂存场房</w:t>
      </w:r>
      <w:r>
        <w:rPr>
          <w:rFonts w:ascii="Times New Roman" w:eastAsia="宋体" w:hAnsi="Times New Roman" w:cs="Times New Roman"/>
          <w:color w:val="000000" w:themeColor="text1"/>
          <w:sz w:val="24"/>
        </w:rPr>
        <w:t>。</w:t>
      </w:r>
    </w:p>
    <w:p w:rsidR="00C861DA" w:rsidRDefault="0044752E">
      <w:pPr>
        <w:spacing w:line="360" w:lineRule="auto"/>
        <w:ind w:leftChars="50" w:left="105" w:rightChars="50" w:right="105"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3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③</w:t>
      </w:r>
      <w:r>
        <w:rPr>
          <w:rFonts w:ascii="Times New Roman" w:eastAsia="宋体" w:hAnsi="Times New Roman" w:cs="Times New Roman"/>
          <w:b/>
          <w:color w:val="000000" w:themeColor="text1"/>
          <w:sz w:val="24"/>
        </w:rPr>
        <w:fldChar w:fldCharType="end"/>
      </w:r>
      <w:r>
        <w:rPr>
          <w:rFonts w:ascii="Times New Roman" w:eastAsia="宋体" w:hAnsi="Times New Roman" w:cs="Times New Roman" w:hint="eastAsia"/>
          <w:b/>
          <w:color w:val="000000" w:themeColor="text1"/>
          <w:sz w:val="24"/>
        </w:rPr>
        <w:t>成品袋库</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成品袋装后入库待售</w:t>
      </w:r>
      <w:r>
        <w:rPr>
          <w:rFonts w:ascii="Times New Roman" w:eastAsia="宋体" w:hAnsi="Times New Roman" w:cs="Times New Roman"/>
          <w:color w:val="000000" w:themeColor="text1"/>
          <w:sz w:val="24"/>
        </w:rPr>
        <w:t>。</w:t>
      </w:r>
    </w:p>
    <w:p w:rsidR="00C861DA" w:rsidRDefault="0044752E">
      <w:pPr>
        <w:spacing w:line="360" w:lineRule="auto"/>
        <w:ind w:leftChars="50" w:left="105" w:rightChars="50" w:right="105"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4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④</w:t>
      </w:r>
      <w:r>
        <w:rPr>
          <w:rFonts w:ascii="Times New Roman" w:eastAsia="宋体" w:hAnsi="Times New Roman" w:cs="Times New Roman"/>
          <w:b/>
          <w:color w:val="000000" w:themeColor="text1"/>
          <w:sz w:val="24"/>
        </w:rPr>
        <w:fldChar w:fldCharType="end"/>
      </w:r>
      <w:r>
        <w:rPr>
          <w:rFonts w:ascii="Times New Roman" w:eastAsia="宋体" w:hAnsi="Times New Roman" w:cs="Times New Roman" w:hint="eastAsia"/>
          <w:b/>
          <w:color w:val="000000" w:themeColor="text1"/>
          <w:sz w:val="24"/>
        </w:rPr>
        <w:t>包装楼</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用于散装成品包装成袋</w:t>
      </w:r>
      <w:r>
        <w:rPr>
          <w:rFonts w:ascii="Times New Roman" w:eastAsia="宋体" w:hAnsi="Times New Roman" w:cs="Times New Roman"/>
          <w:color w:val="000000" w:themeColor="text1"/>
          <w:sz w:val="24"/>
        </w:rPr>
        <w:t>。</w:t>
      </w:r>
    </w:p>
    <w:p w:rsidR="00C861DA" w:rsidRDefault="0044752E">
      <w:pPr>
        <w:pStyle w:val="32"/>
        <w:rPr>
          <w:rFonts w:ascii="Times New Roman" w:eastAsia="宋体"/>
          <w:bCs w:val="0"/>
          <w:color w:val="000000" w:themeColor="text1"/>
          <w:sz w:val="24"/>
          <w:szCs w:val="24"/>
        </w:rPr>
      </w:pPr>
      <w:bookmarkStart w:id="211" w:name="_Toc6826785"/>
      <w:r>
        <w:rPr>
          <w:rFonts w:ascii="Times New Roman" w:eastAsia="宋体"/>
          <w:bCs w:val="0"/>
          <w:color w:val="000000" w:themeColor="text1"/>
          <w:sz w:val="24"/>
          <w:szCs w:val="24"/>
        </w:rPr>
        <w:t>3.2.6</w:t>
      </w:r>
      <w:r>
        <w:rPr>
          <w:rFonts w:ascii="Times New Roman" w:eastAsia="宋体"/>
          <w:bCs w:val="0"/>
          <w:color w:val="000000" w:themeColor="text1"/>
          <w:sz w:val="24"/>
          <w:szCs w:val="24"/>
        </w:rPr>
        <w:t>依托工程</w:t>
      </w:r>
      <w:bookmarkEnd w:id="211"/>
    </w:p>
    <w:p w:rsidR="00C861DA" w:rsidRDefault="0044752E">
      <w:pPr>
        <w:spacing w:line="360" w:lineRule="auto"/>
        <w:ind w:leftChars="50" w:left="105" w:rightChars="50" w:right="105" w:firstLineChars="200" w:firstLine="482"/>
        <w:rPr>
          <w:rFonts w:ascii="Times New Roman" w:eastAsia="宋体" w:hAnsi="Times New Roman" w:cs="Times New Roman"/>
          <w:color w:val="000000" w:themeColor="text1"/>
          <w:sz w:val="24"/>
        </w:rPr>
      </w:pPr>
      <w:r>
        <w:rPr>
          <w:rFonts w:ascii="Times New Roman" w:eastAsia="宋体" w:hAnsi="Times New Roman" w:cs="Times New Roman"/>
          <w:b/>
          <w:color w:val="000000" w:themeColor="text1"/>
          <w:sz w:val="24"/>
        </w:rPr>
        <w:t>办公生活设施</w:t>
      </w:r>
      <w:r>
        <w:rPr>
          <w:rFonts w:ascii="Times New Roman" w:eastAsia="宋体" w:hAnsi="Times New Roman" w:cs="Times New Roman" w:hint="eastAsia"/>
          <w:b/>
          <w:color w:val="000000" w:themeColor="text1"/>
          <w:sz w:val="24"/>
        </w:rPr>
        <w:t>：</w:t>
      </w:r>
      <w:r>
        <w:rPr>
          <w:rFonts w:ascii="Times New Roman" w:eastAsia="宋体" w:hAnsi="Times New Roman" w:cs="Times New Roman"/>
          <w:color w:val="000000" w:themeColor="text1"/>
          <w:sz w:val="24"/>
        </w:rPr>
        <w:t>本项目不设置单独的办公生活设施，员工的办公生活均依托</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3</w:t>
      </w:r>
      <w:r>
        <w:rPr>
          <w:rFonts w:ascii="Times New Roman" w:eastAsia="宋体" w:hAnsi="Times New Roman" w:cs="Times New Roman"/>
          <w:color w:val="000000" w:themeColor="text1"/>
          <w:sz w:val="24"/>
        </w:rPr>
        <w:t>0</w:t>
      </w:r>
      <w:r>
        <w:rPr>
          <w:rFonts w:ascii="Times New Roman" w:eastAsia="宋体" w:hAnsi="Times New Roman" w:cs="Times New Roman" w:hint="eastAsia"/>
          <w:color w:val="000000" w:themeColor="text1"/>
          <w:sz w:val="24"/>
        </w:rPr>
        <w:t>万吨</w:t>
      </w:r>
      <w:r>
        <w:rPr>
          <w:rFonts w:ascii="Times New Roman" w:eastAsia="宋体" w:hAnsi="Times New Roman" w:cs="Times New Roman"/>
          <w:color w:val="000000" w:themeColor="text1"/>
          <w:sz w:val="24"/>
        </w:rPr>
        <w:t>合成氨装置项目</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使用。</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b/>
          <w:color w:val="000000" w:themeColor="text1"/>
          <w:sz w:val="24"/>
        </w:rPr>
        <w:t>生活废水处理站：</w:t>
      </w:r>
      <w:r>
        <w:rPr>
          <w:rFonts w:ascii="Times New Roman" w:eastAsia="宋体" w:hAnsi="Times New Roman" w:cs="Times New Roman" w:hint="eastAsia"/>
          <w:color w:val="000000" w:themeColor="text1"/>
          <w:sz w:val="24"/>
        </w:rPr>
        <w:t>本项目员工办公生活设施依托“</w:t>
      </w:r>
      <w:r>
        <w:rPr>
          <w:rFonts w:ascii="Times New Roman" w:eastAsia="宋体" w:hAnsi="Times New Roman" w:cs="Times New Roman" w:hint="eastAsia"/>
          <w:color w:val="000000" w:themeColor="text1"/>
          <w:sz w:val="24"/>
        </w:rPr>
        <w:t>3</w:t>
      </w:r>
      <w:r>
        <w:rPr>
          <w:rFonts w:ascii="Times New Roman" w:eastAsia="宋体" w:hAnsi="Times New Roman" w:cs="Times New Roman"/>
          <w:color w:val="000000" w:themeColor="text1"/>
          <w:sz w:val="24"/>
        </w:rPr>
        <w:t>0</w:t>
      </w:r>
      <w:r>
        <w:rPr>
          <w:rFonts w:ascii="Times New Roman" w:eastAsia="宋体" w:hAnsi="Times New Roman" w:cs="Times New Roman" w:hint="eastAsia"/>
          <w:color w:val="000000" w:themeColor="text1"/>
          <w:sz w:val="24"/>
        </w:rPr>
        <w:t>万吨合成氨装置项目”办公生活设施，产生的生活污水与该项目员工混合后排入化粪池，经处理后统一排入“</w:t>
      </w:r>
      <w:r>
        <w:rPr>
          <w:rFonts w:ascii="Times New Roman" w:eastAsia="宋体" w:hAnsi="Times New Roman" w:cs="Times New Roman" w:hint="eastAsia"/>
          <w:color w:val="000000" w:themeColor="text1"/>
          <w:sz w:val="24"/>
        </w:rPr>
        <w:t>3</w:t>
      </w:r>
      <w:r>
        <w:rPr>
          <w:rFonts w:ascii="Times New Roman" w:eastAsia="宋体" w:hAnsi="Times New Roman" w:cs="Times New Roman"/>
          <w:color w:val="000000" w:themeColor="text1"/>
          <w:sz w:val="24"/>
        </w:rPr>
        <w:t>0</w:t>
      </w:r>
      <w:r>
        <w:rPr>
          <w:rFonts w:ascii="Times New Roman" w:eastAsia="宋体" w:hAnsi="Times New Roman" w:cs="Times New Roman" w:hint="eastAsia"/>
          <w:color w:val="000000" w:themeColor="text1"/>
          <w:sz w:val="24"/>
        </w:rPr>
        <w:t>万吨合成氨装置项目”生活废水处理站处理。</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b/>
          <w:color w:val="000000" w:themeColor="text1"/>
          <w:sz w:val="24"/>
        </w:rPr>
        <w:t>危废暂存间：</w:t>
      </w:r>
      <w:r>
        <w:rPr>
          <w:rFonts w:ascii="Times New Roman" w:eastAsia="宋体" w:hAnsi="Times New Roman" w:cs="Times New Roman" w:hint="eastAsia"/>
          <w:color w:val="000000" w:themeColor="text1"/>
          <w:sz w:val="24"/>
        </w:rPr>
        <w:t>本项目不再单独设置危废暂存间，项目生产过程中产生的危废依托“</w:t>
      </w:r>
      <w:r>
        <w:rPr>
          <w:rFonts w:ascii="Times New Roman" w:eastAsia="宋体" w:hAnsi="Times New Roman" w:cs="Times New Roman"/>
          <w:color w:val="000000" w:themeColor="text1"/>
          <w:sz w:val="24"/>
        </w:rPr>
        <w:t>30</w:t>
      </w:r>
      <w:r>
        <w:rPr>
          <w:rFonts w:ascii="Times New Roman" w:eastAsia="宋体" w:hAnsi="Times New Roman" w:cs="Times New Roman" w:hint="eastAsia"/>
          <w:color w:val="000000" w:themeColor="text1"/>
          <w:sz w:val="24"/>
        </w:rPr>
        <w:t>万吨合成氨装置项目”已建危废暂存间使用。</w:t>
      </w:r>
    </w:p>
    <w:p w:rsidR="00C861DA" w:rsidRDefault="0044752E">
      <w:pPr>
        <w:pStyle w:val="32"/>
        <w:rPr>
          <w:rFonts w:ascii="Times New Roman" w:eastAsia="宋体"/>
          <w:bCs w:val="0"/>
          <w:color w:val="000000" w:themeColor="text1"/>
          <w:sz w:val="24"/>
          <w:szCs w:val="24"/>
        </w:rPr>
      </w:pPr>
      <w:bookmarkStart w:id="212" w:name="_Toc6826786"/>
      <w:r>
        <w:rPr>
          <w:rFonts w:ascii="Times New Roman" w:eastAsia="宋体" w:hint="eastAsia"/>
          <w:bCs w:val="0"/>
          <w:color w:val="000000" w:themeColor="text1"/>
          <w:sz w:val="24"/>
          <w:szCs w:val="24"/>
        </w:rPr>
        <w:t>3</w:t>
      </w:r>
      <w:r>
        <w:rPr>
          <w:rFonts w:ascii="Times New Roman" w:eastAsia="宋体"/>
          <w:bCs w:val="0"/>
          <w:color w:val="000000" w:themeColor="text1"/>
          <w:sz w:val="24"/>
          <w:szCs w:val="24"/>
        </w:rPr>
        <w:t>.2.7</w:t>
      </w:r>
      <w:r>
        <w:rPr>
          <w:rFonts w:ascii="Times New Roman" w:eastAsia="宋体"/>
          <w:bCs w:val="0"/>
          <w:color w:val="000000" w:themeColor="text1"/>
          <w:sz w:val="24"/>
          <w:szCs w:val="24"/>
        </w:rPr>
        <w:t>环保工程</w:t>
      </w:r>
      <w:bookmarkEnd w:id="212"/>
    </w:p>
    <w:p w:rsidR="00C861DA" w:rsidRDefault="0044752E">
      <w:pPr>
        <w:spacing w:line="360" w:lineRule="auto"/>
        <w:ind w:left="50" w:right="50"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1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①</w:t>
      </w:r>
      <w:r>
        <w:rPr>
          <w:rFonts w:ascii="Times New Roman" w:eastAsia="宋体" w:hAnsi="Times New Roman" w:cs="Times New Roman"/>
          <w:b/>
          <w:color w:val="000000" w:themeColor="text1"/>
          <w:sz w:val="24"/>
        </w:rPr>
        <w:fldChar w:fldCharType="end"/>
      </w:r>
      <w:r>
        <w:rPr>
          <w:rFonts w:ascii="Times New Roman" w:eastAsia="宋体" w:hAnsi="Times New Roman" w:cs="Times New Roman" w:hint="eastAsia"/>
          <w:b/>
          <w:color w:val="000000" w:themeColor="text1"/>
          <w:sz w:val="24"/>
        </w:rPr>
        <w:t>事故池</w:t>
      </w:r>
    </w:p>
    <w:p w:rsidR="00C861DA" w:rsidRDefault="0044752E">
      <w:pPr>
        <w:spacing w:line="360" w:lineRule="auto"/>
        <w:ind w:left="50" w:right="50"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设有</w:t>
      </w:r>
      <w:r>
        <w:rPr>
          <w:rFonts w:cs="宋体" w:hint="eastAsia"/>
          <w:color w:val="000000" w:themeColor="text1"/>
        </w:rPr>
        <w:t>一</w:t>
      </w:r>
      <w:r>
        <w:rPr>
          <w:rFonts w:ascii="Times New Roman" w:eastAsia="宋体" w:hAnsi="Times New Roman" w:cs="Times New Roman" w:hint="eastAsia"/>
          <w:color w:val="000000" w:themeColor="text1"/>
          <w:sz w:val="24"/>
        </w:rPr>
        <w:t>个容积为</w:t>
      </w:r>
      <w:r>
        <w:rPr>
          <w:rFonts w:ascii="Times New Roman" w:eastAsia="宋体" w:hAnsi="Times New Roman" w:cs="Times New Roman" w:hint="eastAsia"/>
          <w:color w:val="000000" w:themeColor="text1"/>
          <w:sz w:val="24"/>
        </w:rPr>
        <w:t>2</w:t>
      </w:r>
      <w:r>
        <w:rPr>
          <w:rFonts w:ascii="Times New Roman" w:eastAsia="宋体" w:hAnsi="Times New Roman" w:cs="Times New Roman"/>
          <w:color w:val="000000" w:themeColor="text1"/>
          <w:sz w:val="24"/>
        </w:rPr>
        <w:t>60</w:t>
      </w:r>
      <w:r>
        <w:rPr>
          <w:rFonts w:ascii="Times New Roman" w:eastAsia="宋体" w:hAnsi="Times New Roman" w:cs="Times New Roman" w:hint="eastAsia"/>
          <w:color w:val="000000" w:themeColor="text1"/>
          <w:sz w:val="24"/>
        </w:rPr>
        <w:t>0m</w:t>
      </w:r>
      <w:r>
        <w:rPr>
          <w:rFonts w:ascii="Times New Roman" w:eastAsia="宋体" w:hAnsi="Times New Roman" w:cs="Times New Roman" w:hint="eastAsia"/>
          <w:color w:val="000000" w:themeColor="text1"/>
          <w:sz w:val="24"/>
          <w:vertAlign w:val="superscript"/>
        </w:rPr>
        <w:t>3</w:t>
      </w:r>
      <w:r>
        <w:rPr>
          <w:rFonts w:ascii="Times New Roman" w:eastAsia="宋体" w:hAnsi="Times New Roman" w:cs="Times New Roman" w:hint="eastAsia"/>
          <w:color w:val="000000" w:themeColor="text1"/>
          <w:sz w:val="24"/>
        </w:rPr>
        <w:t>的事故水池，事故状态下所有废水均进入事故水池，不外排</w:t>
      </w:r>
      <w:r>
        <w:rPr>
          <w:rFonts w:ascii="Times New Roman" w:eastAsia="宋体" w:hAnsi="Times New Roman" w:cs="Times New Roman"/>
          <w:color w:val="000000" w:themeColor="text1"/>
          <w:sz w:val="24"/>
        </w:rPr>
        <w:t>。</w:t>
      </w:r>
    </w:p>
    <w:p w:rsidR="00C861DA" w:rsidRDefault="0044752E">
      <w:pPr>
        <w:spacing w:line="360" w:lineRule="auto"/>
        <w:ind w:left="50" w:right="50"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2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②</w:t>
      </w:r>
      <w:r>
        <w:rPr>
          <w:rFonts w:ascii="Times New Roman" w:eastAsia="宋体" w:hAnsi="Times New Roman" w:cs="Times New Roman"/>
          <w:b/>
          <w:color w:val="000000" w:themeColor="text1"/>
          <w:sz w:val="24"/>
        </w:rPr>
        <w:fldChar w:fldCharType="end"/>
      </w:r>
      <w:r>
        <w:rPr>
          <w:rFonts w:ascii="Times New Roman" w:eastAsia="宋体" w:hAnsi="Times New Roman" w:cs="Times New Roman" w:hint="eastAsia"/>
          <w:b/>
          <w:color w:val="000000" w:themeColor="text1"/>
          <w:sz w:val="24"/>
        </w:rPr>
        <w:t>初期雨水收集池</w:t>
      </w:r>
    </w:p>
    <w:p w:rsidR="00C861DA" w:rsidRDefault="0044752E">
      <w:pPr>
        <w:spacing w:line="360" w:lineRule="auto"/>
        <w:ind w:left="50" w:right="50"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设置有初期雨水沉淀池容积</w:t>
      </w:r>
      <w:r>
        <w:rPr>
          <w:rFonts w:ascii="Times New Roman" w:eastAsia="宋体" w:hAnsi="Times New Roman" w:cs="Times New Roman"/>
          <w:color w:val="000000" w:themeColor="text1"/>
          <w:sz w:val="24"/>
        </w:rPr>
        <w:t>4300m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，初期雨水进入雨水沉淀池，经沉淀处理后</w:t>
      </w:r>
      <w:r>
        <w:rPr>
          <w:rFonts w:ascii="Times New Roman" w:eastAsia="宋体" w:hAnsi="Times New Roman" w:cs="Times New Roman" w:hint="eastAsia"/>
          <w:color w:val="000000" w:themeColor="text1"/>
          <w:sz w:val="24"/>
        </w:rPr>
        <w:t>用做场地降尘洒水</w:t>
      </w:r>
      <w:r>
        <w:rPr>
          <w:rFonts w:ascii="Times New Roman" w:eastAsia="宋体" w:hAnsi="Times New Roman" w:cs="Times New Roman"/>
          <w:color w:val="000000" w:themeColor="text1"/>
          <w:sz w:val="24"/>
        </w:rPr>
        <w:t>。</w:t>
      </w:r>
    </w:p>
    <w:p w:rsidR="00C861DA" w:rsidRDefault="0044752E">
      <w:pPr>
        <w:spacing w:line="360" w:lineRule="auto"/>
        <w:ind w:left="50" w:right="50" w:firstLineChars="200" w:firstLine="482"/>
        <w:rPr>
          <w:rFonts w:ascii="宋体" w:eastAsia="宋体" w:hAnsi="宋体" w:cs="宋体"/>
          <w:b/>
          <w:color w:val="000000" w:themeColor="text1"/>
          <w:sz w:val="24"/>
        </w:rPr>
      </w:pPr>
      <w:r>
        <w:rPr>
          <w:rFonts w:ascii="宋体" w:eastAsia="宋体" w:hAnsi="宋体" w:cs="宋体"/>
          <w:b/>
          <w:color w:val="000000" w:themeColor="text1"/>
          <w:sz w:val="24"/>
        </w:rPr>
        <w:fldChar w:fldCharType="begin"/>
      </w:r>
      <w:r>
        <w:rPr>
          <w:rFonts w:ascii="宋体" w:eastAsia="宋体" w:hAnsi="宋体" w:cs="宋体"/>
          <w:b/>
          <w:color w:val="000000" w:themeColor="text1"/>
          <w:sz w:val="24"/>
        </w:rPr>
        <w:instrText xml:space="preserve"> </w:instrText>
      </w:r>
      <w:r>
        <w:rPr>
          <w:rFonts w:ascii="宋体" w:eastAsia="宋体" w:hAnsi="宋体" w:cs="宋体" w:hint="eastAsia"/>
          <w:b/>
          <w:color w:val="000000" w:themeColor="text1"/>
          <w:sz w:val="24"/>
        </w:rPr>
        <w:instrText>= 3 \* GB3</w:instrText>
      </w:r>
      <w:r>
        <w:rPr>
          <w:rFonts w:ascii="宋体" w:eastAsia="宋体" w:hAnsi="宋体" w:cs="宋体"/>
          <w:b/>
          <w:color w:val="000000" w:themeColor="text1"/>
          <w:sz w:val="24"/>
        </w:rPr>
        <w:instrText xml:space="preserve"> </w:instrText>
      </w:r>
      <w:r>
        <w:rPr>
          <w:rFonts w:ascii="宋体" w:eastAsia="宋体" w:hAnsi="宋体" w:cs="宋体"/>
          <w:b/>
          <w:color w:val="000000" w:themeColor="text1"/>
          <w:sz w:val="24"/>
        </w:rPr>
        <w:fldChar w:fldCharType="separate"/>
      </w:r>
      <w:r>
        <w:rPr>
          <w:rFonts w:ascii="宋体" w:eastAsia="宋体" w:hAnsi="宋体" w:cs="宋体" w:hint="eastAsia"/>
          <w:b/>
          <w:color w:val="000000" w:themeColor="text1"/>
          <w:sz w:val="24"/>
        </w:rPr>
        <w:t>③</w:t>
      </w:r>
      <w:r>
        <w:rPr>
          <w:rFonts w:ascii="宋体" w:eastAsia="宋体" w:hAnsi="宋体" w:cs="宋体"/>
          <w:b/>
          <w:color w:val="000000" w:themeColor="text1"/>
          <w:sz w:val="24"/>
        </w:rPr>
        <w:fldChar w:fldCharType="end"/>
      </w:r>
      <w:r>
        <w:rPr>
          <w:rFonts w:ascii="宋体" w:eastAsia="宋体" w:hAnsi="宋体" w:cs="宋体" w:hint="eastAsia"/>
          <w:b/>
          <w:color w:val="000000" w:themeColor="text1"/>
          <w:sz w:val="24"/>
        </w:rPr>
        <w:t>生产废水收集池</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设置有</w:t>
      </w:r>
      <w:r>
        <w:rPr>
          <w:rFonts w:ascii="Times New Roman" w:eastAsia="宋体" w:hAnsi="Times New Roman" w:cs="Times New Roman" w:hint="eastAsia"/>
          <w:color w:val="000000" w:themeColor="text1"/>
          <w:sz w:val="24"/>
        </w:rPr>
        <w:t>1</w:t>
      </w:r>
      <w:r>
        <w:rPr>
          <w:rFonts w:ascii="Times New Roman" w:eastAsia="宋体" w:hAnsi="Times New Roman" w:cs="Times New Roman" w:hint="eastAsia"/>
          <w:color w:val="000000" w:themeColor="text1"/>
          <w:sz w:val="24"/>
        </w:rPr>
        <w:t>个容积为</w:t>
      </w:r>
      <w:r>
        <w:rPr>
          <w:rFonts w:ascii="Times New Roman" w:eastAsia="宋体" w:hAnsi="Times New Roman" w:cs="Times New Roman" w:hint="eastAsia"/>
          <w:color w:val="000000" w:themeColor="text1"/>
          <w:sz w:val="24"/>
        </w:rPr>
        <w:t>3</w:t>
      </w:r>
      <w:r>
        <w:rPr>
          <w:rFonts w:ascii="Times New Roman" w:eastAsia="宋体" w:hAnsi="Times New Roman" w:cs="Times New Roman"/>
          <w:color w:val="000000" w:themeColor="text1"/>
          <w:sz w:val="24"/>
        </w:rPr>
        <w:t>000m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hint="eastAsia"/>
          <w:color w:val="000000" w:themeColor="text1"/>
          <w:sz w:val="24"/>
        </w:rPr>
        <w:t>的生产废水收集池，生产废水汇入收集池后输送至祥丰金麦化工湿法球磨站作为补充水。</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主要经济技术指标见表</w:t>
      </w:r>
      <w:r>
        <w:rPr>
          <w:rFonts w:ascii="Times New Roman" w:eastAsia="宋体" w:hAnsi="Times New Roman" w:cs="Times New Roman"/>
          <w:color w:val="000000" w:themeColor="text1"/>
          <w:sz w:val="24"/>
        </w:rPr>
        <w:t>1-2</w:t>
      </w:r>
      <w:r>
        <w:rPr>
          <w:rFonts w:ascii="Times New Roman" w:eastAsia="宋体" w:hAnsi="Times New Roman" w:cs="Times New Roman"/>
          <w:color w:val="000000" w:themeColor="text1"/>
          <w:sz w:val="24"/>
        </w:rPr>
        <w:t>。</w:t>
      </w:r>
    </w:p>
    <w:p w:rsidR="00C861DA" w:rsidRDefault="0044752E">
      <w:pPr>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1-2  </w:t>
      </w:r>
      <w:r>
        <w:rPr>
          <w:rFonts w:ascii="Times New Roman" w:eastAsia="宋体" w:hAnsi="Times New Roman" w:cs="Times New Roman"/>
          <w:b/>
          <w:color w:val="000000" w:themeColor="text1"/>
          <w:sz w:val="24"/>
        </w:rPr>
        <w:t>主要经济技术指标一览表</w:t>
      </w: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796"/>
        <w:gridCol w:w="2391"/>
        <w:gridCol w:w="908"/>
        <w:gridCol w:w="1430"/>
        <w:gridCol w:w="2155"/>
      </w:tblGrid>
      <w:tr w:rsidR="00C861DA">
        <w:trPr>
          <w:trHeight w:val="369"/>
          <w:jc w:val="center"/>
        </w:trPr>
        <w:tc>
          <w:tcPr>
            <w:tcW w:w="61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序号</w:t>
            </w:r>
          </w:p>
        </w:tc>
        <w:tc>
          <w:tcPr>
            <w:tcW w:w="3187"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名称</w:t>
            </w:r>
          </w:p>
        </w:tc>
        <w:tc>
          <w:tcPr>
            <w:tcW w:w="9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单位</w:t>
            </w:r>
          </w:p>
        </w:tc>
        <w:tc>
          <w:tcPr>
            <w:tcW w:w="143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指标</w:t>
            </w:r>
          </w:p>
        </w:tc>
        <w:tc>
          <w:tcPr>
            <w:tcW w:w="215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备注</w:t>
            </w:r>
          </w:p>
        </w:tc>
      </w:tr>
      <w:tr w:rsidR="00C861DA">
        <w:trPr>
          <w:trHeight w:val="369"/>
          <w:jc w:val="center"/>
        </w:trPr>
        <w:tc>
          <w:tcPr>
            <w:tcW w:w="61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3187"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总占地面积</w:t>
            </w:r>
          </w:p>
        </w:tc>
        <w:tc>
          <w:tcPr>
            <w:tcW w:w="9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2</w:t>
            </w:r>
          </w:p>
        </w:tc>
        <w:tc>
          <w:tcPr>
            <w:tcW w:w="143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130607.31</w:t>
            </w:r>
          </w:p>
        </w:tc>
        <w:tc>
          <w:tcPr>
            <w:tcW w:w="215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trHeight w:val="369"/>
          <w:jc w:val="center"/>
        </w:trPr>
        <w:tc>
          <w:tcPr>
            <w:tcW w:w="61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3187"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建筑总占地面积</w:t>
            </w:r>
          </w:p>
        </w:tc>
        <w:tc>
          <w:tcPr>
            <w:tcW w:w="9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2</w:t>
            </w:r>
          </w:p>
        </w:tc>
        <w:tc>
          <w:tcPr>
            <w:tcW w:w="143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69153.34</w:t>
            </w:r>
          </w:p>
        </w:tc>
        <w:tc>
          <w:tcPr>
            <w:tcW w:w="215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建筑均为</w:t>
            </w:r>
            <w:r>
              <w:rPr>
                <w:rFonts w:ascii="Times New Roman" w:eastAsia="宋体" w:hAnsi="Times New Roman" w:cs="Times New Roman"/>
                <w:color w:val="000000" w:themeColor="text1"/>
              </w:rPr>
              <w:t>1F</w:t>
            </w:r>
          </w:p>
        </w:tc>
      </w:tr>
      <w:tr w:rsidR="00C861DA">
        <w:trPr>
          <w:trHeight w:val="369"/>
          <w:jc w:val="center"/>
        </w:trPr>
        <w:tc>
          <w:tcPr>
            <w:tcW w:w="61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p>
        </w:tc>
        <w:tc>
          <w:tcPr>
            <w:tcW w:w="3187"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总投资</w:t>
            </w:r>
          </w:p>
        </w:tc>
        <w:tc>
          <w:tcPr>
            <w:tcW w:w="908" w:type="dxa"/>
            <w:vAlign w:val="center"/>
          </w:tcPr>
          <w:p w:rsidR="00C861DA" w:rsidRDefault="0044752E">
            <w:pPr>
              <w:jc w:val="center"/>
              <w:rPr>
                <w:rFonts w:ascii="Times New Roman" w:eastAsia="宋体" w:hAnsi="Times New Roman" w:cs="Times New Roman"/>
                <w:bCs/>
                <w:color w:val="000000" w:themeColor="text1"/>
                <w:kern w:val="0"/>
              </w:rPr>
            </w:pPr>
            <w:r>
              <w:rPr>
                <w:rFonts w:ascii="Times New Roman" w:eastAsia="宋体" w:hAnsi="Times New Roman" w:cs="Times New Roman"/>
                <w:color w:val="000000" w:themeColor="text1"/>
              </w:rPr>
              <w:t>万元</w:t>
            </w:r>
          </w:p>
        </w:tc>
        <w:tc>
          <w:tcPr>
            <w:tcW w:w="143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86418.08</w:t>
            </w:r>
          </w:p>
        </w:tc>
        <w:tc>
          <w:tcPr>
            <w:tcW w:w="215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自筹</w:t>
            </w:r>
          </w:p>
        </w:tc>
      </w:tr>
      <w:tr w:rsidR="00C861DA">
        <w:trPr>
          <w:trHeight w:val="369"/>
          <w:jc w:val="center"/>
        </w:trPr>
        <w:tc>
          <w:tcPr>
            <w:tcW w:w="61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w:t>
            </w:r>
          </w:p>
        </w:tc>
        <w:tc>
          <w:tcPr>
            <w:tcW w:w="3187"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劳动定员</w:t>
            </w:r>
          </w:p>
        </w:tc>
        <w:tc>
          <w:tcPr>
            <w:tcW w:w="908" w:type="dxa"/>
            <w:vAlign w:val="center"/>
          </w:tcPr>
          <w:p w:rsidR="00C861DA" w:rsidRDefault="0044752E">
            <w:pPr>
              <w:jc w:val="center"/>
              <w:rPr>
                <w:rFonts w:ascii="Times New Roman" w:eastAsia="宋体" w:hAnsi="Times New Roman" w:cs="Times New Roman"/>
                <w:bCs/>
                <w:color w:val="000000" w:themeColor="text1"/>
                <w:kern w:val="0"/>
              </w:rPr>
            </w:pPr>
            <w:r>
              <w:rPr>
                <w:rFonts w:ascii="Times New Roman" w:eastAsia="宋体" w:hAnsi="Times New Roman" w:cs="Times New Roman"/>
                <w:color w:val="000000" w:themeColor="text1"/>
              </w:rPr>
              <w:t>人</w:t>
            </w:r>
          </w:p>
        </w:tc>
        <w:tc>
          <w:tcPr>
            <w:tcW w:w="143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72</w:t>
            </w:r>
          </w:p>
        </w:tc>
        <w:tc>
          <w:tcPr>
            <w:tcW w:w="215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两条生产线各</w:t>
            </w:r>
            <w:r>
              <w:rPr>
                <w:rFonts w:ascii="Times New Roman" w:eastAsia="宋体" w:hAnsi="Times New Roman" w:cs="Times New Roman" w:hint="eastAsia"/>
                <w:color w:val="000000" w:themeColor="text1"/>
              </w:rPr>
              <w:t>3</w:t>
            </w:r>
            <w:r>
              <w:rPr>
                <w:rFonts w:ascii="Times New Roman" w:eastAsia="宋体" w:hAnsi="Times New Roman" w:cs="Times New Roman"/>
                <w:color w:val="000000" w:themeColor="text1"/>
              </w:rPr>
              <w:t>6</w:t>
            </w:r>
            <w:r>
              <w:rPr>
                <w:rFonts w:ascii="Times New Roman" w:eastAsia="宋体" w:hAnsi="Times New Roman" w:cs="Times New Roman"/>
                <w:color w:val="000000" w:themeColor="text1"/>
              </w:rPr>
              <w:t>人</w:t>
            </w:r>
          </w:p>
        </w:tc>
      </w:tr>
      <w:tr w:rsidR="00C861DA">
        <w:trPr>
          <w:trHeight w:val="369"/>
          <w:jc w:val="center"/>
        </w:trPr>
        <w:tc>
          <w:tcPr>
            <w:tcW w:w="61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w:t>
            </w:r>
          </w:p>
        </w:tc>
        <w:tc>
          <w:tcPr>
            <w:tcW w:w="796"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产品</w:t>
            </w:r>
          </w:p>
        </w:tc>
        <w:tc>
          <w:tcPr>
            <w:tcW w:w="2391"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绿色</w:t>
            </w:r>
            <w:r>
              <w:rPr>
                <w:rFonts w:ascii="Times New Roman" w:eastAsia="宋体" w:hAnsi="Times New Roman" w:cs="Times New Roman" w:hint="eastAsia"/>
                <w:color w:val="000000" w:themeColor="text1"/>
              </w:rPr>
              <w:t>有机</w:t>
            </w:r>
            <w:r>
              <w:rPr>
                <w:rFonts w:ascii="Times New Roman" w:eastAsia="宋体" w:hAnsi="Times New Roman" w:cs="Times New Roman"/>
                <w:color w:val="000000" w:themeColor="text1"/>
              </w:rPr>
              <w:t>硝基复合肥</w:t>
            </w:r>
          </w:p>
        </w:tc>
        <w:tc>
          <w:tcPr>
            <w:tcW w:w="9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万吨</w:t>
            </w:r>
          </w:p>
        </w:tc>
        <w:tc>
          <w:tcPr>
            <w:tcW w:w="143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30</w:t>
            </w:r>
          </w:p>
        </w:tc>
        <w:tc>
          <w:tcPr>
            <w:tcW w:w="215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trHeight w:val="369"/>
          <w:jc w:val="center"/>
        </w:trPr>
        <w:tc>
          <w:tcPr>
            <w:tcW w:w="61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p>
        </w:tc>
        <w:tc>
          <w:tcPr>
            <w:tcW w:w="796" w:type="dxa"/>
            <w:vMerge/>
            <w:vAlign w:val="center"/>
          </w:tcPr>
          <w:p w:rsidR="00C861DA" w:rsidRDefault="00C861DA">
            <w:pPr>
              <w:jc w:val="center"/>
              <w:rPr>
                <w:rFonts w:ascii="Times New Roman" w:eastAsia="宋体" w:hAnsi="Times New Roman" w:cs="Times New Roman"/>
                <w:color w:val="000000" w:themeColor="text1"/>
              </w:rPr>
            </w:pPr>
          </w:p>
        </w:tc>
        <w:tc>
          <w:tcPr>
            <w:tcW w:w="2391"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绿色</w:t>
            </w:r>
            <w:r>
              <w:rPr>
                <w:rFonts w:ascii="Times New Roman" w:eastAsia="宋体" w:hAnsi="Times New Roman" w:cs="Times New Roman" w:hint="eastAsia"/>
                <w:color w:val="000000" w:themeColor="text1"/>
              </w:rPr>
              <w:t>有机</w:t>
            </w:r>
            <w:r>
              <w:rPr>
                <w:rFonts w:ascii="Times New Roman" w:eastAsia="宋体" w:hAnsi="Times New Roman" w:cs="Times New Roman"/>
                <w:color w:val="000000" w:themeColor="text1"/>
              </w:rPr>
              <w:t>尿基复合肥</w:t>
            </w:r>
          </w:p>
        </w:tc>
        <w:tc>
          <w:tcPr>
            <w:tcW w:w="9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万吨</w:t>
            </w:r>
          </w:p>
        </w:tc>
        <w:tc>
          <w:tcPr>
            <w:tcW w:w="143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50</w:t>
            </w:r>
          </w:p>
        </w:tc>
        <w:tc>
          <w:tcPr>
            <w:tcW w:w="215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trHeight w:val="369"/>
          <w:jc w:val="center"/>
        </w:trPr>
        <w:tc>
          <w:tcPr>
            <w:tcW w:w="61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w:t>
            </w:r>
          </w:p>
        </w:tc>
        <w:tc>
          <w:tcPr>
            <w:tcW w:w="796"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经济指标</w:t>
            </w:r>
          </w:p>
        </w:tc>
        <w:tc>
          <w:tcPr>
            <w:tcW w:w="2391"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1"/>
              </w:rPr>
              <w:t>投资利润率</w:t>
            </w:r>
          </w:p>
        </w:tc>
        <w:tc>
          <w:tcPr>
            <w:tcW w:w="9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1"/>
              </w:rPr>
              <w:t>%</w:t>
            </w:r>
          </w:p>
        </w:tc>
        <w:tc>
          <w:tcPr>
            <w:tcW w:w="143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17.19</w:t>
            </w:r>
          </w:p>
        </w:tc>
        <w:tc>
          <w:tcPr>
            <w:tcW w:w="215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p>
        </w:tc>
      </w:tr>
      <w:tr w:rsidR="00C861DA">
        <w:trPr>
          <w:trHeight w:val="369"/>
          <w:jc w:val="center"/>
        </w:trPr>
        <w:tc>
          <w:tcPr>
            <w:tcW w:w="61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796" w:type="dxa"/>
            <w:vMerge/>
            <w:vAlign w:val="center"/>
          </w:tcPr>
          <w:p w:rsidR="00C861DA" w:rsidRDefault="00C861DA">
            <w:pPr>
              <w:jc w:val="center"/>
              <w:rPr>
                <w:rFonts w:ascii="Times New Roman" w:eastAsia="宋体" w:hAnsi="Times New Roman" w:cs="Times New Roman"/>
                <w:color w:val="000000" w:themeColor="text1"/>
              </w:rPr>
            </w:pPr>
          </w:p>
        </w:tc>
        <w:tc>
          <w:tcPr>
            <w:tcW w:w="2391"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1"/>
              </w:rPr>
              <w:t>全投资内部收益率</w:t>
            </w:r>
          </w:p>
        </w:tc>
        <w:tc>
          <w:tcPr>
            <w:tcW w:w="9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1"/>
              </w:rPr>
              <w:t>%</w:t>
            </w:r>
          </w:p>
        </w:tc>
        <w:tc>
          <w:tcPr>
            <w:tcW w:w="143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22.87</w:t>
            </w:r>
          </w:p>
        </w:tc>
        <w:tc>
          <w:tcPr>
            <w:tcW w:w="215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1"/>
              </w:rPr>
              <w:t>稅前</w:t>
            </w:r>
          </w:p>
        </w:tc>
      </w:tr>
      <w:tr w:rsidR="00C861DA">
        <w:trPr>
          <w:trHeight w:val="369"/>
          <w:jc w:val="center"/>
        </w:trPr>
        <w:tc>
          <w:tcPr>
            <w:tcW w:w="61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796" w:type="dxa"/>
            <w:vMerge/>
            <w:vAlign w:val="center"/>
          </w:tcPr>
          <w:p w:rsidR="00C861DA" w:rsidRDefault="00C861DA">
            <w:pPr>
              <w:jc w:val="center"/>
              <w:rPr>
                <w:rFonts w:ascii="Times New Roman" w:eastAsia="宋体" w:hAnsi="Times New Roman" w:cs="Times New Roman"/>
                <w:color w:val="000000" w:themeColor="text1"/>
              </w:rPr>
            </w:pPr>
          </w:p>
        </w:tc>
        <w:tc>
          <w:tcPr>
            <w:tcW w:w="2391"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1"/>
              </w:rPr>
              <w:t>全投资投资回收期</w:t>
            </w:r>
          </w:p>
        </w:tc>
        <w:tc>
          <w:tcPr>
            <w:tcW w:w="9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1"/>
              </w:rPr>
              <w:t>年</w:t>
            </w:r>
          </w:p>
        </w:tc>
        <w:tc>
          <w:tcPr>
            <w:tcW w:w="143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1"/>
              </w:rPr>
              <w:t>6.95</w:t>
            </w:r>
          </w:p>
        </w:tc>
        <w:tc>
          <w:tcPr>
            <w:tcW w:w="215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1"/>
              </w:rPr>
              <w:t>静态</w:t>
            </w:r>
          </w:p>
        </w:tc>
      </w:tr>
      <w:tr w:rsidR="00C861DA">
        <w:trPr>
          <w:trHeight w:val="369"/>
          <w:jc w:val="center"/>
        </w:trPr>
        <w:tc>
          <w:tcPr>
            <w:tcW w:w="61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796" w:type="dxa"/>
            <w:vMerge/>
            <w:vAlign w:val="center"/>
          </w:tcPr>
          <w:p w:rsidR="00C861DA" w:rsidRDefault="00C861DA">
            <w:pPr>
              <w:jc w:val="center"/>
              <w:rPr>
                <w:rFonts w:ascii="Times New Roman" w:eastAsia="宋体" w:hAnsi="Times New Roman" w:cs="Times New Roman"/>
                <w:color w:val="000000" w:themeColor="text1"/>
              </w:rPr>
            </w:pPr>
          </w:p>
        </w:tc>
        <w:tc>
          <w:tcPr>
            <w:tcW w:w="2391"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1"/>
              </w:rPr>
              <w:t>以生产能力表示</w:t>
            </w:r>
          </w:p>
        </w:tc>
        <w:tc>
          <w:tcPr>
            <w:tcW w:w="9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1"/>
              </w:rPr>
              <w:t>%</w:t>
            </w:r>
          </w:p>
        </w:tc>
        <w:tc>
          <w:tcPr>
            <w:tcW w:w="143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62.81</w:t>
            </w:r>
          </w:p>
        </w:tc>
        <w:tc>
          <w:tcPr>
            <w:tcW w:w="215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p>
        </w:tc>
      </w:tr>
    </w:tbl>
    <w:p w:rsidR="00C861DA" w:rsidRDefault="0044752E">
      <w:pPr>
        <w:pStyle w:val="32"/>
        <w:rPr>
          <w:rFonts w:ascii="Times New Roman" w:eastAsia="宋体"/>
          <w:bCs w:val="0"/>
          <w:color w:val="000000" w:themeColor="text1"/>
          <w:sz w:val="24"/>
          <w:szCs w:val="24"/>
        </w:rPr>
      </w:pPr>
      <w:bookmarkStart w:id="213" w:name="_Toc6826787"/>
      <w:r>
        <w:rPr>
          <w:rFonts w:ascii="Times New Roman" w:eastAsia="宋体" w:hint="eastAsia"/>
          <w:bCs w:val="0"/>
          <w:color w:val="000000" w:themeColor="text1"/>
          <w:sz w:val="24"/>
          <w:szCs w:val="24"/>
        </w:rPr>
        <w:t>3</w:t>
      </w:r>
      <w:r>
        <w:rPr>
          <w:rFonts w:ascii="Times New Roman" w:eastAsia="宋体"/>
          <w:bCs w:val="0"/>
          <w:color w:val="000000" w:themeColor="text1"/>
          <w:sz w:val="24"/>
          <w:szCs w:val="24"/>
        </w:rPr>
        <w:t>.2.8</w:t>
      </w:r>
      <w:r>
        <w:rPr>
          <w:rFonts w:ascii="Times New Roman" w:eastAsia="宋体"/>
          <w:bCs w:val="0"/>
          <w:color w:val="000000" w:themeColor="text1"/>
          <w:sz w:val="24"/>
          <w:szCs w:val="24"/>
        </w:rPr>
        <w:t>主要设备</w:t>
      </w:r>
      <w:bookmarkEnd w:id="213"/>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项目主要设备见表</w:t>
      </w:r>
      <w:r>
        <w:rPr>
          <w:rFonts w:ascii="Times New Roman" w:eastAsia="宋体" w:hAnsi="Times New Roman" w:cs="Times New Roman"/>
          <w:color w:val="000000" w:themeColor="text1"/>
          <w:sz w:val="24"/>
        </w:rPr>
        <w:t>1-3</w:t>
      </w:r>
      <w:r>
        <w:rPr>
          <w:rFonts w:ascii="Times New Roman" w:eastAsia="宋体" w:hAnsi="Times New Roman" w:cs="Times New Roman"/>
          <w:color w:val="000000" w:themeColor="text1"/>
          <w:sz w:val="24"/>
        </w:rPr>
        <w:t>。</w:t>
      </w:r>
    </w:p>
    <w:p w:rsidR="00C861DA" w:rsidRDefault="0044752E">
      <w:pPr>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1-3  </w:t>
      </w:r>
      <w:r>
        <w:rPr>
          <w:rFonts w:ascii="Times New Roman" w:eastAsia="宋体" w:hAnsi="Times New Roman" w:cs="Times New Roman"/>
          <w:b/>
          <w:color w:val="000000" w:themeColor="text1"/>
          <w:sz w:val="24"/>
        </w:rPr>
        <w:t>主要设备一览表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631"/>
        <w:gridCol w:w="2326"/>
        <w:gridCol w:w="1259"/>
        <w:gridCol w:w="1814"/>
        <w:gridCol w:w="634"/>
      </w:tblGrid>
      <w:tr w:rsidR="00C861DA">
        <w:trPr>
          <w:cantSplit/>
          <w:trHeight w:val="369"/>
          <w:jc w:val="center"/>
        </w:trPr>
        <w:tc>
          <w:tcPr>
            <w:tcW w:w="632"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编号</w:t>
            </w:r>
          </w:p>
        </w:tc>
        <w:tc>
          <w:tcPr>
            <w:tcW w:w="1631"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工段</w:t>
            </w:r>
          </w:p>
        </w:tc>
        <w:tc>
          <w:tcPr>
            <w:tcW w:w="2326"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设</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备</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名</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称</w:t>
            </w:r>
          </w:p>
        </w:tc>
        <w:tc>
          <w:tcPr>
            <w:tcW w:w="1259"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数量（台）</w:t>
            </w:r>
          </w:p>
        </w:tc>
        <w:tc>
          <w:tcPr>
            <w:tcW w:w="181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配用功率（</w:t>
            </w:r>
            <w:r>
              <w:rPr>
                <w:rFonts w:ascii="Times New Roman" w:eastAsia="宋体" w:hAnsi="Times New Roman" w:cs="Times New Roman"/>
                <w:color w:val="000000" w:themeColor="text1"/>
              </w:rPr>
              <w:t>KW</w:t>
            </w:r>
            <w:r>
              <w:rPr>
                <w:rFonts w:ascii="Times New Roman" w:eastAsia="宋体" w:hAnsi="Times New Roman" w:cs="Times New Roman"/>
                <w:color w:val="000000" w:themeColor="text1"/>
              </w:rPr>
              <w:t>）</w:t>
            </w:r>
          </w:p>
        </w:tc>
        <w:tc>
          <w:tcPr>
            <w:tcW w:w="63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备注</w:t>
            </w:r>
          </w:p>
        </w:tc>
      </w:tr>
      <w:tr w:rsidR="00C861DA">
        <w:trPr>
          <w:cantSplit/>
          <w:trHeight w:val="369"/>
          <w:jc w:val="center"/>
        </w:trPr>
        <w:tc>
          <w:tcPr>
            <w:tcW w:w="632" w:type="dxa"/>
            <w:tcBorders>
              <w:top w:val="single" w:sz="4" w:space="0" w:color="auto"/>
              <w:left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1631" w:type="dxa"/>
            <w:vMerge w:val="restart"/>
            <w:tcBorders>
              <w:top w:val="single" w:sz="4" w:space="0" w:color="auto"/>
              <w:left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绿色</w:t>
            </w:r>
            <w:r>
              <w:rPr>
                <w:rFonts w:ascii="Times New Roman" w:eastAsia="宋体" w:hAnsi="Times New Roman" w:cs="Times New Roman" w:hint="eastAsia"/>
                <w:color w:val="000000" w:themeColor="text1"/>
              </w:rPr>
              <w:t>有机</w:t>
            </w:r>
            <w:r>
              <w:rPr>
                <w:rFonts w:ascii="Times New Roman" w:eastAsia="宋体" w:hAnsi="Times New Roman" w:cs="Times New Roman"/>
                <w:color w:val="000000" w:themeColor="text1"/>
              </w:rPr>
              <w:t>硝基复合肥生产线</w:t>
            </w:r>
          </w:p>
        </w:tc>
        <w:tc>
          <w:tcPr>
            <w:tcW w:w="2326"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氨氧化炉</w:t>
            </w:r>
          </w:p>
        </w:tc>
        <w:tc>
          <w:tcPr>
            <w:tcW w:w="1259"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181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63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cantSplit/>
          <w:trHeight w:val="369"/>
          <w:jc w:val="center"/>
        </w:trPr>
        <w:tc>
          <w:tcPr>
            <w:tcW w:w="632" w:type="dxa"/>
            <w:tcBorders>
              <w:left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1631" w:type="dxa"/>
            <w:vMerge/>
            <w:tcBorders>
              <w:left w:val="single" w:sz="4" w:space="0" w:color="auto"/>
              <w:right w:val="single" w:sz="4" w:space="0" w:color="auto"/>
            </w:tcBorders>
            <w:vAlign w:val="center"/>
          </w:tcPr>
          <w:p w:rsidR="00C861DA" w:rsidRDefault="00C861DA">
            <w:pPr>
              <w:jc w:val="center"/>
              <w:rPr>
                <w:rFonts w:ascii="Times New Roman" w:eastAsia="宋体" w:hAnsi="Times New Roman" w:cs="Times New Roman"/>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造粒机</w:t>
            </w:r>
          </w:p>
        </w:tc>
        <w:tc>
          <w:tcPr>
            <w:tcW w:w="1259"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181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132kw</w:t>
            </w:r>
          </w:p>
        </w:tc>
        <w:tc>
          <w:tcPr>
            <w:tcW w:w="63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cantSplit/>
          <w:trHeight w:val="369"/>
          <w:jc w:val="center"/>
        </w:trPr>
        <w:tc>
          <w:tcPr>
            <w:tcW w:w="632" w:type="dxa"/>
            <w:tcBorders>
              <w:left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p>
        </w:tc>
        <w:tc>
          <w:tcPr>
            <w:tcW w:w="1631" w:type="dxa"/>
            <w:vMerge/>
            <w:tcBorders>
              <w:left w:val="single" w:sz="4" w:space="0" w:color="auto"/>
              <w:right w:val="single" w:sz="4" w:space="0" w:color="auto"/>
            </w:tcBorders>
            <w:vAlign w:val="center"/>
          </w:tcPr>
          <w:p w:rsidR="00C861DA" w:rsidRDefault="00C861DA">
            <w:pPr>
              <w:jc w:val="center"/>
              <w:rPr>
                <w:rFonts w:ascii="Times New Roman" w:eastAsia="宋体" w:hAnsi="Times New Roman" w:cs="Times New Roman"/>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高压气液混合反应器</w:t>
            </w:r>
          </w:p>
        </w:tc>
        <w:tc>
          <w:tcPr>
            <w:tcW w:w="1259"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181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45kW</w:t>
            </w:r>
          </w:p>
        </w:tc>
        <w:tc>
          <w:tcPr>
            <w:tcW w:w="63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cantSplit/>
          <w:trHeight w:val="369"/>
          <w:jc w:val="center"/>
        </w:trPr>
        <w:tc>
          <w:tcPr>
            <w:tcW w:w="632" w:type="dxa"/>
            <w:tcBorders>
              <w:left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w:t>
            </w:r>
          </w:p>
        </w:tc>
        <w:tc>
          <w:tcPr>
            <w:tcW w:w="1631" w:type="dxa"/>
            <w:vMerge/>
            <w:tcBorders>
              <w:left w:val="single" w:sz="4" w:space="0" w:color="auto"/>
              <w:right w:val="single" w:sz="4" w:space="0" w:color="auto"/>
            </w:tcBorders>
            <w:vAlign w:val="center"/>
          </w:tcPr>
          <w:p w:rsidR="00C861DA" w:rsidRDefault="00C861DA">
            <w:pPr>
              <w:jc w:val="center"/>
              <w:rPr>
                <w:rFonts w:ascii="Times New Roman" w:eastAsia="宋体" w:hAnsi="Times New Roman" w:cs="Times New Roman"/>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脉冲除尘</w:t>
            </w:r>
          </w:p>
        </w:tc>
        <w:tc>
          <w:tcPr>
            <w:tcW w:w="1259"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p>
        </w:tc>
        <w:tc>
          <w:tcPr>
            <w:tcW w:w="181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63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cantSplit/>
          <w:trHeight w:val="369"/>
          <w:jc w:val="center"/>
        </w:trPr>
        <w:tc>
          <w:tcPr>
            <w:tcW w:w="632" w:type="dxa"/>
            <w:tcBorders>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w:t>
            </w:r>
          </w:p>
        </w:tc>
        <w:tc>
          <w:tcPr>
            <w:tcW w:w="1631" w:type="dxa"/>
            <w:vMerge/>
            <w:tcBorders>
              <w:left w:val="single" w:sz="4" w:space="0" w:color="auto"/>
              <w:right w:val="single" w:sz="4" w:space="0" w:color="auto"/>
            </w:tcBorders>
            <w:vAlign w:val="center"/>
          </w:tcPr>
          <w:p w:rsidR="00C861DA" w:rsidRDefault="00C861DA">
            <w:pPr>
              <w:jc w:val="center"/>
              <w:rPr>
                <w:rFonts w:ascii="Times New Roman" w:eastAsia="宋体" w:hAnsi="Times New Roman" w:cs="Times New Roman"/>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均混器</w:t>
            </w:r>
          </w:p>
        </w:tc>
        <w:tc>
          <w:tcPr>
            <w:tcW w:w="1259"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181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63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cantSplit/>
          <w:trHeight w:val="369"/>
          <w:jc w:val="center"/>
        </w:trPr>
        <w:tc>
          <w:tcPr>
            <w:tcW w:w="632"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p>
        </w:tc>
        <w:tc>
          <w:tcPr>
            <w:tcW w:w="1631" w:type="dxa"/>
            <w:vMerge/>
            <w:tcBorders>
              <w:left w:val="single" w:sz="4" w:space="0" w:color="auto"/>
              <w:bottom w:val="single" w:sz="4" w:space="0" w:color="auto"/>
              <w:right w:val="single" w:sz="4" w:space="0" w:color="auto"/>
            </w:tcBorders>
            <w:vAlign w:val="center"/>
          </w:tcPr>
          <w:p w:rsidR="00C861DA" w:rsidRDefault="00C861DA">
            <w:pPr>
              <w:jc w:val="center"/>
              <w:rPr>
                <w:rFonts w:ascii="Times New Roman" w:eastAsia="宋体" w:hAnsi="Times New Roman" w:cs="Times New Roman"/>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分级筛</w:t>
            </w:r>
          </w:p>
        </w:tc>
        <w:tc>
          <w:tcPr>
            <w:tcW w:w="1259"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181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63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cantSplit/>
          <w:trHeight w:val="369"/>
          <w:jc w:val="center"/>
        </w:trPr>
        <w:tc>
          <w:tcPr>
            <w:tcW w:w="632"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w:t>
            </w:r>
          </w:p>
        </w:tc>
        <w:tc>
          <w:tcPr>
            <w:tcW w:w="1631" w:type="dxa"/>
            <w:vMerge w:val="restart"/>
            <w:tcBorders>
              <w:top w:val="single" w:sz="4" w:space="0" w:color="auto"/>
              <w:left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绿色</w:t>
            </w:r>
            <w:r>
              <w:rPr>
                <w:rFonts w:ascii="Times New Roman" w:eastAsia="宋体" w:hAnsi="Times New Roman" w:cs="Times New Roman" w:hint="eastAsia"/>
                <w:color w:val="000000" w:themeColor="text1"/>
              </w:rPr>
              <w:t>有机</w:t>
            </w:r>
            <w:r>
              <w:rPr>
                <w:rFonts w:ascii="Times New Roman" w:eastAsia="宋体" w:hAnsi="Times New Roman" w:cs="Times New Roman"/>
                <w:color w:val="000000" w:themeColor="text1"/>
              </w:rPr>
              <w:t>尿基复合肥生产线</w:t>
            </w:r>
          </w:p>
        </w:tc>
        <w:tc>
          <w:tcPr>
            <w:tcW w:w="2326"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二氧化碳压缩机</w:t>
            </w:r>
          </w:p>
        </w:tc>
        <w:tc>
          <w:tcPr>
            <w:tcW w:w="1259"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181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90KW</w:t>
            </w:r>
          </w:p>
        </w:tc>
        <w:tc>
          <w:tcPr>
            <w:tcW w:w="63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cantSplit/>
          <w:trHeight w:val="369"/>
          <w:jc w:val="center"/>
        </w:trPr>
        <w:tc>
          <w:tcPr>
            <w:tcW w:w="632"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1631" w:type="dxa"/>
            <w:vMerge/>
            <w:tcBorders>
              <w:left w:val="single" w:sz="4" w:space="0" w:color="auto"/>
              <w:right w:val="single" w:sz="4" w:space="0" w:color="auto"/>
            </w:tcBorders>
            <w:vAlign w:val="center"/>
          </w:tcPr>
          <w:p w:rsidR="00C861DA" w:rsidRDefault="00C861DA">
            <w:pPr>
              <w:jc w:val="center"/>
              <w:rPr>
                <w:rFonts w:ascii="Times New Roman" w:eastAsia="宋体" w:hAnsi="Times New Roman" w:cs="Times New Roman"/>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尿素合成塔</w:t>
            </w:r>
          </w:p>
        </w:tc>
        <w:tc>
          <w:tcPr>
            <w:tcW w:w="1259"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181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63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cantSplit/>
          <w:trHeight w:val="369"/>
          <w:jc w:val="center"/>
        </w:trPr>
        <w:tc>
          <w:tcPr>
            <w:tcW w:w="632"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1631" w:type="dxa"/>
            <w:vMerge/>
            <w:tcBorders>
              <w:left w:val="single" w:sz="4" w:space="0" w:color="auto"/>
              <w:right w:val="single" w:sz="4" w:space="0" w:color="auto"/>
            </w:tcBorders>
            <w:vAlign w:val="center"/>
          </w:tcPr>
          <w:p w:rsidR="00C861DA" w:rsidRDefault="00C861DA">
            <w:pPr>
              <w:jc w:val="center"/>
              <w:rPr>
                <w:rFonts w:ascii="Times New Roman" w:eastAsia="宋体" w:hAnsi="Times New Roman" w:cs="Times New Roman"/>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齿式破碎机</w:t>
            </w:r>
          </w:p>
        </w:tc>
        <w:tc>
          <w:tcPr>
            <w:tcW w:w="1259"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181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63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cantSplit/>
          <w:trHeight w:val="369"/>
          <w:jc w:val="center"/>
        </w:trPr>
        <w:tc>
          <w:tcPr>
            <w:tcW w:w="632"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1631" w:type="dxa"/>
            <w:vMerge/>
            <w:tcBorders>
              <w:left w:val="single" w:sz="4" w:space="0" w:color="auto"/>
              <w:right w:val="single" w:sz="4" w:space="0" w:color="auto"/>
            </w:tcBorders>
            <w:vAlign w:val="center"/>
          </w:tcPr>
          <w:p w:rsidR="00C861DA" w:rsidRDefault="00C861DA">
            <w:pPr>
              <w:jc w:val="center"/>
              <w:rPr>
                <w:rFonts w:ascii="Times New Roman" w:eastAsia="宋体" w:hAnsi="Times New Roman" w:cs="Times New Roman"/>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造粒机</w:t>
            </w:r>
          </w:p>
        </w:tc>
        <w:tc>
          <w:tcPr>
            <w:tcW w:w="1259"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181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634"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bl>
    <w:p w:rsidR="00C861DA" w:rsidRDefault="0044752E">
      <w:pPr>
        <w:pStyle w:val="32"/>
        <w:rPr>
          <w:rFonts w:ascii="Times New Roman" w:eastAsia="宋体"/>
          <w:bCs w:val="0"/>
          <w:color w:val="000000" w:themeColor="text1"/>
          <w:sz w:val="24"/>
          <w:szCs w:val="24"/>
        </w:rPr>
      </w:pPr>
      <w:bookmarkStart w:id="214" w:name="_Toc6826788"/>
      <w:r>
        <w:rPr>
          <w:rFonts w:ascii="Times New Roman" w:eastAsia="宋体" w:hint="eastAsia"/>
          <w:bCs w:val="0"/>
          <w:color w:val="000000" w:themeColor="text1"/>
          <w:sz w:val="24"/>
          <w:szCs w:val="24"/>
        </w:rPr>
        <w:t>3</w:t>
      </w:r>
      <w:r>
        <w:rPr>
          <w:rFonts w:ascii="Times New Roman" w:eastAsia="宋体"/>
          <w:bCs w:val="0"/>
          <w:color w:val="000000" w:themeColor="text1"/>
          <w:sz w:val="24"/>
          <w:szCs w:val="24"/>
        </w:rPr>
        <w:t>.2.9</w:t>
      </w:r>
      <w:r>
        <w:rPr>
          <w:rFonts w:ascii="Times New Roman" w:eastAsia="宋体"/>
          <w:bCs w:val="0"/>
          <w:color w:val="000000" w:themeColor="text1"/>
          <w:sz w:val="24"/>
          <w:szCs w:val="24"/>
        </w:rPr>
        <w:t>生产规模和产品方案</w:t>
      </w:r>
      <w:bookmarkEnd w:id="214"/>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本项目为新型生态绿色有机肥生产项目，建成后年产量最大为</w:t>
      </w:r>
      <w:r>
        <w:rPr>
          <w:rFonts w:ascii="Times New Roman" w:eastAsia="宋体" w:hAnsi="Times New Roman" w:cs="Times New Roman"/>
          <w:color w:val="000000" w:themeColor="text1"/>
          <w:sz w:val="24"/>
        </w:rPr>
        <w:t>80</w:t>
      </w:r>
      <w:r>
        <w:rPr>
          <w:rFonts w:ascii="Times New Roman" w:eastAsia="宋体" w:hAnsi="Times New Roman" w:cs="Times New Roman"/>
          <w:color w:val="000000" w:themeColor="text1"/>
          <w:sz w:val="24"/>
        </w:rPr>
        <w:t>万吨，包括绿色</w:t>
      </w:r>
      <w:r>
        <w:rPr>
          <w:rFonts w:ascii="Times New Roman" w:eastAsia="宋体" w:hAnsi="Times New Roman" w:cs="Times New Roman" w:hint="eastAsia"/>
          <w:color w:val="000000" w:themeColor="text1"/>
          <w:sz w:val="24"/>
        </w:rPr>
        <w:t>有机</w:t>
      </w:r>
      <w:r>
        <w:rPr>
          <w:rFonts w:ascii="Times New Roman" w:eastAsia="宋体" w:hAnsi="Times New Roman" w:cs="Times New Roman"/>
          <w:color w:val="000000" w:themeColor="text1"/>
          <w:sz w:val="24"/>
        </w:rPr>
        <w:t>硝基复合肥和绿色</w:t>
      </w:r>
      <w:r>
        <w:rPr>
          <w:rFonts w:ascii="Times New Roman" w:eastAsia="宋体" w:hAnsi="Times New Roman" w:cs="Times New Roman" w:hint="eastAsia"/>
          <w:color w:val="000000" w:themeColor="text1"/>
          <w:sz w:val="24"/>
        </w:rPr>
        <w:t>有机</w:t>
      </w:r>
      <w:r>
        <w:rPr>
          <w:rFonts w:ascii="Times New Roman" w:eastAsia="宋体" w:hAnsi="Times New Roman" w:cs="Times New Roman"/>
          <w:color w:val="000000" w:themeColor="text1"/>
          <w:sz w:val="24"/>
        </w:rPr>
        <w:t>尿基复合肥。</w:t>
      </w:r>
    </w:p>
    <w:p w:rsidR="00C861DA" w:rsidRDefault="0044752E">
      <w:pPr>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1-4  </w:t>
      </w:r>
      <w:r>
        <w:rPr>
          <w:rFonts w:ascii="Times New Roman" w:eastAsia="宋体" w:hAnsi="Times New Roman" w:cs="Times New Roman"/>
          <w:b/>
          <w:color w:val="000000" w:themeColor="text1"/>
          <w:sz w:val="24"/>
        </w:rPr>
        <w:t>项目产品方案</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2202"/>
        <w:gridCol w:w="1986"/>
        <w:gridCol w:w="3196"/>
      </w:tblGrid>
      <w:tr w:rsidR="00C861DA">
        <w:trPr>
          <w:trHeight w:val="369"/>
          <w:jc w:val="center"/>
        </w:trPr>
        <w:tc>
          <w:tcPr>
            <w:tcW w:w="912" w:type="dxa"/>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序号</w:t>
            </w:r>
          </w:p>
        </w:tc>
        <w:tc>
          <w:tcPr>
            <w:tcW w:w="2202" w:type="dxa"/>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产品名称</w:t>
            </w:r>
          </w:p>
        </w:tc>
        <w:tc>
          <w:tcPr>
            <w:tcW w:w="1986" w:type="dxa"/>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数量</w:t>
            </w:r>
          </w:p>
        </w:tc>
        <w:tc>
          <w:tcPr>
            <w:tcW w:w="3196" w:type="dxa"/>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C861DA">
        <w:trPr>
          <w:trHeight w:val="369"/>
          <w:jc w:val="center"/>
        </w:trPr>
        <w:tc>
          <w:tcPr>
            <w:tcW w:w="912"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2202"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绿色</w:t>
            </w:r>
            <w:r>
              <w:rPr>
                <w:rFonts w:ascii="Times New Roman" w:eastAsia="宋体" w:hAnsi="Times New Roman" w:cs="Times New Roman" w:hint="eastAsia"/>
                <w:color w:val="000000" w:themeColor="text1"/>
              </w:rPr>
              <w:t>有机</w:t>
            </w:r>
            <w:r>
              <w:rPr>
                <w:rFonts w:ascii="Times New Roman" w:eastAsia="宋体" w:hAnsi="Times New Roman" w:cs="Times New Roman"/>
                <w:color w:val="000000" w:themeColor="text1"/>
              </w:rPr>
              <w:t>硝基复合肥</w:t>
            </w:r>
          </w:p>
        </w:tc>
        <w:tc>
          <w:tcPr>
            <w:tcW w:w="198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30</w:t>
            </w:r>
            <w:r>
              <w:rPr>
                <w:rFonts w:ascii="Times New Roman" w:eastAsia="宋体" w:hAnsi="Times New Roman" w:cs="Times New Roman"/>
                <w:color w:val="000000" w:themeColor="text1"/>
              </w:rPr>
              <w:t>万吨</w:t>
            </w:r>
            <w:r>
              <w:rPr>
                <w:rFonts w:ascii="Times New Roman" w:eastAsia="宋体" w:hAnsi="Times New Roman" w:cs="Times New Roman"/>
                <w:color w:val="000000" w:themeColor="text1"/>
              </w:rPr>
              <w:t>/a</w:t>
            </w:r>
          </w:p>
        </w:tc>
        <w:tc>
          <w:tcPr>
            <w:tcW w:w="319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p>
        </w:tc>
      </w:tr>
      <w:tr w:rsidR="00C861DA">
        <w:trPr>
          <w:trHeight w:val="369"/>
          <w:jc w:val="center"/>
        </w:trPr>
        <w:tc>
          <w:tcPr>
            <w:tcW w:w="912"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2202"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绿色</w:t>
            </w:r>
            <w:r>
              <w:rPr>
                <w:rFonts w:ascii="Times New Roman" w:eastAsia="宋体" w:hAnsi="Times New Roman" w:cs="Times New Roman" w:hint="eastAsia"/>
                <w:color w:val="000000" w:themeColor="text1"/>
              </w:rPr>
              <w:t>有机</w:t>
            </w:r>
            <w:r>
              <w:rPr>
                <w:rFonts w:ascii="Times New Roman" w:eastAsia="宋体" w:hAnsi="Times New Roman" w:cs="Times New Roman"/>
                <w:color w:val="000000" w:themeColor="text1"/>
              </w:rPr>
              <w:t>尿基复合肥</w:t>
            </w:r>
          </w:p>
        </w:tc>
        <w:tc>
          <w:tcPr>
            <w:tcW w:w="198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50</w:t>
            </w:r>
            <w:r>
              <w:rPr>
                <w:rFonts w:ascii="Times New Roman" w:eastAsia="宋体" w:hAnsi="Times New Roman" w:cs="Times New Roman"/>
                <w:color w:val="000000" w:themeColor="text1"/>
              </w:rPr>
              <w:t>万吨</w:t>
            </w:r>
            <w:r>
              <w:rPr>
                <w:rFonts w:ascii="Times New Roman" w:eastAsia="宋体" w:hAnsi="Times New Roman" w:cs="Times New Roman"/>
                <w:color w:val="000000" w:themeColor="text1"/>
              </w:rPr>
              <w:t>/a</w:t>
            </w:r>
          </w:p>
        </w:tc>
        <w:tc>
          <w:tcPr>
            <w:tcW w:w="319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p>
        </w:tc>
      </w:tr>
    </w:tbl>
    <w:p w:rsidR="00C861DA" w:rsidRDefault="0044752E">
      <w:pPr>
        <w:pStyle w:val="32"/>
        <w:rPr>
          <w:rFonts w:ascii="Times New Roman" w:eastAsia="宋体"/>
          <w:bCs w:val="0"/>
          <w:color w:val="000000" w:themeColor="text1"/>
          <w:sz w:val="24"/>
          <w:szCs w:val="24"/>
        </w:rPr>
      </w:pPr>
      <w:bookmarkStart w:id="215" w:name="_Toc6826789"/>
      <w:r>
        <w:rPr>
          <w:rFonts w:ascii="Times New Roman" w:eastAsia="宋体" w:hint="eastAsia"/>
          <w:bCs w:val="0"/>
          <w:color w:val="000000" w:themeColor="text1"/>
          <w:sz w:val="24"/>
          <w:szCs w:val="24"/>
        </w:rPr>
        <w:t>3</w:t>
      </w:r>
      <w:r>
        <w:rPr>
          <w:rFonts w:ascii="Times New Roman" w:eastAsia="宋体"/>
          <w:bCs w:val="0"/>
          <w:color w:val="000000" w:themeColor="text1"/>
          <w:sz w:val="24"/>
          <w:szCs w:val="24"/>
        </w:rPr>
        <w:t>.2.10</w:t>
      </w:r>
      <w:r>
        <w:rPr>
          <w:rFonts w:ascii="Times New Roman" w:eastAsia="宋体"/>
          <w:bCs w:val="0"/>
          <w:color w:val="000000" w:themeColor="text1"/>
          <w:sz w:val="24"/>
          <w:szCs w:val="24"/>
        </w:rPr>
        <w:t>原辅料及能源消耗</w:t>
      </w:r>
      <w:bookmarkEnd w:id="215"/>
    </w:p>
    <w:p w:rsidR="00C861DA" w:rsidRDefault="0044752E">
      <w:pPr>
        <w:spacing w:line="360" w:lineRule="auto"/>
        <w:ind w:leftChars="50" w:left="105" w:rightChars="50" w:right="105" w:firstLineChars="200" w:firstLine="480"/>
        <w:rPr>
          <w:color w:val="000000" w:themeColor="text1"/>
          <w:sz w:val="24"/>
        </w:rPr>
      </w:pPr>
      <w:r>
        <w:rPr>
          <w:rFonts w:ascii="Times New Roman" w:eastAsia="宋体" w:hAnsi="Times New Roman" w:cs="Times New Roman"/>
          <w:color w:val="000000" w:themeColor="text1"/>
          <w:sz w:val="24"/>
        </w:rPr>
        <w:t>本项目为新型生态绿色有机肥生产项目，</w:t>
      </w:r>
      <w:r>
        <w:rPr>
          <w:rFonts w:ascii="Times New Roman" w:eastAsia="宋体" w:hAnsi="Times New Roman" w:cs="Times New Roman" w:hint="eastAsia"/>
          <w:color w:val="000000" w:themeColor="text1"/>
          <w:sz w:val="24"/>
        </w:rPr>
        <w:t>主要原材料为液氨、磷酸一铵、硫酸钾、有机质、</w:t>
      </w:r>
      <w:r>
        <w:rPr>
          <w:rFonts w:ascii="Times New Roman" w:eastAsia="宋体" w:hAnsi="Times New Roman" w:cs="Times New Roman" w:hint="eastAsia"/>
          <w:color w:val="000000" w:themeColor="text1"/>
          <w:sz w:val="24"/>
        </w:rPr>
        <w:t>CO</w:t>
      </w:r>
      <w:r>
        <w:rPr>
          <w:rFonts w:ascii="Times New Roman" w:eastAsia="宋体" w:hAnsi="Times New Roman" w:cs="Times New Roman"/>
          <w:color w:val="000000" w:themeColor="text1"/>
          <w:sz w:val="24"/>
          <w:vertAlign w:val="subscript"/>
        </w:rPr>
        <w:t>2</w:t>
      </w:r>
      <w:r>
        <w:rPr>
          <w:rFonts w:ascii="Times New Roman" w:eastAsia="宋体" w:hAnsi="Times New Roman" w:cs="Times New Roman" w:hint="eastAsia"/>
          <w:color w:val="000000" w:themeColor="text1"/>
          <w:sz w:val="24"/>
        </w:rPr>
        <w:t>和包装材料。</w:t>
      </w:r>
    </w:p>
    <w:p w:rsidR="00C861DA" w:rsidRDefault="0044752E">
      <w:pPr>
        <w:spacing w:line="360" w:lineRule="auto"/>
        <w:jc w:val="center"/>
        <w:rPr>
          <w:rFonts w:ascii="Times New Roman" w:eastAsia="宋体"/>
          <w:b/>
          <w:color w:val="000000" w:themeColor="text1"/>
          <w:sz w:val="24"/>
          <w:szCs w:val="24"/>
        </w:rPr>
      </w:pPr>
      <w:r>
        <w:rPr>
          <w:rFonts w:ascii="Times New Roman" w:eastAsia="宋体" w:hint="eastAsia"/>
          <w:b/>
          <w:color w:val="000000" w:themeColor="text1"/>
          <w:sz w:val="24"/>
          <w:szCs w:val="24"/>
        </w:rPr>
        <w:t>表</w:t>
      </w:r>
      <w:r>
        <w:rPr>
          <w:rFonts w:ascii="Times New Roman" w:eastAsia="宋体" w:hint="eastAsia"/>
          <w:b/>
          <w:color w:val="000000" w:themeColor="text1"/>
          <w:sz w:val="24"/>
          <w:szCs w:val="24"/>
        </w:rPr>
        <w:t>1</w:t>
      </w:r>
      <w:r>
        <w:rPr>
          <w:rFonts w:ascii="Times New Roman" w:eastAsia="宋体"/>
          <w:b/>
          <w:color w:val="000000" w:themeColor="text1"/>
          <w:sz w:val="24"/>
          <w:szCs w:val="24"/>
        </w:rPr>
        <w:t xml:space="preserve">-5  </w:t>
      </w:r>
      <w:r>
        <w:rPr>
          <w:rFonts w:ascii="Times New Roman" w:eastAsia="宋体" w:hint="eastAsia"/>
          <w:b/>
          <w:color w:val="000000" w:themeColor="text1"/>
          <w:sz w:val="24"/>
          <w:szCs w:val="24"/>
        </w:rPr>
        <w:t>原辅料消耗量一览表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1215"/>
        <w:gridCol w:w="1286"/>
        <w:gridCol w:w="1286"/>
        <w:gridCol w:w="3740"/>
      </w:tblGrid>
      <w:tr w:rsidR="00C861DA">
        <w:trPr>
          <w:trHeight w:val="369"/>
          <w:jc w:val="center"/>
        </w:trPr>
        <w:tc>
          <w:tcPr>
            <w:tcW w:w="769" w:type="dxa"/>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序号</w:t>
            </w:r>
          </w:p>
        </w:tc>
        <w:tc>
          <w:tcPr>
            <w:tcW w:w="1215" w:type="dxa"/>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产品名称</w:t>
            </w:r>
          </w:p>
        </w:tc>
        <w:tc>
          <w:tcPr>
            <w:tcW w:w="1286" w:type="dxa"/>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单位</w:t>
            </w:r>
          </w:p>
        </w:tc>
        <w:tc>
          <w:tcPr>
            <w:tcW w:w="1286" w:type="dxa"/>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数量</w:t>
            </w:r>
          </w:p>
        </w:tc>
        <w:tc>
          <w:tcPr>
            <w:tcW w:w="3740" w:type="dxa"/>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备注</w:t>
            </w:r>
          </w:p>
        </w:tc>
      </w:tr>
      <w:tr w:rsidR="00C861DA">
        <w:trPr>
          <w:trHeight w:val="369"/>
          <w:jc w:val="center"/>
        </w:trPr>
        <w:tc>
          <w:tcPr>
            <w:tcW w:w="769"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12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液氨</w:t>
            </w:r>
          </w:p>
        </w:tc>
        <w:tc>
          <w:tcPr>
            <w:tcW w:w="128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万吨</w:t>
            </w:r>
            <w:r>
              <w:rPr>
                <w:rFonts w:ascii="Times New Roman" w:eastAsia="宋体" w:hAnsi="Times New Roman" w:cs="Times New Roman"/>
                <w:color w:val="000000" w:themeColor="text1"/>
              </w:rPr>
              <w:t>/a</w:t>
            </w:r>
          </w:p>
        </w:tc>
        <w:tc>
          <w:tcPr>
            <w:tcW w:w="128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24.26</w:t>
            </w:r>
          </w:p>
        </w:tc>
        <w:tc>
          <w:tcPr>
            <w:tcW w:w="3740"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来源于祥丰石化氨站</w:t>
            </w:r>
          </w:p>
        </w:tc>
      </w:tr>
      <w:tr w:rsidR="00C861DA">
        <w:trPr>
          <w:trHeight w:val="369"/>
          <w:jc w:val="center"/>
        </w:trPr>
        <w:tc>
          <w:tcPr>
            <w:tcW w:w="769"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12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磷酸一铵</w:t>
            </w:r>
          </w:p>
        </w:tc>
        <w:tc>
          <w:tcPr>
            <w:tcW w:w="128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万吨</w:t>
            </w:r>
            <w:r>
              <w:rPr>
                <w:rFonts w:ascii="Times New Roman" w:eastAsia="宋体" w:hAnsi="Times New Roman" w:cs="Times New Roman"/>
                <w:color w:val="000000" w:themeColor="text1"/>
              </w:rPr>
              <w:t>/a</w:t>
            </w:r>
          </w:p>
        </w:tc>
        <w:tc>
          <w:tcPr>
            <w:tcW w:w="128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13.3</w:t>
            </w:r>
          </w:p>
        </w:tc>
        <w:tc>
          <w:tcPr>
            <w:tcW w:w="3740"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外购</w:t>
            </w:r>
          </w:p>
        </w:tc>
      </w:tr>
      <w:tr w:rsidR="00C861DA">
        <w:trPr>
          <w:trHeight w:val="369"/>
          <w:jc w:val="center"/>
        </w:trPr>
        <w:tc>
          <w:tcPr>
            <w:tcW w:w="769"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p>
        </w:tc>
        <w:tc>
          <w:tcPr>
            <w:tcW w:w="12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硫酸钾</w:t>
            </w:r>
          </w:p>
        </w:tc>
        <w:tc>
          <w:tcPr>
            <w:tcW w:w="128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万吨</w:t>
            </w:r>
            <w:r>
              <w:rPr>
                <w:rFonts w:ascii="Times New Roman" w:eastAsia="宋体" w:hAnsi="Times New Roman" w:cs="Times New Roman"/>
                <w:color w:val="000000" w:themeColor="text1"/>
              </w:rPr>
              <w:t>/a</w:t>
            </w:r>
          </w:p>
        </w:tc>
        <w:tc>
          <w:tcPr>
            <w:tcW w:w="128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16.06</w:t>
            </w:r>
          </w:p>
        </w:tc>
        <w:tc>
          <w:tcPr>
            <w:tcW w:w="3740"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外购</w:t>
            </w:r>
          </w:p>
        </w:tc>
      </w:tr>
      <w:tr w:rsidR="00C861DA">
        <w:trPr>
          <w:trHeight w:val="369"/>
          <w:jc w:val="center"/>
        </w:trPr>
        <w:tc>
          <w:tcPr>
            <w:tcW w:w="769"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w:t>
            </w:r>
          </w:p>
        </w:tc>
        <w:tc>
          <w:tcPr>
            <w:tcW w:w="12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有机质</w:t>
            </w:r>
          </w:p>
        </w:tc>
        <w:tc>
          <w:tcPr>
            <w:tcW w:w="128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万吨</w:t>
            </w:r>
            <w:r>
              <w:rPr>
                <w:rFonts w:ascii="Times New Roman" w:eastAsia="宋体" w:hAnsi="Times New Roman" w:cs="Times New Roman"/>
                <w:color w:val="000000" w:themeColor="text1"/>
              </w:rPr>
              <w:t>/a</w:t>
            </w:r>
          </w:p>
        </w:tc>
        <w:tc>
          <w:tcPr>
            <w:tcW w:w="128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12</w:t>
            </w:r>
          </w:p>
        </w:tc>
        <w:tc>
          <w:tcPr>
            <w:tcW w:w="3740"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外购，主要成分为腐殖酸</w:t>
            </w:r>
          </w:p>
        </w:tc>
      </w:tr>
      <w:tr w:rsidR="00C861DA">
        <w:trPr>
          <w:trHeight w:val="369"/>
          <w:jc w:val="center"/>
        </w:trPr>
        <w:tc>
          <w:tcPr>
            <w:tcW w:w="769"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w:t>
            </w:r>
          </w:p>
        </w:tc>
        <w:tc>
          <w:tcPr>
            <w:tcW w:w="12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CO</w:t>
            </w:r>
            <w:r>
              <w:rPr>
                <w:rFonts w:ascii="Times New Roman" w:eastAsia="宋体" w:hAnsi="Times New Roman" w:cs="Times New Roman"/>
                <w:color w:val="000000" w:themeColor="text1"/>
                <w:vertAlign w:val="subscript"/>
              </w:rPr>
              <w:t>2</w:t>
            </w:r>
          </w:p>
        </w:tc>
        <w:tc>
          <w:tcPr>
            <w:tcW w:w="128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万吨</w:t>
            </w:r>
            <w:r>
              <w:rPr>
                <w:rFonts w:ascii="Times New Roman" w:eastAsia="宋体" w:hAnsi="Times New Roman" w:cs="Times New Roman"/>
                <w:color w:val="000000" w:themeColor="text1"/>
              </w:rPr>
              <w:t>/a</w:t>
            </w:r>
          </w:p>
        </w:tc>
        <w:tc>
          <w:tcPr>
            <w:tcW w:w="128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22.35</w:t>
            </w:r>
          </w:p>
        </w:tc>
        <w:tc>
          <w:tcPr>
            <w:tcW w:w="3740"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来源于</w:t>
            </w:r>
            <w:r>
              <w:rPr>
                <w:rFonts w:ascii="Times New Roman" w:eastAsia="宋体" w:hAnsi="Times New Roman" w:cs="Times New Roman"/>
                <w:color w:val="000000" w:themeColor="text1"/>
              </w:rPr>
              <w:t>“30</w:t>
            </w:r>
            <w:r>
              <w:rPr>
                <w:rFonts w:ascii="Times New Roman" w:eastAsia="宋体" w:hAnsi="Times New Roman" w:cs="Times New Roman"/>
                <w:color w:val="000000" w:themeColor="text1"/>
              </w:rPr>
              <w:t>万吨合成氨装置</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净化装置</w:t>
            </w:r>
          </w:p>
        </w:tc>
      </w:tr>
      <w:tr w:rsidR="00C861DA">
        <w:trPr>
          <w:trHeight w:val="369"/>
          <w:jc w:val="center"/>
        </w:trPr>
        <w:tc>
          <w:tcPr>
            <w:tcW w:w="769"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p>
        </w:tc>
        <w:tc>
          <w:tcPr>
            <w:tcW w:w="12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包装材料</w:t>
            </w:r>
          </w:p>
        </w:tc>
        <w:tc>
          <w:tcPr>
            <w:tcW w:w="128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万条</w:t>
            </w:r>
            <w:r>
              <w:rPr>
                <w:rFonts w:ascii="Times New Roman" w:eastAsia="宋体" w:hAnsi="Times New Roman" w:cs="Times New Roman"/>
                <w:color w:val="000000" w:themeColor="text1"/>
              </w:rPr>
              <w:t>/a</w:t>
            </w:r>
          </w:p>
        </w:tc>
        <w:tc>
          <w:tcPr>
            <w:tcW w:w="128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1640</w:t>
            </w:r>
          </w:p>
        </w:tc>
        <w:tc>
          <w:tcPr>
            <w:tcW w:w="3740"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外购</w:t>
            </w:r>
          </w:p>
        </w:tc>
      </w:tr>
    </w:tbl>
    <w:p w:rsidR="00C861DA" w:rsidRDefault="0044752E">
      <w:pPr>
        <w:pStyle w:val="32"/>
        <w:rPr>
          <w:rFonts w:ascii="Times New Roman" w:eastAsia="宋体"/>
          <w:bCs w:val="0"/>
          <w:color w:val="000000" w:themeColor="text1"/>
          <w:sz w:val="24"/>
          <w:szCs w:val="24"/>
        </w:rPr>
      </w:pPr>
      <w:bookmarkStart w:id="216" w:name="_Toc6826790"/>
      <w:r>
        <w:rPr>
          <w:rFonts w:ascii="Times New Roman" w:eastAsia="宋体" w:hint="eastAsia"/>
          <w:bCs w:val="0"/>
          <w:color w:val="000000" w:themeColor="text1"/>
          <w:sz w:val="24"/>
          <w:szCs w:val="24"/>
        </w:rPr>
        <w:t>3</w:t>
      </w:r>
      <w:r>
        <w:rPr>
          <w:rFonts w:ascii="Times New Roman" w:eastAsia="宋体"/>
          <w:bCs w:val="0"/>
          <w:color w:val="000000" w:themeColor="text1"/>
          <w:sz w:val="24"/>
          <w:szCs w:val="24"/>
        </w:rPr>
        <w:t>.2.11</w:t>
      </w:r>
      <w:r>
        <w:rPr>
          <w:rFonts w:ascii="Times New Roman" w:eastAsia="宋体"/>
          <w:bCs w:val="0"/>
          <w:color w:val="000000" w:themeColor="text1"/>
          <w:sz w:val="24"/>
          <w:szCs w:val="24"/>
        </w:rPr>
        <w:t>能耗</w:t>
      </w:r>
      <w:bookmarkEnd w:id="216"/>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本项目为液氨存储项目，所有设备均为电能驱动。</w:t>
      </w:r>
    </w:p>
    <w:p w:rsidR="00C861DA" w:rsidRDefault="0044752E">
      <w:pPr>
        <w:spacing w:beforeLines="50" w:before="156"/>
        <w:jc w:val="center"/>
        <w:rPr>
          <w:rFonts w:ascii="Times New Roman" w:eastAsia="宋体" w:hAnsi="Times New Roman" w:cs="Times New Roman"/>
          <w:b/>
          <w:color w:val="000000" w:themeColor="text1"/>
          <w:sz w:val="32"/>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1-6  </w:t>
      </w:r>
      <w:r>
        <w:rPr>
          <w:rFonts w:ascii="Times New Roman" w:eastAsia="宋体" w:hAnsi="Times New Roman" w:cs="Times New Roman"/>
          <w:b/>
          <w:color w:val="000000" w:themeColor="text1"/>
          <w:sz w:val="24"/>
        </w:rPr>
        <w:t>主要能耗一览表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960"/>
        <w:gridCol w:w="2220"/>
        <w:gridCol w:w="2945"/>
      </w:tblGrid>
      <w:tr w:rsidR="00C861DA">
        <w:trPr>
          <w:trHeight w:val="369"/>
          <w:jc w:val="center"/>
        </w:trPr>
        <w:tc>
          <w:tcPr>
            <w:tcW w:w="1171" w:type="dxa"/>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名称</w:t>
            </w:r>
          </w:p>
        </w:tc>
        <w:tc>
          <w:tcPr>
            <w:tcW w:w="1960" w:type="dxa"/>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设计年用量</w:t>
            </w:r>
          </w:p>
        </w:tc>
        <w:tc>
          <w:tcPr>
            <w:tcW w:w="2220" w:type="dxa"/>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用途</w:t>
            </w:r>
          </w:p>
        </w:tc>
        <w:tc>
          <w:tcPr>
            <w:tcW w:w="2945" w:type="dxa"/>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来源</w:t>
            </w:r>
          </w:p>
        </w:tc>
      </w:tr>
      <w:tr w:rsidR="00C861DA">
        <w:trPr>
          <w:trHeight w:val="369"/>
          <w:jc w:val="center"/>
        </w:trPr>
        <w:tc>
          <w:tcPr>
            <w:tcW w:w="1171"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电能</w:t>
            </w:r>
          </w:p>
        </w:tc>
        <w:tc>
          <w:tcPr>
            <w:tcW w:w="1960"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5337.53kW·h/a</w:t>
            </w:r>
          </w:p>
        </w:tc>
        <w:tc>
          <w:tcPr>
            <w:tcW w:w="2220"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驱动设备</w:t>
            </w:r>
          </w:p>
        </w:tc>
        <w:tc>
          <w:tcPr>
            <w:tcW w:w="294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工业园区电网</w:t>
            </w:r>
          </w:p>
        </w:tc>
      </w:tr>
      <w:tr w:rsidR="00C861DA">
        <w:trPr>
          <w:trHeight w:val="369"/>
          <w:jc w:val="center"/>
        </w:trPr>
        <w:tc>
          <w:tcPr>
            <w:tcW w:w="1171"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水</w:t>
            </w:r>
          </w:p>
        </w:tc>
        <w:tc>
          <w:tcPr>
            <w:tcW w:w="1960"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14.18t/a</w:t>
            </w:r>
          </w:p>
        </w:tc>
        <w:tc>
          <w:tcPr>
            <w:tcW w:w="2220"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冷却降温</w:t>
            </w:r>
          </w:p>
        </w:tc>
        <w:tc>
          <w:tcPr>
            <w:tcW w:w="294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祥丰金麦生产用水管道</w:t>
            </w:r>
          </w:p>
        </w:tc>
      </w:tr>
    </w:tbl>
    <w:p w:rsidR="00C861DA" w:rsidRDefault="0044752E">
      <w:pPr>
        <w:pStyle w:val="32"/>
        <w:rPr>
          <w:rFonts w:ascii="Times New Roman" w:eastAsia="宋体"/>
          <w:bCs w:val="0"/>
          <w:color w:val="000000" w:themeColor="text1"/>
          <w:sz w:val="24"/>
          <w:szCs w:val="24"/>
        </w:rPr>
      </w:pPr>
      <w:bookmarkStart w:id="217" w:name="_Toc6826791"/>
      <w:r>
        <w:rPr>
          <w:rFonts w:ascii="Times New Roman" w:eastAsia="宋体" w:hint="eastAsia"/>
          <w:bCs w:val="0"/>
          <w:color w:val="000000" w:themeColor="text1"/>
          <w:sz w:val="24"/>
          <w:szCs w:val="24"/>
        </w:rPr>
        <w:t>3</w:t>
      </w:r>
      <w:r>
        <w:rPr>
          <w:rFonts w:ascii="Times New Roman" w:eastAsia="宋体"/>
          <w:bCs w:val="0"/>
          <w:color w:val="000000" w:themeColor="text1"/>
          <w:sz w:val="24"/>
          <w:szCs w:val="24"/>
        </w:rPr>
        <w:t>.2.12</w:t>
      </w:r>
      <w:r>
        <w:rPr>
          <w:rFonts w:ascii="Times New Roman" w:eastAsia="宋体"/>
          <w:bCs w:val="0"/>
          <w:color w:val="000000" w:themeColor="text1"/>
          <w:sz w:val="24"/>
          <w:szCs w:val="24"/>
        </w:rPr>
        <w:t>总平面布置</w:t>
      </w:r>
      <w:bookmarkEnd w:id="217"/>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厂区平面布置本着与区域规划相协调，满足生产工艺要求为原则，罐绿色</w:t>
      </w:r>
      <w:r>
        <w:rPr>
          <w:rFonts w:ascii="Times New Roman" w:eastAsia="宋体" w:hAnsi="Times New Roman" w:cs="Times New Roman" w:hint="eastAsia"/>
          <w:color w:val="000000" w:themeColor="text1"/>
          <w:sz w:val="24"/>
        </w:rPr>
        <w:t>有机</w:t>
      </w:r>
      <w:r>
        <w:rPr>
          <w:rFonts w:ascii="Times New Roman" w:eastAsia="宋体" w:hAnsi="Times New Roman" w:cs="Times New Roman"/>
          <w:color w:val="000000" w:themeColor="text1"/>
          <w:sz w:val="24"/>
        </w:rPr>
        <w:t>硝基复合肥生产线与绿色</w:t>
      </w:r>
      <w:r>
        <w:rPr>
          <w:rFonts w:ascii="Times New Roman" w:eastAsia="宋体" w:hAnsi="Times New Roman" w:cs="Times New Roman" w:hint="eastAsia"/>
          <w:color w:val="000000" w:themeColor="text1"/>
          <w:sz w:val="24"/>
        </w:rPr>
        <w:t>有机</w:t>
      </w:r>
      <w:r>
        <w:rPr>
          <w:rFonts w:ascii="Times New Roman" w:eastAsia="宋体" w:hAnsi="Times New Roman" w:cs="Times New Roman"/>
          <w:color w:val="000000" w:themeColor="text1"/>
          <w:sz w:val="24"/>
        </w:rPr>
        <w:t>尿基复合肥生产线分开，做到经济、实用、美观，方便运输和管理，事故池和雨水收集池均位于项目区中部偏西，相对于主要生产设施高程较低，可利用高程自流。</w:t>
      </w:r>
    </w:p>
    <w:p w:rsidR="00C861DA" w:rsidRDefault="0044752E">
      <w:pPr>
        <w:pStyle w:val="32"/>
        <w:rPr>
          <w:rFonts w:ascii="Times New Roman" w:eastAsia="宋体"/>
          <w:bCs w:val="0"/>
          <w:color w:val="000000" w:themeColor="text1"/>
          <w:sz w:val="24"/>
          <w:szCs w:val="24"/>
        </w:rPr>
      </w:pPr>
      <w:bookmarkStart w:id="218" w:name="_Toc6826792"/>
      <w:r>
        <w:rPr>
          <w:rFonts w:ascii="Times New Roman" w:eastAsia="宋体" w:hint="eastAsia"/>
          <w:bCs w:val="0"/>
          <w:color w:val="000000" w:themeColor="text1"/>
          <w:sz w:val="24"/>
          <w:szCs w:val="24"/>
        </w:rPr>
        <w:t>3</w:t>
      </w:r>
      <w:r>
        <w:rPr>
          <w:rFonts w:ascii="Times New Roman" w:eastAsia="宋体"/>
          <w:bCs w:val="0"/>
          <w:color w:val="000000" w:themeColor="text1"/>
          <w:sz w:val="24"/>
          <w:szCs w:val="24"/>
        </w:rPr>
        <w:t>.2.13</w:t>
      </w:r>
      <w:r>
        <w:rPr>
          <w:rFonts w:ascii="Times New Roman" w:eastAsia="宋体"/>
          <w:bCs w:val="0"/>
          <w:color w:val="000000" w:themeColor="text1"/>
          <w:sz w:val="24"/>
          <w:szCs w:val="24"/>
        </w:rPr>
        <w:t>工作制度及劳动定员</w:t>
      </w:r>
      <w:bookmarkEnd w:id="218"/>
    </w:p>
    <w:p w:rsidR="00C861DA" w:rsidRDefault="0044752E">
      <w:pPr>
        <w:spacing w:line="360" w:lineRule="auto"/>
        <w:ind w:leftChars="50" w:left="105" w:rightChars="50" w:right="105"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1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①</w:t>
      </w:r>
      <w:r>
        <w:rPr>
          <w:rFonts w:ascii="Times New Roman" w:eastAsia="宋体" w:hAnsi="Times New Roman" w:cs="Times New Roman"/>
          <w:b/>
          <w:color w:val="000000" w:themeColor="text1"/>
          <w:sz w:val="24"/>
        </w:rPr>
        <w:fldChar w:fldCharType="end"/>
      </w:r>
      <w:r>
        <w:rPr>
          <w:rFonts w:ascii="Times New Roman" w:eastAsia="宋体" w:hAnsi="Times New Roman" w:cs="Times New Roman"/>
          <w:b/>
          <w:color w:val="000000" w:themeColor="text1"/>
          <w:sz w:val="24"/>
        </w:rPr>
        <w:t>工作制度</w:t>
      </w:r>
    </w:p>
    <w:p w:rsidR="00C861DA" w:rsidRDefault="0044752E">
      <w:pPr>
        <w:spacing w:line="360" w:lineRule="auto"/>
        <w:ind w:leftChars="50" w:left="105" w:rightChars="50" w:right="105" w:firstLineChars="200" w:firstLine="482"/>
        <w:rPr>
          <w:rFonts w:ascii="Times New Roman" w:eastAsia="宋体" w:hAnsi="Times New Roman" w:cs="Times New Roman"/>
          <w:color w:val="000000" w:themeColor="text1"/>
          <w:sz w:val="24"/>
        </w:rPr>
      </w:pPr>
      <w:r>
        <w:rPr>
          <w:rFonts w:ascii="Times New Roman" w:eastAsia="宋体" w:hAnsi="Times New Roman" w:cs="Times New Roman"/>
          <w:b/>
          <w:color w:val="000000" w:themeColor="text1"/>
          <w:sz w:val="24"/>
        </w:rPr>
        <w:t>年工作日：</w:t>
      </w:r>
      <w:r>
        <w:rPr>
          <w:rFonts w:ascii="Times New Roman" w:eastAsia="宋体" w:hAnsi="Times New Roman" w:cs="Times New Roman"/>
          <w:color w:val="000000" w:themeColor="text1"/>
          <w:sz w:val="24"/>
        </w:rPr>
        <w:t>365</w:t>
      </w:r>
      <w:r>
        <w:rPr>
          <w:rFonts w:ascii="Times New Roman" w:eastAsia="宋体" w:hAnsi="Times New Roman" w:cs="Times New Roman"/>
          <w:color w:val="000000" w:themeColor="text1"/>
          <w:sz w:val="24"/>
        </w:rPr>
        <w:t>天。</w:t>
      </w:r>
    </w:p>
    <w:p w:rsidR="00C861DA" w:rsidRDefault="0044752E">
      <w:pPr>
        <w:spacing w:line="360" w:lineRule="auto"/>
        <w:ind w:leftChars="50" w:left="105" w:rightChars="50" w:right="105" w:firstLineChars="200" w:firstLine="482"/>
        <w:rPr>
          <w:rFonts w:ascii="Times New Roman" w:eastAsia="宋体" w:hAnsi="Times New Roman" w:cs="Times New Roman"/>
          <w:color w:val="000000" w:themeColor="text1"/>
          <w:sz w:val="24"/>
        </w:rPr>
      </w:pPr>
      <w:r>
        <w:rPr>
          <w:rFonts w:ascii="Times New Roman" w:eastAsia="宋体" w:hAnsi="Times New Roman" w:cs="Times New Roman"/>
          <w:b/>
          <w:color w:val="000000" w:themeColor="text1"/>
          <w:sz w:val="24"/>
        </w:rPr>
        <w:t>运营班制：</w:t>
      </w:r>
      <w:r>
        <w:rPr>
          <w:rFonts w:ascii="Times New Roman" w:eastAsia="宋体" w:hAnsi="Times New Roman" w:cs="Times New Roman"/>
          <w:color w:val="000000" w:themeColor="text1"/>
          <w:sz w:val="24"/>
        </w:rPr>
        <w:t>按四班三运转的方式，每班次</w:t>
      </w:r>
      <w:r>
        <w:rPr>
          <w:rFonts w:ascii="Times New Roman" w:eastAsia="宋体" w:hAnsi="Times New Roman" w:cs="Times New Roman"/>
          <w:color w:val="000000" w:themeColor="text1"/>
          <w:sz w:val="24"/>
        </w:rPr>
        <w:t>8h</w:t>
      </w:r>
      <w:r>
        <w:rPr>
          <w:rFonts w:ascii="Times New Roman" w:eastAsia="宋体" w:hAnsi="Times New Roman" w:cs="Times New Roman"/>
          <w:color w:val="000000" w:themeColor="text1"/>
          <w:sz w:val="24"/>
        </w:rPr>
        <w:t>。</w:t>
      </w:r>
    </w:p>
    <w:p w:rsidR="00C861DA" w:rsidRDefault="0044752E">
      <w:pPr>
        <w:spacing w:line="360" w:lineRule="auto"/>
        <w:ind w:leftChars="50" w:left="105" w:rightChars="50" w:right="105"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2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②</w:t>
      </w:r>
      <w:r>
        <w:rPr>
          <w:rFonts w:ascii="Times New Roman" w:eastAsia="宋体" w:hAnsi="Times New Roman" w:cs="Times New Roman"/>
          <w:b/>
          <w:color w:val="000000" w:themeColor="text1"/>
          <w:sz w:val="24"/>
        </w:rPr>
        <w:fldChar w:fldCharType="end"/>
      </w:r>
      <w:r>
        <w:rPr>
          <w:rFonts w:ascii="Times New Roman" w:eastAsia="宋体" w:hAnsi="Times New Roman" w:cs="Times New Roman"/>
          <w:b/>
          <w:color w:val="000000" w:themeColor="text1"/>
          <w:sz w:val="24"/>
        </w:rPr>
        <w:t>劳动定员</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项目建成后，劳动定员</w:t>
      </w:r>
      <w:r>
        <w:rPr>
          <w:rFonts w:ascii="Times New Roman" w:eastAsia="宋体" w:hAnsi="Times New Roman" w:cs="Times New Roman"/>
          <w:color w:val="000000" w:themeColor="text1"/>
          <w:sz w:val="24"/>
        </w:rPr>
        <w:t>72</w:t>
      </w:r>
      <w:r>
        <w:rPr>
          <w:rFonts w:ascii="Times New Roman" w:eastAsia="宋体" w:hAnsi="Times New Roman" w:cs="Times New Roman"/>
          <w:color w:val="000000" w:themeColor="text1"/>
          <w:sz w:val="24"/>
        </w:rPr>
        <w:t>人，绿色</w:t>
      </w:r>
      <w:r>
        <w:rPr>
          <w:rFonts w:ascii="Times New Roman" w:eastAsia="宋体" w:hAnsi="Times New Roman" w:cs="Times New Roman" w:hint="eastAsia"/>
          <w:color w:val="000000" w:themeColor="text1"/>
          <w:sz w:val="24"/>
        </w:rPr>
        <w:t>有机</w:t>
      </w:r>
      <w:r>
        <w:rPr>
          <w:rFonts w:ascii="Times New Roman" w:eastAsia="宋体" w:hAnsi="Times New Roman" w:cs="Times New Roman"/>
          <w:color w:val="000000" w:themeColor="text1"/>
          <w:sz w:val="24"/>
        </w:rPr>
        <w:t>尿基复合肥生产线和绿色</w:t>
      </w:r>
      <w:r>
        <w:rPr>
          <w:rFonts w:ascii="Times New Roman" w:eastAsia="宋体" w:hAnsi="Times New Roman" w:cs="Times New Roman" w:hint="eastAsia"/>
          <w:color w:val="000000" w:themeColor="text1"/>
          <w:sz w:val="24"/>
        </w:rPr>
        <w:t>有机</w:t>
      </w:r>
      <w:r>
        <w:rPr>
          <w:rFonts w:ascii="Times New Roman" w:eastAsia="宋体" w:hAnsi="Times New Roman" w:cs="Times New Roman"/>
          <w:color w:val="000000" w:themeColor="text1"/>
          <w:sz w:val="24"/>
        </w:rPr>
        <w:t>硝基复合肥生产线各</w:t>
      </w:r>
      <w:r>
        <w:rPr>
          <w:rFonts w:ascii="Times New Roman" w:eastAsia="宋体" w:hAnsi="Times New Roman" w:cs="Times New Roman"/>
          <w:color w:val="000000" w:themeColor="text1"/>
          <w:sz w:val="24"/>
        </w:rPr>
        <w:t>36</w:t>
      </w:r>
      <w:r>
        <w:rPr>
          <w:rFonts w:ascii="Times New Roman" w:eastAsia="宋体" w:hAnsi="Times New Roman" w:cs="Times New Roman"/>
          <w:color w:val="000000" w:themeColor="text1"/>
          <w:sz w:val="24"/>
        </w:rPr>
        <w:t>人。</w:t>
      </w:r>
    </w:p>
    <w:p w:rsidR="00C861DA" w:rsidRDefault="0044752E">
      <w:pPr>
        <w:pStyle w:val="21"/>
        <w:spacing w:line="240" w:lineRule="auto"/>
        <w:ind w:firstLine="0"/>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1-7  </w:t>
      </w:r>
      <w:r>
        <w:rPr>
          <w:rFonts w:ascii="Times New Roman" w:eastAsia="宋体" w:hAnsi="Times New Roman" w:cs="Times New Roman"/>
          <w:b/>
          <w:color w:val="000000" w:themeColor="text1"/>
          <w:sz w:val="24"/>
        </w:rPr>
        <w:t>劳动定员一览表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3202"/>
        <w:gridCol w:w="1875"/>
        <w:gridCol w:w="1609"/>
      </w:tblGrid>
      <w:tr w:rsidR="00C861DA">
        <w:trPr>
          <w:trHeight w:val="369"/>
          <w:jc w:val="center"/>
        </w:trPr>
        <w:tc>
          <w:tcPr>
            <w:tcW w:w="1610"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序号</w:t>
            </w:r>
          </w:p>
        </w:tc>
        <w:tc>
          <w:tcPr>
            <w:tcW w:w="3202"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部门或岗位</w:t>
            </w:r>
          </w:p>
        </w:tc>
        <w:tc>
          <w:tcPr>
            <w:tcW w:w="1875"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定员</w:t>
            </w:r>
          </w:p>
        </w:tc>
        <w:tc>
          <w:tcPr>
            <w:tcW w:w="1609"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备注</w:t>
            </w:r>
          </w:p>
        </w:tc>
      </w:tr>
      <w:tr w:rsidR="00C861DA">
        <w:trPr>
          <w:trHeight w:val="369"/>
          <w:jc w:val="center"/>
        </w:trPr>
        <w:tc>
          <w:tcPr>
            <w:tcW w:w="1610"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一</w:t>
            </w:r>
          </w:p>
        </w:tc>
        <w:tc>
          <w:tcPr>
            <w:tcW w:w="3202"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管理</w:t>
            </w:r>
          </w:p>
        </w:tc>
        <w:tc>
          <w:tcPr>
            <w:tcW w:w="1875"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1609"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trHeight w:val="369"/>
          <w:jc w:val="center"/>
        </w:trPr>
        <w:tc>
          <w:tcPr>
            <w:tcW w:w="1610"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二</w:t>
            </w:r>
          </w:p>
        </w:tc>
        <w:tc>
          <w:tcPr>
            <w:tcW w:w="3202"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生产人员</w:t>
            </w:r>
          </w:p>
        </w:tc>
        <w:tc>
          <w:tcPr>
            <w:tcW w:w="1875"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1609"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p>
        </w:tc>
      </w:tr>
      <w:tr w:rsidR="00C861DA">
        <w:trPr>
          <w:trHeight w:val="369"/>
          <w:jc w:val="center"/>
        </w:trPr>
        <w:tc>
          <w:tcPr>
            <w:tcW w:w="1610"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3202"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硝酸</w:t>
            </w:r>
          </w:p>
        </w:tc>
        <w:tc>
          <w:tcPr>
            <w:tcW w:w="1875"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1609"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p>
        </w:tc>
      </w:tr>
      <w:tr w:rsidR="00C861DA">
        <w:trPr>
          <w:trHeight w:val="369"/>
          <w:jc w:val="center"/>
        </w:trPr>
        <w:tc>
          <w:tcPr>
            <w:tcW w:w="1610"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3202"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硝铵溶液</w:t>
            </w:r>
          </w:p>
        </w:tc>
        <w:tc>
          <w:tcPr>
            <w:tcW w:w="1875"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1609"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p>
        </w:tc>
      </w:tr>
      <w:tr w:rsidR="00C861DA">
        <w:trPr>
          <w:trHeight w:val="369"/>
          <w:jc w:val="center"/>
        </w:trPr>
        <w:tc>
          <w:tcPr>
            <w:tcW w:w="1610"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p>
        </w:tc>
        <w:tc>
          <w:tcPr>
            <w:tcW w:w="3202"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绿色</w:t>
            </w:r>
            <w:r>
              <w:rPr>
                <w:rFonts w:ascii="Times New Roman" w:eastAsia="宋体" w:hAnsi="Times New Roman" w:cs="Times New Roman" w:hint="eastAsia"/>
                <w:color w:val="000000" w:themeColor="text1"/>
              </w:rPr>
              <w:t>有机</w:t>
            </w:r>
            <w:r>
              <w:rPr>
                <w:rFonts w:ascii="Times New Roman" w:eastAsia="宋体" w:hAnsi="Times New Roman" w:cs="Times New Roman"/>
                <w:color w:val="000000" w:themeColor="text1"/>
              </w:rPr>
              <w:t>硝基复合肥</w:t>
            </w:r>
          </w:p>
        </w:tc>
        <w:tc>
          <w:tcPr>
            <w:tcW w:w="1875"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1609"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p>
        </w:tc>
      </w:tr>
      <w:tr w:rsidR="00C861DA">
        <w:trPr>
          <w:trHeight w:val="369"/>
          <w:jc w:val="center"/>
        </w:trPr>
        <w:tc>
          <w:tcPr>
            <w:tcW w:w="1610"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w:t>
            </w:r>
          </w:p>
        </w:tc>
        <w:tc>
          <w:tcPr>
            <w:tcW w:w="3202"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尿素装置</w:t>
            </w:r>
          </w:p>
        </w:tc>
        <w:tc>
          <w:tcPr>
            <w:tcW w:w="1875"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1609"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p>
        </w:tc>
      </w:tr>
      <w:tr w:rsidR="00C861DA">
        <w:trPr>
          <w:trHeight w:val="369"/>
          <w:jc w:val="center"/>
        </w:trPr>
        <w:tc>
          <w:tcPr>
            <w:tcW w:w="1610"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w:t>
            </w:r>
          </w:p>
        </w:tc>
        <w:tc>
          <w:tcPr>
            <w:tcW w:w="3202"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绿色</w:t>
            </w:r>
            <w:r>
              <w:rPr>
                <w:rFonts w:ascii="Times New Roman" w:eastAsia="宋体" w:hAnsi="Times New Roman" w:cs="Times New Roman" w:hint="eastAsia"/>
                <w:color w:val="000000" w:themeColor="text1"/>
              </w:rPr>
              <w:t>有机</w:t>
            </w:r>
            <w:r>
              <w:rPr>
                <w:rFonts w:ascii="Times New Roman" w:eastAsia="宋体" w:hAnsi="Times New Roman" w:cs="Times New Roman"/>
                <w:color w:val="000000" w:themeColor="text1"/>
              </w:rPr>
              <w:t>尿基复合肥</w:t>
            </w:r>
          </w:p>
        </w:tc>
        <w:tc>
          <w:tcPr>
            <w:tcW w:w="1875"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16</w:t>
            </w:r>
          </w:p>
        </w:tc>
        <w:tc>
          <w:tcPr>
            <w:tcW w:w="1609"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p>
        </w:tc>
      </w:tr>
      <w:tr w:rsidR="00C861DA">
        <w:trPr>
          <w:trHeight w:val="369"/>
          <w:jc w:val="center"/>
        </w:trPr>
        <w:tc>
          <w:tcPr>
            <w:tcW w:w="1610"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6</w:t>
            </w:r>
          </w:p>
        </w:tc>
        <w:tc>
          <w:tcPr>
            <w:tcW w:w="3202"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共计</w:t>
            </w:r>
          </w:p>
        </w:tc>
        <w:tc>
          <w:tcPr>
            <w:tcW w:w="1875"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72</w:t>
            </w:r>
            <w:r>
              <w:rPr>
                <w:rFonts w:ascii="Times New Roman" w:eastAsia="宋体" w:hAnsi="Times New Roman" w:cs="Times New Roman"/>
                <w:color w:val="000000" w:themeColor="text1"/>
              </w:rPr>
              <w:t>人</w:t>
            </w:r>
          </w:p>
        </w:tc>
        <w:tc>
          <w:tcPr>
            <w:tcW w:w="1609" w:type="dxa"/>
            <w:vAlign w:val="center"/>
          </w:tcPr>
          <w:p w:rsidR="00C861DA" w:rsidRDefault="0044752E">
            <w:pPr>
              <w:tabs>
                <w:tab w:val="left" w:pos="5580"/>
              </w:tabs>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p>
        </w:tc>
      </w:tr>
    </w:tbl>
    <w:p w:rsidR="00C861DA" w:rsidRDefault="0044752E">
      <w:pPr>
        <w:pStyle w:val="32"/>
        <w:rPr>
          <w:rFonts w:ascii="Times New Roman" w:eastAsia="宋体"/>
          <w:bCs w:val="0"/>
          <w:color w:val="000000" w:themeColor="text1"/>
          <w:sz w:val="24"/>
          <w:szCs w:val="24"/>
        </w:rPr>
      </w:pPr>
      <w:bookmarkStart w:id="219" w:name="_Toc6826793"/>
      <w:r>
        <w:rPr>
          <w:rFonts w:ascii="Times New Roman" w:eastAsia="宋体" w:hint="eastAsia"/>
          <w:bCs w:val="0"/>
          <w:color w:val="000000" w:themeColor="text1"/>
          <w:sz w:val="24"/>
          <w:szCs w:val="24"/>
        </w:rPr>
        <w:t>3</w:t>
      </w:r>
      <w:r>
        <w:rPr>
          <w:rFonts w:ascii="Times New Roman" w:eastAsia="宋体"/>
          <w:bCs w:val="0"/>
          <w:color w:val="000000" w:themeColor="text1"/>
          <w:sz w:val="24"/>
          <w:szCs w:val="24"/>
        </w:rPr>
        <w:t>.2.14</w:t>
      </w:r>
      <w:r>
        <w:rPr>
          <w:rFonts w:ascii="Times New Roman" w:eastAsia="宋体"/>
          <w:bCs w:val="0"/>
          <w:color w:val="000000" w:themeColor="text1"/>
          <w:sz w:val="24"/>
          <w:szCs w:val="24"/>
        </w:rPr>
        <w:t>项目实施进度安排</w:t>
      </w:r>
      <w:bookmarkEnd w:id="219"/>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bookmarkStart w:id="220" w:name="_Toc529024159"/>
      <w:bookmarkStart w:id="221" w:name="_Toc529021070"/>
      <w:bookmarkStart w:id="222" w:name="_Toc529019964"/>
      <w:r>
        <w:rPr>
          <w:rFonts w:ascii="Times New Roman" w:eastAsia="宋体" w:hAnsi="Times New Roman" w:cs="Times New Roman"/>
          <w:color w:val="000000" w:themeColor="text1"/>
          <w:sz w:val="24"/>
        </w:rPr>
        <w:t>本项目建设期为</w:t>
      </w:r>
      <w:r>
        <w:rPr>
          <w:rFonts w:ascii="Times New Roman" w:eastAsia="宋体" w:hAnsi="Times New Roman" w:cs="Times New Roman"/>
          <w:color w:val="000000" w:themeColor="text1"/>
          <w:sz w:val="24"/>
        </w:rPr>
        <w:t>18</w:t>
      </w:r>
      <w:r>
        <w:rPr>
          <w:rFonts w:ascii="Times New Roman" w:eastAsia="宋体" w:hAnsi="Times New Roman" w:cs="Times New Roman"/>
          <w:color w:val="000000" w:themeColor="text1"/>
          <w:sz w:val="24"/>
        </w:rPr>
        <w:t>个月，拟在</w:t>
      </w:r>
      <w:r>
        <w:rPr>
          <w:rFonts w:ascii="Times New Roman" w:eastAsia="宋体" w:hAnsi="Times New Roman" w:cs="Times New Roman"/>
          <w:color w:val="000000" w:themeColor="text1"/>
          <w:sz w:val="24"/>
        </w:rPr>
        <w:t>2019</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6</w:t>
      </w:r>
      <w:r>
        <w:rPr>
          <w:rFonts w:ascii="Times New Roman" w:eastAsia="宋体" w:hAnsi="Times New Roman" w:cs="Times New Roman"/>
          <w:color w:val="000000" w:themeColor="text1"/>
          <w:sz w:val="24"/>
        </w:rPr>
        <w:t>月开工，初步计划如下：</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初步设计</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个月；</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场地详勘</w:t>
      </w:r>
      <w:r>
        <w:rPr>
          <w:rFonts w:ascii="Times New Roman" w:eastAsia="宋体" w:hAnsi="Times New Roman" w:cs="Times New Roman"/>
          <w:color w:val="000000" w:themeColor="text1"/>
          <w:sz w:val="24"/>
        </w:rPr>
        <w:t>0.5</w:t>
      </w:r>
      <w:r>
        <w:rPr>
          <w:rFonts w:ascii="Times New Roman" w:eastAsia="宋体" w:hAnsi="Times New Roman" w:cs="Times New Roman"/>
          <w:color w:val="000000" w:themeColor="text1"/>
          <w:sz w:val="24"/>
        </w:rPr>
        <w:t>个月；</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施工图设计</w:t>
      </w:r>
      <w:r>
        <w:rPr>
          <w:rFonts w:ascii="Times New Roman" w:eastAsia="宋体" w:hAnsi="Times New Roman" w:cs="Times New Roman"/>
          <w:color w:val="000000" w:themeColor="text1"/>
          <w:sz w:val="24"/>
        </w:rPr>
        <w:t>1.5</w:t>
      </w:r>
      <w:r>
        <w:rPr>
          <w:rFonts w:ascii="Times New Roman" w:eastAsia="宋体" w:hAnsi="Times New Roman" w:cs="Times New Roman"/>
          <w:color w:val="000000" w:themeColor="text1"/>
          <w:sz w:val="24"/>
        </w:rPr>
        <w:t>个月；</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设备、材料招标采购及到货</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个月；</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土建施工</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个月；</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安装工程</w:t>
      </w:r>
      <w:r>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个月；</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试车及考核</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个月；</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sectPr w:rsidR="00C861DA">
          <w:pgSz w:w="11906" w:h="16838"/>
          <w:pgMar w:top="1440" w:right="1800" w:bottom="1440" w:left="1800" w:header="851" w:footer="992" w:gutter="0"/>
          <w:cols w:space="425"/>
          <w:docGrid w:type="lines" w:linePitch="312"/>
        </w:sectPr>
      </w:pPr>
      <w:r>
        <w:rPr>
          <w:rFonts w:ascii="Times New Roman" w:eastAsia="宋体" w:hAnsi="Times New Roman" w:cs="Times New Roman"/>
          <w:color w:val="000000" w:themeColor="text1"/>
          <w:sz w:val="24"/>
        </w:rPr>
        <w:t>上述各个阶段相互交错进行，建设期从初步设计算起至考核完毕共</w:t>
      </w:r>
      <w:r>
        <w:rPr>
          <w:rFonts w:ascii="Times New Roman" w:eastAsia="宋体" w:hAnsi="Times New Roman" w:cs="Times New Roman"/>
          <w:color w:val="000000" w:themeColor="text1"/>
          <w:sz w:val="24"/>
        </w:rPr>
        <w:t>18</w:t>
      </w:r>
      <w:r>
        <w:rPr>
          <w:rFonts w:ascii="Times New Roman" w:eastAsia="宋体" w:hAnsi="Times New Roman" w:cs="Times New Roman"/>
          <w:color w:val="000000" w:themeColor="text1"/>
          <w:sz w:val="24"/>
        </w:rPr>
        <w:t>个月。</w:t>
      </w:r>
    </w:p>
    <w:p w:rsidR="00C861DA" w:rsidRDefault="00C861DA">
      <w:pPr>
        <w:spacing w:line="360" w:lineRule="auto"/>
        <w:ind w:firstLineChars="200" w:firstLine="480"/>
        <w:jc w:val="both"/>
        <w:rPr>
          <w:rFonts w:ascii="Times New Roman" w:eastAsia="宋体" w:hAnsi="Times New Roman" w:cs="Times New Roman"/>
          <w:color w:val="000000" w:themeColor="text1"/>
          <w:sz w:val="24"/>
        </w:rPr>
      </w:pP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项目实施计划如下表所示：</w:t>
      </w:r>
    </w:p>
    <w:p w:rsidR="00C861DA" w:rsidRDefault="0044752E">
      <w:pPr>
        <w:pStyle w:val="aff9"/>
        <w:spacing w:after="0"/>
        <w:ind w:firstLineChars="0" w:firstLine="0"/>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表</w:t>
      </w:r>
      <w:r>
        <w:rPr>
          <w:rFonts w:ascii="Times New Roman" w:hAnsi="Times New Roman" w:cs="Times New Roman"/>
          <w:b/>
          <w:color w:val="000000" w:themeColor="text1"/>
          <w:sz w:val="24"/>
        </w:rPr>
        <w:t xml:space="preserve">1-8  </w:t>
      </w:r>
      <w:r>
        <w:rPr>
          <w:rFonts w:ascii="Times New Roman" w:hAnsi="Times New Roman" w:cs="Times New Roman"/>
          <w:b/>
          <w:color w:val="000000" w:themeColor="text1"/>
          <w:sz w:val="24"/>
        </w:rPr>
        <w:t>施工进度表</w:t>
      </w:r>
    </w:p>
    <w:tbl>
      <w:tblPr>
        <w:tblW w:w="14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459"/>
        <w:gridCol w:w="458"/>
        <w:gridCol w:w="456"/>
        <w:gridCol w:w="463"/>
        <w:gridCol w:w="459"/>
        <w:gridCol w:w="458"/>
        <w:gridCol w:w="461"/>
        <w:gridCol w:w="460"/>
        <w:gridCol w:w="459"/>
        <w:gridCol w:w="458"/>
        <w:gridCol w:w="458"/>
        <w:gridCol w:w="465"/>
        <w:gridCol w:w="458"/>
        <w:gridCol w:w="459"/>
        <w:gridCol w:w="458"/>
        <w:gridCol w:w="459"/>
        <w:gridCol w:w="459"/>
        <w:gridCol w:w="458"/>
        <w:gridCol w:w="459"/>
        <w:gridCol w:w="19"/>
        <w:gridCol w:w="439"/>
        <w:gridCol w:w="459"/>
        <w:gridCol w:w="458"/>
        <w:gridCol w:w="459"/>
        <w:gridCol w:w="464"/>
        <w:gridCol w:w="464"/>
        <w:gridCol w:w="464"/>
        <w:gridCol w:w="464"/>
      </w:tblGrid>
      <w:tr w:rsidR="00C861DA">
        <w:trPr>
          <w:trHeight w:val="388"/>
          <w:jc w:val="center"/>
        </w:trPr>
        <w:tc>
          <w:tcPr>
            <w:tcW w:w="2451" w:type="dxa"/>
            <w:vMerge w:val="restart"/>
            <w:tcBorders>
              <w:tl2br w:val="dotted" w:sz="4" w:space="0" w:color="auto"/>
            </w:tcBorders>
            <w:vAlign w:val="center"/>
          </w:tcPr>
          <w:p w:rsidR="00C861DA" w:rsidRDefault="0044752E">
            <w:pPr>
              <w:pStyle w:val="affffffffffffffffffff0"/>
              <w:jc w:val="right"/>
              <w:rPr>
                <w:rFonts w:ascii="Times New Roman" w:eastAsia="宋体"/>
                <w:b/>
                <w:color w:val="000000" w:themeColor="text1"/>
              </w:rPr>
            </w:pPr>
            <w:r>
              <w:rPr>
                <w:rFonts w:ascii="Times New Roman" w:eastAsia="宋体"/>
                <w:b/>
                <w:color w:val="000000" w:themeColor="text1"/>
              </w:rPr>
              <w:t>建设时间</w:t>
            </w:r>
          </w:p>
          <w:p w:rsidR="00C861DA" w:rsidRDefault="00C861DA">
            <w:pPr>
              <w:pStyle w:val="affffffffffffffffffff0"/>
              <w:jc w:val="both"/>
              <w:rPr>
                <w:rFonts w:ascii="Times New Roman" w:eastAsia="宋体"/>
                <w:b/>
                <w:color w:val="000000" w:themeColor="text1"/>
              </w:rPr>
            </w:pPr>
          </w:p>
          <w:p w:rsidR="00C861DA" w:rsidRDefault="0044752E">
            <w:pPr>
              <w:pStyle w:val="affffffffffffffffffff0"/>
              <w:jc w:val="both"/>
              <w:rPr>
                <w:rFonts w:ascii="Times New Roman" w:eastAsia="宋体"/>
                <w:b/>
                <w:color w:val="000000" w:themeColor="text1"/>
              </w:rPr>
            </w:pPr>
            <w:r>
              <w:rPr>
                <w:rFonts w:ascii="Times New Roman" w:eastAsia="宋体"/>
                <w:b/>
                <w:color w:val="000000" w:themeColor="text1"/>
              </w:rPr>
              <w:t>建设阶段</w:t>
            </w:r>
            <w:r>
              <w:rPr>
                <w:rFonts w:ascii="Times New Roman" w:eastAsia="宋体"/>
                <w:b/>
                <w:color w:val="000000" w:themeColor="text1"/>
              </w:rPr>
              <w:t xml:space="preserve">       </w:t>
            </w:r>
          </w:p>
        </w:tc>
        <w:tc>
          <w:tcPr>
            <w:tcW w:w="3214" w:type="dxa"/>
            <w:gridSpan w:val="7"/>
            <w:vAlign w:val="center"/>
          </w:tcPr>
          <w:p w:rsidR="00C861DA" w:rsidRDefault="0044752E">
            <w:pPr>
              <w:pStyle w:val="affffffffffffffffffff0"/>
              <w:rPr>
                <w:rFonts w:ascii="Times New Roman" w:eastAsia="宋体"/>
                <w:b/>
                <w:color w:val="000000" w:themeColor="text1"/>
              </w:rPr>
            </w:pPr>
            <w:r>
              <w:rPr>
                <w:rFonts w:ascii="Times New Roman" w:eastAsia="宋体" w:hint="eastAsia"/>
                <w:b/>
                <w:color w:val="000000" w:themeColor="text1"/>
              </w:rPr>
              <w:t>2019</w:t>
            </w:r>
            <w:r>
              <w:rPr>
                <w:rFonts w:ascii="Times New Roman" w:eastAsia="宋体" w:hint="eastAsia"/>
                <w:b/>
                <w:color w:val="000000" w:themeColor="text1"/>
              </w:rPr>
              <w:t>年</w:t>
            </w:r>
          </w:p>
        </w:tc>
        <w:tc>
          <w:tcPr>
            <w:tcW w:w="5529" w:type="dxa"/>
            <w:gridSpan w:val="13"/>
            <w:vAlign w:val="center"/>
          </w:tcPr>
          <w:p w:rsidR="00C861DA" w:rsidRDefault="0044752E">
            <w:pPr>
              <w:pStyle w:val="affffffffffffffffffff0"/>
              <w:rPr>
                <w:rFonts w:ascii="Times New Roman" w:eastAsia="宋体"/>
                <w:b/>
                <w:color w:val="000000" w:themeColor="text1"/>
              </w:rPr>
            </w:pPr>
            <w:r>
              <w:rPr>
                <w:rFonts w:ascii="Times New Roman" w:eastAsia="宋体" w:hint="eastAsia"/>
                <w:b/>
                <w:color w:val="000000" w:themeColor="text1"/>
              </w:rPr>
              <w:t>2020</w:t>
            </w:r>
            <w:r>
              <w:rPr>
                <w:rFonts w:ascii="Times New Roman" w:eastAsia="宋体" w:hint="eastAsia"/>
                <w:b/>
                <w:color w:val="000000" w:themeColor="text1"/>
              </w:rPr>
              <w:t>年</w:t>
            </w:r>
          </w:p>
        </w:tc>
        <w:tc>
          <w:tcPr>
            <w:tcW w:w="3671" w:type="dxa"/>
            <w:gridSpan w:val="8"/>
            <w:vAlign w:val="center"/>
          </w:tcPr>
          <w:p w:rsidR="00C861DA" w:rsidRDefault="0044752E">
            <w:pPr>
              <w:pStyle w:val="affffffffffffffffffff0"/>
              <w:rPr>
                <w:rFonts w:ascii="Times New Roman" w:eastAsia="宋体"/>
                <w:b/>
                <w:color w:val="000000" w:themeColor="text1"/>
              </w:rPr>
            </w:pPr>
            <w:r>
              <w:rPr>
                <w:rFonts w:ascii="Times New Roman" w:eastAsia="宋体" w:hint="eastAsia"/>
                <w:b/>
                <w:color w:val="000000" w:themeColor="text1"/>
              </w:rPr>
              <w:t>2</w:t>
            </w:r>
            <w:r>
              <w:rPr>
                <w:rFonts w:ascii="Times New Roman" w:eastAsia="宋体"/>
                <w:b/>
                <w:color w:val="000000" w:themeColor="text1"/>
              </w:rPr>
              <w:t>021</w:t>
            </w:r>
            <w:r>
              <w:rPr>
                <w:rFonts w:ascii="Times New Roman" w:eastAsia="宋体" w:hint="eastAsia"/>
                <w:b/>
                <w:color w:val="000000" w:themeColor="text1"/>
              </w:rPr>
              <w:t>年</w:t>
            </w:r>
          </w:p>
        </w:tc>
      </w:tr>
      <w:tr w:rsidR="00C861DA">
        <w:trPr>
          <w:trHeight w:val="388"/>
          <w:jc w:val="center"/>
        </w:trPr>
        <w:tc>
          <w:tcPr>
            <w:tcW w:w="2451" w:type="dxa"/>
            <w:vMerge/>
            <w:tcBorders>
              <w:tl2br w:val="dotted" w:sz="4" w:space="0" w:color="auto"/>
            </w:tcBorders>
            <w:vAlign w:val="center"/>
          </w:tcPr>
          <w:p w:rsidR="00C861DA" w:rsidRDefault="00C861DA">
            <w:pPr>
              <w:pStyle w:val="affffffffffffffffffff0"/>
              <w:rPr>
                <w:rFonts w:ascii="Times New Roman" w:eastAsia="宋体"/>
                <w:color w:val="000000" w:themeColor="text1"/>
              </w:rPr>
            </w:pPr>
          </w:p>
        </w:tc>
        <w:tc>
          <w:tcPr>
            <w:tcW w:w="459"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6</w:t>
            </w:r>
          </w:p>
        </w:tc>
        <w:tc>
          <w:tcPr>
            <w:tcW w:w="458"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7</w:t>
            </w:r>
          </w:p>
        </w:tc>
        <w:tc>
          <w:tcPr>
            <w:tcW w:w="456"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8</w:t>
            </w:r>
          </w:p>
        </w:tc>
        <w:tc>
          <w:tcPr>
            <w:tcW w:w="463"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9</w:t>
            </w:r>
          </w:p>
        </w:tc>
        <w:tc>
          <w:tcPr>
            <w:tcW w:w="459"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10</w:t>
            </w:r>
          </w:p>
        </w:tc>
        <w:tc>
          <w:tcPr>
            <w:tcW w:w="458"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11</w:t>
            </w:r>
          </w:p>
        </w:tc>
        <w:tc>
          <w:tcPr>
            <w:tcW w:w="461"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12</w:t>
            </w:r>
          </w:p>
        </w:tc>
        <w:tc>
          <w:tcPr>
            <w:tcW w:w="460"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1</w:t>
            </w:r>
          </w:p>
        </w:tc>
        <w:tc>
          <w:tcPr>
            <w:tcW w:w="459"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2</w:t>
            </w:r>
          </w:p>
        </w:tc>
        <w:tc>
          <w:tcPr>
            <w:tcW w:w="458"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3</w:t>
            </w:r>
          </w:p>
        </w:tc>
        <w:tc>
          <w:tcPr>
            <w:tcW w:w="458"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4</w:t>
            </w:r>
          </w:p>
        </w:tc>
        <w:tc>
          <w:tcPr>
            <w:tcW w:w="465" w:type="dxa"/>
            <w:vAlign w:val="center"/>
          </w:tcPr>
          <w:p w:rsidR="00C861DA" w:rsidRDefault="0044752E">
            <w:pPr>
              <w:pStyle w:val="affffffffffffffffffff0"/>
              <w:rPr>
                <w:rFonts w:ascii="Times New Roman" w:eastAsia="宋体"/>
                <w:b/>
                <w:color w:val="000000" w:themeColor="text1"/>
              </w:rPr>
            </w:pPr>
            <w:r>
              <w:rPr>
                <w:rFonts w:ascii="Times New Roman" w:eastAsia="宋体" w:hint="eastAsia"/>
                <w:b/>
                <w:color w:val="000000" w:themeColor="text1"/>
              </w:rPr>
              <w:t>5</w:t>
            </w:r>
          </w:p>
        </w:tc>
        <w:tc>
          <w:tcPr>
            <w:tcW w:w="458"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6</w:t>
            </w:r>
          </w:p>
        </w:tc>
        <w:tc>
          <w:tcPr>
            <w:tcW w:w="459"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7</w:t>
            </w:r>
          </w:p>
        </w:tc>
        <w:tc>
          <w:tcPr>
            <w:tcW w:w="458"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8</w:t>
            </w:r>
          </w:p>
        </w:tc>
        <w:tc>
          <w:tcPr>
            <w:tcW w:w="459"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9</w:t>
            </w:r>
          </w:p>
        </w:tc>
        <w:tc>
          <w:tcPr>
            <w:tcW w:w="459"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10</w:t>
            </w:r>
          </w:p>
        </w:tc>
        <w:tc>
          <w:tcPr>
            <w:tcW w:w="458"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11</w:t>
            </w:r>
          </w:p>
        </w:tc>
        <w:tc>
          <w:tcPr>
            <w:tcW w:w="459"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12</w:t>
            </w:r>
          </w:p>
        </w:tc>
        <w:tc>
          <w:tcPr>
            <w:tcW w:w="458" w:type="dxa"/>
            <w:gridSpan w:val="2"/>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1</w:t>
            </w:r>
          </w:p>
        </w:tc>
        <w:tc>
          <w:tcPr>
            <w:tcW w:w="459"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2</w:t>
            </w:r>
          </w:p>
        </w:tc>
        <w:tc>
          <w:tcPr>
            <w:tcW w:w="458"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3</w:t>
            </w:r>
          </w:p>
        </w:tc>
        <w:tc>
          <w:tcPr>
            <w:tcW w:w="459" w:type="dxa"/>
            <w:vAlign w:val="center"/>
          </w:tcPr>
          <w:p w:rsidR="00C861DA" w:rsidRDefault="0044752E">
            <w:pPr>
              <w:pStyle w:val="affffffffffffffffffff0"/>
              <w:rPr>
                <w:rFonts w:ascii="Times New Roman" w:eastAsia="宋体"/>
                <w:color w:val="000000" w:themeColor="text1"/>
              </w:rPr>
            </w:pPr>
            <w:r>
              <w:rPr>
                <w:rFonts w:ascii="Times New Roman" w:eastAsia="宋体" w:hint="eastAsia"/>
                <w:b/>
                <w:color w:val="000000" w:themeColor="text1"/>
              </w:rPr>
              <w:t>4</w:t>
            </w:r>
          </w:p>
        </w:tc>
        <w:tc>
          <w:tcPr>
            <w:tcW w:w="464" w:type="dxa"/>
            <w:vAlign w:val="center"/>
          </w:tcPr>
          <w:p w:rsidR="00C861DA" w:rsidRDefault="0044752E">
            <w:pPr>
              <w:pStyle w:val="affffffffffffffffffff0"/>
              <w:rPr>
                <w:rFonts w:ascii="Times New Roman" w:eastAsia="宋体"/>
                <w:b/>
                <w:color w:val="000000" w:themeColor="text1"/>
              </w:rPr>
            </w:pPr>
            <w:r>
              <w:rPr>
                <w:rFonts w:ascii="Times New Roman" w:eastAsia="宋体" w:hint="eastAsia"/>
                <w:b/>
                <w:color w:val="000000" w:themeColor="text1"/>
              </w:rPr>
              <w:t>5</w:t>
            </w:r>
          </w:p>
        </w:tc>
        <w:tc>
          <w:tcPr>
            <w:tcW w:w="464" w:type="dxa"/>
          </w:tcPr>
          <w:p w:rsidR="00C861DA" w:rsidRDefault="0044752E">
            <w:pPr>
              <w:pStyle w:val="affffffffffffffffffff0"/>
              <w:rPr>
                <w:rFonts w:ascii="Times New Roman" w:eastAsia="宋体"/>
                <w:b/>
                <w:color w:val="000000" w:themeColor="text1"/>
              </w:rPr>
            </w:pPr>
            <w:r>
              <w:rPr>
                <w:rFonts w:ascii="Times New Roman" w:eastAsia="宋体" w:hint="eastAsia"/>
                <w:b/>
                <w:color w:val="000000" w:themeColor="text1"/>
              </w:rPr>
              <w:t>6</w:t>
            </w:r>
          </w:p>
        </w:tc>
        <w:tc>
          <w:tcPr>
            <w:tcW w:w="464" w:type="dxa"/>
          </w:tcPr>
          <w:p w:rsidR="00C861DA" w:rsidRDefault="0044752E">
            <w:pPr>
              <w:pStyle w:val="affffffffffffffffffff0"/>
              <w:rPr>
                <w:rFonts w:ascii="Times New Roman" w:eastAsia="宋体"/>
                <w:b/>
                <w:color w:val="000000" w:themeColor="text1"/>
              </w:rPr>
            </w:pPr>
            <w:r>
              <w:rPr>
                <w:rFonts w:ascii="Times New Roman" w:eastAsia="宋体" w:hint="eastAsia"/>
                <w:color w:val="000000" w:themeColor="text1"/>
              </w:rPr>
              <w:t>7</w:t>
            </w:r>
          </w:p>
        </w:tc>
        <w:tc>
          <w:tcPr>
            <w:tcW w:w="464" w:type="dxa"/>
          </w:tcPr>
          <w:p w:rsidR="00C861DA" w:rsidRDefault="0044752E">
            <w:pPr>
              <w:pStyle w:val="affffffffffffffffffff0"/>
              <w:rPr>
                <w:rFonts w:ascii="Times New Roman" w:eastAsia="宋体"/>
                <w:b/>
                <w:color w:val="000000" w:themeColor="text1"/>
              </w:rPr>
            </w:pPr>
            <w:r>
              <w:rPr>
                <w:rFonts w:ascii="Times New Roman" w:eastAsia="宋体" w:hint="eastAsia"/>
                <w:color w:val="000000" w:themeColor="text1"/>
              </w:rPr>
              <w:t>8</w:t>
            </w:r>
          </w:p>
        </w:tc>
      </w:tr>
      <w:tr w:rsidR="00C861DA">
        <w:trPr>
          <w:trHeight w:val="454"/>
          <w:jc w:val="center"/>
        </w:trPr>
        <w:tc>
          <w:tcPr>
            <w:tcW w:w="2451" w:type="dxa"/>
            <w:shd w:val="clear" w:color="auto" w:fill="auto"/>
            <w:vAlign w:val="center"/>
          </w:tcPr>
          <w:p w:rsidR="00C861DA" w:rsidRDefault="0044752E">
            <w:pPr>
              <w:pStyle w:val="affffffffffffffffffff0"/>
              <w:rPr>
                <w:rFonts w:ascii="Times New Roman" w:eastAsia="宋体"/>
                <w:color w:val="000000" w:themeColor="text1"/>
              </w:rPr>
            </w:pPr>
            <w:r>
              <w:rPr>
                <w:rFonts w:ascii="Times New Roman" w:eastAsia="宋体" w:cs="宋体"/>
                <w:color w:val="000000" w:themeColor="text1"/>
              </w:rPr>
              <w:t>初步设计及审查</w:t>
            </w:r>
          </w:p>
        </w:tc>
        <w:tc>
          <w:tcPr>
            <w:tcW w:w="459" w:type="dxa"/>
            <w:shd w:val="clear" w:color="auto" w:fill="FFFFFF"/>
            <w:vAlign w:val="center"/>
          </w:tcPr>
          <w:p w:rsidR="00C861DA" w:rsidRDefault="0044752E">
            <w:pPr>
              <w:pStyle w:val="affffffffffffffffffff0"/>
              <w:jc w:val="both"/>
              <w:rPr>
                <w:rFonts w:ascii="Times New Roman" w:eastAsia="宋体"/>
                <w:color w:val="000000" w:themeColor="text1"/>
              </w:rPr>
            </w:pPr>
            <w:r>
              <w:rPr>
                <w:rFonts w:ascii="Times New Roman" w:eastAsia="宋体"/>
                <w:noProof/>
                <w:color w:val="000000" w:themeColor="text1"/>
              </w:rPr>
              <mc:AlternateContent>
                <mc:Choice Requires="wps">
                  <w:drawing>
                    <wp:anchor distT="0" distB="0" distL="114300" distR="114300" simplePos="0" relativeHeight="251708416" behindDoc="0" locked="0" layoutInCell="1" allowOverlap="1">
                      <wp:simplePos x="0" y="0"/>
                      <wp:positionH relativeFrom="column">
                        <wp:posOffset>-39370</wp:posOffset>
                      </wp:positionH>
                      <wp:positionV relativeFrom="paragraph">
                        <wp:posOffset>152400</wp:posOffset>
                      </wp:positionV>
                      <wp:extent cx="996315" cy="0"/>
                      <wp:effectExtent l="0" t="19050" r="51435" b="38100"/>
                      <wp:wrapNone/>
                      <wp:docPr id="90" name="直线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315" cy="0"/>
                              </a:xfrm>
                              <a:prstGeom prst="line">
                                <a:avLst/>
                              </a:prstGeom>
                              <a:noFill/>
                              <a:ln w="63500" cmpd="sng">
                                <a:solidFill>
                                  <a:srgbClr val="000000"/>
                                </a:solidFill>
                                <a:round/>
                                <a:headEnd type="none" w="med" len="lg"/>
                              </a:ln>
                            </wps:spPr>
                            <wps:bodyPr/>
                          </wps:wsp>
                        </a:graphicData>
                      </a:graphic>
                    </wp:anchor>
                  </w:drawing>
                </mc:Choice>
                <mc:Fallback xmlns:wpsCustomData="http://www.wps.cn/officeDocument/2013/wpsCustomData" xmlns:w15="http://schemas.microsoft.com/office/word/2012/wordml">
                  <w:pict>
                    <v:line id="直线 153" o:spid="_x0000_s1026" o:spt="20" style="position:absolute;left:0pt;margin-left:-3.1pt;margin-top:12pt;height:0pt;width:78.45pt;z-index:251708416;mso-width-relative:page;mso-height-relative:page;" filled="f" stroked="t" coordsize="21600,21600" o:gfxdata="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zMPF9cAAAAIAQAADwAAAAAA&#10;AAABACAAAAAiAAAAZHJzL2Rvd25yZXYueG1sUEsBAhQAFAAAAAgAh07iQGDWBc3bAQAAigMAAA4A&#10;AAAAAAAAAQAgAAAAJgEAAGRycy9lMm9Eb2MueG1sUEsFBgAAAAAGAAYAWQEAAHMFAAAAAA==&#10;">
                      <v:fill on="f" focussize="0,0"/>
                      <v:stroke weight="5pt" color="#000000" joinstyle="round" startarrowlength="long"/>
                      <v:imagedata o:title=""/>
                      <o:lock v:ext="edit" aspectratio="f"/>
                    </v:line>
                  </w:pict>
                </mc:Fallback>
              </mc:AlternateContent>
            </w:r>
          </w:p>
        </w:tc>
        <w:tc>
          <w:tcPr>
            <w:tcW w:w="458" w:type="dxa"/>
            <w:shd w:val="clear" w:color="auto" w:fill="FFFFFF"/>
            <w:vAlign w:val="center"/>
          </w:tcPr>
          <w:p w:rsidR="00C861DA" w:rsidRDefault="00C861DA">
            <w:pPr>
              <w:pStyle w:val="affffffffffffffffffff0"/>
              <w:jc w:val="both"/>
              <w:rPr>
                <w:rFonts w:ascii="Times New Roman" w:eastAsia="宋体"/>
                <w:color w:val="000000" w:themeColor="text1"/>
              </w:rPr>
            </w:pPr>
          </w:p>
        </w:tc>
        <w:tc>
          <w:tcPr>
            <w:tcW w:w="456" w:type="dxa"/>
            <w:shd w:val="clear" w:color="auto" w:fill="FFFFFF"/>
            <w:vAlign w:val="center"/>
          </w:tcPr>
          <w:p w:rsidR="00C861DA" w:rsidRDefault="00C861DA">
            <w:pPr>
              <w:pStyle w:val="affffffffffffffffffff0"/>
              <w:jc w:val="both"/>
              <w:rPr>
                <w:rFonts w:ascii="Times New Roman" w:eastAsia="宋体"/>
                <w:color w:val="000000" w:themeColor="text1"/>
              </w:rPr>
            </w:pPr>
          </w:p>
        </w:tc>
        <w:tc>
          <w:tcPr>
            <w:tcW w:w="463" w:type="dxa"/>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61" w:type="dxa"/>
            <w:shd w:val="clear" w:color="auto" w:fill="FFFFFF"/>
            <w:vAlign w:val="center"/>
          </w:tcPr>
          <w:p w:rsidR="00C861DA" w:rsidRDefault="00C861DA">
            <w:pPr>
              <w:pStyle w:val="affffffffffffffffffff0"/>
              <w:jc w:val="both"/>
              <w:rPr>
                <w:rFonts w:ascii="Times New Roman" w:eastAsia="宋体"/>
                <w:color w:val="000000" w:themeColor="text1"/>
              </w:rPr>
            </w:pPr>
          </w:p>
        </w:tc>
        <w:tc>
          <w:tcPr>
            <w:tcW w:w="460" w:type="dxa"/>
            <w:vAlign w:val="center"/>
          </w:tcPr>
          <w:p w:rsidR="00C861DA" w:rsidRDefault="00C861DA">
            <w:pPr>
              <w:pStyle w:val="affffffffffffffffffff0"/>
              <w:jc w:val="both"/>
              <w:rPr>
                <w:rFonts w:ascii="Times New Roman" w:eastAsia="宋体"/>
                <w:color w:val="000000" w:themeColor="text1"/>
              </w:rPr>
            </w:pPr>
          </w:p>
        </w:tc>
        <w:tc>
          <w:tcPr>
            <w:tcW w:w="459" w:type="dxa"/>
            <w:vAlign w:val="center"/>
          </w:tcPr>
          <w:p w:rsidR="00C861DA" w:rsidRDefault="00C861DA">
            <w:pPr>
              <w:pStyle w:val="affffffffffffffffffff0"/>
              <w:jc w:val="both"/>
              <w:rPr>
                <w:rFonts w:ascii="Times New Roman" w:eastAsia="宋体"/>
                <w:color w:val="000000" w:themeColor="text1"/>
              </w:rPr>
            </w:pPr>
          </w:p>
        </w:tc>
        <w:tc>
          <w:tcPr>
            <w:tcW w:w="458" w:type="dxa"/>
            <w:vAlign w:val="center"/>
          </w:tcPr>
          <w:p w:rsidR="00C861DA" w:rsidRDefault="00C861DA">
            <w:pPr>
              <w:pStyle w:val="affffffffffffffffffff0"/>
              <w:jc w:val="both"/>
              <w:rPr>
                <w:rFonts w:ascii="Times New Roman" w:eastAsia="宋体"/>
                <w:color w:val="000000" w:themeColor="text1"/>
              </w:rPr>
            </w:pPr>
          </w:p>
        </w:tc>
        <w:tc>
          <w:tcPr>
            <w:tcW w:w="458" w:type="dxa"/>
            <w:vAlign w:val="center"/>
          </w:tcPr>
          <w:p w:rsidR="00C861DA" w:rsidRDefault="00C861DA">
            <w:pPr>
              <w:pStyle w:val="affffffffffffffffffff0"/>
              <w:jc w:val="both"/>
              <w:rPr>
                <w:rFonts w:ascii="Times New Roman" w:eastAsia="宋体"/>
                <w:color w:val="000000" w:themeColor="text1"/>
              </w:rPr>
            </w:pPr>
          </w:p>
        </w:tc>
        <w:tc>
          <w:tcPr>
            <w:tcW w:w="465" w:type="dxa"/>
            <w:vAlign w:val="center"/>
          </w:tcPr>
          <w:p w:rsidR="00C861DA" w:rsidRDefault="00C861DA">
            <w:pPr>
              <w:pStyle w:val="affffffffffffffffffff0"/>
              <w:jc w:val="both"/>
              <w:rPr>
                <w:rFonts w:ascii="Times New Roman" w:eastAsia="宋体"/>
                <w:color w:val="000000" w:themeColor="text1"/>
              </w:rPr>
            </w:pPr>
          </w:p>
        </w:tc>
        <w:tc>
          <w:tcPr>
            <w:tcW w:w="458" w:type="dxa"/>
            <w:vAlign w:val="center"/>
          </w:tcPr>
          <w:p w:rsidR="00C861DA" w:rsidRDefault="00C861DA">
            <w:pPr>
              <w:pStyle w:val="affffffffffffffffffff0"/>
              <w:jc w:val="both"/>
              <w:rPr>
                <w:rFonts w:ascii="Times New Roman" w:eastAsia="宋体"/>
                <w:color w:val="000000" w:themeColor="text1"/>
              </w:rPr>
            </w:pPr>
          </w:p>
        </w:tc>
        <w:tc>
          <w:tcPr>
            <w:tcW w:w="459" w:type="dxa"/>
            <w:vAlign w:val="center"/>
          </w:tcPr>
          <w:p w:rsidR="00C861DA" w:rsidRDefault="00C861DA">
            <w:pPr>
              <w:pStyle w:val="affffffffffffffffffff0"/>
              <w:jc w:val="both"/>
              <w:rPr>
                <w:rFonts w:ascii="Times New Roman" w:eastAsia="宋体"/>
                <w:color w:val="000000" w:themeColor="text1"/>
              </w:rPr>
            </w:pPr>
          </w:p>
        </w:tc>
        <w:tc>
          <w:tcPr>
            <w:tcW w:w="458" w:type="dxa"/>
            <w:vAlign w:val="center"/>
          </w:tcPr>
          <w:p w:rsidR="00C861DA" w:rsidRDefault="00C861DA">
            <w:pPr>
              <w:pStyle w:val="affffffffffffffffffff0"/>
              <w:jc w:val="both"/>
              <w:rPr>
                <w:rFonts w:ascii="Times New Roman" w:eastAsia="宋体"/>
                <w:color w:val="000000" w:themeColor="text1"/>
              </w:rPr>
            </w:pPr>
          </w:p>
        </w:tc>
        <w:tc>
          <w:tcPr>
            <w:tcW w:w="459" w:type="dxa"/>
            <w:vAlign w:val="center"/>
          </w:tcPr>
          <w:p w:rsidR="00C861DA" w:rsidRDefault="00C861DA">
            <w:pPr>
              <w:pStyle w:val="affffffffffffffffffff0"/>
              <w:jc w:val="both"/>
              <w:rPr>
                <w:rFonts w:ascii="Times New Roman" w:eastAsia="宋体"/>
                <w:color w:val="000000" w:themeColor="text1"/>
              </w:rPr>
            </w:pPr>
          </w:p>
        </w:tc>
        <w:tc>
          <w:tcPr>
            <w:tcW w:w="459" w:type="dxa"/>
            <w:vAlign w:val="center"/>
          </w:tcPr>
          <w:p w:rsidR="00C861DA" w:rsidRDefault="00C861DA">
            <w:pPr>
              <w:pStyle w:val="affffffffffffffffffff0"/>
              <w:jc w:val="both"/>
              <w:rPr>
                <w:rFonts w:ascii="Times New Roman" w:eastAsia="宋体"/>
                <w:color w:val="000000" w:themeColor="text1"/>
              </w:rPr>
            </w:pPr>
          </w:p>
        </w:tc>
        <w:tc>
          <w:tcPr>
            <w:tcW w:w="458" w:type="dxa"/>
            <w:vAlign w:val="center"/>
          </w:tcPr>
          <w:p w:rsidR="00C861DA" w:rsidRDefault="00C861DA">
            <w:pPr>
              <w:pStyle w:val="affffffffffffffffffff0"/>
              <w:jc w:val="both"/>
              <w:rPr>
                <w:rFonts w:ascii="Times New Roman" w:eastAsia="宋体"/>
                <w:color w:val="000000" w:themeColor="text1"/>
              </w:rPr>
            </w:pPr>
          </w:p>
        </w:tc>
        <w:tc>
          <w:tcPr>
            <w:tcW w:w="459" w:type="dxa"/>
            <w:vAlign w:val="center"/>
          </w:tcPr>
          <w:p w:rsidR="00C861DA" w:rsidRDefault="00C861DA">
            <w:pPr>
              <w:pStyle w:val="affffffffffffffffffff0"/>
              <w:jc w:val="both"/>
              <w:rPr>
                <w:rFonts w:ascii="Times New Roman" w:eastAsia="宋体"/>
                <w:color w:val="000000" w:themeColor="text1"/>
              </w:rPr>
            </w:pPr>
          </w:p>
        </w:tc>
        <w:tc>
          <w:tcPr>
            <w:tcW w:w="458" w:type="dxa"/>
            <w:gridSpan w:val="2"/>
            <w:vAlign w:val="center"/>
          </w:tcPr>
          <w:p w:rsidR="00C861DA" w:rsidRDefault="00C861DA">
            <w:pPr>
              <w:pStyle w:val="affffffffffffffffffff0"/>
              <w:jc w:val="both"/>
              <w:rPr>
                <w:rFonts w:ascii="Times New Roman" w:eastAsia="宋体"/>
                <w:color w:val="000000" w:themeColor="text1"/>
              </w:rPr>
            </w:pPr>
          </w:p>
        </w:tc>
        <w:tc>
          <w:tcPr>
            <w:tcW w:w="459" w:type="dxa"/>
            <w:vAlign w:val="center"/>
          </w:tcPr>
          <w:p w:rsidR="00C861DA" w:rsidRDefault="00C861DA">
            <w:pPr>
              <w:pStyle w:val="affffffffffffffffffff0"/>
              <w:jc w:val="both"/>
              <w:rPr>
                <w:rFonts w:ascii="Times New Roman" w:eastAsia="宋体"/>
                <w:color w:val="000000" w:themeColor="text1"/>
              </w:rPr>
            </w:pPr>
          </w:p>
        </w:tc>
        <w:tc>
          <w:tcPr>
            <w:tcW w:w="458" w:type="dxa"/>
            <w:vAlign w:val="center"/>
          </w:tcPr>
          <w:p w:rsidR="00C861DA" w:rsidRDefault="00C861DA">
            <w:pPr>
              <w:pStyle w:val="affffffffffffffffffff0"/>
              <w:jc w:val="both"/>
              <w:rPr>
                <w:rFonts w:ascii="Times New Roman" w:eastAsia="宋体"/>
                <w:color w:val="000000" w:themeColor="text1"/>
              </w:rPr>
            </w:pPr>
          </w:p>
        </w:tc>
        <w:tc>
          <w:tcPr>
            <w:tcW w:w="459" w:type="dxa"/>
            <w:vAlign w:val="center"/>
          </w:tcPr>
          <w:p w:rsidR="00C861DA" w:rsidRDefault="00C861DA">
            <w:pPr>
              <w:pStyle w:val="affffffffffffffffffff0"/>
              <w:jc w:val="both"/>
              <w:rPr>
                <w:rFonts w:ascii="Times New Roman" w:eastAsia="宋体"/>
                <w:color w:val="000000" w:themeColor="text1"/>
              </w:rPr>
            </w:pPr>
          </w:p>
        </w:tc>
        <w:tc>
          <w:tcPr>
            <w:tcW w:w="464" w:type="dxa"/>
            <w:vAlign w:val="center"/>
          </w:tcPr>
          <w:p w:rsidR="00C861DA" w:rsidRDefault="00C861DA">
            <w:pPr>
              <w:pStyle w:val="affffffffffffffffffff0"/>
              <w:jc w:val="both"/>
              <w:rPr>
                <w:rFonts w:ascii="Times New Roman" w:eastAsia="宋体"/>
                <w:color w:val="000000" w:themeColor="text1"/>
              </w:rPr>
            </w:pPr>
          </w:p>
        </w:tc>
        <w:tc>
          <w:tcPr>
            <w:tcW w:w="464" w:type="dxa"/>
          </w:tcPr>
          <w:p w:rsidR="00C861DA" w:rsidRDefault="00C861DA">
            <w:pPr>
              <w:pStyle w:val="affffffffffffffffffff0"/>
              <w:jc w:val="both"/>
              <w:rPr>
                <w:rFonts w:ascii="Times New Roman" w:eastAsia="宋体"/>
                <w:color w:val="000000" w:themeColor="text1"/>
              </w:rPr>
            </w:pPr>
          </w:p>
        </w:tc>
        <w:tc>
          <w:tcPr>
            <w:tcW w:w="464" w:type="dxa"/>
          </w:tcPr>
          <w:p w:rsidR="00C861DA" w:rsidRDefault="00C861DA">
            <w:pPr>
              <w:pStyle w:val="affffffffffffffffffff0"/>
              <w:jc w:val="both"/>
              <w:rPr>
                <w:rFonts w:ascii="Times New Roman" w:eastAsia="宋体"/>
                <w:color w:val="000000" w:themeColor="text1"/>
              </w:rPr>
            </w:pPr>
          </w:p>
        </w:tc>
        <w:tc>
          <w:tcPr>
            <w:tcW w:w="464" w:type="dxa"/>
          </w:tcPr>
          <w:p w:rsidR="00C861DA" w:rsidRDefault="00C861DA">
            <w:pPr>
              <w:pStyle w:val="affffffffffffffffffff0"/>
              <w:jc w:val="both"/>
              <w:rPr>
                <w:rFonts w:ascii="Times New Roman" w:eastAsia="宋体"/>
                <w:color w:val="000000" w:themeColor="text1"/>
              </w:rPr>
            </w:pPr>
          </w:p>
        </w:tc>
      </w:tr>
      <w:tr w:rsidR="00C861DA">
        <w:trPr>
          <w:trHeight w:val="454"/>
          <w:jc w:val="center"/>
        </w:trPr>
        <w:tc>
          <w:tcPr>
            <w:tcW w:w="2451" w:type="dxa"/>
            <w:shd w:val="clear" w:color="auto" w:fill="auto"/>
            <w:vAlign w:val="center"/>
          </w:tcPr>
          <w:p w:rsidR="00C861DA" w:rsidRDefault="0044752E">
            <w:pPr>
              <w:pStyle w:val="affffffffffffffffffff0"/>
              <w:rPr>
                <w:rFonts w:ascii="Times New Roman" w:eastAsia="宋体"/>
                <w:color w:val="000000" w:themeColor="text1"/>
              </w:rPr>
            </w:pPr>
            <w:r>
              <w:rPr>
                <w:rFonts w:ascii="Times New Roman" w:eastAsia="宋体" w:cs="宋体"/>
                <w:color w:val="000000" w:themeColor="text1"/>
              </w:rPr>
              <w:t>施工图设计</w:t>
            </w:r>
          </w:p>
        </w:tc>
        <w:tc>
          <w:tcPr>
            <w:tcW w:w="459" w:type="dxa"/>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shd w:val="clear" w:color="auto" w:fill="FFFFFF"/>
            <w:vAlign w:val="center"/>
          </w:tcPr>
          <w:p w:rsidR="00C861DA" w:rsidRDefault="00C861DA">
            <w:pPr>
              <w:pStyle w:val="affffffffffffffffffff0"/>
              <w:jc w:val="both"/>
              <w:rPr>
                <w:rFonts w:ascii="Times New Roman" w:eastAsia="宋体"/>
                <w:color w:val="000000" w:themeColor="text1"/>
              </w:rPr>
            </w:pPr>
          </w:p>
        </w:tc>
        <w:tc>
          <w:tcPr>
            <w:tcW w:w="456" w:type="dxa"/>
            <w:shd w:val="clear" w:color="auto" w:fill="FFFFFF"/>
            <w:vAlign w:val="center"/>
          </w:tcPr>
          <w:p w:rsidR="00C861DA" w:rsidRDefault="00C861DA">
            <w:pPr>
              <w:pStyle w:val="affffffffffffffffffff0"/>
              <w:jc w:val="both"/>
              <w:rPr>
                <w:rFonts w:ascii="Times New Roman" w:eastAsia="宋体"/>
                <w:color w:val="000000" w:themeColor="text1"/>
              </w:rPr>
            </w:pPr>
          </w:p>
        </w:tc>
        <w:tc>
          <w:tcPr>
            <w:tcW w:w="463" w:type="dxa"/>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shd w:val="clear" w:color="auto" w:fill="FFFFFF"/>
            <w:vAlign w:val="center"/>
          </w:tcPr>
          <w:p w:rsidR="00C861DA" w:rsidRDefault="0044752E">
            <w:pPr>
              <w:pStyle w:val="affffffffffffffffffff0"/>
              <w:jc w:val="both"/>
              <w:rPr>
                <w:rFonts w:ascii="Times New Roman" w:eastAsia="宋体"/>
                <w:color w:val="000000" w:themeColor="text1"/>
              </w:rPr>
            </w:pPr>
            <w:r>
              <w:rPr>
                <w:rFonts w:ascii="Times New Roman" w:eastAsia="宋体"/>
                <w:noProof/>
                <w:color w:val="000000" w:themeColor="text1"/>
              </w:rPr>
              <mc:AlternateContent>
                <mc:Choice Requires="wps">
                  <w:drawing>
                    <wp:anchor distT="0" distB="0" distL="114300" distR="114300" simplePos="0" relativeHeight="251709440" behindDoc="0" locked="0" layoutInCell="1" allowOverlap="1">
                      <wp:simplePos x="0" y="0"/>
                      <wp:positionH relativeFrom="column">
                        <wp:posOffset>-8255</wp:posOffset>
                      </wp:positionH>
                      <wp:positionV relativeFrom="paragraph">
                        <wp:posOffset>118110</wp:posOffset>
                      </wp:positionV>
                      <wp:extent cx="796925" cy="0"/>
                      <wp:effectExtent l="0" t="19050" r="41275" b="38100"/>
                      <wp:wrapNone/>
                      <wp:docPr id="89" name="直线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925" cy="0"/>
                              </a:xfrm>
                              <a:prstGeom prst="line">
                                <a:avLst/>
                              </a:prstGeom>
                              <a:noFill/>
                              <a:ln w="63500" cmpd="sng">
                                <a:solidFill>
                                  <a:srgbClr val="000000"/>
                                </a:solidFill>
                                <a:round/>
                                <a:headEnd type="none" w="med" len="lg"/>
                              </a:ln>
                            </wps:spPr>
                            <wps:bodyPr/>
                          </wps:wsp>
                        </a:graphicData>
                      </a:graphic>
                    </wp:anchor>
                  </w:drawing>
                </mc:Choice>
                <mc:Fallback xmlns:wpsCustomData="http://www.wps.cn/officeDocument/2013/wpsCustomData" xmlns:w15="http://schemas.microsoft.com/office/word/2012/wordml">
                  <w:pict>
                    <v:line id="直线 154" o:spid="_x0000_s1026" o:spt="20" style="position:absolute;left:0pt;margin-left:-0.65pt;margin-top:9.3pt;height:0pt;width:62.75pt;z-index:251709440;mso-width-relative:page;mso-height-relative:page;" filled="f" stroked="t" coordsize="21600,21600" o:gfxdata="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tyGdYAAAAIAQAADwAAAAAA&#10;AAABACAAAAAiAAAAZHJzL2Rvd25yZXYueG1sUEsBAhQAFAAAAAgAh07iQPgK4ffcAQAAigMAAA4A&#10;AAAAAAAAAQAgAAAAJQEAAGRycy9lMm9Eb2MueG1sUEsFBgAAAAAGAAYAWQEAAHMFAAAAAA==&#10;">
                      <v:fill on="f" focussize="0,0"/>
                      <v:stroke weight="5pt" color="#000000" joinstyle="round" startarrowlength="long"/>
                      <v:imagedata o:title=""/>
                      <o:lock v:ext="edit" aspectratio="f"/>
                    </v:line>
                  </w:pict>
                </mc:Fallback>
              </mc:AlternateContent>
            </w:r>
          </w:p>
        </w:tc>
        <w:tc>
          <w:tcPr>
            <w:tcW w:w="458" w:type="dxa"/>
            <w:shd w:val="clear" w:color="auto" w:fill="FFFFFF"/>
            <w:vAlign w:val="center"/>
          </w:tcPr>
          <w:p w:rsidR="00C861DA" w:rsidRDefault="00C861DA">
            <w:pPr>
              <w:pStyle w:val="affffffffffffffffffff0"/>
              <w:jc w:val="both"/>
              <w:rPr>
                <w:rFonts w:ascii="Times New Roman" w:eastAsia="宋体"/>
                <w:color w:val="000000" w:themeColor="text1"/>
              </w:rPr>
            </w:pPr>
          </w:p>
        </w:tc>
        <w:tc>
          <w:tcPr>
            <w:tcW w:w="461" w:type="dxa"/>
            <w:shd w:val="clear" w:color="auto" w:fill="FFFFFF"/>
            <w:vAlign w:val="center"/>
          </w:tcPr>
          <w:p w:rsidR="00C861DA" w:rsidRDefault="00C861DA">
            <w:pPr>
              <w:pStyle w:val="affffffffffffffffffff0"/>
              <w:jc w:val="both"/>
              <w:rPr>
                <w:rFonts w:ascii="Times New Roman" w:eastAsia="宋体"/>
                <w:color w:val="000000" w:themeColor="text1"/>
              </w:rPr>
            </w:pPr>
          </w:p>
        </w:tc>
        <w:tc>
          <w:tcPr>
            <w:tcW w:w="460" w:type="dxa"/>
            <w:tcBorders>
              <w:bottom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bottom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bottom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bottom w:val="single" w:sz="4" w:space="0" w:color="auto"/>
            </w:tcBorders>
            <w:shd w:val="clear" w:color="auto" w:fill="auto"/>
            <w:vAlign w:val="center"/>
          </w:tcPr>
          <w:p w:rsidR="00C861DA" w:rsidRDefault="00C861DA">
            <w:pPr>
              <w:pStyle w:val="affffffffffffffffffff0"/>
              <w:jc w:val="both"/>
              <w:rPr>
                <w:rFonts w:ascii="Times New Roman" w:eastAsia="宋体"/>
                <w:color w:val="000000" w:themeColor="text1"/>
              </w:rPr>
            </w:pPr>
          </w:p>
        </w:tc>
        <w:tc>
          <w:tcPr>
            <w:tcW w:w="465" w:type="dxa"/>
            <w:tcBorders>
              <w:bottom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bottom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bottom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bottom w:val="single" w:sz="4" w:space="0" w:color="auto"/>
            </w:tcBorders>
            <w:vAlign w:val="center"/>
          </w:tcPr>
          <w:p w:rsidR="00C861DA" w:rsidRDefault="00C861DA">
            <w:pPr>
              <w:pStyle w:val="affffffffffffffffffff0"/>
              <w:jc w:val="both"/>
              <w:rPr>
                <w:rFonts w:ascii="Times New Roman" w:eastAsia="宋体"/>
                <w:color w:val="000000" w:themeColor="text1"/>
              </w:rPr>
            </w:pPr>
          </w:p>
        </w:tc>
        <w:tc>
          <w:tcPr>
            <w:tcW w:w="459" w:type="dxa"/>
            <w:tcBorders>
              <w:bottom w:val="single" w:sz="4" w:space="0" w:color="auto"/>
            </w:tcBorders>
            <w:vAlign w:val="center"/>
          </w:tcPr>
          <w:p w:rsidR="00C861DA" w:rsidRDefault="00C861DA">
            <w:pPr>
              <w:pStyle w:val="affffffffffffffffffff0"/>
              <w:jc w:val="both"/>
              <w:rPr>
                <w:rFonts w:ascii="Times New Roman" w:eastAsia="宋体"/>
                <w:color w:val="000000" w:themeColor="text1"/>
              </w:rPr>
            </w:pPr>
          </w:p>
        </w:tc>
        <w:tc>
          <w:tcPr>
            <w:tcW w:w="459" w:type="dxa"/>
            <w:tcBorders>
              <w:bottom w:val="single" w:sz="4" w:space="0" w:color="auto"/>
            </w:tcBorders>
            <w:vAlign w:val="center"/>
          </w:tcPr>
          <w:p w:rsidR="00C861DA" w:rsidRDefault="00C861DA">
            <w:pPr>
              <w:pStyle w:val="affffffffffffffffffff0"/>
              <w:jc w:val="both"/>
              <w:rPr>
                <w:rFonts w:ascii="Times New Roman" w:eastAsia="宋体"/>
                <w:color w:val="000000" w:themeColor="text1"/>
              </w:rPr>
            </w:pPr>
          </w:p>
        </w:tc>
        <w:tc>
          <w:tcPr>
            <w:tcW w:w="458" w:type="dxa"/>
            <w:tcBorders>
              <w:bottom w:val="single" w:sz="4" w:space="0" w:color="auto"/>
            </w:tcBorders>
            <w:vAlign w:val="center"/>
          </w:tcPr>
          <w:p w:rsidR="00C861DA" w:rsidRDefault="00C861DA">
            <w:pPr>
              <w:pStyle w:val="affffffffffffffffffff0"/>
              <w:jc w:val="both"/>
              <w:rPr>
                <w:rFonts w:ascii="Times New Roman" w:eastAsia="宋体"/>
                <w:color w:val="000000" w:themeColor="text1"/>
              </w:rPr>
            </w:pPr>
          </w:p>
        </w:tc>
        <w:tc>
          <w:tcPr>
            <w:tcW w:w="459" w:type="dxa"/>
            <w:tcBorders>
              <w:bottom w:val="single" w:sz="4" w:space="0" w:color="auto"/>
            </w:tcBorders>
            <w:vAlign w:val="center"/>
          </w:tcPr>
          <w:p w:rsidR="00C861DA" w:rsidRDefault="00C861DA">
            <w:pPr>
              <w:pStyle w:val="affffffffffffffffffff0"/>
              <w:jc w:val="both"/>
              <w:rPr>
                <w:rFonts w:ascii="Times New Roman" w:eastAsia="宋体"/>
                <w:color w:val="000000" w:themeColor="text1"/>
              </w:rPr>
            </w:pPr>
          </w:p>
        </w:tc>
        <w:tc>
          <w:tcPr>
            <w:tcW w:w="458" w:type="dxa"/>
            <w:gridSpan w:val="2"/>
            <w:tcBorders>
              <w:bottom w:val="single" w:sz="4" w:space="0" w:color="auto"/>
            </w:tcBorders>
            <w:vAlign w:val="center"/>
          </w:tcPr>
          <w:p w:rsidR="00C861DA" w:rsidRDefault="00C861DA">
            <w:pPr>
              <w:pStyle w:val="affffffffffffffffffff0"/>
              <w:jc w:val="both"/>
              <w:rPr>
                <w:rFonts w:ascii="Times New Roman" w:eastAsia="宋体"/>
                <w:color w:val="000000" w:themeColor="text1"/>
              </w:rPr>
            </w:pPr>
          </w:p>
        </w:tc>
        <w:tc>
          <w:tcPr>
            <w:tcW w:w="459" w:type="dxa"/>
            <w:tcBorders>
              <w:bottom w:val="single" w:sz="4" w:space="0" w:color="auto"/>
            </w:tcBorders>
            <w:vAlign w:val="center"/>
          </w:tcPr>
          <w:p w:rsidR="00C861DA" w:rsidRDefault="00C861DA">
            <w:pPr>
              <w:pStyle w:val="affffffffffffffffffff0"/>
              <w:jc w:val="both"/>
              <w:rPr>
                <w:rFonts w:ascii="Times New Roman" w:eastAsia="宋体"/>
                <w:color w:val="000000" w:themeColor="text1"/>
              </w:rPr>
            </w:pPr>
          </w:p>
        </w:tc>
        <w:tc>
          <w:tcPr>
            <w:tcW w:w="458" w:type="dxa"/>
            <w:tcBorders>
              <w:bottom w:val="single" w:sz="4" w:space="0" w:color="auto"/>
            </w:tcBorders>
            <w:vAlign w:val="center"/>
          </w:tcPr>
          <w:p w:rsidR="00C861DA" w:rsidRDefault="00C861DA">
            <w:pPr>
              <w:pStyle w:val="affffffffffffffffffff0"/>
              <w:jc w:val="both"/>
              <w:rPr>
                <w:rFonts w:ascii="Times New Roman" w:eastAsia="宋体"/>
                <w:color w:val="000000" w:themeColor="text1"/>
              </w:rPr>
            </w:pPr>
          </w:p>
        </w:tc>
        <w:tc>
          <w:tcPr>
            <w:tcW w:w="459" w:type="dxa"/>
            <w:tcBorders>
              <w:bottom w:val="single" w:sz="4" w:space="0" w:color="auto"/>
            </w:tcBorders>
            <w:vAlign w:val="center"/>
          </w:tcPr>
          <w:p w:rsidR="00C861DA" w:rsidRDefault="00C861DA">
            <w:pPr>
              <w:pStyle w:val="affffffffffffffffffff0"/>
              <w:jc w:val="both"/>
              <w:rPr>
                <w:rFonts w:ascii="Times New Roman" w:eastAsia="宋体"/>
                <w:color w:val="000000" w:themeColor="text1"/>
              </w:rPr>
            </w:pPr>
          </w:p>
        </w:tc>
        <w:tc>
          <w:tcPr>
            <w:tcW w:w="464" w:type="dxa"/>
            <w:tcBorders>
              <w:bottom w:val="single" w:sz="4" w:space="0" w:color="auto"/>
            </w:tcBorders>
            <w:vAlign w:val="center"/>
          </w:tcPr>
          <w:p w:rsidR="00C861DA" w:rsidRDefault="00C861DA">
            <w:pPr>
              <w:pStyle w:val="affffffffffffffffffff0"/>
              <w:jc w:val="both"/>
              <w:rPr>
                <w:rFonts w:ascii="Times New Roman" w:eastAsia="宋体"/>
                <w:color w:val="000000" w:themeColor="text1"/>
              </w:rPr>
            </w:pPr>
          </w:p>
        </w:tc>
        <w:tc>
          <w:tcPr>
            <w:tcW w:w="464" w:type="dxa"/>
            <w:tcBorders>
              <w:bottom w:val="single" w:sz="4" w:space="0" w:color="auto"/>
            </w:tcBorders>
          </w:tcPr>
          <w:p w:rsidR="00C861DA" w:rsidRDefault="00C861DA">
            <w:pPr>
              <w:pStyle w:val="affffffffffffffffffff0"/>
              <w:jc w:val="both"/>
              <w:rPr>
                <w:rFonts w:ascii="Times New Roman" w:eastAsia="宋体"/>
                <w:color w:val="000000" w:themeColor="text1"/>
              </w:rPr>
            </w:pPr>
          </w:p>
        </w:tc>
        <w:tc>
          <w:tcPr>
            <w:tcW w:w="464" w:type="dxa"/>
            <w:tcBorders>
              <w:bottom w:val="single" w:sz="4" w:space="0" w:color="auto"/>
            </w:tcBorders>
          </w:tcPr>
          <w:p w:rsidR="00C861DA" w:rsidRDefault="00C861DA">
            <w:pPr>
              <w:pStyle w:val="affffffffffffffffffff0"/>
              <w:jc w:val="both"/>
              <w:rPr>
                <w:rFonts w:ascii="Times New Roman" w:eastAsia="宋体"/>
                <w:color w:val="000000" w:themeColor="text1"/>
              </w:rPr>
            </w:pPr>
          </w:p>
        </w:tc>
        <w:tc>
          <w:tcPr>
            <w:tcW w:w="464" w:type="dxa"/>
            <w:tcBorders>
              <w:bottom w:val="single" w:sz="4" w:space="0" w:color="auto"/>
            </w:tcBorders>
          </w:tcPr>
          <w:p w:rsidR="00C861DA" w:rsidRDefault="00C861DA">
            <w:pPr>
              <w:pStyle w:val="affffffffffffffffffff0"/>
              <w:jc w:val="both"/>
              <w:rPr>
                <w:rFonts w:ascii="Times New Roman" w:eastAsia="宋体"/>
                <w:color w:val="000000" w:themeColor="text1"/>
              </w:rPr>
            </w:pPr>
          </w:p>
        </w:tc>
      </w:tr>
      <w:tr w:rsidR="00C861DA">
        <w:trPr>
          <w:trHeight w:val="454"/>
          <w:jc w:val="center"/>
        </w:trPr>
        <w:tc>
          <w:tcPr>
            <w:tcW w:w="2451" w:type="dxa"/>
            <w:shd w:val="clear" w:color="auto" w:fill="auto"/>
            <w:vAlign w:val="center"/>
          </w:tcPr>
          <w:p w:rsidR="00C861DA" w:rsidRDefault="0044752E">
            <w:pPr>
              <w:pStyle w:val="affffffffffffffffffff0"/>
              <w:rPr>
                <w:rFonts w:ascii="Times New Roman" w:eastAsia="宋体"/>
                <w:color w:val="000000" w:themeColor="text1"/>
              </w:rPr>
            </w:pPr>
            <w:r>
              <w:rPr>
                <w:rFonts w:ascii="Times New Roman" w:eastAsia="宋体" w:cs="宋体"/>
                <w:color w:val="000000" w:themeColor="text1"/>
              </w:rPr>
              <w:t>工程招标</w:t>
            </w:r>
          </w:p>
        </w:tc>
        <w:tc>
          <w:tcPr>
            <w:tcW w:w="459"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8"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6"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63"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9" w:type="dxa"/>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shd w:val="clear" w:color="auto" w:fill="FFFFFF"/>
            <w:vAlign w:val="center"/>
          </w:tcPr>
          <w:p w:rsidR="00C861DA" w:rsidRDefault="00C861DA">
            <w:pPr>
              <w:pStyle w:val="affffffffffffffffffff0"/>
              <w:jc w:val="both"/>
              <w:rPr>
                <w:rFonts w:ascii="Times New Roman" w:eastAsia="宋体"/>
                <w:color w:val="000000" w:themeColor="text1"/>
              </w:rPr>
            </w:pPr>
          </w:p>
        </w:tc>
        <w:tc>
          <w:tcPr>
            <w:tcW w:w="461" w:type="dxa"/>
            <w:tcBorders>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60"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44752E">
            <w:pPr>
              <w:pStyle w:val="affffffffffffffffffff0"/>
              <w:jc w:val="both"/>
              <w:rPr>
                <w:rFonts w:ascii="Times New Roman" w:eastAsia="宋体"/>
                <w:color w:val="000000" w:themeColor="text1"/>
              </w:rPr>
            </w:pPr>
            <w:r>
              <w:rPr>
                <w:rFonts w:ascii="Times New Roman" w:eastAsia="宋体"/>
                <w:noProof/>
                <w:color w:val="000000" w:themeColor="text1"/>
              </w:rPr>
              <mc:AlternateContent>
                <mc:Choice Requires="wps">
                  <w:drawing>
                    <wp:anchor distT="0" distB="0" distL="114300" distR="114300" simplePos="0" relativeHeight="251710464" behindDoc="0" locked="0" layoutInCell="1" allowOverlap="1">
                      <wp:simplePos x="0" y="0"/>
                      <wp:positionH relativeFrom="column">
                        <wp:posOffset>-593725</wp:posOffset>
                      </wp:positionH>
                      <wp:positionV relativeFrom="paragraph">
                        <wp:posOffset>82550</wp:posOffset>
                      </wp:positionV>
                      <wp:extent cx="760730" cy="0"/>
                      <wp:effectExtent l="0" t="19050" r="39370" b="38100"/>
                      <wp:wrapNone/>
                      <wp:docPr id="88" name="直线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730" cy="0"/>
                              </a:xfrm>
                              <a:prstGeom prst="line">
                                <a:avLst/>
                              </a:prstGeom>
                              <a:noFill/>
                              <a:ln w="63500" cmpd="sng">
                                <a:solidFill>
                                  <a:srgbClr val="000000"/>
                                </a:solidFill>
                                <a:round/>
                                <a:headEnd type="none" w="med" len="lg"/>
                              </a:ln>
                              <a:effectLst/>
                            </wps:spPr>
                            <wps:bodyPr/>
                          </wps:wsp>
                        </a:graphicData>
                      </a:graphic>
                    </wp:anchor>
                  </w:drawing>
                </mc:Choice>
                <mc:Fallback xmlns:wpsCustomData="http://www.wps.cn/officeDocument/2013/wpsCustomData" xmlns:w15="http://schemas.microsoft.com/office/word/2012/wordml">
                  <w:pict>
                    <v:line id="直线 155" o:spid="_x0000_s1026" o:spt="20" style="position:absolute;left:0pt;margin-left:-46.75pt;margin-top:6.5pt;height:0pt;width:59.9pt;z-index:251710464;mso-width-relative:page;mso-height-relative:page;" filled="f" stroked="t" coordsize="21600,21600" o:gfxdata="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TL/ivWAAAACAEAAA8A&#10;AAAAAAAAAQAgAAAAIgAAAGRycy9kb3ducmV2LnhtbFBLAQIUABQAAAAIAIdO4kDg7jfz4AEAAJgD&#10;AAAOAAAAAAAAAAEAIAAAACUBAABkcnMvZTJvRG9jLnhtbFBLBQYAAAAABgAGAFkBAAB3BQAAAAA=&#10;">
                      <v:fill on="f" focussize="0,0"/>
                      <v:stroke weight="5pt" color="#000000" joinstyle="round" startarrowlength="long"/>
                      <v:imagedata o:title=""/>
                      <o:lock v:ext="edit" aspectratio="f"/>
                    </v:line>
                  </w:pict>
                </mc:Fallback>
              </mc:AlternateContent>
            </w: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b/>
                <w:bCs/>
                <w:color w:val="000000" w:themeColor="text1"/>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rPr>
            </w:pPr>
          </w:p>
        </w:tc>
      </w:tr>
      <w:tr w:rsidR="00C861DA">
        <w:trPr>
          <w:trHeight w:val="454"/>
          <w:jc w:val="center"/>
        </w:trPr>
        <w:tc>
          <w:tcPr>
            <w:tcW w:w="2451" w:type="dxa"/>
            <w:shd w:val="clear" w:color="auto" w:fill="auto"/>
            <w:vAlign w:val="center"/>
          </w:tcPr>
          <w:p w:rsidR="00C861DA" w:rsidRDefault="0044752E">
            <w:pPr>
              <w:pStyle w:val="affffffffffffffffffff0"/>
              <w:rPr>
                <w:rFonts w:ascii="Times New Roman" w:eastAsia="宋体" w:cs="宋体"/>
                <w:color w:val="000000" w:themeColor="text1"/>
              </w:rPr>
            </w:pPr>
            <w:r>
              <w:rPr>
                <w:rFonts w:ascii="Times New Roman" w:eastAsia="宋体" w:cs="宋体"/>
                <w:color w:val="000000" w:themeColor="text1"/>
              </w:rPr>
              <w:t>非标设备、</w:t>
            </w:r>
          </w:p>
          <w:p w:rsidR="00C861DA" w:rsidRDefault="0044752E">
            <w:pPr>
              <w:pStyle w:val="affffffffffffffffffff0"/>
              <w:rPr>
                <w:rFonts w:ascii="Times New Roman" w:eastAsia="宋体"/>
                <w:color w:val="000000" w:themeColor="text1"/>
              </w:rPr>
            </w:pPr>
            <w:r>
              <w:rPr>
                <w:rFonts w:ascii="Times New Roman" w:eastAsia="宋体" w:cs="宋体"/>
                <w:color w:val="000000" w:themeColor="text1"/>
              </w:rPr>
              <w:t>工装设计制造</w:t>
            </w:r>
          </w:p>
        </w:tc>
        <w:tc>
          <w:tcPr>
            <w:tcW w:w="459"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8"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6"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63"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9"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8"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61" w:type="dxa"/>
            <w:tcBorders>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60"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44752E">
            <w:pPr>
              <w:pStyle w:val="affffffffffffffffffff0"/>
              <w:jc w:val="both"/>
              <w:rPr>
                <w:rFonts w:ascii="Times New Roman" w:eastAsia="宋体"/>
                <w:color w:val="000000" w:themeColor="text1"/>
              </w:rPr>
            </w:pPr>
            <w:r>
              <w:rPr>
                <w:rFonts w:ascii="Times New Roman" w:eastAsia="宋体"/>
                <w:noProof/>
                <w:color w:val="000000" w:themeColor="text1"/>
              </w:rPr>
              <mc:AlternateContent>
                <mc:Choice Requires="wps">
                  <w:drawing>
                    <wp:anchor distT="0" distB="0" distL="114300" distR="114300" simplePos="0" relativeHeight="251711488" behindDoc="0" locked="0" layoutInCell="1" allowOverlap="1">
                      <wp:simplePos x="0" y="0"/>
                      <wp:positionH relativeFrom="column">
                        <wp:posOffset>-315595</wp:posOffset>
                      </wp:positionH>
                      <wp:positionV relativeFrom="paragraph">
                        <wp:posOffset>102235</wp:posOffset>
                      </wp:positionV>
                      <wp:extent cx="804545" cy="0"/>
                      <wp:effectExtent l="0" t="19050" r="52705" b="38100"/>
                      <wp:wrapNone/>
                      <wp:docPr id="87" name="直线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0"/>
                              </a:xfrm>
                              <a:prstGeom prst="line">
                                <a:avLst/>
                              </a:prstGeom>
                              <a:noFill/>
                              <a:ln w="63500" cmpd="sng">
                                <a:solidFill>
                                  <a:srgbClr val="000000"/>
                                </a:solidFill>
                                <a:round/>
                                <a:headEnd type="none" w="med" len="lg"/>
                              </a:ln>
                              <a:effectLst/>
                            </wps:spPr>
                            <wps:bodyPr/>
                          </wps:wsp>
                        </a:graphicData>
                      </a:graphic>
                    </wp:anchor>
                  </w:drawing>
                </mc:Choice>
                <mc:Fallback xmlns:wpsCustomData="http://www.wps.cn/officeDocument/2013/wpsCustomData" xmlns:w15="http://schemas.microsoft.com/office/word/2012/wordml">
                  <w:pict>
                    <v:line id="直线 156" o:spid="_x0000_s1026" o:spt="20" style="position:absolute;left:0pt;margin-left:-24.85pt;margin-top:8.05pt;height:0pt;width:63.35pt;z-index:251711488;mso-width-relative:page;mso-height-relative:page;" filled="f" stroked="t" coordsize="21600,21600" o:gfxdata="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eGcP9YAAAAIAQAA&#10;DwAAAAAAAAABACAAAAAiAAAAZHJzL2Rvd25yZXYueG1sUEsBAhQAFAAAAAgAh07iQJl5pK3iAQAA&#10;mAMAAA4AAAAAAAAAAQAgAAAAJQEAAGRycy9lMm9Eb2MueG1sUEsFBgAAAAAGAAYAWQEAAHkFAAAA&#10;AA==&#10;">
                      <v:fill on="f" focussize="0,0"/>
                      <v:stroke weight="5pt" color="#000000" joinstyle="round" startarrowlength="long"/>
                      <v:imagedata o:title=""/>
                      <o:lock v:ext="edit" aspectratio="f"/>
                    </v:line>
                  </w:pict>
                </mc:Fallback>
              </mc:AlternateContent>
            </w: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rPr>
            </w:pPr>
          </w:p>
        </w:tc>
      </w:tr>
      <w:tr w:rsidR="00C861DA">
        <w:trPr>
          <w:trHeight w:val="454"/>
          <w:jc w:val="center"/>
        </w:trPr>
        <w:tc>
          <w:tcPr>
            <w:tcW w:w="2451" w:type="dxa"/>
            <w:shd w:val="clear" w:color="auto" w:fill="auto"/>
            <w:vAlign w:val="center"/>
          </w:tcPr>
          <w:p w:rsidR="00C861DA" w:rsidRDefault="0044752E">
            <w:pPr>
              <w:pStyle w:val="affffffffffffffffffff0"/>
              <w:rPr>
                <w:rFonts w:ascii="Times New Roman" w:eastAsia="宋体"/>
                <w:color w:val="000000" w:themeColor="text1"/>
              </w:rPr>
            </w:pPr>
            <w:r>
              <w:rPr>
                <w:rFonts w:ascii="Times New Roman" w:eastAsia="宋体" w:cs="宋体"/>
                <w:color w:val="000000" w:themeColor="text1"/>
              </w:rPr>
              <w:t>土建公用工程施工</w:t>
            </w:r>
          </w:p>
        </w:tc>
        <w:tc>
          <w:tcPr>
            <w:tcW w:w="459"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8"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6"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63"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9"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8"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61" w:type="dxa"/>
            <w:tcBorders>
              <w:right w:val="single" w:sz="4" w:space="0" w:color="auto"/>
            </w:tcBorders>
            <w:shd w:val="clear" w:color="auto" w:fill="auto"/>
            <w:vAlign w:val="center"/>
          </w:tcPr>
          <w:p w:rsidR="00C861DA" w:rsidRDefault="00C861DA">
            <w:pPr>
              <w:pStyle w:val="affffffffffffffffffff0"/>
              <w:jc w:val="both"/>
              <w:rPr>
                <w:rFonts w:ascii="Times New Roman" w:eastAsia="宋体"/>
                <w:color w:val="000000" w:themeColor="text1"/>
              </w:rPr>
            </w:pPr>
          </w:p>
        </w:tc>
        <w:tc>
          <w:tcPr>
            <w:tcW w:w="460"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44752E">
            <w:pPr>
              <w:pStyle w:val="affffffffffffffffffff0"/>
              <w:jc w:val="both"/>
              <w:rPr>
                <w:rFonts w:ascii="Times New Roman" w:eastAsia="宋体"/>
                <w:color w:val="000000" w:themeColor="text1"/>
              </w:rPr>
            </w:pPr>
            <w:r>
              <w:rPr>
                <w:rFonts w:ascii="Times New Roman" w:eastAsia="宋体"/>
                <w:noProof/>
                <w:color w:val="000000" w:themeColor="text1"/>
              </w:rPr>
              <mc:AlternateContent>
                <mc:Choice Requires="wps">
                  <w:drawing>
                    <wp:anchor distT="0" distB="0" distL="114300" distR="114300" simplePos="0" relativeHeight="251712512" behindDoc="0" locked="0" layoutInCell="1" allowOverlap="1">
                      <wp:simplePos x="0" y="0"/>
                      <wp:positionH relativeFrom="column">
                        <wp:posOffset>-360045</wp:posOffset>
                      </wp:positionH>
                      <wp:positionV relativeFrom="paragraph">
                        <wp:posOffset>46355</wp:posOffset>
                      </wp:positionV>
                      <wp:extent cx="548640" cy="0"/>
                      <wp:effectExtent l="0" t="19050" r="41910" b="38100"/>
                      <wp:wrapNone/>
                      <wp:docPr id="86" name="直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63500" cmpd="sng">
                                <a:solidFill>
                                  <a:srgbClr val="000000"/>
                                </a:solidFill>
                                <a:round/>
                                <a:headEnd type="none" w="med" len="lg"/>
                              </a:ln>
                              <a:effectLst/>
                            </wps:spPr>
                            <wps:bodyPr/>
                          </wps:wsp>
                        </a:graphicData>
                      </a:graphic>
                    </wp:anchor>
                  </w:drawing>
                </mc:Choice>
                <mc:Fallback xmlns:wpsCustomData="http://www.wps.cn/officeDocument/2013/wpsCustomData" xmlns:w15="http://schemas.microsoft.com/office/word/2012/wordml">
                  <w:pict>
                    <v:line id="直线 157" o:spid="_x0000_s1026" o:spt="20" style="position:absolute;left:0pt;margin-left:-28.35pt;margin-top:3.65pt;height:0pt;width:43.2pt;z-index:251712512;mso-width-relative:page;mso-height-relative:page;" filled="f" stroked="t" coordsize="21600,21600" o:gfxdata="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XBmJdQAAAAGAQAADwAA&#10;AAAAAAABACAAAAAiAAAAZHJzL2Rvd25yZXYueG1sUEsBAhQAFAAAAAgAh07iQMTvV9rhAQAAmAMA&#10;AA4AAAAAAAAAAQAgAAAAIwEAAGRycy9lMm9Eb2MueG1sUEsFBgAAAAAGAAYAWQEAAHYFAAAAAA==&#10;">
                      <v:fill on="f" focussize="0,0"/>
                      <v:stroke weight="5pt" color="#000000" joinstyle="round" startarrowlength="long"/>
                      <v:imagedata o:title=""/>
                      <o:lock v:ext="edit" aspectratio="f"/>
                    </v:line>
                  </w:pict>
                </mc:Fallback>
              </mc:AlternateContent>
            </w: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rPr>
            </w:pPr>
          </w:p>
        </w:tc>
      </w:tr>
      <w:tr w:rsidR="00C861DA">
        <w:trPr>
          <w:trHeight w:val="454"/>
          <w:jc w:val="center"/>
        </w:trPr>
        <w:tc>
          <w:tcPr>
            <w:tcW w:w="2451" w:type="dxa"/>
            <w:shd w:val="clear" w:color="auto" w:fill="auto"/>
            <w:vAlign w:val="center"/>
          </w:tcPr>
          <w:p w:rsidR="00C861DA" w:rsidRDefault="0044752E">
            <w:pPr>
              <w:pStyle w:val="affffffffffffffffffff0"/>
              <w:rPr>
                <w:rFonts w:ascii="Times New Roman" w:eastAsia="宋体"/>
                <w:color w:val="000000" w:themeColor="text1"/>
              </w:rPr>
            </w:pPr>
            <w:r>
              <w:rPr>
                <w:rFonts w:ascii="Times New Roman" w:eastAsia="宋体" w:cs="宋体"/>
                <w:color w:val="000000" w:themeColor="text1"/>
              </w:rPr>
              <w:t>设备安装调试</w:t>
            </w:r>
          </w:p>
        </w:tc>
        <w:tc>
          <w:tcPr>
            <w:tcW w:w="459"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8"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6"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63"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9"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8"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61" w:type="dxa"/>
            <w:tcBorders>
              <w:right w:val="single" w:sz="4" w:space="0" w:color="auto"/>
            </w:tcBorders>
            <w:shd w:val="clear" w:color="auto" w:fill="auto"/>
            <w:vAlign w:val="center"/>
          </w:tcPr>
          <w:p w:rsidR="00C861DA" w:rsidRDefault="00C861DA">
            <w:pPr>
              <w:pStyle w:val="affffffffffffffffffff0"/>
              <w:jc w:val="both"/>
              <w:rPr>
                <w:rFonts w:ascii="Times New Roman" w:eastAsia="宋体"/>
                <w:color w:val="000000" w:themeColor="text1"/>
              </w:rPr>
            </w:pPr>
          </w:p>
        </w:tc>
        <w:tc>
          <w:tcPr>
            <w:tcW w:w="460"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44752E">
            <w:pPr>
              <w:pStyle w:val="affffffffffffffffffff0"/>
              <w:jc w:val="both"/>
              <w:rPr>
                <w:rFonts w:ascii="Times New Roman" w:eastAsia="宋体"/>
                <w:color w:val="000000" w:themeColor="text1"/>
                <w:shd w:val="clear" w:color="FFFFFF" w:fill="D9D9D9"/>
              </w:rPr>
            </w:pPr>
            <w:r>
              <w:rPr>
                <w:rFonts w:ascii="Times New Roman" w:eastAsia="宋体"/>
                <w:noProof/>
                <w:color w:val="000000" w:themeColor="text1"/>
              </w:rPr>
              <mc:AlternateContent>
                <mc:Choice Requires="wps">
                  <w:drawing>
                    <wp:anchor distT="0" distB="0" distL="114300" distR="114300" simplePos="0" relativeHeight="251713536" behindDoc="0" locked="0" layoutInCell="1" allowOverlap="1">
                      <wp:simplePos x="0" y="0"/>
                      <wp:positionH relativeFrom="column">
                        <wp:posOffset>-637540</wp:posOffset>
                      </wp:positionH>
                      <wp:positionV relativeFrom="paragraph">
                        <wp:posOffset>83185</wp:posOffset>
                      </wp:positionV>
                      <wp:extent cx="1063625" cy="0"/>
                      <wp:effectExtent l="0" t="19050" r="41275" b="38100"/>
                      <wp:wrapNone/>
                      <wp:docPr id="85" name="直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line">
                                <a:avLst/>
                              </a:prstGeom>
                              <a:noFill/>
                              <a:ln w="63500" cmpd="sng">
                                <a:solidFill>
                                  <a:srgbClr val="000000"/>
                                </a:solidFill>
                                <a:round/>
                                <a:headEnd type="none" w="med" len="lg"/>
                              </a:ln>
                              <a:effectLst/>
                            </wps:spPr>
                            <wps:bodyPr/>
                          </wps:wsp>
                        </a:graphicData>
                      </a:graphic>
                    </wp:anchor>
                  </w:drawing>
                </mc:Choice>
                <mc:Fallback xmlns:wpsCustomData="http://www.wps.cn/officeDocument/2013/wpsCustomData" xmlns:w15="http://schemas.microsoft.com/office/word/2012/wordml">
                  <w:pict>
                    <v:line id="直线 158" o:spid="_x0000_s1026" o:spt="20" style="position:absolute;left:0pt;margin-left:-50.2pt;margin-top:6.55pt;height:0pt;width:83.75pt;z-index:251713536;mso-width-relative:page;mso-height-relative:page;" filled="f" stroked="t" coordsize="21600,21600" o:gfxdata="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vEVYdcAAAAJAQAA&#10;DwAAAAAAAAABACAAAAAiAAAAZHJzL2Rvd25yZXYueG1sUEsBAhQAFAAAAAgAh07iQKf3l8HhAQAA&#10;mQMAAA4AAAAAAAAAAQAgAAAAJgEAAGRycy9lMm9Eb2MueG1sUEsFBgAAAAAGAAYAWQEAAHkFAAAA&#10;AA==&#10;">
                      <v:fill on="f" focussize="0,0"/>
                      <v:stroke weight="5pt" color="#000000" joinstyle="round" startarrowlength="long"/>
                      <v:imagedata o:title=""/>
                      <o:lock v:ext="edit" aspectratio="f"/>
                    </v:line>
                  </w:pict>
                </mc:Fallback>
              </mc:AlternateContent>
            </w: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shd w:val="clear" w:color="FFFFFF" w:fill="D9D9D9"/>
              </w:rPr>
            </w:pPr>
          </w:p>
        </w:tc>
      </w:tr>
      <w:tr w:rsidR="00C861DA">
        <w:trPr>
          <w:trHeight w:val="454"/>
          <w:jc w:val="center"/>
        </w:trPr>
        <w:tc>
          <w:tcPr>
            <w:tcW w:w="2451" w:type="dxa"/>
            <w:shd w:val="clear" w:color="auto" w:fill="auto"/>
            <w:vAlign w:val="center"/>
          </w:tcPr>
          <w:p w:rsidR="00C861DA" w:rsidRDefault="0044752E">
            <w:pPr>
              <w:pStyle w:val="affffffffffffffffffff0"/>
              <w:rPr>
                <w:rFonts w:ascii="Times New Roman" w:eastAsia="宋体" w:cs="宋体"/>
                <w:color w:val="000000" w:themeColor="text1"/>
              </w:rPr>
            </w:pPr>
            <w:r>
              <w:rPr>
                <w:rFonts w:ascii="Times New Roman" w:eastAsia="宋体" w:cs="宋体"/>
                <w:color w:val="000000" w:themeColor="text1"/>
              </w:rPr>
              <w:t>人员培训</w:t>
            </w:r>
          </w:p>
        </w:tc>
        <w:tc>
          <w:tcPr>
            <w:tcW w:w="459"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8"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6"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63"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9"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8"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61" w:type="dxa"/>
            <w:tcBorders>
              <w:right w:val="single" w:sz="4" w:space="0" w:color="auto"/>
            </w:tcBorders>
            <w:shd w:val="clear" w:color="auto" w:fill="auto"/>
            <w:vAlign w:val="center"/>
          </w:tcPr>
          <w:p w:rsidR="00C861DA" w:rsidRDefault="00C861DA">
            <w:pPr>
              <w:pStyle w:val="affffffffffffffffffff0"/>
              <w:jc w:val="both"/>
              <w:rPr>
                <w:rFonts w:ascii="Times New Roman" w:eastAsia="宋体"/>
                <w:color w:val="000000" w:themeColor="text1"/>
              </w:rPr>
            </w:pPr>
          </w:p>
        </w:tc>
        <w:tc>
          <w:tcPr>
            <w:tcW w:w="460"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44752E">
            <w:pPr>
              <w:pStyle w:val="affffffffffffffffffff0"/>
              <w:jc w:val="both"/>
              <w:rPr>
                <w:rFonts w:ascii="Times New Roman" w:eastAsia="宋体"/>
                <w:color w:val="000000" w:themeColor="text1"/>
                <w:shd w:val="clear" w:color="FFFFFF" w:fill="D9D9D9"/>
              </w:rPr>
            </w:pPr>
            <w:r>
              <w:rPr>
                <w:rFonts w:ascii="Times New Roman" w:eastAsia="宋体"/>
                <w:noProof/>
                <w:color w:val="000000" w:themeColor="text1"/>
              </w:rPr>
              <mc:AlternateContent>
                <mc:Choice Requires="wps">
                  <w:drawing>
                    <wp:anchor distT="0" distB="0" distL="114300" distR="114300" simplePos="0" relativeHeight="251714560" behindDoc="0" locked="0" layoutInCell="1" allowOverlap="1">
                      <wp:simplePos x="0" y="0"/>
                      <wp:positionH relativeFrom="column">
                        <wp:posOffset>-47625</wp:posOffset>
                      </wp:positionH>
                      <wp:positionV relativeFrom="paragraph">
                        <wp:posOffset>82550</wp:posOffset>
                      </wp:positionV>
                      <wp:extent cx="518795" cy="0"/>
                      <wp:effectExtent l="0" t="19050" r="52705" b="38100"/>
                      <wp:wrapNone/>
                      <wp:docPr id="84" name="直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95" cy="0"/>
                              </a:xfrm>
                              <a:prstGeom prst="line">
                                <a:avLst/>
                              </a:prstGeom>
                              <a:noFill/>
                              <a:ln w="63500" cmpd="sng">
                                <a:solidFill>
                                  <a:srgbClr val="000000"/>
                                </a:solidFill>
                                <a:round/>
                                <a:headEnd type="none" w="med" len="lg"/>
                              </a:ln>
                              <a:effectLst/>
                            </wps:spPr>
                            <wps:bodyPr/>
                          </wps:wsp>
                        </a:graphicData>
                      </a:graphic>
                    </wp:anchor>
                  </w:drawing>
                </mc:Choice>
                <mc:Fallback xmlns:wpsCustomData="http://www.wps.cn/officeDocument/2013/wpsCustomData" xmlns:w15="http://schemas.microsoft.com/office/word/2012/wordml">
                  <w:pict>
                    <v:line id="直线 159" o:spid="_x0000_s1026" o:spt="20" style="position:absolute;left:0pt;margin-left:-3.75pt;margin-top:6.5pt;height:0pt;width:40.85pt;z-index:251714560;mso-width-relative:page;mso-height-relative:page;" filled="f" stroked="t" coordsize="21600,21600" o:gfxdata="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At9jNYAAAAHAQAA&#10;DwAAAAAAAAABACAAAAAiAAAAZHJzL2Rvd25yZXYueG1sUEsBAhQAFAAAAAgAh07iQLrCRjziAQAA&#10;mAMAAA4AAAAAAAAAAQAgAAAAJQEAAGRycy9lMm9Eb2MueG1sUEsFBgAAAAAGAAYAWQEAAHkFAAAA&#10;AA==&#10;">
                      <v:fill on="f" focussize="0,0"/>
                      <v:stroke weight="5pt" color="#000000" joinstyle="round" startarrowlength="long"/>
                      <v:imagedata o:title=""/>
                      <o:lock v:ext="edit" aspectratio="f"/>
                    </v:line>
                  </w:pict>
                </mc:Fallback>
              </mc:AlternateContent>
            </w: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shd w:val="clear" w:color="FFFFFF" w:fill="D9D9D9"/>
              </w:rPr>
            </w:pPr>
          </w:p>
        </w:tc>
      </w:tr>
      <w:tr w:rsidR="00C861DA">
        <w:trPr>
          <w:trHeight w:val="454"/>
          <w:jc w:val="center"/>
        </w:trPr>
        <w:tc>
          <w:tcPr>
            <w:tcW w:w="2451" w:type="dxa"/>
            <w:shd w:val="clear" w:color="auto" w:fill="auto"/>
            <w:vAlign w:val="center"/>
          </w:tcPr>
          <w:p w:rsidR="00C861DA" w:rsidRDefault="0044752E">
            <w:pPr>
              <w:pStyle w:val="affffffffffffffffffff0"/>
              <w:rPr>
                <w:rFonts w:ascii="Times New Roman" w:eastAsia="宋体" w:cs="宋体"/>
                <w:color w:val="000000" w:themeColor="text1"/>
              </w:rPr>
            </w:pPr>
            <w:r>
              <w:rPr>
                <w:rFonts w:ascii="Times New Roman" w:eastAsia="宋体" w:cs="宋体"/>
                <w:color w:val="000000" w:themeColor="text1"/>
              </w:rPr>
              <w:t>生产线调试、试生产</w:t>
            </w:r>
          </w:p>
        </w:tc>
        <w:tc>
          <w:tcPr>
            <w:tcW w:w="459"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8"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6"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63"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9"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8"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61" w:type="dxa"/>
            <w:tcBorders>
              <w:right w:val="single" w:sz="4" w:space="0" w:color="auto"/>
            </w:tcBorders>
            <w:shd w:val="clear" w:color="auto" w:fill="auto"/>
            <w:vAlign w:val="center"/>
          </w:tcPr>
          <w:p w:rsidR="00C861DA" w:rsidRDefault="00C861DA">
            <w:pPr>
              <w:pStyle w:val="affffffffffffffffffff0"/>
              <w:jc w:val="both"/>
              <w:rPr>
                <w:rFonts w:ascii="Times New Roman" w:eastAsia="宋体"/>
                <w:color w:val="000000" w:themeColor="text1"/>
              </w:rPr>
            </w:pPr>
          </w:p>
        </w:tc>
        <w:tc>
          <w:tcPr>
            <w:tcW w:w="460"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44752E">
            <w:pPr>
              <w:pStyle w:val="affffffffffffffffffff0"/>
              <w:jc w:val="both"/>
              <w:rPr>
                <w:rFonts w:ascii="Times New Roman" w:eastAsia="宋体"/>
                <w:color w:val="000000" w:themeColor="text1"/>
                <w:shd w:val="clear" w:color="FFFFFF" w:fill="D9D9D9"/>
              </w:rPr>
            </w:pPr>
            <w:r>
              <w:rPr>
                <w:rFonts w:ascii="Times New Roman" w:eastAsia="宋体"/>
                <w:noProof/>
                <w:color w:val="000000" w:themeColor="text1"/>
              </w:rPr>
              <mc:AlternateContent>
                <mc:Choice Requires="wps">
                  <w:drawing>
                    <wp:anchor distT="0" distB="0" distL="114300" distR="114300" simplePos="0" relativeHeight="251715584" behindDoc="0" locked="0" layoutInCell="1" allowOverlap="1">
                      <wp:simplePos x="0" y="0"/>
                      <wp:positionH relativeFrom="column">
                        <wp:posOffset>-365125</wp:posOffset>
                      </wp:positionH>
                      <wp:positionV relativeFrom="paragraph">
                        <wp:posOffset>132715</wp:posOffset>
                      </wp:positionV>
                      <wp:extent cx="1141730" cy="635"/>
                      <wp:effectExtent l="0" t="19050" r="39370" b="56515"/>
                      <wp:wrapNone/>
                      <wp:docPr id="83" name="直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730" cy="635"/>
                              </a:xfrm>
                              <a:prstGeom prst="line">
                                <a:avLst/>
                              </a:prstGeom>
                              <a:noFill/>
                              <a:ln w="63500" cmpd="sng">
                                <a:solidFill>
                                  <a:srgbClr val="000000"/>
                                </a:solidFill>
                                <a:round/>
                                <a:headEnd type="none" w="med" len="lg"/>
                              </a:ln>
                              <a:effectLst/>
                            </wps:spPr>
                            <wps:bodyPr/>
                          </wps:wsp>
                        </a:graphicData>
                      </a:graphic>
                    </wp:anchor>
                  </w:drawing>
                </mc:Choice>
                <mc:Fallback xmlns:wpsCustomData="http://www.wps.cn/officeDocument/2013/wpsCustomData" xmlns:w15="http://schemas.microsoft.com/office/word/2012/wordml">
                  <w:pict>
                    <v:line id="直线 160" o:spid="_x0000_s1026" o:spt="20" style="position:absolute;left:0pt;margin-left:-28.75pt;margin-top:10.45pt;height:0.05pt;width:89.9pt;z-index:251715584;mso-width-relative:page;mso-height-relative:page;" filled="f" stroked="t" coordsize="21600,21600" o:gfxdata="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tiHCnYAAAACQEA&#10;AA8AAAAAAAAAAQAgAAAAIgAAAGRycy9kb3ducmV2LnhtbFBLAQIUABQAAAAIAIdO4kBC/p8J4QEA&#10;AJsDAAAOAAAAAAAAAAEAIAAAACcBAABkcnMvZTJvRG9jLnhtbFBLBQYAAAAABgAGAFkBAAB6BQAA&#10;AAA=&#10;">
                      <v:fill on="f" focussize="0,0"/>
                      <v:stroke weight="5pt" color="#000000" joinstyle="round" startarrowlength="long"/>
                      <v:imagedata o:title=""/>
                      <o:lock v:ext="edit" aspectratio="f"/>
                    </v:line>
                  </w:pict>
                </mc:Fallback>
              </mc:AlternateContent>
            </w: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shd w:val="clear" w:color="FFFFFF" w:fill="D9D9D9"/>
              </w:rPr>
            </w:pPr>
          </w:p>
        </w:tc>
      </w:tr>
      <w:tr w:rsidR="00C861DA">
        <w:trPr>
          <w:trHeight w:val="454"/>
          <w:jc w:val="center"/>
        </w:trPr>
        <w:tc>
          <w:tcPr>
            <w:tcW w:w="2451" w:type="dxa"/>
            <w:shd w:val="clear" w:color="auto" w:fill="auto"/>
            <w:vAlign w:val="center"/>
          </w:tcPr>
          <w:p w:rsidR="00C861DA" w:rsidRDefault="0044752E">
            <w:pPr>
              <w:pStyle w:val="affffffffffffffffffff0"/>
              <w:rPr>
                <w:rFonts w:ascii="Times New Roman" w:eastAsia="宋体" w:cs="宋体"/>
                <w:color w:val="000000" w:themeColor="text1"/>
              </w:rPr>
            </w:pPr>
            <w:r>
              <w:rPr>
                <w:rFonts w:ascii="Times New Roman" w:eastAsia="宋体" w:cs="宋体"/>
                <w:color w:val="000000" w:themeColor="text1"/>
              </w:rPr>
              <w:t>竣工验收</w:t>
            </w:r>
          </w:p>
        </w:tc>
        <w:tc>
          <w:tcPr>
            <w:tcW w:w="459"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8"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6"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63"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9"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58" w:type="dxa"/>
            <w:shd w:val="clear" w:color="auto" w:fill="auto"/>
            <w:vAlign w:val="center"/>
          </w:tcPr>
          <w:p w:rsidR="00C861DA" w:rsidRDefault="00C861DA">
            <w:pPr>
              <w:pStyle w:val="affffffffffffffffffff0"/>
              <w:jc w:val="both"/>
              <w:rPr>
                <w:rFonts w:ascii="Times New Roman" w:eastAsia="宋体"/>
                <w:color w:val="000000" w:themeColor="text1"/>
              </w:rPr>
            </w:pPr>
          </w:p>
        </w:tc>
        <w:tc>
          <w:tcPr>
            <w:tcW w:w="461" w:type="dxa"/>
            <w:tcBorders>
              <w:right w:val="single" w:sz="4" w:space="0" w:color="auto"/>
            </w:tcBorders>
            <w:shd w:val="clear" w:color="auto" w:fill="auto"/>
            <w:vAlign w:val="center"/>
          </w:tcPr>
          <w:p w:rsidR="00C861DA" w:rsidRDefault="00C861DA">
            <w:pPr>
              <w:pStyle w:val="affffffffffffffffffff0"/>
              <w:jc w:val="both"/>
              <w:rPr>
                <w:rFonts w:ascii="Times New Roman" w:eastAsia="宋体"/>
                <w:color w:val="000000" w:themeColor="text1"/>
              </w:rPr>
            </w:pPr>
          </w:p>
        </w:tc>
        <w:tc>
          <w:tcPr>
            <w:tcW w:w="460"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44752E">
            <w:pPr>
              <w:pStyle w:val="affffffffffffffffffff0"/>
              <w:jc w:val="both"/>
              <w:rPr>
                <w:rFonts w:ascii="Times New Roman" w:eastAsia="宋体"/>
                <w:color w:val="000000" w:themeColor="text1"/>
                <w:shd w:val="clear" w:color="FFFFFF" w:fill="D9D9D9"/>
              </w:rPr>
            </w:pPr>
            <w:r>
              <w:rPr>
                <w:rFonts w:ascii="Times New Roman" w:eastAsia="宋体"/>
                <w:noProof/>
                <w:color w:val="000000" w:themeColor="text1"/>
              </w:rPr>
              <mc:AlternateContent>
                <mc:Choice Requires="wps">
                  <w:drawing>
                    <wp:anchor distT="0" distB="0" distL="114300" distR="114300" simplePos="0" relativeHeight="251716608" behindDoc="0" locked="0" layoutInCell="1" allowOverlap="1">
                      <wp:simplePos x="0" y="0"/>
                      <wp:positionH relativeFrom="column">
                        <wp:posOffset>218440</wp:posOffset>
                      </wp:positionH>
                      <wp:positionV relativeFrom="paragraph">
                        <wp:posOffset>107950</wp:posOffset>
                      </wp:positionV>
                      <wp:extent cx="284480" cy="4445"/>
                      <wp:effectExtent l="0" t="19050" r="39370" b="52705"/>
                      <wp:wrapNone/>
                      <wp:docPr id="82" name="直线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4480" cy="4445"/>
                              </a:xfrm>
                              <a:prstGeom prst="line">
                                <a:avLst/>
                              </a:prstGeom>
                              <a:noFill/>
                              <a:ln w="63500" cmpd="sng">
                                <a:solidFill>
                                  <a:srgbClr val="000000"/>
                                </a:solidFill>
                                <a:round/>
                                <a:headEnd type="none" w="med" len="lg"/>
                              </a:ln>
                              <a:effectLst/>
                            </wps:spPr>
                            <wps:bodyPr/>
                          </wps:wsp>
                        </a:graphicData>
                      </a:graphic>
                    </wp:anchor>
                  </w:drawing>
                </mc:Choice>
                <mc:Fallback xmlns:wpsCustomData="http://www.wps.cn/officeDocument/2013/wpsCustomData" xmlns:w15="http://schemas.microsoft.com/office/word/2012/wordml">
                  <w:pict>
                    <v:line id="直线 162" o:spid="_x0000_s1026" o:spt="20" style="position:absolute;left:0pt;flip:y;margin-left:17.2pt;margin-top:8.5pt;height:0.35pt;width:22.4pt;z-index:251716608;mso-width-relative:page;mso-height-relative:page;" filled="f" stroked="t" coordsize="21600,21600" o:gfxdata="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B4X6X&#10;1wAAAAcBAAAPAAAAAAAAAAEAIAAAACIAAABkcnMvZG93bnJldi54bWxQSwECFAAUAAAACACHTuJA&#10;7Yk3z+kBAAClAwAADgAAAAAAAAABACAAAAAmAQAAZHJzL2Uyb0RvYy54bWxQSwUGAAAAAAYABgBZ&#10;AQAAgQUAAAAA&#10;">
                      <v:fill on="f" focussize="0,0"/>
                      <v:stroke weight="5pt" color="#000000" joinstyle="round" startarrowlength="long"/>
                      <v:imagedata o:title=""/>
                      <o:lock v:ext="edit" aspectratio="f"/>
                    </v:line>
                  </w:pict>
                </mc:Fallback>
              </mc:AlternateContent>
            </w: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59"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rsidR="00C861DA" w:rsidRDefault="00C861DA">
            <w:pPr>
              <w:pStyle w:val="affffffffffffffffffff0"/>
              <w:jc w:val="both"/>
              <w:rPr>
                <w:rFonts w:ascii="Times New Roman" w:eastAsia="宋体"/>
                <w:color w:val="000000" w:themeColor="text1"/>
                <w:shd w:val="clear" w:color="FFFFFF" w:fill="D9D9D9"/>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rPr>
            </w:pPr>
          </w:p>
        </w:tc>
        <w:tc>
          <w:tcPr>
            <w:tcW w:w="464" w:type="dxa"/>
            <w:tcBorders>
              <w:top w:val="single" w:sz="4" w:space="0" w:color="auto"/>
              <w:left w:val="single" w:sz="4" w:space="0" w:color="auto"/>
              <w:bottom w:val="single" w:sz="4" w:space="0" w:color="auto"/>
              <w:right w:val="single" w:sz="4" w:space="0" w:color="auto"/>
            </w:tcBorders>
            <w:shd w:val="clear" w:color="auto" w:fill="FFFFFF"/>
          </w:tcPr>
          <w:p w:rsidR="00C861DA" w:rsidRDefault="00C861DA">
            <w:pPr>
              <w:pStyle w:val="affffffffffffffffffff0"/>
              <w:jc w:val="both"/>
              <w:rPr>
                <w:rFonts w:ascii="Times New Roman" w:eastAsia="宋体"/>
                <w:color w:val="000000" w:themeColor="text1"/>
              </w:rPr>
            </w:pPr>
          </w:p>
        </w:tc>
      </w:tr>
    </w:tbl>
    <w:p w:rsidR="00C861DA" w:rsidRDefault="00C861DA">
      <w:pPr>
        <w:pStyle w:val="aff9"/>
        <w:spacing w:after="0"/>
        <w:ind w:firstLineChars="0" w:firstLine="0"/>
        <w:jc w:val="center"/>
        <w:rPr>
          <w:b/>
          <w:color w:val="000000" w:themeColor="text1"/>
          <w:sz w:val="24"/>
        </w:rPr>
      </w:pPr>
    </w:p>
    <w:p w:rsidR="00C861DA" w:rsidRDefault="00C861DA">
      <w:pPr>
        <w:pStyle w:val="aff9"/>
        <w:spacing w:after="0"/>
        <w:ind w:firstLineChars="0" w:firstLine="0"/>
        <w:jc w:val="center"/>
        <w:rPr>
          <w:b/>
          <w:color w:val="000000" w:themeColor="text1"/>
          <w:sz w:val="24"/>
        </w:rPr>
      </w:pPr>
    </w:p>
    <w:p w:rsidR="00C861DA" w:rsidRDefault="00C861DA">
      <w:pPr>
        <w:pStyle w:val="aff9"/>
        <w:spacing w:after="0"/>
        <w:ind w:firstLineChars="0" w:firstLine="0"/>
        <w:jc w:val="center"/>
        <w:rPr>
          <w:b/>
          <w:color w:val="000000" w:themeColor="text1"/>
          <w:sz w:val="24"/>
        </w:rPr>
        <w:sectPr w:rsidR="00C861DA">
          <w:pgSz w:w="16838" w:h="11906" w:orient="landscape"/>
          <w:pgMar w:top="1800" w:right="1440" w:bottom="1800" w:left="1440" w:header="851" w:footer="992" w:gutter="0"/>
          <w:cols w:space="425"/>
          <w:docGrid w:type="lines" w:linePitch="312"/>
        </w:sectPr>
      </w:pPr>
    </w:p>
    <w:p w:rsidR="00C861DA" w:rsidRDefault="0044752E">
      <w:pPr>
        <w:pStyle w:val="12"/>
        <w:jc w:val="center"/>
        <w:rPr>
          <w:rFonts w:ascii="Times New Roman" w:eastAsia="宋体"/>
          <w:b/>
          <w:color w:val="000000" w:themeColor="text1"/>
          <w:sz w:val="28"/>
          <w:szCs w:val="24"/>
        </w:rPr>
      </w:pPr>
      <w:bookmarkStart w:id="223" w:name="_Toc6826794"/>
      <w:bookmarkStart w:id="224" w:name="_Toc6896"/>
      <w:bookmarkStart w:id="225" w:name="_Toc4344"/>
      <w:bookmarkStart w:id="226" w:name="_Toc21365"/>
      <w:bookmarkStart w:id="227" w:name="_Toc32755"/>
      <w:r>
        <w:rPr>
          <w:rFonts w:ascii="Times New Roman" w:eastAsia="宋体" w:hint="eastAsia"/>
          <w:b/>
          <w:color w:val="000000" w:themeColor="text1"/>
          <w:sz w:val="28"/>
          <w:szCs w:val="24"/>
        </w:rPr>
        <w:t>4</w:t>
      </w:r>
      <w:r>
        <w:rPr>
          <w:rFonts w:ascii="Times New Roman" w:eastAsia="宋体" w:hint="eastAsia"/>
          <w:b/>
          <w:color w:val="000000" w:themeColor="text1"/>
          <w:sz w:val="28"/>
          <w:szCs w:val="24"/>
        </w:rPr>
        <w:t>、</w:t>
      </w:r>
      <w:r>
        <w:rPr>
          <w:rFonts w:ascii="Times New Roman" w:eastAsia="宋体"/>
          <w:b/>
          <w:color w:val="000000" w:themeColor="text1"/>
          <w:sz w:val="28"/>
          <w:szCs w:val="24"/>
        </w:rPr>
        <w:t>工程分析</w:t>
      </w:r>
      <w:bookmarkEnd w:id="223"/>
      <w:bookmarkEnd w:id="224"/>
      <w:bookmarkEnd w:id="225"/>
      <w:bookmarkEnd w:id="226"/>
      <w:bookmarkEnd w:id="227"/>
    </w:p>
    <w:p w:rsidR="00C861DA" w:rsidRDefault="0044752E">
      <w:pPr>
        <w:pStyle w:val="22"/>
        <w:rPr>
          <w:rFonts w:ascii="Times New Roman" w:eastAsia="宋体" w:hAnsi="Times New Roman"/>
          <w:bCs w:val="0"/>
          <w:color w:val="000000" w:themeColor="text1"/>
          <w:sz w:val="28"/>
          <w:szCs w:val="28"/>
        </w:rPr>
      </w:pPr>
      <w:bookmarkStart w:id="228" w:name="_Toc6826795"/>
      <w:r>
        <w:rPr>
          <w:rFonts w:ascii="Times New Roman" w:eastAsia="宋体" w:hAnsi="Times New Roman"/>
          <w:bCs w:val="0"/>
          <w:color w:val="000000" w:themeColor="text1"/>
          <w:sz w:val="28"/>
          <w:szCs w:val="28"/>
        </w:rPr>
        <w:t>4.1</w:t>
      </w:r>
      <w:r>
        <w:rPr>
          <w:rFonts w:ascii="Times New Roman" w:eastAsia="宋体" w:hAnsi="Times New Roman"/>
          <w:bCs w:val="0"/>
          <w:color w:val="000000" w:themeColor="text1"/>
          <w:sz w:val="28"/>
          <w:szCs w:val="28"/>
        </w:rPr>
        <w:t>工艺流程及产污环节</w:t>
      </w:r>
      <w:bookmarkEnd w:id="228"/>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项目产品方案为年产</w:t>
      </w:r>
      <w:r>
        <w:rPr>
          <w:rFonts w:ascii="Times New Roman" w:eastAsia="宋体" w:hAnsi="Times New Roman" w:cs="Times New Roman"/>
          <w:color w:val="000000" w:themeColor="text1"/>
          <w:kern w:val="0"/>
          <w:sz w:val="24"/>
          <w:szCs w:val="24"/>
        </w:rPr>
        <w:t>80</w:t>
      </w:r>
      <w:r>
        <w:rPr>
          <w:rFonts w:ascii="Times New Roman" w:eastAsia="宋体" w:hAnsi="Times New Roman" w:cs="Times New Roman"/>
          <w:color w:val="000000" w:themeColor="text1"/>
          <w:kern w:val="0"/>
          <w:sz w:val="24"/>
          <w:szCs w:val="24"/>
        </w:rPr>
        <w:t>万吨绿色有机肥产品，其中硝基复合肥年产</w:t>
      </w:r>
      <w:r>
        <w:rPr>
          <w:rFonts w:ascii="Times New Roman" w:eastAsia="宋体" w:hAnsi="Times New Roman" w:cs="Times New Roman"/>
          <w:color w:val="000000" w:themeColor="text1"/>
          <w:kern w:val="0"/>
          <w:sz w:val="24"/>
          <w:szCs w:val="24"/>
        </w:rPr>
        <w:t>30</w:t>
      </w:r>
      <w:r>
        <w:rPr>
          <w:rFonts w:ascii="Times New Roman" w:eastAsia="宋体" w:hAnsi="Times New Roman" w:cs="Times New Roman"/>
          <w:color w:val="000000" w:themeColor="text1"/>
          <w:kern w:val="0"/>
          <w:sz w:val="24"/>
          <w:szCs w:val="24"/>
        </w:rPr>
        <w:t>万吨，绿色有机尿基复合肥产品年产</w:t>
      </w:r>
      <w:r>
        <w:rPr>
          <w:rFonts w:ascii="Times New Roman" w:eastAsia="宋体" w:hAnsi="Times New Roman" w:cs="Times New Roman"/>
          <w:color w:val="000000" w:themeColor="text1"/>
          <w:kern w:val="0"/>
          <w:sz w:val="24"/>
          <w:szCs w:val="24"/>
        </w:rPr>
        <w:t>50</w:t>
      </w:r>
      <w:r>
        <w:rPr>
          <w:rFonts w:ascii="Times New Roman" w:eastAsia="宋体" w:hAnsi="Times New Roman" w:cs="Times New Roman"/>
          <w:color w:val="000000" w:themeColor="text1"/>
          <w:kern w:val="0"/>
          <w:sz w:val="24"/>
          <w:szCs w:val="24"/>
        </w:rPr>
        <w:t>万吨。</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项目以云南祥丰金麦公司已建液氨装置为主要原料，生产稀硝酸、硝铵、尿素等中间产品，并按照适当的比例加入有机质、硫酸一铵、硫酸钾、添加剂等原料后，分别生产硝基复合肥和尿基复合肥产品。项目生产总体工艺流程框图见图</w:t>
      </w:r>
      <w:r>
        <w:rPr>
          <w:rFonts w:ascii="Times New Roman" w:eastAsia="宋体" w:hAnsi="Times New Roman" w:cs="Times New Roman"/>
          <w:color w:val="000000" w:themeColor="text1"/>
          <w:kern w:val="0"/>
          <w:sz w:val="24"/>
          <w:szCs w:val="24"/>
        </w:rPr>
        <w:t>4.1-1</w:t>
      </w:r>
      <w:r>
        <w:rPr>
          <w:rFonts w:ascii="Times New Roman" w:eastAsia="宋体" w:hAnsi="Times New Roman" w:cs="Times New Roman"/>
          <w:color w:val="000000" w:themeColor="text1"/>
          <w:kern w:val="0"/>
          <w:sz w:val="24"/>
          <w:szCs w:val="24"/>
        </w:rPr>
        <w:t>。</w:t>
      </w:r>
    </w:p>
    <w:p w:rsidR="00C861DA" w:rsidRDefault="0044752E">
      <w:pPr>
        <w:widowControl/>
        <w:autoSpaceDE/>
        <w:autoSpaceDN/>
        <w:snapToGrid w:val="0"/>
        <w:spacing w:after="200" w:line="360" w:lineRule="auto"/>
        <w:ind w:firstLineChars="200" w:firstLine="440"/>
        <w:rPr>
          <w:rFonts w:ascii="Times New Roman" w:eastAsia="宋体" w:hAnsi="Times New Roman" w:cs="Times New Roman"/>
          <w:color w:val="000000" w:themeColor="text1"/>
          <w:kern w:val="0"/>
          <w:sz w:val="22"/>
          <w:szCs w:val="22"/>
        </w:rPr>
      </w:pPr>
      <w:r>
        <w:rPr>
          <w:rFonts w:ascii="Times New Roman" w:eastAsia="宋体" w:hAnsi="Times New Roman" w:cs="Times New Roman"/>
          <w:noProof/>
          <w:color w:val="000000" w:themeColor="text1"/>
          <w:kern w:val="0"/>
          <w:sz w:val="22"/>
          <w:szCs w:val="22"/>
        </w:rPr>
        <mc:AlternateContent>
          <mc:Choice Requires="wpg">
            <w:drawing>
              <wp:anchor distT="0" distB="0" distL="114300" distR="114300" simplePos="0" relativeHeight="251776000" behindDoc="0" locked="0" layoutInCell="1" allowOverlap="1">
                <wp:simplePos x="0" y="0"/>
                <wp:positionH relativeFrom="column">
                  <wp:posOffset>-123825</wp:posOffset>
                </wp:positionH>
                <wp:positionV relativeFrom="paragraph">
                  <wp:posOffset>6350</wp:posOffset>
                </wp:positionV>
                <wp:extent cx="5300345" cy="3169920"/>
                <wp:effectExtent l="0" t="0" r="0" b="0"/>
                <wp:wrapNone/>
                <wp:docPr id="241" name="Group 2"/>
                <wp:cNvGraphicFramePr/>
                <a:graphic xmlns:a="http://schemas.openxmlformats.org/drawingml/2006/main">
                  <a:graphicData uri="http://schemas.microsoft.com/office/word/2010/wordprocessingGroup">
                    <wpg:wgp>
                      <wpg:cNvGrpSpPr/>
                      <wpg:grpSpPr>
                        <a:xfrm>
                          <a:off x="0" y="0"/>
                          <a:ext cx="5300345" cy="3169920"/>
                          <a:chOff x="1598" y="6348"/>
                          <a:chExt cx="8347" cy="4992"/>
                        </a:xfrm>
                      </wpg:grpSpPr>
                      <wps:wsp>
                        <wps:cNvPr id="242" name="Rectangle 3"/>
                        <wps:cNvSpPr>
                          <a:spLocks noChangeArrowheads="1"/>
                        </wps:cNvSpPr>
                        <wps:spPr bwMode="auto">
                          <a:xfrm>
                            <a:off x="1598" y="7810"/>
                            <a:ext cx="876" cy="384"/>
                          </a:xfrm>
                          <a:prstGeom prst="rect">
                            <a:avLst/>
                          </a:prstGeom>
                          <a:solidFill>
                            <a:srgbClr val="FFFFFF"/>
                          </a:solidFill>
                          <a:ln>
                            <a:noFill/>
                          </a:ln>
                        </wps:spPr>
                        <wps:txbx>
                          <w:txbxContent>
                            <w:p w:rsidR="00C861DA" w:rsidRDefault="0044752E">
                              <w:pPr>
                                <w:jc w:val="distribute"/>
                                <w:rPr>
                                  <w:rFonts w:ascii="宋体" w:hAnsi="宋体"/>
                                </w:rPr>
                              </w:pPr>
                              <w:r>
                                <w:rPr>
                                  <w:rFonts w:ascii="宋体" w:hAnsi="宋体" w:hint="eastAsia"/>
                                  <w:kern w:val="1"/>
                                </w:rPr>
                                <w:t>液氨</w:t>
                              </w:r>
                            </w:p>
                          </w:txbxContent>
                        </wps:txbx>
                        <wps:bodyPr rot="0" vert="horz" wrap="square" lIns="0" tIns="0" rIns="0" bIns="0" anchor="ctr" anchorCtr="0" upright="1">
                          <a:noAutofit/>
                        </wps:bodyPr>
                      </wps:wsp>
                      <wps:wsp>
                        <wps:cNvPr id="243" name="AutoShape 4"/>
                        <wps:cNvCnPr>
                          <a:cxnSpLocks noChangeShapeType="1"/>
                        </wps:cNvCnPr>
                        <wps:spPr bwMode="auto">
                          <a:xfrm>
                            <a:off x="2542" y="7976"/>
                            <a:ext cx="532" cy="0"/>
                          </a:xfrm>
                          <a:prstGeom prst="straightConnector1">
                            <a:avLst/>
                          </a:prstGeom>
                          <a:noFill/>
                          <a:ln w="9525">
                            <a:solidFill>
                              <a:srgbClr val="000000"/>
                            </a:solidFill>
                            <a:round/>
                          </a:ln>
                        </wps:spPr>
                        <wps:bodyPr/>
                      </wps:wsp>
                      <wps:wsp>
                        <wps:cNvPr id="244" name="AutoShape 5"/>
                        <wps:cNvCnPr>
                          <a:cxnSpLocks noChangeShapeType="1"/>
                        </wps:cNvCnPr>
                        <wps:spPr bwMode="auto">
                          <a:xfrm>
                            <a:off x="3091" y="6586"/>
                            <a:ext cx="0" cy="3690"/>
                          </a:xfrm>
                          <a:prstGeom prst="straightConnector1">
                            <a:avLst/>
                          </a:prstGeom>
                          <a:noFill/>
                          <a:ln w="9525">
                            <a:solidFill>
                              <a:srgbClr val="000000"/>
                            </a:solidFill>
                            <a:round/>
                          </a:ln>
                        </wps:spPr>
                        <wps:bodyPr/>
                      </wps:wsp>
                      <wps:wsp>
                        <wps:cNvPr id="245" name="AutoShape 6"/>
                        <wps:cNvCnPr>
                          <a:cxnSpLocks noChangeShapeType="1"/>
                        </wps:cNvCnPr>
                        <wps:spPr bwMode="auto">
                          <a:xfrm>
                            <a:off x="3091" y="6586"/>
                            <a:ext cx="935" cy="0"/>
                          </a:xfrm>
                          <a:prstGeom prst="straightConnector1">
                            <a:avLst/>
                          </a:prstGeom>
                          <a:noFill/>
                          <a:ln w="9525">
                            <a:solidFill>
                              <a:srgbClr val="000000"/>
                            </a:solidFill>
                            <a:round/>
                            <a:tailEnd type="triangle" w="med" len="med"/>
                          </a:ln>
                        </wps:spPr>
                        <wps:bodyPr/>
                      </wps:wsp>
                      <wps:wsp>
                        <wps:cNvPr id="246" name="Rectangle 7"/>
                        <wps:cNvSpPr>
                          <a:spLocks noChangeArrowheads="1"/>
                        </wps:cNvSpPr>
                        <wps:spPr bwMode="auto">
                          <a:xfrm>
                            <a:off x="4024" y="6348"/>
                            <a:ext cx="1441" cy="534"/>
                          </a:xfrm>
                          <a:prstGeom prst="rect">
                            <a:avLst/>
                          </a:prstGeom>
                          <a:solidFill>
                            <a:srgbClr val="FFFFFF"/>
                          </a:solidFill>
                          <a:ln w="12700">
                            <a:solidFill>
                              <a:srgbClr val="000000"/>
                            </a:solidFill>
                            <a:miter lim="800000"/>
                          </a:ln>
                        </wps:spPr>
                        <wps:txbx>
                          <w:txbxContent>
                            <w:p w:rsidR="00C861DA" w:rsidRDefault="0044752E">
                              <w:pPr>
                                <w:jc w:val="center"/>
                                <w:rPr>
                                  <w:rFonts w:ascii="宋体" w:hAnsi="宋体"/>
                                  <w:kern w:val="1"/>
                                </w:rPr>
                              </w:pPr>
                              <w:r>
                                <w:rPr>
                                  <w:rFonts w:ascii="宋体" w:hAnsi="宋体" w:hint="eastAsia"/>
                                  <w:kern w:val="1"/>
                                </w:rPr>
                                <w:t>稀</w:t>
                              </w:r>
                              <w:r>
                                <w:rPr>
                                  <w:rFonts w:ascii="宋体" w:hAnsi="宋体"/>
                                  <w:kern w:val="1"/>
                                </w:rPr>
                                <w:t>硝酸</w:t>
                              </w:r>
                              <w:r>
                                <w:rPr>
                                  <w:rFonts w:ascii="宋体" w:hAnsi="宋体" w:hint="eastAsia"/>
                                  <w:kern w:val="1"/>
                                </w:rPr>
                                <w:t>装置</w:t>
                              </w:r>
                            </w:p>
                          </w:txbxContent>
                        </wps:txbx>
                        <wps:bodyPr rot="0" vert="horz" wrap="square" lIns="91440" tIns="45720" rIns="91440" bIns="45720" anchor="ctr" anchorCtr="0" upright="1">
                          <a:noAutofit/>
                        </wps:bodyPr>
                      </wps:wsp>
                      <wps:wsp>
                        <wps:cNvPr id="247" name="AutoShape 8"/>
                        <wps:cNvCnPr>
                          <a:cxnSpLocks noChangeShapeType="1"/>
                        </wps:cNvCnPr>
                        <wps:spPr bwMode="auto">
                          <a:xfrm>
                            <a:off x="4784" y="6882"/>
                            <a:ext cx="0" cy="830"/>
                          </a:xfrm>
                          <a:prstGeom prst="straightConnector1">
                            <a:avLst/>
                          </a:prstGeom>
                          <a:noFill/>
                          <a:ln w="12700">
                            <a:solidFill>
                              <a:srgbClr val="000000"/>
                            </a:solidFill>
                            <a:round/>
                            <a:tailEnd type="triangle" w="med" len="med"/>
                          </a:ln>
                        </wps:spPr>
                        <wps:bodyPr/>
                      </wps:wsp>
                      <wps:wsp>
                        <wps:cNvPr id="248" name="Rectangle 9"/>
                        <wps:cNvSpPr>
                          <a:spLocks noChangeArrowheads="1"/>
                        </wps:cNvSpPr>
                        <wps:spPr bwMode="auto">
                          <a:xfrm>
                            <a:off x="4873" y="6974"/>
                            <a:ext cx="876" cy="384"/>
                          </a:xfrm>
                          <a:prstGeom prst="rect">
                            <a:avLst/>
                          </a:prstGeom>
                          <a:solidFill>
                            <a:srgbClr val="FFFFFF"/>
                          </a:solidFill>
                          <a:ln>
                            <a:noFill/>
                          </a:ln>
                        </wps:spPr>
                        <wps:txbx>
                          <w:txbxContent>
                            <w:p w:rsidR="00C861DA" w:rsidRDefault="0044752E">
                              <w:pPr>
                                <w:jc w:val="distribute"/>
                                <w:rPr>
                                  <w:rFonts w:ascii="宋体" w:hAnsi="宋体"/>
                                </w:rPr>
                              </w:pPr>
                              <w:r>
                                <w:rPr>
                                  <w:rFonts w:ascii="宋体" w:hAnsi="宋体" w:hint="eastAsia"/>
                                  <w:kern w:val="1"/>
                                </w:rPr>
                                <w:t>稀硝酸</w:t>
                              </w:r>
                            </w:p>
                          </w:txbxContent>
                        </wps:txbx>
                        <wps:bodyPr rot="0" vert="horz" wrap="square" lIns="0" tIns="0" rIns="0" bIns="0" anchor="ctr" anchorCtr="0" upright="1">
                          <a:noAutofit/>
                        </wps:bodyPr>
                      </wps:wsp>
                      <wps:wsp>
                        <wps:cNvPr id="249" name="Rectangle 10"/>
                        <wps:cNvSpPr>
                          <a:spLocks noChangeArrowheads="1"/>
                        </wps:cNvSpPr>
                        <wps:spPr bwMode="auto">
                          <a:xfrm>
                            <a:off x="4026" y="7692"/>
                            <a:ext cx="1441" cy="534"/>
                          </a:xfrm>
                          <a:prstGeom prst="rect">
                            <a:avLst/>
                          </a:prstGeom>
                          <a:solidFill>
                            <a:srgbClr val="FFFFFF"/>
                          </a:solidFill>
                          <a:ln w="12700">
                            <a:solidFill>
                              <a:srgbClr val="000000"/>
                            </a:solidFill>
                            <a:miter lim="800000"/>
                          </a:ln>
                        </wps:spPr>
                        <wps:txbx>
                          <w:txbxContent>
                            <w:p w:rsidR="00C861DA" w:rsidRDefault="0044752E">
                              <w:pPr>
                                <w:jc w:val="center"/>
                                <w:rPr>
                                  <w:rFonts w:ascii="宋体" w:hAnsi="宋体"/>
                                  <w:kern w:val="1"/>
                                </w:rPr>
                              </w:pPr>
                              <w:r>
                                <w:rPr>
                                  <w:rFonts w:ascii="宋体" w:hAnsi="宋体" w:hint="eastAsia"/>
                                  <w:kern w:val="1"/>
                                </w:rPr>
                                <w:t>硝铵装置</w:t>
                              </w:r>
                            </w:p>
                          </w:txbxContent>
                        </wps:txbx>
                        <wps:bodyPr rot="0" vert="horz" wrap="square" lIns="91440" tIns="45720" rIns="91440" bIns="45720" anchor="ctr" anchorCtr="0" upright="1">
                          <a:noAutofit/>
                        </wps:bodyPr>
                      </wps:wsp>
                      <wps:wsp>
                        <wps:cNvPr id="250" name="AutoShape 11"/>
                        <wps:cNvCnPr>
                          <a:cxnSpLocks noChangeShapeType="1"/>
                        </wps:cNvCnPr>
                        <wps:spPr bwMode="auto">
                          <a:xfrm>
                            <a:off x="3091" y="7985"/>
                            <a:ext cx="935" cy="0"/>
                          </a:xfrm>
                          <a:prstGeom prst="straightConnector1">
                            <a:avLst/>
                          </a:prstGeom>
                          <a:noFill/>
                          <a:ln w="9525">
                            <a:solidFill>
                              <a:srgbClr val="000000"/>
                            </a:solidFill>
                            <a:round/>
                            <a:tailEnd type="triangle" w="med" len="med"/>
                          </a:ln>
                        </wps:spPr>
                        <wps:bodyPr/>
                      </wps:wsp>
                      <wps:wsp>
                        <wps:cNvPr id="251" name="AutoShape 12"/>
                        <wps:cNvCnPr>
                          <a:cxnSpLocks noChangeShapeType="1"/>
                        </wps:cNvCnPr>
                        <wps:spPr bwMode="auto">
                          <a:xfrm>
                            <a:off x="5486" y="7985"/>
                            <a:ext cx="1192" cy="0"/>
                          </a:xfrm>
                          <a:prstGeom prst="straightConnector1">
                            <a:avLst/>
                          </a:prstGeom>
                          <a:noFill/>
                          <a:ln w="9525">
                            <a:solidFill>
                              <a:srgbClr val="000000"/>
                            </a:solidFill>
                            <a:round/>
                            <a:tailEnd type="triangle" w="med" len="med"/>
                          </a:ln>
                        </wps:spPr>
                        <wps:bodyPr/>
                      </wps:wsp>
                      <wps:wsp>
                        <wps:cNvPr id="252" name="Rectangle 13"/>
                        <wps:cNvSpPr>
                          <a:spLocks noChangeArrowheads="1"/>
                        </wps:cNvSpPr>
                        <wps:spPr bwMode="auto">
                          <a:xfrm>
                            <a:off x="5669" y="7540"/>
                            <a:ext cx="708" cy="384"/>
                          </a:xfrm>
                          <a:prstGeom prst="rect">
                            <a:avLst/>
                          </a:prstGeom>
                          <a:solidFill>
                            <a:srgbClr val="FFFFFF"/>
                          </a:solidFill>
                          <a:ln>
                            <a:noFill/>
                          </a:ln>
                        </wps:spPr>
                        <wps:txbx>
                          <w:txbxContent>
                            <w:p w:rsidR="00C861DA" w:rsidRDefault="0044752E">
                              <w:pPr>
                                <w:jc w:val="distribute"/>
                                <w:rPr>
                                  <w:rFonts w:ascii="宋体" w:hAnsi="宋体"/>
                                </w:rPr>
                              </w:pPr>
                              <w:r>
                                <w:rPr>
                                  <w:rFonts w:ascii="宋体" w:hAnsi="宋体" w:hint="eastAsia"/>
                                  <w:kern w:val="1"/>
                                </w:rPr>
                                <w:t>硝铵</w:t>
                              </w:r>
                            </w:p>
                          </w:txbxContent>
                        </wps:txbx>
                        <wps:bodyPr rot="0" vert="horz" wrap="square" lIns="0" tIns="0" rIns="0" bIns="0" anchor="ctr" anchorCtr="0" upright="1">
                          <a:noAutofit/>
                        </wps:bodyPr>
                      </wps:wsp>
                      <wps:wsp>
                        <wps:cNvPr id="253" name="Rectangle 14"/>
                        <wps:cNvSpPr>
                          <a:spLocks noChangeArrowheads="1"/>
                        </wps:cNvSpPr>
                        <wps:spPr bwMode="auto">
                          <a:xfrm>
                            <a:off x="6693" y="7608"/>
                            <a:ext cx="1250" cy="858"/>
                          </a:xfrm>
                          <a:prstGeom prst="rect">
                            <a:avLst/>
                          </a:prstGeom>
                          <a:solidFill>
                            <a:srgbClr val="FFFFFF"/>
                          </a:solidFill>
                          <a:ln w="12700">
                            <a:solidFill>
                              <a:srgbClr val="000000"/>
                            </a:solidFill>
                            <a:miter lim="800000"/>
                          </a:ln>
                        </wps:spPr>
                        <wps:txbx>
                          <w:txbxContent>
                            <w:p w:rsidR="00C861DA" w:rsidRDefault="0044752E">
                              <w:pPr>
                                <w:jc w:val="center"/>
                                <w:rPr>
                                  <w:rFonts w:ascii="宋体" w:hAnsi="宋体"/>
                                  <w:kern w:val="1"/>
                                </w:rPr>
                              </w:pPr>
                              <w:r>
                                <w:rPr>
                                  <w:rFonts w:ascii="宋体" w:hAnsi="宋体" w:hint="eastAsia"/>
                                  <w:kern w:val="1"/>
                                </w:rPr>
                                <w:t>硝基复合肥装置</w:t>
                              </w:r>
                            </w:p>
                          </w:txbxContent>
                        </wps:txbx>
                        <wps:bodyPr rot="0" vert="horz" wrap="square" lIns="91440" tIns="45720" rIns="91440" bIns="45720" anchor="ctr" anchorCtr="0" upright="1">
                          <a:noAutofit/>
                        </wps:bodyPr>
                      </wps:wsp>
                      <wps:wsp>
                        <wps:cNvPr id="254" name="AutoShape 15"/>
                        <wps:cNvCnPr>
                          <a:cxnSpLocks noChangeShapeType="1"/>
                        </wps:cNvCnPr>
                        <wps:spPr bwMode="auto">
                          <a:xfrm>
                            <a:off x="7344" y="7136"/>
                            <a:ext cx="1" cy="472"/>
                          </a:xfrm>
                          <a:prstGeom prst="straightConnector1">
                            <a:avLst/>
                          </a:prstGeom>
                          <a:noFill/>
                          <a:ln w="12700">
                            <a:solidFill>
                              <a:srgbClr val="000000"/>
                            </a:solidFill>
                            <a:round/>
                            <a:tailEnd type="triangle" w="med" len="med"/>
                          </a:ln>
                        </wps:spPr>
                        <wps:bodyPr/>
                      </wps:wsp>
                      <wps:wsp>
                        <wps:cNvPr id="255" name="Rectangle 16"/>
                        <wps:cNvSpPr>
                          <a:spLocks noChangeArrowheads="1"/>
                        </wps:cNvSpPr>
                        <wps:spPr bwMode="auto">
                          <a:xfrm>
                            <a:off x="6525" y="6545"/>
                            <a:ext cx="2105" cy="591"/>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kern w:val="1"/>
                                </w:rPr>
                                <w:t>磷酸一铵、硫酸钾、有机原料、添加剂</w:t>
                              </w:r>
                            </w:p>
                          </w:txbxContent>
                        </wps:txbx>
                        <wps:bodyPr rot="0" vert="horz" wrap="square" lIns="0" tIns="0" rIns="0" bIns="0" anchor="ctr" anchorCtr="0" upright="1">
                          <a:noAutofit/>
                        </wps:bodyPr>
                      </wps:wsp>
                      <wps:wsp>
                        <wps:cNvPr id="256" name="AutoShape 17"/>
                        <wps:cNvCnPr>
                          <a:cxnSpLocks noChangeShapeType="1"/>
                        </wps:cNvCnPr>
                        <wps:spPr bwMode="auto">
                          <a:xfrm>
                            <a:off x="7980" y="8047"/>
                            <a:ext cx="775" cy="0"/>
                          </a:xfrm>
                          <a:prstGeom prst="straightConnector1">
                            <a:avLst/>
                          </a:prstGeom>
                          <a:noFill/>
                          <a:ln w="9525">
                            <a:solidFill>
                              <a:srgbClr val="000000"/>
                            </a:solidFill>
                            <a:round/>
                            <a:tailEnd type="triangle" w="med" len="med"/>
                          </a:ln>
                        </wps:spPr>
                        <wps:bodyPr/>
                      </wps:wsp>
                      <wps:wsp>
                        <wps:cNvPr id="257" name="Rectangle 18"/>
                        <wps:cNvSpPr>
                          <a:spLocks noChangeArrowheads="1"/>
                        </wps:cNvSpPr>
                        <wps:spPr bwMode="auto">
                          <a:xfrm>
                            <a:off x="8757" y="7684"/>
                            <a:ext cx="1188" cy="706"/>
                          </a:xfrm>
                          <a:prstGeom prst="rect">
                            <a:avLst/>
                          </a:prstGeom>
                          <a:solidFill>
                            <a:srgbClr val="FFFFFF"/>
                          </a:solidFill>
                          <a:ln>
                            <a:noFill/>
                          </a:ln>
                        </wps:spPr>
                        <wps:txbx>
                          <w:txbxContent>
                            <w:p w:rsidR="00C861DA" w:rsidRDefault="0044752E">
                              <w:pPr>
                                <w:jc w:val="distribute"/>
                                <w:rPr>
                                  <w:rFonts w:ascii="宋体" w:hAnsi="宋体"/>
                                </w:rPr>
                              </w:pPr>
                              <w:r>
                                <w:rPr>
                                  <w:rFonts w:ascii="宋体" w:hAnsi="宋体" w:cs="Times New Roman" w:hint="eastAsia"/>
                                  <w:color w:val="000000"/>
                                </w:rPr>
                                <w:t>硝基复合肥</w:t>
                              </w:r>
                              <w:r>
                                <w:rPr>
                                  <w:rFonts w:ascii="宋体" w:hAnsi="宋体" w:cs="Times New Roman" w:hint="eastAsia"/>
                                  <w:color w:val="000000"/>
                                </w:rPr>
                                <w:t>(</w:t>
                              </w:r>
                              <w:r>
                                <w:rPr>
                                  <w:rFonts w:ascii="宋体" w:hAnsi="宋体" w:cs="Times New Roman" w:hint="eastAsia"/>
                                  <w:color w:val="000000"/>
                                </w:rPr>
                                <w:t>产品</w:t>
                              </w:r>
                              <w:r>
                                <w:rPr>
                                  <w:rFonts w:ascii="宋体" w:hAnsi="宋体" w:cs="Times New Roman" w:hint="eastAsia"/>
                                  <w:color w:val="000000"/>
                                </w:rPr>
                                <w:t>)</w:t>
                              </w:r>
                            </w:p>
                          </w:txbxContent>
                        </wps:txbx>
                        <wps:bodyPr rot="0" vert="horz" wrap="square" lIns="0" tIns="0" rIns="0" bIns="0" anchor="ctr" anchorCtr="0" upright="1">
                          <a:noAutofit/>
                        </wps:bodyPr>
                      </wps:wsp>
                      <wps:wsp>
                        <wps:cNvPr id="258" name="AutoShape 19"/>
                        <wps:cNvCnPr>
                          <a:cxnSpLocks noChangeShapeType="1"/>
                        </wps:cNvCnPr>
                        <wps:spPr bwMode="auto">
                          <a:xfrm>
                            <a:off x="3089" y="10274"/>
                            <a:ext cx="935" cy="0"/>
                          </a:xfrm>
                          <a:prstGeom prst="straightConnector1">
                            <a:avLst/>
                          </a:prstGeom>
                          <a:noFill/>
                          <a:ln w="9525">
                            <a:solidFill>
                              <a:srgbClr val="000000"/>
                            </a:solidFill>
                            <a:round/>
                            <a:tailEnd type="triangle" w="med" len="med"/>
                          </a:ln>
                        </wps:spPr>
                        <wps:bodyPr/>
                      </wps:wsp>
                      <wps:wsp>
                        <wps:cNvPr id="259" name="Rectangle 20"/>
                        <wps:cNvSpPr>
                          <a:spLocks noChangeArrowheads="1"/>
                        </wps:cNvSpPr>
                        <wps:spPr bwMode="auto">
                          <a:xfrm>
                            <a:off x="4024" y="9987"/>
                            <a:ext cx="1441" cy="534"/>
                          </a:xfrm>
                          <a:prstGeom prst="rect">
                            <a:avLst/>
                          </a:prstGeom>
                          <a:solidFill>
                            <a:srgbClr val="FFFFFF"/>
                          </a:solidFill>
                          <a:ln w="12700">
                            <a:solidFill>
                              <a:srgbClr val="000000"/>
                            </a:solidFill>
                            <a:miter lim="800000"/>
                          </a:ln>
                        </wps:spPr>
                        <wps:txbx>
                          <w:txbxContent>
                            <w:p w:rsidR="00C861DA" w:rsidRDefault="0044752E">
                              <w:pPr>
                                <w:jc w:val="center"/>
                                <w:rPr>
                                  <w:rFonts w:ascii="宋体" w:hAnsi="宋体"/>
                                  <w:kern w:val="1"/>
                                </w:rPr>
                              </w:pPr>
                              <w:r>
                                <w:rPr>
                                  <w:rFonts w:ascii="宋体" w:hAnsi="宋体" w:hint="eastAsia"/>
                                  <w:kern w:val="1"/>
                                </w:rPr>
                                <w:t>尿素装置</w:t>
                              </w:r>
                            </w:p>
                          </w:txbxContent>
                        </wps:txbx>
                        <wps:bodyPr rot="0" vert="horz" wrap="square" lIns="91440" tIns="45720" rIns="91440" bIns="45720" anchor="ctr" anchorCtr="0" upright="1">
                          <a:noAutofit/>
                        </wps:bodyPr>
                      </wps:wsp>
                      <wps:wsp>
                        <wps:cNvPr id="260" name="AutoShape 21"/>
                        <wps:cNvCnPr>
                          <a:cxnSpLocks noChangeShapeType="1"/>
                        </wps:cNvCnPr>
                        <wps:spPr bwMode="auto">
                          <a:xfrm>
                            <a:off x="5467" y="10276"/>
                            <a:ext cx="1192" cy="0"/>
                          </a:xfrm>
                          <a:prstGeom prst="straightConnector1">
                            <a:avLst/>
                          </a:prstGeom>
                          <a:noFill/>
                          <a:ln w="9525">
                            <a:solidFill>
                              <a:srgbClr val="000000"/>
                            </a:solidFill>
                            <a:round/>
                            <a:tailEnd type="triangle" w="med" len="med"/>
                          </a:ln>
                        </wps:spPr>
                        <wps:bodyPr/>
                      </wps:wsp>
                      <wps:wsp>
                        <wps:cNvPr id="261" name="Rectangle 22"/>
                        <wps:cNvSpPr>
                          <a:spLocks noChangeArrowheads="1"/>
                        </wps:cNvSpPr>
                        <wps:spPr bwMode="auto">
                          <a:xfrm>
                            <a:off x="5669" y="9872"/>
                            <a:ext cx="708" cy="384"/>
                          </a:xfrm>
                          <a:prstGeom prst="rect">
                            <a:avLst/>
                          </a:prstGeom>
                          <a:solidFill>
                            <a:srgbClr val="FFFFFF"/>
                          </a:solidFill>
                          <a:ln>
                            <a:noFill/>
                          </a:ln>
                        </wps:spPr>
                        <wps:txbx>
                          <w:txbxContent>
                            <w:p w:rsidR="00C861DA" w:rsidRDefault="0044752E">
                              <w:pPr>
                                <w:jc w:val="distribute"/>
                                <w:rPr>
                                  <w:rFonts w:ascii="宋体" w:hAnsi="宋体"/>
                                </w:rPr>
                              </w:pPr>
                              <w:r>
                                <w:rPr>
                                  <w:rFonts w:ascii="宋体" w:hAnsi="宋体" w:hint="eastAsia"/>
                                  <w:kern w:val="1"/>
                                </w:rPr>
                                <w:t>尿素</w:t>
                              </w:r>
                            </w:p>
                          </w:txbxContent>
                        </wps:txbx>
                        <wps:bodyPr rot="0" vert="horz" wrap="square" lIns="0" tIns="0" rIns="0" bIns="0" anchor="ctr" anchorCtr="0" upright="1">
                          <a:noAutofit/>
                        </wps:bodyPr>
                      </wps:wsp>
                      <wps:wsp>
                        <wps:cNvPr id="262" name="Rectangle 23"/>
                        <wps:cNvSpPr>
                          <a:spLocks noChangeArrowheads="1"/>
                        </wps:cNvSpPr>
                        <wps:spPr bwMode="auto">
                          <a:xfrm>
                            <a:off x="6678" y="9874"/>
                            <a:ext cx="1250" cy="858"/>
                          </a:xfrm>
                          <a:prstGeom prst="rect">
                            <a:avLst/>
                          </a:prstGeom>
                          <a:solidFill>
                            <a:srgbClr val="FFFFFF"/>
                          </a:solidFill>
                          <a:ln w="12700">
                            <a:solidFill>
                              <a:srgbClr val="000000"/>
                            </a:solidFill>
                            <a:miter lim="800000"/>
                          </a:ln>
                        </wps:spPr>
                        <wps:txbx>
                          <w:txbxContent>
                            <w:p w:rsidR="00C861DA" w:rsidRDefault="0044752E">
                              <w:pPr>
                                <w:jc w:val="center"/>
                                <w:rPr>
                                  <w:rFonts w:ascii="宋体" w:hAnsi="宋体"/>
                                  <w:kern w:val="1"/>
                                </w:rPr>
                              </w:pPr>
                              <w:r>
                                <w:rPr>
                                  <w:rFonts w:ascii="宋体" w:hAnsi="宋体" w:hint="eastAsia"/>
                                  <w:kern w:val="1"/>
                                </w:rPr>
                                <w:t>尿基复合肥装置</w:t>
                              </w:r>
                            </w:p>
                          </w:txbxContent>
                        </wps:txbx>
                        <wps:bodyPr rot="0" vert="horz" wrap="square" lIns="91440" tIns="45720" rIns="91440" bIns="45720" anchor="ctr" anchorCtr="0" upright="1">
                          <a:noAutofit/>
                        </wps:bodyPr>
                      </wps:wsp>
                      <wps:wsp>
                        <wps:cNvPr id="263" name="AutoShape 24"/>
                        <wps:cNvCnPr>
                          <a:cxnSpLocks noChangeShapeType="1"/>
                        </wps:cNvCnPr>
                        <wps:spPr bwMode="auto">
                          <a:xfrm>
                            <a:off x="7980" y="10276"/>
                            <a:ext cx="775" cy="0"/>
                          </a:xfrm>
                          <a:prstGeom prst="straightConnector1">
                            <a:avLst/>
                          </a:prstGeom>
                          <a:noFill/>
                          <a:ln w="9525">
                            <a:solidFill>
                              <a:srgbClr val="000000"/>
                            </a:solidFill>
                            <a:round/>
                            <a:tailEnd type="triangle" w="med" len="med"/>
                          </a:ln>
                        </wps:spPr>
                        <wps:bodyPr/>
                      </wps:wsp>
                      <wps:wsp>
                        <wps:cNvPr id="264" name="Rectangle 25"/>
                        <wps:cNvSpPr>
                          <a:spLocks noChangeArrowheads="1"/>
                        </wps:cNvSpPr>
                        <wps:spPr bwMode="auto">
                          <a:xfrm>
                            <a:off x="8757" y="9913"/>
                            <a:ext cx="1188" cy="706"/>
                          </a:xfrm>
                          <a:prstGeom prst="rect">
                            <a:avLst/>
                          </a:prstGeom>
                          <a:solidFill>
                            <a:srgbClr val="FFFFFF"/>
                          </a:solidFill>
                          <a:ln>
                            <a:noFill/>
                          </a:ln>
                        </wps:spPr>
                        <wps:txbx>
                          <w:txbxContent>
                            <w:p w:rsidR="00C861DA" w:rsidRDefault="0044752E">
                              <w:pPr>
                                <w:jc w:val="distribute"/>
                                <w:rPr>
                                  <w:rFonts w:ascii="宋体" w:hAnsi="宋体"/>
                                </w:rPr>
                              </w:pPr>
                              <w:r>
                                <w:rPr>
                                  <w:rFonts w:ascii="宋体" w:hAnsi="宋体" w:cs="Times New Roman" w:hint="eastAsia"/>
                                  <w:color w:val="000000"/>
                                </w:rPr>
                                <w:t>尿基复合肥</w:t>
                              </w:r>
                              <w:r>
                                <w:rPr>
                                  <w:rFonts w:ascii="宋体" w:hAnsi="宋体" w:cs="Times New Roman" w:hint="eastAsia"/>
                                  <w:color w:val="000000"/>
                                </w:rPr>
                                <w:t>(</w:t>
                              </w:r>
                              <w:r>
                                <w:rPr>
                                  <w:rFonts w:ascii="宋体" w:hAnsi="宋体" w:cs="Times New Roman" w:hint="eastAsia"/>
                                  <w:color w:val="000000"/>
                                </w:rPr>
                                <w:t>产品</w:t>
                              </w:r>
                              <w:r>
                                <w:rPr>
                                  <w:rFonts w:ascii="宋体" w:hAnsi="宋体" w:cs="Times New Roman" w:hint="eastAsia"/>
                                  <w:color w:val="000000"/>
                                </w:rPr>
                                <w:t>)</w:t>
                              </w:r>
                            </w:p>
                          </w:txbxContent>
                        </wps:txbx>
                        <wps:bodyPr rot="0" vert="horz" wrap="square" lIns="0" tIns="0" rIns="0" bIns="0" anchor="ctr" anchorCtr="0" upright="1">
                          <a:noAutofit/>
                        </wps:bodyPr>
                      </wps:wsp>
                      <wps:wsp>
                        <wps:cNvPr id="265" name="AutoShape 26"/>
                        <wps:cNvCnPr>
                          <a:cxnSpLocks noChangeShapeType="1"/>
                        </wps:cNvCnPr>
                        <wps:spPr bwMode="auto">
                          <a:xfrm>
                            <a:off x="7292" y="9331"/>
                            <a:ext cx="1" cy="541"/>
                          </a:xfrm>
                          <a:prstGeom prst="straightConnector1">
                            <a:avLst/>
                          </a:prstGeom>
                          <a:noFill/>
                          <a:ln w="12700">
                            <a:solidFill>
                              <a:srgbClr val="000000"/>
                            </a:solidFill>
                            <a:round/>
                            <a:tailEnd type="triangle" w="med" len="med"/>
                          </a:ln>
                        </wps:spPr>
                        <wps:bodyPr/>
                      </wps:wsp>
                      <wps:wsp>
                        <wps:cNvPr id="266" name="Rectangle 27"/>
                        <wps:cNvSpPr>
                          <a:spLocks noChangeArrowheads="1"/>
                        </wps:cNvSpPr>
                        <wps:spPr bwMode="auto">
                          <a:xfrm>
                            <a:off x="6661" y="8841"/>
                            <a:ext cx="2096" cy="53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kern w:val="1"/>
                                </w:rPr>
                                <w:t>磷酸一铵、硫酸钾、有机原料、添加剂</w:t>
                              </w:r>
                            </w:p>
                          </w:txbxContent>
                        </wps:txbx>
                        <wps:bodyPr rot="0" vert="horz" wrap="square" lIns="0" tIns="0" rIns="0" bIns="0" anchor="ctr" anchorCtr="0" upright="1">
                          <a:noAutofit/>
                        </wps:bodyPr>
                      </wps:wsp>
                      <wps:wsp>
                        <wps:cNvPr id="267" name="Rectangle 28"/>
                        <wps:cNvSpPr>
                          <a:spLocks noChangeArrowheads="1"/>
                        </wps:cNvSpPr>
                        <wps:spPr bwMode="auto">
                          <a:xfrm>
                            <a:off x="4026" y="10956"/>
                            <a:ext cx="4107" cy="384"/>
                          </a:xfrm>
                          <a:prstGeom prst="rect">
                            <a:avLst/>
                          </a:prstGeom>
                          <a:solidFill>
                            <a:srgbClr val="FFFFFF"/>
                          </a:solidFill>
                          <a:ln>
                            <a:noFill/>
                          </a:ln>
                        </wps:spPr>
                        <wps:txbx>
                          <w:txbxContent>
                            <w:p w:rsidR="00C861DA" w:rsidRDefault="0044752E">
                              <w:pPr>
                                <w:jc w:val="center"/>
                                <w:rPr>
                                  <w:rFonts w:ascii="宋体" w:hAnsi="宋体"/>
                                </w:rPr>
                              </w:pPr>
                              <w:r>
                                <w:rPr>
                                  <w:rFonts w:ascii="宋体" w:hAnsi="宋体" w:hint="eastAsia"/>
                                  <w:kern w:val="1"/>
                                </w:rPr>
                                <w:t>图</w:t>
                              </w:r>
                              <w:r>
                                <w:rPr>
                                  <w:rFonts w:ascii="宋体" w:hAnsi="宋体" w:hint="eastAsia"/>
                                  <w:kern w:val="1"/>
                                </w:rPr>
                                <w:t xml:space="preserve">4.1-1          </w:t>
                              </w:r>
                              <w:r>
                                <w:rPr>
                                  <w:rFonts w:ascii="宋体" w:hAnsi="宋体" w:hint="eastAsia"/>
                                  <w:kern w:val="1"/>
                                </w:rPr>
                                <w:t>项目生产总体工艺流程</w:t>
                              </w:r>
                            </w:p>
                          </w:txbxContent>
                        </wps:txbx>
                        <wps:bodyPr rot="0" vert="horz" wrap="square" lIns="0" tIns="0" rIns="0" bIns="0" anchor="ctr" anchorCtr="0" upright="1">
                          <a:noAutofit/>
                        </wps:bodyPr>
                      </wps:wsp>
                    </wpg:wgp>
                  </a:graphicData>
                </a:graphic>
              </wp:anchor>
            </w:drawing>
          </mc:Choice>
          <mc:Fallback xmlns:wpsCustomData="http://www.wps.cn/officeDocument/2013/wpsCustomData" xmlns:w15="http://schemas.microsoft.com/office/word/2012/wordml">
            <w:pict>
              <v:group id="Group 2" o:spid="_x0000_s1026" o:spt="203" style="position:absolute;left:0pt;margin-left:-9.75pt;margin-top:0.5pt;height:249.6pt;width:417.35pt;z-index:251776000;mso-width-relative:page;mso-height-relative:page;" coordorigin="1598,6348" coordsize="8347,4992" o:gfxdata="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">
                <o:lock v:ext="edit" aspectratio="f"/>
                <v:rect id="Rectangle 3" o:spid="_x0000_s1026" o:spt="1" style="position:absolute;left:1598;top:7810;height:384;width:876;v-text-anchor:middle;" fillcolor="#FFFFFF" filled="t" stroked="f" coordsize="21600,21600" o:gfxdata="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0xG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jc w:val="distribute"/>
                          <w:rPr>
                            <w:rFonts w:ascii="宋体" w:hAnsi="宋体"/>
                          </w:rPr>
                        </w:pPr>
                        <w:r>
                          <w:rPr>
                            <w:rFonts w:hint="eastAsia" w:ascii="宋体" w:hAnsi="宋体"/>
                            <w:kern w:val="1"/>
                          </w:rPr>
                          <w:t>液氨</w:t>
                        </w:r>
                      </w:p>
                    </w:txbxContent>
                  </v:textbox>
                </v:rect>
                <v:shape id="AutoShape 4" o:spid="_x0000_s1026" o:spt="32" type="#_x0000_t32" style="position:absolute;left:2542;top:7976;height:0;width:532;" filled="f" stroked="t" coordsize="21600,21600" o:gfxdata="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3N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5" o:spid="_x0000_s1026" o:spt="32" type="#_x0000_t32" style="position:absolute;left:3091;top:6586;height:3690;width:0;" filled="f" stroked="t" coordsize="21600,21600" o:gfxdata="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fvQ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6" o:spid="_x0000_s1026" o:spt="32" type="#_x0000_t32" style="position:absolute;left:3091;top:6586;height:0;width:935;" filled="f" stroked="t" coordsize="21600,21600" o:gfxdata="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Esi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7" o:spid="_x0000_s1026" o:spt="1" style="position:absolute;left:4024;top:6348;height:534;width:1441;v-text-anchor:middle;" fillcolor="#FFFFFF" filled="t" stroked="t" coordsize="21600,21600" o:gfxdata="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tFFL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textbox>
                    <w:txbxContent>
                      <w:p>
                        <w:pPr>
                          <w:jc w:val="center"/>
                          <w:rPr>
                            <w:rFonts w:ascii="宋体" w:hAnsi="宋体"/>
                            <w:kern w:val="1"/>
                          </w:rPr>
                        </w:pPr>
                        <w:r>
                          <w:rPr>
                            <w:rFonts w:hint="eastAsia" w:ascii="宋体" w:hAnsi="宋体"/>
                            <w:kern w:val="1"/>
                          </w:rPr>
                          <w:t>稀</w:t>
                        </w:r>
                        <w:r>
                          <w:rPr>
                            <w:rFonts w:ascii="宋体" w:hAnsi="宋体"/>
                            <w:kern w:val="1"/>
                          </w:rPr>
                          <w:t>硝酸</w:t>
                        </w:r>
                        <w:r>
                          <w:rPr>
                            <w:rFonts w:hint="eastAsia" w:ascii="宋体" w:hAnsi="宋体"/>
                            <w:kern w:val="1"/>
                          </w:rPr>
                          <w:t>装置</w:t>
                        </w:r>
                      </w:p>
                    </w:txbxContent>
                  </v:textbox>
                </v:rect>
                <v:shape id="AutoShape 8" o:spid="_x0000_s1026" o:spt="32" type="#_x0000_t32" style="position:absolute;left:4784;top:6882;height:830;width:0;" filled="f" stroked="t" coordsize="21600,21600" o:gfxdata="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flxg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shape>
                <v:rect id="Rectangle 9" o:spid="_x0000_s1026" o:spt="1" style="position:absolute;left:4873;top:6974;height:384;width:876;v-text-anchor:middle;" fillcolor="#FFFFFF" filled="t" stroked="f" coordsize="21600,21600" o:gfxdata="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fk+7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jc w:val="distribute"/>
                          <w:rPr>
                            <w:rFonts w:ascii="宋体" w:hAnsi="宋体"/>
                          </w:rPr>
                        </w:pPr>
                        <w:r>
                          <w:rPr>
                            <w:rFonts w:hint="eastAsia" w:ascii="宋体" w:hAnsi="宋体"/>
                            <w:kern w:val="1"/>
                          </w:rPr>
                          <w:t>稀硝酸</w:t>
                        </w:r>
                      </w:p>
                    </w:txbxContent>
                  </v:textbox>
                </v:rect>
                <v:rect id="Rectangle 10" o:spid="_x0000_s1026" o:spt="1" style="position:absolute;left:4026;top:7692;height:534;width:1441;v-text-anchor:middle;" fillcolor="#FFFFFF" filled="t" stroked="t" coordsize="21600,21600" o:gfxdata="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1NFm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rFonts w:ascii="宋体" w:hAnsi="宋体"/>
                            <w:kern w:val="1"/>
                          </w:rPr>
                        </w:pPr>
                        <w:r>
                          <w:rPr>
                            <w:rFonts w:hint="eastAsia" w:ascii="宋体" w:hAnsi="宋体"/>
                            <w:kern w:val="1"/>
                          </w:rPr>
                          <w:t>硝铵装置</w:t>
                        </w:r>
                      </w:p>
                    </w:txbxContent>
                  </v:textbox>
                </v:rect>
                <v:shape id="AutoShape 11" o:spid="_x0000_s1026" o:spt="32" type="#_x0000_t32" style="position:absolute;left:3091;top:7985;height:0;width:935;" filled="f" stroked="t" coordsize="21600,21600" o:gfxdata="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qh2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12" o:spid="_x0000_s1026" o:spt="32" type="#_x0000_t32" style="position:absolute;left:5486;top:7985;height:0;width:1192;" filled="f" stroked="t" coordsize="21600,21600" o:gfxdata="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mIv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13" o:spid="_x0000_s1026" o:spt="1" style="position:absolute;left:5669;top:7540;height:384;width:708;v-text-anchor:middle;" fillcolor="#FFFFFF" filled="t" stroked="f" coordsize="21600,21600" o:gfxdata="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mRcy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jc w:val="distribute"/>
                          <w:rPr>
                            <w:rFonts w:ascii="宋体" w:hAnsi="宋体"/>
                          </w:rPr>
                        </w:pPr>
                        <w:r>
                          <w:rPr>
                            <w:rFonts w:hint="eastAsia" w:ascii="宋体" w:hAnsi="宋体"/>
                            <w:kern w:val="1"/>
                          </w:rPr>
                          <w:t>硝铵</w:t>
                        </w:r>
                      </w:p>
                    </w:txbxContent>
                  </v:textbox>
                </v:rect>
                <v:rect id="Rectangle 14" o:spid="_x0000_s1026" o:spt="1" style="position:absolute;left:6693;top:7608;height:858;width:1250;v-text-anchor:middle;" fillcolor="#FFFFFF" filled="t" stroked="t" coordsize="21600,21600" o:gfxdata="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5XBR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rFonts w:ascii="宋体" w:hAnsi="宋体"/>
                            <w:kern w:val="1"/>
                          </w:rPr>
                        </w:pPr>
                        <w:r>
                          <w:rPr>
                            <w:rFonts w:hint="eastAsia" w:ascii="宋体" w:hAnsi="宋体"/>
                            <w:kern w:val="1"/>
                          </w:rPr>
                          <w:t>硝基复合肥装置</w:t>
                        </w:r>
                      </w:p>
                    </w:txbxContent>
                  </v:textbox>
                </v:rect>
                <v:shape id="AutoShape 15" o:spid="_x0000_s1026" o:spt="32" type="#_x0000_t32" style="position:absolute;left:7344;top:7136;height:472;width:1;" filled="f" stroked="t" coordsize="21600,21600" o:gfxdata="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1VMq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shape>
                <v:rect id="Rectangle 16" o:spid="_x0000_s1026" o:spt="1" style="position:absolute;left:6525;top:6545;height:591;width:2105;v-text-anchor:middle;" fillcolor="#FFFFFF" filled="t" stroked="f" coordsize="21600,21600" o:gfxdata="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P3bi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ascii="宋体" w:hAnsi="宋体"/>
                          </w:rPr>
                        </w:pPr>
                        <w:r>
                          <w:rPr>
                            <w:rFonts w:hint="eastAsia" w:ascii="宋体" w:hAnsi="宋体"/>
                            <w:kern w:val="1"/>
                          </w:rPr>
                          <w:t>磷酸一铵、硫酸钾、有机原料、添加剂</w:t>
                        </w:r>
                      </w:p>
                    </w:txbxContent>
                  </v:textbox>
                </v:rect>
                <v:shape id="AutoShape 17" o:spid="_x0000_s1026" o:spt="32" type="#_x0000_t32" style="position:absolute;left:7980;top:8047;height:0;width:775;" filled="f" stroked="t" coordsize="21600,21600" o:gfxdata="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Puo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18" o:spid="_x0000_s1026" o:spt="1" style="position:absolute;left:8757;top:7684;height:706;width:1188;v-text-anchor:middle;" fillcolor="#FFFFFF" filled="t" stroked="f" coordsize="21600,21600" o:gfxdata="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HmVL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jc w:val="distribute"/>
                          <w:rPr>
                            <w:rFonts w:ascii="宋体" w:hAnsi="宋体"/>
                          </w:rPr>
                        </w:pPr>
                        <w:r>
                          <w:rPr>
                            <w:rFonts w:hint="eastAsia" w:ascii="宋体" w:hAnsi="宋体" w:cs="Times New Roman"/>
                            <w:color w:val="000000"/>
                          </w:rPr>
                          <w:t>硝基复合肥(产品)</w:t>
                        </w:r>
                      </w:p>
                    </w:txbxContent>
                  </v:textbox>
                </v:rect>
                <v:shape id="AutoShape 19" o:spid="_x0000_s1026" o:spt="32" type="#_x0000_t32" style="position:absolute;left:3089;top:10274;height:0;width:935;" filled="f" stroked="t" coordsize="21600,21600" o:gfxdata="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ci2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Rectangle 20" o:spid="_x0000_s1026" o:spt="1" style="position:absolute;left:4024;top:9987;height:534;width:1441;v-text-anchor:middle;" fillcolor="#FFFFFF" filled="t" stroked="t" coordsize="21600,21600" o:gfxdata="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DUe7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rPr>
                            <w:rFonts w:ascii="宋体" w:hAnsi="宋体"/>
                            <w:kern w:val="1"/>
                          </w:rPr>
                        </w:pPr>
                        <w:r>
                          <w:rPr>
                            <w:rFonts w:hint="eastAsia" w:ascii="宋体" w:hAnsi="宋体"/>
                            <w:kern w:val="1"/>
                          </w:rPr>
                          <w:t>尿素装置</w:t>
                        </w:r>
                      </w:p>
                    </w:txbxContent>
                  </v:textbox>
                </v:rect>
                <v:shape id="AutoShape 21" o:spid="_x0000_s1026" o:spt="32" type="#_x0000_t32" style="position:absolute;left:5467;top:10276;height:0;width:1192;" filled="f" stroked="t" coordsize="21600,21600" o:gfxdata="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hk3T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rect id="Rectangle 22" o:spid="_x0000_s1026" o:spt="1" style="position:absolute;left:5669;top:9872;height:384;width:708;v-text-anchor:middle;" fillcolor="#FFFFFF" filled="t" stroked="f" coordsize="21600,21600" o:gfxdata="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YEQa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jc w:val="distribute"/>
                          <w:rPr>
                            <w:rFonts w:ascii="宋体" w:hAnsi="宋体"/>
                          </w:rPr>
                        </w:pPr>
                        <w:r>
                          <w:rPr>
                            <w:rFonts w:hint="eastAsia" w:ascii="宋体" w:hAnsi="宋体"/>
                            <w:kern w:val="1"/>
                          </w:rPr>
                          <w:t>尿素</w:t>
                        </w:r>
                      </w:p>
                    </w:txbxContent>
                  </v:textbox>
                </v:rect>
                <v:rect id="Rectangle 23" o:spid="_x0000_s1026" o:spt="1" style="position:absolute;left:6678;top:9874;height:858;width:1250;v-text-anchor:middle;" fillcolor="#FFFFFF" filled="t" stroked="t" coordsize="21600,21600" o:gfxdata="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FH3e8AAAA&#10;3AAAAA8AAAAAAAAAAQAgAAAAIgAAAGRycy9kb3ducmV2LnhtbFBLAQIUABQAAAAIAIdO4kAzLwWe&#10;OwAAADkAAAAQAAAAAAAAAAEAIAAAAAsBAABkcnMvc2hhcGV4bWwueG1sUEsFBgAAAAAGAAYAWwEA&#10;ALUDAAAAAA==&#10;">
                  <v:fill on="t" focussize="0,0"/>
                  <v:stroke weight="1pt" color="#000000" miterlimit="8" joinstyle="miter"/>
                  <v:imagedata o:title=""/>
                  <o:lock v:ext="edit" aspectratio="f"/>
                  <v:textbox>
                    <w:txbxContent>
                      <w:p>
                        <w:pPr>
                          <w:jc w:val="center"/>
                          <w:rPr>
                            <w:rFonts w:ascii="宋体" w:hAnsi="宋体"/>
                            <w:kern w:val="1"/>
                          </w:rPr>
                        </w:pPr>
                        <w:r>
                          <w:rPr>
                            <w:rFonts w:hint="eastAsia" w:ascii="宋体" w:hAnsi="宋体"/>
                            <w:kern w:val="1"/>
                          </w:rPr>
                          <w:t>尿基复合肥装置</w:t>
                        </w:r>
                      </w:p>
                    </w:txbxContent>
                  </v:textbox>
                </v:rect>
                <v:shape id="AutoShape 24" o:spid="_x0000_s1026" o:spt="32" type="#_x0000_t32" style="position:absolute;left:7980;top:10276;height:0;width:775;" filled="f" stroked="t" coordsize="21600,21600" o:gfxdata="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U06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25" o:spid="_x0000_s1026" o:spt="1" style="position:absolute;left:8757;top:9913;height:706;width:1188;v-text-anchor:middle;" fillcolor="#FFFFFF" filled="t" stroked="f" coordsize="21600,21600" o:gfxdata="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77Ke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jc w:val="distribute"/>
                          <w:rPr>
                            <w:rFonts w:ascii="宋体" w:hAnsi="宋体"/>
                          </w:rPr>
                        </w:pPr>
                        <w:r>
                          <w:rPr>
                            <w:rFonts w:hint="eastAsia" w:ascii="宋体" w:hAnsi="宋体" w:cs="Times New Roman"/>
                            <w:color w:val="000000"/>
                          </w:rPr>
                          <w:t>尿基复合肥(产品)</w:t>
                        </w:r>
                      </w:p>
                    </w:txbxContent>
                  </v:textbox>
                </v:rect>
                <v:shape id="AutoShape 26" o:spid="_x0000_s1026" o:spt="32" type="#_x0000_t32" style="position:absolute;left:7292;top:9331;height:541;width:1;" filled="f" stroked="t" coordsize="21600,21600" o:gfxdata="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U77L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shape>
                <v:rect id="Rectangle 27" o:spid="_x0000_s1026" o:spt="1" style="position:absolute;left:6661;top:8841;height:530;width:2096;v-text-anchor:middle;" fillcolor="#FFFFFF" filled="t" stroked="f" coordsize="21600,21600" o:gfxdata="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xiXK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ascii="宋体" w:hAnsi="宋体"/>
                          </w:rPr>
                        </w:pPr>
                        <w:r>
                          <w:rPr>
                            <w:rFonts w:hint="eastAsia" w:ascii="宋体" w:hAnsi="宋体"/>
                            <w:kern w:val="1"/>
                          </w:rPr>
                          <w:t>磷酸一铵、硫酸钾、有机原料、添加剂</w:t>
                        </w:r>
                      </w:p>
                    </w:txbxContent>
                  </v:textbox>
                </v:rect>
                <v:rect id="Rectangle 28" o:spid="_x0000_s1026" o:spt="1" style="position:absolute;left:4026;top:10956;height:384;width:4107;v-text-anchor:middle;" fillcolor="#FFFFFF" filled="t" stroked="f" coordsize="21600,21600" o:gfxdata="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9LOm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jc w:val="center"/>
                          <w:rPr>
                            <w:rFonts w:ascii="宋体" w:hAnsi="宋体"/>
                          </w:rPr>
                        </w:pPr>
                        <w:r>
                          <w:rPr>
                            <w:rFonts w:hint="eastAsia" w:ascii="宋体" w:hAnsi="宋体"/>
                            <w:kern w:val="1"/>
                          </w:rPr>
                          <w:t>图4.1-1          项目生产总体工艺流程</w:t>
                        </w:r>
                      </w:p>
                    </w:txbxContent>
                  </v:textbox>
                </v:rect>
              </v:group>
            </w:pict>
          </mc:Fallback>
        </mc:AlternateContent>
      </w:r>
    </w:p>
    <w:p w:rsidR="00C861DA" w:rsidRDefault="00C861DA">
      <w:pPr>
        <w:widowControl/>
        <w:autoSpaceDE/>
        <w:autoSpaceDN/>
        <w:snapToGrid w:val="0"/>
        <w:spacing w:after="200" w:line="360" w:lineRule="auto"/>
        <w:ind w:firstLineChars="200" w:firstLine="440"/>
        <w:rPr>
          <w:rFonts w:ascii="Times New Roman" w:eastAsia="宋体" w:hAnsi="Times New Roman" w:cs="Times New Roman"/>
          <w:color w:val="000000" w:themeColor="text1"/>
          <w:kern w:val="0"/>
          <w:sz w:val="22"/>
          <w:szCs w:val="22"/>
        </w:rPr>
      </w:pPr>
    </w:p>
    <w:p w:rsidR="00C861DA" w:rsidRDefault="00C861DA">
      <w:pPr>
        <w:widowControl/>
        <w:autoSpaceDE/>
        <w:autoSpaceDN/>
        <w:snapToGrid w:val="0"/>
        <w:spacing w:after="200" w:line="360" w:lineRule="auto"/>
        <w:ind w:firstLineChars="200" w:firstLine="440"/>
        <w:rPr>
          <w:rFonts w:ascii="Times New Roman" w:eastAsia="宋体" w:hAnsi="Times New Roman" w:cs="Times New Roman"/>
          <w:color w:val="000000" w:themeColor="text1"/>
          <w:kern w:val="0"/>
          <w:sz w:val="22"/>
          <w:szCs w:val="22"/>
        </w:rPr>
      </w:pPr>
    </w:p>
    <w:p w:rsidR="00C861DA" w:rsidRDefault="00C861DA">
      <w:pPr>
        <w:widowControl/>
        <w:autoSpaceDE/>
        <w:autoSpaceDN/>
        <w:snapToGrid w:val="0"/>
        <w:spacing w:after="200" w:line="360" w:lineRule="auto"/>
        <w:ind w:firstLineChars="200" w:firstLine="440"/>
        <w:rPr>
          <w:rFonts w:ascii="Times New Roman" w:eastAsia="宋体" w:hAnsi="Times New Roman" w:cs="Times New Roman"/>
          <w:color w:val="000000" w:themeColor="text1"/>
          <w:kern w:val="0"/>
          <w:sz w:val="22"/>
          <w:szCs w:val="22"/>
        </w:rPr>
      </w:pPr>
    </w:p>
    <w:p w:rsidR="00C861DA" w:rsidRDefault="00C861DA">
      <w:pPr>
        <w:widowControl/>
        <w:autoSpaceDE/>
        <w:autoSpaceDN/>
        <w:snapToGrid w:val="0"/>
        <w:spacing w:after="200" w:line="360" w:lineRule="auto"/>
        <w:ind w:firstLineChars="200" w:firstLine="440"/>
        <w:rPr>
          <w:rFonts w:ascii="Times New Roman" w:eastAsia="宋体" w:hAnsi="Times New Roman" w:cs="Times New Roman"/>
          <w:color w:val="000000" w:themeColor="text1"/>
          <w:kern w:val="0"/>
          <w:sz w:val="22"/>
          <w:szCs w:val="22"/>
        </w:rPr>
      </w:pPr>
    </w:p>
    <w:p w:rsidR="00C861DA" w:rsidRDefault="00C861DA">
      <w:pPr>
        <w:widowControl/>
        <w:autoSpaceDE/>
        <w:autoSpaceDN/>
        <w:snapToGrid w:val="0"/>
        <w:spacing w:after="200" w:line="360" w:lineRule="auto"/>
        <w:ind w:firstLineChars="200" w:firstLine="440"/>
        <w:rPr>
          <w:rFonts w:ascii="Times New Roman" w:eastAsia="宋体" w:hAnsi="Times New Roman" w:cs="Times New Roman"/>
          <w:color w:val="000000" w:themeColor="text1"/>
          <w:kern w:val="0"/>
          <w:sz w:val="22"/>
          <w:szCs w:val="22"/>
        </w:rPr>
      </w:pPr>
    </w:p>
    <w:p w:rsidR="00C861DA" w:rsidRDefault="00C861DA">
      <w:pPr>
        <w:widowControl/>
        <w:autoSpaceDE/>
        <w:autoSpaceDN/>
        <w:snapToGrid w:val="0"/>
        <w:spacing w:after="200" w:line="360" w:lineRule="auto"/>
        <w:ind w:firstLineChars="200" w:firstLine="440"/>
        <w:rPr>
          <w:rFonts w:ascii="Times New Roman" w:eastAsia="宋体" w:hAnsi="Times New Roman" w:cs="Times New Roman"/>
          <w:color w:val="000000" w:themeColor="text1"/>
          <w:kern w:val="0"/>
          <w:sz w:val="22"/>
          <w:szCs w:val="22"/>
        </w:rPr>
      </w:pPr>
    </w:p>
    <w:p w:rsidR="00C861DA" w:rsidRDefault="00C861DA">
      <w:pPr>
        <w:widowControl/>
        <w:autoSpaceDE/>
        <w:autoSpaceDN/>
        <w:snapToGrid w:val="0"/>
        <w:spacing w:after="200" w:line="360" w:lineRule="auto"/>
        <w:ind w:firstLineChars="200" w:firstLine="440"/>
        <w:rPr>
          <w:rFonts w:ascii="Times New Roman" w:eastAsia="宋体" w:hAnsi="Times New Roman" w:cs="Times New Roman"/>
          <w:color w:val="000000" w:themeColor="text1"/>
          <w:kern w:val="0"/>
          <w:sz w:val="22"/>
          <w:szCs w:val="22"/>
        </w:rPr>
      </w:pPr>
    </w:p>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根据产品方案，各产品生产工艺流程及产污环节叙述如下：</w:t>
      </w:r>
    </w:p>
    <w:p w:rsidR="00C861DA" w:rsidRDefault="0044752E">
      <w:pPr>
        <w:pStyle w:val="32"/>
        <w:rPr>
          <w:rFonts w:ascii="Times New Roman" w:eastAsia="宋体"/>
          <w:bCs w:val="0"/>
          <w:color w:val="000000" w:themeColor="text1"/>
          <w:sz w:val="24"/>
          <w:szCs w:val="24"/>
        </w:rPr>
      </w:pPr>
      <w:bookmarkStart w:id="229" w:name="_Toc6826796"/>
      <w:r>
        <w:rPr>
          <w:rFonts w:ascii="Times New Roman" w:eastAsia="宋体"/>
          <w:bCs w:val="0"/>
          <w:color w:val="000000" w:themeColor="text1"/>
          <w:sz w:val="24"/>
          <w:szCs w:val="24"/>
        </w:rPr>
        <w:t>4.1.1</w:t>
      </w:r>
      <w:r>
        <w:rPr>
          <w:rFonts w:ascii="Times New Roman" w:eastAsia="宋体"/>
          <w:bCs w:val="0"/>
          <w:color w:val="000000" w:themeColor="text1"/>
          <w:sz w:val="24"/>
          <w:szCs w:val="24"/>
        </w:rPr>
        <w:t>硝基复合肥生产工艺流程及产污环节</w:t>
      </w:r>
      <w:bookmarkEnd w:id="229"/>
    </w:p>
    <w:p w:rsidR="00C861DA" w:rsidRDefault="0044752E">
      <w:pPr>
        <w:widowControl/>
        <w:autoSpaceDE/>
        <w:autoSpaceDN/>
        <w:snapToGrid w:val="0"/>
        <w:spacing w:line="360" w:lineRule="auto"/>
        <w:ind w:firstLineChars="200" w:firstLine="480"/>
        <w:jc w:val="both"/>
        <w:rPr>
          <w:rFonts w:ascii="Tahoma" w:eastAsia="微软雅黑" w:hAnsi="Tahoma" w:cs="Times New Roman"/>
          <w:color w:val="000000" w:themeColor="text1"/>
          <w:kern w:val="0"/>
          <w:sz w:val="22"/>
          <w:szCs w:val="22"/>
        </w:rPr>
      </w:pPr>
      <w:r>
        <w:rPr>
          <w:rFonts w:ascii="Times New Roman" w:eastAsia="宋体" w:hAnsi="Times New Roman" w:cs="Times New Roman" w:hint="eastAsia"/>
          <w:color w:val="000000" w:themeColor="text1"/>
          <w:kern w:val="1"/>
          <w:sz w:val="24"/>
          <w:szCs w:val="24"/>
        </w:rPr>
        <w:t>硝基复合肥生产以氨和空气为原料，先生产稀硝酸，再以稀硝酸和氨为原料，生产硝酸铵，最后将</w:t>
      </w:r>
      <w:r>
        <w:rPr>
          <w:rFonts w:ascii="Times New Roman" w:eastAsia="宋体" w:hAnsi="Times New Roman" w:cs="Times New Roman"/>
          <w:color w:val="000000" w:themeColor="text1"/>
          <w:kern w:val="1"/>
          <w:sz w:val="24"/>
          <w:szCs w:val="24"/>
        </w:rPr>
        <w:t>有机原料、磷铵、硫酸钾</w:t>
      </w:r>
      <w:r>
        <w:rPr>
          <w:rFonts w:ascii="Times New Roman" w:eastAsia="宋体" w:hAnsi="Times New Roman" w:cs="Times New Roman" w:hint="eastAsia"/>
          <w:color w:val="000000" w:themeColor="text1"/>
          <w:kern w:val="1"/>
          <w:sz w:val="24"/>
          <w:szCs w:val="24"/>
        </w:rPr>
        <w:t>和熔融硝酸铵溶液混合搅拌，造粒后，生产硝基复合肥。生产过程分为稀硝酸生产、硝酸铵生产和复合肥生产几个主要工段。</w:t>
      </w:r>
    </w:p>
    <w:p w:rsidR="00C861DA" w:rsidRDefault="0044752E">
      <w:pPr>
        <w:widowControl/>
        <w:autoSpaceDE/>
        <w:autoSpaceDN/>
        <w:snapToGrid w:val="0"/>
        <w:spacing w:line="360" w:lineRule="auto"/>
        <w:jc w:val="both"/>
        <w:rPr>
          <w:rFonts w:ascii="Times New Roman" w:eastAsia="宋体" w:hAnsi="Times New Roman" w:cs="Times New Roman"/>
          <w:b/>
          <w:color w:val="000000" w:themeColor="text1"/>
          <w:kern w:val="1"/>
          <w:sz w:val="24"/>
          <w:szCs w:val="24"/>
        </w:rPr>
      </w:pPr>
      <w:r>
        <w:rPr>
          <w:rFonts w:ascii="Times New Roman" w:eastAsia="宋体" w:hAnsi="Times New Roman" w:cs="Times New Roman" w:hint="eastAsia"/>
          <w:b/>
          <w:color w:val="000000" w:themeColor="text1"/>
          <w:kern w:val="1"/>
          <w:sz w:val="24"/>
          <w:szCs w:val="24"/>
        </w:rPr>
        <w:t>4.1.1.1</w:t>
      </w:r>
      <w:r>
        <w:rPr>
          <w:rFonts w:ascii="Times New Roman" w:eastAsia="宋体" w:hAnsi="Times New Roman" w:cs="Times New Roman"/>
          <w:b/>
          <w:color w:val="000000" w:themeColor="text1"/>
          <w:kern w:val="1"/>
          <w:sz w:val="24"/>
          <w:szCs w:val="24"/>
        </w:rPr>
        <w:t>稀硝酸生产</w:t>
      </w:r>
    </w:p>
    <w:p w:rsidR="00C861DA" w:rsidRDefault="0044752E">
      <w:pPr>
        <w:widowControl/>
        <w:autoSpaceDE/>
        <w:autoSpaceDN/>
        <w:snapToGrid w:val="0"/>
        <w:spacing w:line="360" w:lineRule="auto"/>
        <w:ind w:firstLineChars="200" w:firstLine="480"/>
        <w:jc w:val="both"/>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）工艺流程</w:t>
      </w:r>
    </w:p>
    <w:p w:rsidR="00C861DA" w:rsidRDefault="0044752E">
      <w:pPr>
        <w:widowControl/>
        <w:autoSpaceDE/>
        <w:autoSpaceDN/>
        <w:snapToGrid w:val="0"/>
        <w:spacing w:line="360" w:lineRule="auto"/>
        <w:ind w:firstLineChars="200" w:firstLine="480"/>
        <w:jc w:val="both"/>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本项目稀硝酸装置选择双加压法工艺技术，工艺流程及产污环节见图</w:t>
      </w:r>
      <w:r>
        <w:rPr>
          <w:rFonts w:ascii="Times New Roman" w:eastAsia="宋体" w:hAnsi="Times New Roman" w:cs="Times New Roman"/>
          <w:color w:val="000000" w:themeColor="text1"/>
          <w:kern w:val="1"/>
          <w:sz w:val="24"/>
          <w:szCs w:val="24"/>
        </w:rPr>
        <w:t>4.1-2</w:t>
      </w:r>
      <w:r>
        <w:rPr>
          <w:rFonts w:ascii="Times New Roman" w:eastAsia="宋体" w:hAnsi="Times New Roman" w:cs="Times New Roman"/>
          <w:color w:val="000000" w:themeColor="text1"/>
          <w:kern w:val="1"/>
          <w:sz w:val="24"/>
          <w:szCs w:val="24"/>
        </w:rPr>
        <w:t>。</w:t>
      </w:r>
    </w:p>
    <w:p w:rsidR="00C861DA" w:rsidRDefault="00C861DA">
      <w:pPr>
        <w:pStyle w:val="21"/>
        <w:rPr>
          <w:color w:val="000000" w:themeColor="text1"/>
        </w:rPr>
      </w:pPr>
    </w:p>
    <w:p w:rsidR="00C861DA" w:rsidRDefault="0044752E">
      <w:pPr>
        <w:widowControl/>
        <w:autoSpaceDE/>
        <w:autoSpaceDN/>
        <w:snapToGrid w:val="0"/>
        <w:spacing w:line="360" w:lineRule="auto"/>
        <w:ind w:firstLineChars="200" w:firstLine="480"/>
        <w:jc w:val="both"/>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72608" behindDoc="0" locked="0" layoutInCell="1" allowOverlap="1">
                <wp:simplePos x="0" y="0"/>
                <wp:positionH relativeFrom="column">
                  <wp:posOffset>4674235</wp:posOffset>
                </wp:positionH>
                <wp:positionV relativeFrom="paragraph">
                  <wp:posOffset>-83185</wp:posOffset>
                </wp:positionV>
                <wp:extent cx="564515" cy="152400"/>
                <wp:effectExtent l="0" t="0" r="6985" b="0"/>
                <wp:wrapNone/>
                <wp:docPr id="27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15240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1#</w:t>
                            </w:r>
                            <w:r>
                              <w:rPr>
                                <w:rFonts w:ascii="宋体" w:hAnsi="宋体" w:hint="eastAsia"/>
                              </w:rPr>
                              <w:t>排气筒</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05" o:spid="_x0000_s1026" o:spt="202" type="#_x0000_t202" style="position:absolute;left:0pt;margin-left:368.05pt;margin-top:-6.55pt;height:12pt;width:44.45pt;z-index:251972608;mso-width-relative:page;mso-height-relative:page;" fillcolor="#FFFFFF" filled="t" stroked="f" coordsize="21600,21600" o:gfxdata="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mgr3PZAAAACgEAAA8AAAAAAAAAAQAgAAAAIgAAAGRycy9kb3ducmV2Lnht&#10;bFBLAQIUABQAAAAIAIdO4kDTbSch+AEAAOIDAAAOAAAAAAAAAAEAIAAAACgBAABkcnMvZTJvRG9j&#10;LnhtbFBLBQYAAAAABgAGAFkBAACSBQAAAAA=&#10;">
                <v:fill on="t" focussize="0,0"/>
                <v:stroke on="f"/>
                <v:imagedata o:title=""/>
                <o:lock v:ext="edit" aspectratio="f"/>
                <v:textbox inset="0mm,0mm,0mm,0mm">
                  <w:txbxContent>
                    <w:p>
                      <w:pPr>
                        <w:rPr>
                          <w:rFonts w:ascii="宋体" w:hAnsi="宋体"/>
                        </w:rPr>
                      </w:pPr>
                      <w:r>
                        <w:rPr>
                          <w:rFonts w:hint="eastAsia" w:ascii="宋体" w:hAnsi="宋体"/>
                        </w:rPr>
                        <w:t>1#排气筒</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71584" behindDoc="0" locked="0" layoutInCell="1" allowOverlap="1">
                <wp:simplePos x="0" y="0"/>
                <wp:positionH relativeFrom="column">
                  <wp:posOffset>4890135</wp:posOffset>
                </wp:positionH>
                <wp:positionV relativeFrom="paragraph">
                  <wp:posOffset>102870</wp:posOffset>
                </wp:positionV>
                <wp:extent cx="133350" cy="372110"/>
                <wp:effectExtent l="19050" t="0" r="38100" b="27940"/>
                <wp:wrapNone/>
                <wp:docPr id="269"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350" cy="372110"/>
                        </a:xfrm>
                        <a:prstGeom prst="flowChartManualOperation">
                          <a:avLst/>
                        </a:prstGeom>
                        <a:noFill/>
                        <a:ln w="9525">
                          <a:solidFill>
                            <a:srgbClr val="000000"/>
                          </a:solidFill>
                          <a:miter lim="800000"/>
                          <a:tailEnd type="triangle" w="med" len="me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AutoShape 210" o:spid="_x0000_s1026" o:spt="119" type="#_x0000_t119" style="position:absolute;left:0pt;flip:y;margin-left:385.05pt;margin-top:8.1pt;height:29.3pt;width:10.5pt;z-index:251971584;mso-width-relative:page;mso-height-relative:page;" filled="f" stroked="t" coordsize="21600,21600" o:gfxdata="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fzzK3XAAAACQEAAA8AAAAAAAAAAQAgAAAAIgAAAGRycy9kb3ducmV2&#10;LnhtbFBLAQIUABQAAAAIAIdO4kBpZ0lzNgIAAEoEAAAOAAAAAAAAAAEAIAAAACYBAABkcnMvZTJv&#10;RG9jLnhtbFBLBQYAAAAABgAGAFkBAADOBQAAAAA=&#10;">
                <v:fill on="f" focussize="0,0"/>
                <v:stroke color="#000000" miterlimit="8" joinstyle="miter"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88288" behindDoc="0" locked="0" layoutInCell="1" allowOverlap="1">
                <wp:simplePos x="0" y="0"/>
                <wp:positionH relativeFrom="column">
                  <wp:posOffset>1866900</wp:posOffset>
                </wp:positionH>
                <wp:positionV relativeFrom="paragraph">
                  <wp:posOffset>164465</wp:posOffset>
                </wp:positionV>
                <wp:extent cx="685800" cy="171450"/>
                <wp:effectExtent l="0" t="2540" r="0" b="0"/>
                <wp:wrapNone/>
                <wp:docPr id="2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rPr>
                              <w:t>W1/</w:t>
                            </w:r>
                            <w:r>
                              <w:rPr>
                                <w:rFonts w:ascii="Times New Roman" w:hAnsi="Times New Roman" w:cs="Times New Roman" w:hint="eastAsia"/>
                              </w:rPr>
                              <w:t>N1</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S1</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9" o:spid="_x0000_s1026" o:spt="202" type="#_x0000_t202" style="position:absolute;left:0pt;margin-left:147pt;margin-top:12.95pt;height:13.5pt;width:54pt;z-index:251788288;mso-width-relative:page;mso-height-relative:page;" fillcolor="#FFFFFF" filled="t" stroked="f" coordsize="21600,21600" o:gfxdata="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4kl2AAAAAkBAAAPAAAAAAAAAAEAIAAAACIAAABkcnMvZG93bnJldi54bWxQ&#10;SwECFAAUAAAACACHTuJAsaKRMPcBAADhAwAADgAAAAAAAAABACAAAAAnAQAAZHJzL2Uyb0RvYy54&#10;bWxQSwUGAAAAAAYABgBZAQAAkAUAAAAA&#10;">
                <v:fill on="t" focussize="0,0"/>
                <v:stroke on="f"/>
                <v:imagedata o:title=""/>
                <o:lock v:ext="edit" aspectratio="f"/>
                <v:textbox inset="0mm,0mm,0mm,0mm">
                  <w:txbxContent>
                    <w:p>
                      <w:pPr>
                        <w:rPr>
                          <w:rFonts w:ascii="Times New Roman" w:hAnsi="Times New Roman" w:cs="Times New Roman"/>
                        </w:rPr>
                      </w:pPr>
                      <w:r>
                        <w:rPr>
                          <w:rFonts w:ascii="Times New Roman" w:hAnsi="Times New Roman" w:cs="Times New Roman"/>
                        </w:rPr>
                        <w:t>W1/</w:t>
                      </w:r>
                      <w:r>
                        <w:rPr>
                          <w:rFonts w:hint="eastAsia" w:ascii="Times New Roman" w:hAnsi="Times New Roman" w:cs="Times New Roman"/>
                        </w:rPr>
                        <w:t>N1</w:t>
                      </w:r>
                      <w:r>
                        <w:rPr>
                          <w:rFonts w:ascii="Times New Roman" w:hAnsi="Times New Roman" w:cs="Times New Roman"/>
                        </w:rPr>
                        <w:t xml:space="preserve"> </w:t>
                      </w:r>
                      <w:r>
                        <w:rPr>
                          <w:rFonts w:hint="eastAsia" w:ascii="Times New Roman" w:hAnsi="Times New Roman" w:cs="Times New Roman"/>
                        </w:rPr>
                        <w:t>/</w:t>
                      </w:r>
                      <w:r>
                        <w:rPr>
                          <w:rFonts w:ascii="Times New Roman" w:hAnsi="Times New Roman" w:cs="Times New Roman"/>
                        </w:rPr>
                        <w:t>S1</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00576" behindDoc="0" locked="0" layoutInCell="1" allowOverlap="1">
                <wp:simplePos x="0" y="0"/>
                <wp:positionH relativeFrom="column">
                  <wp:posOffset>4191000</wp:posOffset>
                </wp:positionH>
                <wp:positionV relativeFrom="paragraph">
                  <wp:posOffset>1091565</wp:posOffset>
                </wp:positionV>
                <wp:extent cx="0" cy="343535"/>
                <wp:effectExtent l="57150" t="5715" r="57150" b="22225"/>
                <wp:wrapNone/>
                <wp:docPr id="23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30" o:spid="_x0000_s1026" o:spt="32" type="#_x0000_t32" style="position:absolute;left:0pt;margin-left:330pt;margin-top:85.95pt;height:27.05pt;width:0pt;z-index:251800576;mso-width-relative:page;mso-height-relative:page;" filled="f" stroked="t" coordsize="21600,21600" o:gfxdata="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t9fNrYAAAACwEAAA8AAAAAAAAAAQAg&#10;AAAAIgAAAGRycy9kb3ducmV2LnhtbFBLAQIUABQAAAAIAIdO4kA1wNLz1QEAAJQDAAAOAAAAAAAA&#10;AAEAIAAAACcBAABkcnMvZTJvRG9jLnhtbFBLBQYAAAAABgAGAFkBAABuBQ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93408" behindDoc="0" locked="0" layoutInCell="1" allowOverlap="1">
                <wp:simplePos x="0" y="0"/>
                <wp:positionH relativeFrom="column">
                  <wp:posOffset>3143250</wp:posOffset>
                </wp:positionH>
                <wp:positionV relativeFrom="paragraph">
                  <wp:posOffset>100965</wp:posOffset>
                </wp:positionV>
                <wp:extent cx="825500" cy="317500"/>
                <wp:effectExtent l="9525" t="5715" r="12700" b="10160"/>
                <wp:wrapNone/>
                <wp:docPr id="23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317500"/>
                        </a:xfrm>
                        <a:prstGeom prst="rect">
                          <a:avLst/>
                        </a:prstGeom>
                        <a:solidFill>
                          <a:srgbClr val="FFFFFF"/>
                        </a:solidFill>
                        <a:ln w="9525">
                          <a:solidFill>
                            <a:srgbClr val="000000"/>
                          </a:solidFill>
                          <a:miter lim="800000"/>
                        </a:ln>
                      </wps:spPr>
                      <wps:txbx>
                        <w:txbxContent>
                          <w:p w:rsidR="00C861DA" w:rsidRDefault="0044752E">
                            <w:pPr>
                              <w:rPr>
                                <w:rFonts w:ascii="Times New Roman" w:hAnsi="Times New Roman" w:cs="Times New Roman"/>
                              </w:rPr>
                            </w:pPr>
                            <w:r>
                              <w:rPr>
                                <w:rFonts w:ascii="Times New Roman" w:hAnsi="Times New Roman" w:cs="Times New Roman"/>
                              </w:rPr>
                              <w:t>NO</w:t>
                            </w:r>
                            <w:r>
                              <w:rPr>
                                <w:rFonts w:ascii="Times New Roman" w:hAnsi="Times New Roman" w:cs="Times New Roman" w:hint="eastAsia"/>
                              </w:rPr>
                              <w:t>x</w:t>
                            </w:r>
                            <w:r>
                              <w:rPr>
                                <w:rFonts w:ascii="Times New Roman" w:hAnsi="Times New Roman" w:cs="Times New Roman"/>
                              </w:rPr>
                              <w:t>压缩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31" o:spid="_x0000_s1026" o:spt="1" style="position:absolute;left:0pt;margin-left:247.5pt;margin-top:7.95pt;height:25pt;width:65pt;z-index:251793408;mso-width-relative:page;mso-height-relative:page;" fillcolor="#FFFFFF" filled="t" stroked="t" coordsize="21600,21600" o:gfxdata="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N+qu61QAAAAkBAAAPAAAAAAAAAAEAIAAA&#10;ACIAAABkcnMvZG93bnJldi54bWxQSwECFAAUAAAACACHTuJA4WjvvA8CAAAxBAAADgAAAAAAAAAB&#10;ACAAAAAkAQAAZHJzL2Uyb0RvYy54bWxQSwUGAAAAAAYABgBZAQAApQUAAAAA&#10;">
                <v:fill on="t" focussize="0,0"/>
                <v:stroke color="#000000" miterlimit="8" joinstyle="miter"/>
                <v:imagedata o:title=""/>
                <o:lock v:ext="edit" aspectratio="f"/>
                <v:textbox>
                  <w:txbxContent>
                    <w:p>
                      <w:pPr>
                        <w:rPr>
                          <w:rFonts w:ascii="Times New Roman" w:hAnsi="Times New Roman" w:cs="Times New Roman"/>
                        </w:rPr>
                      </w:pPr>
                      <w:r>
                        <w:rPr>
                          <w:rFonts w:ascii="Times New Roman" w:hAnsi="Times New Roman" w:cs="Times New Roman"/>
                        </w:rPr>
                        <w:t>NO</w:t>
                      </w:r>
                      <w:r>
                        <w:rPr>
                          <w:rFonts w:hint="eastAsia" w:ascii="Times New Roman" w:hAnsi="Times New Roman" w:cs="Times New Roman"/>
                        </w:rPr>
                        <w:t>x</w:t>
                      </w:r>
                      <w:r>
                        <w:rPr>
                          <w:rFonts w:ascii="Times New Roman" w:hAnsi="Times New Roman" w:cs="Times New Roman"/>
                        </w:rPr>
                        <w:t>压缩</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87264" behindDoc="0" locked="0" layoutInCell="1" allowOverlap="1">
                <wp:simplePos x="0" y="0"/>
                <wp:positionH relativeFrom="column">
                  <wp:posOffset>1371600</wp:posOffset>
                </wp:positionH>
                <wp:positionV relativeFrom="paragraph">
                  <wp:posOffset>272415</wp:posOffset>
                </wp:positionV>
                <wp:extent cx="495300" cy="0"/>
                <wp:effectExtent l="9525" t="53340" r="19050" b="60960"/>
                <wp:wrapNone/>
                <wp:docPr id="23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32" o:spid="_x0000_s1026" o:spt="32" type="#_x0000_t32" style="position:absolute;left:0pt;margin-left:108pt;margin-top:21.45pt;height:0pt;width:39pt;z-index:251787264;mso-width-relative:page;mso-height-relative:page;" filled="f" stroked="t" coordsize="21600,21600" o:gfxdata="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IfMKPVAAAACQEAAA8A&#10;AAAAAAAAAQAgAAAAIgAAAGRycy9kb3ducmV2LnhtbFBLAQIUABQAAAAIAIdO4kBvZO934QEAAKwD&#10;AAAOAAAAAAAAAAEAIAAAACQBAABkcnMvZTJvRG9jLnhtbFBLBQYAAAAABgAGAFkBAAB3BQ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80096" behindDoc="0" locked="0" layoutInCell="1" allowOverlap="1">
                <wp:simplePos x="0" y="0"/>
                <wp:positionH relativeFrom="column">
                  <wp:posOffset>1079500</wp:posOffset>
                </wp:positionH>
                <wp:positionV relativeFrom="paragraph">
                  <wp:posOffset>431165</wp:posOffset>
                </wp:positionV>
                <wp:extent cx="0" cy="343535"/>
                <wp:effectExtent l="60325" t="12065" r="53975" b="15875"/>
                <wp:wrapNone/>
                <wp:docPr id="23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33" o:spid="_x0000_s1026" o:spt="32" type="#_x0000_t32" style="position:absolute;left:0pt;margin-left:85pt;margin-top:33.95pt;height:27.05pt;width:0pt;z-index:251780096;mso-width-relative:page;mso-height-relative:page;" filled="f" stroked="t" coordsize="21600,21600" o:gfxdata="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gMxd7YAAAACgEAAA8AAAAAAAAAAQAg&#10;AAAAIgAAAGRycy9kb3ducmV2LnhtbFBLAQIUABQAAAAIAIdO4kA9SnGm1QEAAJQDAAAOAAAAAAAA&#10;AAEAIAAAACcBAABkcnMvZTJvRG9jLnhtbFBLBQYAAAAABgAGAFkBAABuBQ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78048" behindDoc="0" locked="0" layoutInCell="1" allowOverlap="1">
                <wp:simplePos x="0" y="0"/>
                <wp:positionH relativeFrom="column">
                  <wp:posOffset>215900</wp:posOffset>
                </wp:positionH>
                <wp:positionV relativeFrom="paragraph">
                  <wp:posOffset>272415</wp:posOffset>
                </wp:positionV>
                <wp:extent cx="495300" cy="0"/>
                <wp:effectExtent l="6350" t="53340" r="22225" b="60960"/>
                <wp:wrapNone/>
                <wp:docPr id="23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34" o:spid="_x0000_s1026" o:spt="32" type="#_x0000_t32" style="position:absolute;left:0pt;margin-left:17pt;margin-top:21.45pt;height:0pt;width:39pt;z-index:251778048;mso-width-relative:page;mso-height-relative:page;" filled="f" stroked="t" coordsize="21600,21600" o:gfxdata="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VBgjy2AAAAAgBAAAPAAAAAAAAAAEA&#10;IAAAACIAAABkcnMvZG93bnJldi54bWxQSwECFAAUAAAACACHTuJAUSECkNYBAACUAwAADgAAAAAA&#10;AAABACAAAAAnAQAAZHJzL2Uyb0RvYy54bWxQSwUGAAAAAAYABgBZAQAAbw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85216" behindDoc="0" locked="0" layoutInCell="1" allowOverlap="1">
                <wp:simplePos x="0" y="0"/>
                <wp:positionH relativeFrom="column">
                  <wp:posOffset>698500</wp:posOffset>
                </wp:positionH>
                <wp:positionV relativeFrom="paragraph">
                  <wp:posOffset>774700</wp:posOffset>
                </wp:positionV>
                <wp:extent cx="768350" cy="317500"/>
                <wp:effectExtent l="12700" t="12700" r="9525" b="12700"/>
                <wp:wrapNone/>
                <wp:docPr id="23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氨空混合</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35" o:spid="_x0000_s1026" o:spt="1" style="position:absolute;left:0pt;margin-left:55pt;margin-top:61pt;height:25pt;width:60.5pt;z-index:251785216;mso-width-relative:page;mso-height-relative:page;" fillcolor="#FFFFFF" filled="t" stroked="t" coordsize="21600,21600" o:gfxdata="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A+N571QAAAAsBAAAPAAAAAAAA&#10;AAEAIAAAACIAAABkcnMvZG93bnJldi54bWxQSwECFAAUAAAACACHTuJAsFJz2hUCAAAxBAAADgAA&#10;AAAAAAABACAAAAAkAQAAZHJzL2Uyb0RvYy54bWxQSwUGAAAAAAYABgBZAQAAqwUAAAAA&#10;">
                <v:fill on="t" focussize="0,0"/>
                <v:stroke color="#000000" miterlimit="8" joinstyle="miter"/>
                <v:imagedata o:title=""/>
                <o:lock v:ext="edit" aspectratio="f"/>
                <v:textbox>
                  <w:txbxContent>
                    <w:p>
                      <w:pPr>
                        <w:rPr>
                          <w:rFonts w:ascii="宋体" w:hAnsi="宋体"/>
                        </w:rPr>
                      </w:pPr>
                      <w:r>
                        <w:rPr>
                          <w:rFonts w:hint="eastAsia" w:ascii="宋体" w:hAnsi="宋体"/>
                        </w:rPr>
                        <w:t>氨空混合</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82144" behindDoc="0" locked="0" layoutInCell="1" allowOverlap="1">
                <wp:simplePos x="0" y="0"/>
                <wp:positionH relativeFrom="column">
                  <wp:posOffset>69850</wp:posOffset>
                </wp:positionH>
                <wp:positionV relativeFrom="paragraph">
                  <wp:posOffset>1381760</wp:posOffset>
                </wp:positionV>
                <wp:extent cx="374650" cy="177800"/>
                <wp:effectExtent l="3175" t="635" r="3175" b="2540"/>
                <wp:wrapNone/>
                <wp:docPr id="2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7780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空气</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36" o:spid="_x0000_s1026" o:spt="202" type="#_x0000_t202" style="position:absolute;left:0pt;margin-left:5.5pt;margin-top:108.8pt;height:14pt;width:29.5pt;z-index:251782144;mso-width-relative:page;mso-height-relative:page;" fillcolor="#FFFFFF" filled="t" stroked="f" coordsize="21600,21600" o:gfxdata="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vtbe81wAAAAkBAAAPAAAAAAAAAAEAIAAAACIAAABkcnMvZG93bnJldi54bWxQ&#10;SwECFAAUAAAACACHTuJAtgYQ2PgBAADhAwAADgAAAAAAAAABACAAAAAmAQAAZHJzL2Uyb0RvYy54&#10;bWxQSwUGAAAAAAYABgBZAQAAkAUAAAAA&#10;">
                <v:fill on="t" focussize="0,0"/>
                <v:stroke on="f"/>
                <v:imagedata o:title=""/>
                <o:lock v:ext="edit" aspectratio="f"/>
                <v:textbox inset="0mm,0mm,0mm,0mm">
                  <w:txbxContent>
                    <w:p>
                      <w:pPr>
                        <w:rPr>
                          <w:rFonts w:ascii="宋体" w:hAnsi="宋体"/>
                        </w:rPr>
                      </w:pPr>
                      <w:r>
                        <w:rPr>
                          <w:rFonts w:hint="eastAsia" w:ascii="宋体" w:hAnsi="宋体"/>
                        </w:rPr>
                        <w:t>空气</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77024" behindDoc="0" locked="0" layoutInCell="1" allowOverlap="1">
                <wp:simplePos x="0" y="0"/>
                <wp:positionH relativeFrom="column">
                  <wp:posOffset>25400</wp:posOffset>
                </wp:positionH>
                <wp:positionV relativeFrom="paragraph">
                  <wp:posOffset>56515</wp:posOffset>
                </wp:positionV>
                <wp:extent cx="374650" cy="171450"/>
                <wp:effectExtent l="0" t="0" r="0" b="635"/>
                <wp:wrapNone/>
                <wp:docPr id="2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液氨</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37" o:spid="_x0000_s1026" o:spt="202" type="#_x0000_t202" style="position:absolute;left:0pt;margin-left:2pt;margin-top:4.45pt;height:13.5pt;width:29.5pt;z-index:251777024;mso-width-relative:page;mso-height-relative:page;" fillcolor="#FFFFFF" filled="t" stroked="f" coordsize="21600,21600" o:gfxdata="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Bz58XVAAAABQEAAA8AAAAAAAAAAQAgAAAAIgAAAGRycy9kb3ducmV2LnhtbFBLAQIU&#10;ABQAAAAIAIdO4kCfn8Gh9gEAAOEDAAAOAAAAAAAAAAEAIAAAACQBAABkcnMvZTJvRG9jLnhtbFBL&#10;BQYAAAAABgAGAFkBAACMBQAAAAA=&#10;">
                <v:fill on="t" focussize="0,0"/>
                <v:stroke on="f"/>
                <v:imagedata o:title=""/>
                <o:lock v:ext="edit" aspectratio="f"/>
                <v:textbox inset="0mm,0mm,0mm,0mm">
                  <w:txbxContent>
                    <w:p>
                      <w:pPr>
                        <w:rPr>
                          <w:rFonts w:ascii="宋体" w:hAnsi="宋体"/>
                        </w:rPr>
                      </w:pPr>
                      <w:r>
                        <w:rPr>
                          <w:rFonts w:hint="eastAsia" w:ascii="宋体" w:hAnsi="宋体"/>
                        </w:rPr>
                        <w:t>液氨</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79072" behindDoc="0" locked="0" layoutInCell="1" allowOverlap="1">
                <wp:simplePos x="0" y="0"/>
                <wp:positionH relativeFrom="column">
                  <wp:posOffset>730250</wp:posOffset>
                </wp:positionH>
                <wp:positionV relativeFrom="paragraph">
                  <wp:posOffset>113665</wp:posOffset>
                </wp:positionV>
                <wp:extent cx="641350" cy="317500"/>
                <wp:effectExtent l="6350" t="8890" r="9525" b="6985"/>
                <wp:wrapNone/>
                <wp:docPr id="23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氨蒸发</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38" o:spid="_x0000_s1026" o:spt="1" style="position:absolute;left:0pt;margin-left:57.5pt;margin-top:8.95pt;height:25pt;width:50.5pt;z-index:251779072;mso-width-relative:page;mso-height-relative:page;" fillcolor="#FFFFFF" filled="t" stroked="t" coordsize="21600,21600" o:gfxdata="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tOOj1QAAAAkBAAAPAAAAAAAA&#10;AAEAIAAAACIAAABkcnMvZG93bnJldi54bWxQSwECFAAUAAAACACHTuJAmf7EFBUCAAAxBAAADgAA&#10;AAAAAAABACAAAAAkAQAAZHJzL2Uyb0RvYy54bWxQSwUGAAAAAAYABgBZAQAAqwUAAAAA&#10;">
                <v:fill on="t" focussize="0,0"/>
                <v:stroke color="#000000" miterlimit="8" joinstyle="miter"/>
                <v:imagedata o:title=""/>
                <o:lock v:ext="edit" aspectratio="f"/>
                <v:textbox>
                  <w:txbxContent>
                    <w:p>
                      <w:pPr>
                        <w:rPr>
                          <w:rFonts w:ascii="宋体" w:hAnsi="宋体"/>
                        </w:rPr>
                      </w:pPr>
                      <w:r>
                        <w:rPr>
                          <w:rFonts w:hint="eastAsia" w:ascii="宋体" w:hAnsi="宋体"/>
                        </w:rPr>
                        <w:t>氨蒸发</w:t>
                      </w:r>
                    </w:p>
                  </w:txbxContent>
                </v:textbox>
              </v:rect>
            </w:pict>
          </mc:Fallback>
        </mc:AlternateContent>
      </w:r>
    </w:p>
    <w:p w:rsidR="00C861DA" w:rsidRDefault="0044752E">
      <w:pPr>
        <w:widowControl/>
        <w:autoSpaceDE/>
        <w:autoSpaceDN/>
        <w:snapToGrid w:val="0"/>
        <w:spacing w:line="360" w:lineRule="auto"/>
        <w:jc w:val="both"/>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73632" behindDoc="0" locked="0" layoutInCell="1" allowOverlap="1">
                <wp:simplePos x="0" y="0"/>
                <wp:positionH relativeFrom="column">
                  <wp:posOffset>4965700</wp:posOffset>
                </wp:positionH>
                <wp:positionV relativeFrom="paragraph">
                  <wp:posOffset>220345</wp:posOffset>
                </wp:positionV>
                <wp:extent cx="0" cy="328295"/>
                <wp:effectExtent l="60325" t="21590" r="53975" b="12065"/>
                <wp:wrapNone/>
                <wp:docPr id="27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829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59" o:spid="_x0000_s1026" o:spt="32" type="#_x0000_t32" style="position:absolute;left:0pt;flip:y;margin-left:391pt;margin-top:17.35pt;height:25.85pt;width:0pt;z-index:251973632;mso-width-relative:page;mso-height-relative:page;" filled="f" stroked="t" coordsize="21600,21600" o:gfxdata="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sPPLtgAAAAJAQAADwAAAAAA&#10;AAABACAAAAAiAAAAZHJzL2Rvd25yZXYueG1sUEsBAhQAFAAAAAgAh07iQN62sQraAQAAngMAAA4A&#10;AAAAAAAAAQAgAAAAJwEAAGRycy9lMm9Eb2MueG1sUEsFBgAAAAAGAAYAWQEAAHM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12864" behindDoc="0" locked="0" layoutInCell="1" allowOverlap="1">
                <wp:simplePos x="0" y="0"/>
                <wp:positionH relativeFrom="column">
                  <wp:posOffset>3549650</wp:posOffset>
                </wp:positionH>
                <wp:positionV relativeFrom="paragraph">
                  <wp:posOffset>155575</wp:posOffset>
                </wp:positionV>
                <wp:extent cx="0" cy="215900"/>
                <wp:effectExtent l="53975" t="12700" r="60325" b="19050"/>
                <wp:wrapNone/>
                <wp:docPr id="23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39" o:spid="_x0000_s1026" o:spt="32" type="#_x0000_t32" style="position:absolute;left:0pt;margin-left:279.5pt;margin-top:12.25pt;height:17pt;width:0pt;z-index:251812864;mso-width-relative:page;mso-height-relative:page;" filled="f" stroked="t" coordsize="21600,21600" o:gfxdata="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o4mi9UAAAAJAQAADwAA&#10;AAAAAAABACAAAAAiAAAAZHJzL2Rvd25yZXYueG1sUEsBAhQAFAAAAAgAh07iQMeWyrngAQAArAMA&#10;AA4AAAAAAAAAAQAgAAAAJAEAAGRycy9lMm9Eb2MueG1sUEsFBgAAAAAGAAYAWQEAAHYFA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96480" behindDoc="0" locked="0" layoutInCell="1" allowOverlap="1">
                <wp:simplePos x="0" y="0"/>
                <wp:positionH relativeFrom="column">
                  <wp:posOffset>4191000</wp:posOffset>
                </wp:positionH>
                <wp:positionV relativeFrom="paragraph">
                  <wp:posOffset>8890</wp:posOffset>
                </wp:positionV>
                <wp:extent cx="0" cy="502285"/>
                <wp:effectExtent l="9525" t="8890" r="9525" b="12700"/>
                <wp:wrapNone/>
                <wp:docPr id="22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2285"/>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AutoShape 40" o:spid="_x0000_s1026" o:spt="32" type="#_x0000_t32" style="position:absolute;left:0pt;flip:y;margin-left:330pt;margin-top:0.7pt;height:39.55pt;width:0pt;z-index:251796480;mso-width-relative:page;mso-height-relative:page;" filled="f" stroked="t" coordsize="21600,21600" o:gfxdata="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Td/tQAAAAIAQAADwAAAAAAAAABACAAAAAiAAAAZHJzL2Rvd25yZXYueG1sUEsB&#10;AhQAFAAAAAgAh07iQM008wfAAQAAcAMAAA4AAAAAAAAAAQAgAAAAIwEAAGRycy9lMm9Eb2MueG1s&#10;UEsFBgAAAAAGAAYAWQEAAFUFAAAAAA==&#10;">
                <v:fill on="f" focussize="0,0"/>
                <v:stroke color="#000000" joinstyle="round"/>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95456" behindDoc="0" locked="0" layoutInCell="1" allowOverlap="1">
                <wp:simplePos x="0" y="0"/>
                <wp:positionH relativeFrom="column">
                  <wp:posOffset>3968750</wp:posOffset>
                </wp:positionH>
                <wp:positionV relativeFrom="paragraph">
                  <wp:posOffset>9525</wp:posOffset>
                </wp:positionV>
                <wp:extent cx="222250" cy="635"/>
                <wp:effectExtent l="6350" t="57150" r="19050" b="56515"/>
                <wp:wrapNone/>
                <wp:docPr id="22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6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41" o:spid="_x0000_s1026" o:spt="32" type="#_x0000_t32" style="position:absolute;left:0pt;margin-left:312.5pt;margin-top:0.75pt;height:0.05pt;width:17.5pt;z-index:251795456;mso-width-relative:page;mso-height-relative:page;" filled="f" stroked="t" coordsize="21600,21600" o:gfxdata="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8jFRLVAAAABwEAAA8AAAAAAAAAAQAgAAAA&#10;IgAAAGRycy9kb3ducmV2LnhtbFBLAQIUABQAAAAIAIdO4kDHQQg01QEAAJYDAAAOAAAAAAAAAAEA&#10;IAAAACQBAABkcnMvZTJvRG9jLnhtbFBLBQYAAAAABgAGAFkBAABrBQ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94432" behindDoc="0" locked="0" layoutInCell="1" allowOverlap="1">
                <wp:simplePos x="0" y="0"/>
                <wp:positionH relativeFrom="column">
                  <wp:posOffset>2946400</wp:posOffset>
                </wp:positionH>
                <wp:positionV relativeFrom="paragraph">
                  <wp:posOffset>9525</wp:posOffset>
                </wp:positionV>
                <wp:extent cx="196850" cy="635"/>
                <wp:effectExtent l="12700" t="57150" r="19050" b="56515"/>
                <wp:wrapNone/>
                <wp:docPr id="22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6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42" o:spid="_x0000_s1026" o:spt="32" type="#_x0000_t32" style="position:absolute;left:0pt;margin-left:232pt;margin-top:0.75pt;height:0.05pt;width:15.5pt;z-index:251794432;mso-width-relative:page;mso-height-relative:page;" filled="f" stroked="t" coordsize="21600,21600" o:gfxdata="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iu5+h1gAAAAcBAAAPAAAAAAAAAAEA&#10;IAAAACIAAABkcnMvZG93bnJldi54bWxQSwECFAAUAAAACACHTuJA//1X2dgBAACWAwAADgAAAAAA&#10;AAABACAAAAAlAQAAZHJzL2Uyb0RvYy54bWxQSwUGAAAAAAYABgBZAQAAbw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92384" behindDoc="0" locked="0" layoutInCell="1" allowOverlap="1">
                <wp:simplePos x="0" y="0"/>
                <wp:positionH relativeFrom="column">
                  <wp:posOffset>2946400</wp:posOffset>
                </wp:positionH>
                <wp:positionV relativeFrom="paragraph">
                  <wp:posOffset>9525</wp:posOffset>
                </wp:positionV>
                <wp:extent cx="0" cy="502285"/>
                <wp:effectExtent l="12700" t="9525" r="6350" b="12065"/>
                <wp:wrapNone/>
                <wp:docPr id="22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2285"/>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AutoShape 43" o:spid="_x0000_s1026" o:spt="32" type="#_x0000_t32" style="position:absolute;left:0pt;flip:y;margin-left:232pt;margin-top:0.75pt;height:39.55pt;width:0pt;z-index:251792384;mso-width-relative:page;mso-height-relative:page;" filled="f" stroked="t" coordsize="21600,21600" o:gfxdata="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Le4dQAAAAIAQAADwAAAAAAAAABACAAAAAiAAAAZHJzL2Rvd25yZXYueG1sUEsB&#10;AhQAFAAAAAgAh07iQDONq6PAAQAAcAMAAA4AAAAAAAAAAQAgAAAAIwEAAGRycy9lMm9Eb2MueG1s&#10;UEsFBgAAAAAGAAYAWQEAAFUFAAAAAA==&#10;">
                <v:fill on="f" focussize="0,0"/>
                <v:stroke color="#000000" joinstyle="round"/>
                <v:imagedata o:title=""/>
                <o:lock v:ext="edit" aspectratio="f"/>
              </v:shape>
            </w:pict>
          </mc:Fallback>
        </mc:AlternateContent>
      </w:r>
    </w:p>
    <w:p w:rsidR="00C861DA" w:rsidRDefault="0044752E">
      <w:pPr>
        <w:widowControl/>
        <w:autoSpaceDE/>
        <w:autoSpaceDN/>
        <w:snapToGrid w:val="0"/>
        <w:spacing w:line="360" w:lineRule="auto"/>
        <w:jc w:val="both"/>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15936" behindDoc="0" locked="0" layoutInCell="1" allowOverlap="1">
                <wp:simplePos x="0" y="0"/>
                <wp:positionH relativeFrom="column">
                  <wp:posOffset>3644900</wp:posOffset>
                </wp:positionH>
                <wp:positionV relativeFrom="paragraph">
                  <wp:posOffset>26670</wp:posOffset>
                </wp:positionV>
                <wp:extent cx="241300" cy="171450"/>
                <wp:effectExtent l="0" t="0" r="0" b="1905"/>
                <wp:wrapNone/>
                <wp:docPr id="2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hint="eastAsia"/>
                              </w:rPr>
                              <w:t>N5</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44" o:spid="_x0000_s1026" o:spt="202" type="#_x0000_t202" style="position:absolute;left:0pt;margin-left:287pt;margin-top:2.1pt;height:13.5pt;width:19pt;z-index:251815936;mso-width-relative:page;mso-height-relative:page;" fillcolor="#FFFFFF" filled="t" stroked="f" coordsize="21600,21600" o:gfxdata="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o5HELXAAAACAEAAA8AAAAAAAAAAQAgAAAAIgAAAGRycy9kb3ducmV2LnhtbFBL&#10;AQIUABQAAAAIAIdO4kDLMbzi9wEAAOEDAAAOAAAAAAAAAAEAIAAAACYBAABkcnMvZTJvRG9jLnht&#10;bFBLBQYAAAAABgAGAFkBAACPBQAAAAA=&#10;">
                <v:fill on="t" focussize="0,0"/>
                <v:stroke on="f"/>
                <v:imagedata o:title=""/>
                <o:lock v:ext="edit" aspectratio="f"/>
                <v:textbox inset="0mm,0mm,0mm,0mm">
                  <w:txbxContent>
                    <w:p>
                      <w:pPr>
                        <w:rPr>
                          <w:rFonts w:ascii="Times New Roman" w:hAnsi="Times New Roman" w:cs="Times New Roman"/>
                        </w:rPr>
                      </w:pPr>
                      <w:r>
                        <w:rPr>
                          <w:rFonts w:hint="eastAsia" w:ascii="Times New Roman" w:hAnsi="Times New Roman" w:cs="Times New Roman"/>
                        </w:rPr>
                        <w:t>N5</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11840" behindDoc="0" locked="0" layoutInCell="1" allowOverlap="1">
                <wp:simplePos x="0" y="0"/>
                <wp:positionH relativeFrom="column">
                  <wp:posOffset>1644650</wp:posOffset>
                </wp:positionH>
                <wp:positionV relativeFrom="paragraph">
                  <wp:posOffset>641985</wp:posOffset>
                </wp:positionV>
                <wp:extent cx="222250" cy="171450"/>
                <wp:effectExtent l="0" t="3810" r="0" b="0"/>
                <wp:wrapNone/>
                <wp:docPr id="2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hint="eastAsia"/>
                              </w:rPr>
                              <w:t>N2</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45" o:spid="_x0000_s1026" o:spt="202" type="#_x0000_t202" style="position:absolute;left:0pt;margin-left:129.5pt;margin-top:50.55pt;height:13.5pt;width:17.5pt;z-index:251811840;mso-width-relative:page;mso-height-relative:page;" fillcolor="#FFFFFF" filled="t" stroked="f" coordsize="21600,21600" o:gfxdata="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PGTAHYAAAACwEAAA8AAAAAAAAAAQAgAAAAIgAAAGRycy9kb3ducmV2LnhtbFBLAQIU&#10;ABQAAAAIAIdO4kAIz3Xq8wEAAOEDAAAOAAAAAAAAAAEAIAAAACcBAABkcnMvZTJvRG9jLnhtbFBL&#10;BQYAAAAABgAGAFkBAACMBQAAAAA=&#10;">
                <v:fill on="t" focussize="0,0"/>
                <v:stroke on="f"/>
                <v:imagedata o:title=""/>
                <o:lock v:ext="edit" aspectratio="f"/>
                <v:textbox inset="0mm,0mm,0mm,0mm">
                  <w:txbxContent>
                    <w:p>
                      <w:pPr>
                        <w:rPr>
                          <w:rFonts w:ascii="Times New Roman" w:hAnsi="Times New Roman" w:cs="Times New Roman"/>
                        </w:rPr>
                      </w:pPr>
                      <w:r>
                        <w:rPr>
                          <w:rFonts w:hint="eastAsia" w:ascii="Times New Roman" w:hAnsi="Times New Roman" w:cs="Times New Roman"/>
                        </w:rPr>
                        <w:t>N2</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01600" behindDoc="0" locked="0" layoutInCell="1" allowOverlap="1">
                <wp:simplePos x="0" y="0"/>
                <wp:positionH relativeFrom="column">
                  <wp:posOffset>4502150</wp:posOffset>
                </wp:positionH>
                <wp:positionV relativeFrom="paragraph">
                  <wp:posOffset>184785</wp:posOffset>
                </wp:positionV>
                <wp:extent cx="222250" cy="171450"/>
                <wp:effectExtent l="0" t="3810" r="0" b="0"/>
                <wp:wrapNone/>
                <wp:docPr id="2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hint="eastAsia"/>
                              </w:rPr>
                              <w:t>G1</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46" o:spid="_x0000_s1026" o:spt="202" type="#_x0000_t202" style="position:absolute;left:0pt;margin-left:354.5pt;margin-top:14.55pt;height:13.5pt;width:17.5pt;z-index:251801600;mso-width-relative:page;mso-height-relative:page;" fillcolor="#FFFFFF" filled="t" stroked="f" coordsize="21600,21600" o:gfxdata="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qS9PK2QAAAAkBAAAPAAAAAAAAAAEAIAAAACIAAABkcnMvZG93bnJldi54bWxQSwEC&#10;FAAUAAAACACHTuJA3OyoK/MBAADhAwAADgAAAAAAAAABACAAAAAoAQAAZHJzL2Uyb0RvYy54bWxQ&#10;SwUGAAAAAAYABgBZAQAAjQUAAAAA&#10;">
                <v:fill on="t" focussize="0,0"/>
                <v:stroke on="f"/>
                <v:imagedata o:title=""/>
                <o:lock v:ext="edit" aspectratio="f"/>
                <v:textbox inset="0mm,0mm,0mm,0mm">
                  <w:txbxContent>
                    <w:p>
                      <w:pPr>
                        <w:rPr>
                          <w:rFonts w:ascii="Times New Roman" w:hAnsi="Times New Roman" w:cs="Times New Roman"/>
                        </w:rPr>
                      </w:pPr>
                      <w:r>
                        <w:rPr>
                          <w:rFonts w:hint="eastAsia" w:ascii="Times New Roman" w:hAnsi="Times New Roman" w:cs="Times New Roman"/>
                        </w:rPr>
                        <w:t>G1</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97504" behindDoc="0" locked="0" layoutInCell="1" allowOverlap="1">
                <wp:simplePos x="0" y="0"/>
                <wp:positionH relativeFrom="column">
                  <wp:posOffset>3924300</wp:posOffset>
                </wp:positionH>
                <wp:positionV relativeFrom="paragraph">
                  <wp:posOffset>248285</wp:posOffset>
                </wp:positionV>
                <wp:extent cx="533400" cy="317500"/>
                <wp:effectExtent l="9525" t="10160" r="9525" b="5715"/>
                <wp:wrapNone/>
                <wp:docPr id="22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吸收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47" o:spid="_x0000_s1026" o:spt="1" style="position:absolute;left:0pt;margin-left:309pt;margin-top:19.55pt;height:25pt;width:42pt;z-index:251797504;mso-width-relative:page;mso-height-relative:page;" fillcolor="#FFFFFF" filled="t" stroked="t" coordsize="21600,21600" o:gfxdata="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LXR4nXAAAACQEAAA8AAAAAAAAA&#10;AQAgAAAAIgAAAGRycy9kb3ducmV2LnhtbFBLAQIUABQAAAAIAIdO4kA9lmpbEgIAADEEAAAOAAAA&#10;AAAAAAEAIAAAACYBAABkcnMvZTJvRG9jLnhtbFBLBQYAAAAABgAGAFkBAACqBQAAAAA=&#10;">
                <v:fill on="t" focussize="0,0"/>
                <v:stroke color="#000000" miterlimit="8" joinstyle="miter"/>
                <v:imagedata o:title=""/>
                <o:lock v:ext="edit" aspectratio="f"/>
                <v:textbox>
                  <w:txbxContent>
                    <w:p>
                      <w:pPr>
                        <w:rPr>
                          <w:rFonts w:ascii="宋体" w:hAnsi="宋体"/>
                        </w:rPr>
                      </w:pPr>
                      <w:r>
                        <w:rPr>
                          <w:rFonts w:hint="eastAsia" w:ascii="宋体" w:hAnsi="宋体"/>
                        </w:rPr>
                        <w:t>吸收</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91360" behindDoc="0" locked="0" layoutInCell="1" allowOverlap="1">
                <wp:simplePos x="0" y="0"/>
                <wp:positionH relativeFrom="column">
                  <wp:posOffset>2609850</wp:posOffset>
                </wp:positionH>
                <wp:positionV relativeFrom="paragraph">
                  <wp:posOffset>254635</wp:posOffset>
                </wp:positionV>
                <wp:extent cx="654050" cy="317500"/>
                <wp:effectExtent l="9525" t="6985" r="12700" b="8890"/>
                <wp:wrapNone/>
                <wp:docPr id="22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热回收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48" o:spid="_x0000_s1026" o:spt="1" style="position:absolute;left:0pt;margin-left:205.5pt;margin-top:20.05pt;height:25pt;width:51.5pt;z-index:251791360;mso-width-relative:page;mso-height-relative:page;" fillcolor="#FFFFFF" filled="t" stroked="t" coordsize="21600,21600" o:gfxdata="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gNfX1gAAAAkBAAAPAAAAAAAA&#10;AAEAIAAAACIAAABkcnMvZG93bnJldi54bWxQSwECFAAUAAAACACHTuJAcGOHMhQCAAAxBAAADgAA&#10;AAAAAAABACAAAAAlAQAAZHJzL2Uyb0RvYy54bWxQSwUGAAAAAAYABgBZAQAAqwUAAAAA&#10;">
                <v:fill on="t" focussize="0,0"/>
                <v:stroke color="#000000" miterlimit="8" joinstyle="miter"/>
                <v:imagedata o:title=""/>
                <o:lock v:ext="edit" aspectratio="f"/>
                <v:textbox>
                  <w:txbxContent>
                    <w:p>
                      <w:pPr>
                        <w:rPr>
                          <w:rFonts w:ascii="宋体" w:hAnsi="宋体"/>
                        </w:rPr>
                      </w:pPr>
                      <w:r>
                        <w:rPr>
                          <w:rFonts w:hint="eastAsia" w:ascii="宋体" w:hAnsi="宋体"/>
                        </w:rPr>
                        <w:t>热回收</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89312" behindDoc="0" locked="0" layoutInCell="1" allowOverlap="1">
                <wp:simplePos x="0" y="0"/>
                <wp:positionH relativeFrom="column">
                  <wp:posOffset>1733550</wp:posOffset>
                </wp:positionH>
                <wp:positionV relativeFrom="paragraph">
                  <wp:posOffset>255270</wp:posOffset>
                </wp:positionV>
                <wp:extent cx="654050" cy="317500"/>
                <wp:effectExtent l="9525" t="7620" r="12700" b="8255"/>
                <wp:wrapNone/>
                <wp:docPr id="22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氨氧化</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49" o:spid="_x0000_s1026" o:spt="1" style="position:absolute;left:0pt;margin-left:136.5pt;margin-top:20.1pt;height:25pt;width:51.5pt;z-index:251789312;mso-width-relative:page;mso-height-relative:page;" fillcolor="#FFFFFF" filled="t" stroked="t" coordsize="21600,21600" o:gfxdata="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3Kdfg1wAAAAkBAAAPAAAAAAAA&#10;AAEAIAAAACIAAABkcnMvZG93bnJldi54bWxQSwECFAAUAAAACACHTuJA9LvOiBMCAAAxBAAADgAA&#10;AAAAAAABACAAAAAmAQAAZHJzL2Uyb0RvYy54bWxQSwUGAAAAAAYABgBZAQAAqwUAAAAA&#10;">
                <v:fill on="t" focussize="0,0"/>
                <v:stroke color="#000000" miterlimit="8" joinstyle="miter"/>
                <v:imagedata o:title=""/>
                <o:lock v:ext="edit" aspectratio="f"/>
                <v:textbox>
                  <w:txbxContent>
                    <w:p>
                      <w:pPr>
                        <w:rPr>
                          <w:rFonts w:ascii="宋体" w:hAnsi="宋体"/>
                        </w:rPr>
                      </w:pPr>
                      <w:r>
                        <w:rPr>
                          <w:rFonts w:hint="eastAsia" w:ascii="宋体" w:hAnsi="宋体"/>
                        </w:rPr>
                        <w:t>氨氧化</w:t>
                      </w:r>
                    </w:p>
                  </w:txbxContent>
                </v:textbox>
              </v:rect>
            </w:pict>
          </mc:Fallback>
        </mc:AlternateContent>
      </w:r>
    </w:p>
    <w:p w:rsidR="00C861DA" w:rsidRDefault="0044752E">
      <w:pPr>
        <w:widowControl/>
        <w:autoSpaceDE/>
        <w:autoSpaceDN/>
        <w:snapToGrid w:val="0"/>
        <w:spacing w:line="360" w:lineRule="auto"/>
        <w:jc w:val="both"/>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13888" behindDoc="0" locked="0" layoutInCell="1" allowOverlap="1">
                <wp:simplePos x="0" y="0"/>
                <wp:positionH relativeFrom="column">
                  <wp:posOffset>3549650</wp:posOffset>
                </wp:positionH>
                <wp:positionV relativeFrom="paragraph">
                  <wp:posOffset>10795</wp:posOffset>
                </wp:positionV>
                <wp:extent cx="279400" cy="171450"/>
                <wp:effectExtent l="0" t="1270" r="0" b="0"/>
                <wp:wrapNone/>
                <wp:docPr id="2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hint="eastAsia"/>
                              </w:rPr>
                              <w:t>N4</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50" o:spid="_x0000_s1026" o:spt="202" type="#_x0000_t202" style="position:absolute;left:0pt;margin-left:279.5pt;margin-top:0.85pt;height:13.5pt;width:22pt;z-index:251813888;mso-width-relative:page;mso-height-relative:page;" fillcolor="#FFFFFF" filled="t" stroked="f" coordsize="21600,21600" o:gfxdata="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N5JK7XAAAACAEAAA8AAAAAAAAAAQAgAAAAIgAAAGRycy9kb3ducmV2LnhtbFBL&#10;AQIUABQAAAAIAIdO4kDXIalU9wEAAOEDAAAOAAAAAAAAAAEAIAAAACYBAABkcnMvZTJvRG9jLnht&#10;bFBLBQYAAAAABgAGAFkBAACPBQAAAAA=&#10;">
                <v:fill on="t" focussize="0,0"/>
                <v:stroke on="f"/>
                <v:imagedata o:title=""/>
                <o:lock v:ext="edit" aspectratio="f"/>
                <v:textbox inset="0mm,0mm,0mm,0mm">
                  <w:txbxContent>
                    <w:p>
                      <w:pPr>
                        <w:rPr>
                          <w:rFonts w:ascii="Times New Roman" w:hAnsi="Times New Roman" w:cs="Times New Roman"/>
                        </w:rPr>
                      </w:pPr>
                      <w:r>
                        <w:rPr>
                          <w:rFonts w:hint="eastAsia" w:ascii="Times New Roman" w:hAnsi="Times New Roman" w:cs="Times New Roman"/>
                        </w:rPr>
                        <w:t>N4</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14912" behindDoc="0" locked="0" layoutInCell="1" allowOverlap="1">
                <wp:simplePos x="0" y="0"/>
                <wp:positionH relativeFrom="column">
                  <wp:posOffset>3263900</wp:posOffset>
                </wp:positionH>
                <wp:positionV relativeFrom="paragraph">
                  <wp:posOffset>99695</wp:posOffset>
                </wp:positionV>
                <wp:extent cx="285750" cy="0"/>
                <wp:effectExtent l="6350" t="61595" r="22225" b="52705"/>
                <wp:wrapNone/>
                <wp:docPr id="21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51" o:spid="_x0000_s1026" o:spt="32" type="#_x0000_t32" style="position:absolute;left:0pt;margin-left:257pt;margin-top:7.85pt;height:0pt;width:22.5pt;z-index:251814912;mso-width-relative:page;mso-height-relative:page;" filled="f" stroked="t" coordsize="21600,21600" o:gfxdata="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IXh/UAAAACQEAAA8AAAAA&#10;AAAAAQAgAAAAIgAAAGRycy9kb3ducmV2LnhtbFBLAQIUABQAAAAIAIdO4kBDu5Hb3wEAAKwDAAAO&#10;AAAAAAAAAAEAIAAAACMBAABkcnMvZTJvRG9jLnhtbFBLBQYAAAAABgAGAFkBAAB0BQ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02624" behindDoc="0" locked="0" layoutInCell="1" allowOverlap="1">
                <wp:simplePos x="0" y="0"/>
                <wp:positionH relativeFrom="column">
                  <wp:posOffset>4775200</wp:posOffset>
                </wp:positionH>
                <wp:positionV relativeFrom="paragraph">
                  <wp:posOffset>10795</wp:posOffset>
                </wp:positionV>
                <wp:extent cx="800100" cy="273050"/>
                <wp:effectExtent l="12700" t="10795" r="6350" b="11430"/>
                <wp:wrapNone/>
                <wp:docPr id="21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7305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尾气治理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52" o:spid="_x0000_s1026" o:spt="1" style="position:absolute;left:0pt;margin-left:376pt;margin-top:0.85pt;height:21.5pt;width:63pt;z-index:251802624;mso-width-relative:page;mso-height-relative:page;" fillcolor="#FFFFFF" filled="t" stroked="t" coordsize="21600,21600" o:gfxdata="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2TmUI1gAAAAgBAAAPAAAAAAAA&#10;AAEAIAAAACIAAABkcnMvZG93bnJldi54bWxQSwECFAAUAAAACACHTuJA3WssfhQCAAAxBAAADgAA&#10;AAAAAAABACAAAAAlAQAAZHJzL2Uyb0RvYy54bWxQSwUGAAAAAAYABgBZAQAAqwUAAAAA&#10;">
                <v:fill on="t" focussize="0,0"/>
                <v:stroke color="#000000" miterlimit="8" joinstyle="miter"/>
                <v:imagedata o:title=""/>
                <o:lock v:ext="edit" aspectratio="f"/>
                <v:textbox>
                  <w:txbxContent>
                    <w:p>
                      <w:pPr>
                        <w:rPr>
                          <w:rFonts w:ascii="宋体" w:hAnsi="宋体"/>
                        </w:rPr>
                      </w:pPr>
                      <w:r>
                        <w:rPr>
                          <w:rFonts w:hint="eastAsia" w:ascii="宋体" w:hAnsi="宋体"/>
                        </w:rPr>
                        <w:t>尾气治理</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98528" behindDoc="0" locked="0" layoutInCell="1" allowOverlap="1">
                <wp:simplePos x="0" y="0"/>
                <wp:positionH relativeFrom="column">
                  <wp:posOffset>4457700</wp:posOffset>
                </wp:positionH>
                <wp:positionV relativeFrom="paragraph">
                  <wp:posOffset>150495</wp:posOffset>
                </wp:positionV>
                <wp:extent cx="317500" cy="0"/>
                <wp:effectExtent l="9525" t="55245" r="15875" b="59055"/>
                <wp:wrapNone/>
                <wp:docPr id="21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53" o:spid="_x0000_s1026" o:spt="32" type="#_x0000_t32" style="position:absolute;left:0pt;margin-left:351pt;margin-top:11.85pt;height:0pt;width:25pt;z-index:251798528;mso-width-relative:page;mso-height-relative:page;" filled="f" stroked="t" coordsize="21600,21600" o:gfxdata="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rBUvNQAAAAJAQAADwAA&#10;AAAAAAABACAAAAAiAAAAZHJzL2Rvd25yZXYueG1sUEsBAhQAFAAAAAgAh07iQOSNgGThAQAArAMA&#10;AA4AAAAAAAAAAQAgAAAAIwEAAGRycy9lMm9Eb2MueG1sUEsFBgAAAAAGAAYAWQEAAHYFA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90336" behindDoc="0" locked="0" layoutInCell="1" allowOverlap="1">
                <wp:simplePos x="0" y="0"/>
                <wp:positionH relativeFrom="column">
                  <wp:posOffset>2387600</wp:posOffset>
                </wp:positionH>
                <wp:positionV relativeFrom="paragraph">
                  <wp:posOffset>156845</wp:posOffset>
                </wp:positionV>
                <wp:extent cx="215900" cy="0"/>
                <wp:effectExtent l="6350" t="61595" r="15875" b="52705"/>
                <wp:wrapNone/>
                <wp:docPr id="21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54" o:spid="_x0000_s1026" o:spt="32" type="#_x0000_t32" style="position:absolute;left:0pt;margin-left:188pt;margin-top:12.35pt;height:0pt;width:17pt;z-index:251790336;mso-width-relative:page;mso-height-relative:page;" filled="f" stroked="t" coordsize="21600,21600" o:gfxdata="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7axx7YAAAACQEAAA8AAAAAAAAAAQAg&#10;AAAAIgAAAGRycy9kb3ducmV2LnhtbFBLAQIUABQAAAAIAIdO4kC/2KVw1QEAAJQDAAAOAAAAAAAA&#10;AAEAIAAAACcBAABkcnMvZTJvRG9jLnhtbFBLBQYAAAAABgAGAFkBAABuBQ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86240" behindDoc="0" locked="0" layoutInCell="1" allowOverlap="1">
                <wp:simplePos x="0" y="0"/>
                <wp:positionH relativeFrom="column">
                  <wp:posOffset>1466850</wp:posOffset>
                </wp:positionH>
                <wp:positionV relativeFrom="paragraph">
                  <wp:posOffset>150495</wp:posOffset>
                </wp:positionV>
                <wp:extent cx="266700" cy="0"/>
                <wp:effectExtent l="9525" t="55245" r="19050" b="59055"/>
                <wp:wrapNone/>
                <wp:docPr id="21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55" o:spid="_x0000_s1026" o:spt="32" type="#_x0000_t32" style="position:absolute;left:0pt;margin-left:115.5pt;margin-top:11.85pt;height:0pt;width:21pt;z-index:251786240;mso-width-relative:page;mso-height-relative:page;" filled="f" stroked="t" coordsize="21600,21600" o:gfxdata="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SPmJA2AAAAAkBAAAPAAAAAAAAAAEA&#10;IAAAACIAAABkcnMvZG93bnJldi54bWxQSwECFAAUAAAACACHTuJAT/zq8dYBAACUAwAADgAAAAAA&#10;AAABACAAAAAnAQAAZHJzL2Uyb0RvYy54bWxQSwUGAAAAAAYABgBZAQAAbwU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jc w:val="both"/>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97184" behindDoc="0" locked="0" layoutInCell="1" allowOverlap="1">
                <wp:simplePos x="0" y="0"/>
                <wp:positionH relativeFrom="column">
                  <wp:posOffset>5114925</wp:posOffset>
                </wp:positionH>
                <wp:positionV relativeFrom="paragraph">
                  <wp:posOffset>34290</wp:posOffset>
                </wp:positionV>
                <wp:extent cx="0" cy="295275"/>
                <wp:effectExtent l="76200" t="0" r="76200" b="47625"/>
                <wp:wrapNone/>
                <wp:docPr id="30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59" o:spid="_x0000_s1026" o:spt="32" type="#_x0000_t32" style="position:absolute;left:0pt;margin-left:402.75pt;margin-top:2.7pt;height:23.25pt;width:0pt;z-index:251997184;mso-width-relative:page;mso-height-relative:page;" filled="f" stroked="t" coordsize="21600,21600" o:gfxdata="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BpvZdMAAAAIAQAADwAAAAAA&#10;AAABACAAAAAiAAAAZHJzL2Rvd25yZXYueG1sUEsBAhQAFAAAAAgAh07iQH3JfIvfAQAArAMAAA4A&#10;AAAAAAAAAQAgAAAAIgEAAGRycy9lMm9Eb2MueG1sUEsFBgAAAAAGAAYAWQEAAHMFA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09792" behindDoc="0" locked="0" layoutInCell="1" allowOverlap="1">
                <wp:simplePos x="0" y="0"/>
                <wp:positionH relativeFrom="column">
                  <wp:posOffset>3314700</wp:posOffset>
                </wp:positionH>
                <wp:positionV relativeFrom="paragraph">
                  <wp:posOffset>34925</wp:posOffset>
                </wp:positionV>
                <wp:extent cx="368300" cy="171450"/>
                <wp:effectExtent l="0" t="0" r="3175" b="3175"/>
                <wp:wrapNone/>
                <wp:docPr id="2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hint="eastAsia"/>
                              </w:rPr>
                              <w:t>N6</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56" o:spid="_x0000_s1026" o:spt="202" type="#_x0000_t202" style="position:absolute;left:0pt;margin-left:261pt;margin-top:2.75pt;height:13.5pt;width:29pt;z-index:251809792;mso-width-relative:page;mso-height-relative:page;" fillcolor="#FFFFFF" filled="t" stroked="f" coordsize="21600,21600" o:gfxdata="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GndN1wAAAAgBAAAPAAAAAAAAAAEAIAAAACIAAABkcnMvZG93bnJldi54bWxQ&#10;SwECFAAUAAAACACHTuJA445XxfgBAADhAwAADgAAAAAAAAABACAAAAAmAQAAZHJzL2Uyb0RvYy54&#10;bWxQSwUGAAAAAAYABgBZAQAAkAUAAAAA&#10;">
                <v:fill on="t" focussize="0,0"/>
                <v:stroke on="f"/>
                <v:imagedata o:title=""/>
                <o:lock v:ext="edit" aspectratio="f"/>
                <v:textbox inset="0mm,0mm,0mm,0mm">
                  <w:txbxContent>
                    <w:p>
                      <w:pPr>
                        <w:rPr>
                          <w:rFonts w:ascii="Times New Roman" w:hAnsi="Times New Roman" w:cs="Times New Roman"/>
                        </w:rPr>
                      </w:pPr>
                      <w:r>
                        <w:rPr>
                          <w:rFonts w:hint="eastAsia" w:ascii="Times New Roman" w:hAnsi="Times New Roman" w:cs="Times New Roman"/>
                        </w:rPr>
                        <w:t>N6</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08768" behindDoc="0" locked="0" layoutInCell="1" allowOverlap="1">
                <wp:simplePos x="0" y="0"/>
                <wp:positionH relativeFrom="column">
                  <wp:posOffset>3263900</wp:posOffset>
                </wp:positionH>
                <wp:positionV relativeFrom="paragraph">
                  <wp:posOffset>156210</wp:posOffset>
                </wp:positionV>
                <wp:extent cx="0" cy="227965"/>
                <wp:effectExtent l="53975" t="22860" r="60325" b="6350"/>
                <wp:wrapNone/>
                <wp:docPr id="21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965"/>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57" o:spid="_x0000_s1026" o:spt="32" type="#_x0000_t32" style="position:absolute;left:0pt;flip:y;margin-left:257pt;margin-top:12.3pt;height:17.95pt;width:0pt;z-index:251808768;mso-width-relative:page;mso-height-relative:page;" filled="f" stroked="t" coordsize="21600,21600" o:gfxdata="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tbUAAAACQEA&#10;AA8AAAAAAAAAAQAgAAAAIgAAAGRycy9kb3ducmV2LnhtbFBLAQIUABQAAAAIAIdO4kAEM6985QEA&#10;ALYDAAAOAAAAAAAAAAEAIAAAACMBAABkcnMvZTJvRG9jLnhtbFBLBQYAAAAABgAGAFkBAAB6BQAA&#10;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10816" behindDoc="0" locked="0" layoutInCell="1" allowOverlap="1">
                <wp:simplePos x="0" y="0"/>
                <wp:positionH relativeFrom="column">
                  <wp:posOffset>1403350</wp:posOffset>
                </wp:positionH>
                <wp:positionV relativeFrom="paragraph">
                  <wp:posOffset>219075</wp:posOffset>
                </wp:positionV>
                <wp:extent cx="228600" cy="149860"/>
                <wp:effectExtent l="12700" t="57150" r="44450" b="12065"/>
                <wp:wrapNone/>
                <wp:docPr id="21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4986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58" o:spid="_x0000_s1026" o:spt="32" type="#_x0000_t32" style="position:absolute;left:0pt;flip:y;margin-left:110.5pt;margin-top:17.25pt;height:11.8pt;width:18pt;z-index:251810816;mso-width-relative:page;mso-height-relative:page;" filled="f" stroked="t" coordsize="21600,21600" o:gfxdata="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w41TV&#10;1gAAAAkBAAAPAAAAAAAAAAEAIAAAACIAAABkcnMvZG93bnJldi54bWxQSwECFAAUAAAACACHTuJA&#10;EpnlhOoBAAC7AwAADgAAAAAAAAABACAAAAAlAQAAZHJzL2Uyb0RvYy54bWxQSwUGAAAAAAYABgBZ&#10;AQAAgQU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84192" behindDoc="0" locked="0" layoutInCell="1" allowOverlap="1">
                <wp:simplePos x="0" y="0"/>
                <wp:positionH relativeFrom="column">
                  <wp:posOffset>1079500</wp:posOffset>
                </wp:positionH>
                <wp:positionV relativeFrom="paragraph">
                  <wp:posOffset>40640</wp:posOffset>
                </wp:positionV>
                <wp:extent cx="0" cy="328295"/>
                <wp:effectExtent l="60325" t="21590" r="53975" b="12065"/>
                <wp:wrapNone/>
                <wp:docPr id="21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829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59" o:spid="_x0000_s1026" o:spt="32" type="#_x0000_t32" style="position:absolute;left:0pt;flip:y;margin-left:85pt;margin-top:3.2pt;height:25.85pt;width:0pt;z-index:251784192;mso-width-relative:page;mso-height-relative:page;" filled="f" stroked="t" coordsize="21600,21600" o:gfxdata="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Z+B2dYAAAAIAQAADwAAAAAAAAAB&#10;ACAAAAAiAAAAZHJzL2Rvd25yZXYueG1sUEsBAhQAFAAAAAgAh07iQAYguO/ZAQAAngMAAA4AAAAA&#10;AAAAAQAgAAAAJQEAAGRycy9lMm9Eb2MueG1sUEsFBgAAAAAGAAYAWQEAAHAFA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jc w:val="both"/>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98208" behindDoc="0" locked="0" layoutInCell="1" allowOverlap="1">
                <wp:simplePos x="0" y="0"/>
                <wp:positionH relativeFrom="column">
                  <wp:posOffset>4996815</wp:posOffset>
                </wp:positionH>
                <wp:positionV relativeFrom="paragraph">
                  <wp:posOffset>63500</wp:posOffset>
                </wp:positionV>
                <wp:extent cx="241300" cy="171450"/>
                <wp:effectExtent l="0" t="0" r="6350" b="0"/>
                <wp:wrapNone/>
                <wp:docPr id="30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hint="eastAsia"/>
                              </w:rPr>
                              <w:t>W2</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44" o:spid="_x0000_s1026" o:spt="202" type="#_x0000_t202" style="position:absolute;left:0pt;margin-left:393.45pt;margin-top:5pt;height:13.5pt;width:19pt;z-index:251998208;mso-width-relative:page;mso-height-relative:page;" fillcolor="#FFFFFF" filled="t" stroked="f" coordsize="21600,21600" o:gfxdata="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pjOktgAAAAJAQAADwAAAAAAAAABACAAAAAiAAAAZHJzL2Rvd25yZXYueG1s&#10;UEsBAhQAFAAAAAgAh07iQAaZ+7H4AQAA4QMAAA4AAAAAAAAAAQAgAAAAJwEAAGRycy9lMm9Eb2Mu&#10;eG1sUEsFBgAAAAAGAAYAWQEAAJEFAAAAAA==&#10;">
                <v:fill on="t" focussize="0,0"/>
                <v:stroke on="f"/>
                <v:imagedata o:title=""/>
                <o:lock v:ext="edit" aspectratio="f"/>
                <v:textbox inset="0mm,0mm,0mm,0mm">
                  <w:txbxContent>
                    <w:p>
                      <w:pPr>
                        <w:rPr>
                          <w:rFonts w:ascii="Times New Roman" w:hAnsi="Times New Roman" w:cs="Times New Roman"/>
                        </w:rPr>
                      </w:pPr>
                      <w:r>
                        <w:rPr>
                          <w:rFonts w:hint="eastAsia" w:ascii="Times New Roman" w:hAnsi="Times New Roman" w:cs="Times New Roman"/>
                        </w:rPr>
                        <w:t>W2</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06720" behindDoc="0" locked="0" layoutInCell="1" allowOverlap="1">
                <wp:simplePos x="0" y="0"/>
                <wp:positionH relativeFrom="column">
                  <wp:posOffset>1822450</wp:posOffset>
                </wp:positionH>
                <wp:positionV relativeFrom="paragraph">
                  <wp:posOffset>177800</wp:posOffset>
                </wp:positionV>
                <wp:extent cx="838200" cy="171450"/>
                <wp:effectExtent l="3175" t="0" r="0" b="3175"/>
                <wp:wrapNone/>
                <wp:docPr id="20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送硝酸铵工段</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60" o:spid="_x0000_s1026" o:spt="202" type="#_x0000_t202" style="position:absolute;left:0pt;margin-left:143.5pt;margin-top:14pt;height:13.5pt;width:66pt;z-index:251806720;mso-width-relative:page;mso-height-relative:page;" fillcolor="#FFFFFF" filled="t" stroked="f" coordsize="21600,21600" o:gfxdata="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WYv4dgAAAAJAQAADwAAAAAAAAABACAAAAAiAAAAZHJzL2Rvd25yZXYueG1s&#10;UEsBAhQAFAAAAAgAh07iQH4SH/L4AQAA4QMAAA4AAAAAAAAAAQAgAAAAJwEAAGRycy9lMm9Eb2Mu&#10;eG1sUEsFBgAAAAAGAAYAWQEAAJEFAAAAAA==&#10;">
                <v:fill on="t" focussize="0,0"/>
                <v:stroke on="f"/>
                <v:imagedata o:title=""/>
                <o:lock v:ext="edit" aspectratio="f"/>
                <v:textbox inset="0mm,0mm,0mm,0mm">
                  <w:txbxContent>
                    <w:p>
                      <w:pPr>
                        <w:rPr>
                          <w:rFonts w:ascii="宋体" w:hAnsi="宋体"/>
                        </w:rPr>
                      </w:pPr>
                      <w:r>
                        <w:rPr>
                          <w:rFonts w:hint="eastAsia" w:ascii="宋体" w:hAnsi="宋体"/>
                        </w:rPr>
                        <w:t>送硝酸铵工段</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04672" behindDoc="0" locked="0" layoutInCell="1" allowOverlap="1">
                <wp:simplePos x="0" y="0"/>
                <wp:positionH relativeFrom="column">
                  <wp:posOffset>2971800</wp:posOffset>
                </wp:positionH>
                <wp:positionV relativeFrom="paragraph">
                  <wp:posOffset>108585</wp:posOffset>
                </wp:positionV>
                <wp:extent cx="654050" cy="317500"/>
                <wp:effectExtent l="9525" t="13335" r="12700" b="12065"/>
                <wp:wrapNone/>
                <wp:docPr id="20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酸贮槽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61" o:spid="_x0000_s1026" o:spt="1" style="position:absolute;left:0pt;margin-left:234pt;margin-top:8.55pt;height:25pt;width:51.5pt;z-index:251804672;mso-width-relative:page;mso-height-relative:page;" fillcolor="#FFFFFF" filled="t" stroked="t" coordsize="21600,21600" o:gfxdata="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2pPIV1wAAAAkBAAAPAAAAAAAA&#10;AAEAIAAAACIAAABkcnMvZG93bnJldi54bWxQSwECFAAUAAAACACHTuJAkHd4VRMCAAAxBAAADgAA&#10;AAAAAAABACAAAAAmAQAAZHJzL2Uyb0RvYy54bWxQSwUGAAAAAAYABgBZAQAAqwUAAAAA&#10;">
                <v:fill on="t" focussize="0,0"/>
                <v:stroke color="#000000" miterlimit="8" joinstyle="miter"/>
                <v:imagedata o:title=""/>
                <o:lock v:ext="edit" aspectratio="f"/>
                <v:textbox>
                  <w:txbxContent>
                    <w:p>
                      <w:pPr>
                        <w:rPr>
                          <w:rFonts w:ascii="宋体" w:hAnsi="宋体"/>
                        </w:rPr>
                      </w:pPr>
                      <w:r>
                        <w:rPr>
                          <w:rFonts w:hint="eastAsia" w:ascii="宋体" w:hAnsi="宋体"/>
                        </w:rPr>
                        <w:t>酸贮槽</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99552" behindDoc="0" locked="0" layoutInCell="1" allowOverlap="1">
                <wp:simplePos x="0" y="0"/>
                <wp:positionH relativeFrom="column">
                  <wp:posOffset>3937000</wp:posOffset>
                </wp:positionH>
                <wp:positionV relativeFrom="paragraph">
                  <wp:posOffset>106045</wp:posOffset>
                </wp:positionV>
                <wp:extent cx="533400" cy="317500"/>
                <wp:effectExtent l="12700" t="10795" r="6350" b="5080"/>
                <wp:wrapNone/>
                <wp:docPr id="20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漂白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62" o:spid="_x0000_s1026" o:spt="1" style="position:absolute;left:0pt;margin-left:310pt;margin-top:8.35pt;height:25pt;width:42pt;z-index:251799552;mso-width-relative:page;mso-height-relative:page;" fillcolor="#FFFFFF" filled="t" stroked="t" coordsize="21600,21600" o:gfxdata="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J3/w9UAAAAJAQAADwAAAAAAAAAB&#10;ACAAAAAiAAAAZHJzL2Rvd25yZXYueG1sUEsBAhQAFAAAAAgAh07iQOk9OGoTAgAAMQQAAA4AAAAA&#10;AAAAAQAgAAAAJAEAAGRycy9lMm9Eb2MueG1sUEsFBgAAAAAGAAYAWQEAAKkFAAAAAA==&#10;">
                <v:fill on="t" focussize="0,0"/>
                <v:stroke color="#000000" miterlimit="8" joinstyle="miter"/>
                <v:imagedata o:title=""/>
                <o:lock v:ext="edit" aspectratio="f"/>
                <v:textbox>
                  <w:txbxContent>
                    <w:p>
                      <w:pPr>
                        <w:rPr>
                          <w:rFonts w:ascii="宋体" w:hAnsi="宋体"/>
                        </w:rPr>
                      </w:pPr>
                      <w:r>
                        <w:rPr>
                          <w:rFonts w:hint="eastAsia" w:ascii="宋体" w:hAnsi="宋体"/>
                        </w:rPr>
                        <w:t>漂白</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83168" behindDoc="0" locked="0" layoutInCell="1" allowOverlap="1">
                <wp:simplePos x="0" y="0"/>
                <wp:positionH relativeFrom="column">
                  <wp:posOffset>679450</wp:posOffset>
                </wp:positionH>
                <wp:positionV relativeFrom="paragraph">
                  <wp:posOffset>106045</wp:posOffset>
                </wp:positionV>
                <wp:extent cx="787400" cy="317500"/>
                <wp:effectExtent l="12700" t="10795" r="9525" b="5080"/>
                <wp:wrapNone/>
                <wp:docPr id="20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空气压缩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63" o:spid="_x0000_s1026" o:spt="1" style="position:absolute;left:0pt;margin-left:53.5pt;margin-top:8.35pt;height:25pt;width:62pt;z-index:251783168;mso-width-relative:page;mso-height-relative:page;" fillcolor="#FFFFFF" filled="t" stroked="t" coordsize="21600,21600" o:gfxdata="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NE+0rUAAAACQEAAA8AAAAAAAAAAQAg&#10;AAAAIgAAAGRycy9kb3ducmV2LnhtbFBLAQIUABQAAAAIAIdO4kBY6/h9EgIAADEEAAAOAAAAAAAA&#10;AAEAIAAAACMBAABkcnMvZTJvRG9jLnhtbFBLBQYAAAAABgAGAFkBAACnBQAAAAA=&#10;">
                <v:fill on="t" focussize="0,0"/>
                <v:stroke color="#000000" miterlimit="8" joinstyle="miter"/>
                <v:imagedata o:title=""/>
                <o:lock v:ext="edit" aspectratio="f"/>
                <v:textbox>
                  <w:txbxContent>
                    <w:p>
                      <w:pPr>
                        <w:rPr>
                          <w:rFonts w:ascii="宋体" w:hAnsi="宋体"/>
                        </w:rPr>
                      </w:pPr>
                      <w:r>
                        <w:rPr>
                          <w:rFonts w:hint="eastAsia" w:ascii="宋体" w:hAnsi="宋体"/>
                        </w:rPr>
                        <w:t>空气压缩</w:t>
                      </w:r>
                    </w:p>
                  </w:txbxContent>
                </v:textbox>
              </v:rect>
            </w:pict>
          </mc:Fallback>
        </mc:AlternateContent>
      </w:r>
    </w:p>
    <w:p w:rsidR="00C861DA" w:rsidRDefault="0044752E">
      <w:pPr>
        <w:widowControl/>
        <w:autoSpaceDE/>
        <w:autoSpaceDN/>
        <w:snapToGrid w:val="0"/>
        <w:spacing w:line="360" w:lineRule="auto"/>
        <w:jc w:val="both"/>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05696" behindDoc="0" locked="0" layoutInCell="1" allowOverlap="1">
                <wp:simplePos x="0" y="0"/>
                <wp:positionH relativeFrom="column">
                  <wp:posOffset>2673350</wp:posOffset>
                </wp:positionH>
                <wp:positionV relativeFrom="paragraph">
                  <wp:posOffset>-3810</wp:posOffset>
                </wp:positionV>
                <wp:extent cx="298450" cy="635"/>
                <wp:effectExtent l="15875" t="53340" r="9525" b="60325"/>
                <wp:wrapNone/>
                <wp:docPr id="20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0" cy="6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64" o:spid="_x0000_s1026" o:spt="32" type="#_x0000_t32" style="position:absolute;left:0pt;flip:x;margin-left:210.5pt;margin-top:-0.3pt;height:0.05pt;width:23.5pt;z-index:251805696;mso-width-relative:page;mso-height-relative:page;" filled="f" stroked="t" coordsize="21600,21600" o:gfxdata="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m/sDZ1gAAAAcBAAAPAAAA&#10;AAAAAAEAIAAAACIAAABkcnMvZG93bnJldi54bWxQSwECFAAUAAAACACHTuJARralkd4BAACgAwAA&#10;DgAAAAAAAAABACAAAAAlAQAAZHJzL2Uyb0RvYy54bWxQSwUGAAAAAAYABgBZAQAAdQ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03648" behindDoc="0" locked="0" layoutInCell="1" allowOverlap="1">
                <wp:simplePos x="0" y="0"/>
                <wp:positionH relativeFrom="column">
                  <wp:posOffset>3638550</wp:posOffset>
                </wp:positionH>
                <wp:positionV relativeFrom="paragraph">
                  <wp:posOffset>-4445</wp:posOffset>
                </wp:positionV>
                <wp:extent cx="298450" cy="635"/>
                <wp:effectExtent l="19050" t="52705" r="6350" b="60960"/>
                <wp:wrapNone/>
                <wp:docPr id="20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0" cy="6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65" o:spid="_x0000_s1026" o:spt="32" type="#_x0000_t32" style="position:absolute;left:0pt;flip:x;margin-left:286.5pt;margin-top:-0.35pt;height:0.05pt;width:23.5pt;z-index:251803648;mso-width-relative:page;mso-height-relative:page;" filled="f" stroked="t" coordsize="21600,21600" o:gfxdata="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YeNrGNYAAAAHAQAADwAA&#10;AAAAAAABACAAAAAiAAAAZHJzL2Rvd25yZXYueG1sUEsBAhQAFAAAAAgAh07iQA9twtDfAQAAoAMA&#10;AA4AAAAAAAAAAQAgAAAAJQEAAGRycy9lMm9Eb2MueG1sUEsFBgAAAAAGAAYAWQEAAHY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81120" behindDoc="0" locked="0" layoutInCell="1" allowOverlap="1">
                <wp:simplePos x="0" y="0"/>
                <wp:positionH relativeFrom="column">
                  <wp:posOffset>184150</wp:posOffset>
                </wp:positionH>
                <wp:positionV relativeFrom="paragraph">
                  <wp:posOffset>-4445</wp:posOffset>
                </wp:positionV>
                <wp:extent cx="495300" cy="0"/>
                <wp:effectExtent l="12700" t="52705" r="15875" b="61595"/>
                <wp:wrapNone/>
                <wp:docPr id="20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66" o:spid="_x0000_s1026" o:spt="32" type="#_x0000_t32" style="position:absolute;left:0pt;margin-left:14.5pt;margin-top:-0.35pt;height:0pt;width:39pt;z-index:251781120;mso-width-relative:page;mso-height-relative:page;" filled="f" stroked="t" coordsize="21600,21600" o:gfxdata="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4UR251QAAAAYBAAAPAAAAAAAAAAEAIAAA&#10;ACIAAABkcnMvZG93bnJldi54bWxQSwECFAAUAAAACACHTuJAT8obd9YBAACUAwAADgAAAAAAAAAB&#10;ACAAAAAkAQAAZHJzL2Uyb0RvYy54bWxQSwUGAAAAAAYABgBZAQAAbAU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jc w:val="both"/>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07744" behindDoc="0" locked="0" layoutInCell="1" allowOverlap="1">
                <wp:simplePos x="0" y="0"/>
                <wp:positionH relativeFrom="column">
                  <wp:posOffset>1371600</wp:posOffset>
                </wp:positionH>
                <wp:positionV relativeFrom="paragraph">
                  <wp:posOffset>19685</wp:posOffset>
                </wp:positionV>
                <wp:extent cx="2971800" cy="387350"/>
                <wp:effectExtent l="0" t="635" r="0" b="2540"/>
                <wp:wrapNone/>
                <wp:docPr id="20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87350"/>
                        </a:xfrm>
                        <a:prstGeom prst="rect">
                          <a:avLst/>
                        </a:prstGeom>
                        <a:solidFill>
                          <a:srgbClr val="FFFFFF"/>
                        </a:solidFill>
                        <a:ln>
                          <a:noFill/>
                        </a:ln>
                      </wps:spPr>
                      <wps:txbx>
                        <w:txbxContent>
                          <w:p w:rsidR="00C861DA" w:rsidRDefault="0044752E">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sz w:val="24"/>
                                <w:szCs w:val="24"/>
                              </w:rPr>
                              <w:t xml:space="preserve">4.1-2    </w:t>
                            </w:r>
                            <w:r>
                              <w:rPr>
                                <w:rFonts w:ascii="Times New Roman" w:hAnsi="Times New Roman" w:cs="Times New Roman"/>
                                <w:sz w:val="24"/>
                                <w:szCs w:val="24"/>
                              </w:rPr>
                              <w:t>稀硝酸生产工艺流程及产污环节</w:t>
                            </w:r>
                          </w:p>
                          <w:p w:rsidR="00C861DA" w:rsidRDefault="0044752E">
                            <w:pPr>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W</w:t>
                            </w:r>
                            <w:r>
                              <w:rPr>
                                <w:rFonts w:ascii="Times New Roman" w:hAnsi="Times New Roman" w:cs="Times New Roman"/>
                              </w:rPr>
                              <w:t>：废水</w:t>
                            </w:r>
                            <w:r>
                              <w:rPr>
                                <w:rFonts w:ascii="Times New Roman" w:hAnsi="Times New Roman" w:cs="Times New Roman"/>
                              </w:rPr>
                              <w:t xml:space="preserve">    G:</w:t>
                            </w:r>
                            <w:r>
                              <w:rPr>
                                <w:rFonts w:ascii="Times New Roman" w:hAnsi="Times New Roman" w:cs="Times New Roman"/>
                              </w:rPr>
                              <w:t>废气</w:t>
                            </w:r>
                            <w:r>
                              <w:rPr>
                                <w:rFonts w:ascii="Times New Roman" w:hAnsi="Times New Roman" w:cs="Times New Roman"/>
                              </w:rPr>
                              <w:t xml:space="preserve">    N</w:t>
                            </w:r>
                            <w:r>
                              <w:rPr>
                                <w:rFonts w:ascii="Times New Roman" w:hAnsi="Times New Roman" w:cs="Times New Roman"/>
                              </w:rPr>
                              <w:t>：噪声</w:t>
                            </w:r>
                            <w:r>
                              <w:rPr>
                                <w:rFonts w:ascii="Times New Roman" w:hAnsi="Times New Roman" w:cs="Times New Roman"/>
                              </w:rPr>
                              <w:t xml:space="preserve">    S</w:t>
                            </w:r>
                            <w:r>
                              <w:rPr>
                                <w:rFonts w:ascii="Times New Roman" w:hAnsi="Times New Roman" w:cs="Times New Roman"/>
                              </w:rPr>
                              <w:t>：固废）</w:t>
                            </w:r>
                          </w:p>
                          <w:p w:rsidR="00C861DA" w:rsidRDefault="00C861DA">
                            <w:pPr>
                              <w:jc w:val="center"/>
                              <w:rPr>
                                <w:rFonts w:ascii="Times New Roman" w:hAnsi="Times New Roman" w:cs="Times New Roman"/>
                              </w:rPr>
                            </w:pP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67" o:spid="_x0000_s1026" o:spt="202" type="#_x0000_t202" style="position:absolute;left:0pt;margin-left:108pt;margin-top:1.55pt;height:30.5pt;width:234pt;z-index:251807744;mso-width-relative:page;mso-height-relative:page;" fillcolor="#FFFFFF" filled="t" stroked="f" coordsize="21600,21600" o:gfxdata="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qGdUNcAAAAIAQAADwAAAAAAAAABACAAAAAiAAAAZHJzL2Rvd25yZXYueG1s&#10;UEsBAhQAFAAAAAgAh07iQKHik0j5AQAA4gMAAA4AAAAAAAAAAQAgAAAAJgEAAGRycy9lMm9Eb2Mu&#10;eG1sUEsFBgAAAAAGAAYAWQEAAJEFAAAAAA==&#10;">
                <v:fill on="t" focussize="0,0"/>
                <v:stroke on="f"/>
                <v:imagedata o:title=""/>
                <o:lock v:ext="edit" aspectratio="f"/>
                <v:textbox inset="0mm,0mm,0mm,0mm">
                  <w:txbxContent>
                    <w:p>
                      <w:pPr>
                        <w:jc w:val="center"/>
                        <w:rPr>
                          <w:rFonts w:ascii="Times New Roman" w:hAnsi="Times New Roman" w:cs="Times New Roman"/>
                          <w:sz w:val="24"/>
                          <w:szCs w:val="24"/>
                        </w:rPr>
                      </w:pPr>
                      <w:r>
                        <w:rPr>
                          <w:rFonts w:ascii="Times New Roman" w:hAnsi="Times New Roman" w:cs="Times New Roman"/>
                          <w:sz w:val="24"/>
                          <w:szCs w:val="24"/>
                        </w:rPr>
                        <w:t>图4.1-2    稀硝酸生产工艺流程及产污环节</w:t>
                      </w:r>
                    </w:p>
                    <w:p>
                      <w:pPr>
                        <w:jc w:val="center"/>
                        <w:rPr>
                          <w:rFonts w:ascii="Times New Roman" w:hAnsi="Times New Roman" w:cs="Times New Roman"/>
                        </w:rPr>
                      </w:pPr>
                      <w:r>
                        <w:rPr>
                          <w:rFonts w:ascii="Times New Roman" w:hAnsi="Times New Roman" w:cs="Times New Roman"/>
                        </w:rPr>
                        <w:t>（W：废水    G:废气    N：噪声    S：固废）</w:t>
                      </w:r>
                    </w:p>
                    <w:p>
                      <w:pPr>
                        <w:jc w:val="center"/>
                        <w:rPr>
                          <w:rFonts w:ascii="Times New Roman" w:hAnsi="Times New Roman" w:cs="Times New Roman"/>
                        </w:rPr>
                      </w:pPr>
                    </w:p>
                  </w:txbxContent>
                </v:textbox>
              </v:shape>
            </w:pict>
          </mc:Fallback>
        </mc:AlternateContent>
      </w:r>
    </w:p>
    <w:p w:rsidR="00C861DA" w:rsidRDefault="00C861DA">
      <w:pPr>
        <w:widowControl/>
        <w:autoSpaceDE/>
        <w:autoSpaceDN/>
        <w:snapToGrid w:val="0"/>
        <w:spacing w:line="360" w:lineRule="auto"/>
        <w:jc w:val="both"/>
        <w:rPr>
          <w:rFonts w:ascii="Times New Roman" w:eastAsia="宋体" w:hAnsi="Times New Roman" w:cs="Times New Roman"/>
          <w:color w:val="000000" w:themeColor="text1"/>
          <w:kern w:val="1"/>
          <w:sz w:val="24"/>
          <w:szCs w:val="24"/>
        </w:rPr>
      </w:pPr>
    </w:p>
    <w:p w:rsidR="00C861DA" w:rsidRDefault="0044752E">
      <w:pPr>
        <w:widowControl/>
        <w:autoSpaceDE/>
        <w:autoSpaceDN/>
        <w:snapToGrid w:val="0"/>
        <w:spacing w:line="360" w:lineRule="auto"/>
        <w:ind w:firstLineChars="200" w:firstLine="480"/>
        <w:jc w:val="both"/>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）氨蒸发</w:t>
      </w:r>
    </w:p>
    <w:p w:rsidR="00C861DA" w:rsidRDefault="0044752E">
      <w:pPr>
        <w:widowControl/>
        <w:autoSpaceDE/>
        <w:autoSpaceDN/>
        <w:snapToGrid w:val="0"/>
        <w:spacing w:line="360" w:lineRule="auto"/>
        <w:ind w:firstLineChars="200" w:firstLine="480"/>
        <w:jc w:val="both"/>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由安宁祥丰金麦公司生产的液氨经管道输送至本项目拟建</w:t>
      </w:r>
      <w:r>
        <w:rPr>
          <w:rFonts w:ascii="Times New Roman" w:eastAsia="宋体" w:hAnsi="Times New Roman" w:cs="Times New Roman" w:hint="eastAsia"/>
          <w:color w:val="000000" w:themeColor="text1"/>
          <w:kern w:val="1"/>
          <w:sz w:val="24"/>
          <w:szCs w:val="24"/>
        </w:rPr>
        <w:t>液氨缓冲罐</w:t>
      </w:r>
      <w:r>
        <w:rPr>
          <w:rFonts w:ascii="Times New Roman" w:eastAsia="宋体" w:hAnsi="Times New Roman" w:cs="Times New Roman"/>
          <w:color w:val="000000" w:themeColor="text1"/>
          <w:kern w:val="1"/>
          <w:sz w:val="24"/>
          <w:szCs w:val="24"/>
        </w:rPr>
        <w:t>，再进入液氨蒸发器，大部分液氨在</w:t>
      </w:r>
      <w:r>
        <w:rPr>
          <w:rFonts w:ascii="Times New Roman" w:eastAsia="宋体" w:hAnsi="Times New Roman" w:cs="Times New Roman"/>
          <w:color w:val="000000" w:themeColor="text1"/>
          <w:kern w:val="1"/>
          <w:sz w:val="24"/>
          <w:szCs w:val="24"/>
        </w:rPr>
        <w:t>1#</w:t>
      </w:r>
      <w:r>
        <w:rPr>
          <w:rFonts w:ascii="Times New Roman" w:eastAsia="宋体" w:hAnsi="Times New Roman" w:cs="Times New Roman"/>
          <w:color w:val="000000" w:themeColor="text1"/>
          <w:kern w:val="1"/>
          <w:sz w:val="24"/>
          <w:szCs w:val="24"/>
        </w:rPr>
        <w:t>氨蒸发器中蒸发，在该蒸发器中与来自吸收塔的冷冻水进行换热蒸发（吸收塔中上部冷水与</w:t>
      </w:r>
      <w:r>
        <w:rPr>
          <w:rFonts w:ascii="Times New Roman" w:eastAsia="宋体" w:hAnsi="Times New Roman" w:cs="Times New Roman"/>
          <w:color w:val="000000" w:themeColor="text1"/>
          <w:kern w:val="1"/>
          <w:sz w:val="24"/>
          <w:szCs w:val="24"/>
        </w:rPr>
        <w:t>1#</w:t>
      </w:r>
      <w:r>
        <w:rPr>
          <w:rFonts w:ascii="Times New Roman" w:eastAsia="宋体" w:hAnsi="Times New Roman" w:cs="Times New Roman"/>
          <w:color w:val="000000" w:themeColor="text1"/>
          <w:kern w:val="1"/>
          <w:sz w:val="24"/>
          <w:szCs w:val="24"/>
        </w:rPr>
        <w:t>蒸发器形成闭路循环）。其余的液氨进入</w:t>
      </w:r>
      <w:r>
        <w:rPr>
          <w:rFonts w:ascii="Times New Roman" w:eastAsia="宋体" w:hAnsi="Times New Roman" w:cs="Times New Roman"/>
          <w:color w:val="000000" w:themeColor="text1"/>
          <w:kern w:val="1"/>
          <w:sz w:val="24"/>
          <w:szCs w:val="24"/>
        </w:rPr>
        <w:t>2#</w:t>
      </w:r>
      <w:r>
        <w:rPr>
          <w:rFonts w:ascii="Times New Roman" w:eastAsia="宋体" w:hAnsi="Times New Roman" w:cs="Times New Roman"/>
          <w:color w:val="000000" w:themeColor="text1"/>
          <w:kern w:val="1"/>
          <w:sz w:val="24"/>
          <w:szCs w:val="24"/>
        </w:rPr>
        <w:t>蒸发器，与冷却水进行换热蒸发，蒸发压力维持在</w:t>
      </w:r>
      <w:r>
        <w:rPr>
          <w:rFonts w:ascii="Times New Roman" w:eastAsia="宋体" w:hAnsi="Times New Roman" w:cs="Times New Roman"/>
          <w:color w:val="000000" w:themeColor="text1"/>
          <w:kern w:val="1"/>
          <w:sz w:val="24"/>
          <w:szCs w:val="24"/>
        </w:rPr>
        <w:t>0.55MPa</w:t>
      </w:r>
      <w:r>
        <w:rPr>
          <w:rFonts w:ascii="Times New Roman" w:eastAsia="宋体" w:hAnsi="Times New Roman" w:cs="Times New Roman"/>
          <w:color w:val="000000" w:themeColor="text1"/>
          <w:kern w:val="1"/>
          <w:sz w:val="24"/>
          <w:szCs w:val="24"/>
        </w:rPr>
        <w:t>，由蒸发器得到的气氨，送到氨过热器中，被蒸汽过热到</w:t>
      </w:r>
      <w:r>
        <w:rPr>
          <w:rFonts w:ascii="Times New Roman" w:eastAsia="宋体" w:hAnsi="Times New Roman" w:cs="Times New Roman"/>
          <w:color w:val="000000" w:themeColor="text1"/>
          <w:kern w:val="1"/>
          <w:sz w:val="24"/>
          <w:szCs w:val="24"/>
        </w:rPr>
        <w:t>100</w:t>
      </w:r>
      <w:r>
        <w:rPr>
          <w:rFonts w:ascii="宋体" w:eastAsia="宋体" w:hAnsi="宋体" w:cs="宋体" w:hint="eastAsia"/>
          <w:color w:val="000000" w:themeColor="text1"/>
          <w:kern w:val="1"/>
          <w:sz w:val="24"/>
          <w:szCs w:val="24"/>
        </w:rPr>
        <w:t>℃</w:t>
      </w:r>
      <w:r>
        <w:rPr>
          <w:rFonts w:ascii="Times New Roman" w:eastAsia="宋体" w:hAnsi="Times New Roman" w:cs="Times New Roman"/>
          <w:color w:val="000000" w:themeColor="text1"/>
          <w:kern w:val="1"/>
          <w:sz w:val="24"/>
          <w:szCs w:val="24"/>
        </w:rPr>
        <w:t>左右，进入气氨过滤器，进一步除去油和机械杂质后，到氨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空气混合器与空气混合。</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2</w:t>
      </w:r>
      <w:r>
        <w:rPr>
          <w:rFonts w:ascii="Times New Roman" w:eastAsia="宋体" w:hAnsi="Times New Roman" w:cs="Times New Roman" w:hint="eastAsia"/>
          <w:color w:val="000000" w:themeColor="text1"/>
          <w:kern w:val="1"/>
          <w:sz w:val="24"/>
          <w:szCs w:val="24"/>
        </w:rPr>
        <w:t>）空气压缩</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空气三级过滤除去机械杂质后，进入空气压缩机，被加压到</w:t>
      </w:r>
      <w:r>
        <w:rPr>
          <w:rFonts w:ascii="Times New Roman" w:eastAsia="宋体" w:hAnsi="Times New Roman" w:cs="Times New Roman"/>
          <w:color w:val="000000" w:themeColor="text1"/>
          <w:kern w:val="1"/>
          <w:sz w:val="24"/>
          <w:szCs w:val="24"/>
        </w:rPr>
        <w:t>0.45MPa(A)</w:t>
      </w:r>
      <w:r>
        <w:rPr>
          <w:rFonts w:ascii="Times New Roman" w:eastAsia="宋体" w:hAnsi="Times New Roman" w:cs="Times New Roman"/>
          <w:color w:val="000000" w:themeColor="text1"/>
          <w:kern w:val="1"/>
          <w:sz w:val="24"/>
          <w:szCs w:val="24"/>
        </w:rPr>
        <w:t>，温度</w:t>
      </w:r>
      <w:r>
        <w:rPr>
          <w:rFonts w:ascii="Times New Roman" w:eastAsia="宋体" w:hAnsi="Times New Roman" w:cs="Times New Roman"/>
          <w:color w:val="000000" w:themeColor="text1"/>
          <w:kern w:val="1"/>
          <w:sz w:val="24"/>
          <w:szCs w:val="24"/>
        </w:rPr>
        <w:t>236</w:t>
      </w:r>
      <w:r>
        <w:rPr>
          <w:rFonts w:ascii="宋体" w:eastAsia="宋体" w:hAnsi="宋体" w:cs="宋体" w:hint="eastAsia"/>
          <w:color w:val="000000" w:themeColor="text1"/>
          <w:kern w:val="1"/>
          <w:sz w:val="24"/>
          <w:szCs w:val="24"/>
        </w:rPr>
        <w:t>℃</w:t>
      </w:r>
      <w:r>
        <w:rPr>
          <w:rFonts w:ascii="Times New Roman" w:eastAsia="宋体" w:hAnsi="Times New Roman" w:cs="Times New Roman"/>
          <w:color w:val="000000" w:themeColor="text1"/>
          <w:kern w:val="1"/>
          <w:sz w:val="24"/>
          <w:szCs w:val="24"/>
        </w:rPr>
        <w:t>左右，被压缩的空气分为一次空气和二次空气。二次空气用于成品酸的漂白，一次空气则送入氨空气混合器，控制氨流量以保持氨浓度为</w:t>
      </w:r>
      <w:r>
        <w:rPr>
          <w:rFonts w:ascii="Times New Roman" w:eastAsia="宋体" w:hAnsi="Times New Roman" w:cs="Times New Roman"/>
          <w:color w:val="000000" w:themeColor="text1"/>
          <w:kern w:val="1"/>
          <w:sz w:val="24"/>
          <w:szCs w:val="24"/>
        </w:rPr>
        <w:t>9.6%</w:t>
      </w:r>
      <w:r>
        <w:rPr>
          <w:rFonts w:ascii="Times New Roman" w:eastAsia="宋体" w:hAnsi="Times New Roman" w:cs="Times New Roman"/>
          <w:color w:val="000000" w:themeColor="text1"/>
          <w:kern w:val="1"/>
          <w:sz w:val="24"/>
          <w:szCs w:val="24"/>
        </w:rPr>
        <w:t>左右，到氨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空气混合器与</w:t>
      </w:r>
      <w:r>
        <w:rPr>
          <w:rFonts w:ascii="Times New Roman" w:eastAsia="宋体" w:hAnsi="Times New Roman" w:cs="Times New Roman" w:hint="eastAsia"/>
          <w:color w:val="000000" w:themeColor="text1"/>
          <w:kern w:val="1"/>
          <w:sz w:val="24"/>
          <w:szCs w:val="24"/>
        </w:rPr>
        <w:t>氨气</w:t>
      </w:r>
      <w:r>
        <w:rPr>
          <w:rFonts w:ascii="Times New Roman" w:eastAsia="宋体" w:hAnsi="Times New Roman" w:cs="Times New Roman"/>
          <w:color w:val="000000" w:themeColor="text1"/>
          <w:kern w:val="1"/>
          <w:sz w:val="24"/>
          <w:szCs w:val="24"/>
        </w:rPr>
        <w:t>混合。</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hint="eastAsia"/>
          <w:color w:val="000000" w:themeColor="text1"/>
          <w:kern w:val="1"/>
          <w:sz w:val="24"/>
          <w:szCs w:val="24"/>
        </w:rPr>
        <w:t>）氨氧化</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氨和空气的混合气首先经氧化炉顶部的分配筛板均匀分布在铂网上，进行氨的催化氧化，反应温度为</w:t>
      </w:r>
      <w:r>
        <w:rPr>
          <w:rFonts w:ascii="Times New Roman" w:eastAsia="宋体" w:hAnsi="Times New Roman" w:cs="Times New Roman"/>
          <w:color w:val="000000" w:themeColor="text1"/>
          <w:kern w:val="1"/>
          <w:sz w:val="24"/>
          <w:szCs w:val="24"/>
        </w:rPr>
        <w:t>860</w:t>
      </w:r>
      <w:r>
        <w:rPr>
          <w:rFonts w:ascii="宋体" w:eastAsia="宋体" w:hAnsi="宋体" w:cs="宋体" w:hint="eastAsia"/>
          <w:color w:val="000000" w:themeColor="text1"/>
          <w:kern w:val="1"/>
          <w:sz w:val="24"/>
          <w:szCs w:val="24"/>
        </w:rPr>
        <w:t>℃</w:t>
      </w:r>
      <w:r>
        <w:rPr>
          <w:rFonts w:ascii="Times New Roman" w:eastAsia="宋体" w:hAnsi="Times New Roman" w:cs="Times New Roman"/>
          <w:color w:val="000000" w:themeColor="text1"/>
          <w:kern w:val="1"/>
          <w:sz w:val="24"/>
          <w:szCs w:val="24"/>
        </w:rPr>
        <w:t>左右，主要反应为：</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4NH</w:t>
      </w:r>
      <w:r>
        <w:rPr>
          <w:rFonts w:ascii="Times New Roman" w:eastAsia="宋体" w:hAnsi="Times New Roman" w:cs="Times New Roman"/>
          <w:color w:val="000000" w:themeColor="text1"/>
          <w:kern w:val="1"/>
          <w:sz w:val="24"/>
          <w:szCs w:val="24"/>
          <w:vertAlign w:val="subscript"/>
        </w:rPr>
        <w:t>3</w:t>
      </w:r>
      <w:r>
        <w:rPr>
          <w:rFonts w:ascii="Times New Roman" w:eastAsia="宋体" w:hAnsi="Times New Roman" w:cs="Times New Roman"/>
          <w:color w:val="000000" w:themeColor="text1"/>
          <w:kern w:val="1"/>
          <w:sz w:val="24"/>
          <w:szCs w:val="24"/>
        </w:rPr>
        <w:t>+5O</w:t>
      </w:r>
      <w:r>
        <w:rPr>
          <w:rFonts w:ascii="Times New Roman" w:eastAsia="宋体" w:hAnsi="Times New Roman" w:cs="Times New Roman"/>
          <w:color w:val="000000" w:themeColor="text1"/>
          <w:kern w:val="1"/>
          <w:sz w:val="24"/>
          <w:szCs w:val="24"/>
          <w:vertAlign w:val="subscript"/>
        </w:rPr>
        <w:t>2</w:t>
      </w:r>
      <w:r>
        <w:rPr>
          <w:rFonts w:ascii="Times New Roman" w:eastAsia="宋体" w:hAnsi="Times New Roman" w:cs="Times New Roman"/>
          <w:color w:val="000000" w:themeColor="text1"/>
          <w:kern w:val="1"/>
          <w:sz w:val="24"/>
          <w:szCs w:val="24"/>
        </w:rPr>
        <w:t>——4NO+6H</w:t>
      </w:r>
      <w:r>
        <w:rPr>
          <w:rFonts w:ascii="Times New Roman" w:eastAsia="宋体" w:hAnsi="Times New Roman" w:cs="Times New Roman"/>
          <w:color w:val="000000" w:themeColor="text1"/>
          <w:kern w:val="1"/>
          <w:sz w:val="24"/>
          <w:szCs w:val="24"/>
          <w:vertAlign w:val="subscript"/>
        </w:rPr>
        <w:t>2</w:t>
      </w:r>
      <w:r>
        <w:rPr>
          <w:rFonts w:ascii="Times New Roman" w:eastAsia="宋体" w:hAnsi="Times New Roman" w:cs="Times New Roman"/>
          <w:color w:val="000000" w:themeColor="text1"/>
          <w:kern w:val="1"/>
          <w:sz w:val="24"/>
          <w:szCs w:val="24"/>
        </w:rPr>
        <w:t>O+Q</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生成的氧化氮气体经蒸汽过热器及废热锅炉回收热量后，温度降至</w:t>
      </w:r>
      <w:r>
        <w:rPr>
          <w:rFonts w:ascii="Times New Roman" w:eastAsia="宋体" w:hAnsi="Times New Roman" w:cs="Times New Roman"/>
          <w:color w:val="000000" w:themeColor="text1"/>
          <w:kern w:val="1"/>
          <w:sz w:val="24"/>
          <w:szCs w:val="24"/>
        </w:rPr>
        <w:t>400</w:t>
      </w:r>
      <w:r>
        <w:rPr>
          <w:rFonts w:ascii="宋体" w:eastAsia="宋体" w:hAnsi="宋体" w:cs="宋体" w:hint="eastAsia"/>
          <w:color w:val="000000" w:themeColor="text1"/>
          <w:kern w:val="1"/>
          <w:sz w:val="24"/>
          <w:szCs w:val="24"/>
        </w:rPr>
        <w:t>℃</w:t>
      </w:r>
      <w:r>
        <w:rPr>
          <w:rFonts w:ascii="Times New Roman" w:eastAsia="宋体" w:hAnsi="Times New Roman" w:cs="Times New Roman"/>
          <w:color w:val="000000" w:themeColor="text1"/>
          <w:kern w:val="1"/>
          <w:sz w:val="24"/>
          <w:szCs w:val="24"/>
        </w:rPr>
        <w:t>左右。离开废热锅炉的氧化氮气体流经串连的高温气</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color w:val="000000" w:themeColor="text1"/>
          <w:kern w:val="1"/>
          <w:sz w:val="24"/>
          <w:szCs w:val="24"/>
        </w:rPr>
        <w:t>气换热器及省煤器温度降至</w:t>
      </w:r>
      <w:r>
        <w:rPr>
          <w:rFonts w:ascii="Times New Roman" w:eastAsia="宋体" w:hAnsi="Times New Roman" w:cs="Times New Roman"/>
          <w:color w:val="000000" w:themeColor="text1"/>
          <w:kern w:val="1"/>
          <w:sz w:val="24"/>
          <w:szCs w:val="24"/>
        </w:rPr>
        <w:t>156</w:t>
      </w:r>
      <w:r>
        <w:rPr>
          <w:rFonts w:ascii="宋体" w:eastAsia="宋体" w:hAnsi="宋体" w:cs="宋体" w:hint="eastAsia"/>
          <w:color w:val="000000" w:themeColor="text1"/>
          <w:kern w:val="1"/>
          <w:sz w:val="24"/>
          <w:szCs w:val="24"/>
        </w:rPr>
        <w:t>℃</w:t>
      </w:r>
      <w:r>
        <w:rPr>
          <w:rFonts w:ascii="Times New Roman" w:eastAsia="宋体" w:hAnsi="Times New Roman" w:cs="Times New Roman"/>
          <w:color w:val="000000" w:themeColor="text1"/>
          <w:kern w:val="1"/>
          <w:sz w:val="24"/>
          <w:szCs w:val="24"/>
        </w:rPr>
        <w:t>，随着温度的降低，混合气中的一氧化氮氧化为二氧化氮：</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2NO+O</w:t>
      </w:r>
      <w:r>
        <w:rPr>
          <w:rFonts w:ascii="Times New Roman" w:eastAsia="宋体" w:hAnsi="Times New Roman" w:cs="Times New Roman"/>
          <w:color w:val="000000" w:themeColor="text1"/>
          <w:kern w:val="1"/>
          <w:sz w:val="24"/>
          <w:szCs w:val="24"/>
          <w:vertAlign w:val="subscript"/>
        </w:rPr>
        <w:t>2</w:t>
      </w:r>
      <w:r>
        <w:rPr>
          <w:rFonts w:ascii="Times New Roman" w:eastAsia="宋体" w:hAnsi="Times New Roman" w:cs="Times New Roman"/>
          <w:color w:val="000000" w:themeColor="text1"/>
          <w:kern w:val="1"/>
          <w:sz w:val="24"/>
          <w:szCs w:val="24"/>
        </w:rPr>
        <w:t>——2NO</w:t>
      </w:r>
      <w:r>
        <w:rPr>
          <w:rFonts w:ascii="Times New Roman" w:eastAsia="宋体" w:hAnsi="Times New Roman" w:cs="Times New Roman"/>
          <w:color w:val="000000" w:themeColor="text1"/>
          <w:kern w:val="1"/>
          <w:sz w:val="24"/>
          <w:szCs w:val="24"/>
          <w:vertAlign w:val="subscript"/>
        </w:rPr>
        <w:t>2</w:t>
      </w:r>
      <w:r>
        <w:rPr>
          <w:rFonts w:ascii="Times New Roman" w:eastAsia="宋体" w:hAnsi="Times New Roman" w:cs="Times New Roman"/>
          <w:color w:val="000000" w:themeColor="text1"/>
          <w:kern w:val="1"/>
          <w:sz w:val="24"/>
          <w:szCs w:val="24"/>
        </w:rPr>
        <w:t>+Q</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在废热锅炉中产生的</w:t>
      </w:r>
      <w:r>
        <w:rPr>
          <w:rFonts w:ascii="Times New Roman" w:eastAsia="宋体" w:hAnsi="Times New Roman" w:cs="Times New Roman"/>
          <w:color w:val="000000" w:themeColor="text1"/>
          <w:kern w:val="1"/>
          <w:sz w:val="24"/>
          <w:szCs w:val="24"/>
        </w:rPr>
        <w:t>3.92MPa(G)</w:t>
      </w:r>
      <w:r>
        <w:rPr>
          <w:rFonts w:ascii="Times New Roman" w:eastAsia="宋体" w:hAnsi="Times New Roman" w:cs="Times New Roman"/>
          <w:color w:val="000000" w:themeColor="text1"/>
          <w:kern w:val="1"/>
          <w:sz w:val="24"/>
          <w:szCs w:val="24"/>
        </w:rPr>
        <w:t>饱和蒸汽经汽水分离后，进入蒸汽过热器中被加热到</w:t>
      </w:r>
      <w:r>
        <w:rPr>
          <w:rFonts w:ascii="Times New Roman" w:eastAsia="宋体" w:hAnsi="Times New Roman" w:cs="Times New Roman"/>
          <w:color w:val="000000" w:themeColor="text1"/>
          <w:kern w:val="1"/>
          <w:sz w:val="24"/>
          <w:szCs w:val="24"/>
        </w:rPr>
        <w:t>440</w:t>
      </w:r>
      <w:r>
        <w:rPr>
          <w:rFonts w:ascii="宋体" w:eastAsia="宋体" w:hAnsi="宋体" w:cs="宋体" w:hint="eastAsia"/>
          <w:color w:val="000000" w:themeColor="text1"/>
          <w:kern w:val="1"/>
          <w:sz w:val="24"/>
          <w:szCs w:val="24"/>
        </w:rPr>
        <w:t>℃</w:t>
      </w:r>
      <w:r>
        <w:rPr>
          <w:rFonts w:ascii="Times New Roman" w:eastAsia="宋体" w:hAnsi="Times New Roman" w:cs="Times New Roman"/>
          <w:color w:val="000000" w:themeColor="text1"/>
          <w:kern w:val="1"/>
          <w:sz w:val="24"/>
          <w:szCs w:val="24"/>
        </w:rPr>
        <w:t>左右，供蒸汽透平使用。</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4</w:t>
      </w:r>
      <w:r>
        <w:rPr>
          <w:rFonts w:ascii="Times New Roman" w:eastAsia="宋体" w:hAnsi="Times New Roman" w:cs="Times New Roman" w:hint="eastAsia"/>
          <w:color w:val="000000" w:themeColor="text1"/>
          <w:kern w:val="1"/>
          <w:sz w:val="24"/>
          <w:szCs w:val="24"/>
        </w:rPr>
        <w:t>）吸收、漂白</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氧化氮气体进入低压</w:t>
      </w:r>
      <w:r>
        <w:rPr>
          <w:rFonts w:ascii="Times New Roman" w:eastAsia="宋体" w:hAnsi="Times New Roman" w:cs="Times New Roman" w:hint="eastAsia"/>
          <w:color w:val="000000" w:themeColor="text1"/>
          <w:kern w:val="1"/>
          <w:sz w:val="24"/>
          <w:szCs w:val="24"/>
        </w:rPr>
        <w:t>快冷</w:t>
      </w:r>
      <w:r>
        <w:rPr>
          <w:rFonts w:ascii="Times New Roman" w:eastAsia="宋体" w:hAnsi="Times New Roman" w:cs="Times New Roman"/>
          <w:color w:val="000000" w:themeColor="text1"/>
          <w:kern w:val="1"/>
          <w:sz w:val="24"/>
          <w:szCs w:val="24"/>
        </w:rPr>
        <w:t>器被水冷却到约</w:t>
      </w:r>
      <w:r>
        <w:rPr>
          <w:rFonts w:ascii="Times New Roman" w:eastAsia="宋体" w:hAnsi="Times New Roman" w:cs="Times New Roman"/>
          <w:color w:val="000000" w:themeColor="text1"/>
          <w:kern w:val="1"/>
          <w:sz w:val="24"/>
          <w:szCs w:val="24"/>
        </w:rPr>
        <w:t>50</w:t>
      </w:r>
      <w:r>
        <w:rPr>
          <w:rFonts w:ascii="宋体" w:eastAsia="宋体" w:hAnsi="宋体" w:cs="宋体" w:hint="eastAsia"/>
          <w:color w:val="000000" w:themeColor="text1"/>
          <w:kern w:val="1"/>
          <w:sz w:val="24"/>
          <w:szCs w:val="24"/>
        </w:rPr>
        <w:t>℃</w:t>
      </w:r>
      <w:r>
        <w:rPr>
          <w:rFonts w:ascii="Times New Roman" w:eastAsia="宋体" w:hAnsi="Times New Roman" w:cs="Times New Roman"/>
          <w:color w:val="000000" w:themeColor="text1"/>
          <w:kern w:val="1"/>
          <w:sz w:val="24"/>
          <w:szCs w:val="24"/>
        </w:rPr>
        <w:t>左右，并由于冷凝而产生相当数量的稀硝酸（</w:t>
      </w:r>
      <w:r>
        <w:rPr>
          <w:rFonts w:ascii="Times New Roman" w:eastAsia="宋体" w:hAnsi="Times New Roman" w:cs="Times New Roman"/>
          <w:color w:val="000000" w:themeColor="text1"/>
          <w:kern w:val="1"/>
          <w:sz w:val="24"/>
          <w:szCs w:val="24"/>
        </w:rPr>
        <w:t>34%</w:t>
      </w:r>
      <w:r>
        <w:rPr>
          <w:rFonts w:ascii="Times New Roman" w:eastAsia="宋体" w:hAnsi="Times New Roman" w:cs="Times New Roman"/>
          <w:color w:val="000000" w:themeColor="text1"/>
          <w:kern w:val="1"/>
          <w:sz w:val="24"/>
          <w:szCs w:val="24"/>
        </w:rPr>
        <w:t>左右）。</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酸气混合物进入氧化氮气体分离器，将生成的稀硝酸分离，用泵将稀硝酸送至吸收塔相应塔板，氧化氮气体则与来自漂白塔的二次空气混合，进入氧化氮压缩机，被加压到</w:t>
      </w:r>
      <w:r>
        <w:rPr>
          <w:rFonts w:ascii="Times New Roman" w:eastAsia="宋体" w:hAnsi="Times New Roman" w:cs="Times New Roman"/>
          <w:color w:val="000000" w:themeColor="text1"/>
          <w:kern w:val="1"/>
          <w:sz w:val="24"/>
          <w:szCs w:val="24"/>
        </w:rPr>
        <w:t>1.1MPa(A)</w:t>
      </w:r>
      <w:r>
        <w:rPr>
          <w:rFonts w:ascii="Times New Roman" w:eastAsia="宋体" w:hAnsi="Times New Roman" w:cs="Times New Roman"/>
          <w:color w:val="000000" w:themeColor="text1"/>
          <w:kern w:val="1"/>
          <w:sz w:val="24"/>
          <w:szCs w:val="24"/>
        </w:rPr>
        <w:t>，温度由</w:t>
      </w:r>
      <w:r>
        <w:rPr>
          <w:rFonts w:ascii="Times New Roman" w:eastAsia="宋体" w:hAnsi="Times New Roman" w:cs="Times New Roman"/>
          <w:color w:val="000000" w:themeColor="text1"/>
          <w:kern w:val="1"/>
          <w:sz w:val="24"/>
          <w:szCs w:val="24"/>
        </w:rPr>
        <w:t>50</w:t>
      </w:r>
      <w:r>
        <w:rPr>
          <w:rFonts w:ascii="宋体" w:eastAsia="宋体" w:hAnsi="宋体" w:cs="宋体" w:hint="eastAsia"/>
          <w:color w:val="000000" w:themeColor="text1"/>
          <w:kern w:val="1"/>
          <w:sz w:val="24"/>
          <w:szCs w:val="24"/>
        </w:rPr>
        <w:t>℃</w:t>
      </w:r>
      <w:r>
        <w:rPr>
          <w:rFonts w:ascii="Times New Roman" w:eastAsia="宋体" w:hAnsi="Times New Roman" w:cs="Times New Roman"/>
          <w:color w:val="000000" w:themeColor="text1"/>
          <w:kern w:val="1"/>
          <w:sz w:val="24"/>
          <w:szCs w:val="24"/>
        </w:rPr>
        <w:t>上升到</w:t>
      </w:r>
      <w:r>
        <w:rPr>
          <w:rFonts w:ascii="Times New Roman" w:eastAsia="宋体" w:hAnsi="Times New Roman" w:cs="Times New Roman"/>
          <w:color w:val="000000" w:themeColor="text1"/>
          <w:kern w:val="1"/>
          <w:sz w:val="24"/>
          <w:szCs w:val="24"/>
        </w:rPr>
        <w:t>187</w:t>
      </w:r>
      <w:r>
        <w:rPr>
          <w:rFonts w:ascii="宋体" w:eastAsia="宋体" w:hAnsi="宋体" w:cs="宋体" w:hint="eastAsia"/>
          <w:color w:val="000000" w:themeColor="text1"/>
          <w:kern w:val="1"/>
          <w:sz w:val="24"/>
          <w:szCs w:val="24"/>
        </w:rPr>
        <w:t>℃</w:t>
      </w:r>
      <w:r>
        <w:rPr>
          <w:rFonts w:ascii="Times New Roman" w:eastAsia="宋体" w:hAnsi="Times New Roman" w:cs="Times New Roman"/>
          <w:color w:val="000000" w:themeColor="text1"/>
          <w:kern w:val="1"/>
          <w:sz w:val="24"/>
          <w:szCs w:val="24"/>
        </w:rPr>
        <w:t>左右，经尾气预热器将氧化氮气体温度降到</w:t>
      </w:r>
      <w:r>
        <w:rPr>
          <w:rFonts w:ascii="Times New Roman" w:eastAsia="宋体" w:hAnsi="Times New Roman" w:cs="Times New Roman"/>
          <w:color w:val="000000" w:themeColor="text1"/>
          <w:kern w:val="1"/>
          <w:sz w:val="24"/>
          <w:szCs w:val="24"/>
        </w:rPr>
        <w:t>130</w:t>
      </w:r>
      <w:r>
        <w:rPr>
          <w:rFonts w:ascii="宋体" w:eastAsia="宋体" w:hAnsi="宋体" w:cs="宋体" w:hint="eastAsia"/>
          <w:color w:val="000000" w:themeColor="text1"/>
          <w:kern w:val="1"/>
          <w:sz w:val="24"/>
          <w:szCs w:val="24"/>
        </w:rPr>
        <w:t>℃</w:t>
      </w:r>
      <w:r>
        <w:rPr>
          <w:rFonts w:ascii="Times New Roman" w:eastAsia="宋体" w:hAnsi="Times New Roman" w:cs="Times New Roman"/>
          <w:color w:val="000000" w:themeColor="text1"/>
          <w:kern w:val="1"/>
          <w:sz w:val="24"/>
          <w:szCs w:val="24"/>
        </w:rPr>
        <w:t>左右，再经高压反应水冷凝器，用冷却水将氧化氮气体温度冷至</w:t>
      </w:r>
      <w:r>
        <w:rPr>
          <w:rFonts w:ascii="Times New Roman" w:eastAsia="宋体" w:hAnsi="Times New Roman" w:cs="Times New Roman"/>
          <w:color w:val="000000" w:themeColor="text1"/>
          <w:kern w:val="1"/>
          <w:sz w:val="24"/>
          <w:szCs w:val="24"/>
        </w:rPr>
        <w:t>40</w:t>
      </w:r>
      <w:r>
        <w:rPr>
          <w:rFonts w:ascii="宋体" w:eastAsia="宋体" w:hAnsi="宋体" w:cs="宋体" w:hint="eastAsia"/>
          <w:color w:val="000000" w:themeColor="text1"/>
          <w:kern w:val="1"/>
          <w:sz w:val="24"/>
          <w:szCs w:val="24"/>
        </w:rPr>
        <w:t>℃</w:t>
      </w:r>
      <w:r>
        <w:rPr>
          <w:rFonts w:ascii="Times New Roman" w:eastAsia="宋体" w:hAnsi="Times New Roman" w:cs="Times New Roman"/>
          <w:color w:val="000000" w:themeColor="text1"/>
          <w:kern w:val="1"/>
          <w:sz w:val="24"/>
          <w:szCs w:val="24"/>
        </w:rPr>
        <w:t>左右，进入吸收塔的底部，其中的冷凝酸则与成品酸混合，在吸收塔板上氧化氮气体被水吸收生成硝酸，总反应式如下：</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3NO</w:t>
      </w:r>
      <w:r>
        <w:rPr>
          <w:rFonts w:ascii="Times New Roman" w:eastAsia="宋体" w:hAnsi="Times New Roman" w:cs="Times New Roman"/>
          <w:color w:val="000000" w:themeColor="text1"/>
          <w:kern w:val="1"/>
          <w:sz w:val="24"/>
          <w:szCs w:val="24"/>
          <w:vertAlign w:val="subscript"/>
        </w:rPr>
        <w:t>2</w:t>
      </w:r>
      <w:r>
        <w:rPr>
          <w:rFonts w:ascii="Times New Roman" w:eastAsia="宋体" w:hAnsi="Times New Roman" w:cs="Times New Roman"/>
          <w:color w:val="000000" w:themeColor="text1"/>
          <w:kern w:val="1"/>
          <w:sz w:val="24"/>
          <w:szCs w:val="24"/>
        </w:rPr>
        <w:t>+H</w:t>
      </w:r>
      <w:r>
        <w:rPr>
          <w:rFonts w:ascii="Times New Roman" w:eastAsia="宋体" w:hAnsi="Times New Roman" w:cs="Times New Roman"/>
          <w:color w:val="000000" w:themeColor="text1"/>
          <w:kern w:val="1"/>
          <w:sz w:val="24"/>
          <w:szCs w:val="24"/>
          <w:vertAlign w:val="subscript"/>
        </w:rPr>
        <w:t>2</w:t>
      </w:r>
      <w:r>
        <w:rPr>
          <w:rFonts w:ascii="Times New Roman" w:eastAsia="宋体" w:hAnsi="Times New Roman" w:cs="Times New Roman"/>
          <w:color w:val="000000" w:themeColor="text1"/>
          <w:kern w:val="1"/>
          <w:sz w:val="24"/>
          <w:szCs w:val="24"/>
        </w:rPr>
        <w:t>O——2HNO</w:t>
      </w:r>
      <w:r>
        <w:rPr>
          <w:rFonts w:ascii="Times New Roman" w:eastAsia="宋体" w:hAnsi="Times New Roman" w:cs="Times New Roman"/>
          <w:color w:val="000000" w:themeColor="text1"/>
          <w:kern w:val="1"/>
          <w:sz w:val="24"/>
          <w:szCs w:val="24"/>
          <w:vertAlign w:val="subscript"/>
        </w:rPr>
        <w:t>3</w:t>
      </w:r>
      <w:r>
        <w:rPr>
          <w:rFonts w:ascii="Times New Roman" w:eastAsia="宋体" w:hAnsi="Times New Roman" w:cs="Times New Roman"/>
          <w:color w:val="000000" w:themeColor="text1"/>
          <w:kern w:val="1"/>
          <w:sz w:val="24"/>
          <w:szCs w:val="24"/>
        </w:rPr>
        <w:t>+NO+Q</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本项目吸收塔采用高压低温吸收工艺，</w:t>
      </w:r>
      <w:r>
        <w:rPr>
          <w:rFonts w:ascii="Times New Roman" w:eastAsia="宋体" w:hAnsi="Times New Roman" w:cs="Times New Roman"/>
          <w:color w:val="000000" w:themeColor="text1"/>
          <w:kern w:val="1"/>
          <w:sz w:val="24"/>
          <w:szCs w:val="24"/>
        </w:rPr>
        <w:t>生产硝酸所需的工艺水由工艺水泵送至吸收塔顶部，与塔底进入的氧化氮气体逆流接触，在吸收塔上冷却盘管移走吸收热和氧化热，在吸收塔底得到浓度为</w:t>
      </w:r>
      <w:r>
        <w:rPr>
          <w:rFonts w:ascii="Times New Roman" w:eastAsia="宋体" w:hAnsi="Times New Roman" w:cs="Times New Roman"/>
          <w:color w:val="000000" w:themeColor="text1"/>
          <w:kern w:val="1"/>
          <w:sz w:val="24"/>
          <w:szCs w:val="24"/>
        </w:rPr>
        <w:t>60%</w:t>
      </w:r>
      <w:r>
        <w:rPr>
          <w:rFonts w:ascii="Times New Roman" w:eastAsia="宋体" w:hAnsi="Times New Roman" w:cs="Times New Roman"/>
          <w:color w:val="000000" w:themeColor="text1"/>
          <w:kern w:val="1"/>
          <w:sz w:val="24"/>
          <w:szCs w:val="24"/>
        </w:rPr>
        <w:t>左右的稀硝酸，经漂白塔析出其中溶解的氧化氮气体，经酸冷却器冷却到</w:t>
      </w:r>
      <w:r>
        <w:rPr>
          <w:rFonts w:ascii="Times New Roman" w:eastAsia="宋体" w:hAnsi="Times New Roman" w:cs="Times New Roman"/>
          <w:color w:val="000000" w:themeColor="text1"/>
          <w:kern w:val="1"/>
          <w:sz w:val="24"/>
          <w:szCs w:val="24"/>
        </w:rPr>
        <w:t>50</w:t>
      </w:r>
      <w:r>
        <w:rPr>
          <w:rFonts w:ascii="宋体" w:eastAsia="宋体" w:hAnsi="宋体" w:cs="宋体" w:hint="eastAsia"/>
          <w:color w:val="000000" w:themeColor="text1"/>
          <w:kern w:val="1"/>
          <w:sz w:val="24"/>
          <w:szCs w:val="24"/>
        </w:rPr>
        <w:t>℃</w:t>
      </w:r>
      <w:r>
        <w:rPr>
          <w:rFonts w:ascii="Times New Roman" w:eastAsia="宋体" w:hAnsi="Times New Roman" w:cs="Times New Roman"/>
          <w:color w:val="000000" w:themeColor="text1"/>
          <w:kern w:val="1"/>
          <w:sz w:val="24"/>
          <w:szCs w:val="24"/>
        </w:rPr>
        <w:t>后送入成品酸贮槽</w:t>
      </w:r>
      <w:r>
        <w:rPr>
          <w:rFonts w:ascii="Times New Roman" w:eastAsia="宋体" w:hAnsi="Times New Roman" w:cs="Times New Roman" w:hint="eastAsia"/>
          <w:color w:val="000000" w:themeColor="text1"/>
          <w:kern w:val="1"/>
          <w:sz w:val="24"/>
          <w:szCs w:val="24"/>
        </w:rPr>
        <w:t>，再用酸泵，送至硝酸铵工段</w:t>
      </w:r>
      <w:r>
        <w:rPr>
          <w:rFonts w:ascii="Times New Roman" w:eastAsia="宋体" w:hAnsi="Times New Roman" w:cs="Times New Roman"/>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5</w:t>
      </w:r>
      <w:r>
        <w:rPr>
          <w:rFonts w:ascii="Times New Roman" w:eastAsia="宋体" w:hAnsi="Times New Roman" w:cs="Times New Roman" w:hint="eastAsia"/>
          <w:color w:val="000000" w:themeColor="text1"/>
          <w:kern w:val="1"/>
          <w:sz w:val="24"/>
          <w:szCs w:val="24"/>
        </w:rPr>
        <w:t>）吸收尾气治理</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由吸收塔出来的尾气，进入尾气分离器，</w:t>
      </w:r>
      <w:r>
        <w:rPr>
          <w:rFonts w:ascii="Times New Roman" w:eastAsia="宋体" w:hAnsi="Times New Roman" w:cs="Times New Roman" w:hint="eastAsia"/>
          <w:color w:val="000000" w:themeColor="text1"/>
          <w:kern w:val="1"/>
          <w:sz w:val="24"/>
          <w:szCs w:val="24"/>
        </w:rPr>
        <w:t xml:space="preserve"> </w:t>
      </w:r>
      <w:r>
        <w:rPr>
          <w:rFonts w:ascii="Times New Roman" w:eastAsia="宋体" w:hAnsi="Times New Roman" w:cs="Times New Roman" w:hint="eastAsia"/>
          <w:color w:val="000000" w:themeColor="text1"/>
          <w:kern w:val="1"/>
          <w:sz w:val="24"/>
          <w:szCs w:val="24"/>
        </w:rPr>
        <w:t>分离夹带的液滴后，进入尾气加热器与压缩后的氧化氮气体换热后，再进入尾气三级预热器中，被氧化炉氧化氮气体加热</w:t>
      </w:r>
      <w:r>
        <w:rPr>
          <w:rFonts w:ascii="Times New Roman" w:eastAsia="宋体" w:hAnsi="Times New Roman" w:cs="Times New Roman"/>
          <w:color w:val="000000" w:themeColor="text1"/>
          <w:kern w:val="1"/>
          <w:sz w:val="24"/>
          <w:szCs w:val="24"/>
        </w:rPr>
        <w:t>到</w:t>
      </w:r>
      <w:r>
        <w:rPr>
          <w:rFonts w:ascii="Times New Roman" w:eastAsia="宋体" w:hAnsi="Times New Roman" w:cs="Times New Roman"/>
          <w:color w:val="000000" w:themeColor="text1"/>
          <w:kern w:val="1"/>
          <w:sz w:val="24"/>
          <w:szCs w:val="24"/>
        </w:rPr>
        <w:t>360</w:t>
      </w:r>
      <w:r>
        <w:rPr>
          <w:rFonts w:ascii="宋体" w:eastAsia="宋体" w:hAnsi="宋体" w:cs="宋体" w:hint="eastAsia"/>
          <w:color w:val="000000" w:themeColor="text1"/>
          <w:kern w:val="1"/>
          <w:sz w:val="24"/>
          <w:szCs w:val="24"/>
        </w:rPr>
        <w:t>℃</w:t>
      </w:r>
      <w:r>
        <w:rPr>
          <w:rFonts w:ascii="Times New Roman" w:eastAsia="宋体" w:hAnsi="Times New Roman" w:cs="Times New Roman"/>
          <w:color w:val="000000" w:themeColor="text1"/>
          <w:kern w:val="1"/>
          <w:sz w:val="24"/>
          <w:szCs w:val="24"/>
        </w:rPr>
        <w:t>左右</w:t>
      </w:r>
      <w:r>
        <w:rPr>
          <w:rFonts w:ascii="Times New Roman" w:eastAsia="宋体" w:hAnsi="Times New Roman" w:cs="Times New Roman" w:hint="eastAsia"/>
          <w:color w:val="000000" w:themeColor="text1"/>
          <w:kern w:val="1"/>
          <w:sz w:val="24"/>
          <w:szCs w:val="24"/>
        </w:rPr>
        <w:t>，经</w:t>
      </w:r>
      <w:r>
        <w:rPr>
          <w:rFonts w:ascii="Times New Roman" w:eastAsia="宋体" w:hAnsi="Times New Roman" w:cs="Times New Roman" w:hint="eastAsia"/>
          <w:color w:val="000000" w:themeColor="text1"/>
          <w:kern w:val="1"/>
          <w:sz w:val="24"/>
          <w:szCs w:val="24"/>
        </w:rPr>
        <w:t>SCR</w:t>
      </w:r>
      <w:r>
        <w:rPr>
          <w:rFonts w:ascii="Times New Roman" w:eastAsia="宋体" w:hAnsi="Times New Roman" w:cs="Times New Roman" w:hint="eastAsia"/>
          <w:color w:val="000000" w:themeColor="text1"/>
          <w:kern w:val="1"/>
          <w:sz w:val="24"/>
          <w:szCs w:val="24"/>
        </w:rPr>
        <w:t>脱硝系统脱硝处理，热气体进入尾气膨胀机做功，回收总功率的</w:t>
      </w:r>
      <w:r>
        <w:rPr>
          <w:rFonts w:ascii="Times New Roman" w:eastAsia="宋体" w:hAnsi="Times New Roman" w:cs="Times New Roman" w:hint="eastAsia"/>
          <w:color w:val="000000" w:themeColor="text1"/>
          <w:kern w:val="1"/>
          <w:sz w:val="24"/>
          <w:szCs w:val="24"/>
        </w:rPr>
        <w:t>60%</w:t>
      </w:r>
      <w:r>
        <w:rPr>
          <w:rFonts w:ascii="Times New Roman" w:eastAsia="宋体" w:hAnsi="Times New Roman" w:cs="Times New Roman" w:hint="eastAsia"/>
          <w:color w:val="000000" w:themeColor="text1"/>
          <w:kern w:val="1"/>
          <w:sz w:val="24"/>
          <w:szCs w:val="24"/>
        </w:rPr>
        <w:t>后，最终</w:t>
      </w:r>
      <w:r>
        <w:rPr>
          <w:rFonts w:ascii="Times New Roman" w:eastAsia="宋体" w:hAnsi="Times New Roman" w:cs="Times New Roman"/>
          <w:color w:val="000000" w:themeColor="text1"/>
          <w:kern w:val="1"/>
          <w:sz w:val="24"/>
          <w:szCs w:val="24"/>
        </w:rPr>
        <w:t>由</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color w:val="000000" w:themeColor="text1"/>
          <w:kern w:val="1"/>
          <w:sz w:val="24"/>
          <w:szCs w:val="24"/>
        </w:rPr>
        <w:t>排气筒</w:t>
      </w:r>
      <w:r>
        <w:rPr>
          <w:rFonts w:ascii="Times New Roman" w:eastAsia="宋体" w:hAnsi="Times New Roman" w:cs="Times New Roman" w:hint="eastAsia"/>
          <w:color w:val="000000" w:themeColor="text1"/>
          <w:kern w:val="1"/>
          <w:sz w:val="24"/>
          <w:szCs w:val="24"/>
        </w:rPr>
        <w:t>排放，排气筒高度</w:t>
      </w:r>
      <w:r>
        <w:rPr>
          <w:rFonts w:ascii="Times New Roman" w:eastAsia="宋体" w:hAnsi="Times New Roman" w:cs="Times New Roman" w:hint="eastAsia"/>
          <w:color w:val="000000" w:themeColor="text1"/>
          <w:kern w:val="1"/>
          <w:sz w:val="24"/>
          <w:szCs w:val="24"/>
        </w:rPr>
        <w:t>48m</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2</w:t>
      </w:r>
      <w:r>
        <w:rPr>
          <w:rFonts w:ascii="Times New Roman" w:eastAsia="宋体" w:hAnsi="Times New Roman" w:cs="Times New Roman" w:hint="eastAsia"/>
          <w:color w:val="000000" w:themeColor="text1"/>
          <w:kern w:val="1"/>
          <w:sz w:val="24"/>
          <w:szCs w:val="24"/>
        </w:rPr>
        <w:t>）产污环节</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稀硝酸生产过程中，</w:t>
      </w:r>
      <w:r>
        <w:rPr>
          <w:rFonts w:ascii="Times New Roman" w:eastAsia="宋体" w:hAnsi="Times New Roman" w:cs="Times New Roman"/>
          <w:color w:val="000000" w:themeColor="text1"/>
          <w:kern w:val="1"/>
          <w:sz w:val="24"/>
          <w:szCs w:val="24"/>
        </w:rPr>
        <w:t>产污环节</w:t>
      </w:r>
      <w:r>
        <w:rPr>
          <w:rFonts w:ascii="Times New Roman" w:eastAsia="宋体" w:hAnsi="Times New Roman" w:cs="Times New Roman" w:hint="eastAsia"/>
          <w:color w:val="000000" w:themeColor="text1"/>
          <w:kern w:val="1"/>
          <w:sz w:val="24"/>
          <w:szCs w:val="24"/>
        </w:rPr>
        <w:t>如下</w:t>
      </w:r>
      <w:r>
        <w:rPr>
          <w:rFonts w:ascii="Times New Roman" w:eastAsia="宋体" w:hAnsi="Times New Roman" w:cs="Times New Roman"/>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W1</w:t>
      </w:r>
      <w:r>
        <w:rPr>
          <w:rFonts w:ascii="Times New Roman" w:eastAsia="宋体" w:hAnsi="Times New Roman" w:cs="Times New Roman" w:hint="eastAsia"/>
          <w:color w:val="000000" w:themeColor="text1"/>
          <w:kern w:val="1"/>
          <w:sz w:val="24"/>
          <w:szCs w:val="24"/>
        </w:rPr>
        <w:t>：氨蒸发冷凝水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氨蒸发冷凝水中主要成分为氨，进入生产废水收集池（</w:t>
      </w: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color w:val="000000" w:themeColor="text1"/>
          <w:kern w:val="1"/>
          <w:sz w:val="24"/>
          <w:szCs w:val="24"/>
        </w:rPr>
        <w:t>000m</w:t>
      </w:r>
      <w:r>
        <w:rPr>
          <w:rFonts w:ascii="Times New Roman" w:eastAsia="宋体" w:hAnsi="Times New Roman" w:cs="Times New Roman"/>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），送祥丰金麦公司湿法球磨作为补充用水。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2</w:t>
      </w:r>
      <w:r>
        <w:rPr>
          <w:rFonts w:ascii="Times New Roman" w:eastAsia="宋体" w:hAnsi="Times New Roman" w:cs="Times New Roman" w:hint="eastAsia"/>
          <w:color w:val="000000" w:themeColor="text1"/>
          <w:kern w:val="1"/>
          <w:sz w:val="24"/>
          <w:szCs w:val="24"/>
        </w:rPr>
        <w:t>）废气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G1</w:t>
      </w:r>
      <w:r>
        <w:rPr>
          <w:rFonts w:ascii="Times New Roman" w:eastAsia="宋体" w:hAnsi="Times New Roman" w:cs="Times New Roman" w:hint="eastAsia"/>
          <w:color w:val="000000" w:themeColor="text1"/>
          <w:kern w:val="1"/>
          <w:sz w:val="24"/>
          <w:szCs w:val="24"/>
        </w:rPr>
        <w:t>：吸收塔尾气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本项目吸收塔采用高压低温吸收工艺，由吸收塔出来的尾气，进入尾气分离器，</w:t>
      </w:r>
      <w:r>
        <w:rPr>
          <w:rFonts w:ascii="Times New Roman" w:eastAsia="宋体" w:hAnsi="Times New Roman" w:cs="Times New Roman" w:hint="eastAsia"/>
          <w:color w:val="000000" w:themeColor="text1"/>
          <w:kern w:val="1"/>
          <w:sz w:val="24"/>
          <w:szCs w:val="24"/>
        </w:rPr>
        <w:t xml:space="preserve"> </w:t>
      </w:r>
      <w:r>
        <w:rPr>
          <w:rFonts w:ascii="Times New Roman" w:eastAsia="宋体" w:hAnsi="Times New Roman" w:cs="Times New Roman" w:hint="eastAsia"/>
          <w:color w:val="000000" w:themeColor="text1"/>
          <w:kern w:val="1"/>
          <w:sz w:val="24"/>
          <w:szCs w:val="24"/>
        </w:rPr>
        <w:t>分离夹带的液滴后，进入尾气加热器与压缩后的氧化氮气体换热后，再进入尾气三级预热器中，被氧化炉氧化氮气体加热</w:t>
      </w:r>
      <w:r>
        <w:rPr>
          <w:rFonts w:ascii="Times New Roman" w:eastAsia="宋体" w:hAnsi="Times New Roman" w:cs="Times New Roman"/>
          <w:color w:val="000000" w:themeColor="text1"/>
          <w:kern w:val="1"/>
          <w:sz w:val="24"/>
          <w:szCs w:val="24"/>
        </w:rPr>
        <w:t>到</w:t>
      </w:r>
      <w:r>
        <w:rPr>
          <w:rFonts w:ascii="Times New Roman" w:eastAsia="宋体" w:hAnsi="Times New Roman" w:cs="Times New Roman"/>
          <w:color w:val="000000" w:themeColor="text1"/>
          <w:kern w:val="1"/>
          <w:sz w:val="24"/>
          <w:szCs w:val="24"/>
        </w:rPr>
        <w:t>360</w:t>
      </w:r>
      <w:r>
        <w:rPr>
          <w:rFonts w:ascii="宋体" w:eastAsia="宋体" w:hAnsi="宋体" w:cs="宋体" w:hint="eastAsia"/>
          <w:color w:val="000000" w:themeColor="text1"/>
          <w:kern w:val="1"/>
          <w:sz w:val="24"/>
          <w:szCs w:val="24"/>
        </w:rPr>
        <w:t>℃</w:t>
      </w:r>
      <w:r>
        <w:rPr>
          <w:rFonts w:ascii="Times New Roman" w:eastAsia="宋体" w:hAnsi="Times New Roman" w:cs="Times New Roman"/>
          <w:color w:val="000000" w:themeColor="text1"/>
          <w:kern w:val="1"/>
          <w:sz w:val="24"/>
          <w:szCs w:val="24"/>
        </w:rPr>
        <w:t>左右</w:t>
      </w:r>
      <w:r>
        <w:rPr>
          <w:rFonts w:ascii="Times New Roman" w:eastAsia="宋体" w:hAnsi="Times New Roman" w:cs="Times New Roman" w:hint="eastAsia"/>
          <w:color w:val="000000" w:themeColor="text1"/>
          <w:kern w:val="1"/>
          <w:sz w:val="24"/>
          <w:szCs w:val="24"/>
        </w:rPr>
        <w:t>，热气体进入尾气膨胀机（回收总功率的</w:t>
      </w:r>
      <w:r>
        <w:rPr>
          <w:rFonts w:ascii="Times New Roman" w:eastAsia="宋体" w:hAnsi="Times New Roman" w:cs="Times New Roman" w:hint="eastAsia"/>
          <w:color w:val="000000" w:themeColor="text1"/>
          <w:kern w:val="1"/>
          <w:sz w:val="24"/>
          <w:szCs w:val="24"/>
        </w:rPr>
        <w:t>60%</w:t>
      </w:r>
      <w:r>
        <w:rPr>
          <w:rFonts w:ascii="Times New Roman" w:eastAsia="宋体" w:hAnsi="Times New Roman" w:cs="Times New Roman" w:hint="eastAsia"/>
          <w:color w:val="000000" w:themeColor="text1"/>
          <w:kern w:val="1"/>
          <w:sz w:val="24"/>
          <w:szCs w:val="24"/>
        </w:rPr>
        <w:t>），采用氨选择性催化还原法脱硝处理，最终</w:t>
      </w:r>
      <w:r>
        <w:rPr>
          <w:rFonts w:ascii="Times New Roman" w:eastAsia="宋体" w:hAnsi="Times New Roman" w:cs="Times New Roman"/>
          <w:color w:val="000000" w:themeColor="text1"/>
          <w:kern w:val="1"/>
          <w:sz w:val="24"/>
          <w:szCs w:val="24"/>
        </w:rPr>
        <w:t>由</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color w:val="000000" w:themeColor="text1"/>
          <w:kern w:val="1"/>
          <w:sz w:val="24"/>
          <w:szCs w:val="24"/>
        </w:rPr>
        <w:t>排气筒</w:t>
      </w:r>
      <w:r>
        <w:rPr>
          <w:rFonts w:ascii="Times New Roman" w:eastAsia="宋体" w:hAnsi="Times New Roman" w:cs="Times New Roman" w:hint="eastAsia"/>
          <w:color w:val="000000" w:themeColor="text1"/>
          <w:kern w:val="1"/>
          <w:sz w:val="24"/>
          <w:szCs w:val="24"/>
        </w:rPr>
        <w:t>排放，排气筒高度</w:t>
      </w:r>
      <w:r>
        <w:rPr>
          <w:rFonts w:ascii="Times New Roman" w:eastAsia="宋体" w:hAnsi="Times New Roman" w:cs="Times New Roman" w:hint="eastAsia"/>
          <w:color w:val="000000" w:themeColor="text1"/>
          <w:kern w:val="1"/>
          <w:sz w:val="24"/>
          <w:szCs w:val="24"/>
        </w:rPr>
        <w:t>45m</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hint="eastAsia"/>
          <w:color w:val="000000" w:themeColor="text1"/>
          <w:kern w:val="1"/>
          <w:sz w:val="24"/>
          <w:szCs w:val="24"/>
        </w:rPr>
        <w:t>）噪声</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稀硝酸生产过程中的噪声主要为氨蒸发、空气压缩、热回收、</w:t>
      </w:r>
      <w:r>
        <w:rPr>
          <w:rFonts w:ascii="Times New Roman" w:eastAsia="宋体" w:hAnsi="Times New Roman" w:cs="Times New Roman" w:hint="eastAsia"/>
          <w:color w:val="000000" w:themeColor="text1"/>
          <w:kern w:val="1"/>
          <w:sz w:val="24"/>
          <w:szCs w:val="24"/>
        </w:rPr>
        <w:t>NOx</w:t>
      </w:r>
      <w:r>
        <w:rPr>
          <w:rFonts w:ascii="Times New Roman" w:eastAsia="宋体" w:hAnsi="Times New Roman" w:cs="Times New Roman" w:hint="eastAsia"/>
          <w:color w:val="000000" w:themeColor="text1"/>
          <w:kern w:val="1"/>
          <w:sz w:val="24"/>
          <w:szCs w:val="24"/>
        </w:rPr>
        <w:t>压缩、水泵、酸泵和风机等设备噪声，噪声源强</w:t>
      </w:r>
      <w:r>
        <w:rPr>
          <w:rFonts w:ascii="Times New Roman" w:eastAsia="宋体" w:hAnsi="Times New Roman" w:cs="Times New Roman" w:hint="eastAsia"/>
          <w:color w:val="000000" w:themeColor="text1"/>
          <w:kern w:val="1"/>
          <w:sz w:val="24"/>
          <w:szCs w:val="24"/>
        </w:rPr>
        <w:t>85-90</w:t>
      </w:r>
      <w:r>
        <w:rPr>
          <w:rFonts w:ascii="Times New Roman" w:eastAsia="宋体" w:hAnsi="Times New Roman" w:cs="Times New Roman"/>
          <w:color w:val="000000" w:themeColor="text1"/>
          <w:kern w:val="1"/>
          <w:sz w:val="24"/>
          <w:szCs w:val="24"/>
        </w:rPr>
        <w:t>dB</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A</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4</w:t>
      </w:r>
      <w:r>
        <w:rPr>
          <w:rFonts w:ascii="Times New Roman" w:eastAsia="宋体" w:hAnsi="Times New Roman" w:cs="Times New Roman" w:hint="eastAsia"/>
          <w:color w:val="000000" w:themeColor="text1"/>
          <w:kern w:val="1"/>
          <w:sz w:val="24"/>
          <w:szCs w:val="24"/>
        </w:rPr>
        <w:t>）固体废物</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S1</w:t>
      </w:r>
      <w:r>
        <w:rPr>
          <w:rFonts w:ascii="Times New Roman" w:eastAsia="宋体" w:hAnsi="Times New Roman" w:cs="Times New Roman" w:hint="eastAsia"/>
          <w:color w:val="000000" w:themeColor="text1"/>
          <w:kern w:val="1"/>
          <w:sz w:val="24"/>
          <w:szCs w:val="24"/>
        </w:rPr>
        <w:t>：氨蒸发液氨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气氨过滤废滤料</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在生产过程中，为避免过滤杂质导致滤料发生堵塞，影响生产，需对液氨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气氨过滤器进行检修，一般每</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年检修一次，检修更换的废滤料由滤料供货厂家更换新滤料时回收。</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S2</w:t>
      </w:r>
      <w:r>
        <w:rPr>
          <w:rFonts w:ascii="Times New Roman" w:eastAsia="宋体" w:hAnsi="Times New Roman" w:cs="Times New Roman" w:hint="eastAsia"/>
          <w:color w:val="000000" w:themeColor="text1"/>
          <w:kern w:val="1"/>
          <w:sz w:val="24"/>
          <w:szCs w:val="24"/>
        </w:rPr>
        <w:t>：氧化炉废催化剂</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项目生产过程中，</w:t>
      </w:r>
      <w:r>
        <w:rPr>
          <w:rFonts w:ascii="Times New Roman" w:eastAsia="宋体" w:hAnsi="Times New Roman" w:cs="Times New Roman"/>
          <w:color w:val="000000" w:themeColor="text1"/>
          <w:kern w:val="1"/>
          <w:sz w:val="24"/>
          <w:szCs w:val="24"/>
        </w:rPr>
        <w:t>氨和空气的混合气首先经氧化炉顶部的分配筛板均匀分布在铂网上，进行氨的催化氧化</w:t>
      </w:r>
      <w:r>
        <w:rPr>
          <w:rFonts w:ascii="Times New Roman" w:eastAsia="宋体" w:hAnsi="Times New Roman" w:cs="Times New Roman" w:hint="eastAsia"/>
          <w:color w:val="000000" w:themeColor="text1"/>
          <w:kern w:val="1"/>
          <w:sz w:val="24"/>
          <w:szCs w:val="24"/>
        </w:rPr>
        <w:t>。双加压工艺铂耗约</w:t>
      </w:r>
      <w:r>
        <w:rPr>
          <w:rFonts w:ascii="Times New Roman" w:eastAsia="宋体" w:hAnsi="Times New Roman" w:cs="Times New Roman" w:hint="eastAsia"/>
          <w:color w:val="000000" w:themeColor="text1"/>
          <w:kern w:val="1"/>
          <w:sz w:val="24"/>
          <w:szCs w:val="24"/>
        </w:rPr>
        <w:t>120mg/t</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100%HNO</w:t>
      </w:r>
      <w:r>
        <w:rPr>
          <w:rFonts w:ascii="Times New Roman" w:eastAsia="宋体" w:hAnsi="Times New Roman" w:cs="Times New Roman" w:hint="eastAsia"/>
          <w:color w:val="000000" w:themeColor="text1"/>
          <w:kern w:val="1"/>
          <w:sz w:val="24"/>
          <w:szCs w:val="24"/>
          <w:vertAlign w:val="subscript"/>
        </w:rPr>
        <w:t>3</w:t>
      </w:r>
      <w:r>
        <w:rPr>
          <w:rFonts w:ascii="Times New Roman" w:eastAsia="宋体" w:hAnsi="Times New Roman" w:cs="Times New Roman" w:hint="eastAsia"/>
          <w:color w:val="000000" w:themeColor="text1"/>
          <w:kern w:val="1"/>
          <w:sz w:val="24"/>
          <w:szCs w:val="24"/>
        </w:rPr>
        <w:t>），废催化剂在检修时，由供货厂家更换催化剂时回收。</w:t>
      </w:r>
    </w:p>
    <w:p w:rsidR="00C861DA" w:rsidRDefault="0044752E">
      <w:pPr>
        <w:widowControl/>
        <w:autoSpaceDE/>
        <w:autoSpaceDN/>
        <w:snapToGrid w:val="0"/>
        <w:spacing w:line="360" w:lineRule="auto"/>
        <w:jc w:val="both"/>
        <w:rPr>
          <w:rFonts w:ascii="Times New Roman" w:eastAsia="宋体" w:hAnsi="Times New Roman" w:cs="Times New Roman"/>
          <w:b/>
          <w:color w:val="000000" w:themeColor="text1"/>
          <w:kern w:val="1"/>
          <w:sz w:val="24"/>
          <w:szCs w:val="24"/>
        </w:rPr>
      </w:pPr>
      <w:r>
        <w:rPr>
          <w:rFonts w:ascii="Times New Roman" w:eastAsia="宋体" w:hAnsi="Times New Roman" w:cs="Times New Roman" w:hint="eastAsia"/>
          <w:b/>
          <w:color w:val="000000" w:themeColor="text1"/>
          <w:kern w:val="1"/>
          <w:sz w:val="24"/>
          <w:szCs w:val="24"/>
        </w:rPr>
        <w:t>4.1.1.2</w:t>
      </w:r>
      <w:r>
        <w:rPr>
          <w:rFonts w:ascii="Times New Roman" w:eastAsia="宋体" w:hAnsi="Times New Roman" w:cs="Times New Roman"/>
          <w:b/>
          <w:color w:val="000000" w:themeColor="text1"/>
          <w:kern w:val="1"/>
          <w:sz w:val="24"/>
          <w:szCs w:val="24"/>
        </w:rPr>
        <w:t>硝铵生产</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）工艺流程</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本项目以氨和硝酸为原料，采用采用高压液气混合反应中和工艺，自产硝酸铵溶液，供生产</w:t>
      </w:r>
      <w:r>
        <w:rPr>
          <w:rFonts w:ascii="Times New Roman" w:eastAsia="宋体" w:hAnsi="Times New Roman" w:cs="Times New Roman" w:hint="eastAsia"/>
          <w:color w:val="000000" w:themeColor="text1"/>
          <w:kern w:val="1"/>
          <w:sz w:val="24"/>
          <w:szCs w:val="24"/>
        </w:rPr>
        <w:t>30</w:t>
      </w:r>
      <w:r>
        <w:rPr>
          <w:rFonts w:ascii="Times New Roman" w:eastAsia="宋体" w:hAnsi="Times New Roman" w:cs="Times New Roman" w:hint="eastAsia"/>
          <w:color w:val="000000" w:themeColor="text1"/>
          <w:kern w:val="1"/>
          <w:sz w:val="24"/>
          <w:szCs w:val="24"/>
        </w:rPr>
        <w:t>万吨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年硝基复合肥使用。工艺流程见图</w:t>
      </w:r>
      <w:r>
        <w:rPr>
          <w:rFonts w:ascii="Times New Roman" w:eastAsia="宋体" w:hAnsi="Times New Roman" w:cs="Times New Roman" w:hint="eastAsia"/>
          <w:color w:val="000000" w:themeColor="text1"/>
          <w:kern w:val="1"/>
          <w:sz w:val="24"/>
          <w:szCs w:val="24"/>
        </w:rPr>
        <w:t>4.1-3</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36416" behindDoc="0" locked="0" layoutInCell="1" allowOverlap="1">
                <wp:simplePos x="0" y="0"/>
                <wp:positionH relativeFrom="column">
                  <wp:posOffset>2686050</wp:posOffset>
                </wp:positionH>
                <wp:positionV relativeFrom="paragraph">
                  <wp:posOffset>250190</wp:posOffset>
                </wp:positionV>
                <wp:extent cx="200025" cy="171450"/>
                <wp:effectExtent l="0" t="0" r="9525" b="0"/>
                <wp:wrapNone/>
                <wp:docPr id="19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气</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75" o:spid="_x0000_s1026" o:spt="202" type="#_x0000_t202" style="position:absolute;left:0pt;margin-left:211.5pt;margin-top:19.7pt;height:13.5pt;width:15.75pt;z-index:251836416;mso-width-relative:page;mso-height-relative:page;" fillcolor="#FFFFFF" filled="t" stroked="f" coordsize="21600,21600" o:gfxdata="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JQnQ9kAAAAJAQAADwAAAAAAAAABACAAAAAiAAAAZHJzL2Rvd25yZXYueG1s&#10;UEsBAhQAFAAAAAgAh07iQPh24AL3AQAA4QMAAA4AAAAAAAAAAQAgAAAAKAEAAGRycy9lMm9Eb2Mu&#10;eG1sUEsFBgAAAAAGAAYAWQEAAJEFAAAAAA==&#10;">
                <v:fill on="t" focussize="0,0"/>
                <v:stroke on="f"/>
                <v:imagedata o:title=""/>
                <o:lock v:ext="edit" aspectratio="f"/>
                <v:textbox inset="0mm,0mm,0mm,0mm">
                  <w:txbxContent>
                    <w:p>
                      <w:pPr>
                        <w:rPr>
                          <w:rFonts w:ascii="宋体" w:hAnsi="宋体"/>
                        </w:rPr>
                      </w:pPr>
                      <w:r>
                        <w:rPr>
                          <w:rFonts w:hint="eastAsia" w:ascii="宋体" w:hAnsi="宋体"/>
                        </w:rPr>
                        <w:t>气</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56896" behindDoc="0" locked="0" layoutInCell="1" allowOverlap="1">
                <wp:simplePos x="0" y="0"/>
                <wp:positionH relativeFrom="column">
                  <wp:posOffset>4845050</wp:posOffset>
                </wp:positionH>
                <wp:positionV relativeFrom="paragraph">
                  <wp:posOffset>259715</wp:posOffset>
                </wp:positionV>
                <wp:extent cx="425450" cy="171450"/>
                <wp:effectExtent l="0" t="2540" r="0" b="0"/>
                <wp:wrapNone/>
                <wp:docPr id="20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回收氨</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68" o:spid="_x0000_s1026" o:spt="202" type="#_x0000_t202" style="position:absolute;left:0pt;margin-left:381.5pt;margin-top:20.45pt;height:13.5pt;width:33.5pt;z-index:251856896;mso-width-relative:page;mso-height-relative:page;" fillcolor="#FFFFFF" filled="t" stroked="f" coordsize="21600,21600" o:gfxdata="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72t0jYAAAACQEAAA8AAAAAAAAAAQAgAAAAIgAAAGRycy9kb3ducmV2LnhtbFBLAQIU&#10;ABQAAAAIAIdO4kDLCxnV8wEAAOEDAAAOAAAAAAAAAAEAIAAAACcBAABkcnMvZTJvRG9jLnhtbFBL&#10;BQYAAAAABgAGAFkBAACMBQAAAAA=&#10;">
                <v:fill on="t" focussize="0,0"/>
                <v:stroke on="f"/>
                <v:imagedata o:title=""/>
                <o:lock v:ext="edit" aspectratio="f"/>
                <v:textbox inset="0mm,0mm,0mm,0mm">
                  <w:txbxContent>
                    <w:p>
                      <w:pPr>
                        <w:rPr>
                          <w:rFonts w:ascii="宋体" w:hAnsi="宋体"/>
                        </w:rPr>
                      </w:pPr>
                      <w:r>
                        <w:rPr>
                          <w:rFonts w:hint="eastAsia" w:ascii="宋体" w:hAnsi="宋体"/>
                        </w:rPr>
                        <w:t>回收氨</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55872" behindDoc="0" locked="0" layoutInCell="1" allowOverlap="1">
                <wp:simplePos x="0" y="0"/>
                <wp:positionH relativeFrom="column">
                  <wp:posOffset>1422400</wp:posOffset>
                </wp:positionH>
                <wp:positionV relativeFrom="paragraph">
                  <wp:posOffset>24765</wp:posOffset>
                </wp:positionV>
                <wp:extent cx="0" cy="273050"/>
                <wp:effectExtent l="60325" t="5715" r="53975" b="16510"/>
                <wp:wrapNone/>
                <wp:docPr id="20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69" o:spid="_x0000_s1026" o:spt="32" type="#_x0000_t32" style="position:absolute;left:0pt;margin-left:112pt;margin-top:1.95pt;height:21.5pt;width:0pt;z-index:251855872;mso-width-relative:page;mso-height-relative:page;" filled="f" stroked="t" coordsize="21600,21600" o:gfxdata="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2Bqzt9cAAAAIAQAADwAAAAAAAAABACAA&#10;AAAiAAAAZHJzL2Rvd25yZXYueG1sUEsBAhQAFAAAAAgAh07iQEjXlD7VAQAAlAMAAA4AAAAAAAAA&#10;AQAgAAAAJgEAAGRycy9lMm9Eb2MueG1sUEsFBgAAAAAGAAYAWQEAAG0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54848" behindDoc="0" locked="0" layoutInCell="1" allowOverlap="1">
                <wp:simplePos x="0" y="0"/>
                <wp:positionH relativeFrom="column">
                  <wp:posOffset>1422400</wp:posOffset>
                </wp:positionH>
                <wp:positionV relativeFrom="paragraph">
                  <wp:posOffset>24765</wp:posOffset>
                </wp:positionV>
                <wp:extent cx="3359150" cy="0"/>
                <wp:effectExtent l="12700" t="5715" r="9525" b="13335"/>
                <wp:wrapNone/>
                <wp:docPr id="19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59150"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AutoShape 70" o:spid="_x0000_s1026" o:spt="32" type="#_x0000_t32" style="position:absolute;left:0pt;flip:x;margin-left:112pt;margin-top:1.95pt;height:0pt;width:264.5pt;z-index:251854848;mso-width-relative:page;mso-height-relative:page;" filled="f" stroked="t" coordsize="21600,21600" o:gfxdata="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1f4y9QAAAAHAQAADwAAAAAAAAABACAAAAAiAAAAZHJzL2Rvd25yZXYueG1s&#10;UEsBAhQAFAAAAAgAh07iQA2ctTTDAQAAcQMAAA4AAAAAAAAAAQAgAAAAIwEAAGRycy9lMm9Eb2Mu&#10;eG1sUEsFBgAAAAAGAAYAWQEAAFgFAAAAAA==&#10;">
                <v:fill on="f" focussize="0,0"/>
                <v:stroke color="#000000" joinstyle="round"/>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53824" behindDoc="0" locked="0" layoutInCell="1" allowOverlap="1">
                <wp:simplePos x="0" y="0"/>
                <wp:positionH relativeFrom="column">
                  <wp:posOffset>4775200</wp:posOffset>
                </wp:positionH>
                <wp:positionV relativeFrom="paragraph">
                  <wp:posOffset>24765</wp:posOffset>
                </wp:positionV>
                <wp:extent cx="0" cy="565150"/>
                <wp:effectExtent l="12700" t="5715" r="6350" b="10160"/>
                <wp:wrapNone/>
                <wp:docPr id="19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515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AutoShape 71" o:spid="_x0000_s1026" o:spt="32" type="#_x0000_t32" style="position:absolute;left:0pt;flip:y;margin-left:376pt;margin-top:1.95pt;height:44.5pt;width:0pt;z-index:251853824;mso-width-relative:page;mso-height-relative:page;" filled="f" stroked="t" coordsize="21600,21600" o:gfxdata="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0NAwtYAAAAIAQAADwAAAAAAAAABACAAAAAiAAAAZHJzL2Rvd25yZXYueG1s&#10;UEsBAhQAFAAAAAgAh07iQEzJ8VfBAQAAcAMAAA4AAAAAAAAAAQAgAAAAJQEAAGRycy9lMm9Eb2Mu&#10;eG1sUEsFBgAAAAAGAAYAWQEAAFgFAAAAAA==&#10;">
                <v:fill on="f" focussize="0,0"/>
                <v:stroke color="#000000" joinstyle="round"/>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47680" behindDoc="0" locked="0" layoutInCell="1" allowOverlap="1">
                <wp:simplePos x="0" y="0"/>
                <wp:positionH relativeFrom="column">
                  <wp:posOffset>3721100</wp:posOffset>
                </wp:positionH>
                <wp:positionV relativeFrom="paragraph">
                  <wp:posOffset>1110615</wp:posOffset>
                </wp:positionV>
                <wp:extent cx="730250" cy="171450"/>
                <wp:effectExtent l="0" t="0" r="0" b="3810"/>
                <wp:wrapNone/>
                <wp:docPr id="19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洗涤冷凝液</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72" o:spid="_x0000_s1026" o:spt="202" type="#_x0000_t202" style="position:absolute;left:0pt;margin-left:293pt;margin-top:87.45pt;height:13.5pt;width:57.5pt;z-index:251847680;mso-width-relative:page;mso-height-relative:page;" fillcolor="#FFFFFF" filled="t" stroked="f" coordsize="21600,21600" o:gfxdata="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kWzP2gAAAAsBAAAPAAAAAAAAAAEAIAAAACIAAABkcnMvZG93bnJldi54bWxQ&#10;SwECFAAUAAAACACHTuJAr1PYnPUBAADhAwAADgAAAAAAAAABACAAAAApAQAAZHJzL2Uyb0RvYy54&#10;bWxQSwUGAAAAAAYABgBZAQAAkAUAAAAA&#10;">
                <v:fill on="t" focussize="0,0"/>
                <v:stroke on="f"/>
                <v:imagedata o:title=""/>
                <o:lock v:ext="edit" aspectratio="f"/>
                <v:textbox inset="0mm,0mm,0mm,0mm">
                  <w:txbxContent>
                    <w:p>
                      <w:pPr>
                        <w:rPr>
                          <w:rFonts w:ascii="宋体" w:hAnsi="宋体"/>
                        </w:rPr>
                      </w:pPr>
                      <w:r>
                        <w:rPr>
                          <w:rFonts w:hint="eastAsia" w:ascii="宋体" w:hAnsi="宋体"/>
                        </w:rPr>
                        <w:t>洗涤冷凝液</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46656" behindDoc="0" locked="0" layoutInCell="1" allowOverlap="1">
                <wp:simplePos x="0" y="0"/>
                <wp:positionH relativeFrom="column">
                  <wp:posOffset>3568700</wp:posOffset>
                </wp:positionH>
                <wp:positionV relativeFrom="paragraph">
                  <wp:posOffset>259715</wp:posOffset>
                </wp:positionV>
                <wp:extent cx="730250" cy="171450"/>
                <wp:effectExtent l="0" t="2540" r="0" b="0"/>
                <wp:wrapNone/>
                <wp:docPr id="19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洗涤冷凝液</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73" o:spid="_x0000_s1026" o:spt="202" type="#_x0000_t202" style="position:absolute;left:0pt;margin-left:281pt;margin-top:20.45pt;height:13.5pt;width:57.5pt;z-index:251846656;mso-width-relative:page;mso-height-relative:page;" fillcolor="#FFFFFF" filled="t" stroked="f" coordsize="21600,21600" o:gfxdata="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w2A29gAAAAJAQAADwAAAAAAAAABACAAAAAiAAAAZHJzL2Rvd25yZXYueG1sUEsB&#10;AhQAFAAAAAgAh07iQN/9G5v1AQAA4QMAAA4AAAAAAAAAAQAgAAAAJwEAAGRycy9lMm9Eb2MueG1s&#10;UEsFBgAAAAAGAAYAWQEAAI4FAAAAAA==&#10;">
                <v:fill on="t" focussize="0,0"/>
                <v:stroke on="f"/>
                <v:imagedata o:title=""/>
                <o:lock v:ext="edit" aspectratio="f"/>
                <v:textbox inset="0mm,0mm,0mm,0mm">
                  <w:txbxContent>
                    <w:p>
                      <w:pPr>
                        <w:rPr>
                          <w:rFonts w:ascii="宋体" w:hAnsi="宋体"/>
                        </w:rPr>
                      </w:pPr>
                      <w:r>
                        <w:rPr>
                          <w:rFonts w:hint="eastAsia" w:ascii="宋体" w:hAnsi="宋体"/>
                        </w:rPr>
                        <w:t>洗涤冷凝液</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37440" behindDoc="0" locked="0" layoutInCell="1" allowOverlap="1">
                <wp:simplePos x="0" y="0"/>
                <wp:positionH relativeFrom="column">
                  <wp:posOffset>3289300</wp:posOffset>
                </wp:positionH>
                <wp:positionV relativeFrom="paragraph">
                  <wp:posOffset>663575</wp:posOffset>
                </wp:positionV>
                <wp:extent cx="304800" cy="171450"/>
                <wp:effectExtent l="3175" t="0" r="0" b="3175"/>
                <wp:wrapNone/>
                <wp:docPr id="19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气</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74" o:spid="_x0000_s1026" o:spt="202" type="#_x0000_t202" style="position:absolute;left:0pt;margin-left:259pt;margin-top:52.25pt;height:13.5pt;width:24pt;z-index:251837440;mso-width-relative:page;mso-height-relative:page;" fillcolor="#FFFFFF" filled="t" stroked="f" coordsize="21600,21600" o:gfxdata="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UVEdHZAAAACwEAAA8AAAAAAAAAAQAgAAAAIgAAAGRycy9kb3ducmV2Lnht&#10;bFBLAQIUABQAAAAIAIdO4kD9a2XZ+AEAAOEDAAAOAAAAAAAAAAEAIAAAACgBAABkcnMvZTJvRG9j&#10;LnhtbFBLBQYAAAAABgAGAFkBAACSBQAAAAA=&#10;">
                <v:fill on="t" focussize="0,0"/>
                <v:stroke on="f"/>
                <v:imagedata o:title=""/>
                <o:lock v:ext="edit" aspectratio="f"/>
                <v:textbox inset="0mm,0mm,0mm,0mm">
                  <w:txbxContent>
                    <w:p>
                      <w:pPr>
                        <w:rPr>
                          <w:rFonts w:ascii="宋体" w:hAnsi="宋体"/>
                        </w:rPr>
                      </w:pPr>
                      <w:r>
                        <w:rPr>
                          <w:rFonts w:hint="eastAsia" w:ascii="宋体" w:hAnsi="宋体"/>
                        </w:rPr>
                        <w:t>气</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35392" behindDoc="0" locked="0" layoutInCell="1" allowOverlap="1">
                <wp:simplePos x="0" y="0"/>
                <wp:positionH relativeFrom="column">
                  <wp:posOffset>768350</wp:posOffset>
                </wp:positionH>
                <wp:positionV relativeFrom="paragraph">
                  <wp:posOffset>233045</wp:posOffset>
                </wp:positionV>
                <wp:extent cx="0" cy="382270"/>
                <wp:effectExtent l="6350" t="13970" r="12700" b="13335"/>
                <wp:wrapNone/>
                <wp:docPr id="19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AutoShape 76" o:spid="_x0000_s1026" o:spt="32" type="#_x0000_t32" style="position:absolute;left:0pt;margin-left:60.5pt;margin-top:18.35pt;height:30.1pt;width:0pt;z-index:251835392;mso-width-relative:page;mso-height-relative:page;" filled="f" stroked="t" coordsize="21600,21600" o:gfxdata="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iGuqrWAAAACQEAAA8AAAAAAAAAAQAgAAAAIgAAAGRycy9kb3ducmV2LnhtbFBLAQIU&#10;ABQAAAAIAIdO4kCnljSSvAEAAGYDAAAOAAAAAAAAAAEAIAAAACUBAABkcnMvZTJvRG9jLnhtbFBL&#10;BQYAAAAABgAGAFkBAABTBQAAAAA=&#10;">
                <v:fill on="f" focussize="0,0"/>
                <v:stroke color="#000000" joinstyle="round"/>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21056" behindDoc="0" locked="0" layoutInCell="1" allowOverlap="1">
                <wp:simplePos x="0" y="0"/>
                <wp:positionH relativeFrom="column">
                  <wp:posOffset>273050</wp:posOffset>
                </wp:positionH>
                <wp:positionV relativeFrom="paragraph">
                  <wp:posOffset>615315</wp:posOffset>
                </wp:positionV>
                <wp:extent cx="495300" cy="0"/>
                <wp:effectExtent l="6350" t="53340" r="22225" b="60960"/>
                <wp:wrapNone/>
                <wp:docPr id="19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77" o:spid="_x0000_s1026" o:spt="32" type="#_x0000_t32" style="position:absolute;left:0pt;margin-left:21.5pt;margin-top:48.45pt;height:0pt;width:39pt;z-index:251821056;mso-width-relative:page;mso-height-relative:page;" filled="f" stroked="t" coordsize="21600,21600" o:gfxdata="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qy5cTXAAAACAEAAA8AAAAAAAAAAQAg&#10;AAAAIgAAAGRycy9kb3ducmV2LnhtbFBLAQIUABQAAAAIAIdO4kC1fQVX1gEAAJQDAAAOAAAAAAAA&#10;AAEAIAAAACYBAABkcnMvZTJvRG9jLnhtbFBLBQYAAAAABgAGAFkBAABuBQ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16960" behindDoc="0" locked="0" layoutInCell="1" allowOverlap="1">
                <wp:simplePos x="0" y="0"/>
                <wp:positionH relativeFrom="column">
                  <wp:posOffset>82550</wp:posOffset>
                </wp:positionH>
                <wp:positionV relativeFrom="paragraph">
                  <wp:posOffset>24765</wp:posOffset>
                </wp:positionV>
                <wp:extent cx="463550" cy="171450"/>
                <wp:effectExtent l="0" t="0" r="0" b="3810"/>
                <wp:wrapNone/>
                <wp:docPr id="19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稀硝酸</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78" o:spid="_x0000_s1026" o:spt="202" type="#_x0000_t202" style="position:absolute;left:0pt;margin-left:6.5pt;margin-top:1.95pt;height:13.5pt;width:36.5pt;z-index:251816960;mso-width-relative:page;mso-height-relative:page;" fillcolor="#FFFFFF" filled="t" stroked="f" coordsize="21600,21600" o:gfxdata="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814n1AAAAAYBAAAPAAAAAAAAAAEAIAAAACIAAABkcnMvZG93bnJldi54bWxQSwECFAAU&#10;AAAACACHTuJAHnJM8fUBAADhAwAADgAAAAAAAAABACAAAAAjAQAAZHJzL2Uyb0RvYy54bWxQSwUG&#10;AAAAAAYABgBZAQAAigUAAAAA&#10;">
                <v:fill on="t" focussize="0,0"/>
                <v:stroke on="f"/>
                <v:imagedata o:title=""/>
                <o:lock v:ext="edit" aspectratio="f"/>
                <v:textbox inset="0mm,0mm,0mm,0mm">
                  <w:txbxContent>
                    <w:p>
                      <w:pPr>
                        <w:rPr>
                          <w:rFonts w:ascii="宋体" w:hAnsi="宋体"/>
                        </w:rPr>
                      </w:pPr>
                      <w:r>
                        <w:rPr>
                          <w:rFonts w:hint="eastAsia" w:ascii="宋体" w:hAnsi="宋体"/>
                        </w:rPr>
                        <w:t>稀硝酸</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17984" behindDoc="0" locked="0" layoutInCell="1" allowOverlap="1">
                <wp:simplePos x="0" y="0"/>
                <wp:positionH relativeFrom="column">
                  <wp:posOffset>273050</wp:posOffset>
                </wp:positionH>
                <wp:positionV relativeFrom="paragraph">
                  <wp:posOffset>240665</wp:posOffset>
                </wp:positionV>
                <wp:extent cx="495300" cy="0"/>
                <wp:effectExtent l="6350" t="59690" r="22225" b="54610"/>
                <wp:wrapNone/>
                <wp:docPr id="190"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79" o:spid="_x0000_s1026" o:spt="32" type="#_x0000_t32" style="position:absolute;left:0pt;margin-left:21.5pt;margin-top:18.95pt;height:0pt;width:39pt;z-index:251817984;mso-width-relative:page;mso-height-relative:page;" filled="f" stroked="t" coordsize="21600,21600" o:gfxdata="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uRRZfXAAAACAEAAA8AAAAAAAAAAQAg&#10;AAAAIgAAAGRycy9kb3ducmV2LnhtbFBLAQIUABQAAAAIAIdO4kBXTCIM1gEAAJQDAAAOAAAAAAAA&#10;AAEAIAAAACYBAABkcnMvZTJvRG9jLnhtbFBLBQYAAAAABgAGAFkBAABuBQ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38464" behindDoc="0" locked="0" layoutInCell="1" allowOverlap="1">
                <wp:simplePos x="0" y="0"/>
                <wp:positionH relativeFrom="column">
                  <wp:posOffset>4114800</wp:posOffset>
                </wp:positionH>
                <wp:positionV relativeFrom="paragraph">
                  <wp:posOffset>187325</wp:posOffset>
                </wp:positionV>
                <wp:extent cx="0" cy="615950"/>
                <wp:effectExtent l="9525" t="6350" r="9525" b="6350"/>
                <wp:wrapNone/>
                <wp:docPr id="18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AutoShape 80" o:spid="_x0000_s1026" o:spt="32" type="#_x0000_t32" style="position:absolute;left:0pt;margin-left:324pt;margin-top:14.75pt;height:48.5pt;width:0pt;z-index:251838464;mso-width-relative:page;mso-height-relative:page;" filled="f" stroked="t" coordsize="21600,21600" o:gfxdata="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1tPpG1wAAAAoBAAAPAAAAAAAAAAEAIAAAACIAAABkcnMvZG93bnJldi54bWxQSwEC&#10;FAAUAAAACACHTuJAZolJLrwBAABmAwAADgAAAAAAAAABACAAAAAmAQAAZHJzL2Uyb0RvYy54bWxQ&#10;SwUGAAAAAAYABgBZAQAAVAUAAAAA&#10;">
                <v:fill on="f" focussize="0,0"/>
                <v:stroke color="#000000" joinstyle="round"/>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28224" behindDoc="0" locked="0" layoutInCell="1" allowOverlap="1">
                <wp:simplePos x="0" y="0"/>
                <wp:positionH relativeFrom="column">
                  <wp:posOffset>3492500</wp:posOffset>
                </wp:positionH>
                <wp:positionV relativeFrom="paragraph">
                  <wp:posOffset>187325</wp:posOffset>
                </wp:positionV>
                <wp:extent cx="622300" cy="0"/>
                <wp:effectExtent l="6350" t="53975" r="19050" b="60325"/>
                <wp:wrapNone/>
                <wp:docPr id="18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81" o:spid="_x0000_s1026" o:spt="32" type="#_x0000_t32" style="position:absolute;left:0pt;margin-left:275pt;margin-top:14.75pt;height:0pt;width:49pt;z-index:251828224;mso-width-relative:page;mso-height-relative:page;" filled="f" stroked="t" coordsize="21600,21600" o:gfxdata="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p+9Jy2AAAAAkBAAAPAAAAAAAAAAEAIAAA&#10;ACIAAABkcnMvZG93bnJldi54bWxQSwECFAAUAAAACACHTuJAkMflwtMBAACUAwAADgAAAAAAAAAB&#10;ACAAAAAnAQAAZHJzL2Uyb0RvYy54bWxQSwUGAAAAAAYABgBZAQAAbA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39488" behindDoc="0" locked="0" layoutInCell="1" allowOverlap="1">
                <wp:simplePos x="0" y="0"/>
                <wp:positionH relativeFrom="column">
                  <wp:posOffset>3632200</wp:posOffset>
                </wp:positionH>
                <wp:positionV relativeFrom="paragraph">
                  <wp:posOffset>803275</wp:posOffset>
                </wp:positionV>
                <wp:extent cx="482600" cy="0"/>
                <wp:effectExtent l="12700" t="60325" r="19050" b="53975"/>
                <wp:wrapNone/>
                <wp:docPr id="18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82" o:spid="_x0000_s1026" o:spt="32" type="#_x0000_t32" style="position:absolute;left:0pt;margin-left:286pt;margin-top:63.25pt;height:0pt;width:38pt;z-index:251839488;mso-width-relative:page;mso-height-relative:page;" filled="f" stroked="t" coordsize="21600,21600" o:gfxdata="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APY4pdkAAAALAQAADwAAAAAAAAAB&#10;ACAAAAAiAAAAZHJzL2Rvd25yZXYueG1sUEsBAhQAFAAAAAgAh07iQNVJEO7WAQAAlAMAAA4AAAAA&#10;AAAAAQAgAAAAKAEAAGRycy9lMm9Eb2MueG1sUEsFBgAAAAAGAAYAWQEAAHA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25152" behindDoc="0" locked="0" layoutInCell="1" allowOverlap="1">
                <wp:simplePos x="0" y="0"/>
                <wp:positionH relativeFrom="column">
                  <wp:posOffset>3003550</wp:posOffset>
                </wp:positionH>
                <wp:positionV relativeFrom="paragraph">
                  <wp:posOffset>34925</wp:posOffset>
                </wp:positionV>
                <wp:extent cx="488950" cy="317500"/>
                <wp:effectExtent l="12700" t="6350" r="12700" b="9525"/>
                <wp:wrapNone/>
                <wp:docPr id="18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洗涤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83" o:spid="_x0000_s1026" o:spt="1" style="position:absolute;left:0pt;margin-left:236.5pt;margin-top:2.75pt;height:25pt;width:38.5pt;z-index:251825152;mso-width-relative:page;mso-height-relative:page;" fillcolor="#FFFFFF" filled="t" stroked="t" coordsize="21600,21600" o:gfxdata="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OC1EdYAAAAIAQAADwAAAAAA&#10;AAABACAAAAAiAAAAZHJzL2Rvd25yZXYueG1sUEsBAhQAFAAAAAgAh07iQF26LbQVAgAAMQQAAA4A&#10;AAAAAAAAAQAgAAAAJQEAAGRycy9lMm9Eb2MueG1sUEsFBgAAAAAGAAYAWQEAAKwFAAAAAA==&#10;">
                <v:fill on="t" focussize="0,0"/>
                <v:stroke color="#000000" miterlimit="8" joinstyle="miter"/>
                <v:imagedata o:title=""/>
                <o:lock v:ext="edit" aspectratio="f"/>
                <v:textbox>
                  <w:txbxContent>
                    <w:p>
                      <w:pPr>
                        <w:rPr>
                          <w:rFonts w:ascii="宋体" w:hAnsi="宋体"/>
                        </w:rPr>
                      </w:pPr>
                      <w:r>
                        <w:rPr>
                          <w:rFonts w:hint="eastAsia" w:ascii="宋体" w:hAnsi="宋体"/>
                        </w:rPr>
                        <w:t>洗涤</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27200" behindDoc="0" locked="0" layoutInCell="1" allowOverlap="1">
                <wp:simplePos x="0" y="0"/>
                <wp:positionH relativeFrom="column">
                  <wp:posOffset>2571750</wp:posOffset>
                </wp:positionH>
                <wp:positionV relativeFrom="paragraph">
                  <wp:posOffset>187325</wp:posOffset>
                </wp:positionV>
                <wp:extent cx="431800" cy="0"/>
                <wp:effectExtent l="9525" t="53975" r="15875" b="60325"/>
                <wp:wrapNone/>
                <wp:docPr id="18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prstDash val="sysDot"/>
                          <a:round/>
                          <a:tailEnd type="triangle" w="med" len="med"/>
                        </a:ln>
                      </wps:spPr>
                      <wps:bodyPr/>
                    </wps:wsp>
                  </a:graphicData>
                </a:graphic>
              </wp:anchor>
            </w:drawing>
          </mc:Choice>
          <mc:Fallback xmlns:wpsCustomData="http://www.wps.cn/officeDocument/2013/wpsCustomData" xmlns:w15="http://schemas.microsoft.com/office/word/2012/wordml">
            <w:pict>
              <v:shape id="AutoShape 84" o:spid="_x0000_s1026" o:spt="32" type="#_x0000_t32" style="position:absolute;left:0pt;margin-left:202.5pt;margin-top:14.75pt;height:0pt;width:34pt;z-index:251827200;mso-width-relative:page;mso-height-relative:page;" filled="f" stroked="t" coordsize="21600,21600" o:gfxdata="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nf3CDZAAAA&#10;CQEAAA8AAAAAAAAAAQAgAAAAIgAAAGRycy9kb3ducmV2LnhtbFBLAQIUABQAAAAIAIdO4kCV7EH0&#10;4wEAAK4DAAAOAAAAAAAAAAEAIAAAACgBAABkcnMvZTJvRG9jLnhtbFBLBQYAAAAABgAGAFkBAAB9&#10;BQAAAAA=&#10;">
                <v:fill on="f" focussize="0,0"/>
                <v:stroke color="#000000" joinstyle="round" dashstyle="1 1"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23104" behindDoc="0" locked="0" layoutInCell="1" allowOverlap="1">
                <wp:simplePos x="0" y="0"/>
                <wp:positionH relativeFrom="column">
                  <wp:posOffset>2089150</wp:posOffset>
                </wp:positionH>
                <wp:positionV relativeFrom="paragraph">
                  <wp:posOffset>34925</wp:posOffset>
                </wp:positionV>
                <wp:extent cx="482600" cy="317500"/>
                <wp:effectExtent l="12700" t="6350" r="9525" b="9525"/>
                <wp:wrapNone/>
                <wp:docPr id="18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分离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85" o:spid="_x0000_s1026" o:spt="1" style="position:absolute;left:0pt;margin-left:164.5pt;margin-top:2.75pt;height:25pt;width:38pt;z-index:251823104;mso-width-relative:page;mso-height-relative:page;" fillcolor="#FFFFFF" filled="t" stroked="t" coordsize="21600,21600" o:gfxdata="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pD7iTVAAAACAEAAA8AAAAAAAAAAQAg&#10;AAAAIgAAAGRycy9kb3ducmV2LnhtbFBLAQIUABQAAAAIAIdO4kDjnOVmEQIAADEEAAAOAAAAAAAA&#10;AAEAIAAAACQBAABkcnMvZTJvRG9jLnhtbFBLBQYAAAAABgAGAFkBAACnBQAAAAA=&#10;">
                <v:fill on="t" focussize="0,0"/>
                <v:stroke color="#000000" miterlimit="8" joinstyle="miter"/>
                <v:imagedata o:title=""/>
                <o:lock v:ext="edit" aspectratio="f"/>
                <v:textbox>
                  <w:txbxContent>
                    <w:p>
                      <w:pPr>
                        <w:rPr>
                          <w:rFonts w:ascii="宋体" w:hAnsi="宋体"/>
                        </w:rPr>
                      </w:pPr>
                      <w:r>
                        <w:rPr>
                          <w:rFonts w:hint="eastAsia" w:ascii="宋体" w:hAnsi="宋体"/>
                        </w:rPr>
                        <w:t>分离</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26176" behindDoc="0" locked="0" layoutInCell="1" allowOverlap="1">
                <wp:simplePos x="0" y="0"/>
                <wp:positionH relativeFrom="column">
                  <wp:posOffset>1822450</wp:posOffset>
                </wp:positionH>
                <wp:positionV relativeFrom="paragraph">
                  <wp:posOffset>187325</wp:posOffset>
                </wp:positionV>
                <wp:extent cx="266700" cy="0"/>
                <wp:effectExtent l="12700" t="53975" r="15875" b="60325"/>
                <wp:wrapNone/>
                <wp:docPr id="18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86" o:spid="_x0000_s1026" o:spt="32" type="#_x0000_t32" style="position:absolute;left:0pt;margin-left:143.5pt;margin-top:14.75pt;height:0pt;width:21pt;z-index:251826176;mso-width-relative:page;mso-height-relative:page;" filled="f" stroked="t" coordsize="21600,21600" o:gfxdata="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XnLJdkAAAAJAQAADwAAAAAAAAAB&#10;ACAAAAAiAAAAZHJzL2Rvd25yZXYueG1sUEsBAhQAFAAAAAgAh07iQNxVJbLWAQAAlAMAAA4AAAAA&#10;AAAAAQAgAAAAKAEAAGRycy9lMm9Eb2MueG1sUEsFBgAAAAAGAAYAWQEAAHA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19008" behindDoc="0" locked="0" layoutInCell="1" allowOverlap="1">
                <wp:simplePos x="0" y="0"/>
                <wp:positionH relativeFrom="column">
                  <wp:posOffset>1035050</wp:posOffset>
                </wp:positionH>
                <wp:positionV relativeFrom="paragraph">
                  <wp:posOffset>34925</wp:posOffset>
                </wp:positionV>
                <wp:extent cx="787400" cy="317500"/>
                <wp:effectExtent l="6350" t="6350" r="6350" b="9525"/>
                <wp:wrapNone/>
                <wp:docPr id="18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加压中和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87" o:spid="_x0000_s1026" o:spt="1" style="position:absolute;left:0pt;margin-left:81.5pt;margin-top:2.75pt;height:25pt;width:62pt;z-index:251819008;mso-width-relative:page;mso-height-relative:page;" fillcolor="#FFFFFF" filled="t" stroked="t" coordsize="21600,21600" o:gfxdata="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IfI8LVAAAACAEAAA8AAAAAAAAAAQAg&#10;AAAAIgAAAGRycy9kb3ducmV2LnhtbFBLAQIUABQAAAAIAIdO4kCWbvi7EQIAADEEAAAOAAAAAAAA&#10;AAEAIAAAACQBAABkcnMvZTJvRG9jLnhtbFBLBQYAAAAABgAGAFkBAACnBQAAAAA=&#10;">
                <v:fill on="t" focussize="0,0"/>
                <v:stroke color="#000000" miterlimit="8" joinstyle="miter"/>
                <v:imagedata o:title=""/>
                <o:lock v:ext="edit" aspectratio="f"/>
                <v:textbox>
                  <w:txbxContent>
                    <w:p>
                      <w:pPr>
                        <w:rPr>
                          <w:rFonts w:ascii="宋体" w:hAnsi="宋体"/>
                        </w:rPr>
                      </w:pPr>
                      <w:r>
                        <w:rPr>
                          <w:rFonts w:hint="eastAsia" w:ascii="宋体" w:hAnsi="宋体"/>
                        </w:rPr>
                        <w:t>加压中和</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22080" behindDoc="0" locked="0" layoutInCell="1" allowOverlap="1">
                <wp:simplePos x="0" y="0"/>
                <wp:positionH relativeFrom="column">
                  <wp:posOffset>768350</wp:posOffset>
                </wp:positionH>
                <wp:positionV relativeFrom="paragraph">
                  <wp:posOffset>187325</wp:posOffset>
                </wp:positionV>
                <wp:extent cx="266700" cy="0"/>
                <wp:effectExtent l="6350" t="53975" r="22225" b="60325"/>
                <wp:wrapNone/>
                <wp:docPr id="18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88" o:spid="_x0000_s1026" o:spt="32" type="#_x0000_t32" style="position:absolute;left:0pt;margin-left:60.5pt;margin-top:14.75pt;height:0pt;width:21pt;z-index:251822080;mso-width-relative:page;mso-height-relative:page;" filled="f" stroked="t" coordsize="21600,21600" o:gfxdata="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8iAd9cAAAAJAQAADwAAAAAAAAABACAA&#10;AAAiAAAAZHJzL2Rvd25yZXYueG1sUEsBAhQAFAAAAAgAh07iQD5kAunVAQAAlAMAAA4AAAAAAAAA&#10;AQAgAAAAJgEAAGRycy9lMm9Eb2MueG1sUEsFBgAAAAAGAAYAWQEAAG0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20032" behindDoc="0" locked="0" layoutInCell="1" allowOverlap="1">
                <wp:simplePos x="0" y="0"/>
                <wp:positionH relativeFrom="column">
                  <wp:posOffset>82550</wp:posOffset>
                </wp:positionH>
                <wp:positionV relativeFrom="paragraph">
                  <wp:posOffset>155575</wp:posOffset>
                </wp:positionV>
                <wp:extent cx="330200" cy="171450"/>
                <wp:effectExtent l="0" t="3175" r="0" b="0"/>
                <wp:wrapNone/>
                <wp:docPr id="18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氨气</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89" o:spid="_x0000_s1026" o:spt="202" type="#_x0000_t202" style="position:absolute;left:0pt;margin-left:6.5pt;margin-top:12.25pt;height:13.5pt;width:26pt;z-index:251820032;mso-width-relative:page;mso-height-relative:page;" fillcolor="#FFFFFF" filled="t" stroked="f" coordsize="21600,21600" o:gfxdata="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LDt+7VAAAABwEAAA8AAAAAAAAAAQAgAAAAIgAAAGRycy9kb3ducmV2LnhtbFBLAQIU&#10;ABQAAAAIAIdO4kBH2bPm9gEAAOEDAAAOAAAAAAAAAAEAIAAAACQBAABkcnMvZTJvRG9jLnhtbFBL&#10;BQYAAAAABgAGAFkBAACMBQAAAAA=&#10;">
                <v:fill on="t" focussize="0,0"/>
                <v:stroke on="f"/>
                <v:imagedata o:title=""/>
                <o:lock v:ext="edit" aspectratio="f"/>
                <v:textbox inset="0mm,0mm,0mm,0mm">
                  <w:txbxContent>
                    <w:p>
                      <w:pPr>
                        <w:rPr>
                          <w:rFonts w:ascii="宋体" w:hAnsi="宋体"/>
                        </w:rPr>
                      </w:pPr>
                      <w:r>
                        <w:rPr>
                          <w:rFonts w:hint="eastAsia" w:ascii="宋体" w:hAnsi="宋体"/>
                        </w:rPr>
                        <w:t>氨气</w:t>
                      </w:r>
                    </w:p>
                  </w:txbxContent>
                </v:textbox>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65088" behindDoc="0" locked="0" layoutInCell="1" allowOverlap="1">
                <wp:simplePos x="0" y="0"/>
                <wp:positionH relativeFrom="column">
                  <wp:posOffset>2806700</wp:posOffset>
                </wp:positionH>
                <wp:positionV relativeFrom="paragraph">
                  <wp:posOffset>137795</wp:posOffset>
                </wp:positionV>
                <wp:extent cx="184150" cy="171450"/>
                <wp:effectExtent l="0" t="4445" r="0" b="0"/>
                <wp:wrapNone/>
                <wp:docPr id="17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hint="eastAsia"/>
                              </w:rPr>
                              <w:t>N8</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90" o:spid="_x0000_s1026" o:spt="202" type="#_x0000_t202" style="position:absolute;left:0pt;margin-left:221pt;margin-top:10.85pt;height:13.5pt;width:14.5pt;z-index:251865088;mso-width-relative:page;mso-height-relative:page;" fillcolor="#FFFFFF" filled="t" stroked="f" coordsize="21600,21600" o:gfxdata="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89xntgAAAAJAQAADwAAAAAAAAABACAAAAAiAAAAZHJzL2Rvd25yZXYueG1sUEsB&#10;AhQAFAAAAAgAh07iQBvEghv1AQAA4QMAAA4AAAAAAAAAAQAgAAAAJwEAAGRycy9lMm9Eb2MueG1s&#10;UEsFBgAAAAAGAAYAWQEAAI4FAAAAAA==&#10;">
                <v:fill on="t" focussize="0,0"/>
                <v:stroke on="f"/>
                <v:imagedata o:title=""/>
                <o:lock v:ext="edit" aspectratio="f"/>
                <v:textbox inset="0mm,0mm,0mm,0mm">
                  <w:txbxContent>
                    <w:p>
                      <w:pPr>
                        <w:rPr>
                          <w:rFonts w:ascii="Times New Roman" w:hAnsi="Times New Roman" w:cs="Times New Roman"/>
                        </w:rPr>
                      </w:pPr>
                      <w:r>
                        <w:rPr>
                          <w:rFonts w:hint="eastAsia" w:ascii="Times New Roman" w:hAnsi="Times New Roman" w:cs="Times New Roman"/>
                        </w:rPr>
                        <w:t>N8</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64064" behindDoc="0" locked="0" layoutInCell="1" allowOverlap="1">
                <wp:simplePos x="0" y="0"/>
                <wp:positionH relativeFrom="column">
                  <wp:posOffset>3035300</wp:posOffset>
                </wp:positionH>
                <wp:positionV relativeFrom="paragraph">
                  <wp:posOffset>89535</wp:posOffset>
                </wp:positionV>
                <wp:extent cx="0" cy="177800"/>
                <wp:effectExtent l="53975" t="13335" r="60325" b="18415"/>
                <wp:wrapNone/>
                <wp:docPr id="17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91" o:spid="_x0000_s1026" o:spt="32" type="#_x0000_t32" style="position:absolute;left:0pt;margin-left:239pt;margin-top:7.05pt;height:14pt;width:0pt;z-index:251864064;mso-width-relative:page;mso-height-relative:page;" filled="f" stroked="t" coordsize="21600,21600" o:gfxdata="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5AnxHUAAAACQEAAA8AAAAA&#10;AAAAAQAgAAAAIgAAAGRycy9kb3ducmV2LnhtbFBLAQIUABQAAAAIAIdO4kDYrRey3wEAAKwDAAAO&#10;AAAAAAAAAAEAIAAAACMBAABkcnMvZTJvRG9jLnhtbFBLBQYAAAAABgAGAFkBAAB0BQ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31296" behindDoc="0" locked="0" layoutInCell="1" allowOverlap="1">
                <wp:simplePos x="0" y="0"/>
                <wp:positionH relativeFrom="column">
                  <wp:posOffset>4451350</wp:posOffset>
                </wp:positionH>
                <wp:positionV relativeFrom="paragraph">
                  <wp:posOffset>64135</wp:posOffset>
                </wp:positionV>
                <wp:extent cx="666750" cy="317500"/>
                <wp:effectExtent l="12700" t="6985" r="6350" b="8890"/>
                <wp:wrapNone/>
                <wp:docPr id="17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氨回收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92" o:spid="_x0000_s1026" o:spt="1" style="position:absolute;left:0pt;margin-left:350.5pt;margin-top:5.05pt;height:25pt;width:52.5pt;z-index:251831296;mso-width-relative:page;mso-height-relative:page;" fillcolor="#FFFFFF" filled="t" stroked="t" coordsize="21600,21600" o:gfxdata="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S20Ec1QAAAAkBAAAPAAAAAAAAAAEA&#10;IAAAACIAAABkcnMvZG93bnJldi54bWxQSwECFAAUAAAACACHTuJAqTbfpBICAAAxBAAADgAAAAAA&#10;AAABACAAAAAkAQAAZHJzL2Uyb0RvYy54bWxQSwUGAAAAAAYABgBZAQAAqAUAAAAA&#10;">
                <v:fill on="t" focussize="0,0"/>
                <v:stroke color="#000000" miterlimit="8" joinstyle="miter"/>
                <v:imagedata o:title=""/>
                <o:lock v:ext="edit" aspectratio="f"/>
                <v:textbox>
                  <w:txbxContent>
                    <w:p>
                      <w:pPr>
                        <w:rPr>
                          <w:rFonts w:ascii="宋体" w:hAnsi="宋体"/>
                        </w:rPr>
                      </w:pPr>
                      <w:r>
                        <w:rPr>
                          <w:rFonts w:hint="eastAsia" w:ascii="宋体" w:hAnsi="宋体"/>
                        </w:rPr>
                        <w:t>氨回收</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45632" behindDoc="0" locked="0" layoutInCell="1" allowOverlap="1">
                <wp:simplePos x="0" y="0"/>
                <wp:positionH relativeFrom="column">
                  <wp:posOffset>4114800</wp:posOffset>
                </wp:positionH>
                <wp:positionV relativeFrom="paragraph">
                  <wp:posOffset>241935</wp:posOffset>
                </wp:positionV>
                <wp:extent cx="336550" cy="0"/>
                <wp:effectExtent l="9525" t="60960" r="15875" b="53340"/>
                <wp:wrapNone/>
                <wp:docPr id="176"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93" o:spid="_x0000_s1026" o:spt="32" type="#_x0000_t32" style="position:absolute;left:0pt;margin-left:324pt;margin-top:19.05pt;height:0pt;width:26.5pt;z-index:251845632;mso-width-relative:page;mso-height-relative:page;" filled="f" stroked="t" coordsize="21600,21600" o:gfxdata="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Ov5/r2AAAAAkBAAAPAAAAAAAAAAEA&#10;IAAAACIAAABkcnMvZG93bnJldi54bWxQSwECFAAUAAAACACHTuJAwZQZq9YBAACUAwAADgAAAAAA&#10;AAABACAAAAAnAQAAZHJzL2Uyb0RvYy54bWxQSwUGAAAAAAYABgBZAQAAbw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40512" behindDoc="0" locked="0" layoutInCell="1" allowOverlap="1">
                <wp:simplePos x="0" y="0"/>
                <wp:positionH relativeFrom="column">
                  <wp:posOffset>3225800</wp:posOffset>
                </wp:positionH>
                <wp:positionV relativeFrom="paragraph">
                  <wp:posOffset>721995</wp:posOffset>
                </wp:positionV>
                <wp:extent cx="0" cy="314960"/>
                <wp:effectExtent l="53975" t="7620" r="60325" b="20320"/>
                <wp:wrapNone/>
                <wp:docPr id="175"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94" o:spid="_x0000_s1026" o:spt="32" type="#_x0000_t32" style="position:absolute;left:0pt;margin-left:254pt;margin-top:56.85pt;height:24.8pt;width:0pt;z-index:251840512;mso-width-relative:page;mso-height-relative:page;" filled="f" stroked="t" coordsize="21600,21600" o:gfxdata="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W/Do9kAAAALAQAADwAAAAAAAAAB&#10;ACAAAAAiAAAAZHJzL2Rvd25yZXYueG1sUEsBAhQAFAAAAAgAh07iQKu9WXHWAQAAlAMAAA4AAAAA&#10;AAAAAQAgAAAAKAEAAGRycy9lMm9Eb2MueG1sUEsFBgAAAAAGAAYAWQEAAHA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30272" behindDoc="0" locked="0" layoutInCell="1" allowOverlap="1">
                <wp:simplePos x="0" y="0"/>
                <wp:positionH relativeFrom="column">
                  <wp:posOffset>3257550</wp:posOffset>
                </wp:positionH>
                <wp:positionV relativeFrom="paragraph">
                  <wp:posOffset>89535</wp:posOffset>
                </wp:positionV>
                <wp:extent cx="0" cy="314960"/>
                <wp:effectExtent l="57150" t="13335" r="57150" b="14605"/>
                <wp:wrapNone/>
                <wp:docPr id="17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9525">
                          <a:solidFill>
                            <a:srgbClr val="000000"/>
                          </a:solidFill>
                          <a:prstDash val="sysDot"/>
                          <a:round/>
                          <a:tailEnd type="triangle" w="med" len="med"/>
                        </a:ln>
                      </wps:spPr>
                      <wps:bodyPr/>
                    </wps:wsp>
                  </a:graphicData>
                </a:graphic>
              </wp:anchor>
            </w:drawing>
          </mc:Choice>
          <mc:Fallback xmlns:wpsCustomData="http://www.wps.cn/officeDocument/2013/wpsCustomData" xmlns:w15="http://schemas.microsoft.com/office/word/2012/wordml">
            <w:pict>
              <v:shape id="AutoShape 95" o:spid="_x0000_s1026" o:spt="32" type="#_x0000_t32" style="position:absolute;left:0pt;margin-left:256.5pt;margin-top:7.05pt;height:24.8pt;width:0pt;z-index:251830272;mso-width-relative:page;mso-height-relative:page;" filled="f" stroked="t" coordsize="21600,21600" o:gfxdata="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pcektgAAAAJ&#10;AQAADwAAAAAAAAABACAAAAAiAAAAZHJzL2Rvd25yZXYueG1sUEsBAhQAFAAAAAgAh07iQJEt5hbj&#10;AQAArgMAAA4AAAAAAAAAAQAgAAAAJwEAAGRycy9lMm9Eb2MueG1sUEsFBgAAAAAGAAYAWQEAAHwF&#10;AAAAAA==&#10;">
                <v:fill on="f" focussize="0,0"/>
                <v:stroke color="#000000" joinstyle="round" dashstyle="1 1"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24128" behindDoc="0" locked="0" layoutInCell="1" allowOverlap="1">
                <wp:simplePos x="0" y="0"/>
                <wp:positionH relativeFrom="column">
                  <wp:posOffset>1593850</wp:posOffset>
                </wp:positionH>
                <wp:positionV relativeFrom="paragraph">
                  <wp:posOffset>137795</wp:posOffset>
                </wp:positionV>
                <wp:extent cx="698500" cy="171450"/>
                <wp:effectExtent l="3175" t="4445" r="3175" b="0"/>
                <wp:wrapNone/>
                <wp:docPr id="17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硝酸铵溶液</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96" o:spid="_x0000_s1026" o:spt="202" type="#_x0000_t202" style="position:absolute;left:0pt;margin-left:125.5pt;margin-top:10.85pt;height:13.5pt;width:55pt;z-index:251824128;mso-width-relative:page;mso-height-relative:page;" fillcolor="#FFFFFF" filled="t" stroked="f" coordsize="21600,21600" o:gfxdata="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mcxpNgAAAAJAQAADwAAAAAAAAABACAAAAAiAAAAZHJzL2Rvd25yZXYueG1s&#10;UEsBAhQAFAAAAAgAh07iQKa60xL4AQAA4QMAAA4AAAAAAAAAAQAgAAAAJwEAAGRycy9lMm9Eb2Mu&#10;eG1sUEsFBgAAAAAGAAYAWQEAAJEFAAAAAA==&#10;">
                <v:fill on="t" focussize="0,0"/>
                <v:stroke on="f"/>
                <v:imagedata o:title=""/>
                <o:lock v:ext="edit" aspectratio="f"/>
                <v:textbox inset="0mm,0mm,0mm,0mm">
                  <w:txbxContent>
                    <w:p>
                      <w:pPr>
                        <w:rPr>
                          <w:rFonts w:ascii="宋体" w:hAnsi="宋体"/>
                        </w:rPr>
                      </w:pPr>
                      <w:r>
                        <w:rPr>
                          <w:rFonts w:hint="eastAsia" w:ascii="宋体" w:hAnsi="宋体"/>
                        </w:rPr>
                        <w:t>硝酸铵溶液</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29248" behindDoc="0" locked="0" layoutInCell="1" allowOverlap="1">
                <wp:simplePos x="0" y="0"/>
                <wp:positionH relativeFrom="column">
                  <wp:posOffset>2324100</wp:posOffset>
                </wp:positionH>
                <wp:positionV relativeFrom="paragraph">
                  <wp:posOffset>89535</wp:posOffset>
                </wp:positionV>
                <wp:extent cx="0" cy="314960"/>
                <wp:effectExtent l="57150" t="13335" r="57150" b="14605"/>
                <wp:wrapNone/>
                <wp:docPr id="172"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97" o:spid="_x0000_s1026" o:spt="32" type="#_x0000_t32" style="position:absolute;left:0pt;margin-left:183pt;margin-top:7.05pt;height:24.8pt;width:0pt;z-index:251829248;mso-width-relative:page;mso-height-relative:page;" filled="f" stroked="t" coordsize="21600,21600" o:gfxdata="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1umNU2AAAAAkBAAAPAAAAAAAAAAEA&#10;IAAAACIAAABkcnMvZG93bnJldi54bWxQSwECFAAUAAAACACHTuJAjVJZF9YBAACUAwAADgAAAAAA&#10;AAABACAAAAAnAQAAZHJzL2Uyb0RvYy54bWxQSwUGAAAAAAYABgBZAQAAbwU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63040" behindDoc="0" locked="0" layoutInCell="1" allowOverlap="1">
                <wp:simplePos x="0" y="0"/>
                <wp:positionH relativeFrom="column">
                  <wp:posOffset>1517650</wp:posOffset>
                </wp:positionH>
                <wp:positionV relativeFrom="paragraph">
                  <wp:posOffset>194945</wp:posOffset>
                </wp:positionV>
                <wp:extent cx="184150" cy="171450"/>
                <wp:effectExtent l="3175" t="4445" r="3175" b="0"/>
                <wp:wrapNone/>
                <wp:docPr id="17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hint="eastAsia"/>
                              </w:rPr>
                              <w:t>N7</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98" o:spid="_x0000_s1026" o:spt="202" type="#_x0000_t202" style="position:absolute;left:0pt;margin-left:119.5pt;margin-top:15.35pt;height:13.5pt;width:14.5pt;z-index:251863040;mso-width-relative:page;mso-height-relative:page;" fillcolor="#FFFFFF" filled="t" stroked="f" coordsize="21600,21600" o:gfxdata="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5hlS92QAAAAkBAAAPAAAAAAAAAAEAIAAAACIAAABkcnMvZG93bnJldi54bWxQSwEC&#10;FAAUAAAACACHTuJAm7efJfMBAADhAwAADgAAAAAAAAABACAAAAAoAQAAZHJzL2Uyb0RvYy54bWxQ&#10;SwUGAAAAAAYABgBZAQAAjQUAAAAA&#10;">
                <v:fill on="t" focussize="0,0"/>
                <v:stroke on="f"/>
                <v:imagedata o:title=""/>
                <o:lock v:ext="edit" aspectratio="f"/>
                <v:textbox inset="0mm,0mm,0mm,0mm">
                  <w:txbxContent>
                    <w:p>
                      <w:pPr>
                        <w:rPr>
                          <w:rFonts w:ascii="Times New Roman" w:hAnsi="Times New Roman" w:cs="Times New Roman"/>
                        </w:rPr>
                      </w:pPr>
                      <w:r>
                        <w:rPr>
                          <w:rFonts w:hint="eastAsia" w:ascii="Times New Roman" w:hAnsi="Times New Roman" w:cs="Times New Roman"/>
                        </w:rPr>
                        <w:t>N7</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57920" behindDoc="0" locked="0" layoutInCell="1" allowOverlap="1">
                <wp:simplePos x="0" y="0"/>
                <wp:positionH relativeFrom="column">
                  <wp:posOffset>4521200</wp:posOffset>
                </wp:positionH>
                <wp:positionV relativeFrom="paragraph">
                  <wp:posOffset>163195</wp:posOffset>
                </wp:positionV>
                <wp:extent cx="228600" cy="171450"/>
                <wp:effectExtent l="0" t="1270" r="3175" b="0"/>
                <wp:wrapNone/>
                <wp:docPr id="17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2</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99" o:spid="_x0000_s1026" o:spt="202" type="#_x0000_t202" style="position:absolute;left:0pt;margin-left:356pt;margin-top:12.85pt;height:13.5pt;width:18pt;z-index:251857920;mso-width-relative:page;mso-height-relative:page;" fillcolor="#FFFFFF" filled="t" stroked="f" coordsize="21600,21600" o:gfxdata="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A9LNdkAAAAJAQAADwAAAAAAAAABACAAAAAiAAAAZHJzL2Rvd25yZXYueG1s&#10;UEsBAhQAFAAAAAgAh07iQJQa03r3AQAA4QMAAA4AAAAAAAAAAQAgAAAAKAEAAGRycy9lMm9Eb2Mu&#10;eG1sUEsFBgAAAAAGAAYAWQEAAJEFAAAAAA==&#10;">
                <v:fill on="t" focussize="0,0"/>
                <v:stroke on="f"/>
                <v:imagedata o:title=""/>
                <o:lock v:ext="edit" aspectratio="f"/>
                <v:textbox inset="0mm,0mm,0mm,0mm">
                  <w:txbxContent>
                    <w:p>
                      <w:pPr>
                        <w:rPr>
                          <w:rFonts w:ascii="Times New Roman" w:hAnsi="Times New Roman" w:cs="Times New Roman"/>
                        </w:rPr>
                      </w:pPr>
                      <w:r>
                        <w:rPr>
                          <w:rFonts w:ascii="Times New Roman" w:hAnsi="Times New Roman" w:cs="Times New Roman"/>
                        </w:rPr>
                        <w:t>W</w:t>
                      </w:r>
                      <w:r>
                        <w:rPr>
                          <w:rFonts w:hint="eastAsia" w:ascii="Times New Roman" w:hAnsi="Times New Roman" w:cs="Times New Roman"/>
                        </w:rPr>
                        <w:t>2</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51776" behindDoc="0" locked="0" layoutInCell="1" allowOverlap="1">
                <wp:simplePos x="0" y="0"/>
                <wp:positionH relativeFrom="column">
                  <wp:posOffset>4781550</wp:posOffset>
                </wp:positionH>
                <wp:positionV relativeFrom="paragraph">
                  <wp:posOffset>760095</wp:posOffset>
                </wp:positionV>
                <wp:extent cx="0" cy="305435"/>
                <wp:effectExtent l="57150" t="7620" r="57150" b="20320"/>
                <wp:wrapNone/>
                <wp:docPr id="169"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4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00" o:spid="_x0000_s1026" o:spt="32" type="#_x0000_t32" style="position:absolute;left:0pt;margin-left:376.5pt;margin-top:59.85pt;height:24.05pt;width:0pt;z-index:251851776;mso-width-relative:page;mso-height-relative:page;" filled="f" stroked="t" coordsize="21600,21600" o:gfxdata="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UU2o9kAAAALAQAADwAAAAAAAAAB&#10;ACAAAAAiAAAAZHJzL2Rvd25yZXYueG1sUEsBAhQAFAAAAAgAh07iQCq4YaTWAQAAlQMAAA4AAAAA&#10;AAAAAQAgAAAAKAEAAGRycy9lMm9Eb2MueG1sUEsFBgAAAAAGAAYAWQEAAHA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50752" behindDoc="0" locked="0" layoutInCell="1" allowOverlap="1">
                <wp:simplePos x="0" y="0"/>
                <wp:positionH relativeFrom="column">
                  <wp:posOffset>4451350</wp:posOffset>
                </wp:positionH>
                <wp:positionV relativeFrom="paragraph">
                  <wp:posOffset>424180</wp:posOffset>
                </wp:positionV>
                <wp:extent cx="762000" cy="317500"/>
                <wp:effectExtent l="12700" t="5080" r="6350" b="10795"/>
                <wp:wrapNone/>
                <wp:docPr id="16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冷凝液槽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01" o:spid="_x0000_s1026" o:spt="1" style="position:absolute;left:0pt;margin-left:350.5pt;margin-top:33.4pt;height:25pt;width:60pt;z-index:251850752;mso-width-relative:page;mso-height-relative:page;" fillcolor="#FFFFFF" filled="t" stroked="t" coordsize="21600,21600" o:gfxdata="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VHlx3WAAAACgEAAA8AAAAAAAAA&#10;AQAgAAAAIgAAAGRycy9kb3ducmV2LnhtbFBLAQIUABQAAAAIAIdO4kCfn4kGEwIAADIEAAAOAAAA&#10;AAAAAAEAIAAAACUBAABkcnMvZTJvRG9jLnhtbFBLBQYAAAAABgAGAFkBAACqBQAAAAA=&#10;">
                <v:fill on="t" focussize="0,0"/>
                <v:stroke color="#000000" miterlimit="8" joinstyle="miter"/>
                <v:imagedata o:title=""/>
                <o:lock v:ext="edit" aspectratio="f"/>
                <v:textbox>
                  <w:txbxContent>
                    <w:p>
                      <w:pPr>
                        <w:rPr>
                          <w:rFonts w:ascii="宋体" w:hAnsi="宋体"/>
                        </w:rPr>
                      </w:pPr>
                      <w:r>
                        <w:rPr>
                          <w:rFonts w:hint="eastAsia" w:ascii="宋体" w:hAnsi="宋体"/>
                        </w:rPr>
                        <w:t>冷凝液槽</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49728" behindDoc="0" locked="0" layoutInCell="1" allowOverlap="1">
                <wp:simplePos x="0" y="0"/>
                <wp:positionH relativeFrom="column">
                  <wp:posOffset>4800600</wp:posOffset>
                </wp:positionH>
                <wp:positionV relativeFrom="paragraph">
                  <wp:posOffset>150495</wp:posOffset>
                </wp:positionV>
                <wp:extent cx="469900" cy="171450"/>
                <wp:effectExtent l="0" t="0" r="0" b="1905"/>
                <wp:wrapNone/>
                <wp:docPr id="16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冷凝液</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02" o:spid="_x0000_s1026" o:spt="202" type="#_x0000_t202" style="position:absolute;left:0pt;margin-left:378pt;margin-top:11.85pt;height:13.5pt;width:37pt;z-index:251849728;mso-width-relative:page;mso-height-relative:page;" fillcolor="#FFFFFF" filled="t" stroked="f" coordsize="21600,21600" o:gfxdata="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6SRv7ZAAAACQEAAA8AAAAAAAAAAQAgAAAAIgAAAGRycy9kb3ducmV2Lnht&#10;bFBLAQIUABQAAAAIAIdO4kBBXdRU+AEAAOIDAAAOAAAAAAAAAAEAIAAAACgBAABkcnMvZTJvRG9j&#10;LnhtbFBLBQYAAAAABgAGAFkBAACSBQAAAAA=&#10;">
                <v:fill on="t" focussize="0,0"/>
                <v:stroke on="f"/>
                <v:imagedata o:title=""/>
                <o:lock v:ext="edit" aspectratio="f"/>
                <v:textbox inset="0mm,0mm,0mm,0mm">
                  <w:txbxContent>
                    <w:p>
                      <w:pPr>
                        <w:rPr>
                          <w:rFonts w:ascii="宋体" w:hAnsi="宋体"/>
                        </w:rPr>
                      </w:pPr>
                      <w:r>
                        <w:rPr>
                          <w:rFonts w:hint="eastAsia" w:ascii="宋体" w:hAnsi="宋体"/>
                        </w:rPr>
                        <w:t>冷凝液</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48704" behindDoc="0" locked="0" layoutInCell="1" allowOverlap="1">
                <wp:simplePos x="0" y="0"/>
                <wp:positionH relativeFrom="column">
                  <wp:posOffset>4781550</wp:posOffset>
                </wp:positionH>
                <wp:positionV relativeFrom="paragraph">
                  <wp:posOffset>118745</wp:posOffset>
                </wp:positionV>
                <wp:extent cx="0" cy="305435"/>
                <wp:effectExtent l="57150" t="13970" r="57150" b="23495"/>
                <wp:wrapNone/>
                <wp:docPr id="16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435"/>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103" o:spid="_x0000_s1026" o:spt="32" type="#_x0000_t32" style="position:absolute;left:0pt;margin-left:376.5pt;margin-top:9.35pt;height:24.05pt;width:0pt;z-index:251848704;mso-width-relative:page;mso-height-relative:page;" filled="f" stroked="t" coordsize="21600,21600" o:gfxdata="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kYq9NUAAAAJAQAADwAA&#10;AAAAAAABACAAAAAiAAAAZHJzL2Rvd25yZXYueG1sUEsBAhQAFAAAAAgAh07iQH/XNIPgAQAArQMA&#10;AA4AAAAAAAAAAQAgAAAAJAEAAGRycy9lMm9Eb2MueG1sUEsFBgAAAAAGAAYAWQEAAHYFA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42560" behindDoc="0" locked="0" layoutInCell="1" allowOverlap="1">
                <wp:simplePos x="0" y="0"/>
                <wp:positionH relativeFrom="column">
                  <wp:posOffset>2832100</wp:posOffset>
                </wp:positionH>
                <wp:positionV relativeFrom="paragraph">
                  <wp:posOffset>774065</wp:posOffset>
                </wp:positionV>
                <wp:extent cx="762000" cy="317500"/>
                <wp:effectExtent l="12700" t="12065" r="6350" b="13335"/>
                <wp:wrapNone/>
                <wp:docPr id="165"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常压贮槽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04" o:spid="_x0000_s1026" o:spt="1" style="position:absolute;left:0pt;margin-left:223pt;margin-top:60.95pt;height:25pt;width:60pt;z-index:251842560;mso-width-relative:page;mso-height-relative:page;" fillcolor="#FFFFFF" filled="t" stroked="t" coordsize="21600,21600" o:gfxdata="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clQK01wAAAAsBAAAPAAAAAAAA&#10;AAEAIAAAACIAAABkcnMvZG93bnJldi54bWxQSwECFAAUAAAACACHTuJAJ0bz3RMCAAAyBAAADgAA&#10;AAAAAAABACAAAAAmAQAAZHJzL2Uyb0RvYy54bWxQSwUGAAAAAAYABgBZAQAAqwUAAAAA&#10;">
                <v:fill on="t" focussize="0,0"/>
                <v:stroke color="#000000" miterlimit="8" joinstyle="miter"/>
                <v:imagedata o:title=""/>
                <o:lock v:ext="edit" aspectratio="f"/>
                <v:textbox>
                  <w:txbxContent>
                    <w:p>
                      <w:pPr>
                        <w:rPr>
                          <w:rFonts w:ascii="宋体" w:hAnsi="宋体"/>
                        </w:rPr>
                      </w:pPr>
                      <w:r>
                        <w:rPr>
                          <w:rFonts w:hint="eastAsia" w:ascii="宋体" w:hAnsi="宋体"/>
                        </w:rPr>
                        <w:t>常压贮槽</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34368" behindDoc="0" locked="0" layoutInCell="1" allowOverlap="1">
                <wp:simplePos x="0" y="0"/>
                <wp:positionH relativeFrom="column">
                  <wp:posOffset>2870200</wp:posOffset>
                </wp:positionH>
                <wp:positionV relativeFrom="paragraph">
                  <wp:posOffset>141605</wp:posOffset>
                </wp:positionV>
                <wp:extent cx="762000" cy="317500"/>
                <wp:effectExtent l="12700" t="8255" r="6350" b="7620"/>
                <wp:wrapNone/>
                <wp:docPr id="16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降膜蒸发</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05" o:spid="_x0000_s1026" o:spt="1" style="position:absolute;left:0pt;margin-left:226pt;margin-top:11.15pt;height:25pt;width:60pt;z-index:251834368;mso-width-relative:page;mso-height-relative:page;" fillcolor="#FFFFFF" filled="t" stroked="t" coordsize="21600,21600" o:gfxdata="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Gs/KF1wAAAAkBAAAPAAAAAAAA&#10;AAEAIAAAACIAAABkcnMvZG93bnJldi54bWxQSwECFAAUAAAACACHTuJABxlkgRMCAAAyBAAADgAA&#10;AAAAAAABACAAAAAmAQAAZHJzL2Uyb0RvYy54bWxQSwUGAAAAAAYABgBZAQAAqwUAAAAA&#10;">
                <v:fill on="t" focussize="0,0"/>
                <v:stroke color="#000000" miterlimit="8" joinstyle="miter"/>
                <v:imagedata o:title=""/>
                <o:lock v:ext="edit" aspectratio="f"/>
                <v:textbox>
                  <w:txbxContent>
                    <w:p>
                      <w:pPr>
                        <w:rPr>
                          <w:rFonts w:ascii="宋体" w:hAnsi="宋体"/>
                        </w:rPr>
                      </w:pPr>
                      <w:r>
                        <w:rPr>
                          <w:rFonts w:hint="eastAsia" w:ascii="宋体" w:hAnsi="宋体"/>
                        </w:rPr>
                        <w:t>降膜蒸发</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32320" behindDoc="0" locked="0" layoutInCell="1" allowOverlap="1">
                <wp:simplePos x="0" y="0"/>
                <wp:positionH relativeFrom="column">
                  <wp:posOffset>2038350</wp:posOffset>
                </wp:positionH>
                <wp:positionV relativeFrom="paragraph">
                  <wp:posOffset>139065</wp:posOffset>
                </wp:positionV>
                <wp:extent cx="482600" cy="317500"/>
                <wp:effectExtent l="9525" t="5715" r="12700" b="10160"/>
                <wp:wrapNone/>
                <wp:docPr id="16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闪蒸</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06" o:spid="_x0000_s1026" o:spt="1" style="position:absolute;left:0pt;margin-left:160.5pt;margin-top:10.95pt;height:25pt;width:38pt;z-index:251832320;mso-width-relative:page;mso-height-relative:page;" fillcolor="#FFFFFF" filled="t" stroked="t" coordsize="21600,21600" o:gfxdata="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geWmPWAAAACQEAAA8AAAAAAAAA&#10;AQAgAAAAIgAAAGRycy9kb3ducmV2LnhtbFBLAQIUABQAAAAIAIdO4kAh0TaiEwIAADIEAAAOAAAA&#10;AAAAAAEAIAAAACUBAABkcnMvZTJvRG9jLnhtbFBLBQYAAAAABgAGAFkBAACqBQAAAAA=&#10;">
                <v:fill on="t" focussize="0,0"/>
                <v:stroke color="#000000" miterlimit="8" joinstyle="miter"/>
                <v:imagedata o:title=""/>
                <o:lock v:ext="edit" aspectratio="f"/>
                <v:textbox>
                  <w:txbxContent>
                    <w:p>
                      <w:pPr>
                        <w:rPr>
                          <w:rFonts w:ascii="宋体" w:hAnsi="宋体"/>
                        </w:rPr>
                      </w:pPr>
                      <w:r>
                        <w:rPr>
                          <w:rFonts w:hint="eastAsia" w:ascii="宋体" w:hAnsi="宋体"/>
                        </w:rPr>
                        <w:t>闪蒸</w:t>
                      </w:r>
                    </w:p>
                  </w:txbxContent>
                </v:textbox>
              </v:rect>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62016" behindDoc="0" locked="0" layoutInCell="1" allowOverlap="1">
                <wp:simplePos x="0" y="0"/>
                <wp:positionH relativeFrom="column">
                  <wp:posOffset>1734185</wp:posOffset>
                </wp:positionH>
                <wp:positionV relativeFrom="paragraph">
                  <wp:posOffset>14605</wp:posOffset>
                </wp:positionV>
                <wp:extent cx="304165" cy="0"/>
                <wp:effectExtent l="19685" t="52705" r="9525" b="61595"/>
                <wp:wrapNone/>
                <wp:docPr id="16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107" o:spid="_x0000_s1026" o:spt="32" type="#_x0000_t32" style="position:absolute;left:0pt;flip:x;margin-left:136.55pt;margin-top:1.15pt;height:0pt;width:23.95pt;z-index:251862016;mso-width-relative:page;mso-height-relative:page;" filled="f" stroked="t" coordsize="21600,21600" o:gfxdata="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mlB+o0gAAAAcB&#10;AAAPAAAAAAAAAAEAIAAAACIAAABkcnMvZG93bnJldi54bWxQSwECFAAUAAAACACHTuJAihefW+gB&#10;AAC3AwAADgAAAAAAAAABACAAAAAhAQAAZHJzL2Uyb0RvYy54bWxQSwUGAAAAAAYABgBZAQAAewUA&#10;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41536" behindDoc="0" locked="0" layoutInCell="1" allowOverlap="1">
                <wp:simplePos x="0" y="0"/>
                <wp:positionH relativeFrom="column">
                  <wp:posOffset>2228850</wp:posOffset>
                </wp:positionH>
                <wp:positionV relativeFrom="paragraph">
                  <wp:posOffset>230505</wp:posOffset>
                </wp:positionV>
                <wp:extent cx="965200" cy="171450"/>
                <wp:effectExtent l="0" t="1905" r="0" b="0"/>
                <wp:wrapNone/>
                <wp:docPr id="16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硝酸铵料浆溶液</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08" o:spid="_x0000_s1026" o:spt="202" type="#_x0000_t202" style="position:absolute;left:0pt;margin-left:175.5pt;margin-top:18.15pt;height:13.5pt;width:76pt;z-index:251841536;mso-width-relative:page;mso-height-relative:page;" fillcolor="#FFFFFF" filled="t" stroked="f" coordsize="21600,21600" o:gfxdata="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xVzRo1wAAAAkBAAAPAAAAAAAAAAEAIAAAACIAAABkcnMvZG93bnJldi54bWxQ&#10;SwECFAAUAAAACACHTuJAYk9GfPgBAADiAwAADgAAAAAAAAABACAAAAAmAQAAZHJzL2Uyb0RvYy54&#10;bWxQSwUGAAAAAAYABgBZAQAAkAUAAAAA&#10;">
                <v:fill on="t" focussize="0,0"/>
                <v:stroke on="f"/>
                <v:imagedata o:title=""/>
                <o:lock v:ext="edit" aspectratio="f"/>
                <v:textbox inset="0mm,0mm,0mm,0mm">
                  <w:txbxContent>
                    <w:p>
                      <w:pPr>
                        <w:rPr>
                          <w:rFonts w:ascii="宋体" w:hAnsi="宋体"/>
                        </w:rPr>
                      </w:pPr>
                      <w:r>
                        <w:rPr>
                          <w:rFonts w:hint="eastAsia" w:ascii="宋体" w:hAnsi="宋体"/>
                        </w:rPr>
                        <w:t>硝酸铵料浆溶液</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33344" behindDoc="0" locked="0" layoutInCell="1" allowOverlap="1">
                <wp:simplePos x="0" y="0"/>
                <wp:positionH relativeFrom="column">
                  <wp:posOffset>2520950</wp:posOffset>
                </wp:positionH>
                <wp:positionV relativeFrom="paragraph">
                  <wp:posOffset>14605</wp:posOffset>
                </wp:positionV>
                <wp:extent cx="349250" cy="0"/>
                <wp:effectExtent l="6350" t="52705" r="15875" b="61595"/>
                <wp:wrapNone/>
                <wp:docPr id="160"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09" o:spid="_x0000_s1026" o:spt="32" type="#_x0000_t32" style="position:absolute;left:0pt;margin-left:198.5pt;margin-top:1.15pt;height:0pt;width:27.5pt;z-index:251833344;mso-width-relative:page;mso-height-relative:page;" filled="f" stroked="t" coordsize="21600,21600" o:gfxdata="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GC+gjXAAAABwEAAA8AAAAAAAAAAQAg&#10;AAAAIgAAAGRycy9kb3ducmV2LnhtbFBLAQIUABQAAAAIAIdO4kCV2kO41gEAAJUDAAAOAAAAAAAA&#10;AAEAIAAAACYBAABkcnMvZTJvRG9jLnhtbFBLBQYAAAAABgAGAFkBAABuBQ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59968" behindDoc="0" locked="0" layoutInCell="1" allowOverlap="1">
                <wp:simplePos x="0" y="0"/>
                <wp:positionH relativeFrom="column">
                  <wp:posOffset>3670300</wp:posOffset>
                </wp:positionH>
                <wp:positionV relativeFrom="paragraph">
                  <wp:posOffset>102235</wp:posOffset>
                </wp:positionV>
                <wp:extent cx="482600" cy="171450"/>
                <wp:effectExtent l="3175" t="0" r="0" b="2540"/>
                <wp:wrapNone/>
                <wp:docPr id="15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2</w:t>
                            </w:r>
                            <w:r>
                              <w:rPr>
                                <w:rFonts w:ascii="Times New Roman" w:hAnsi="Times New Roman" w:cs="Times New Roman" w:hint="eastAsia"/>
                              </w:rPr>
                              <w:t>/N10</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10" o:spid="_x0000_s1026" o:spt="202" type="#_x0000_t202" style="position:absolute;left:0pt;margin-left:289pt;margin-top:8.05pt;height:13.5pt;width:38pt;z-index:251859968;mso-width-relative:page;mso-height-relative:page;" fillcolor="#FFFFFF" filled="t" stroked="f" coordsize="21600,21600" o:gfxdata="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xzxUdgAAAAJAQAADwAAAAAAAAABACAAAAAiAAAAZHJzL2Rvd25yZXYueG1s&#10;UEsBAhQAFAAAAAgAh07iQJ8R4An4AQAA4gMAAA4AAAAAAAAAAQAgAAAAJwEAAGRycy9lMm9Eb2Mu&#10;eG1sUEsFBgAAAAAGAAYAWQEAAJEFAAAAAA==&#10;">
                <v:fill on="t" focussize="0,0"/>
                <v:stroke on="f"/>
                <v:imagedata o:title=""/>
                <o:lock v:ext="edit" aspectratio="f"/>
                <v:textbox inset="0mm,0mm,0mm,0mm">
                  <w:txbxContent>
                    <w:p>
                      <w:pPr>
                        <w:rPr>
                          <w:rFonts w:ascii="Times New Roman" w:hAnsi="Times New Roman" w:cs="Times New Roman"/>
                        </w:rPr>
                      </w:pPr>
                      <w:r>
                        <w:rPr>
                          <w:rFonts w:hint="eastAsia" w:ascii="Times New Roman" w:hAnsi="Times New Roman" w:cs="Times New Roman"/>
                        </w:rPr>
                        <w:t>G</w:t>
                      </w:r>
                      <w:r>
                        <w:rPr>
                          <w:rFonts w:ascii="Times New Roman" w:hAnsi="Times New Roman" w:cs="Times New Roman"/>
                        </w:rPr>
                        <w:t>2</w:t>
                      </w:r>
                      <w:r>
                        <w:rPr>
                          <w:rFonts w:hint="eastAsia" w:ascii="Times New Roman" w:hAnsi="Times New Roman" w:cs="Times New Roman"/>
                        </w:rPr>
                        <w:t>/N10</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58944" behindDoc="0" locked="0" layoutInCell="1" allowOverlap="1">
                <wp:simplePos x="0" y="0"/>
                <wp:positionH relativeFrom="column">
                  <wp:posOffset>4147185</wp:posOffset>
                </wp:positionH>
                <wp:positionV relativeFrom="paragraph">
                  <wp:posOffset>176530</wp:posOffset>
                </wp:positionV>
                <wp:extent cx="304165" cy="0"/>
                <wp:effectExtent l="22860" t="52705" r="6350" b="61595"/>
                <wp:wrapNone/>
                <wp:docPr id="158"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111" o:spid="_x0000_s1026" o:spt="32" type="#_x0000_t32" style="position:absolute;left:0pt;flip:x;margin-left:326.55pt;margin-top:13.9pt;height:0pt;width:23.95pt;z-index:251858944;mso-width-relative:page;mso-height-relative:page;" filled="f" stroked="t" coordsize="21600,21600" o:gfxdata="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LN2E0wAAAAkB&#10;AAAPAAAAAAAAAAEAIAAAACIAAABkcnMvZG93bnJldi54bWxQSwECFAAUAAAACACHTuJAAK99OecB&#10;AAC3AwAADgAAAAAAAAABACAAAAAiAQAAZHJzL2Uyb0RvYy54bWxQSwUGAAAAAAYABgBZAQAAewUA&#10;AAAA&#10;">
                <v:fill on="f" focussize="0,0"/>
                <v:stroke color="#000000" joinstyle="round" dashstyle="dash" endarrow="block"/>
                <v:imagedata o:title=""/>
                <o:lock v:ext="edit" aspectratio="f"/>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67136" behindDoc="0" locked="0" layoutInCell="1" allowOverlap="1">
                <wp:simplePos x="0" y="0"/>
                <wp:positionH relativeFrom="column">
                  <wp:posOffset>3860800</wp:posOffset>
                </wp:positionH>
                <wp:positionV relativeFrom="paragraph">
                  <wp:posOffset>66675</wp:posOffset>
                </wp:positionV>
                <wp:extent cx="184150" cy="171450"/>
                <wp:effectExtent l="3175" t="0" r="3175" b="0"/>
                <wp:wrapNone/>
                <wp:docPr id="15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hint="eastAsia"/>
                              </w:rPr>
                              <w:t>N9</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12" o:spid="_x0000_s1026" o:spt="202" type="#_x0000_t202" style="position:absolute;left:0pt;margin-left:304pt;margin-top:5.25pt;height:13.5pt;width:14.5pt;z-index:251867136;mso-width-relative:page;mso-height-relative:page;" fillcolor="#FFFFFF" filled="t" stroked="f" coordsize="21600,21600" o:gfxdata="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VDif2AAAAAkBAAAPAAAAAAAAAAEAIAAAACIAAABkcnMvZG93bnJldi54bWxQSwEC&#10;FAAUAAAACACHTuJA3S5aaPQBAADiAwAADgAAAAAAAAABACAAAAAnAQAAZHJzL2Uyb0RvYy54bWxQ&#10;SwUGAAAAAAYABgBZAQAAjQUAAAAA&#10;">
                <v:fill on="t" focussize="0,0"/>
                <v:stroke on="f"/>
                <v:imagedata o:title=""/>
                <o:lock v:ext="edit" aspectratio="f"/>
                <v:textbox inset="0mm,0mm,0mm,0mm">
                  <w:txbxContent>
                    <w:p>
                      <w:pPr>
                        <w:rPr>
                          <w:rFonts w:ascii="Times New Roman" w:hAnsi="Times New Roman" w:cs="Times New Roman"/>
                        </w:rPr>
                      </w:pPr>
                      <w:r>
                        <w:rPr>
                          <w:rFonts w:hint="eastAsia" w:ascii="Times New Roman" w:hAnsi="Times New Roman" w:cs="Times New Roman"/>
                        </w:rPr>
                        <w:t>N9</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66112" behindDoc="0" locked="0" layoutInCell="1" allowOverlap="1">
                <wp:simplePos x="0" y="0"/>
                <wp:positionH relativeFrom="column">
                  <wp:posOffset>3594100</wp:posOffset>
                </wp:positionH>
                <wp:positionV relativeFrom="paragraph">
                  <wp:posOffset>137795</wp:posOffset>
                </wp:positionV>
                <wp:extent cx="260985" cy="0"/>
                <wp:effectExtent l="12700" t="61595" r="21590" b="52705"/>
                <wp:wrapNone/>
                <wp:docPr id="15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113" o:spid="_x0000_s1026" o:spt="32" type="#_x0000_t32" style="position:absolute;left:0pt;margin-left:283pt;margin-top:10.85pt;height:0pt;width:20.55pt;z-index:251866112;mso-width-relative:page;mso-height-relative:page;" filled="f" stroked="t" coordsize="21600,21600" o:gfxdata="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ZGESfVAAAACQEAAA8A&#10;AAAAAAAAAQAgAAAAIgAAAGRycy9kb3ducmV2LnhtbFBLAQIUABQAAAAIAIdO4kAiZTkB4QEAAK0D&#10;AAAOAAAAAAAAAAEAIAAAACQBAABkcnMvZTJvRG9jLnhtbFBLBQYAAAAABgAGAFkBAAB3BQ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44608" behindDoc="0" locked="0" layoutInCell="1" allowOverlap="1">
                <wp:simplePos x="0" y="0"/>
                <wp:positionH relativeFrom="column">
                  <wp:posOffset>1346200</wp:posOffset>
                </wp:positionH>
                <wp:positionV relativeFrom="paragraph">
                  <wp:posOffset>47625</wp:posOffset>
                </wp:positionV>
                <wp:extent cx="946150" cy="171450"/>
                <wp:effectExtent l="3175" t="0" r="3175" b="0"/>
                <wp:wrapNone/>
                <wp:docPr id="15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硝基复合肥生产</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14" o:spid="_x0000_s1026" o:spt="202" type="#_x0000_t202" style="position:absolute;left:0pt;margin-left:106pt;margin-top:3.75pt;height:13.5pt;width:74.5pt;z-index:251844608;mso-width-relative:page;mso-height-relative:page;" fillcolor="#FFFFFF" filled="t" stroked="f" coordsize="21600,21600" o:gfxdata="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t0k/1wAAAAgBAAAPAAAAAAAAAAEAIAAAACIAAABkcnMvZG93bnJldi54bWxQSwEC&#10;FAAUAAAACACHTuJA0fhPE/UBAADiAwAADgAAAAAAAAABACAAAAAmAQAAZHJzL2Uyb0RvYy54bWxQ&#10;SwUGAAAAAAYABgBZAQAAjQUAAAAA&#10;">
                <v:fill on="t" focussize="0,0"/>
                <v:stroke on="f"/>
                <v:imagedata o:title=""/>
                <o:lock v:ext="edit" aspectratio="f"/>
                <v:textbox inset="0mm,0mm,0mm,0mm">
                  <w:txbxContent>
                    <w:p>
                      <w:pPr>
                        <w:rPr>
                          <w:rFonts w:ascii="宋体" w:hAnsi="宋体"/>
                        </w:rPr>
                      </w:pPr>
                      <w:r>
                        <w:rPr>
                          <w:rFonts w:hint="eastAsia" w:ascii="宋体" w:hAnsi="宋体"/>
                        </w:rPr>
                        <w:t>硝基复合肥生产</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43584" behindDoc="0" locked="0" layoutInCell="1" allowOverlap="1">
                <wp:simplePos x="0" y="0"/>
                <wp:positionH relativeFrom="column">
                  <wp:posOffset>2292350</wp:posOffset>
                </wp:positionH>
                <wp:positionV relativeFrom="paragraph">
                  <wp:posOffset>136525</wp:posOffset>
                </wp:positionV>
                <wp:extent cx="514350" cy="0"/>
                <wp:effectExtent l="15875" t="60325" r="12700" b="53975"/>
                <wp:wrapNone/>
                <wp:docPr id="154"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15" o:spid="_x0000_s1026" o:spt="32" type="#_x0000_t32" style="position:absolute;left:0pt;flip:x;margin-left:180.5pt;margin-top:10.75pt;height:0pt;width:40.5pt;z-index:251843584;mso-width-relative:page;mso-height-relative:page;" filled="f" stroked="t" coordsize="21600,21600" o:gfxdata="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lpsMk2AAAAAkBAAAPAAAA&#10;AAAAAAEAIAAAACIAAABkcnMvZG93bnJldi54bWxQSwECFAAUAAAACACHTuJAJ9wIRdwBAACfAwAA&#10;DgAAAAAAAAABACAAAAAnAQAAZHJzL2Uyb0RvYy54bWxQSwUGAAAAAAYABgBZAQAAdQU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60992" behindDoc="0" locked="0" layoutInCell="1" allowOverlap="1">
                <wp:simplePos x="0" y="0"/>
                <wp:positionH relativeFrom="column">
                  <wp:posOffset>1073150</wp:posOffset>
                </wp:positionH>
                <wp:positionV relativeFrom="paragraph">
                  <wp:posOffset>210185</wp:posOffset>
                </wp:positionV>
                <wp:extent cx="2971800" cy="387350"/>
                <wp:effectExtent l="0" t="635" r="3175" b="2540"/>
                <wp:wrapNone/>
                <wp:docPr id="15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87350"/>
                        </a:xfrm>
                        <a:prstGeom prst="rect">
                          <a:avLst/>
                        </a:prstGeom>
                        <a:solidFill>
                          <a:srgbClr val="FFFFFF"/>
                        </a:solidFill>
                        <a:ln>
                          <a:noFill/>
                        </a:ln>
                      </wps:spPr>
                      <wps:txbx>
                        <w:txbxContent>
                          <w:p w:rsidR="00C861DA" w:rsidRDefault="0044752E">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sz w:val="24"/>
                                <w:szCs w:val="24"/>
                              </w:rPr>
                              <w:t>4.1-</w:t>
                            </w:r>
                            <w:r>
                              <w:rPr>
                                <w:rFonts w:ascii="Times New Roman" w:hAnsi="Times New Roman" w:cs="Times New Roman" w:hint="eastAsia"/>
                                <w:sz w:val="24"/>
                                <w:szCs w:val="24"/>
                              </w:rPr>
                              <w:t>3</w:t>
                            </w:r>
                            <w:r>
                              <w:rPr>
                                <w:rFonts w:ascii="Times New Roman" w:hAnsi="Times New Roman" w:cs="Times New Roman"/>
                                <w:sz w:val="24"/>
                                <w:szCs w:val="24"/>
                              </w:rPr>
                              <w:t xml:space="preserve">    </w:t>
                            </w:r>
                            <w:r>
                              <w:rPr>
                                <w:rFonts w:ascii="Times New Roman" w:hAnsi="Times New Roman" w:cs="Times New Roman" w:hint="eastAsia"/>
                                <w:sz w:val="24"/>
                                <w:szCs w:val="24"/>
                              </w:rPr>
                              <w:t>硝酸铵</w:t>
                            </w:r>
                            <w:r>
                              <w:rPr>
                                <w:rFonts w:ascii="Times New Roman" w:hAnsi="Times New Roman" w:cs="Times New Roman"/>
                                <w:sz w:val="24"/>
                                <w:szCs w:val="24"/>
                              </w:rPr>
                              <w:t>生产工艺流程及产污环节</w:t>
                            </w:r>
                          </w:p>
                          <w:p w:rsidR="00C861DA" w:rsidRDefault="0044752E">
                            <w:pPr>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W</w:t>
                            </w:r>
                            <w:r>
                              <w:rPr>
                                <w:rFonts w:ascii="Times New Roman" w:hAnsi="Times New Roman" w:cs="Times New Roman"/>
                              </w:rPr>
                              <w:t>：废水</w:t>
                            </w:r>
                            <w:r>
                              <w:rPr>
                                <w:rFonts w:ascii="Times New Roman" w:hAnsi="Times New Roman" w:cs="Times New Roman"/>
                              </w:rPr>
                              <w:t xml:space="preserve">    G:</w:t>
                            </w:r>
                            <w:r>
                              <w:rPr>
                                <w:rFonts w:ascii="Times New Roman" w:hAnsi="Times New Roman" w:cs="Times New Roman"/>
                              </w:rPr>
                              <w:t>废气</w:t>
                            </w:r>
                            <w:r>
                              <w:rPr>
                                <w:rFonts w:ascii="Times New Roman" w:hAnsi="Times New Roman" w:cs="Times New Roman"/>
                              </w:rPr>
                              <w:t xml:space="preserve">    N</w:t>
                            </w:r>
                            <w:r>
                              <w:rPr>
                                <w:rFonts w:ascii="Times New Roman" w:hAnsi="Times New Roman" w:cs="Times New Roman"/>
                              </w:rPr>
                              <w:t>：噪声</w:t>
                            </w:r>
                            <w:r>
                              <w:rPr>
                                <w:rFonts w:ascii="Times New Roman" w:hAnsi="Times New Roman" w:cs="Times New Roman"/>
                              </w:rPr>
                              <w:t xml:space="preserve">    S</w:t>
                            </w:r>
                            <w:r>
                              <w:rPr>
                                <w:rFonts w:ascii="Times New Roman" w:hAnsi="Times New Roman" w:cs="Times New Roman"/>
                              </w:rPr>
                              <w:t>：固废）</w:t>
                            </w:r>
                          </w:p>
                          <w:p w:rsidR="00C861DA" w:rsidRDefault="00C861DA">
                            <w:pPr>
                              <w:jc w:val="center"/>
                              <w:rPr>
                                <w:rFonts w:ascii="Times New Roman" w:hAnsi="Times New Roman" w:cs="Times New Roman"/>
                              </w:rPr>
                            </w:pP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16" o:spid="_x0000_s1026" o:spt="202" type="#_x0000_t202" style="position:absolute;left:0pt;margin-left:84.5pt;margin-top:16.55pt;height:30.5pt;width:234pt;z-index:251860992;mso-width-relative:page;mso-height-relative:page;" fillcolor="#FFFFFF" filled="t" stroked="f" coordsize="21600,21600" o:gfxdata="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7H0gfYAAAACQEAAA8AAAAAAAAAAQAgAAAAIgAAAGRycy9kb3ducmV2Lnht&#10;bFBLAQIUABQAAAAIAIdO4kBPRh1z+QEAAOMDAAAOAAAAAAAAAAEAIAAAACcBAABkcnMvZTJvRG9j&#10;LnhtbFBLBQYAAAAABgAGAFkBAACSBQAAAAA=&#10;">
                <v:fill on="t" focussize="0,0"/>
                <v:stroke on="f"/>
                <v:imagedata o:title=""/>
                <o:lock v:ext="edit" aspectratio="f"/>
                <v:textbox inset="0mm,0mm,0mm,0mm">
                  <w:txbxContent>
                    <w:p>
                      <w:pPr>
                        <w:jc w:val="center"/>
                        <w:rPr>
                          <w:rFonts w:ascii="Times New Roman" w:hAnsi="Times New Roman" w:cs="Times New Roman"/>
                          <w:sz w:val="24"/>
                          <w:szCs w:val="24"/>
                        </w:rPr>
                      </w:pPr>
                      <w:r>
                        <w:rPr>
                          <w:rFonts w:ascii="Times New Roman" w:hAnsi="Times New Roman" w:cs="Times New Roman"/>
                          <w:sz w:val="24"/>
                          <w:szCs w:val="24"/>
                        </w:rPr>
                        <w:t>图4.1-</w:t>
                      </w:r>
                      <w:r>
                        <w:rPr>
                          <w:rFonts w:hint="eastAsia" w:ascii="Times New Roman" w:hAnsi="Times New Roman" w:cs="Times New Roman"/>
                          <w:sz w:val="24"/>
                          <w:szCs w:val="24"/>
                        </w:rPr>
                        <w:t>3</w:t>
                      </w:r>
                      <w:r>
                        <w:rPr>
                          <w:rFonts w:ascii="Times New Roman" w:hAnsi="Times New Roman" w:cs="Times New Roman"/>
                          <w:sz w:val="24"/>
                          <w:szCs w:val="24"/>
                        </w:rPr>
                        <w:t xml:space="preserve">    </w:t>
                      </w:r>
                      <w:r>
                        <w:rPr>
                          <w:rFonts w:hint="eastAsia" w:ascii="Times New Roman" w:hAnsi="Times New Roman" w:cs="Times New Roman"/>
                          <w:sz w:val="24"/>
                          <w:szCs w:val="24"/>
                        </w:rPr>
                        <w:t>硝酸铵</w:t>
                      </w:r>
                      <w:r>
                        <w:rPr>
                          <w:rFonts w:ascii="Times New Roman" w:hAnsi="Times New Roman" w:cs="Times New Roman"/>
                          <w:sz w:val="24"/>
                          <w:szCs w:val="24"/>
                        </w:rPr>
                        <w:t>生产工艺流程及产污环节</w:t>
                      </w:r>
                    </w:p>
                    <w:p>
                      <w:pPr>
                        <w:jc w:val="center"/>
                        <w:rPr>
                          <w:rFonts w:ascii="Times New Roman" w:hAnsi="Times New Roman" w:cs="Times New Roman"/>
                        </w:rPr>
                      </w:pPr>
                      <w:r>
                        <w:rPr>
                          <w:rFonts w:ascii="Times New Roman" w:hAnsi="Times New Roman" w:cs="Times New Roman"/>
                        </w:rPr>
                        <w:t>（W：废水    G:废气    N：噪声    S：固废）</w:t>
                      </w:r>
                    </w:p>
                    <w:p>
                      <w:pPr>
                        <w:jc w:val="center"/>
                        <w:rPr>
                          <w:rFonts w:ascii="Times New Roman" w:hAnsi="Times New Roman" w:cs="Times New Roman"/>
                        </w:rPr>
                      </w:pP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52800" behindDoc="0" locked="0" layoutInCell="1" allowOverlap="1">
                <wp:simplePos x="0" y="0"/>
                <wp:positionH relativeFrom="column">
                  <wp:posOffset>4286250</wp:posOffset>
                </wp:positionH>
                <wp:positionV relativeFrom="paragraph">
                  <wp:posOffset>13970</wp:posOffset>
                </wp:positionV>
                <wp:extent cx="971550" cy="171450"/>
                <wp:effectExtent l="0" t="4445" r="0" b="0"/>
                <wp:wrapNone/>
                <wp:docPr id="15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生产废水收集池</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17" o:spid="_x0000_s1026" o:spt="202" type="#_x0000_t202" style="position:absolute;left:0pt;margin-left:337.5pt;margin-top:1.1pt;height:13.5pt;width:76.5pt;z-index:251852800;mso-width-relative:page;mso-height-relative:page;" fillcolor="#FFFFFF" filled="t" stroked="f" coordsize="21600,21600" o:gfxdata="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6rVUTWAAAACAEAAA8AAAAAAAAAAQAgAAAAIgAAAGRycy9kb3ducmV2LnhtbFBLAQIU&#10;ABQAAAAIAIdO4kADapLx9QEAAOIDAAAOAAAAAAAAAAEAIAAAACUBAABkcnMvZTJvRG9jLnhtbFBL&#10;BQYAAAAABgAGAFkBAACMBQAAAAA=&#10;">
                <v:fill on="t" focussize="0,0"/>
                <v:stroke on="f"/>
                <v:imagedata o:title=""/>
                <o:lock v:ext="edit" aspectratio="f"/>
                <v:textbox inset="0mm,0mm,0mm,0mm">
                  <w:txbxContent>
                    <w:p>
                      <w:pPr>
                        <w:rPr>
                          <w:rFonts w:ascii="宋体" w:hAnsi="宋体"/>
                        </w:rPr>
                      </w:pPr>
                      <w:r>
                        <w:rPr>
                          <w:rFonts w:hint="eastAsia" w:ascii="宋体" w:hAnsi="宋体"/>
                        </w:rPr>
                        <w:t>生产废水收集池</w:t>
                      </w:r>
                    </w:p>
                  </w:txbxContent>
                </v:textbox>
              </v:shape>
            </w:pict>
          </mc:Fallback>
        </mc:AlternateContent>
      </w:r>
    </w:p>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p>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）加压中和</w:t>
      </w:r>
    </w:p>
    <w:p w:rsidR="00C861DA" w:rsidRDefault="0044752E">
      <w:pPr>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来自稀硝酸装置的稀硝酸经计量，再经硝酸加热器加热后</w:t>
      </w:r>
      <w:r>
        <w:rPr>
          <w:rFonts w:ascii="Times New Roman" w:eastAsia="宋体" w:hAnsi="Times New Roman" w:cs="Times New Roman" w:hint="eastAsia"/>
          <w:color w:val="000000" w:themeColor="text1"/>
          <w:kern w:val="1"/>
          <w:sz w:val="24"/>
          <w:szCs w:val="24"/>
        </w:rPr>
        <w:t>，与来自稀硝酸生产氨蒸发生产的氨气，经</w:t>
      </w:r>
      <w:r>
        <w:rPr>
          <w:rFonts w:ascii="Times New Roman" w:eastAsia="宋体" w:hAnsi="Times New Roman" w:cs="Times New Roman"/>
          <w:color w:val="000000" w:themeColor="text1"/>
          <w:kern w:val="1"/>
          <w:sz w:val="24"/>
          <w:szCs w:val="24"/>
        </w:rPr>
        <w:t>计量</w:t>
      </w:r>
      <w:r>
        <w:rPr>
          <w:rFonts w:ascii="Times New Roman" w:eastAsia="宋体" w:hAnsi="Times New Roman" w:cs="Times New Roman" w:hint="eastAsia"/>
          <w:color w:val="000000" w:themeColor="text1"/>
          <w:kern w:val="1"/>
          <w:sz w:val="24"/>
          <w:szCs w:val="24"/>
        </w:rPr>
        <w:t>后，</w:t>
      </w:r>
      <w:r>
        <w:rPr>
          <w:rFonts w:ascii="Times New Roman" w:eastAsia="宋体" w:hAnsi="Times New Roman" w:cs="Times New Roman"/>
          <w:color w:val="000000" w:themeColor="text1"/>
          <w:kern w:val="1"/>
          <w:sz w:val="24"/>
          <w:szCs w:val="24"/>
        </w:rPr>
        <w:t>进入</w:t>
      </w:r>
      <w:r>
        <w:rPr>
          <w:rFonts w:ascii="Times New Roman" w:eastAsia="宋体" w:hAnsi="Times New Roman" w:cs="Times New Roman" w:hint="eastAsia"/>
          <w:color w:val="000000" w:themeColor="text1"/>
          <w:kern w:val="1"/>
          <w:sz w:val="24"/>
          <w:szCs w:val="24"/>
        </w:rPr>
        <w:t>中和反应器，液氨</w:t>
      </w:r>
      <w:r>
        <w:rPr>
          <w:rFonts w:ascii="Times New Roman" w:eastAsia="宋体" w:hAnsi="Times New Roman" w:cs="Times New Roman"/>
          <w:color w:val="000000" w:themeColor="text1"/>
          <w:kern w:val="1"/>
          <w:sz w:val="24"/>
          <w:szCs w:val="24"/>
        </w:rPr>
        <w:t>与稀硝酸进行加压中和反应</w:t>
      </w:r>
      <w:r>
        <w:rPr>
          <w:rFonts w:ascii="Times New Roman" w:eastAsia="宋体" w:hAnsi="Times New Roman" w:cs="Times New Roman" w:hint="eastAsia"/>
          <w:color w:val="000000" w:themeColor="text1"/>
          <w:kern w:val="1"/>
          <w:sz w:val="24"/>
          <w:szCs w:val="24"/>
        </w:rPr>
        <w:t>，生产硝酸铵。</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反应方程式如下：</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0"/>
          <w:sz w:val="24"/>
          <w:szCs w:val="24"/>
          <w:shd w:val="clear" w:color="auto" w:fill="FFFFFF"/>
        </w:rPr>
        <w:t>NH</w:t>
      </w:r>
      <w:r>
        <w:rPr>
          <w:rFonts w:ascii="Times New Roman" w:eastAsia="宋体" w:hAnsi="Times New Roman" w:cs="Times New Roman"/>
          <w:color w:val="000000" w:themeColor="text1"/>
          <w:kern w:val="0"/>
          <w:sz w:val="24"/>
          <w:szCs w:val="24"/>
          <w:shd w:val="clear" w:color="auto" w:fill="FFFFFF"/>
          <w:vertAlign w:val="subscript"/>
        </w:rPr>
        <w:t>3</w:t>
      </w:r>
      <w:r>
        <w:rPr>
          <w:rFonts w:ascii="Times New Roman" w:eastAsia="宋体" w:hAnsi="Times New Roman" w:cs="Times New Roman"/>
          <w:color w:val="000000" w:themeColor="text1"/>
          <w:kern w:val="0"/>
          <w:sz w:val="24"/>
          <w:szCs w:val="24"/>
          <w:shd w:val="clear" w:color="auto" w:fill="FFFFFF"/>
        </w:rPr>
        <w:t>+HNO</w:t>
      </w:r>
      <w:r>
        <w:rPr>
          <w:rFonts w:ascii="Times New Roman" w:eastAsia="宋体" w:hAnsi="Times New Roman" w:cs="Times New Roman"/>
          <w:color w:val="000000" w:themeColor="text1"/>
          <w:kern w:val="0"/>
          <w:sz w:val="24"/>
          <w:szCs w:val="24"/>
          <w:shd w:val="clear" w:color="auto" w:fill="FFFFFF"/>
          <w:vertAlign w:val="subscript"/>
        </w:rPr>
        <w:t>3</w:t>
      </w:r>
      <w:r>
        <w:rPr>
          <w:rFonts w:ascii="Times New Roman" w:eastAsia="宋体" w:hAnsi="Times New Roman" w:cs="Times New Roman"/>
          <w:color w:val="000000" w:themeColor="text1"/>
          <w:kern w:val="0"/>
          <w:sz w:val="24"/>
          <w:szCs w:val="24"/>
          <w:shd w:val="clear" w:color="auto" w:fill="FFFFFF"/>
        </w:rPr>
        <w:t>=NH</w:t>
      </w:r>
      <w:r>
        <w:rPr>
          <w:rFonts w:ascii="Times New Roman" w:eastAsia="宋体" w:hAnsi="Times New Roman" w:cs="Times New Roman"/>
          <w:color w:val="000000" w:themeColor="text1"/>
          <w:kern w:val="0"/>
          <w:sz w:val="24"/>
          <w:szCs w:val="24"/>
          <w:shd w:val="clear" w:color="auto" w:fill="FFFFFF"/>
          <w:vertAlign w:val="subscript"/>
        </w:rPr>
        <w:t>4</w:t>
      </w:r>
      <w:r>
        <w:rPr>
          <w:rFonts w:ascii="Times New Roman" w:eastAsia="宋体" w:hAnsi="Times New Roman" w:cs="Times New Roman"/>
          <w:color w:val="000000" w:themeColor="text1"/>
          <w:kern w:val="0"/>
          <w:sz w:val="24"/>
          <w:szCs w:val="24"/>
          <w:shd w:val="clear" w:color="auto" w:fill="FFFFFF"/>
        </w:rPr>
        <w:t>NO</w:t>
      </w:r>
      <w:r>
        <w:rPr>
          <w:rFonts w:ascii="Times New Roman" w:eastAsia="宋体" w:hAnsi="Times New Roman" w:cs="Times New Roman"/>
          <w:color w:val="000000" w:themeColor="text1"/>
          <w:kern w:val="0"/>
          <w:sz w:val="24"/>
          <w:szCs w:val="24"/>
          <w:shd w:val="clear" w:color="auto" w:fill="FFFFFF"/>
          <w:vertAlign w:val="subscript"/>
        </w:rPr>
        <w:t>3</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反应后的</w:t>
      </w:r>
      <w:r>
        <w:rPr>
          <w:rFonts w:ascii="Times New Roman" w:eastAsia="宋体" w:hAnsi="Times New Roman" w:cs="Times New Roman" w:hint="eastAsia"/>
          <w:color w:val="000000" w:themeColor="text1"/>
          <w:kern w:val="1"/>
          <w:sz w:val="24"/>
          <w:szCs w:val="24"/>
        </w:rPr>
        <w:t>汽</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液混合物进入</w:t>
      </w:r>
      <w:r>
        <w:rPr>
          <w:rFonts w:ascii="Times New Roman" w:eastAsia="宋体" w:hAnsi="Times New Roman" w:cs="Times New Roman"/>
          <w:color w:val="000000" w:themeColor="text1"/>
          <w:kern w:val="1"/>
          <w:sz w:val="24"/>
          <w:szCs w:val="24"/>
        </w:rPr>
        <w:t>反应器分离槽中，分离出</w:t>
      </w:r>
      <w:r>
        <w:rPr>
          <w:rFonts w:ascii="Times New Roman" w:eastAsia="宋体" w:hAnsi="Times New Roman" w:cs="Times New Roman" w:hint="eastAsia"/>
          <w:color w:val="000000" w:themeColor="text1"/>
          <w:kern w:val="1"/>
          <w:sz w:val="24"/>
          <w:szCs w:val="24"/>
        </w:rPr>
        <w:t>硝酸铵溶液和含有少量硝酸铵的蒸汽，反应分离槽分离出的</w:t>
      </w:r>
      <w:r>
        <w:rPr>
          <w:rFonts w:ascii="Times New Roman" w:eastAsia="宋体" w:hAnsi="Times New Roman" w:cs="Times New Roman"/>
          <w:color w:val="000000" w:themeColor="text1"/>
          <w:kern w:val="1"/>
          <w:sz w:val="24"/>
          <w:szCs w:val="24"/>
        </w:rPr>
        <w:t>硝酸铵料浆溶液自反应器分离槽底部进入硝酸铵料浆溶液槽中，然后经硝酸铵料浆溶液泵送到闪蒸槽进行闪蒸。</w:t>
      </w:r>
      <w:r>
        <w:rPr>
          <w:rFonts w:ascii="Times New Roman" w:eastAsia="宋体" w:hAnsi="Times New Roman" w:cs="Times New Roman" w:hint="eastAsia"/>
          <w:color w:val="000000" w:themeColor="text1"/>
          <w:kern w:val="1"/>
          <w:sz w:val="24"/>
          <w:szCs w:val="24"/>
        </w:rPr>
        <w:t>分离出的工艺蒸汽由顶部离开，经洗涤塔洗涤后进入工艺蒸汽冷凝器中冷却，冷凝液贮存在工艺冷凝液槽中。</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hint="eastAsia"/>
          <w:color w:val="000000" w:themeColor="text1"/>
          <w:kern w:val="1"/>
          <w:sz w:val="24"/>
          <w:szCs w:val="24"/>
        </w:rPr>
        <w:t>）降膜蒸发</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闪蒸后的硝酸铵料浆溶液进入降膜蒸发器中进行蒸发，一段蒸发采用分离出的工艺蒸汽及</w:t>
      </w:r>
      <w:r>
        <w:rPr>
          <w:rFonts w:ascii="Times New Roman" w:eastAsia="宋体" w:hAnsi="Times New Roman" w:cs="Times New Roman"/>
          <w:color w:val="000000" w:themeColor="text1"/>
          <w:kern w:val="1"/>
          <w:sz w:val="24"/>
          <w:szCs w:val="24"/>
        </w:rPr>
        <w:t>1.4MPa</w:t>
      </w:r>
      <w:r>
        <w:rPr>
          <w:rFonts w:ascii="Times New Roman" w:eastAsia="宋体" w:hAnsi="Times New Roman" w:cs="Times New Roman"/>
          <w:color w:val="000000" w:themeColor="text1"/>
          <w:kern w:val="1"/>
          <w:sz w:val="24"/>
          <w:szCs w:val="24"/>
        </w:rPr>
        <w:t>蒸汽进行加热。蒸发后的硝酸铵料浆溶液进入分离器，在此蒸汽与硝酸铵料浆溶液进行分离。顶部离开的蒸汽与闪蒸塔出来的蒸汽混合，进入蒸发冷凝器中冷凝，蒸发在蒸汽喷射器产生的真空中进行。蒸发冷凝器中冷凝下来的工艺冷凝液进入常压贮槽中，</w:t>
      </w:r>
      <w:r>
        <w:rPr>
          <w:rFonts w:ascii="Times New Roman" w:eastAsia="宋体" w:hAnsi="Times New Roman" w:cs="Times New Roman" w:hint="eastAsia"/>
          <w:color w:val="000000" w:themeColor="text1"/>
          <w:kern w:val="1"/>
          <w:sz w:val="24"/>
          <w:szCs w:val="24"/>
        </w:rPr>
        <w:t>送氨回收塔回收氨</w:t>
      </w:r>
      <w:r>
        <w:rPr>
          <w:rFonts w:ascii="Times New Roman" w:eastAsia="宋体" w:hAnsi="Times New Roman" w:cs="Times New Roman"/>
          <w:color w:val="000000" w:themeColor="text1"/>
          <w:kern w:val="1"/>
          <w:sz w:val="24"/>
          <w:szCs w:val="24"/>
        </w:rPr>
        <w:t>。由降膜蒸发器底部流出的</w:t>
      </w:r>
      <w:r>
        <w:rPr>
          <w:rFonts w:ascii="Times New Roman" w:eastAsia="宋体" w:hAnsi="Times New Roman" w:cs="Times New Roman"/>
          <w:color w:val="000000" w:themeColor="text1"/>
          <w:kern w:val="1"/>
          <w:sz w:val="24"/>
          <w:szCs w:val="24"/>
        </w:rPr>
        <w:t>93%</w:t>
      </w:r>
      <w:r>
        <w:rPr>
          <w:rFonts w:ascii="Times New Roman" w:eastAsia="宋体" w:hAnsi="Times New Roman" w:cs="Times New Roman"/>
          <w:color w:val="000000" w:themeColor="text1"/>
          <w:kern w:val="1"/>
          <w:sz w:val="24"/>
          <w:szCs w:val="24"/>
        </w:rPr>
        <w:t>的硝酸铵料浆溶液，</w:t>
      </w:r>
      <w:r>
        <w:rPr>
          <w:rFonts w:ascii="Times New Roman" w:eastAsia="宋体" w:hAnsi="Times New Roman" w:cs="Times New Roman" w:hint="eastAsia"/>
          <w:color w:val="000000" w:themeColor="text1"/>
          <w:kern w:val="1"/>
          <w:sz w:val="24"/>
          <w:szCs w:val="24"/>
        </w:rPr>
        <w:t>进入熔融槽中，</w:t>
      </w:r>
      <w:r>
        <w:rPr>
          <w:rFonts w:ascii="Times New Roman" w:eastAsia="宋体" w:hAnsi="Times New Roman" w:cs="Times New Roman"/>
          <w:color w:val="000000" w:themeColor="text1"/>
          <w:kern w:val="1"/>
          <w:sz w:val="24"/>
          <w:szCs w:val="24"/>
        </w:rPr>
        <w:t>送往硝基高塔复合肥。</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4</w:t>
      </w:r>
      <w:r>
        <w:rPr>
          <w:rFonts w:ascii="Times New Roman" w:eastAsia="宋体" w:hAnsi="Times New Roman" w:cs="Times New Roman" w:hint="eastAsia"/>
          <w:color w:val="000000" w:themeColor="text1"/>
          <w:kern w:val="1"/>
          <w:sz w:val="24"/>
          <w:szCs w:val="24"/>
        </w:rPr>
        <w:t>）氨回收</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硝酸铵料浆溶液降膜蒸发冷凝液富含游离氨，由泵送入氨回收塔上部汽提段，经均匀分布器后沿填</w:t>
      </w:r>
      <w:r>
        <w:rPr>
          <w:rFonts w:ascii="Times New Roman" w:eastAsia="宋体" w:hAnsi="Times New Roman" w:cs="Times New Roman" w:hint="eastAsia"/>
          <w:color w:val="000000" w:themeColor="text1"/>
          <w:kern w:val="1"/>
          <w:sz w:val="24"/>
          <w:szCs w:val="24"/>
        </w:rPr>
        <w:t>料流下，与由下而上的空气逆流接触，液体中的氨在热空气汽提作用下，大部分会挥发出来，经汽提后冷凝液还含有少量的氨、硝酸等污染物，进入冷凝液槽，再用泵送至生产废水收集池（</w:t>
      </w: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color w:val="000000" w:themeColor="text1"/>
          <w:kern w:val="1"/>
          <w:sz w:val="24"/>
          <w:szCs w:val="24"/>
        </w:rPr>
        <w:t>000m</w:t>
      </w:r>
      <w:r>
        <w:rPr>
          <w:rFonts w:ascii="Times New Roman" w:eastAsia="宋体" w:hAnsi="Times New Roman" w:cs="Times New Roman"/>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），作为祥丰金麦公司湿法球磨作为补充用水。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出氨回收塔的含氨空气，经循环风机升压后，进入氨回收塔下部吸收段，用稀硝酸循环溶液与含氨空气逆流接触，气氨和硝酸溶液反应生产硝酸铵，经洗涤后的空气继续上升进入汽提段，循环液部分采出，送入中和冷却槽用于中和器控温，其余循环液补充硝酸，使其</w:t>
      </w:r>
      <w:r>
        <w:rPr>
          <w:rFonts w:ascii="Times New Roman" w:eastAsia="宋体" w:hAnsi="Times New Roman" w:cs="Times New Roman" w:hint="eastAsia"/>
          <w:color w:val="000000" w:themeColor="text1"/>
          <w:kern w:val="1"/>
          <w:sz w:val="24"/>
          <w:szCs w:val="24"/>
        </w:rPr>
        <w:t>PH</w:t>
      </w:r>
      <w:r>
        <w:rPr>
          <w:rFonts w:ascii="Times New Roman" w:eastAsia="宋体" w:hAnsi="Times New Roman" w:cs="Times New Roman" w:hint="eastAsia"/>
          <w:color w:val="000000" w:themeColor="text1"/>
          <w:kern w:val="1"/>
          <w:sz w:val="24"/>
          <w:szCs w:val="24"/>
        </w:rPr>
        <w:t>在</w:t>
      </w:r>
      <w:r>
        <w:rPr>
          <w:rFonts w:ascii="Times New Roman" w:eastAsia="宋体" w:hAnsi="Times New Roman" w:cs="Times New Roman" w:hint="eastAsia"/>
          <w:color w:val="000000" w:themeColor="text1"/>
          <w:kern w:val="1"/>
          <w:sz w:val="24"/>
          <w:szCs w:val="24"/>
        </w:rPr>
        <w:t>2-5</w:t>
      </w:r>
      <w:r>
        <w:rPr>
          <w:rFonts w:ascii="Times New Roman" w:eastAsia="宋体" w:hAnsi="Times New Roman" w:cs="Times New Roman" w:hint="eastAsia"/>
          <w:color w:val="000000" w:themeColor="text1"/>
          <w:kern w:val="1"/>
          <w:sz w:val="24"/>
          <w:szCs w:val="24"/>
        </w:rPr>
        <w:t>后，再进入氨回收塔，再次与风机送来的含氨空气</w:t>
      </w:r>
      <w:r>
        <w:rPr>
          <w:rFonts w:ascii="Times New Roman" w:eastAsia="宋体" w:hAnsi="Times New Roman" w:cs="Times New Roman" w:hint="eastAsia"/>
          <w:color w:val="000000" w:themeColor="text1"/>
          <w:kern w:val="1"/>
          <w:sz w:val="24"/>
          <w:szCs w:val="24"/>
        </w:rPr>
        <w:t>逆流接触洗涤氨气。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2</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产污环节</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硝酸铵生产过程中，产污环节如下：</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W2</w:t>
      </w:r>
      <w:r>
        <w:rPr>
          <w:rFonts w:ascii="Times New Roman" w:eastAsia="宋体" w:hAnsi="Times New Roman" w:cs="Times New Roman" w:hint="eastAsia"/>
          <w:color w:val="000000" w:themeColor="text1"/>
          <w:kern w:val="1"/>
          <w:sz w:val="24"/>
          <w:szCs w:val="24"/>
        </w:rPr>
        <w:t>：氨回收冷凝废水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冷凝废水中含有少量的氨、硝酸等污染物，进入冷凝液槽，再用泵送至生产废水收集池（</w:t>
      </w: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color w:val="000000" w:themeColor="text1"/>
          <w:kern w:val="1"/>
          <w:sz w:val="24"/>
          <w:szCs w:val="24"/>
        </w:rPr>
        <w:t>000m</w:t>
      </w:r>
      <w:r>
        <w:rPr>
          <w:rFonts w:ascii="Times New Roman" w:eastAsia="宋体" w:hAnsi="Times New Roman" w:cs="Times New Roman"/>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），作为祥丰金麦公司湿法球磨作为补充用水。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2</w:t>
      </w:r>
      <w:r>
        <w:rPr>
          <w:rFonts w:ascii="Times New Roman" w:eastAsia="宋体" w:hAnsi="Times New Roman" w:cs="Times New Roman" w:hint="eastAsia"/>
          <w:color w:val="000000" w:themeColor="text1"/>
          <w:kern w:val="1"/>
          <w:sz w:val="24"/>
          <w:szCs w:val="24"/>
        </w:rPr>
        <w:t>）废气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G2</w:t>
      </w:r>
      <w:r>
        <w:rPr>
          <w:rFonts w:ascii="Times New Roman" w:eastAsia="宋体" w:hAnsi="Times New Roman" w:cs="Times New Roman" w:hint="eastAsia"/>
          <w:color w:val="000000" w:themeColor="text1"/>
          <w:kern w:val="1"/>
          <w:sz w:val="24"/>
          <w:szCs w:val="24"/>
        </w:rPr>
        <w:t>：项目生产过程中的废气主要为生产过程中氨回收冷凝液收集槽及车间挥发的氨气、硝酸雾等，挥发氨气、酸雾呈无组织排放。</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hint="eastAsia"/>
          <w:color w:val="000000" w:themeColor="text1"/>
          <w:kern w:val="1"/>
          <w:sz w:val="24"/>
          <w:szCs w:val="24"/>
        </w:rPr>
        <w:t>）噪声</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项目生产噪声源主要为泵、风机噪声，噪声值</w:t>
      </w:r>
      <w:r>
        <w:rPr>
          <w:rFonts w:ascii="Times New Roman" w:eastAsia="宋体" w:hAnsi="Times New Roman" w:cs="Times New Roman" w:hint="eastAsia"/>
          <w:color w:val="000000" w:themeColor="text1"/>
          <w:kern w:val="1"/>
          <w:sz w:val="24"/>
          <w:szCs w:val="24"/>
        </w:rPr>
        <w:t>85-90dB</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A</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jc w:val="both"/>
        <w:rPr>
          <w:rFonts w:ascii="Times New Roman" w:eastAsia="宋体" w:hAnsi="Times New Roman" w:cs="Times New Roman"/>
          <w:b/>
          <w:color w:val="000000" w:themeColor="text1"/>
          <w:kern w:val="1"/>
          <w:sz w:val="24"/>
          <w:szCs w:val="24"/>
        </w:rPr>
      </w:pPr>
      <w:r>
        <w:rPr>
          <w:rFonts w:ascii="Times New Roman" w:eastAsia="宋体" w:hAnsi="Times New Roman" w:cs="Times New Roman" w:hint="eastAsia"/>
          <w:b/>
          <w:color w:val="000000" w:themeColor="text1"/>
          <w:kern w:val="1"/>
          <w:sz w:val="24"/>
          <w:szCs w:val="24"/>
        </w:rPr>
        <w:t>4.1.1.3</w:t>
      </w:r>
      <w:r>
        <w:rPr>
          <w:rFonts w:ascii="Times New Roman" w:eastAsia="宋体" w:hAnsi="Times New Roman" w:cs="Times New Roman"/>
          <w:b/>
          <w:color w:val="000000" w:themeColor="text1"/>
          <w:kern w:val="1"/>
          <w:sz w:val="24"/>
          <w:szCs w:val="24"/>
        </w:rPr>
        <w:t>硝基复合肥生产</w:t>
      </w:r>
    </w:p>
    <w:p w:rsidR="00C861DA" w:rsidRDefault="0044752E">
      <w:pPr>
        <w:widowControl/>
        <w:autoSpaceDE/>
        <w:autoSpaceDN/>
        <w:snapToGrid w:val="0"/>
        <w:spacing w:line="360" w:lineRule="auto"/>
        <w:ind w:firstLineChars="200" w:firstLine="440"/>
        <w:rPr>
          <w:rFonts w:ascii="Times New Roman" w:eastAsia="宋体" w:hAnsi="Times New Roman" w:cs="Times New Roman"/>
          <w:color w:val="000000" w:themeColor="text1"/>
          <w:kern w:val="1"/>
          <w:sz w:val="24"/>
          <w:szCs w:val="24"/>
        </w:rPr>
      </w:pPr>
      <w:r>
        <w:rPr>
          <w:rFonts w:ascii="Tahoma" w:eastAsia="微软雅黑" w:hAnsi="Tahoma" w:cs="Times New Roman"/>
          <w:noProof/>
          <w:color w:val="000000" w:themeColor="text1"/>
          <w:kern w:val="0"/>
          <w:sz w:val="22"/>
          <w:szCs w:val="22"/>
        </w:rPr>
        <mc:AlternateContent>
          <mc:Choice Requires="wps">
            <w:drawing>
              <wp:anchor distT="0" distB="0" distL="114300" distR="114300" simplePos="0" relativeHeight="251976704" behindDoc="0" locked="0" layoutInCell="1" allowOverlap="1">
                <wp:simplePos x="0" y="0"/>
                <wp:positionH relativeFrom="column">
                  <wp:posOffset>1731010</wp:posOffset>
                </wp:positionH>
                <wp:positionV relativeFrom="paragraph">
                  <wp:posOffset>548005</wp:posOffset>
                </wp:positionV>
                <wp:extent cx="564515" cy="152400"/>
                <wp:effectExtent l="0" t="0" r="6985" b="0"/>
                <wp:wrapNone/>
                <wp:docPr id="27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15240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2#</w:t>
                            </w:r>
                            <w:r>
                              <w:rPr>
                                <w:rFonts w:ascii="宋体" w:hAnsi="宋体" w:hint="eastAsia"/>
                              </w:rPr>
                              <w:t>排气筒</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05" o:spid="_x0000_s1026" o:spt="202" type="#_x0000_t202" style="position:absolute;left:0pt;margin-left:136.3pt;margin-top:43.15pt;height:12pt;width:44.45pt;z-index:251976704;mso-width-relative:page;mso-height-relative:page;" fillcolor="#FFFFFF" filled="t" stroked="f" coordsize="21600,21600" o:gfxdata="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f0gOd2QAAAAoBAAAPAAAAAAAAAAEAIAAAACIAAABkcnMvZG93bnJldi54&#10;bWxQSwECFAAUAAAACACHTuJAi3FfUPkBAADiAwAADgAAAAAAAAABACAAAAAoAQAAZHJzL2Uyb0Rv&#10;Yy54bWxQSwUGAAAAAAYABgBZAQAAkwUAAAAA&#10;">
                <v:fill on="t" focussize="0,0"/>
                <v:stroke on="f"/>
                <v:imagedata o:title=""/>
                <o:lock v:ext="edit" aspectratio="f"/>
                <v:textbox inset="0mm,0mm,0mm,0mm">
                  <w:txbxContent>
                    <w:p>
                      <w:pPr>
                        <w:rPr>
                          <w:rFonts w:ascii="宋体" w:hAnsi="宋体"/>
                        </w:rPr>
                      </w:pPr>
                      <w:r>
                        <w:rPr>
                          <w:rFonts w:hint="eastAsia" w:ascii="宋体" w:hAnsi="宋体"/>
                        </w:rPr>
                        <w:t>2#排气筒</w:t>
                      </w:r>
                    </w:p>
                  </w:txbxContent>
                </v:textbox>
              </v:shape>
            </w:pict>
          </mc:Fallback>
        </mc:AlternateContent>
      </w:r>
      <w:r>
        <w:rPr>
          <w:rFonts w:ascii="Times New Roman" w:eastAsia="宋体" w:hAnsi="Times New Roman" w:cs="Times New Roman" w:hint="eastAsia"/>
          <w:color w:val="000000" w:themeColor="text1"/>
          <w:kern w:val="1"/>
          <w:sz w:val="24"/>
          <w:szCs w:val="24"/>
        </w:rPr>
        <w:t>本项目硝基复合肥生产采用高塔熔融造粒生产工艺，生产过程包括配料、造粒、成品工段，工艺流程及产污环节见图</w:t>
      </w:r>
      <w:r>
        <w:rPr>
          <w:rFonts w:ascii="Times New Roman" w:eastAsia="宋体" w:hAnsi="Times New Roman" w:cs="Times New Roman" w:hint="eastAsia"/>
          <w:color w:val="000000" w:themeColor="text1"/>
          <w:kern w:val="1"/>
          <w:sz w:val="24"/>
          <w:szCs w:val="24"/>
        </w:rPr>
        <w:t>4.1-4</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after="200" w:line="500" w:lineRule="atLeast"/>
        <w:ind w:firstLine="560"/>
        <w:jc w:val="both"/>
        <w:rPr>
          <w:rFonts w:ascii="Tahoma" w:eastAsia="微软雅黑" w:hAnsi="Tahoma" w:cs="Times New Roman"/>
          <w:color w:val="000000" w:themeColor="text1"/>
          <w:kern w:val="0"/>
          <w:sz w:val="22"/>
          <w:szCs w:val="22"/>
        </w:rPr>
      </w:pPr>
      <w:r>
        <w:rPr>
          <w:rFonts w:ascii="Tahoma" w:eastAsia="微软雅黑" w:hAnsi="Tahoma" w:cs="Times New Roman"/>
          <w:noProof/>
          <w:color w:val="000000" w:themeColor="text1"/>
          <w:kern w:val="0"/>
          <w:sz w:val="22"/>
          <w:szCs w:val="22"/>
        </w:rPr>
        <mc:AlternateContent>
          <mc:Choice Requires="wps">
            <w:drawing>
              <wp:anchor distT="0" distB="0" distL="114300" distR="114300" simplePos="0" relativeHeight="251983872" behindDoc="0" locked="0" layoutInCell="1" allowOverlap="1">
                <wp:simplePos x="0" y="0"/>
                <wp:positionH relativeFrom="column">
                  <wp:posOffset>4309745</wp:posOffset>
                </wp:positionH>
                <wp:positionV relativeFrom="paragraph">
                  <wp:posOffset>617220</wp:posOffset>
                </wp:positionV>
                <wp:extent cx="133350" cy="372110"/>
                <wp:effectExtent l="19050" t="0" r="38100" b="27940"/>
                <wp:wrapNone/>
                <wp:docPr id="281"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350" cy="372110"/>
                        </a:xfrm>
                        <a:prstGeom prst="flowChartManualOperation">
                          <a:avLst/>
                        </a:prstGeom>
                        <a:noFill/>
                        <a:ln w="9525">
                          <a:solidFill>
                            <a:srgbClr val="000000"/>
                          </a:solidFill>
                          <a:miter lim="800000"/>
                          <a:tailEnd type="triangle" w="med" len="me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AutoShape 210" o:spid="_x0000_s1026" o:spt="119" type="#_x0000_t119" style="position:absolute;left:0pt;flip:y;margin-left:339.35pt;margin-top:48.6pt;height:29.3pt;width:10.5pt;z-index:251983872;mso-width-relative:page;mso-height-relative:page;" filled="f" stroked="t" coordsize="21600,21600" o:gfxdata="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Ysh8f2AAAAAoBAAAPAAAAAAAAAAEAIAAAACIAAABkcnMvZG93bnJl&#10;di54bWxQSwECFAAUAAAACACHTuJAFdrxAjYCAABKBAAADgAAAAAAAAABACAAAAAnAQAAZHJzL2Uy&#10;b0RvYy54bWxQSwUGAAAAAAYABgBZAQAAzwUAAAAA&#10;">
                <v:fill on="f" focussize="0,0"/>
                <v:stroke color="#000000" miterlimit="8" joinstyle="miter" endarrow="block"/>
                <v:imagedata o:title=""/>
                <o:lock v:ext="edit" aspectratio="f"/>
              </v:shape>
            </w:pict>
          </mc:Fallback>
        </mc:AlternateContent>
      </w:r>
      <w:r>
        <w:rPr>
          <w:rFonts w:ascii="Tahoma" w:eastAsia="微软雅黑" w:hAnsi="Tahoma" w:cs="Times New Roman"/>
          <w:noProof/>
          <w:color w:val="000000" w:themeColor="text1"/>
          <w:kern w:val="0"/>
          <w:sz w:val="22"/>
          <w:szCs w:val="22"/>
        </w:rPr>
        <mc:AlternateContent>
          <mc:Choice Requires="wps">
            <w:drawing>
              <wp:anchor distT="0" distB="0" distL="114300" distR="114300" simplePos="0" relativeHeight="251984896" behindDoc="0" locked="0" layoutInCell="1" allowOverlap="1">
                <wp:simplePos x="0" y="0"/>
                <wp:positionH relativeFrom="column">
                  <wp:posOffset>4382135</wp:posOffset>
                </wp:positionH>
                <wp:positionV relativeFrom="paragraph">
                  <wp:posOffset>986790</wp:posOffset>
                </wp:positionV>
                <wp:extent cx="0" cy="381000"/>
                <wp:effectExtent l="76200" t="38100" r="57150" b="19050"/>
                <wp:wrapNone/>
                <wp:docPr id="28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59" o:spid="_x0000_s1026" o:spt="32" type="#_x0000_t32" style="position:absolute;left:0pt;flip:y;margin-left:345.05pt;margin-top:77.7pt;height:30pt;width:0pt;z-index:251984896;mso-width-relative:page;mso-height-relative:page;" filled="f" stroked="t" coordsize="21600,21600" o:gfxdata="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oGiTdcAAAALAQAADwAAAAAA&#10;AAABACAAAAAiAAAAZHJzL2Rvd25yZXYueG1sUEsBAhQAFAAAAAgAh07iQCyIB+bbAQAAngMAAA4A&#10;AAAAAAAAAQAgAAAAJgEAAGRycy9lMm9Eb2MueG1sUEsFBgAAAAAGAAYAWQEAAHMFAAAAAA==&#10;">
                <v:fill on="f" focussize="0,0"/>
                <v:stroke color="#000000" joinstyle="round" endarrow="block"/>
                <v:imagedata o:title=""/>
                <o:lock v:ext="edit" aspectratio="f"/>
              </v:shape>
            </w:pict>
          </mc:Fallback>
        </mc:AlternateContent>
      </w:r>
      <w:r>
        <w:rPr>
          <w:rFonts w:ascii="Tahoma" w:eastAsia="微软雅黑" w:hAnsi="Tahoma" w:cs="Times New Roman"/>
          <w:noProof/>
          <w:color w:val="000000" w:themeColor="text1"/>
          <w:kern w:val="0"/>
          <w:sz w:val="22"/>
          <w:szCs w:val="22"/>
        </w:rPr>
        <mc:AlternateContent>
          <mc:Choice Requires="wps">
            <w:drawing>
              <wp:anchor distT="0" distB="0" distL="114300" distR="114300" simplePos="0" relativeHeight="251985920" behindDoc="0" locked="0" layoutInCell="1" allowOverlap="1">
                <wp:simplePos x="0" y="0"/>
                <wp:positionH relativeFrom="column">
                  <wp:posOffset>4110355</wp:posOffset>
                </wp:positionH>
                <wp:positionV relativeFrom="paragraph">
                  <wp:posOffset>427990</wp:posOffset>
                </wp:positionV>
                <wp:extent cx="564515" cy="152400"/>
                <wp:effectExtent l="0" t="0" r="6985" b="0"/>
                <wp:wrapNone/>
                <wp:docPr id="28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15240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4#</w:t>
                            </w:r>
                            <w:r>
                              <w:rPr>
                                <w:rFonts w:ascii="宋体" w:hAnsi="宋体" w:hint="eastAsia"/>
                              </w:rPr>
                              <w:t>排气筒</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05" o:spid="_x0000_s1026" o:spt="202" type="#_x0000_t202" style="position:absolute;left:0pt;margin-left:323.65pt;margin-top:33.7pt;height:12pt;width:44.45pt;z-index:251985920;mso-width-relative:page;mso-height-relative:page;" fillcolor="#FFFFFF" filled="t" stroked="f" coordsize="21600,21600" o:gfxdata="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N0cDYAAAACQEAAA8AAAAAAAAAAQAgAAAAIgAAAGRycy9kb3ducmV2Lnht&#10;bFBLAQIUABQAAAAIAIdO4kA8va9t+QEAAOIDAAAOAAAAAAAAAAEAIAAAACcBAABkcnMvZTJvRG9j&#10;LnhtbFBLBQYAAAAABgAGAFkBAACSBQAAAAA=&#10;">
                <v:fill on="t" focussize="0,0"/>
                <v:stroke on="f"/>
                <v:imagedata o:title=""/>
                <o:lock v:ext="edit" aspectratio="f"/>
                <v:textbox inset="0mm,0mm,0mm,0mm">
                  <w:txbxContent>
                    <w:p>
                      <w:pPr>
                        <w:rPr>
                          <w:rFonts w:ascii="宋体" w:hAnsi="宋体"/>
                        </w:rPr>
                      </w:pPr>
                      <w:r>
                        <w:rPr>
                          <w:rFonts w:hint="eastAsia" w:ascii="宋体" w:hAnsi="宋体"/>
                        </w:rPr>
                        <w:t>4#排气筒</w:t>
                      </w:r>
                    </w:p>
                  </w:txbxContent>
                </v:textbox>
              </v:shape>
            </w:pict>
          </mc:Fallback>
        </mc:AlternateContent>
      </w:r>
      <w:r>
        <w:rPr>
          <w:rFonts w:ascii="Tahoma" w:eastAsia="微软雅黑" w:hAnsi="Tahoma" w:cs="Times New Roman"/>
          <w:noProof/>
          <w:color w:val="000000" w:themeColor="text1"/>
          <w:kern w:val="0"/>
          <w:sz w:val="22"/>
          <w:szCs w:val="22"/>
        </w:rPr>
        <mc:AlternateContent>
          <mc:Choice Requires="wps">
            <w:drawing>
              <wp:anchor distT="0" distB="0" distL="114300" distR="114300" simplePos="0" relativeHeight="251981824" behindDoc="0" locked="0" layoutInCell="1" allowOverlap="1">
                <wp:simplePos x="0" y="0"/>
                <wp:positionH relativeFrom="column">
                  <wp:posOffset>2871470</wp:posOffset>
                </wp:positionH>
                <wp:positionV relativeFrom="paragraph">
                  <wp:posOffset>427990</wp:posOffset>
                </wp:positionV>
                <wp:extent cx="564515" cy="152400"/>
                <wp:effectExtent l="0" t="0" r="6985" b="0"/>
                <wp:wrapNone/>
                <wp:docPr id="27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15240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3#</w:t>
                            </w:r>
                            <w:r>
                              <w:rPr>
                                <w:rFonts w:ascii="宋体" w:hAnsi="宋体" w:hint="eastAsia"/>
                              </w:rPr>
                              <w:t>排气筒</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05" o:spid="_x0000_s1026" o:spt="202" type="#_x0000_t202" style="position:absolute;left:0pt;margin-left:226.1pt;margin-top:33.7pt;height:12pt;width:44.45pt;z-index:251981824;mso-width-relative:page;mso-height-relative:page;" fillcolor="#FFFFFF" filled="t" stroked="f" coordsize="21600,21600" o:gfxdata="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aqpTrYAAAACQEAAA8AAAAAAAAAAQAgAAAAIgAAAGRycy9kb3ducmV2Lnht&#10;bFBLAQIUABQAAAAIAIdO4kB1Uonf+QEAAOIDAAAOAAAAAAAAAAEAIAAAACcBAABkcnMvZTJvRG9j&#10;LnhtbFBLBQYAAAAABgAGAFkBAACSBQAAAAA=&#10;">
                <v:fill on="t" focussize="0,0"/>
                <v:stroke on="f"/>
                <v:imagedata o:title=""/>
                <o:lock v:ext="edit" aspectratio="f"/>
                <v:textbox inset="0mm,0mm,0mm,0mm">
                  <w:txbxContent>
                    <w:p>
                      <w:pPr>
                        <w:rPr>
                          <w:rFonts w:ascii="宋体" w:hAnsi="宋体"/>
                        </w:rPr>
                      </w:pPr>
                      <w:r>
                        <w:rPr>
                          <w:rFonts w:hint="eastAsia" w:ascii="宋体" w:hAnsi="宋体"/>
                        </w:rPr>
                        <w:t>3#排气筒</w:t>
                      </w:r>
                    </w:p>
                  </w:txbxContent>
                </v:textbox>
              </v:shape>
            </w:pict>
          </mc:Fallback>
        </mc:AlternateContent>
      </w:r>
      <w:r>
        <w:rPr>
          <w:rFonts w:ascii="Tahoma" w:eastAsia="微软雅黑" w:hAnsi="Tahoma" w:cs="Times New Roman"/>
          <w:noProof/>
          <w:color w:val="000000" w:themeColor="text1"/>
          <w:kern w:val="0"/>
          <w:sz w:val="22"/>
          <w:szCs w:val="22"/>
        </w:rPr>
        <mc:AlternateContent>
          <mc:Choice Requires="wps">
            <w:drawing>
              <wp:anchor distT="0" distB="0" distL="114300" distR="114300" simplePos="0" relativeHeight="251975680" behindDoc="0" locked="0" layoutInCell="1" allowOverlap="1">
                <wp:simplePos x="0" y="0"/>
                <wp:positionH relativeFrom="column">
                  <wp:posOffset>1946910</wp:posOffset>
                </wp:positionH>
                <wp:positionV relativeFrom="paragraph">
                  <wp:posOffset>140970</wp:posOffset>
                </wp:positionV>
                <wp:extent cx="133350" cy="372110"/>
                <wp:effectExtent l="19050" t="0" r="38100" b="27940"/>
                <wp:wrapNone/>
                <wp:docPr id="273"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350" cy="372110"/>
                        </a:xfrm>
                        <a:prstGeom prst="flowChartManualOperation">
                          <a:avLst/>
                        </a:prstGeom>
                        <a:noFill/>
                        <a:ln w="9525">
                          <a:solidFill>
                            <a:srgbClr val="000000"/>
                          </a:solidFill>
                          <a:miter lim="800000"/>
                          <a:tailEnd type="triangle" w="med" len="me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AutoShape 210" o:spid="_x0000_s1026" o:spt="119" type="#_x0000_t119" style="position:absolute;left:0pt;flip:y;margin-left:153.3pt;margin-top:11.1pt;height:29.3pt;width:10.5pt;z-index:251975680;mso-width-relative:page;mso-height-relative:page;" filled="f" stroked="t" coordsize="21600,21600" o:gfxdata="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cQZ9LXAAAACQEAAA8AAAAAAAAAAQAgAAAAIgAAAGRycy9kb3ducmV2&#10;LnhtbFBLAQIUABQAAAAIAIdO4kBbDJSLNgIAAEoEAAAOAAAAAAAAAAEAIAAAACYBAABkcnMvZTJv&#10;RG9jLnhtbFBLBQYAAAAABgAGAFkBAADOBQAAAAA=&#10;">
                <v:fill on="f" focussize="0,0"/>
                <v:stroke color="#000000" miterlimit="8" joinstyle="miter" endarrow="block"/>
                <v:imagedata o:title=""/>
                <o:lock v:ext="edit" aspectratio="f"/>
              </v:shape>
            </w:pict>
          </mc:Fallback>
        </mc:AlternateContent>
      </w:r>
      <w:r>
        <w:rPr>
          <w:rFonts w:ascii="Tahoma" w:eastAsia="微软雅黑" w:hAnsi="Tahoma" w:cs="Times New Roman"/>
          <w:noProof/>
          <w:color w:val="000000" w:themeColor="text1"/>
          <w:kern w:val="0"/>
          <w:sz w:val="22"/>
          <w:szCs w:val="22"/>
        </w:rPr>
        <mc:AlternateContent>
          <mc:Choice Requires="wps">
            <w:drawing>
              <wp:anchor distT="0" distB="0" distL="114300" distR="114300" simplePos="0" relativeHeight="251977728" behindDoc="0" locked="0" layoutInCell="1" allowOverlap="1">
                <wp:simplePos x="0" y="0"/>
                <wp:positionH relativeFrom="column">
                  <wp:posOffset>1654175</wp:posOffset>
                </wp:positionH>
                <wp:positionV relativeFrom="paragraph">
                  <wp:posOffset>358140</wp:posOffset>
                </wp:positionV>
                <wp:extent cx="285750" cy="0"/>
                <wp:effectExtent l="0" t="76200" r="19050" b="95250"/>
                <wp:wrapNone/>
                <wp:docPr id="27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59" o:spid="_x0000_s1026" o:spt="32" type="#_x0000_t32" style="position:absolute;left:0pt;margin-left:130.25pt;margin-top:28.2pt;height:0pt;width:22.5pt;z-index:251977728;mso-width-relative:page;mso-height-relative:page;" filled="f" stroked="t" coordsize="21600,21600" o:gfxdata="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Jv7WD2AAAAAkBAAAPAAAAAAAAAAEA&#10;IAAAACIAAABkcnMvZG93bnJldi54bWxQSwECFAAUAAAACACHTuJApMFettYBAACUAwAADgAAAAAA&#10;AAABACAAAAAnAQAAZHJzL2Uyb0RvYy54bWxQSwUGAAAAAAYABgBZAQAAbwUAAAAA&#10;">
                <v:fill on="f" focussize="0,0"/>
                <v:stroke color="#000000" joinstyle="round" endarrow="block"/>
                <v:imagedata o:title=""/>
                <o:lock v:ext="edit" aspectratio="f"/>
              </v:shape>
            </w:pict>
          </mc:Fallback>
        </mc:AlternateContent>
      </w:r>
      <w:r>
        <w:rPr>
          <w:rFonts w:ascii="Tahoma" w:eastAsia="微软雅黑" w:hAnsi="Tahoma" w:cs="Times New Roman"/>
          <w:noProof/>
          <w:color w:val="000000" w:themeColor="text1"/>
          <w:kern w:val="0"/>
          <w:sz w:val="22"/>
          <w:szCs w:val="22"/>
        </w:rPr>
        <mc:AlternateContent>
          <mc:Choice Requires="wps">
            <w:drawing>
              <wp:anchor distT="0" distB="0" distL="114300" distR="114300" simplePos="0" relativeHeight="251974656" behindDoc="0" locked="0" layoutInCell="1" allowOverlap="1">
                <wp:simplePos x="0" y="0"/>
                <wp:positionH relativeFrom="column">
                  <wp:posOffset>850900</wp:posOffset>
                </wp:positionH>
                <wp:positionV relativeFrom="paragraph">
                  <wp:posOffset>193675</wp:posOffset>
                </wp:positionV>
                <wp:extent cx="800100" cy="273050"/>
                <wp:effectExtent l="0" t="0" r="19050" b="12700"/>
                <wp:wrapNone/>
                <wp:docPr id="27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7305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布袋除尘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52" o:spid="_x0000_s1026" o:spt="1" style="position:absolute;left:0pt;margin-left:67pt;margin-top:15.25pt;height:21.5pt;width:63pt;z-index:251974656;mso-width-relative:page;mso-height-relative:page;" fillcolor="#FFFFFF" filled="t" stroked="t" coordsize="21600,21600" o:gfxdata="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alghdcAAAAJAQAADwAAAAAA&#10;AAABACAAAAAiAAAAZHJzL2Rvd25yZXYueG1sUEsBAhQAFAAAAAgAh07iQK7fsPYUAgAAMQQAAA4A&#10;AAAAAAAAAQAgAAAAJgEAAGRycy9lMm9Eb2MueG1sUEsFBgAAAAAGAAYAWQEAAKwFAAAAAA==&#10;">
                <v:fill on="t" focussize="0,0"/>
                <v:stroke color="#000000" miterlimit="8" joinstyle="miter"/>
                <v:imagedata o:title=""/>
                <o:lock v:ext="edit" aspectratio="f"/>
                <v:textbox>
                  <w:txbxContent>
                    <w:p>
                      <w:pPr>
                        <w:rPr>
                          <w:rFonts w:ascii="宋体" w:hAnsi="宋体"/>
                        </w:rPr>
                      </w:pPr>
                      <w:r>
                        <w:rPr>
                          <w:rFonts w:hint="eastAsia" w:ascii="宋体" w:hAnsi="宋体"/>
                        </w:rPr>
                        <w:t>布袋除尘</w:t>
                      </w:r>
                    </w:p>
                  </w:txbxContent>
                </v:textbox>
              </v:rect>
            </w:pict>
          </mc:Fallback>
        </mc:AlternateContent>
      </w:r>
    </w:p>
    <w:p w:rsidR="00C861DA" w:rsidRDefault="0044752E">
      <w:pPr>
        <w:widowControl/>
        <w:autoSpaceDE/>
        <w:autoSpaceDN/>
        <w:snapToGrid w:val="0"/>
        <w:spacing w:line="360" w:lineRule="auto"/>
        <w:ind w:firstLineChars="200" w:firstLine="440"/>
        <w:rPr>
          <w:rFonts w:ascii="Times New Roman" w:eastAsia="宋体" w:hAnsi="Times New Roman" w:cs="Times New Roman"/>
          <w:color w:val="000000" w:themeColor="text1"/>
          <w:kern w:val="1"/>
          <w:sz w:val="24"/>
          <w:szCs w:val="24"/>
        </w:rPr>
      </w:pPr>
      <w:r>
        <w:rPr>
          <w:rFonts w:ascii="Tahoma" w:eastAsia="微软雅黑" w:hAnsi="Tahoma" w:cs="Times New Roman"/>
          <w:noProof/>
          <w:color w:val="000000" w:themeColor="text1"/>
          <w:kern w:val="0"/>
          <w:sz w:val="22"/>
          <w:szCs w:val="22"/>
        </w:rPr>
        <mc:AlternateContent>
          <mc:Choice Requires="wps">
            <w:drawing>
              <wp:anchor distT="0" distB="0" distL="114300" distR="114300" simplePos="0" relativeHeight="251979776" behindDoc="0" locked="0" layoutInCell="1" allowOverlap="1">
                <wp:simplePos x="0" y="0"/>
                <wp:positionH relativeFrom="column">
                  <wp:posOffset>3070860</wp:posOffset>
                </wp:positionH>
                <wp:positionV relativeFrom="paragraph">
                  <wp:posOffset>172720</wp:posOffset>
                </wp:positionV>
                <wp:extent cx="133350" cy="372110"/>
                <wp:effectExtent l="19050" t="0" r="38100" b="27940"/>
                <wp:wrapNone/>
                <wp:docPr id="277"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350" cy="372110"/>
                        </a:xfrm>
                        <a:prstGeom prst="flowChartManualOperation">
                          <a:avLst/>
                        </a:prstGeom>
                        <a:noFill/>
                        <a:ln w="9525">
                          <a:solidFill>
                            <a:srgbClr val="000000"/>
                          </a:solidFill>
                          <a:miter lim="800000"/>
                          <a:tailEnd type="triangle" w="med" len="me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AutoShape 210" o:spid="_x0000_s1026" o:spt="119" type="#_x0000_t119" style="position:absolute;left:0pt;flip:y;margin-left:241.8pt;margin-top:13.6pt;height:29.3pt;width:10.5pt;z-index:251979776;mso-width-relative:page;mso-height-relative:page;" filled="f" stroked="t" coordsize="21600,21600" o:gfxdata="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GzCX2AAAAAkBAAAPAAAAAAAAAAEAIAAAACIAAABkcnMvZG93bnJl&#10;di54bWxQSwECFAAUAAAACACHTuJAG9QL4zYCAABKBAAADgAAAAAAAAABACAAAAAnAQAAZHJzL2Uy&#10;b0RvYy54bWxQSwUGAAAAAAYABgBZAQAAzwUAAAAA&#10;">
                <v:fill on="f" focussize="0,0"/>
                <v:stroke color="#000000" miterlimit="8" joinstyle="miter"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91712" behindDoc="0" locked="0" layoutInCell="1" allowOverlap="1">
                <wp:simplePos x="0" y="0"/>
                <wp:positionH relativeFrom="column">
                  <wp:posOffset>654050</wp:posOffset>
                </wp:positionH>
                <wp:positionV relativeFrom="paragraph">
                  <wp:posOffset>89535</wp:posOffset>
                </wp:positionV>
                <wp:extent cx="463550" cy="171450"/>
                <wp:effectExtent l="0" t="0" r="0" b="0"/>
                <wp:wrapNone/>
                <wp:docPr id="14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rPr>
                              <w:t>G3</w:t>
                            </w:r>
                            <w:r>
                              <w:rPr>
                                <w:rFonts w:ascii="Times New Roman" w:hAnsi="Times New Roman" w:cs="Times New Roman" w:hint="eastAsia"/>
                              </w:rPr>
                              <w:t>/N11</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20" o:spid="_x0000_s1026" o:spt="202" type="#_x0000_t202" style="position:absolute;left:0pt;margin-left:51.5pt;margin-top:7.05pt;height:13.5pt;width:36.5pt;z-index:251891712;mso-width-relative:page;mso-height-relative:page;" fillcolor="#FFFFFF" filled="t" stroked="f" coordsize="21600,21600" o:gfxdata="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ljXcjXAAAACQEAAA8AAAAAAAAAAQAgAAAAIgAAAGRycy9kb3ducmV2LnhtbFBL&#10;AQIUABQAAAAIAIdO4kB6dyOK9wEAAOIDAAAOAAAAAAAAAAEAIAAAACYBAABkcnMvZTJvRG9jLnht&#10;bFBLBQYAAAAABgAGAFkBAACPBQAAAAA=&#10;">
                <v:fill on="t" focussize="0,0"/>
                <v:stroke on="f"/>
                <v:imagedata o:title=""/>
                <o:lock v:ext="edit" aspectratio="f"/>
                <v:textbox inset="0mm,0mm,0mm,0mm">
                  <w:txbxContent>
                    <w:p>
                      <w:pPr>
                        <w:rPr>
                          <w:rFonts w:ascii="Times New Roman" w:hAnsi="Times New Roman" w:cs="Times New Roman"/>
                        </w:rPr>
                      </w:pPr>
                      <w:r>
                        <w:rPr>
                          <w:rFonts w:ascii="Times New Roman" w:hAnsi="Times New Roman" w:cs="Times New Roman"/>
                        </w:rPr>
                        <w:t>G3</w:t>
                      </w:r>
                      <w:r>
                        <w:rPr>
                          <w:rFonts w:hint="eastAsia" w:ascii="Times New Roman" w:hAnsi="Times New Roman" w:cs="Times New Roman"/>
                        </w:rPr>
                        <w:t>/N11</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90688" behindDoc="0" locked="0" layoutInCell="1" allowOverlap="1">
                <wp:simplePos x="0" y="0"/>
                <wp:positionH relativeFrom="column">
                  <wp:posOffset>1219200</wp:posOffset>
                </wp:positionH>
                <wp:positionV relativeFrom="paragraph">
                  <wp:posOffset>17145</wp:posOffset>
                </wp:positionV>
                <wp:extent cx="0" cy="262890"/>
                <wp:effectExtent l="57150" t="17145" r="57150" b="5715"/>
                <wp:wrapNone/>
                <wp:docPr id="147"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122" o:spid="_x0000_s1026" o:spt="32" type="#_x0000_t32" style="position:absolute;left:0pt;flip:y;margin-left:96pt;margin-top:1.35pt;height:20.7pt;width:0pt;z-index:251890688;mso-width-relative:page;mso-height-relative:page;" filled="f" stroked="t" coordsize="21600,21600" o:gfxdata="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my683SAAAACAEA&#10;AA8AAAAAAAAAAQAgAAAAIgAAAGRycy9kb3ducmV2LnhtbFBLAQIUABQAAAAIAIdO4kB/+Vu65wEA&#10;ALcDAAAOAAAAAAAAAAEAIAAAACEBAABkcnMvZTJvRG9jLnhtbFBLBQYAAAAABgAGAFkBAAB6BQAA&#10;AAA=&#10;">
                <v:fill on="f" focussize="0,0"/>
                <v:stroke color="#000000" joinstyle="round" dashstyle="dash" endarrow="block"/>
                <v:imagedata o:title=""/>
                <o:lock v:ext="edit" aspectratio="f"/>
              </v:shape>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2000256" behindDoc="0" locked="0" layoutInCell="1" allowOverlap="1">
                <wp:simplePos x="0" y="0"/>
                <wp:positionH relativeFrom="column">
                  <wp:posOffset>3381375</wp:posOffset>
                </wp:positionH>
                <wp:positionV relativeFrom="paragraph">
                  <wp:posOffset>231775</wp:posOffset>
                </wp:positionV>
                <wp:extent cx="257175" cy="123825"/>
                <wp:effectExtent l="0" t="0" r="9525" b="9525"/>
                <wp:wrapNone/>
                <wp:docPr id="30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23825"/>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hint="eastAsia"/>
                              </w:rPr>
                              <w:t>W3</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40" o:spid="_x0000_s1026" o:spt="202" type="#_x0000_t202" style="position:absolute;left:0pt;margin-left:266.25pt;margin-top:18.25pt;height:9.75pt;width:20.25pt;z-index:252000256;mso-width-relative:page;mso-height-relative:page;" fillcolor="#FFFFFF" filled="t" stroked="f" coordsize="21600,21600" o:gfxdata="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uuLBq2AAAAAkBAAAPAAAAAAAAAAEAIAAAACIAAABkcnMvZG93bnJldi54&#10;bWxQSwECFAAUAAAACACHTuJA4kUxFPoBAADiAwAADgAAAAAAAAABACAAAAAnAQAAZHJzL2Uyb0Rv&#10;Yy54bWxQSwUGAAAAAAYABgBZAQAAkwUAAAAA&#10;">
                <v:fill on="t" focussize="0,0"/>
                <v:stroke on="f"/>
                <v:imagedata o:title=""/>
                <o:lock v:ext="edit" aspectratio="f"/>
                <v:textbox inset="0mm,0mm,0mm,0mm">
                  <w:txbxContent>
                    <w:p>
                      <w:pPr>
                        <w:rPr>
                          <w:rFonts w:ascii="Times New Roman" w:hAnsi="Times New Roman" w:cs="Times New Roman"/>
                        </w:rPr>
                      </w:pPr>
                      <w:r>
                        <w:rPr>
                          <w:rFonts w:hint="eastAsia" w:ascii="Times New Roman" w:hAnsi="Times New Roman" w:cs="Times New Roman"/>
                        </w:rPr>
                        <w:t>W3</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89664" behindDoc="0" locked="0" layoutInCell="1" allowOverlap="1">
                <wp:simplePos x="0" y="0"/>
                <wp:positionH relativeFrom="column">
                  <wp:posOffset>596900</wp:posOffset>
                </wp:positionH>
                <wp:positionV relativeFrom="paragraph">
                  <wp:posOffset>17145</wp:posOffset>
                </wp:positionV>
                <wp:extent cx="939800" cy="1584960"/>
                <wp:effectExtent l="6350" t="7620" r="6350" b="7620"/>
                <wp:wrapNone/>
                <wp:docPr id="14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584960"/>
                        </a:xfrm>
                        <a:prstGeom prst="rect">
                          <a:avLst/>
                        </a:prstGeom>
                        <a:noFill/>
                        <a:ln w="9525">
                          <a:solidFill>
                            <a:srgbClr val="000000"/>
                          </a:solidFill>
                          <a:prstDash val="dashDot"/>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23" o:spid="_x0000_s1026" o:spt="1" style="position:absolute;left:0pt;margin-left:47pt;margin-top:1.35pt;height:124.8pt;width:74pt;z-index:251889664;mso-width-relative:page;mso-height-relative:page;" filled="f" stroked="t" coordsize="21600,21600" o:gfxdata="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IFiX9cAAAAIAQAA&#10;DwAAAAAAAAABACAAAAAiAAAAZHJzL2Rvd25yZXYueG1sUEsBAhQAFAAAAAgAh07iQPsqCtYaAgAA&#10;GgQAAA4AAAAAAAAAAQAgAAAAJgEAAGRycy9lMm9Eb2MueG1sUEsFBgAAAAAGAAYAWQEAALIFAAAA&#10;AA==&#10;">
                <v:fill on="f" focussize="0,0"/>
                <v:stroke color="#000000" miterlimit="8" joinstyle="miter" dashstyle="dashDot"/>
                <v:imagedata o:title=""/>
                <o:lock v:ext="edit" aspectratio="f"/>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78400" behindDoc="0" locked="0" layoutInCell="1" allowOverlap="1">
                <wp:simplePos x="0" y="0"/>
                <wp:positionH relativeFrom="column">
                  <wp:posOffset>654050</wp:posOffset>
                </wp:positionH>
                <wp:positionV relativeFrom="paragraph">
                  <wp:posOffset>112395</wp:posOffset>
                </wp:positionV>
                <wp:extent cx="838200" cy="317500"/>
                <wp:effectExtent l="6350" t="7620" r="12700" b="8255"/>
                <wp:wrapNone/>
                <wp:docPr id="14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计量</w:t>
                            </w:r>
                            <w:r>
                              <w:rPr>
                                <w:rFonts w:ascii="宋体" w:hAnsi="宋体" w:hint="eastAsia"/>
                              </w:rPr>
                              <w:t>/</w:t>
                            </w:r>
                            <w:r>
                              <w:rPr>
                                <w:rFonts w:ascii="宋体" w:hAnsi="宋体" w:hint="eastAsia"/>
                              </w:rPr>
                              <w:t>提升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24" o:spid="_x0000_s1026" o:spt="1" style="position:absolute;left:0pt;margin-left:51.5pt;margin-top:8.85pt;height:25pt;width:66pt;z-index:251878400;mso-width-relative:page;mso-height-relative:page;" fillcolor="#FFFFFF" filled="t" stroked="t" coordsize="21600,21600" o:gfxdata="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03cErVAAAACQEAAA8AAAAAAAAAAQAg&#10;AAAAIgAAAGRycy9kb3ducmV2LnhtbFBLAQIUABQAAAAIAIdO4kDPqCMBEQIAADIEAAAOAAAAAAAA&#10;AAEAIAAAACQBAABkcnMvZTJvRG9jLnhtbFBLBQYAAAAABgAGAFkBAACnBQAAAAA=&#10;">
                <v:fill on="t" focussize="0,0"/>
                <v:stroke color="#000000" miterlimit="8" joinstyle="miter"/>
                <v:imagedata o:title=""/>
                <o:lock v:ext="edit" aspectratio="f"/>
                <v:textbox>
                  <w:txbxContent>
                    <w:p>
                      <w:pPr>
                        <w:rPr>
                          <w:rFonts w:ascii="宋体" w:hAnsi="宋体"/>
                        </w:rPr>
                      </w:pPr>
                      <w:r>
                        <w:rPr>
                          <w:rFonts w:hint="eastAsia" w:ascii="宋体" w:hAnsi="宋体"/>
                        </w:rPr>
                        <w:t>计量/提升</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85568" behindDoc="0" locked="0" layoutInCell="1" allowOverlap="1">
                <wp:simplePos x="0" y="0"/>
                <wp:positionH relativeFrom="column">
                  <wp:posOffset>1936750</wp:posOffset>
                </wp:positionH>
                <wp:positionV relativeFrom="paragraph">
                  <wp:posOffset>861695</wp:posOffset>
                </wp:positionV>
                <wp:extent cx="495300" cy="0"/>
                <wp:effectExtent l="12700" t="61595" r="15875" b="52705"/>
                <wp:wrapNone/>
                <wp:docPr id="144"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25" o:spid="_x0000_s1026" o:spt="32" type="#_x0000_t32" style="position:absolute;left:0pt;margin-left:152.5pt;margin-top:67.85pt;height:0pt;width:39pt;z-index:251885568;mso-width-relative:page;mso-height-relative:page;" filled="f" stroked="t" coordsize="21600,21600" o:gfxdata="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NG8v2QAAAAsBAAAPAAAAAAAAAAEA&#10;IAAAACIAAABkcnMvZG93bnJldi54bWxQSwECFAAUAAAACACHTuJArOwyF9UBAACVAwAADgAAAAAA&#10;AAABACAAAAAoAQAAZHJzL2Uyb0RvYy54bWxQSwUGAAAAAAYABgBZAQAAbw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68160" behindDoc="0" locked="0" layoutInCell="1" allowOverlap="1">
                <wp:simplePos x="0" y="0"/>
                <wp:positionH relativeFrom="column">
                  <wp:posOffset>-31750</wp:posOffset>
                </wp:positionH>
                <wp:positionV relativeFrom="paragraph">
                  <wp:posOffset>17145</wp:posOffset>
                </wp:positionV>
                <wp:extent cx="577850" cy="171450"/>
                <wp:effectExtent l="0" t="0" r="0" b="1905"/>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有机原料</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26" o:spid="_x0000_s1026" o:spt="202" type="#_x0000_t202" style="position:absolute;left:0pt;margin-left:-2.5pt;margin-top:1.35pt;height:13.5pt;width:45.5pt;z-index:251868160;mso-width-relative:page;mso-height-relative:page;" fillcolor="#FFFFFF" filled="t" stroked="f" coordsize="21600,21600" o:gfxdata="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kcPuPVAAAABgEAAA8AAAAAAAAAAQAgAAAAIgAAAGRycy9kb3ducmV2LnhtbFBLAQIU&#10;ABQAAAAIAIdO4kCiAQhY9gEAAOIDAAAOAAAAAAAAAAEAIAAAACQBAABkcnMvZTJvRG9jLnhtbFBL&#10;BQYAAAAABgAGAFkBAACMBQAAAAA=&#10;">
                <v:fill on="t" focussize="0,0"/>
                <v:stroke on="f"/>
                <v:imagedata o:title=""/>
                <o:lock v:ext="edit" aspectratio="f"/>
                <v:textbox inset="0mm,0mm,0mm,0mm">
                  <w:txbxContent>
                    <w:p>
                      <w:pPr>
                        <w:rPr>
                          <w:rFonts w:ascii="宋体" w:hAnsi="宋体"/>
                        </w:rPr>
                      </w:pPr>
                      <w:r>
                        <w:rPr>
                          <w:rFonts w:hint="eastAsia" w:ascii="宋体" w:hAnsi="宋体"/>
                        </w:rPr>
                        <w:t>有机原料</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69184" behindDoc="0" locked="0" layoutInCell="1" allowOverlap="1">
                <wp:simplePos x="0" y="0"/>
                <wp:positionH relativeFrom="column">
                  <wp:posOffset>158750</wp:posOffset>
                </wp:positionH>
                <wp:positionV relativeFrom="paragraph">
                  <wp:posOffset>233045</wp:posOffset>
                </wp:positionV>
                <wp:extent cx="495300" cy="0"/>
                <wp:effectExtent l="6350" t="61595" r="22225" b="52705"/>
                <wp:wrapNone/>
                <wp:docPr id="142"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27" o:spid="_x0000_s1026" o:spt="32" type="#_x0000_t32" style="position:absolute;left:0pt;margin-left:12.5pt;margin-top:18.35pt;height:0pt;width:39pt;z-index:251869184;mso-width-relative:page;mso-height-relative:page;" filled="f" stroked="t" coordsize="21600,21600" o:gfxdata="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Qf5PtgAAAAIAQAADwAAAAAAAAAB&#10;ACAAAAAiAAAAZHJzL2Rvd25yZXYueG1sUEsBAhQAFAAAAAgAh07iQMYf8BfXAQAAlQMAAA4AAAAA&#10;AAAAAQAgAAAAJwEAAGRycy9lMm9Eb2MueG1sUEsFBgAAAAAGAAYAWQEAAHAFA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99232" behindDoc="0" locked="0" layoutInCell="1" allowOverlap="1">
                <wp:simplePos x="0" y="0"/>
                <wp:positionH relativeFrom="column">
                  <wp:posOffset>3448050</wp:posOffset>
                </wp:positionH>
                <wp:positionV relativeFrom="paragraph">
                  <wp:posOffset>104140</wp:posOffset>
                </wp:positionV>
                <wp:extent cx="0" cy="262890"/>
                <wp:effectExtent l="76200" t="38100" r="57150" b="22860"/>
                <wp:wrapNone/>
                <wp:docPr id="303"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121" o:spid="_x0000_s1026" o:spt="32" type="#_x0000_t32" style="position:absolute;left:0pt;flip:y;margin-left:271.5pt;margin-top:8.2pt;height:20.7pt;width:0pt;z-index:251999232;mso-width-relative:page;mso-height-relative:page;" filled="f" stroked="t" coordsize="21600,21600" o:gfxdata="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7R8qtQAAAAJ&#10;AQAADwAAAAAAAAABACAAAAAiAAAAZHJzL2Rvd25yZXYueG1sUEsBAhQAFAAAAAgAh07iQC6fQhvn&#10;AQAAtwMAAA4AAAAAAAAAAQAgAAAAIwEAAGRycy9lMm9Eb2MueG1sUEsFBgAAAAAGAAYAWQEAAHwF&#10;AAAAAA==&#10;">
                <v:fill on="f" focussize="0,0"/>
                <v:stroke color="#000000" joinstyle="round" dashstyle="dash" endarrow="block"/>
                <v:imagedata o:title=""/>
                <o:lock v:ext="edit" aspectratio="f"/>
              </v:shape>
            </w:pict>
          </mc:Fallback>
        </mc:AlternateContent>
      </w:r>
      <w:r>
        <w:rPr>
          <w:rFonts w:ascii="Tahoma" w:eastAsia="微软雅黑" w:hAnsi="Tahoma" w:cs="Times New Roman"/>
          <w:noProof/>
          <w:color w:val="000000" w:themeColor="text1"/>
          <w:kern w:val="0"/>
          <w:sz w:val="22"/>
          <w:szCs w:val="22"/>
        </w:rPr>
        <mc:AlternateContent>
          <mc:Choice Requires="wps">
            <w:drawing>
              <wp:anchor distT="0" distB="0" distL="114300" distR="114300" simplePos="0" relativeHeight="251980800" behindDoc="0" locked="0" layoutInCell="1" allowOverlap="1">
                <wp:simplePos x="0" y="0"/>
                <wp:positionH relativeFrom="column">
                  <wp:posOffset>3143250</wp:posOffset>
                </wp:positionH>
                <wp:positionV relativeFrom="paragraph">
                  <wp:posOffset>16510</wp:posOffset>
                </wp:positionV>
                <wp:extent cx="0" cy="381000"/>
                <wp:effectExtent l="76200" t="38100" r="57150" b="19050"/>
                <wp:wrapNone/>
                <wp:docPr id="27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59" o:spid="_x0000_s1026" o:spt="32" type="#_x0000_t32" style="position:absolute;left:0pt;flip:y;margin-left:247.5pt;margin-top:1.3pt;height:30pt;width:0pt;z-index:251980800;mso-width-relative:page;mso-height-relative:page;" filled="f" stroked="t" coordsize="21600,21600" o:gfxdata="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wOi1v1gAAAAgBAAAPAAAAAAAA&#10;AAEAIAAAACIAAABkcnMvZG93bnJldi54bWxQSwECFAAUAAAACACHTuJAO9nSndsBAACeAwAADgAA&#10;AAAAAAABACAAAAAlAQAAZHJzL2Uyb0RvYy54bWxQSwUGAAAAAAYABgBZAQAAcg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79424" behindDoc="0" locked="0" layoutInCell="1" allowOverlap="1">
                <wp:simplePos x="0" y="0"/>
                <wp:positionH relativeFrom="column">
                  <wp:posOffset>1492250</wp:posOffset>
                </wp:positionH>
                <wp:positionV relativeFrom="paragraph">
                  <wp:posOffset>27305</wp:posOffset>
                </wp:positionV>
                <wp:extent cx="444500" cy="635"/>
                <wp:effectExtent l="6350" t="55880" r="15875" b="57785"/>
                <wp:wrapNone/>
                <wp:docPr id="141"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6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28" o:spid="_x0000_s1026" o:spt="32" type="#_x0000_t32" style="position:absolute;left:0pt;margin-left:117.5pt;margin-top:2.15pt;height:0.05pt;width:35pt;z-index:251879424;mso-width-relative:page;mso-height-relative:page;" filled="f" stroked="t" coordsize="21600,21600" o:gfxdata="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lUn29cAAAAHAQAADwAAAAAAAAAB&#10;ACAAAAAiAAAAZHJzL2Rvd25yZXYueG1sUEsBAhQAFAAAAAgAh07iQGc0hyDYAQAAlwMAAA4AAAAA&#10;AAAAAQAgAAAAJgEAAGRycy9lMm9Eb2MueG1sUEsFBgAAAAAGAAYAWQEAAHA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80448" behindDoc="0" locked="0" layoutInCell="1" allowOverlap="1">
                <wp:simplePos x="0" y="0"/>
                <wp:positionH relativeFrom="column">
                  <wp:posOffset>654050</wp:posOffset>
                </wp:positionH>
                <wp:positionV relativeFrom="paragraph">
                  <wp:posOffset>230505</wp:posOffset>
                </wp:positionV>
                <wp:extent cx="838200" cy="317500"/>
                <wp:effectExtent l="6350" t="11430" r="12700" b="13970"/>
                <wp:wrapNone/>
                <wp:docPr id="14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计量</w:t>
                            </w:r>
                            <w:r>
                              <w:rPr>
                                <w:rFonts w:ascii="宋体" w:hAnsi="宋体" w:hint="eastAsia"/>
                              </w:rPr>
                              <w:t>/</w:t>
                            </w:r>
                            <w:r>
                              <w:rPr>
                                <w:rFonts w:ascii="宋体" w:hAnsi="宋体" w:hint="eastAsia"/>
                              </w:rPr>
                              <w:t>提升</w:t>
                            </w:r>
                          </w:p>
                          <w:p w:rsidR="00C861DA" w:rsidRDefault="00C861DA">
                            <w:pPr>
                              <w:rPr>
                                <w:rFonts w:ascii="宋体" w:hAnsi="宋体"/>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29" o:spid="_x0000_s1026" o:spt="1" style="position:absolute;left:0pt;margin-left:51.5pt;margin-top:18.15pt;height:25pt;width:66pt;z-index:251880448;mso-width-relative:page;mso-height-relative:page;" fillcolor="#FFFFFF" filled="t" stroked="t" coordsize="21600,21600" o:gfxdata="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S/cG3WAAAACQEAAA8AAAAAAAAAAQAg&#10;AAAAIgAAAGRycy9kb3ducmV2LnhtbFBLAQIUABQAAAAIAIdO4kC0gnBTEAIAADIEAAAOAAAAAAAA&#10;AAEAIAAAACUBAABkcnMvZTJvRG9jLnhtbFBLBQYAAAAABgAGAFkBAACnBQAAAAA=&#10;">
                <v:fill on="t" focussize="0,0"/>
                <v:stroke color="#000000" miterlimit="8" joinstyle="miter"/>
                <v:imagedata o:title=""/>
                <o:lock v:ext="edit" aspectratio="f"/>
                <v:textbox>
                  <w:txbxContent>
                    <w:p>
                      <w:pPr>
                        <w:rPr>
                          <w:rFonts w:ascii="宋体" w:hAnsi="宋体"/>
                        </w:rPr>
                      </w:pPr>
                      <w:r>
                        <w:rPr>
                          <w:rFonts w:hint="eastAsia" w:ascii="宋体" w:hAnsi="宋体"/>
                        </w:rPr>
                        <w:t>计量/提升</w:t>
                      </w:r>
                    </w:p>
                    <w:p>
                      <w:pPr>
                        <w:rPr>
                          <w:rFonts w:ascii="宋体" w:hAnsi="宋体"/>
                        </w:rPr>
                      </w:pP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70208" behindDoc="0" locked="0" layoutInCell="1" allowOverlap="1">
                <wp:simplePos x="0" y="0"/>
                <wp:positionH relativeFrom="column">
                  <wp:posOffset>-31750</wp:posOffset>
                </wp:positionH>
                <wp:positionV relativeFrom="paragraph">
                  <wp:posOffset>128905</wp:posOffset>
                </wp:positionV>
                <wp:extent cx="298450" cy="171450"/>
                <wp:effectExtent l="0" t="0" r="0" b="4445"/>
                <wp:wrapNone/>
                <wp:docPr id="13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磷铵</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30" o:spid="_x0000_s1026" o:spt="202" type="#_x0000_t202" style="position:absolute;left:0pt;margin-left:-2.5pt;margin-top:10.15pt;height:13.5pt;width:23.5pt;z-index:251870208;mso-width-relative:page;mso-height-relative:page;" fillcolor="#FFFFFF" filled="t" stroked="f" coordsize="21600,21600" o:gfxdata="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30CZNcAAAAHAQAADwAAAAAAAAABACAAAAAiAAAAZHJzL2Rvd25yZXYueG1sUEsB&#10;AhQAFAAAAAgAh07iQGh9HY32AQAA4gMAAA4AAAAAAAAAAQAgAAAAJgEAAGRycy9lMm9Eb2MueG1s&#10;UEsFBgAAAAAGAAYAWQEAAI4FAAAAAA==&#10;">
                <v:fill on="t" focussize="0,0"/>
                <v:stroke on="f"/>
                <v:imagedata o:title=""/>
                <o:lock v:ext="edit" aspectratio="f"/>
                <v:textbox inset="0mm,0mm,0mm,0mm">
                  <w:txbxContent>
                    <w:p>
                      <w:pPr>
                        <w:rPr>
                          <w:rFonts w:ascii="宋体" w:hAnsi="宋体"/>
                        </w:rPr>
                      </w:pPr>
                      <w:r>
                        <w:rPr>
                          <w:rFonts w:hint="eastAsia" w:ascii="宋体" w:hAnsi="宋体"/>
                        </w:rPr>
                        <w:t>磷铵</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96832" behindDoc="0" locked="0" layoutInCell="1" allowOverlap="1">
                <wp:simplePos x="0" y="0"/>
                <wp:positionH relativeFrom="column">
                  <wp:posOffset>3435350</wp:posOffset>
                </wp:positionH>
                <wp:positionV relativeFrom="paragraph">
                  <wp:posOffset>1119505</wp:posOffset>
                </wp:positionV>
                <wp:extent cx="495300" cy="0"/>
                <wp:effectExtent l="6350" t="52705" r="22225" b="61595"/>
                <wp:wrapNone/>
                <wp:docPr id="138"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31" o:spid="_x0000_s1026" o:spt="32" type="#_x0000_t32" style="position:absolute;left:0pt;margin-left:270.5pt;margin-top:88.15pt;height:0pt;width:39pt;z-index:251896832;mso-width-relative:page;mso-height-relative:page;" filled="f" stroked="t" coordsize="21600,21600" o:gfxdata="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25ZP3ZAAAACwEAAA8AAAAAAAAAAQAg&#10;AAAAIgAAAGRycy9kb3ducmV2LnhtbFBLAQIUABQAAAAIAIdO4kCu+9O21AEAAJUDAAAOAAAAAAAA&#10;AAEAIAAAACgBAABkcnMvZTJvRG9jLnhtbFBLBQYAAAAABgAGAFkBAABuBQ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94784" behindDoc="0" locked="0" layoutInCell="1" allowOverlap="1">
                <wp:simplePos x="0" y="0"/>
                <wp:positionH relativeFrom="column">
                  <wp:posOffset>2432050</wp:posOffset>
                </wp:positionH>
                <wp:positionV relativeFrom="paragraph">
                  <wp:posOffset>1119505</wp:posOffset>
                </wp:positionV>
                <wp:extent cx="495300" cy="0"/>
                <wp:effectExtent l="12700" t="52705" r="15875" b="61595"/>
                <wp:wrapNone/>
                <wp:docPr id="137"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32" o:spid="_x0000_s1026" o:spt="32" type="#_x0000_t32" style="position:absolute;left:0pt;margin-left:191.5pt;margin-top:88.15pt;height:0pt;width:39pt;z-index:251894784;mso-width-relative:page;mso-height-relative:page;" filled="f" stroked="t" coordsize="21600,21600" o:gfxdata="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i+sfNgAAAALAQAADwAAAAAAAAAB&#10;ACAAAAAiAAAAZHJzL2Rvd25yZXYueG1sUEsBAhQAFAAAAAgAh07iQFE3FLDXAQAAlQMAAA4AAAAA&#10;AAAAAQAgAAAAJwEAAGRycy9lMm9Eb2MueG1sUEsFBgAAAAAGAAYAWQEAAHA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93760" behindDoc="0" locked="0" layoutInCell="1" allowOverlap="1">
                <wp:simplePos x="0" y="0"/>
                <wp:positionH relativeFrom="column">
                  <wp:posOffset>1936750</wp:posOffset>
                </wp:positionH>
                <wp:positionV relativeFrom="paragraph">
                  <wp:posOffset>27305</wp:posOffset>
                </wp:positionV>
                <wp:extent cx="0" cy="1092200"/>
                <wp:effectExtent l="12700" t="8255" r="6350" b="13970"/>
                <wp:wrapNone/>
                <wp:docPr id="13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20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AutoShape 133" o:spid="_x0000_s1026" o:spt="32" type="#_x0000_t32" style="position:absolute;left:0pt;margin-left:152.5pt;margin-top:2.15pt;height:86pt;width:0pt;z-index:251893760;mso-width-relative:page;mso-height-relative:page;" filled="f" stroked="t" coordsize="21600,21600" o:gfxdata="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CpQXTXAAAACQEAAA8AAAAAAAAAAQAgAAAAIgAAAGRycy9kb3ducmV2LnhtbFBLAQIU&#10;ABQAAAAIAIdO4kB7z1DeuwEAAGgDAAAOAAAAAAAAAAEAIAAAACYBAABkcnMvZTJvRG9jLnhtbFBL&#10;BQYAAAAABgAGAFkBAABTBQAAAAA=&#10;">
                <v:fill on="f" focussize="0,0"/>
                <v:stroke color="#000000" joinstyle="round"/>
                <v:imagedata o:title=""/>
                <o:lock v:ext="edit" aspectratio="f"/>
              </v:shape>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ahoma" w:eastAsia="微软雅黑" w:hAnsi="Tahoma" w:cs="Times New Roman"/>
          <w:noProof/>
          <w:color w:val="000000" w:themeColor="text1"/>
          <w:kern w:val="0"/>
          <w:sz w:val="22"/>
          <w:szCs w:val="22"/>
        </w:rPr>
        <mc:AlternateContent>
          <mc:Choice Requires="wps">
            <w:drawing>
              <wp:anchor distT="0" distB="0" distL="114300" distR="114300" simplePos="0" relativeHeight="251982848" behindDoc="0" locked="0" layoutInCell="1" allowOverlap="1">
                <wp:simplePos x="0" y="0"/>
                <wp:positionH relativeFrom="column">
                  <wp:posOffset>3968750</wp:posOffset>
                </wp:positionH>
                <wp:positionV relativeFrom="paragraph">
                  <wp:posOffset>122555</wp:posOffset>
                </wp:positionV>
                <wp:extent cx="800100" cy="273050"/>
                <wp:effectExtent l="0" t="0" r="19050" b="12700"/>
                <wp:wrapNone/>
                <wp:docPr id="28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7305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布袋除尘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52" o:spid="_x0000_s1026" o:spt="1" style="position:absolute;left:0pt;margin-left:312.5pt;margin-top:9.65pt;height:21.5pt;width:63pt;z-index:251982848;mso-width-relative:page;mso-height-relative:page;" fillcolor="#FFFFFF" filled="t" stroked="t" coordsize="21600,21600" o:gfxdata="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1ujH1wAAAAkBAAAPAAAAAAAA&#10;AAEAIAAAACIAAABkcnMvZG93bnJldi54bWxQSwECFAAUAAAACACHTuJAsUjTChMCAAAxBAAADgAA&#10;AAAAAAABACAAAAAmAQAAZHJzL2Uyb0RvYy54bWxQSwUGAAAAAAYABgBZAQAAqwUAAAAA&#10;">
                <v:fill on="t" focussize="0,0"/>
                <v:stroke color="#000000" miterlimit="8" joinstyle="miter"/>
                <v:imagedata o:title=""/>
                <o:lock v:ext="edit" aspectratio="f"/>
                <v:textbox>
                  <w:txbxContent>
                    <w:p>
                      <w:pPr>
                        <w:rPr>
                          <w:rFonts w:ascii="宋体" w:hAnsi="宋体"/>
                        </w:rPr>
                      </w:pPr>
                      <w:r>
                        <w:rPr>
                          <w:rFonts w:hint="eastAsia" w:ascii="宋体" w:hAnsi="宋体"/>
                        </w:rPr>
                        <w:t>布袋除尘</w:t>
                      </w:r>
                    </w:p>
                  </w:txbxContent>
                </v:textbox>
              </v:rect>
            </w:pict>
          </mc:Fallback>
        </mc:AlternateContent>
      </w:r>
      <w:r>
        <w:rPr>
          <w:rFonts w:ascii="Tahoma" w:eastAsia="微软雅黑" w:hAnsi="Tahoma" w:cs="Times New Roman"/>
          <w:noProof/>
          <w:color w:val="000000" w:themeColor="text1"/>
          <w:kern w:val="0"/>
          <w:sz w:val="22"/>
          <w:szCs w:val="22"/>
        </w:rPr>
        <mc:AlternateContent>
          <mc:Choice Requires="wps">
            <w:drawing>
              <wp:anchor distT="0" distB="0" distL="114300" distR="114300" simplePos="0" relativeHeight="251978752" behindDoc="0" locked="0" layoutInCell="1" allowOverlap="1">
                <wp:simplePos x="0" y="0"/>
                <wp:positionH relativeFrom="column">
                  <wp:posOffset>2562225</wp:posOffset>
                </wp:positionH>
                <wp:positionV relativeFrom="paragraph">
                  <wp:posOffset>125095</wp:posOffset>
                </wp:positionV>
                <wp:extent cx="1123950" cy="273050"/>
                <wp:effectExtent l="0" t="0" r="19050" b="12700"/>
                <wp:wrapNone/>
                <wp:docPr id="27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7305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布袋</w:t>
                            </w:r>
                            <w:r>
                              <w:rPr>
                                <w:rFonts w:ascii="宋体" w:hAnsi="宋体" w:hint="eastAsia"/>
                              </w:rPr>
                              <w:t>+</w:t>
                            </w:r>
                            <w:r>
                              <w:rPr>
                                <w:rFonts w:ascii="宋体" w:hAnsi="宋体" w:hint="eastAsia"/>
                              </w:rPr>
                              <w:t>湿法洗涤除尘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52" o:spid="_x0000_s1026" o:spt="1" style="position:absolute;left:0pt;margin-left:201.75pt;margin-top:9.85pt;height:21.5pt;width:88.5pt;z-index:251978752;mso-width-relative:page;mso-height-relative:page;" fillcolor="#FFFFFF" filled="t" stroked="t" coordsize="21600,21600" o:gfxdata="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Ns6Mq1wAAAAkBAAAPAAAAAAAA&#10;AAEAIAAAACIAAABkcnMvZG93bnJldi54bWxQSwECFAAUAAAACACHTuJAwdfkYBMCAAAyBAAADgAA&#10;AAAAAAABACAAAAAmAQAAZHJzL2Uyb0RvYy54bWxQSwUGAAAAAAYABgBZAQAAqwUAAAAA&#10;">
                <v:fill on="t" focussize="0,0"/>
                <v:stroke color="#000000" miterlimit="8" joinstyle="miter"/>
                <v:imagedata o:title=""/>
                <o:lock v:ext="edit" aspectratio="f"/>
                <v:textbox>
                  <w:txbxContent>
                    <w:p>
                      <w:pPr>
                        <w:rPr>
                          <w:rFonts w:ascii="宋体" w:hAnsi="宋体"/>
                        </w:rPr>
                      </w:pPr>
                      <w:r>
                        <w:rPr>
                          <w:rFonts w:hint="eastAsia" w:ascii="宋体" w:hAnsi="宋体"/>
                        </w:rPr>
                        <w:t>布袋+湿法洗涤除尘</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77376" behindDoc="0" locked="0" layoutInCell="1" allowOverlap="1">
                <wp:simplePos x="0" y="0"/>
                <wp:positionH relativeFrom="column">
                  <wp:posOffset>1492250</wp:posOffset>
                </wp:positionH>
                <wp:positionV relativeFrom="paragraph">
                  <wp:posOffset>158115</wp:posOffset>
                </wp:positionV>
                <wp:extent cx="444500" cy="635"/>
                <wp:effectExtent l="6350" t="53340" r="15875" b="60325"/>
                <wp:wrapNone/>
                <wp:docPr id="13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6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34" o:spid="_x0000_s1026" o:spt="32" type="#_x0000_t32" style="position:absolute;left:0pt;margin-left:117.5pt;margin-top:12.45pt;height:0.05pt;width:35pt;z-index:251877376;mso-width-relative:page;mso-height-relative:page;" filled="f" stroked="t" coordsize="21600,21600" o:gfxdata="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UhcK9cAAAAJAQAADwAAAAAAAAAB&#10;ACAAAAAiAAAAZHJzL2Rvd25yZXYueG1sUEsBAhQAFAAAAAgAh07iQPb1ZdnYAQAAlwMAAA4AAAAA&#10;AAAAAQAgAAAAJgEAAGRycy9lMm9Eb2MueG1sUEsFBgAAAAAGAAYAWQEAAHA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72256" behindDoc="0" locked="0" layoutInCell="1" allowOverlap="1">
                <wp:simplePos x="0" y="0"/>
                <wp:positionH relativeFrom="column">
                  <wp:posOffset>-38100</wp:posOffset>
                </wp:positionH>
                <wp:positionV relativeFrom="paragraph">
                  <wp:posOffset>240665</wp:posOffset>
                </wp:positionV>
                <wp:extent cx="469900" cy="171450"/>
                <wp:effectExtent l="0" t="2540" r="0" b="0"/>
                <wp:wrapNone/>
                <wp:docPr id="13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硫酸钾</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35" o:spid="_x0000_s1026" o:spt="202" type="#_x0000_t202" style="position:absolute;left:0pt;margin-left:-3pt;margin-top:18.95pt;height:13.5pt;width:37pt;z-index:251872256;mso-width-relative:page;mso-height-relative:page;" fillcolor="#FFFFFF" filled="t" stroked="f" coordsize="21600,21600" o:gfxdata="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foG21wAAAAcBAAAPAAAAAAAAAAEAIAAAACIAAABkcnMvZG93bnJldi54bWxQ&#10;SwECFAAUAAAACACHTuJAnMajvfgBAADiAwAADgAAAAAAAAABACAAAAAmAQAAZHJzL2Uyb0RvYy54&#10;bWxQSwUGAAAAAAYABgBZAQAAkAUAAAAA&#10;">
                <v:fill on="t" focussize="0,0"/>
                <v:stroke on="f"/>
                <v:imagedata o:title=""/>
                <o:lock v:ext="edit" aspectratio="f"/>
                <v:textbox inset="0mm,0mm,0mm,0mm">
                  <w:txbxContent>
                    <w:p>
                      <w:pPr>
                        <w:rPr>
                          <w:rFonts w:ascii="宋体" w:hAnsi="宋体"/>
                        </w:rPr>
                      </w:pPr>
                      <w:r>
                        <w:rPr>
                          <w:rFonts w:hint="eastAsia" w:ascii="宋体" w:hAnsi="宋体"/>
                        </w:rPr>
                        <w:t>硫酸钾</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97856" behindDoc="0" locked="0" layoutInCell="1" allowOverlap="1">
                <wp:simplePos x="0" y="0"/>
                <wp:positionH relativeFrom="column">
                  <wp:posOffset>3930650</wp:posOffset>
                </wp:positionH>
                <wp:positionV relativeFrom="paragraph">
                  <wp:posOffset>697865</wp:posOffset>
                </wp:positionV>
                <wp:extent cx="787400" cy="317500"/>
                <wp:effectExtent l="6350" t="12065" r="6350" b="13335"/>
                <wp:wrapNone/>
                <wp:docPr id="13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冷却筛分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36" o:spid="_x0000_s1026" o:spt="1" style="position:absolute;left:0pt;margin-left:309.5pt;margin-top:54.95pt;height:25pt;width:62pt;z-index:251897856;mso-width-relative:page;mso-height-relative:page;" fillcolor="#FFFFFF" filled="t" stroked="t" coordsize="21600,21600" o:gfxdata="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ZYqA1wAAAAsBAAAPAAAAAAAA&#10;AAEAIAAAACIAAABkcnMvZG93bnJldi54bWxQSwECFAAUAAAACACHTuJAx/00RxMCAAAyBAAADgAA&#10;AAAAAAABACAAAAAmAQAAZHJzL2Uyb0RvYy54bWxQSwUGAAAAAAYABgBZAQAAqwUAAAAA&#10;">
                <v:fill on="t" focussize="0,0"/>
                <v:stroke color="#000000" miterlimit="8" joinstyle="miter"/>
                <v:imagedata o:title=""/>
                <o:lock v:ext="edit" aspectratio="f"/>
                <v:textbox>
                  <w:txbxContent>
                    <w:p>
                      <w:pPr>
                        <w:rPr>
                          <w:rFonts w:ascii="宋体" w:hAnsi="宋体"/>
                        </w:rPr>
                      </w:pPr>
                      <w:r>
                        <w:rPr>
                          <w:rFonts w:hint="eastAsia" w:ascii="宋体" w:hAnsi="宋体"/>
                        </w:rPr>
                        <w:t>冷却筛分</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71232" behindDoc="0" locked="0" layoutInCell="1" allowOverlap="1">
                <wp:simplePos x="0" y="0"/>
                <wp:positionH relativeFrom="column">
                  <wp:posOffset>152400</wp:posOffset>
                </wp:positionH>
                <wp:positionV relativeFrom="paragraph">
                  <wp:posOffset>81915</wp:posOffset>
                </wp:positionV>
                <wp:extent cx="495300" cy="0"/>
                <wp:effectExtent l="9525" t="53340" r="19050" b="60960"/>
                <wp:wrapNone/>
                <wp:docPr id="13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37" o:spid="_x0000_s1026" o:spt="32" type="#_x0000_t32" style="position:absolute;left:0pt;margin-left:12pt;margin-top:6.45pt;height:0pt;width:39pt;z-index:251871232;mso-width-relative:page;mso-height-relative:page;" filled="f" stroked="t" coordsize="21600,21600" o:gfxdata="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7D3bXWAAAACAEAAA8AAAAAAAAAAQAg&#10;AAAAIgAAAGRycy9kb3ducmV2LnhtbFBLAQIUABQAAAAIAIdO4kAQ7pS31wEAAJUDAAAOAAAAAAAA&#10;AAEAIAAAACUBAABkcnMvZTJvRG9jLnhtbFBLBQYAAAAABgAGAFkBAABuBQ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02976" behindDoc="0" locked="0" layoutInCell="1" allowOverlap="1">
                <wp:simplePos x="0" y="0"/>
                <wp:positionH relativeFrom="column">
                  <wp:posOffset>4346575</wp:posOffset>
                </wp:positionH>
                <wp:positionV relativeFrom="paragraph">
                  <wp:posOffset>150495</wp:posOffset>
                </wp:positionV>
                <wp:extent cx="0" cy="262890"/>
                <wp:effectExtent l="76200" t="38100" r="57150" b="22860"/>
                <wp:wrapNone/>
                <wp:docPr id="151"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118" o:spid="_x0000_s1026" o:spt="32" type="#_x0000_t32" style="position:absolute;left:0pt;flip:y;margin-left:342.25pt;margin-top:11.85pt;height:20.7pt;width:0pt;z-index:251902976;mso-width-relative:page;mso-height-relative:page;" filled="f" stroked="t" coordsize="21600,21600" o:gfxdata="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BPaT3TAAAACQEA&#10;AA8AAAAAAAAAAQAgAAAAIgAAAGRycy9kb3ducmV2LnhtbFBLAQIUABQAAAAIAIdO4kCQb2Fb5gEA&#10;ALcDAAAOAAAAAAAAAAEAIAAAACIBAABkcnMvZTJvRG9jLnhtbFBLBQYAAAAABgAGAFkBAAB6BQAA&#10;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01952" behindDoc="0" locked="0" layoutInCell="1" allowOverlap="1">
                <wp:simplePos x="0" y="0"/>
                <wp:positionH relativeFrom="column">
                  <wp:posOffset>3225800</wp:posOffset>
                </wp:positionH>
                <wp:positionV relativeFrom="paragraph">
                  <wp:posOffset>241300</wp:posOffset>
                </wp:positionV>
                <wp:extent cx="457200" cy="171450"/>
                <wp:effectExtent l="0" t="0" r="0" b="0"/>
                <wp:wrapNone/>
                <wp:docPr id="12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rPr>
                              <w:t>G</w:t>
                            </w:r>
                            <w:r>
                              <w:rPr>
                                <w:rFonts w:ascii="Times New Roman" w:hAnsi="Times New Roman" w:cs="Times New Roman" w:hint="eastAsia"/>
                              </w:rPr>
                              <w:t>4/N12</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40" o:spid="_x0000_s1026" o:spt="202" type="#_x0000_t202" style="position:absolute;left:0pt;margin-left:254pt;margin-top:19pt;height:13.5pt;width:36pt;z-index:251901952;mso-width-relative:page;mso-height-relative:page;" fillcolor="#FFFFFF" filled="t" stroked="f" coordsize="21600,21600" o:gfxdata="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ikU6n1wAAAAkBAAAPAAAAAAAAAAEAIAAAACIAAABkcnMvZG93bnJldi54bWxQ&#10;SwECFAAUAAAACACHTuJAysO7/fgBAADiAwAADgAAAAAAAAABACAAAAAmAQAAZHJzL2Uyb0RvYy54&#10;bWxQSwUGAAAAAAYABgBZAQAAkAUAAAAA&#10;">
                <v:fill on="t" focussize="0,0"/>
                <v:stroke on="f"/>
                <v:imagedata o:title=""/>
                <o:lock v:ext="edit" aspectratio="f"/>
                <v:textbox inset="0mm,0mm,0mm,0mm">
                  <w:txbxContent>
                    <w:p>
                      <w:pPr>
                        <w:rPr>
                          <w:rFonts w:ascii="Times New Roman" w:hAnsi="Times New Roman" w:cs="Times New Roman"/>
                        </w:rPr>
                      </w:pPr>
                      <w:r>
                        <w:rPr>
                          <w:rFonts w:ascii="Times New Roman" w:hAnsi="Times New Roman" w:cs="Times New Roman"/>
                        </w:rPr>
                        <w:t>G</w:t>
                      </w:r>
                      <w:r>
                        <w:rPr>
                          <w:rFonts w:hint="eastAsia" w:ascii="Times New Roman" w:hAnsi="Times New Roman" w:cs="Times New Roman"/>
                        </w:rPr>
                        <w:t>4/N12</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00928" behindDoc="0" locked="0" layoutInCell="1" allowOverlap="1">
                <wp:simplePos x="0" y="0"/>
                <wp:positionH relativeFrom="column">
                  <wp:posOffset>3162300</wp:posOffset>
                </wp:positionH>
                <wp:positionV relativeFrom="paragraph">
                  <wp:posOffset>166370</wp:posOffset>
                </wp:positionV>
                <wp:extent cx="0" cy="262890"/>
                <wp:effectExtent l="76200" t="38100" r="57150" b="22860"/>
                <wp:wrapNone/>
                <wp:docPr id="148"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121" o:spid="_x0000_s1026" o:spt="32" type="#_x0000_t32" style="position:absolute;left:0pt;flip:y;margin-left:249pt;margin-top:13.1pt;height:20.7pt;width:0pt;z-index:251900928;mso-width-relative:page;mso-height-relative:page;" filled="f" stroked="t" coordsize="21600,21600" o:gfxdata="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ovcx1AAAAAkB&#10;AAAPAAAAAAAAAAEAIAAAACIAAABkcnMvZG93bnJldi54bWxQSwECFAAUAAAACACHTuJAKSgTq+YB&#10;AAC3AwAADgAAAAAAAAABACAAAAAjAQAAZHJzL2Uyb0RvYy54bWxQSwUGAAAAAAYABgBZAQAAewUA&#10;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83520" behindDoc="0" locked="0" layoutInCell="1" allowOverlap="1">
                <wp:simplePos x="0" y="0"/>
                <wp:positionH relativeFrom="column">
                  <wp:posOffset>1492250</wp:posOffset>
                </wp:positionH>
                <wp:positionV relativeFrom="paragraph">
                  <wp:posOffset>244475</wp:posOffset>
                </wp:positionV>
                <wp:extent cx="438150" cy="635"/>
                <wp:effectExtent l="6350" t="53975" r="22225" b="59690"/>
                <wp:wrapNone/>
                <wp:docPr id="131"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6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38" o:spid="_x0000_s1026" o:spt="32" type="#_x0000_t32" style="position:absolute;left:0pt;margin-left:117.5pt;margin-top:19.25pt;height:0.05pt;width:34.5pt;z-index:251883520;mso-width-relative:page;mso-height-relative:page;" filled="f" stroked="t" coordsize="21600,21600" o:gfxdata="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u1DPp2QAAAAkBAAAPAAAAAAAA&#10;AAEAIAAAACIAAABkcnMvZG93bnJldi54bWxQSwECFAAUAAAACACHTuJAZPDOc9gBAACXAwAADgAA&#10;AAAAAAABACAAAAAoAQAAZHJzL2Uyb0RvYy54bWxQSwUGAAAAAAYABgBZAQAAcg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81472" behindDoc="0" locked="0" layoutInCell="1" allowOverlap="1">
                <wp:simplePos x="0" y="0"/>
                <wp:positionH relativeFrom="column">
                  <wp:posOffset>647700</wp:posOffset>
                </wp:positionH>
                <wp:positionV relativeFrom="paragraph">
                  <wp:posOffset>73025</wp:posOffset>
                </wp:positionV>
                <wp:extent cx="844550" cy="317500"/>
                <wp:effectExtent l="9525" t="6350" r="12700" b="9525"/>
                <wp:wrapNone/>
                <wp:docPr id="13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计量</w:t>
                            </w:r>
                            <w:r>
                              <w:rPr>
                                <w:rFonts w:ascii="宋体" w:hAnsi="宋体" w:hint="eastAsia"/>
                              </w:rPr>
                              <w:t>/</w:t>
                            </w:r>
                            <w:r>
                              <w:rPr>
                                <w:rFonts w:ascii="宋体" w:hAnsi="宋体" w:hint="eastAsia"/>
                              </w:rPr>
                              <w:t>提升</w:t>
                            </w:r>
                          </w:p>
                          <w:p w:rsidR="00C861DA" w:rsidRDefault="00C861DA">
                            <w:pPr>
                              <w:rPr>
                                <w:rFonts w:ascii="宋体" w:hAnsi="宋体"/>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39" o:spid="_x0000_s1026" o:spt="1" style="position:absolute;left:0pt;margin-left:51pt;margin-top:5.75pt;height:25pt;width:66.5pt;z-index:251881472;mso-width-relative:page;mso-height-relative:page;" fillcolor="#FFFFFF" filled="t" stroked="t" coordsize="21600,21600" o:gfxdata="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lUjXNQAAAAJAQAADwAAAAAAAAAB&#10;ACAAAAAiAAAAZHJzL2Rvd25yZXYueG1sUEsBAhQAFAAAAAgAh07iQFfISy0UAgAAMgQAAA4AAAAA&#10;AAAAAQAgAAAAIwEAAGRycy9lMm9Eb2MueG1sUEsFBgAAAAAGAAYAWQEAAKkFAAAAAA==&#10;">
                <v:fill on="t" focussize="0,0"/>
                <v:stroke color="#000000" miterlimit="8" joinstyle="miter"/>
                <v:imagedata o:title=""/>
                <o:lock v:ext="edit" aspectratio="f"/>
                <v:textbox>
                  <w:txbxContent>
                    <w:p>
                      <w:pPr>
                        <w:rPr>
                          <w:rFonts w:ascii="宋体" w:hAnsi="宋体"/>
                        </w:rPr>
                      </w:pPr>
                      <w:r>
                        <w:rPr>
                          <w:rFonts w:hint="eastAsia" w:ascii="宋体" w:hAnsi="宋体"/>
                        </w:rPr>
                        <w:t>计量/提升</w:t>
                      </w:r>
                    </w:p>
                    <w:p>
                      <w:pPr>
                        <w:rPr>
                          <w:rFonts w:ascii="宋体" w:hAnsi="宋体"/>
                        </w:rPr>
                      </w:pP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76352" behindDoc="0" locked="0" layoutInCell="1" allowOverlap="1">
                <wp:simplePos x="0" y="0"/>
                <wp:positionH relativeFrom="column">
                  <wp:posOffset>2432050</wp:posOffset>
                </wp:positionH>
                <wp:positionV relativeFrom="paragraph">
                  <wp:posOffset>73025</wp:posOffset>
                </wp:positionV>
                <wp:extent cx="0" cy="1035050"/>
                <wp:effectExtent l="12700" t="6350" r="6350" b="6350"/>
                <wp:wrapNone/>
                <wp:docPr id="128"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AutoShape 141" o:spid="_x0000_s1026" o:spt="32" type="#_x0000_t32" style="position:absolute;left:0pt;margin-left:191.5pt;margin-top:5.75pt;height:81.5pt;width:0pt;z-index:251876352;mso-width-relative:page;mso-height-relative:page;" filled="f" stroked="t" coordsize="21600,21600" o:gfxdata="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3i4kS1wAAAAoBAAAPAAAAAAAAAAEAIAAAACIAAABkcnMvZG93bnJldi54bWxQSwEC&#10;FAAUAAAACACHTuJAlLPbkLwBAABoAwAADgAAAAAAAAABACAAAAAmAQAAZHJzL2Uyb0RvYy54bWxQ&#10;SwUGAAAAAAYABgBZAQAAVAUAAAAA&#10;">
                <v:fill on="f" focussize="0,0"/>
                <v:stroke color="#000000" joinstyle="round"/>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73280" behindDoc="0" locked="0" layoutInCell="1" allowOverlap="1">
                <wp:simplePos x="0" y="0"/>
                <wp:positionH relativeFrom="column">
                  <wp:posOffset>152400</wp:posOffset>
                </wp:positionH>
                <wp:positionV relativeFrom="paragraph">
                  <wp:posOffset>193675</wp:posOffset>
                </wp:positionV>
                <wp:extent cx="495300" cy="0"/>
                <wp:effectExtent l="9525" t="60325" r="19050" b="53975"/>
                <wp:wrapNone/>
                <wp:docPr id="127"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42" o:spid="_x0000_s1026" o:spt="32" type="#_x0000_t32" style="position:absolute;left:0pt;margin-left:12pt;margin-top:15.25pt;height:0pt;width:39pt;z-index:251873280;mso-width-relative:page;mso-height-relative:page;" filled="f" stroked="t" coordsize="21600,21600" o:gfxdata="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7mB8p1wAAAAgBAAAPAAAAAAAAAAEA&#10;IAAAACIAAABkcnMvZG93bnJldi54bWxQSwECFAAUAAAACACHTuJA7WcYEdcBAACVAwAADgAAAAAA&#10;AAABACAAAAAmAQAAZHJzL2Uyb0RvYy54bWxQSwUGAAAAAAYABgBZAQAAbwU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04000" behindDoc="0" locked="0" layoutInCell="1" allowOverlap="1">
                <wp:simplePos x="0" y="0"/>
                <wp:positionH relativeFrom="column">
                  <wp:posOffset>4410075</wp:posOffset>
                </wp:positionH>
                <wp:positionV relativeFrom="paragraph">
                  <wp:posOffset>635</wp:posOffset>
                </wp:positionV>
                <wp:extent cx="457200" cy="171450"/>
                <wp:effectExtent l="0" t="0" r="0" b="0"/>
                <wp:wrapNone/>
                <wp:docPr id="15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rPr>
                              <w:t>G</w:t>
                            </w:r>
                            <w:r>
                              <w:rPr>
                                <w:rFonts w:ascii="Times New Roman" w:hAnsi="Times New Roman" w:cs="Times New Roman" w:hint="eastAsia"/>
                              </w:rPr>
                              <w:t>5/N13</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19" o:spid="_x0000_s1026" o:spt="202" type="#_x0000_t202" style="position:absolute;left:0pt;margin-left:347.25pt;margin-top:0.05pt;height:13.5pt;width:36pt;z-index:251904000;mso-width-relative:page;mso-height-relative:page;" fillcolor="#FFFFFF" filled="t" stroked="f" coordsize="21600,21600" o:gfxdata="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ecD2q1AAAAAcBAAAPAAAAAAAAAAEAIAAAACIAAABkcnMvZG93bnJldi54bWxQSwECFAAU&#10;AAAACACHTuJAsA5ZRfUBAADiAwAADgAAAAAAAAABACAAAAAjAQAAZHJzL2Uyb0RvYy54bWxQSwUG&#10;AAAAAAYABgBZAQAAigUAAAAA&#10;">
                <v:fill on="t" focussize="0,0"/>
                <v:stroke on="f"/>
                <v:imagedata o:title=""/>
                <o:lock v:ext="edit" aspectratio="f"/>
                <v:textbox inset="0mm,0mm,0mm,0mm">
                  <w:txbxContent>
                    <w:p>
                      <w:pPr>
                        <w:rPr>
                          <w:rFonts w:ascii="Times New Roman" w:hAnsi="Times New Roman" w:cs="Times New Roman"/>
                        </w:rPr>
                      </w:pPr>
                      <w:r>
                        <w:rPr>
                          <w:rFonts w:ascii="Times New Roman" w:hAnsi="Times New Roman" w:cs="Times New Roman"/>
                        </w:rPr>
                        <w:t>G</w:t>
                      </w:r>
                      <w:r>
                        <w:rPr>
                          <w:rFonts w:hint="eastAsia" w:ascii="Times New Roman" w:hAnsi="Times New Roman" w:cs="Times New Roman"/>
                        </w:rPr>
                        <w:t>5/N13</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82496" behindDoc="0" locked="0" layoutInCell="1" allowOverlap="1">
                <wp:simplePos x="0" y="0"/>
                <wp:positionH relativeFrom="column">
                  <wp:posOffset>647700</wp:posOffset>
                </wp:positionH>
                <wp:positionV relativeFrom="paragraph">
                  <wp:posOffset>172085</wp:posOffset>
                </wp:positionV>
                <wp:extent cx="844550" cy="317500"/>
                <wp:effectExtent l="9525" t="10160" r="12700" b="5715"/>
                <wp:wrapNone/>
                <wp:docPr id="12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计量</w:t>
                            </w:r>
                            <w:r>
                              <w:rPr>
                                <w:rFonts w:ascii="宋体" w:hAnsi="宋体" w:hint="eastAsia"/>
                              </w:rPr>
                              <w:t>/</w:t>
                            </w:r>
                            <w:r>
                              <w:rPr>
                                <w:rFonts w:ascii="宋体" w:hAnsi="宋体" w:hint="eastAsia"/>
                              </w:rPr>
                              <w:t>提升</w:t>
                            </w:r>
                          </w:p>
                          <w:p w:rsidR="00C861DA" w:rsidRDefault="00C861DA">
                            <w:pPr>
                              <w:rPr>
                                <w:rFonts w:ascii="宋体" w:hAnsi="宋体"/>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43" o:spid="_x0000_s1026" o:spt="1" style="position:absolute;left:0pt;margin-left:51pt;margin-top:13.55pt;height:25pt;width:66.5pt;z-index:251882496;mso-width-relative:page;mso-height-relative:page;" fillcolor="#FFFFFF" filled="t" stroked="t" coordsize="21600,21600" o:gfxdata="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2DIb9YAAAAJAQAADwAAAAAA&#10;AAABACAAAAAiAAAAZHJzL2Rvd25yZXYueG1sUEsBAhQAFAAAAAgAh07iQBncImUVAgAAMgQAAA4A&#10;AAAAAAAAAQAgAAAAJQEAAGRycy9lMm9Eb2MueG1sUEsFBgAAAAAGAAYAWQEAAKwFAAAAAA==&#10;">
                <v:fill on="t" focussize="0,0"/>
                <v:stroke color="#000000" miterlimit="8" joinstyle="miter"/>
                <v:imagedata o:title=""/>
                <o:lock v:ext="edit" aspectratio="f"/>
                <v:textbox>
                  <w:txbxContent>
                    <w:p>
                      <w:pPr>
                        <w:rPr>
                          <w:rFonts w:ascii="宋体" w:hAnsi="宋体"/>
                        </w:rPr>
                      </w:pPr>
                      <w:r>
                        <w:rPr>
                          <w:rFonts w:hint="eastAsia" w:ascii="宋体" w:hAnsi="宋体"/>
                        </w:rPr>
                        <w:t>计量/提升</w:t>
                      </w:r>
                    </w:p>
                    <w:p>
                      <w:pPr>
                        <w:rPr>
                          <w:rFonts w:ascii="宋体" w:hAnsi="宋体"/>
                        </w:rPr>
                      </w:pP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74304" behindDoc="0" locked="0" layoutInCell="1" allowOverlap="1">
                <wp:simplePos x="0" y="0"/>
                <wp:positionH relativeFrom="column">
                  <wp:posOffset>-38100</wp:posOffset>
                </wp:positionH>
                <wp:positionV relativeFrom="paragraph">
                  <wp:posOffset>45085</wp:posOffset>
                </wp:positionV>
                <wp:extent cx="469900" cy="171450"/>
                <wp:effectExtent l="0" t="0" r="0" b="2540"/>
                <wp:wrapNone/>
                <wp:docPr id="12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添加剂</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44" o:spid="_x0000_s1026" o:spt="202" type="#_x0000_t202" style="position:absolute;left:0pt;margin-left:-3pt;margin-top:3.55pt;height:13.5pt;width:37pt;z-index:251874304;mso-width-relative:page;mso-height-relative:page;" fillcolor="#FFFFFF" filled="t" stroked="f" coordsize="21600,21600" o:gfxdata="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IwEyNUAAAAGAQAADwAAAAAAAAABACAAAAAiAAAAZHJzL2Rvd25yZXYueG1sUEsB&#10;AhQAFAAAAAgAh07iQCD+dl74AQAA4gMAAA4AAAAAAAAAAQAgAAAAJAEAAGRycy9lMm9Eb2MueG1s&#10;UEsFBgAAAAAGAAYAWQEAAI4FAAAAAA==&#10;">
                <v:fill on="t" focussize="0,0"/>
                <v:stroke on="f"/>
                <v:imagedata o:title=""/>
                <o:lock v:ext="edit" aspectratio="f"/>
                <v:textbox inset="0mm,0mm,0mm,0mm">
                  <w:txbxContent>
                    <w:p>
                      <w:pPr>
                        <w:rPr>
                          <w:rFonts w:ascii="宋体" w:hAnsi="宋体"/>
                        </w:rPr>
                      </w:pPr>
                      <w:r>
                        <w:rPr>
                          <w:rFonts w:hint="eastAsia" w:ascii="宋体" w:hAnsi="宋体"/>
                        </w:rPr>
                        <w:t>添加剂</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95808" behindDoc="0" locked="0" layoutInCell="1" allowOverlap="1">
                <wp:simplePos x="0" y="0"/>
                <wp:positionH relativeFrom="column">
                  <wp:posOffset>2927350</wp:posOffset>
                </wp:positionH>
                <wp:positionV relativeFrom="paragraph">
                  <wp:posOffset>172085</wp:posOffset>
                </wp:positionV>
                <wp:extent cx="476250" cy="317500"/>
                <wp:effectExtent l="12700" t="10160" r="6350" b="5715"/>
                <wp:wrapNone/>
                <wp:docPr id="12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造粒</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45" o:spid="_x0000_s1026" o:spt="1" style="position:absolute;left:0pt;margin-left:230.5pt;margin-top:13.55pt;height:25pt;width:37.5pt;z-index:251895808;mso-width-relative:page;mso-height-relative:page;" fillcolor="#FFFFFF" filled="t" stroked="t" coordsize="21600,21600" o:gfxdata="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bP1yvXAAAACQEAAA8AAAAA&#10;AAAAAQAgAAAAIgAAAGRycy9kb3ducmV2LnhtbFBLAQIUABQAAAAIAIdO4kAEy62iFQIAADIEAAAO&#10;AAAAAAAAAAEAIAAAACYBAABkcnMvZTJvRG9jLnhtbFBLBQYAAAAABgAGAFkBAACtBQAAAAA=&#10;">
                <v:fill on="t" focussize="0,0"/>
                <v:stroke color="#000000" miterlimit="8" joinstyle="miter"/>
                <v:imagedata o:title=""/>
                <o:lock v:ext="edit" aspectratio="f"/>
                <v:textbox>
                  <w:txbxContent>
                    <w:p>
                      <w:pPr>
                        <w:rPr>
                          <w:rFonts w:ascii="宋体" w:hAnsi="宋体"/>
                        </w:rPr>
                      </w:pPr>
                      <w:r>
                        <w:rPr>
                          <w:rFonts w:hint="eastAsia" w:ascii="宋体" w:hAnsi="宋体"/>
                        </w:rPr>
                        <w:t>造粒</w:t>
                      </w:r>
                    </w:p>
                  </w:txbxContent>
                </v:textbox>
              </v:rect>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84544" behindDoc="0" locked="0" layoutInCell="1" allowOverlap="1">
                <wp:simplePos x="0" y="0"/>
                <wp:positionH relativeFrom="column">
                  <wp:posOffset>1492250</wp:posOffset>
                </wp:positionH>
                <wp:positionV relativeFrom="paragraph">
                  <wp:posOffset>67945</wp:posOffset>
                </wp:positionV>
                <wp:extent cx="438150" cy="635"/>
                <wp:effectExtent l="6350" t="58420" r="22225" b="55245"/>
                <wp:wrapNone/>
                <wp:docPr id="123"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6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46" o:spid="_x0000_s1026" o:spt="32" type="#_x0000_t32" style="position:absolute;left:0pt;margin-left:117.5pt;margin-top:5.35pt;height:0.05pt;width:34.5pt;z-index:251884544;mso-width-relative:page;mso-height-relative:page;" filled="f" stroked="t" coordsize="21600,21600" o:gfxdata="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6gfp2AAAAAkBAAAPAAAAAAAA&#10;AAEAIAAAACIAAABkcnMvZG93bnJldi54bWxQSwECFAAUAAAACACHTuJAhwBJD9kBAACXAwAADgAA&#10;AAAAAAABACAAAAAnAQAAZHJzL2Uyb0RvYy54bWxQSwUGAAAAAAYABgBZAQAAcg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98880" behindDoc="0" locked="0" layoutInCell="1" allowOverlap="1">
                <wp:simplePos x="0" y="0"/>
                <wp:positionH relativeFrom="column">
                  <wp:posOffset>4343400</wp:posOffset>
                </wp:positionH>
                <wp:positionV relativeFrom="paragraph">
                  <wp:posOffset>226695</wp:posOffset>
                </wp:positionV>
                <wp:extent cx="0" cy="290195"/>
                <wp:effectExtent l="57150" t="7620" r="57150" b="16510"/>
                <wp:wrapNone/>
                <wp:docPr id="122"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47" o:spid="_x0000_s1026" o:spt="32" type="#_x0000_t32" style="position:absolute;left:0pt;margin-left:342pt;margin-top:17.85pt;height:22.85pt;width:0pt;z-index:251898880;mso-width-relative:page;mso-height-relative:page;" filled="f" stroked="t" coordsize="21600,21600" o:gfxdata="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3IoqO2QAAAAkBAAAPAAAAAAAAAAEA&#10;IAAAACIAAABkcnMvZG93bnJldi54bWxQSwECFAAUAAAACACHTuJAdx1LW9UBAACVAwAADgAAAAAA&#10;AAABACAAAAAoAQAAZHJzL2Uyb0RvYy54bWxQSwUGAAAAAAYABgBZAQAAbw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75328" behindDoc="0" locked="0" layoutInCell="1" allowOverlap="1">
                <wp:simplePos x="0" y="0"/>
                <wp:positionH relativeFrom="column">
                  <wp:posOffset>152400</wp:posOffset>
                </wp:positionH>
                <wp:positionV relativeFrom="paragraph">
                  <wp:posOffset>-1905</wp:posOffset>
                </wp:positionV>
                <wp:extent cx="495300" cy="0"/>
                <wp:effectExtent l="9525" t="55245" r="19050" b="59055"/>
                <wp:wrapNone/>
                <wp:docPr id="121"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48" o:spid="_x0000_s1026" o:spt="32" type="#_x0000_t32" style="position:absolute;left:0pt;margin-left:12pt;margin-top:-0.15pt;height:0pt;width:39pt;z-index:251875328;mso-width-relative:page;mso-height-relative:page;" filled="f" stroked="t" coordsize="21600,21600" o:gfxdata="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HpAwLWAAAABgEAAA8AAAAAAAAAAQAg&#10;AAAAIgAAAGRycy9kb3ducmV2LnhtbFBLAQIUABQAAAAIAIdO4kCQrI6s1wEAAJUDAAAOAAAAAAAA&#10;AAEAIAAAACUBAABkcnMvZTJvRG9jLnhtbFBLBQYAAAAABgAGAFkBAABuBQ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99904" behindDoc="0" locked="0" layoutInCell="1" allowOverlap="1">
                <wp:simplePos x="0" y="0"/>
                <wp:positionH relativeFrom="column">
                  <wp:posOffset>4057650</wp:posOffset>
                </wp:positionH>
                <wp:positionV relativeFrom="paragraph">
                  <wp:posOffset>254000</wp:posOffset>
                </wp:positionV>
                <wp:extent cx="622300" cy="171450"/>
                <wp:effectExtent l="0" t="0" r="0" b="3175"/>
                <wp:wrapNone/>
                <wp:docPr id="12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产品包装</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49" o:spid="_x0000_s1026" o:spt="202" type="#_x0000_t202" style="position:absolute;left:0pt;margin-left:319.5pt;margin-top:20pt;height:13.5pt;width:49pt;z-index:251899904;mso-width-relative:page;mso-height-relative:page;" fillcolor="#FFFFFF" filled="t" stroked="f" coordsize="21600,21600" o:gfxdata="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7UlSNYAAAAJAQAADwAAAAAAAAABACAAAAAiAAAAZHJzL2Rvd25yZXYueG1sUEsB&#10;AhQAFAAAAAgAh07iQJQfO8H3AQAA4gMAAA4AAAAAAAAAAQAgAAAAJQEAAGRycy9lMm9Eb2MueG1s&#10;UEsFBgAAAAAGAAYAWQEAAI4FAAAAAA==&#10;">
                <v:fill on="t" focussize="0,0"/>
                <v:stroke on="f"/>
                <v:imagedata o:title=""/>
                <o:lock v:ext="edit" aspectratio="f"/>
                <v:textbox inset="0mm,0mm,0mm,0mm">
                  <w:txbxContent>
                    <w:p>
                      <w:pPr>
                        <w:rPr>
                          <w:rFonts w:ascii="宋体" w:hAnsi="宋体"/>
                        </w:rPr>
                      </w:pPr>
                      <w:r>
                        <w:rPr>
                          <w:rFonts w:hint="eastAsia" w:ascii="宋体" w:hAnsi="宋体"/>
                        </w:rPr>
                        <w:t>产品包装</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88640" behindDoc="0" locked="0" layoutInCell="1" allowOverlap="1">
                <wp:simplePos x="0" y="0"/>
                <wp:positionH relativeFrom="column">
                  <wp:posOffset>844550</wp:posOffset>
                </wp:positionH>
                <wp:positionV relativeFrom="paragraph">
                  <wp:posOffset>173355</wp:posOffset>
                </wp:positionV>
                <wp:extent cx="647700" cy="317500"/>
                <wp:effectExtent l="6350" t="11430" r="12700" b="13970"/>
                <wp:wrapNone/>
                <wp:docPr id="11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蒸发器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50" o:spid="_x0000_s1026" o:spt="1" style="position:absolute;left:0pt;margin-left:66.5pt;margin-top:13.65pt;height:25pt;width:51pt;z-index:251888640;mso-width-relative:page;mso-height-relative:page;" fillcolor="#FFFFFF" filled="t" stroked="t" coordsize="21600,21600" o:gfxdata="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E0gydYAAAAJAQAADwAAAAAAAAAB&#10;ACAAAAAiAAAAZHJzL2Rvd25yZXYueG1sUEsBAhQAFAAAAAgAh07iQARV/lMSAgAAMgQAAA4AAAAA&#10;AAAAAQAgAAAAJQEAAGRycy9lMm9Eb2MueG1sUEsFBgAAAAAGAAYAWQEAAKkFAAAAAA==&#10;">
                <v:fill on="t" focussize="0,0"/>
                <v:stroke color="#000000" miterlimit="8" joinstyle="miter"/>
                <v:imagedata o:title=""/>
                <o:lock v:ext="edit" aspectratio="f"/>
                <v:textbox>
                  <w:txbxContent>
                    <w:p>
                      <w:pPr>
                        <w:rPr>
                          <w:rFonts w:ascii="宋体" w:hAnsi="宋体"/>
                        </w:rPr>
                      </w:pPr>
                      <w:r>
                        <w:rPr>
                          <w:rFonts w:hint="eastAsia" w:ascii="宋体" w:hAnsi="宋体"/>
                        </w:rPr>
                        <w:t>蒸发器</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86592" behindDoc="0" locked="0" layoutInCell="1" allowOverlap="1">
                <wp:simplePos x="0" y="0"/>
                <wp:positionH relativeFrom="column">
                  <wp:posOffset>76200</wp:posOffset>
                </wp:positionH>
                <wp:positionV relativeFrom="paragraph">
                  <wp:posOffset>103505</wp:posOffset>
                </wp:positionV>
                <wp:extent cx="685800" cy="171450"/>
                <wp:effectExtent l="0" t="0" r="0" b="1270"/>
                <wp:wrapNone/>
                <wp:docPr id="11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硝酸铵溶液</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51" o:spid="_x0000_s1026" o:spt="202" type="#_x0000_t202" style="position:absolute;left:0pt;margin-left:6pt;margin-top:8.15pt;height:13.5pt;width:54pt;z-index:251886592;mso-width-relative:page;mso-height-relative:page;" fillcolor="#FFFFFF" filled="t" stroked="f" coordsize="21600,21600" o:gfxdata="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aCpt9YAAAAIAQAADwAAAAAAAAABACAAAAAiAAAAZHJzL2Rvd25yZXYueG1sUEsB&#10;AhQAFAAAAAgAh07iQFPtiCX3AQAA4gMAAA4AAAAAAAAAAQAgAAAAJQEAAGRycy9lMm9Eb2MueG1s&#10;UEsFBgAAAAAGAAYAWQEAAI4FAAAAAA==&#10;">
                <v:fill on="t" focussize="0,0"/>
                <v:stroke on="f"/>
                <v:imagedata o:title=""/>
                <o:lock v:ext="edit" aspectratio="f"/>
                <v:textbox inset="0mm,0mm,0mm,0mm">
                  <w:txbxContent>
                    <w:p>
                      <w:pPr>
                        <w:rPr>
                          <w:rFonts w:ascii="宋体" w:hAnsi="宋体"/>
                        </w:rPr>
                      </w:pPr>
                      <w:r>
                        <w:rPr>
                          <w:rFonts w:hint="eastAsia" w:ascii="宋体" w:hAnsi="宋体"/>
                        </w:rPr>
                        <w:t>硝酸铵溶液</w:t>
                      </w:r>
                    </w:p>
                  </w:txbxContent>
                </v:textbox>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92736" behindDoc="0" locked="0" layoutInCell="1" allowOverlap="1">
                <wp:simplePos x="0" y="0"/>
                <wp:positionH relativeFrom="column">
                  <wp:posOffset>1492250</wp:posOffset>
                </wp:positionH>
                <wp:positionV relativeFrom="paragraph">
                  <wp:posOffset>56515</wp:posOffset>
                </wp:positionV>
                <wp:extent cx="939800" cy="0"/>
                <wp:effectExtent l="6350" t="56515" r="15875" b="57785"/>
                <wp:wrapNone/>
                <wp:docPr id="117"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52" o:spid="_x0000_s1026" o:spt="32" type="#_x0000_t32" style="position:absolute;left:0pt;margin-left:117.5pt;margin-top:4.45pt;height:0pt;width:74pt;z-index:251892736;mso-width-relative:page;mso-height-relative:page;" filled="f" stroked="t" coordsize="21600,21600" o:gfxdata="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gsNEjXAAAABwEAAA8AAAAAAAAAAQAg&#10;AAAAIgAAAGRycy9kb3ducmV2LnhtbFBLAQIUABQAAAAIAIdO4kD96jHv1gEAAJUDAAAOAAAAAAAA&#10;AAEAIAAAACYBAABkcnMvZTJvRG9jLnhtbFBLBQYAAAAABgAGAFkBAABuBQ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887616" behindDoc="0" locked="0" layoutInCell="1" allowOverlap="1">
                <wp:simplePos x="0" y="0"/>
                <wp:positionH relativeFrom="column">
                  <wp:posOffset>266700</wp:posOffset>
                </wp:positionH>
                <wp:positionV relativeFrom="paragraph">
                  <wp:posOffset>56515</wp:posOffset>
                </wp:positionV>
                <wp:extent cx="577850" cy="0"/>
                <wp:effectExtent l="9525" t="56515" r="22225" b="57785"/>
                <wp:wrapNone/>
                <wp:docPr id="116"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53" o:spid="_x0000_s1026" o:spt="32" type="#_x0000_t32" style="position:absolute;left:0pt;margin-left:21pt;margin-top:4.45pt;height:0pt;width:45.5pt;z-index:251887616;mso-width-relative:page;mso-height-relative:page;" filled="f" stroked="t" coordsize="21600,21600" o:gfxdata="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RSiK/WAAAABgEAAA8AAAAAAAAAAQAg&#10;AAAAIgAAAGRycy9kb3ducmV2LnhtbFBLAQIUABQAAAAIAIdO4kD5Wj4v1wEAAJUDAAAOAAAAAAAA&#10;AAEAIAAAACUBAABkcnMvZTJvRG9jLnhtbFBLBQYAAAAABgAGAFkBAABuBQ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05024" behindDoc="0" locked="0" layoutInCell="1" allowOverlap="1">
                <wp:simplePos x="0" y="0"/>
                <wp:positionH relativeFrom="column">
                  <wp:posOffset>1003300</wp:posOffset>
                </wp:positionH>
                <wp:positionV relativeFrom="paragraph">
                  <wp:posOffset>70485</wp:posOffset>
                </wp:positionV>
                <wp:extent cx="3162300" cy="387350"/>
                <wp:effectExtent l="3175" t="3810" r="0" b="0"/>
                <wp:wrapNone/>
                <wp:docPr id="11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87350"/>
                        </a:xfrm>
                        <a:prstGeom prst="rect">
                          <a:avLst/>
                        </a:prstGeom>
                        <a:solidFill>
                          <a:srgbClr val="FFFFFF"/>
                        </a:solidFill>
                        <a:ln>
                          <a:noFill/>
                        </a:ln>
                      </wps:spPr>
                      <wps:txbx>
                        <w:txbxContent>
                          <w:p w:rsidR="00C861DA" w:rsidRDefault="0044752E">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sz w:val="24"/>
                                <w:szCs w:val="24"/>
                              </w:rPr>
                              <w:t>4.1-</w:t>
                            </w:r>
                            <w:r>
                              <w:rPr>
                                <w:rFonts w:ascii="Times New Roman" w:hAnsi="Times New Roman" w:cs="Times New Roman" w:hint="eastAsia"/>
                                <w:sz w:val="24"/>
                                <w:szCs w:val="24"/>
                              </w:rPr>
                              <w:t>4</w:t>
                            </w:r>
                            <w:r>
                              <w:rPr>
                                <w:rFonts w:ascii="Times New Roman" w:hAnsi="Times New Roman" w:cs="Times New Roman"/>
                                <w:sz w:val="24"/>
                                <w:szCs w:val="24"/>
                              </w:rPr>
                              <w:t xml:space="preserve">    </w:t>
                            </w:r>
                            <w:r>
                              <w:rPr>
                                <w:rFonts w:ascii="Times New Roman" w:hAnsi="Times New Roman" w:cs="Times New Roman" w:hint="eastAsia"/>
                                <w:sz w:val="24"/>
                                <w:szCs w:val="24"/>
                              </w:rPr>
                              <w:t>硝基复合肥</w:t>
                            </w:r>
                            <w:r>
                              <w:rPr>
                                <w:rFonts w:ascii="Times New Roman" w:hAnsi="Times New Roman" w:cs="Times New Roman"/>
                                <w:sz w:val="24"/>
                                <w:szCs w:val="24"/>
                              </w:rPr>
                              <w:t>生产工艺流程及产污环节</w:t>
                            </w:r>
                          </w:p>
                          <w:p w:rsidR="00C861DA" w:rsidRDefault="0044752E">
                            <w:pPr>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W</w:t>
                            </w:r>
                            <w:r>
                              <w:rPr>
                                <w:rFonts w:ascii="Times New Roman" w:hAnsi="Times New Roman" w:cs="Times New Roman"/>
                              </w:rPr>
                              <w:t>：废水</w:t>
                            </w:r>
                            <w:r>
                              <w:rPr>
                                <w:rFonts w:ascii="Times New Roman" w:hAnsi="Times New Roman" w:cs="Times New Roman"/>
                              </w:rPr>
                              <w:t xml:space="preserve">    G:</w:t>
                            </w:r>
                            <w:r>
                              <w:rPr>
                                <w:rFonts w:ascii="Times New Roman" w:hAnsi="Times New Roman" w:cs="Times New Roman"/>
                              </w:rPr>
                              <w:t>废气</w:t>
                            </w:r>
                            <w:r>
                              <w:rPr>
                                <w:rFonts w:ascii="Times New Roman" w:hAnsi="Times New Roman" w:cs="Times New Roman"/>
                              </w:rPr>
                              <w:t xml:space="preserve">    N</w:t>
                            </w:r>
                            <w:r>
                              <w:rPr>
                                <w:rFonts w:ascii="Times New Roman" w:hAnsi="Times New Roman" w:cs="Times New Roman"/>
                              </w:rPr>
                              <w:t>：噪声</w:t>
                            </w:r>
                            <w:r>
                              <w:rPr>
                                <w:rFonts w:ascii="Times New Roman" w:hAnsi="Times New Roman" w:cs="Times New Roman"/>
                              </w:rPr>
                              <w:t xml:space="preserve">    S</w:t>
                            </w:r>
                            <w:r>
                              <w:rPr>
                                <w:rFonts w:ascii="Times New Roman" w:hAnsi="Times New Roman" w:cs="Times New Roman"/>
                              </w:rPr>
                              <w:t>：固废）</w:t>
                            </w:r>
                          </w:p>
                          <w:p w:rsidR="00C861DA" w:rsidRDefault="00C861DA">
                            <w:pPr>
                              <w:jc w:val="center"/>
                              <w:rPr>
                                <w:rFonts w:ascii="Times New Roman" w:hAnsi="Times New Roman" w:cs="Times New Roman"/>
                              </w:rPr>
                            </w:pP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54" o:spid="_x0000_s1026" o:spt="202" type="#_x0000_t202" style="position:absolute;left:0pt;margin-left:79pt;margin-top:5.55pt;height:30.5pt;width:249pt;z-index:251905024;mso-width-relative:page;mso-height-relative:page;" fillcolor="#FFFFFF" filled="t" stroked="f" coordsize="21600,21600" o:gfxdata="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CrX+dcAAAAJAQAADwAAAAAAAAABACAAAAAiAAAAZHJzL2Rvd25yZXYueG1s&#10;UEsBAhQAFAAAAAgAh07iQLrpFQ35AQAA4wMAAA4AAAAAAAAAAQAgAAAAJgEAAGRycy9lMm9Eb2Mu&#10;eG1sUEsFBgAAAAAGAAYAWQEAAJEFAAAAAA==&#10;">
                <v:fill on="t" focussize="0,0"/>
                <v:stroke on="f"/>
                <v:imagedata o:title=""/>
                <o:lock v:ext="edit" aspectratio="f"/>
                <v:textbox inset="0mm,0mm,0mm,0mm">
                  <w:txbxContent>
                    <w:p>
                      <w:pPr>
                        <w:jc w:val="center"/>
                        <w:rPr>
                          <w:rFonts w:ascii="Times New Roman" w:hAnsi="Times New Roman" w:cs="Times New Roman"/>
                          <w:sz w:val="24"/>
                          <w:szCs w:val="24"/>
                        </w:rPr>
                      </w:pPr>
                      <w:r>
                        <w:rPr>
                          <w:rFonts w:ascii="Times New Roman" w:hAnsi="Times New Roman" w:cs="Times New Roman"/>
                          <w:sz w:val="24"/>
                          <w:szCs w:val="24"/>
                        </w:rPr>
                        <w:t>图4.1-</w:t>
                      </w:r>
                      <w:r>
                        <w:rPr>
                          <w:rFonts w:hint="eastAsia" w:ascii="Times New Roman" w:hAnsi="Times New Roman" w:cs="Times New Roman"/>
                          <w:sz w:val="24"/>
                          <w:szCs w:val="24"/>
                        </w:rPr>
                        <w:t>4</w:t>
                      </w:r>
                      <w:r>
                        <w:rPr>
                          <w:rFonts w:ascii="Times New Roman" w:hAnsi="Times New Roman" w:cs="Times New Roman"/>
                          <w:sz w:val="24"/>
                          <w:szCs w:val="24"/>
                        </w:rPr>
                        <w:t xml:space="preserve">    </w:t>
                      </w:r>
                      <w:r>
                        <w:rPr>
                          <w:rFonts w:hint="eastAsia" w:ascii="Times New Roman" w:hAnsi="Times New Roman" w:cs="Times New Roman"/>
                          <w:sz w:val="24"/>
                          <w:szCs w:val="24"/>
                        </w:rPr>
                        <w:t>硝基复合肥</w:t>
                      </w:r>
                      <w:r>
                        <w:rPr>
                          <w:rFonts w:ascii="Times New Roman" w:hAnsi="Times New Roman" w:cs="Times New Roman"/>
                          <w:sz w:val="24"/>
                          <w:szCs w:val="24"/>
                        </w:rPr>
                        <w:t>生产工艺流程及产污环节</w:t>
                      </w:r>
                    </w:p>
                    <w:p>
                      <w:pPr>
                        <w:jc w:val="center"/>
                        <w:rPr>
                          <w:rFonts w:ascii="Times New Roman" w:hAnsi="Times New Roman" w:cs="Times New Roman"/>
                        </w:rPr>
                      </w:pPr>
                      <w:r>
                        <w:rPr>
                          <w:rFonts w:ascii="Times New Roman" w:hAnsi="Times New Roman" w:cs="Times New Roman"/>
                        </w:rPr>
                        <w:t>（W：废水    G:废气    N：噪声    S：固废）</w:t>
                      </w:r>
                    </w:p>
                    <w:p>
                      <w:pPr>
                        <w:jc w:val="center"/>
                        <w:rPr>
                          <w:rFonts w:ascii="Times New Roman" w:hAnsi="Times New Roman" w:cs="Times New Roman"/>
                        </w:rPr>
                      </w:pPr>
                    </w:p>
                  </w:txbxContent>
                </v:textbox>
              </v:shape>
            </w:pict>
          </mc:Fallback>
        </mc:AlternateContent>
      </w:r>
    </w:p>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）工艺流程</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1</w:t>
      </w:r>
      <w:r>
        <w:rPr>
          <w:rFonts w:ascii="Times New Roman" w:eastAsia="宋体" w:hAnsi="Times New Roman" w:cs="Times New Roman"/>
          <w:color w:val="000000" w:themeColor="text1"/>
          <w:kern w:val="1"/>
          <w:sz w:val="24"/>
          <w:szCs w:val="24"/>
        </w:rPr>
        <w:t>）配料工段</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外购有机原料、磷铵、硫酸钾</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添加剂等分别计量</w:t>
      </w:r>
      <w:r>
        <w:rPr>
          <w:rFonts w:ascii="Times New Roman" w:eastAsia="宋体" w:hAnsi="Times New Roman" w:cs="Times New Roman" w:hint="eastAsia"/>
          <w:color w:val="000000" w:themeColor="text1"/>
          <w:kern w:val="1"/>
          <w:sz w:val="24"/>
          <w:szCs w:val="24"/>
        </w:rPr>
        <w:t>后，</w:t>
      </w:r>
      <w:r>
        <w:rPr>
          <w:rFonts w:ascii="Times New Roman" w:eastAsia="宋体" w:hAnsi="Times New Roman" w:cs="Times New Roman"/>
          <w:color w:val="000000" w:themeColor="text1"/>
          <w:kern w:val="1"/>
          <w:sz w:val="24"/>
          <w:szCs w:val="24"/>
        </w:rPr>
        <w:t>输送进入对应高塔提升机</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输送</w:t>
      </w:r>
      <w:r>
        <w:rPr>
          <w:rFonts w:ascii="Times New Roman" w:eastAsia="宋体" w:hAnsi="Times New Roman" w:cs="Times New Roman" w:hint="eastAsia"/>
          <w:color w:val="000000" w:themeColor="text1"/>
          <w:kern w:val="1"/>
          <w:sz w:val="24"/>
          <w:szCs w:val="24"/>
        </w:rPr>
        <w:t>至造粒塔</w:t>
      </w:r>
      <w:r>
        <w:rPr>
          <w:rFonts w:ascii="Times New Roman" w:eastAsia="宋体" w:hAnsi="Times New Roman" w:cs="Times New Roman"/>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2</w:t>
      </w:r>
      <w:r>
        <w:rPr>
          <w:rFonts w:ascii="Times New Roman" w:eastAsia="宋体" w:hAnsi="Times New Roman" w:cs="Times New Roman"/>
          <w:color w:val="000000" w:themeColor="text1"/>
          <w:kern w:val="1"/>
          <w:sz w:val="24"/>
          <w:szCs w:val="24"/>
        </w:rPr>
        <w:t>）造粒工段</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本项目硝基有机肥生产采用高塔熔融造粒生产工艺，</w:t>
      </w:r>
      <w:r>
        <w:rPr>
          <w:rFonts w:ascii="Times New Roman" w:eastAsia="宋体" w:hAnsi="Times New Roman" w:cs="Times New Roman"/>
          <w:color w:val="000000" w:themeColor="text1"/>
          <w:kern w:val="1"/>
          <w:sz w:val="24"/>
          <w:szCs w:val="24"/>
        </w:rPr>
        <w:t>硝酸铵</w:t>
      </w:r>
      <w:r>
        <w:rPr>
          <w:rFonts w:ascii="Times New Roman" w:eastAsia="宋体" w:hAnsi="Times New Roman" w:cs="Times New Roman" w:hint="eastAsia"/>
          <w:color w:val="000000" w:themeColor="text1"/>
          <w:kern w:val="1"/>
          <w:sz w:val="24"/>
          <w:szCs w:val="24"/>
        </w:rPr>
        <w:t>工段生产的硝酸铵</w:t>
      </w:r>
      <w:r>
        <w:rPr>
          <w:rFonts w:ascii="Times New Roman" w:eastAsia="宋体" w:hAnsi="Times New Roman" w:cs="Times New Roman"/>
          <w:color w:val="000000" w:themeColor="text1"/>
          <w:kern w:val="1"/>
          <w:sz w:val="24"/>
          <w:szCs w:val="24"/>
        </w:rPr>
        <w:t>溶液由离心式溶液泵送至二蒸发器，与蒸发器壳程的</w:t>
      </w:r>
      <w:r>
        <w:rPr>
          <w:rFonts w:ascii="Times New Roman" w:eastAsia="宋体" w:hAnsi="Times New Roman" w:cs="Times New Roman"/>
          <w:color w:val="000000" w:themeColor="text1"/>
          <w:kern w:val="1"/>
          <w:sz w:val="24"/>
          <w:szCs w:val="24"/>
        </w:rPr>
        <w:t>1.3MPa</w:t>
      </w:r>
      <w:r>
        <w:rPr>
          <w:rFonts w:ascii="Times New Roman" w:eastAsia="宋体" w:hAnsi="Times New Roman" w:cs="Times New Roman"/>
          <w:color w:val="000000" w:themeColor="text1"/>
          <w:kern w:val="1"/>
          <w:sz w:val="24"/>
          <w:szCs w:val="24"/>
        </w:rPr>
        <w:t>蒸汽进行换热，质量分数为</w:t>
      </w:r>
      <w:r>
        <w:rPr>
          <w:rFonts w:ascii="Times New Roman" w:eastAsia="宋体" w:hAnsi="Times New Roman" w:cs="Times New Roman"/>
          <w:color w:val="000000" w:themeColor="text1"/>
          <w:kern w:val="1"/>
          <w:sz w:val="24"/>
          <w:szCs w:val="24"/>
        </w:rPr>
        <w:t>76.0</w:t>
      </w:r>
      <w:r>
        <w:rPr>
          <w:rFonts w:ascii="Times New Roman" w:eastAsia="宋体" w:hAnsi="Times New Roman" w:cs="Times New Roman"/>
          <w:color w:val="000000" w:themeColor="text1"/>
          <w:kern w:val="1"/>
          <w:sz w:val="24"/>
          <w:szCs w:val="24"/>
        </w:rPr>
        <w:t>％左右的硝酸铵溶液在</w:t>
      </w:r>
      <w:r>
        <w:rPr>
          <w:rFonts w:ascii="Times New Roman" w:eastAsia="宋体" w:hAnsi="Times New Roman" w:cs="Times New Roman"/>
          <w:color w:val="000000" w:themeColor="text1"/>
          <w:kern w:val="1"/>
          <w:sz w:val="24"/>
          <w:szCs w:val="24"/>
        </w:rPr>
        <w:t>0.069</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0.087 MPa</w:t>
      </w:r>
      <w:r>
        <w:rPr>
          <w:rFonts w:ascii="Times New Roman" w:eastAsia="宋体" w:hAnsi="Times New Roman" w:cs="Times New Roman"/>
          <w:color w:val="000000" w:themeColor="text1"/>
          <w:kern w:val="1"/>
          <w:sz w:val="24"/>
          <w:szCs w:val="24"/>
        </w:rPr>
        <w:t>的真空状态下进行蒸发，浓缩至质量分数</w:t>
      </w:r>
      <w:r>
        <w:rPr>
          <w:rFonts w:ascii="Times New Roman" w:eastAsia="宋体" w:hAnsi="Times New Roman" w:cs="Times New Roman"/>
          <w:color w:val="000000" w:themeColor="text1"/>
          <w:kern w:val="1"/>
          <w:sz w:val="24"/>
          <w:szCs w:val="24"/>
        </w:rPr>
        <w:t>99.0</w:t>
      </w:r>
      <w:r>
        <w:rPr>
          <w:rFonts w:ascii="Times New Roman" w:eastAsia="宋体" w:hAnsi="Times New Roman" w:cs="Times New Roman"/>
          <w:color w:val="000000" w:themeColor="text1"/>
          <w:kern w:val="1"/>
          <w:sz w:val="24"/>
          <w:szCs w:val="24"/>
        </w:rPr>
        <w:t>％以上的熔融态硝酸铵经气液分离、计量后送入搅拌混合槽。</w:t>
      </w:r>
      <w:r>
        <w:rPr>
          <w:rFonts w:ascii="Times New Roman" w:eastAsia="宋体" w:hAnsi="Times New Roman" w:cs="Times New Roman" w:hint="eastAsia"/>
          <w:color w:val="000000" w:themeColor="text1"/>
          <w:kern w:val="1"/>
          <w:sz w:val="24"/>
          <w:szCs w:val="24"/>
        </w:rPr>
        <w:t>蒸发产生的水蒸汽经冷凝后，冷凝液中含有少量的游离氨，进入冷凝液收集槽后，返回氨回收工段，回收氨。</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斗提机来有机原料、磷铵、硫酸钾分别进入加热器，用蒸汽进行加热，预热到</w:t>
      </w:r>
      <w:r>
        <w:rPr>
          <w:rFonts w:ascii="Times New Roman" w:eastAsia="宋体" w:hAnsi="Times New Roman" w:cs="Times New Roman"/>
          <w:color w:val="000000" w:themeColor="text1"/>
          <w:kern w:val="1"/>
          <w:sz w:val="24"/>
          <w:szCs w:val="24"/>
        </w:rPr>
        <w:t>100</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color w:val="000000" w:themeColor="text1"/>
          <w:kern w:val="1"/>
          <w:sz w:val="24"/>
          <w:szCs w:val="24"/>
        </w:rPr>
        <w:t>80</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color w:val="000000" w:themeColor="text1"/>
          <w:kern w:val="1"/>
          <w:sz w:val="24"/>
          <w:szCs w:val="24"/>
        </w:rPr>
        <w:t>100</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，送至混合槽与熔融硝铵溶液混合搅拌，依次流经一级混合槽、二级混合槽混合制浆。固液混合温度一般控制在</w:t>
      </w:r>
      <w:r>
        <w:rPr>
          <w:rFonts w:ascii="Times New Roman" w:eastAsia="宋体" w:hAnsi="Times New Roman" w:cs="Times New Roman"/>
          <w:color w:val="000000" w:themeColor="text1"/>
          <w:kern w:val="1"/>
          <w:sz w:val="24"/>
          <w:szCs w:val="24"/>
        </w:rPr>
        <w:t>170</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左右，不低于</w:t>
      </w:r>
      <w:r>
        <w:rPr>
          <w:rFonts w:ascii="Times New Roman" w:eastAsia="宋体" w:hAnsi="Times New Roman" w:cs="Times New Roman"/>
          <w:color w:val="000000" w:themeColor="text1"/>
          <w:kern w:val="1"/>
          <w:sz w:val="24"/>
          <w:szCs w:val="24"/>
        </w:rPr>
        <w:t>165</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。固液两相在混合搅拌器内经充分搅拌后形成均匀的熔体，靠自身的重力落入位于造粒塔</w:t>
      </w:r>
      <w:r>
        <w:rPr>
          <w:rFonts w:ascii="Times New Roman" w:eastAsia="宋体" w:hAnsi="Times New Roman" w:cs="Times New Roman"/>
          <w:color w:val="000000" w:themeColor="text1"/>
          <w:kern w:val="1"/>
          <w:sz w:val="24"/>
          <w:szCs w:val="24"/>
        </w:rPr>
        <w:t>顶部的差动式造粒机内旋转喷洒造粒，球状液滴在造粒塔内落下时与上升的冷空气逆向接触，被干燥至</w:t>
      </w:r>
      <w:r>
        <w:rPr>
          <w:rFonts w:ascii="Times New Roman" w:eastAsia="宋体" w:hAnsi="Times New Roman" w:cs="Times New Roman"/>
          <w:color w:val="000000" w:themeColor="text1"/>
          <w:kern w:val="1"/>
          <w:sz w:val="24"/>
          <w:szCs w:val="24"/>
        </w:rPr>
        <w:t>70</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，结晶成直径为</w:t>
      </w:r>
      <w:r>
        <w:rPr>
          <w:rFonts w:ascii="Times New Roman" w:eastAsia="宋体" w:hAnsi="Times New Roman" w:cs="Times New Roman"/>
          <w:color w:val="000000" w:themeColor="text1"/>
          <w:kern w:val="1"/>
          <w:sz w:val="24"/>
          <w:szCs w:val="24"/>
        </w:rPr>
        <w:t>1</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color w:val="000000" w:themeColor="text1"/>
          <w:kern w:val="1"/>
          <w:sz w:val="24"/>
          <w:szCs w:val="24"/>
        </w:rPr>
        <w:t>4.75 mm</w:t>
      </w:r>
      <w:r>
        <w:rPr>
          <w:rFonts w:ascii="Times New Roman" w:eastAsia="宋体" w:hAnsi="Times New Roman" w:cs="Times New Roman"/>
          <w:color w:val="000000" w:themeColor="text1"/>
          <w:kern w:val="1"/>
          <w:sz w:val="24"/>
          <w:szCs w:val="24"/>
        </w:rPr>
        <w:t>的复肥颗粒，经造粒塔下锥体下料漏斗落入皮带运输机。</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造粒塔顶废气经布袋除尘后，经由</w:t>
      </w:r>
      <w:r>
        <w:rPr>
          <w:rFonts w:ascii="Times New Roman" w:eastAsia="宋体" w:hAnsi="Times New Roman" w:cs="Times New Roman" w:hint="eastAsia"/>
          <w:color w:val="000000" w:themeColor="text1"/>
          <w:kern w:val="1"/>
          <w:sz w:val="24"/>
          <w:szCs w:val="24"/>
        </w:rPr>
        <w:t>15m</w:t>
      </w:r>
      <w:r>
        <w:rPr>
          <w:rFonts w:ascii="Times New Roman" w:eastAsia="宋体" w:hAnsi="Times New Roman" w:cs="Times New Roman" w:hint="eastAsia"/>
          <w:color w:val="000000" w:themeColor="text1"/>
          <w:kern w:val="1"/>
          <w:sz w:val="24"/>
          <w:szCs w:val="24"/>
        </w:rPr>
        <w:t>高排气筒（</w:t>
      </w: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hint="eastAsia"/>
          <w:color w:val="000000" w:themeColor="text1"/>
          <w:kern w:val="1"/>
          <w:sz w:val="24"/>
          <w:szCs w:val="24"/>
        </w:rPr>
        <w:t>排气筒）排放</w:t>
      </w:r>
      <w:r>
        <w:rPr>
          <w:rFonts w:ascii="Times New Roman" w:eastAsia="宋体" w:hAnsi="Times New Roman" w:cs="Times New Roman"/>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3</w:t>
      </w:r>
      <w:r>
        <w:rPr>
          <w:rFonts w:ascii="Times New Roman" w:eastAsia="宋体" w:hAnsi="Times New Roman" w:cs="Times New Roman"/>
          <w:color w:val="000000" w:themeColor="text1"/>
          <w:kern w:val="1"/>
          <w:sz w:val="24"/>
          <w:szCs w:val="24"/>
        </w:rPr>
        <w:t>）成品工段</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出塔产品经筛分、滚筒冷却机，用经过除湿的空气冷却至</w:t>
      </w:r>
      <w:r>
        <w:rPr>
          <w:rFonts w:ascii="Times New Roman" w:eastAsia="宋体" w:hAnsi="Times New Roman" w:cs="Times New Roman"/>
          <w:color w:val="000000" w:themeColor="text1"/>
          <w:kern w:val="1"/>
          <w:sz w:val="24"/>
          <w:szCs w:val="24"/>
        </w:rPr>
        <w:t>40</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，包裹机涂油包裹后送往成品包装机进行包装。筛分后的粗、细颗粒作为返料送回高塔熔融。</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滚筒冷却尾气</w:t>
      </w:r>
      <w:r>
        <w:rPr>
          <w:rFonts w:ascii="Times New Roman" w:eastAsia="宋体" w:hAnsi="Times New Roman" w:cs="Times New Roman" w:hint="eastAsia"/>
          <w:color w:val="000000" w:themeColor="text1"/>
          <w:kern w:val="1"/>
          <w:sz w:val="24"/>
          <w:szCs w:val="24"/>
        </w:rPr>
        <w:t>和筛分粉尘</w:t>
      </w:r>
      <w:r>
        <w:rPr>
          <w:rFonts w:ascii="Times New Roman" w:eastAsia="宋体" w:hAnsi="Times New Roman" w:cs="Times New Roman"/>
          <w:color w:val="000000" w:themeColor="text1"/>
          <w:kern w:val="1"/>
          <w:sz w:val="24"/>
          <w:szCs w:val="24"/>
        </w:rPr>
        <w:t>经</w:t>
      </w:r>
      <w:r>
        <w:rPr>
          <w:rFonts w:ascii="Times New Roman" w:eastAsia="宋体" w:hAnsi="Times New Roman" w:cs="Times New Roman" w:hint="eastAsia"/>
          <w:color w:val="000000" w:themeColor="text1"/>
          <w:kern w:val="1"/>
          <w:sz w:val="24"/>
          <w:szCs w:val="24"/>
        </w:rPr>
        <w:t>布袋</w:t>
      </w:r>
      <w:r>
        <w:rPr>
          <w:rFonts w:ascii="Times New Roman" w:eastAsia="宋体" w:hAnsi="Times New Roman" w:cs="Times New Roman"/>
          <w:color w:val="000000" w:themeColor="text1"/>
          <w:kern w:val="1"/>
          <w:sz w:val="24"/>
          <w:szCs w:val="24"/>
        </w:rPr>
        <w:t>除尘器后</w:t>
      </w:r>
      <w:r>
        <w:rPr>
          <w:rFonts w:ascii="Times New Roman" w:eastAsia="宋体" w:hAnsi="Times New Roman" w:cs="Times New Roman" w:hint="eastAsia"/>
          <w:color w:val="000000" w:themeColor="text1"/>
          <w:kern w:val="1"/>
          <w:sz w:val="24"/>
          <w:szCs w:val="24"/>
        </w:rPr>
        <w:t>，由</w:t>
      </w:r>
      <w:r>
        <w:rPr>
          <w:rFonts w:ascii="Times New Roman" w:eastAsia="宋体" w:hAnsi="Times New Roman" w:cs="Times New Roman" w:hint="eastAsia"/>
          <w:color w:val="000000" w:themeColor="text1"/>
          <w:kern w:val="1"/>
          <w:sz w:val="24"/>
          <w:szCs w:val="24"/>
        </w:rPr>
        <w:t>15m</w:t>
      </w:r>
      <w:r>
        <w:rPr>
          <w:rFonts w:ascii="Times New Roman" w:eastAsia="宋体" w:hAnsi="Times New Roman" w:cs="Times New Roman" w:hint="eastAsia"/>
          <w:color w:val="000000" w:themeColor="text1"/>
          <w:kern w:val="1"/>
          <w:sz w:val="24"/>
          <w:szCs w:val="24"/>
        </w:rPr>
        <w:t>高排气筒</w:t>
      </w:r>
      <w:r>
        <w:rPr>
          <w:rFonts w:ascii="Times New Roman" w:eastAsia="宋体" w:hAnsi="Times New Roman" w:cs="Times New Roman"/>
          <w:color w:val="000000" w:themeColor="text1"/>
          <w:kern w:val="1"/>
          <w:sz w:val="24"/>
          <w:szCs w:val="24"/>
        </w:rPr>
        <w:t>排放。</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2</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产污环节</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）废气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G3</w:t>
      </w:r>
      <w:r>
        <w:rPr>
          <w:rFonts w:ascii="Times New Roman" w:eastAsia="宋体" w:hAnsi="Times New Roman" w:cs="Times New Roman" w:hint="eastAsia"/>
          <w:color w:val="000000" w:themeColor="text1"/>
          <w:kern w:val="1"/>
          <w:sz w:val="24"/>
          <w:szCs w:val="24"/>
        </w:rPr>
        <w:t>：配料废气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配料废气主要为计量、提升过程中的废气，废气主要污染物为颗粒物，经布袋除尘后，经由</w:t>
      </w:r>
      <w:r>
        <w:rPr>
          <w:rFonts w:ascii="Times New Roman" w:eastAsia="宋体" w:hAnsi="Times New Roman" w:cs="Times New Roman" w:hint="eastAsia"/>
          <w:color w:val="000000" w:themeColor="text1"/>
          <w:kern w:val="1"/>
          <w:sz w:val="24"/>
          <w:szCs w:val="24"/>
        </w:rPr>
        <w:t>15m</w:t>
      </w:r>
      <w:r>
        <w:rPr>
          <w:rFonts w:ascii="Times New Roman" w:eastAsia="宋体" w:hAnsi="Times New Roman" w:cs="Times New Roman" w:hint="eastAsia"/>
          <w:color w:val="000000" w:themeColor="text1"/>
          <w:kern w:val="1"/>
          <w:sz w:val="24"/>
          <w:szCs w:val="24"/>
        </w:rPr>
        <w:t>高排气筒（</w:t>
      </w:r>
      <w:r>
        <w:rPr>
          <w:rFonts w:ascii="Times New Roman" w:eastAsia="宋体" w:hAnsi="Times New Roman" w:cs="Times New Roman" w:hint="eastAsia"/>
          <w:color w:val="000000" w:themeColor="text1"/>
          <w:kern w:val="1"/>
          <w:sz w:val="24"/>
          <w:szCs w:val="24"/>
        </w:rPr>
        <w:t>2#</w:t>
      </w:r>
      <w:r>
        <w:rPr>
          <w:rFonts w:ascii="Times New Roman" w:eastAsia="宋体" w:hAnsi="Times New Roman" w:cs="Times New Roman" w:hint="eastAsia"/>
          <w:color w:val="000000" w:themeColor="text1"/>
          <w:kern w:val="1"/>
          <w:sz w:val="24"/>
          <w:szCs w:val="24"/>
        </w:rPr>
        <w:t>排气筒）排放。</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G4</w:t>
      </w:r>
      <w:r>
        <w:rPr>
          <w:rFonts w:ascii="Times New Roman" w:eastAsia="宋体" w:hAnsi="Times New Roman" w:cs="Times New Roman" w:hint="eastAsia"/>
          <w:color w:val="000000" w:themeColor="text1"/>
          <w:kern w:val="1"/>
          <w:sz w:val="24"/>
          <w:szCs w:val="24"/>
        </w:rPr>
        <w:t>：造粒废气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造粒废气</w:t>
      </w:r>
      <w:r>
        <w:rPr>
          <w:rFonts w:ascii="Times New Roman" w:eastAsia="宋体" w:hAnsi="Times New Roman" w:cs="Times New Roman" w:hint="eastAsia"/>
          <w:color w:val="000000" w:themeColor="text1"/>
          <w:kern w:val="1"/>
          <w:sz w:val="24"/>
          <w:szCs w:val="24"/>
        </w:rPr>
        <w:t>有由两部分组成，一部分</w:t>
      </w:r>
      <w:r>
        <w:rPr>
          <w:rFonts w:ascii="Times New Roman" w:eastAsia="宋体" w:hAnsi="Times New Roman" w:cs="Times New Roman"/>
          <w:color w:val="000000" w:themeColor="text1"/>
          <w:kern w:val="1"/>
          <w:sz w:val="24"/>
          <w:szCs w:val="24"/>
        </w:rPr>
        <w:t>是造粒塔</w:t>
      </w:r>
      <w:r>
        <w:rPr>
          <w:rFonts w:ascii="Times New Roman" w:eastAsia="宋体" w:hAnsi="Times New Roman" w:cs="Times New Roman" w:hint="eastAsia"/>
          <w:color w:val="000000" w:themeColor="text1"/>
          <w:kern w:val="1"/>
          <w:sz w:val="24"/>
          <w:szCs w:val="24"/>
        </w:rPr>
        <w:t>产品冷却</w:t>
      </w:r>
      <w:r>
        <w:rPr>
          <w:rFonts w:ascii="Times New Roman" w:eastAsia="宋体" w:hAnsi="Times New Roman" w:cs="Times New Roman"/>
          <w:color w:val="000000" w:themeColor="text1"/>
          <w:kern w:val="1"/>
          <w:sz w:val="24"/>
          <w:szCs w:val="24"/>
        </w:rPr>
        <w:t>产生的尾气，主要污染</w:t>
      </w:r>
      <w:r>
        <w:rPr>
          <w:rFonts w:ascii="Times New Roman" w:eastAsia="宋体" w:hAnsi="Times New Roman" w:cs="Times New Roman" w:hint="eastAsia"/>
          <w:color w:val="000000" w:themeColor="text1"/>
          <w:kern w:val="1"/>
          <w:sz w:val="24"/>
          <w:szCs w:val="24"/>
        </w:rPr>
        <w:t>物为</w:t>
      </w:r>
      <w:r>
        <w:rPr>
          <w:rFonts w:ascii="Times New Roman" w:eastAsia="宋体" w:hAnsi="Times New Roman" w:cs="Times New Roman"/>
          <w:color w:val="000000" w:themeColor="text1"/>
          <w:kern w:val="1"/>
          <w:sz w:val="24"/>
          <w:szCs w:val="24"/>
        </w:rPr>
        <w:t>颗粒物</w:t>
      </w:r>
      <w:r>
        <w:rPr>
          <w:rFonts w:ascii="Times New Roman" w:eastAsia="宋体" w:hAnsi="Times New Roman" w:cs="Times New Roman" w:hint="eastAsia"/>
          <w:color w:val="000000" w:themeColor="text1"/>
          <w:kern w:val="1"/>
          <w:sz w:val="24"/>
          <w:szCs w:val="24"/>
        </w:rPr>
        <w:t>和氨</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采取湿法</w:t>
      </w:r>
      <w:r>
        <w:rPr>
          <w:rFonts w:ascii="Times New Roman" w:eastAsia="宋体" w:hAnsi="Times New Roman" w:cs="Times New Roman"/>
          <w:color w:val="000000" w:themeColor="text1"/>
          <w:kern w:val="1"/>
          <w:sz w:val="24"/>
          <w:szCs w:val="24"/>
        </w:rPr>
        <w:t>洗涤</w:t>
      </w:r>
      <w:r>
        <w:rPr>
          <w:rFonts w:ascii="Times New Roman" w:eastAsia="宋体" w:hAnsi="Times New Roman" w:cs="Times New Roman" w:hint="eastAsia"/>
          <w:color w:val="000000" w:themeColor="text1"/>
          <w:kern w:val="1"/>
          <w:sz w:val="24"/>
          <w:szCs w:val="24"/>
        </w:rPr>
        <w:t>处理</w:t>
      </w:r>
      <w:r>
        <w:rPr>
          <w:rFonts w:ascii="Times New Roman" w:eastAsia="宋体" w:hAnsi="Times New Roman" w:cs="Times New Roman"/>
          <w:color w:val="000000" w:themeColor="text1"/>
          <w:kern w:val="1"/>
          <w:sz w:val="24"/>
          <w:szCs w:val="24"/>
        </w:rPr>
        <w:t>后</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经</w:t>
      </w:r>
      <w:r>
        <w:rPr>
          <w:rFonts w:ascii="Times New Roman" w:eastAsia="宋体" w:hAnsi="Times New Roman" w:cs="Times New Roman" w:hint="eastAsia"/>
          <w:color w:val="000000" w:themeColor="text1"/>
          <w:kern w:val="1"/>
          <w:sz w:val="24"/>
          <w:szCs w:val="24"/>
        </w:rPr>
        <w:t>110</w:t>
      </w:r>
      <w:r>
        <w:rPr>
          <w:rFonts w:ascii="Times New Roman" w:eastAsia="宋体" w:hAnsi="Times New Roman" w:cs="Times New Roman"/>
          <w:color w:val="000000" w:themeColor="text1"/>
          <w:kern w:val="1"/>
          <w:sz w:val="24"/>
          <w:szCs w:val="24"/>
        </w:rPr>
        <w:t>m</w:t>
      </w:r>
      <w:r>
        <w:rPr>
          <w:rFonts w:ascii="Times New Roman" w:eastAsia="宋体" w:hAnsi="Times New Roman" w:cs="Times New Roman"/>
          <w:color w:val="000000" w:themeColor="text1"/>
          <w:kern w:val="1"/>
          <w:sz w:val="24"/>
          <w:szCs w:val="24"/>
        </w:rPr>
        <w:t>高的造粒塔</w:t>
      </w:r>
      <w:r>
        <w:rPr>
          <w:rFonts w:ascii="Times New Roman" w:eastAsia="宋体" w:hAnsi="Times New Roman" w:cs="Times New Roman" w:hint="eastAsia"/>
          <w:color w:val="000000" w:themeColor="text1"/>
          <w:kern w:val="1"/>
          <w:sz w:val="24"/>
          <w:szCs w:val="24"/>
        </w:rPr>
        <w:t>塔顶排放口</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color w:val="000000" w:themeColor="text1"/>
          <w:kern w:val="1"/>
          <w:sz w:val="24"/>
          <w:szCs w:val="24"/>
        </w:rPr>
        <w:t>排气</w:t>
      </w:r>
      <w:r>
        <w:rPr>
          <w:rFonts w:ascii="Times New Roman" w:eastAsia="宋体" w:hAnsi="Times New Roman" w:cs="Times New Roman" w:hint="eastAsia"/>
          <w:color w:val="000000" w:themeColor="text1"/>
          <w:kern w:val="1"/>
          <w:sz w:val="24"/>
          <w:szCs w:val="24"/>
        </w:rPr>
        <w:t>筒</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排放</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另一部分</w:t>
      </w:r>
      <w:r>
        <w:rPr>
          <w:rFonts w:ascii="Times New Roman" w:eastAsia="宋体" w:hAnsi="Times New Roman" w:cs="Times New Roman"/>
          <w:color w:val="000000" w:themeColor="text1"/>
          <w:kern w:val="1"/>
          <w:sz w:val="24"/>
          <w:szCs w:val="24"/>
        </w:rPr>
        <w:t>是造粒塔内设备</w:t>
      </w:r>
      <w:r>
        <w:rPr>
          <w:rFonts w:ascii="Times New Roman" w:eastAsia="宋体" w:hAnsi="Times New Roman" w:cs="Times New Roman" w:hint="eastAsia"/>
          <w:color w:val="000000" w:themeColor="text1"/>
          <w:kern w:val="1"/>
          <w:sz w:val="24"/>
          <w:szCs w:val="24"/>
        </w:rPr>
        <w:t>产生</w:t>
      </w:r>
      <w:r>
        <w:rPr>
          <w:rFonts w:ascii="Times New Roman" w:eastAsia="宋体" w:hAnsi="Times New Roman" w:cs="Times New Roman"/>
          <w:color w:val="000000" w:themeColor="text1"/>
          <w:kern w:val="1"/>
          <w:sz w:val="24"/>
          <w:szCs w:val="24"/>
        </w:rPr>
        <w:t>的废气</w:t>
      </w:r>
      <w:r>
        <w:rPr>
          <w:rFonts w:ascii="Times New Roman" w:eastAsia="宋体" w:hAnsi="Times New Roman" w:cs="Times New Roman" w:hint="eastAsia"/>
          <w:color w:val="000000" w:themeColor="text1"/>
          <w:kern w:val="1"/>
          <w:sz w:val="24"/>
          <w:szCs w:val="24"/>
        </w:rPr>
        <w:t>，主要污染物为颗粒物，</w:t>
      </w:r>
      <w:r>
        <w:rPr>
          <w:rFonts w:ascii="Times New Roman" w:eastAsia="宋体" w:hAnsi="Times New Roman" w:cs="Times New Roman"/>
          <w:color w:val="000000" w:themeColor="text1"/>
          <w:kern w:val="1"/>
          <w:sz w:val="24"/>
          <w:szCs w:val="24"/>
        </w:rPr>
        <w:t>经布袋除尘后，再送至造粒塔顶的湿法洗涤系统</w:t>
      </w:r>
      <w:r>
        <w:rPr>
          <w:rFonts w:ascii="Times New Roman" w:eastAsia="宋体" w:hAnsi="Times New Roman" w:cs="Times New Roman" w:hint="eastAsia"/>
          <w:color w:val="000000" w:themeColor="text1"/>
          <w:kern w:val="1"/>
          <w:sz w:val="24"/>
          <w:szCs w:val="24"/>
        </w:rPr>
        <w:t>，经</w:t>
      </w:r>
      <w:r>
        <w:rPr>
          <w:rFonts w:ascii="Times New Roman" w:eastAsia="宋体" w:hAnsi="Times New Roman" w:cs="Times New Roman" w:hint="eastAsia"/>
          <w:color w:val="000000" w:themeColor="text1"/>
          <w:kern w:val="1"/>
          <w:sz w:val="24"/>
          <w:szCs w:val="24"/>
        </w:rPr>
        <w:t>110</w:t>
      </w:r>
      <w:r>
        <w:rPr>
          <w:rFonts w:ascii="Times New Roman" w:eastAsia="宋体" w:hAnsi="Times New Roman" w:cs="Times New Roman"/>
          <w:color w:val="000000" w:themeColor="text1"/>
          <w:kern w:val="1"/>
          <w:sz w:val="24"/>
          <w:szCs w:val="24"/>
        </w:rPr>
        <w:t>m</w:t>
      </w:r>
      <w:r>
        <w:rPr>
          <w:rFonts w:ascii="Times New Roman" w:eastAsia="宋体" w:hAnsi="Times New Roman" w:cs="Times New Roman"/>
          <w:color w:val="000000" w:themeColor="text1"/>
          <w:kern w:val="1"/>
          <w:sz w:val="24"/>
          <w:szCs w:val="24"/>
        </w:rPr>
        <w:t>高的造粒塔</w:t>
      </w:r>
      <w:r>
        <w:rPr>
          <w:rFonts w:ascii="Times New Roman" w:eastAsia="宋体" w:hAnsi="Times New Roman" w:cs="Times New Roman" w:hint="eastAsia"/>
          <w:color w:val="000000" w:themeColor="text1"/>
          <w:kern w:val="1"/>
          <w:sz w:val="24"/>
          <w:szCs w:val="24"/>
        </w:rPr>
        <w:t>废气排放口</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color w:val="000000" w:themeColor="text1"/>
          <w:kern w:val="1"/>
          <w:sz w:val="24"/>
          <w:szCs w:val="24"/>
        </w:rPr>
        <w:t>排气</w:t>
      </w:r>
      <w:r>
        <w:rPr>
          <w:rFonts w:ascii="Times New Roman" w:eastAsia="宋体" w:hAnsi="Times New Roman" w:cs="Times New Roman" w:hint="eastAsia"/>
          <w:color w:val="000000" w:themeColor="text1"/>
          <w:kern w:val="1"/>
          <w:sz w:val="24"/>
          <w:szCs w:val="24"/>
        </w:rPr>
        <w:t>筒</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排放</w:t>
      </w:r>
      <w:r>
        <w:rPr>
          <w:rFonts w:ascii="Times New Roman" w:eastAsia="宋体" w:hAnsi="Times New Roman" w:cs="Times New Roman"/>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G5</w:t>
      </w:r>
      <w:r>
        <w:rPr>
          <w:rFonts w:ascii="Times New Roman" w:eastAsia="宋体" w:hAnsi="Times New Roman" w:cs="Times New Roman" w:hint="eastAsia"/>
          <w:color w:val="000000" w:themeColor="text1"/>
          <w:kern w:val="1"/>
          <w:sz w:val="24"/>
          <w:szCs w:val="24"/>
        </w:rPr>
        <w:t>：产品滚筒冷却和筛分废气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废气中的主要污染物为颗粒物，废气经布袋除尘后，经由</w:t>
      </w:r>
      <w:r>
        <w:rPr>
          <w:rFonts w:ascii="Times New Roman" w:eastAsia="宋体" w:hAnsi="Times New Roman" w:cs="Times New Roman" w:hint="eastAsia"/>
          <w:color w:val="000000" w:themeColor="text1"/>
          <w:kern w:val="1"/>
          <w:sz w:val="24"/>
          <w:szCs w:val="24"/>
        </w:rPr>
        <w:t>15m</w:t>
      </w:r>
      <w:r>
        <w:rPr>
          <w:rFonts w:ascii="Times New Roman" w:eastAsia="宋体" w:hAnsi="Times New Roman" w:cs="Times New Roman" w:hint="eastAsia"/>
          <w:color w:val="000000" w:themeColor="text1"/>
          <w:kern w:val="1"/>
          <w:sz w:val="24"/>
          <w:szCs w:val="24"/>
        </w:rPr>
        <w:t>高排气筒（</w:t>
      </w:r>
      <w:r>
        <w:rPr>
          <w:rFonts w:ascii="Times New Roman" w:eastAsia="宋体" w:hAnsi="Times New Roman" w:cs="Times New Roman" w:hint="eastAsia"/>
          <w:color w:val="000000" w:themeColor="text1"/>
          <w:kern w:val="1"/>
          <w:sz w:val="24"/>
          <w:szCs w:val="24"/>
        </w:rPr>
        <w:t>4#</w:t>
      </w:r>
      <w:r>
        <w:rPr>
          <w:rFonts w:ascii="Times New Roman" w:eastAsia="宋体" w:hAnsi="Times New Roman" w:cs="Times New Roman" w:hint="eastAsia"/>
          <w:color w:val="000000" w:themeColor="text1"/>
          <w:kern w:val="1"/>
          <w:sz w:val="24"/>
          <w:szCs w:val="24"/>
        </w:rPr>
        <w:t>排气筒）排放。</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2</w:t>
      </w:r>
      <w:r>
        <w:rPr>
          <w:rFonts w:ascii="Times New Roman" w:eastAsia="宋体" w:hAnsi="Times New Roman" w:cs="Times New Roman" w:hint="eastAsia"/>
          <w:color w:val="000000" w:themeColor="text1"/>
          <w:kern w:val="1"/>
          <w:sz w:val="24"/>
          <w:szCs w:val="24"/>
        </w:rPr>
        <w:t>）废水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W3</w:t>
      </w:r>
      <w:r>
        <w:rPr>
          <w:rFonts w:ascii="Times New Roman" w:eastAsia="宋体" w:hAnsi="Times New Roman" w:cs="Times New Roman" w:hint="eastAsia"/>
          <w:color w:val="000000" w:themeColor="text1"/>
          <w:kern w:val="1"/>
          <w:sz w:val="24"/>
          <w:szCs w:val="24"/>
        </w:rPr>
        <w:t>：造粒尾气洗涤废水循环利用，循环浓水中的主要污染物为颗粒物、氨，排入生产废水收集池（</w:t>
      </w: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color w:val="000000" w:themeColor="text1"/>
          <w:kern w:val="1"/>
          <w:sz w:val="24"/>
          <w:szCs w:val="24"/>
        </w:rPr>
        <w:t>000m</w:t>
      </w:r>
      <w:r>
        <w:rPr>
          <w:rFonts w:ascii="Times New Roman" w:eastAsia="宋体" w:hAnsi="Times New Roman" w:cs="Times New Roman"/>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），送祥丰金麦公司球磨补充水。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造粒尾气洗涤废水产生量为</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hint="eastAsia"/>
          <w:color w:val="000000" w:themeColor="text1"/>
          <w:kern w:val="1"/>
          <w:sz w:val="24"/>
          <w:szCs w:val="24"/>
        </w:rPr>
        <w:t>）噪声</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尿基复合肥生产过程中的噪声源包括布袋除尘引风机噪声、破碎、造粒、筛分噪声，噪声源强噪声值</w:t>
      </w:r>
      <w:r>
        <w:rPr>
          <w:rFonts w:ascii="Times New Roman" w:eastAsia="宋体" w:hAnsi="Times New Roman" w:cs="Times New Roman" w:hint="eastAsia"/>
          <w:color w:val="000000" w:themeColor="text1"/>
          <w:kern w:val="1"/>
          <w:sz w:val="24"/>
          <w:szCs w:val="24"/>
        </w:rPr>
        <w:t>85-90dB</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A</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4</w:t>
      </w:r>
      <w:r>
        <w:rPr>
          <w:rFonts w:ascii="Times New Roman" w:eastAsia="宋体" w:hAnsi="Times New Roman" w:cs="Times New Roman" w:hint="eastAsia"/>
          <w:color w:val="000000" w:themeColor="text1"/>
          <w:kern w:val="1"/>
          <w:sz w:val="24"/>
          <w:szCs w:val="24"/>
        </w:rPr>
        <w:t>）固体废物</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尿基复合肥生产过程中的固体废物主要为布袋除尘器收尘，收尘返回生产工序作为配料。</w:t>
      </w:r>
    </w:p>
    <w:p w:rsidR="00C861DA" w:rsidRDefault="0044752E">
      <w:pPr>
        <w:pStyle w:val="32"/>
        <w:rPr>
          <w:rFonts w:ascii="Times New Roman" w:eastAsia="宋体"/>
          <w:bCs w:val="0"/>
          <w:color w:val="000000" w:themeColor="text1"/>
          <w:sz w:val="24"/>
          <w:szCs w:val="24"/>
        </w:rPr>
      </w:pPr>
      <w:bookmarkStart w:id="230" w:name="_Toc6826797"/>
      <w:r>
        <w:rPr>
          <w:rFonts w:ascii="Times New Roman" w:eastAsia="宋体"/>
          <w:bCs w:val="0"/>
          <w:color w:val="000000" w:themeColor="text1"/>
          <w:sz w:val="24"/>
          <w:szCs w:val="24"/>
        </w:rPr>
        <w:t xml:space="preserve">4.1.2 </w:t>
      </w:r>
      <w:r>
        <w:rPr>
          <w:rFonts w:ascii="Times New Roman" w:eastAsia="宋体"/>
          <w:bCs w:val="0"/>
          <w:color w:val="000000" w:themeColor="text1"/>
          <w:sz w:val="24"/>
          <w:szCs w:val="24"/>
        </w:rPr>
        <w:t>尿基复合肥生产工艺流程及产污环节</w:t>
      </w:r>
      <w:bookmarkEnd w:id="230"/>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尿基复合肥生产</w:t>
      </w:r>
      <w:r>
        <w:rPr>
          <w:rFonts w:ascii="Times New Roman" w:eastAsia="宋体" w:hAnsi="Times New Roman" w:cs="Times New Roman"/>
          <w:color w:val="000000" w:themeColor="text1"/>
          <w:kern w:val="0"/>
          <w:sz w:val="24"/>
          <w:szCs w:val="24"/>
        </w:rPr>
        <w:t>项目以云南祥丰金麦公司已建液氨装置</w:t>
      </w:r>
      <w:r>
        <w:rPr>
          <w:rFonts w:ascii="Times New Roman" w:eastAsia="宋体" w:hAnsi="Times New Roman" w:cs="Times New Roman" w:hint="eastAsia"/>
          <w:color w:val="000000" w:themeColor="text1"/>
          <w:kern w:val="0"/>
          <w:sz w:val="24"/>
          <w:szCs w:val="24"/>
        </w:rPr>
        <w:t>和合成氨站二氧化碳气体</w:t>
      </w:r>
      <w:r>
        <w:rPr>
          <w:rFonts w:ascii="Times New Roman" w:eastAsia="宋体" w:hAnsi="Times New Roman" w:cs="Times New Roman"/>
          <w:color w:val="000000" w:themeColor="text1"/>
          <w:kern w:val="0"/>
          <w:sz w:val="24"/>
          <w:szCs w:val="24"/>
        </w:rPr>
        <w:t>为主要原料，生产尿素中间产品，并按照适当的比例加入有机质、硫酸一铵、硫酸钾、添加剂等</w:t>
      </w:r>
      <w:r>
        <w:rPr>
          <w:rFonts w:ascii="Times New Roman" w:eastAsia="宋体" w:hAnsi="Times New Roman" w:cs="Times New Roman" w:hint="eastAsia"/>
          <w:color w:val="000000" w:themeColor="text1"/>
          <w:kern w:val="0"/>
          <w:sz w:val="24"/>
          <w:szCs w:val="24"/>
        </w:rPr>
        <w:t>辅料</w:t>
      </w:r>
      <w:r>
        <w:rPr>
          <w:rFonts w:ascii="Times New Roman" w:eastAsia="宋体" w:hAnsi="Times New Roman" w:cs="Times New Roman"/>
          <w:color w:val="000000" w:themeColor="text1"/>
          <w:kern w:val="0"/>
          <w:sz w:val="24"/>
          <w:szCs w:val="24"/>
        </w:rPr>
        <w:t>后，分别尿基复合肥产品。</w:t>
      </w:r>
      <w:r>
        <w:rPr>
          <w:rFonts w:ascii="Times New Roman" w:eastAsia="宋体" w:hAnsi="Times New Roman" w:cs="Times New Roman" w:hint="eastAsia"/>
          <w:color w:val="000000" w:themeColor="text1"/>
          <w:kern w:val="0"/>
          <w:sz w:val="24"/>
          <w:szCs w:val="24"/>
        </w:rPr>
        <w:t>生产过程</w:t>
      </w:r>
      <w:r>
        <w:rPr>
          <w:rFonts w:ascii="Times New Roman" w:eastAsia="宋体" w:hAnsi="Times New Roman" w:cs="Times New Roman" w:hint="eastAsia"/>
          <w:color w:val="000000" w:themeColor="text1"/>
          <w:kern w:val="1"/>
          <w:sz w:val="24"/>
          <w:szCs w:val="24"/>
        </w:rPr>
        <w:t>包括尿素和复合肥生产工艺两大部分。</w:t>
      </w:r>
    </w:p>
    <w:p w:rsidR="00C861DA" w:rsidRDefault="0044752E">
      <w:pPr>
        <w:widowControl/>
        <w:autoSpaceDE/>
        <w:autoSpaceDN/>
        <w:snapToGrid w:val="0"/>
        <w:spacing w:line="360" w:lineRule="auto"/>
        <w:rPr>
          <w:rFonts w:ascii="Times New Roman" w:eastAsia="宋体" w:hAnsi="Times New Roman" w:cs="Times New Roman"/>
          <w:b/>
          <w:color w:val="000000" w:themeColor="text1"/>
          <w:kern w:val="0"/>
          <w:sz w:val="24"/>
          <w:szCs w:val="24"/>
        </w:rPr>
      </w:pPr>
      <w:r>
        <w:rPr>
          <w:rFonts w:ascii="Times New Roman" w:eastAsia="宋体" w:hAnsi="Times New Roman" w:cs="Times New Roman" w:hint="eastAsia"/>
          <w:b/>
          <w:color w:val="000000" w:themeColor="text1"/>
          <w:kern w:val="0"/>
          <w:sz w:val="24"/>
          <w:szCs w:val="24"/>
        </w:rPr>
        <w:t>4.1.2.1</w:t>
      </w:r>
      <w:r>
        <w:rPr>
          <w:rFonts w:ascii="Times New Roman" w:eastAsia="宋体" w:hAnsi="Times New Roman" w:cs="Times New Roman"/>
          <w:b/>
          <w:color w:val="000000" w:themeColor="text1"/>
          <w:kern w:val="0"/>
          <w:sz w:val="24"/>
          <w:szCs w:val="24"/>
        </w:rPr>
        <w:t>尿素生产</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本项目尿素生产采用中国五环工程有限公司研发的“高效合成、低能耗尿素工艺技术”（</w:t>
      </w:r>
      <w:r>
        <w:rPr>
          <w:rFonts w:ascii="Times New Roman" w:eastAsia="宋体" w:hAnsi="Times New Roman" w:cs="Times New Roman" w:hint="eastAsia"/>
          <w:color w:val="000000" w:themeColor="text1"/>
          <w:kern w:val="1"/>
          <w:sz w:val="24"/>
          <w:szCs w:val="24"/>
        </w:rPr>
        <w:t>Technology of High Efficiency Synthesis and Energy Saving</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 xml:space="preserve"> </w:t>
      </w:r>
      <w:r>
        <w:rPr>
          <w:rFonts w:ascii="Times New Roman" w:eastAsia="宋体" w:hAnsi="Times New Roman" w:cs="Times New Roman" w:hint="eastAsia"/>
          <w:color w:val="000000" w:themeColor="text1"/>
          <w:kern w:val="1"/>
          <w:sz w:val="24"/>
          <w:szCs w:val="24"/>
        </w:rPr>
        <w:t>THESES</w:t>
      </w:r>
      <w:r>
        <w:rPr>
          <w:rFonts w:ascii="Times New Roman" w:eastAsia="宋体" w:hAnsi="Times New Roman" w:cs="Times New Roman" w:hint="eastAsia"/>
          <w:color w:val="000000" w:themeColor="text1"/>
          <w:kern w:val="1"/>
          <w:sz w:val="24"/>
          <w:szCs w:val="24"/>
        </w:rPr>
        <w:t>），本工艺系中国五环工程有限公司自主开发的尿素生产专利技术，基于中国五环工程有限公司“高效冷凝、低安装高度</w:t>
      </w:r>
      <w:r>
        <w:rPr>
          <w:rFonts w:ascii="Times New Roman" w:eastAsia="宋体" w:hAnsi="Times New Roman" w:cs="Times New Roman" w:hint="eastAsia"/>
          <w:color w:val="000000" w:themeColor="text1"/>
          <w:kern w:val="1"/>
          <w:sz w:val="24"/>
          <w:szCs w:val="24"/>
        </w:rPr>
        <w:t>CO</w:t>
      </w:r>
      <w:r>
        <w:rPr>
          <w:rFonts w:ascii="Times New Roman" w:eastAsia="宋体" w:hAnsi="Times New Roman" w:cs="Times New Roman" w:hint="eastAsia"/>
          <w:color w:val="000000" w:themeColor="text1"/>
          <w:kern w:val="1"/>
          <w:sz w:val="24"/>
          <w:szCs w:val="24"/>
          <w:vertAlign w:val="subscript"/>
        </w:rPr>
        <w:t>2</w:t>
      </w:r>
      <w:r>
        <w:rPr>
          <w:rFonts w:ascii="Times New Roman" w:eastAsia="宋体" w:hAnsi="Times New Roman" w:cs="Times New Roman" w:hint="eastAsia"/>
          <w:color w:val="000000" w:themeColor="text1"/>
          <w:kern w:val="1"/>
          <w:sz w:val="24"/>
          <w:szCs w:val="24"/>
        </w:rPr>
        <w:t>汽提法尿素生产工艺及高压管式全冷凝器”尿素合成高压圈发明专利（专利号：</w:t>
      </w:r>
      <w:r>
        <w:rPr>
          <w:rFonts w:ascii="Times New Roman" w:eastAsia="宋体" w:hAnsi="Times New Roman" w:cs="Times New Roman" w:hint="eastAsia"/>
          <w:color w:val="000000" w:themeColor="text1"/>
          <w:kern w:val="1"/>
          <w:sz w:val="24"/>
          <w:szCs w:val="24"/>
        </w:rPr>
        <w:t>ZL200910060466.X</w:t>
      </w:r>
      <w:r>
        <w:rPr>
          <w:rFonts w:ascii="Times New Roman" w:eastAsia="宋体" w:hAnsi="Times New Roman" w:cs="Times New Roman" w:hint="eastAsia"/>
          <w:color w:val="000000" w:themeColor="text1"/>
          <w:kern w:val="1"/>
          <w:sz w:val="24"/>
          <w:szCs w:val="24"/>
        </w:rPr>
        <w:t>），通过对尿素生产过程全系统进行优化，形成一套完整的具有自主知识产权的尿素生产工艺技术。</w:t>
      </w:r>
      <w:r>
        <w:rPr>
          <w:rFonts w:ascii="Times New Roman" w:eastAsia="宋体" w:hAnsi="Times New Roman" w:cs="Times New Roman"/>
          <w:color w:val="000000" w:themeColor="text1"/>
          <w:kern w:val="1"/>
          <w:sz w:val="24"/>
          <w:szCs w:val="24"/>
        </w:rPr>
        <w:t>工艺流程及产污环节见图</w:t>
      </w:r>
      <w:r>
        <w:rPr>
          <w:rFonts w:ascii="Times New Roman" w:eastAsia="宋体" w:hAnsi="Times New Roman" w:cs="Times New Roman"/>
          <w:color w:val="000000" w:themeColor="text1"/>
          <w:kern w:val="1"/>
          <w:sz w:val="24"/>
          <w:szCs w:val="24"/>
        </w:rPr>
        <w:t>4.1-5</w:t>
      </w:r>
      <w:r>
        <w:rPr>
          <w:rFonts w:ascii="Times New Roman" w:eastAsia="宋体" w:hAnsi="Times New Roman" w:cs="Times New Roman"/>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）工艺流程</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1</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原料液氨的供应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来自祥丰金麦已建合成氨装置生产的液氨，温度约为</w:t>
      </w:r>
      <w:r>
        <w:rPr>
          <w:rFonts w:ascii="Times New Roman" w:eastAsia="宋体" w:hAnsi="Times New Roman" w:cs="Times New Roman"/>
          <w:color w:val="000000" w:themeColor="text1"/>
          <w:kern w:val="1"/>
          <w:sz w:val="24"/>
          <w:szCs w:val="24"/>
        </w:rPr>
        <w:t>10~30</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，压力约</w:t>
      </w:r>
      <w:r>
        <w:rPr>
          <w:rFonts w:ascii="Times New Roman" w:eastAsia="宋体" w:hAnsi="Times New Roman" w:cs="Times New Roman"/>
          <w:color w:val="000000" w:themeColor="text1"/>
          <w:kern w:val="1"/>
          <w:sz w:val="24"/>
          <w:szCs w:val="24"/>
        </w:rPr>
        <w:t>2.40MPa(G)</w:t>
      </w:r>
      <w:r>
        <w:rPr>
          <w:rFonts w:ascii="Times New Roman" w:eastAsia="宋体" w:hAnsi="Times New Roman" w:cs="Times New Roman"/>
          <w:color w:val="000000" w:themeColor="text1"/>
          <w:kern w:val="1"/>
          <w:sz w:val="24"/>
          <w:szCs w:val="24"/>
        </w:rPr>
        <w:t>通过液位调节阀经液氨过滤器后进入液氨缓冲槽，再经高压液氨升压。高压液氨中进高压喷射器前经高压液氨预热器预热，高压液氨预热器使用高调水作为热源。高压液氨作为高压喷射器动力介质，将来自全冷凝反应器的尿素合成液升压送到尿素合成塔底部。</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62368" behindDoc="0" locked="0" layoutInCell="1" allowOverlap="1">
                <wp:simplePos x="0" y="0"/>
                <wp:positionH relativeFrom="column">
                  <wp:posOffset>4521835</wp:posOffset>
                </wp:positionH>
                <wp:positionV relativeFrom="paragraph">
                  <wp:posOffset>-156210</wp:posOffset>
                </wp:positionV>
                <wp:extent cx="564515" cy="152400"/>
                <wp:effectExtent l="0" t="0" r="0" b="3810"/>
                <wp:wrapNone/>
                <wp:docPr id="11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15240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5#</w:t>
                            </w:r>
                            <w:r>
                              <w:rPr>
                                <w:rFonts w:ascii="宋体" w:hAnsi="宋体" w:hint="eastAsia"/>
                              </w:rPr>
                              <w:t>排气筒</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05" o:spid="_x0000_s1026" o:spt="202" type="#_x0000_t202" style="position:absolute;left:0pt;margin-left:356.05pt;margin-top:-12.3pt;height:12pt;width:44.45pt;z-index:251962368;mso-width-relative:page;mso-height-relative:page;" fillcolor="#FFFFFF" filled="t" stroked="f" coordsize="21600,21600" o:gfxdata="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4Vsa21wAAAAkBAAAPAAAAAAAAAAEAIAAAACIAAABkcnMvZG93bnJldi54bWxQ&#10;SwECFAAUAAAACACHTuJAg0ILW/gBAADiAwAADgAAAAAAAAABACAAAAAmAQAAZHJzL2Uyb0RvYy54&#10;bWxQSwUGAAAAAAYABgBZAQAAkAUAAAAA&#10;">
                <v:fill on="t" focussize="0,0"/>
                <v:stroke on="f"/>
                <v:imagedata o:title=""/>
                <o:lock v:ext="edit" aspectratio="f"/>
                <v:textbox inset="0mm,0mm,0mm,0mm">
                  <w:txbxContent>
                    <w:p>
                      <w:pPr>
                        <w:rPr>
                          <w:rFonts w:ascii="宋体" w:hAnsi="宋体"/>
                        </w:rPr>
                      </w:pPr>
                      <w:r>
                        <w:rPr>
                          <w:rFonts w:hint="eastAsia" w:ascii="宋体" w:hAnsi="宋体"/>
                        </w:rPr>
                        <w:t>5#排气筒</w:t>
                      </w:r>
                    </w:p>
                  </w:txbxContent>
                </v:textbox>
              </v:shape>
            </w:pict>
          </mc:Fallback>
        </mc:AlternateContent>
      </w:r>
      <w:r>
        <w:rPr>
          <w:rFonts w:ascii="Tahoma" w:eastAsia="微软雅黑" w:hAnsi="Tahoma" w:cs="Times New Roman"/>
          <w:noProof/>
          <w:color w:val="000000" w:themeColor="text1"/>
          <w:kern w:val="0"/>
          <w:sz w:val="24"/>
          <w:szCs w:val="22"/>
        </w:rPr>
        <mc:AlternateContent>
          <mc:Choice Requires="wps">
            <w:drawing>
              <wp:anchor distT="0" distB="0" distL="114300" distR="114300" simplePos="0" relativeHeight="251953152" behindDoc="0" locked="0" layoutInCell="1" allowOverlap="1">
                <wp:simplePos x="0" y="0"/>
                <wp:positionH relativeFrom="column">
                  <wp:posOffset>4737735</wp:posOffset>
                </wp:positionH>
                <wp:positionV relativeFrom="paragraph">
                  <wp:posOffset>29845</wp:posOffset>
                </wp:positionV>
                <wp:extent cx="133350" cy="372110"/>
                <wp:effectExtent l="13335" t="10795" r="15240" b="7620"/>
                <wp:wrapNone/>
                <wp:docPr id="113"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350" cy="372110"/>
                        </a:xfrm>
                        <a:prstGeom prst="flowChartManualOperation">
                          <a:avLst/>
                        </a:prstGeom>
                        <a:noFill/>
                        <a:ln w="9525">
                          <a:solidFill>
                            <a:srgbClr val="000000"/>
                          </a:solidFill>
                          <a:miter lim="800000"/>
                          <a:tailEnd type="triangle" w="med" len="me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AutoShape 210" o:spid="_x0000_s1026" o:spt="119" type="#_x0000_t119" style="position:absolute;left:0pt;flip:y;margin-left:373.05pt;margin-top:2.35pt;height:29.3pt;width:10.5pt;z-index:251953152;mso-width-relative:page;mso-height-relative:page;" filled="f" stroked="t" coordsize="21600,21600" o:gfxdata="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RUP+r1gAAAAgBAAAPAAAAAAAAAAEAIAAAACIAAABkcnMvZG93bnJldi54&#10;bWxQSwECFAAUAAAACACHTuJA1lxe5DUCAABKBAAADgAAAAAAAAABACAAAAAlAQAAZHJzL2Uyb0Rv&#10;Yy54bWxQSwUGAAAAAAYABgBZAQAAzAUAAAAA&#10;">
                <v:fill on="f" focussize="0,0"/>
                <v:stroke color="#000000" miterlimit="8" joinstyle="miter"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26528" behindDoc="0" locked="0" layoutInCell="1" allowOverlap="1">
                <wp:simplePos x="0" y="0"/>
                <wp:positionH relativeFrom="column">
                  <wp:posOffset>704850</wp:posOffset>
                </wp:positionH>
                <wp:positionV relativeFrom="paragraph">
                  <wp:posOffset>196850</wp:posOffset>
                </wp:positionV>
                <wp:extent cx="661035" cy="317500"/>
                <wp:effectExtent l="9525" t="6350" r="5715" b="9525"/>
                <wp:wrapNone/>
                <wp:docPr id="11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 cy="317500"/>
                        </a:xfrm>
                        <a:prstGeom prst="rect">
                          <a:avLst/>
                        </a:prstGeom>
                        <a:solidFill>
                          <a:srgbClr val="FFFFFF"/>
                        </a:solidFill>
                        <a:ln w="9525">
                          <a:solidFill>
                            <a:srgbClr val="000000"/>
                          </a:solidFill>
                          <a:miter lim="800000"/>
                        </a:ln>
                      </wps:spPr>
                      <wps:txbx>
                        <w:txbxContent>
                          <w:p w:rsidR="00C861DA" w:rsidRDefault="0044752E">
                            <w:pPr>
                              <w:jc w:val="distribute"/>
                              <w:rPr>
                                <w:rFonts w:ascii="宋体" w:hAnsi="宋体"/>
                              </w:rPr>
                            </w:pPr>
                            <w:r>
                              <w:rPr>
                                <w:rFonts w:ascii="宋体" w:hAnsi="宋体" w:hint="eastAsia"/>
                              </w:rPr>
                              <w:t>缓冲罐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55" o:spid="_x0000_s1026" o:spt="1" style="position:absolute;left:0pt;margin-left:55.5pt;margin-top:15.5pt;height:25pt;width:52.05pt;z-index:251926528;mso-width-relative:page;mso-height-relative:page;" fillcolor="#FFFFFF" filled="t" stroked="t" coordsize="21600,21600" o:gfxdata="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OmnNNYAAAAJAQAADwAAAAAA&#10;AAABACAAAAAiAAAAZHJzL2Rvd25yZXYueG1sUEsBAhQAFAAAAAgAh07iQK5CIO4VAgAAMgQAAA4A&#10;AAAAAAAAAQAgAAAAJQEAAGRycy9lMm9Eb2MueG1sUEsFBgAAAAAGAAYAWQEAAKwFAAAAAA==&#10;">
                <v:fill on="t" focussize="0,0"/>
                <v:stroke color="#000000" miterlimit="8" joinstyle="miter"/>
                <v:imagedata o:title=""/>
                <o:lock v:ext="edit" aspectratio="f"/>
                <v:textbox>
                  <w:txbxContent>
                    <w:p>
                      <w:pPr>
                        <w:jc w:val="distribute"/>
                        <w:rPr>
                          <w:rFonts w:ascii="宋体" w:hAnsi="宋体"/>
                        </w:rPr>
                      </w:pPr>
                      <w:r>
                        <w:rPr>
                          <w:rFonts w:hint="eastAsia" w:ascii="宋体" w:hAnsi="宋体"/>
                        </w:rPr>
                        <w:t>缓冲罐</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14240" behindDoc="0" locked="0" layoutInCell="1" allowOverlap="1">
                <wp:simplePos x="0" y="0"/>
                <wp:positionH relativeFrom="column">
                  <wp:posOffset>2514600</wp:posOffset>
                </wp:positionH>
                <wp:positionV relativeFrom="paragraph">
                  <wp:posOffset>225425</wp:posOffset>
                </wp:positionV>
                <wp:extent cx="511175" cy="317500"/>
                <wp:effectExtent l="9525" t="6350" r="12700" b="9525"/>
                <wp:wrapNone/>
                <wp:docPr id="111"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过滤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56" o:spid="_x0000_s1026" o:spt="1" style="position:absolute;left:0pt;margin-left:198pt;margin-top:17.75pt;height:25pt;width:40.25pt;z-index:251914240;mso-width-relative:page;mso-height-relative:page;" fillcolor="#FFFFFF" filled="t" stroked="t" coordsize="21600,21600" o:gfxdata="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PsFO62AAAAAkBAAAPAAAAAAAA&#10;AAEAIAAAACIAAABkcnMvZG93bnJldi54bWxQSwECFAAUAAAACACHTuJAPrTXeRICAAAyBAAADgAA&#10;AAAAAAABACAAAAAnAQAAZHJzL2Uyb0RvYy54bWxQSwUGAAAAAAYABgBZAQAAqwUAAAAA&#10;">
                <v:fill on="t" focussize="0,0"/>
                <v:stroke color="#000000" miterlimit="8" joinstyle="miter"/>
                <v:imagedata o:title=""/>
                <o:lock v:ext="edit" aspectratio="f"/>
                <v:textbox>
                  <w:txbxContent>
                    <w:p>
                      <w:pPr>
                        <w:rPr>
                          <w:rFonts w:ascii="宋体" w:hAnsi="宋体"/>
                        </w:rPr>
                      </w:pPr>
                      <w:r>
                        <w:rPr>
                          <w:rFonts w:hint="eastAsia" w:ascii="宋体" w:hAnsi="宋体"/>
                        </w:rPr>
                        <w:t>过滤</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12192" behindDoc="0" locked="0" layoutInCell="1" allowOverlap="1">
                <wp:simplePos x="0" y="0"/>
                <wp:positionH relativeFrom="column">
                  <wp:posOffset>1666875</wp:posOffset>
                </wp:positionH>
                <wp:positionV relativeFrom="paragraph">
                  <wp:posOffset>215900</wp:posOffset>
                </wp:positionV>
                <wp:extent cx="511175" cy="317500"/>
                <wp:effectExtent l="9525" t="6350" r="12700" b="9525"/>
                <wp:wrapNone/>
                <wp:docPr id="11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预热</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57" o:spid="_x0000_s1026" o:spt="1" style="position:absolute;left:0pt;margin-left:131.25pt;margin-top:17pt;height:25pt;width:40.25pt;z-index:251912192;mso-width-relative:page;mso-height-relative:page;" fillcolor="#FFFFFF" filled="t" stroked="t" coordsize="21600,21600" o:gfxdata="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JS3Iw1wAAAAkBAAAPAAAAAAAA&#10;AAEAIAAAACIAAABkcnMvZG93bnJldi54bWxQSwECFAAUAAAACACHTuJAHutAJRMCAAAyBAAADgAA&#10;AAAAAAABACAAAAAmAQAAZHJzL2Uyb0RvYy54bWxQSwUGAAAAAAYABgBZAQAAqwUAAAAA&#10;">
                <v:fill on="t" focussize="0,0"/>
                <v:stroke color="#000000" miterlimit="8" joinstyle="miter"/>
                <v:imagedata o:title=""/>
                <o:lock v:ext="edit" aspectratio="f"/>
                <v:textbox>
                  <w:txbxContent>
                    <w:p>
                      <w:pPr>
                        <w:rPr>
                          <w:rFonts w:ascii="宋体" w:hAnsi="宋体"/>
                        </w:rPr>
                      </w:pPr>
                      <w:r>
                        <w:rPr>
                          <w:rFonts w:hint="eastAsia" w:ascii="宋体" w:hAnsi="宋体"/>
                        </w:rPr>
                        <w:t>预热</w:t>
                      </w:r>
                    </w:p>
                  </w:txbxContent>
                </v:textbox>
              </v:rect>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69536" behindDoc="0" locked="0" layoutInCell="1" allowOverlap="1">
                <wp:simplePos x="0" y="0"/>
                <wp:positionH relativeFrom="column">
                  <wp:posOffset>4804410</wp:posOffset>
                </wp:positionH>
                <wp:positionV relativeFrom="paragraph">
                  <wp:posOffset>140335</wp:posOffset>
                </wp:positionV>
                <wp:extent cx="8890" cy="269875"/>
                <wp:effectExtent l="60960" t="16510" r="44450" b="8890"/>
                <wp:wrapNone/>
                <wp:docPr id="109"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269875"/>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214" o:spid="_x0000_s1026" o:spt="32" type="#_x0000_t32" style="position:absolute;left:0pt;flip:x y;margin-left:378.3pt;margin-top:11.05pt;height:21.25pt;width:0.7pt;z-index:251969536;mso-width-relative:page;mso-height-relative:page;" filled="f" stroked="t" coordsize="21600,21600" o:gfxdata="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8x1p/2gAAAAkBAAAPAAAAAAAAAAEAIAAAACIAAABkcnMvZG93bnJldi54bWxQSwECFAAU&#10;AAAACACHTuJAuWPnkO8BAADEAwAADgAAAAAAAAABACAAAAApAQAAZHJzL2Uyb0RvYy54bWxQSwUG&#10;AAAAAAYABgBZAQAAigU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22432" behindDoc="0" locked="0" layoutInCell="1" allowOverlap="1">
                <wp:simplePos x="0" y="0"/>
                <wp:positionH relativeFrom="column">
                  <wp:posOffset>3584575</wp:posOffset>
                </wp:positionH>
                <wp:positionV relativeFrom="paragraph">
                  <wp:posOffset>50800</wp:posOffset>
                </wp:positionV>
                <wp:extent cx="368300" cy="1064260"/>
                <wp:effectExtent l="12700" t="12700" r="9525" b="8890"/>
                <wp:wrapNone/>
                <wp:docPr id="10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064260"/>
                        </a:xfrm>
                        <a:prstGeom prst="rect">
                          <a:avLst/>
                        </a:prstGeom>
                        <a:solidFill>
                          <a:srgbClr val="FFFFFF"/>
                        </a:solidFill>
                        <a:ln w="9525">
                          <a:solidFill>
                            <a:srgbClr val="000000"/>
                          </a:solidFill>
                          <a:miter lim="800000"/>
                        </a:ln>
                      </wps:spPr>
                      <wps:txbx>
                        <w:txbxContent>
                          <w:p w:rsidR="00C861DA" w:rsidRDefault="0044752E">
                            <w:r>
                              <w:rPr>
                                <w:rFonts w:hint="eastAsia"/>
                              </w:rPr>
                              <w:t>高压合成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59" o:spid="_x0000_s1026" o:spt="1" style="position:absolute;left:0pt;margin-left:282.25pt;margin-top:4pt;height:83.8pt;width:29pt;z-index:251922432;mso-width-relative:page;mso-height-relative:page;" fillcolor="#FFFFFF" filled="t" stroked="t" coordsize="21600,21600" o:gfxdata="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N844tYAAAAJAQAADwAAAAAA&#10;AAABACAAAAAiAAAAZHJzL2Rvd25yZXYueG1sUEsBAhQAFAAAAAgAh07iQKtfussVAgAAMwQAAA4A&#10;AAAAAAAAAQAgAAAAJQEAAGRycy9lMm9Eb2MueG1sUEsFBgAAAAAGAAYAWQEAAKwFAAAAAA==&#10;">
                <v:fill on="t" focussize="0,0"/>
                <v:stroke color="#000000" miterlimit="8" joinstyle="miter"/>
                <v:imagedata o:title=""/>
                <o:lock v:ext="edit" aspectratio="f"/>
                <v:textbox>
                  <w:txbxContent>
                    <w:p>
                      <w:r>
                        <w:rPr>
                          <w:rFonts w:hint="eastAsia"/>
                        </w:rPr>
                        <w:t>高压合成</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10144" behindDoc="0" locked="0" layoutInCell="1" allowOverlap="1">
                <wp:simplePos x="0" y="0"/>
                <wp:positionH relativeFrom="column">
                  <wp:posOffset>3308350</wp:posOffset>
                </wp:positionH>
                <wp:positionV relativeFrom="paragraph">
                  <wp:posOffset>99060</wp:posOffset>
                </wp:positionV>
                <wp:extent cx="0" cy="928370"/>
                <wp:effectExtent l="12700" t="13335" r="6350" b="10795"/>
                <wp:wrapNone/>
                <wp:docPr id="10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837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AutoShape 160" o:spid="_x0000_s1026" o:spt="32" type="#_x0000_t32" style="position:absolute;left:0pt;margin-left:260.5pt;margin-top:7.8pt;height:73.1pt;width:0pt;z-index:251910144;mso-width-relative:page;mso-height-relative:page;" filled="f" stroked="t" coordsize="21600,21600" o:gfxdata="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TjiRt1gAAAAoBAAAPAAAAAAAAAAEAIAAAACIAAABkcnMvZG93bnJldi54bWxQSwEC&#10;FAAUAAAACACHTuJA0MgtVb0BAABnAwAADgAAAAAAAAABACAAAAAlAQAAZHJzL2Uyb0RvYy54bWxQ&#10;SwUGAAAAAAYABgBZAQAAVAUAAAAA&#10;">
                <v:fill on="f" focussize="0,0"/>
                <v:stroke color="#000000" joinstyle="round"/>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13216" behindDoc="0" locked="0" layoutInCell="1" allowOverlap="1">
                <wp:simplePos x="0" y="0"/>
                <wp:positionH relativeFrom="column">
                  <wp:posOffset>3025775</wp:posOffset>
                </wp:positionH>
                <wp:positionV relativeFrom="paragraph">
                  <wp:posOffset>99060</wp:posOffset>
                </wp:positionV>
                <wp:extent cx="282575" cy="0"/>
                <wp:effectExtent l="6350" t="60960" r="15875" b="53340"/>
                <wp:wrapNone/>
                <wp:docPr id="106"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61" o:spid="_x0000_s1026" o:spt="32" type="#_x0000_t32" style="position:absolute;left:0pt;margin-left:238.25pt;margin-top:7.8pt;height:0pt;width:22.25pt;z-index:251913216;mso-width-relative:page;mso-height-relative:page;" filled="f" stroked="t" coordsize="21600,21600" o:gfxdata="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e6f1DYAAAACQEAAA8AAAAAAAAAAQAg&#10;AAAAIgAAAGRycy9kb3ducmV2LnhtbFBLAQIUABQAAAAIAIdO4kDGYM0S1QEAAJUDAAAOAAAAAAAA&#10;AAEAIAAAACcBAABkcnMvZTJvRG9jLnhtbFBLBQYAAAAABgAGAFkBAABuBQ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21408" behindDoc="0" locked="0" layoutInCell="1" allowOverlap="1">
                <wp:simplePos x="0" y="0"/>
                <wp:positionH relativeFrom="column">
                  <wp:posOffset>2178050</wp:posOffset>
                </wp:positionH>
                <wp:positionV relativeFrom="paragraph">
                  <wp:posOffset>99060</wp:posOffset>
                </wp:positionV>
                <wp:extent cx="336550" cy="0"/>
                <wp:effectExtent l="6350" t="60960" r="19050" b="53340"/>
                <wp:wrapNone/>
                <wp:docPr id="105"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62" o:spid="_x0000_s1026" o:spt="32" type="#_x0000_t32" style="position:absolute;left:0pt;margin-left:171.5pt;margin-top:7.8pt;height:0pt;width:26.5pt;z-index:251921408;mso-width-relative:page;mso-height-relative:page;" filled="f" stroked="t" coordsize="21600,21600" o:gfxdata="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QbXFR2AAAAAkBAAAPAAAAAAAAAAEA&#10;IAAAACIAAABkcnMvZG93bnJldi54bWxQSwECFAAUAAAACACHTuJALAuG19YBAACVAwAADgAAAAAA&#10;AAABACAAAAAnAQAAZHJzL2Uyb0RvYy54bWxQSwUGAAAAAAYABgBZAQAAbw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11168" behindDoc="0" locked="0" layoutInCell="1" allowOverlap="1">
                <wp:simplePos x="0" y="0"/>
                <wp:positionH relativeFrom="column">
                  <wp:posOffset>1384300</wp:posOffset>
                </wp:positionH>
                <wp:positionV relativeFrom="paragraph">
                  <wp:posOffset>99060</wp:posOffset>
                </wp:positionV>
                <wp:extent cx="282575" cy="0"/>
                <wp:effectExtent l="12700" t="60960" r="19050" b="53340"/>
                <wp:wrapNone/>
                <wp:docPr id="104"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63" o:spid="_x0000_s1026" o:spt="32" type="#_x0000_t32" style="position:absolute;left:0pt;margin-left:109pt;margin-top:7.8pt;height:0pt;width:22.25pt;z-index:251911168;mso-width-relative:page;mso-height-relative:page;" filled="f" stroked="t" coordsize="21600,21600" o:gfxdata="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hF7KdgAAAAJAQAADwAAAAAAAAAB&#10;ACAAAAAiAAAAZHJzL2Rvd25yZXYueG1sUEsBAhQAFAAAAAgAh07iQPlEfXzXAQAAlQMAAA4AAAAA&#10;AAAAAQAgAAAAJwEAAGRycy9lMm9Eb2MueG1sUEsFBgAAAAAGAAYAWQEAAHA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08096" behindDoc="0" locked="0" layoutInCell="1" allowOverlap="1">
                <wp:simplePos x="0" y="0"/>
                <wp:positionH relativeFrom="column">
                  <wp:posOffset>311150</wp:posOffset>
                </wp:positionH>
                <wp:positionV relativeFrom="paragraph">
                  <wp:posOffset>99060</wp:posOffset>
                </wp:positionV>
                <wp:extent cx="384175" cy="0"/>
                <wp:effectExtent l="6350" t="60960" r="19050" b="53340"/>
                <wp:wrapNone/>
                <wp:docPr id="10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64" o:spid="_x0000_s1026" o:spt="32" type="#_x0000_t32" style="position:absolute;left:0pt;margin-left:24.5pt;margin-top:7.8pt;height:0pt;width:30.25pt;z-index:251908096;mso-width-relative:page;mso-height-relative:page;" filled="f" stroked="t" coordsize="21600,21600" o:gfxdata="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TGueI1wAAAAgBAAAPAAAAAAAAAAEA&#10;IAAAACIAAABkcnMvZG93bnJldi54bWxQSwECFAAUAAAACACHTuJAp+Y6RtcBAACVAwAADgAAAAAA&#10;AAABACAAAAAmAQAAZHJzL2Uyb0RvYy54bWxQSwUGAAAAAAYABgBZAQAAbw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07072" behindDoc="0" locked="0" layoutInCell="1" allowOverlap="1">
                <wp:simplePos x="0" y="0"/>
                <wp:positionH relativeFrom="column">
                  <wp:posOffset>34925</wp:posOffset>
                </wp:positionH>
                <wp:positionV relativeFrom="paragraph">
                  <wp:posOffset>13335</wp:posOffset>
                </wp:positionV>
                <wp:extent cx="330200" cy="171450"/>
                <wp:effectExtent l="0" t="3810" r="0" b="0"/>
                <wp:wrapNone/>
                <wp:docPr id="10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液氨</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65" o:spid="_x0000_s1026" o:spt="202" type="#_x0000_t202" style="position:absolute;left:0pt;margin-left:2.75pt;margin-top:1.05pt;height:13.5pt;width:26pt;z-index:251907072;mso-width-relative:page;mso-height-relative:page;" fillcolor="#FFFFFF" filled="t" stroked="f" coordsize="21600,21600" o:gfxdata="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LrkmjTAAAABQEAAA8AAAAAAAAAAQAgAAAAIgAAAGRycy9kb3ducmV2LnhtbFBLAQIU&#10;ABQAAAAIAIdO4kDfLzMd+AEAAOIDAAAOAAAAAAAAAAEAIAAAACIBAABkcnMvZTJvRG9jLnhtbFBL&#10;BQYAAAAABgAGAFkBAACMBQAAAAA=&#10;">
                <v:fill on="t" focussize="0,0"/>
                <v:stroke on="f"/>
                <v:imagedata o:title=""/>
                <o:lock v:ext="edit" aspectratio="f"/>
                <v:textbox inset="0mm,0mm,0mm,0mm">
                  <w:txbxContent>
                    <w:p>
                      <w:pPr>
                        <w:rPr>
                          <w:rFonts w:ascii="宋体" w:hAnsi="宋体"/>
                        </w:rPr>
                      </w:pPr>
                      <w:r>
                        <w:rPr>
                          <w:rFonts w:hint="eastAsia" w:ascii="宋体" w:hAnsi="宋体"/>
                        </w:rPr>
                        <w:t>液氨</w:t>
                      </w:r>
                    </w:p>
                  </w:txbxContent>
                </v:textbox>
              </v:shape>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66464" behindDoc="0" locked="0" layoutInCell="1" allowOverlap="1">
                <wp:simplePos x="0" y="0"/>
                <wp:positionH relativeFrom="column">
                  <wp:posOffset>2774950</wp:posOffset>
                </wp:positionH>
                <wp:positionV relativeFrom="paragraph">
                  <wp:posOffset>23495</wp:posOffset>
                </wp:positionV>
                <wp:extent cx="635" cy="285750"/>
                <wp:effectExtent l="60325" t="13970" r="53340" b="14605"/>
                <wp:wrapNone/>
                <wp:docPr id="101"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258" o:spid="_x0000_s1026" o:spt="32" type="#_x0000_t32" style="position:absolute;left:0pt;margin-left:218.5pt;margin-top:1.85pt;height:22.5pt;width:0.05pt;z-index:251966464;mso-width-relative:page;mso-height-relative:page;" filled="f" stroked="t" coordsize="21600,21600" o:gfxdata="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CSzs/UAAAACAEA&#10;AA8AAAAAAAAAAQAgAAAAIgAAAGRycy9kb3ducmV2LnhtbFBLAQIUABQAAAAIAIdO4kDXC+pX5QEA&#10;AK8DAAAOAAAAAAAAAAEAIAAAACMBAABkcnMvZTJvRG9jLnhtbFBLBQYAAAAABgAGAFkBAAB6BQAA&#10;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25504" behindDoc="0" locked="0" layoutInCell="1" allowOverlap="1">
                <wp:simplePos x="0" y="0"/>
                <wp:positionH relativeFrom="column">
                  <wp:posOffset>4102100</wp:posOffset>
                </wp:positionH>
                <wp:positionV relativeFrom="paragraph">
                  <wp:posOffset>121920</wp:posOffset>
                </wp:positionV>
                <wp:extent cx="206375" cy="142875"/>
                <wp:effectExtent l="0" t="0" r="0" b="1905"/>
                <wp:wrapNone/>
                <wp:docPr id="10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42875"/>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G6</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67" o:spid="_x0000_s1026" o:spt="202" type="#_x0000_t202" style="position:absolute;left:0pt;margin-left:323pt;margin-top:9.6pt;height:11.25pt;width:16.25pt;z-index:251925504;mso-width-relative:page;mso-height-relative:page;" fillcolor="#FFFFFF" filled="t" stroked="f" coordsize="21600,21600" o:gfxdata="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B2MENgAAAAJAQAADwAAAAAAAAABACAAAAAiAAAAZHJzL2Rvd25yZXYueG1sUEsB&#10;AhQAFAAAAAgAh07iQEPh1aD1AQAA4gMAAA4AAAAAAAAAAQAgAAAAJwEAAGRycy9lMm9Eb2MueG1s&#10;UEsFBgAAAAAGAAYAWQEAAI4FAAAAAA==&#10;">
                <v:fill on="t" focussize="0,0"/>
                <v:stroke on="f"/>
                <v:imagedata o:title=""/>
                <o:lock v:ext="edit" aspectratio="f"/>
                <v:textbox inset="0mm,0mm,0mm,0mm">
                  <w:txbxContent>
                    <w:p>
                      <w:pPr>
                        <w:rPr>
                          <w:rFonts w:ascii="宋体" w:hAnsi="宋体"/>
                        </w:rPr>
                      </w:pPr>
                      <w:r>
                        <w:rPr>
                          <w:rFonts w:hint="eastAsia" w:ascii="宋体" w:hAnsi="宋体"/>
                        </w:rPr>
                        <w:t>G6</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06048" behindDoc="0" locked="0" layoutInCell="1" allowOverlap="1">
                <wp:simplePos x="0" y="0"/>
                <wp:positionH relativeFrom="column">
                  <wp:posOffset>4391025</wp:posOffset>
                </wp:positionH>
                <wp:positionV relativeFrom="paragraph">
                  <wp:posOffset>147320</wp:posOffset>
                </wp:positionV>
                <wp:extent cx="803275" cy="317500"/>
                <wp:effectExtent l="9525" t="13970" r="6350" b="11430"/>
                <wp:wrapNone/>
                <wp:docPr id="99"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洗涤吸收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66" o:spid="_x0000_s1026" o:spt="1" style="position:absolute;left:0pt;margin-left:345.75pt;margin-top:11.6pt;height:25pt;width:63.25pt;z-index:251906048;mso-width-relative:page;mso-height-relative:page;" fillcolor="#FFFFFF" filled="t" stroked="t" coordsize="21600,21600" o:gfxdata="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Jxj0vXAAAACQEAAA8AAAAA&#10;AAAAAQAgAAAAIgAAAGRycy9kb3ducmV2LnhtbFBLAQIUABQAAAAIAIdO4kCnRlAgFQIAADEEAAAO&#10;AAAAAAAAAAEAIAAAACYBAABkcnMvZTJvRG9jLnhtbFBLBQYAAAAABgAGAFkBAACtBQAAAAA=&#10;">
                <v:fill on="t" focussize="0,0"/>
                <v:stroke color="#000000" miterlimit="8" joinstyle="miter"/>
                <v:imagedata o:title=""/>
                <o:lock v:ext="edit" aspectratio="f"/>
                <v:textbox>
                  <w:txbxContent>
                    <w:p>
                      <w:pPr>
                        <w:rPr>
                          <w:rFonts w:ascii="宋体" w:hAnsi="宋体"/>
                        </w:rPr>
                      </w:pPr>
                      <w:r>
                        <w:rPr>
                          <w:rFonts w:hint="eastAsia" w:ascii="宋体" w:hAnsi="宋体"/>
                        </w:rPr>
                        <w:t>洗涤吸收</w:t>
                      </w:r>
                    </w:p>
                  </w:txbxContent>
                </v:textbox>
              </v:rect>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32992" behindDoc="1" locked="0" layoutInCell="1" allowOverlap="1">
                <wp:simplePos x="0" y="0"/>
                <wp:positionH relativeFrom="column">
                  <wp:posOffset>2702560</wp:posOffset>
                </wp:positionH>
                <wp:positionV relativeFrom="paragraph">
                  <wp:posOffset>64770</wp:posOffset>
                </wp:positionV>
                <wp:extent cx="231140" cy="180975"/>
                <wp:effectExtent l="0" t="0" r="0" b="1905"/>
                <wp:wrapNone/>
                <wp:docPr id="9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0975"/>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S4</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59" o:spid="_x0000_s1026" o:spt="202" type="#_x0000_t202" style="position:absolute;left:0pt;margin-left:212.8pt;margin-top:5.1pt;height:14.25pt;width:18.2pt;z-index:-251583488;mso-width-relative:page;mso-height-relative:page;" fillcolor="#FFFFFF" filled="t" stroked="f" coordsize="21600,21600" o:gfxdata="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F0MN2AAAAAkBAAAPAAAAAAAAAAEAIAAAACIAAABkcnMvZG93bnJldi54bWxQ&#10;SwECFAAUAAAACACHTuJA2QJnWvcBAADhAwAADgAAAAAAAAABACAAAAAnAQAAZHJzL2Uyb0RvYy54&#10;bWxQSwUGAAAAAAYABgBZAQAAkAUAAAAA&#10;">
                <v:fill on="t" focussize="0,0"/>
                <v:stroke on="f"/>
                <v:imagedata o:title=""/>
                <o:lock v:ext="edit" aspectratio="f"/>
                <v:textbox inset="0mm,0mm,0mm,0mm">
                  <w:txbxContent>
                    <w:p>
                      <w:pPr>
                        <w:rPr>
                          <w:rFonts w:ascii="宋体" w:hAnsi="宋体"/>
                        </w:rPr>
                      </w:pPr>
                      <w:r>
                        <w:rPr>
                          <w:rFonts w:hint="eastAsia" w:ascii="宋体" w:hAnsi="宋体"/>
                        </w:rPr>
                        <w:t>S4</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37088" behindDoc="1" locked="0" layoutInCell="1" allowOverlap="1">
                <wp:simplePos x="0" y="0"/>
                <wp:positionH relativeFrom="column">
                  <wp:posOffset>4813935</wp:posOffset>
                </wp:positionH>
                <wp:positionV relativeFrom="paragraph">
                  <wp:posOffset>217805</wp:posOffset>
                </wp:positionV>
                <wp:extent cx="0" cy="289560"/>
                <wp:effectExtent l="60960" t="8255" r="53340" b="16510"/>
                <wp:wrapNone/>
                <wp:docPr id="97"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209" o:spid="_x0000_s1026" o:spt="32" type="#_x0000_t32" style="position:absolute;left:0pt;margin-left:379.05pt;margin-top:17.15pt;height:22.8pt;width:0pt;z-index:-251579392;mso-width-relative:page;mso-height-relative:page;" filled="f" stroked="t" coordsize="21600,21600" o:gfxdata="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kiLDi1AAAAAkBAAAPAAAA&#10;AAAAAAEAIAAAACIAAABkcnMvZG93bnJldi54bWxQSwECFAAUAAAACACHTuJANpqnq+ABAACsAwAA&#10;DgAAAAAAAAABACAAAAAjAQAAZHJzL2Uyb0RvYy54bWxQSwUGAAAAAAYABgBZAQAAdQU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23456" behindDoc="0" locked="0" layoutInCell="1" allowOverlap="1">
                <wp:simplePos x="0" y="0"/>
                <wp:positionH relativeFrom="column">
                  <wp:posOffset>3965575</wp:posOffset>
                </wp:positionH>
                <wp:positionV relativeFrom="paragraph">
                  <wp:posOffset>48895</wp:posOffset>
                </wp:positionV>
                <wp:extent cx="448310" cy="6985"/>
                <wp:effectExtent l="12700" t="58420" r="15240" b="48895"/>
                <wp:wrapNone/>
                <wp:docPr id="96"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310" cy="6985"/>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168" o:spid="_x0000_s1026" o:spt="32" type="#_x0000_t32" style="position:absolute;left:0pt;flip:y;margin-left:312.25pt;margin-top:3.85pt;height:0.55pt;width:35.3pt;z-index:251923456;mso-width-relative:page;mso-height-relative:page;" filled="f" stroked="t" coordsize="21600,21600" o:gfxdata="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RD9L0wAA&#10;AAcBAAAPAAAAAAAAAAEAIAAAACIAAABkcnMvZG93bnJldi54bWxQSwECFAAUAAAACACHTuJA6t4D&#10;e+oBAAC5AwAADgAAAAAAAAABACAAAAAiAQAAZHJzL2Uyb0RvYy54bWxQSwUGAAAAAAYABgBZAQAA&#10;fgU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09120" behindDoc="0" locked="0" layoutInCell="1" allowOverlap="1">
                <wp:simplePos x="0" y="0"/>
                <wp:positionH relativeFrom="column">
                  <wp:posOffset>3308350</wp:posOffset>
                </wp:positionH>
                <wp:positionV relativeFrom="paragraph">
                  <wp:posOffset>55880</wp:posOffset>
                </wp:positionV>
                <wp:extent cx="266700" cy="0"/>
                <wp:effectExtent l="12700" t="55880" r="15875" b="58420"/>
                <wp:wrapNone/>
                <wp:docPr id="95"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69" o:spid="_x0000_s1026" o:spt="32" type="#_x0000_t32" style="position:absolute;left:0pt;margin-left:260.5pt;margin-top:4.4pt;height:0pt;width:21pt;z-index:251909120;mso-width-relative:page;mso-height-relative:page;" filled="f" stroked="t" coordsize="21600,21600" o:gfxdata="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evSz41gAAAAcBAAAPAAAAAAAAAAEAIAAA&#10;ACIAAABkcnMvZG93bnJldi54bWxQSwECFAAUAAAACACHTuJAZIoGVNUBAACUAwAADgAAAAAAAAAB&#10;ACAAAAAlAQAAZHJzL2Uyb0RvYy54bWxQSwUGAAAAAAYABgBZAQAAbA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20384" behindDoc="0" locked="0" layoutInCell="1" allowOverlap="1">
                <wp:simplePos x="0" y="0"/>
                <wp:positionH relativeFrom="column">
                  <wp:posOffset>2813050</wp:posOffset>
                </wp:positionH>
                <wp:positionV relativeFrom="paragraph">
                  <wp:posOffset>501650</wp:posOffset>
                </wp:positionV>
                <wp:extent cx="495300" cy="0"/>
                <wp:effectExtent l="12700" t="53975" r="15875" b="60325"/>
                <wp:wrapNone/>
                <wp:docPr id="94"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70" o:spid="_x0000_s1026" o:spt="32" type="#_x0000_t32" style="position:absolute;left:0pt;margin-left:221.5pt;margin-top:39.5pt;height:0pt;width:39pt;z-index:251920384;mso-width-relative:page;mso-height-relative:page;" filled="f" stroked="t" coordsize="21600,21600" o:gfxdata="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Kc8JK2AAAAAkBAAAPAAAAAAAAAAEA&#10;IAAAACIAAABkcnMvZG93bnJldi54bWxQSwECFAAUAAAACACHTuJA4Hi8BdYBAACUAwAADgAAAAAA&#10;AAABACAAAAAnAQAAZHJzL2Uyb0RvYy54bWxQSwUGAAAAAAYABgBZAQAAbw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18336" behindDoc="0" locked="0" layoutInCell="1" allowOverlap="1">
                <wp:simplePos x="0" y="0"/>
                <wp:positionH relativeFrom="column">
                  <wp:posOffset>1806575</wp:posOffset>
                </wp:positionH>
                <wp:positionV relativeFrom="paragraph">
                  <wp:posOffset>501650</wp:posOffset>
                </wp:positionV>
                <wp:extent cx="495300" cy="0"/>
                <wp:effectExtent l="6350" t="53975" r="22225" b="60325"/>
                <wp:wrapNone/>
                <wp:docPr id="93"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71" o:spid="_x0000_s1026" o:spt="32" type="#_x0000_t32" style="position:absolute;left:0pt;margin-left:142.25pt;margin-top:39.5pt;height:0pt;width:39pt;z-index:251918336;mso-width-relative:page;mso-height-relative:page;" filled="f" stroked="t" coordsize="21600,21600" o:gfxdata="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KXrB9gAAAAJAQAADwAAAAAAAAABACAA&#10;AAAiAAAAZHJzL2Rvd25yZXYueG1sUEsBAhQAFAAAAAgAh07iQADWr2vUAQAAlAMAAA4AAAAAAAAA&#10;AQAgAAAAJwEAAGRycy9lMm9Eb2MueG1sUEsFBgAAAAAGAAYAWQEAAG0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16288" behindDoc="0" locked="0" layoutInCell="1" allowOverlap="1">
                <wp:simplePos x="0" y="0"/>
                <wp:positionH relativeFrom="column">
                  <wp:posOffset>622300</wp:posOffset>
                </wp:positionH>
                <wp:positionV relativeFrom="paragraph">
                  <wp:posOffset>501650</wp:posOffset>
                </wp:positionV>
                <wp:extent cx="495300" cy="0"/>
                <wp:effectExtent l="12700" t="53975" r="15875" b="60325"/>
                <wp:wrapNone/>
                <wp:docPr id="92"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72" o:spid="_x0000_s1026" o:spt="32" type="#_x0000_t32" style="position:absolute;left:0pt;margin-left:49pt;margin-top:39.5pt;height:0pt;width:39pt;z-index:251916288;mso-width-relative:page;mso-height-relative:page;" filled="f" stroked="t" coordsize="21600,21600" o:gfxdata="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RMfpTXAAAACAEAAA8AAAAAAAAAAQAg&#10;AAAAIgAAAGRycy9kb3ducmV2LnhtbFBLAQIUABQAAAAIAIdO4kCKi34F1gEAAJQDAAAOAAAAAAAA&#10;AAEAIAAAACYBAABkcnMvZTJvRG9jLnhtbFBLBQYAAAAABgAGAFkBAABuBQ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40160" behindDoc="0" locked="0" layoutInCell="1" allowOverlap="1">
                <wp:simplePos x="0" y="0"/>
                <wp:positionH relativeFrom="column">
                  <wp:posOffset>4711700</wp:posOffset>
                </wp:positionH>
                <wp:positionV relativeFrom="paragraph">
                  <wp:posOffset>243840</wp:posOffset>
                </wp:positionV>
                <wp:extent cx="349250" cy="142875"/>
                <wp:effectExtent l="0" t="0" r="0" b="3810"/>
                <wp:wrapNone/>
                <wp:docPr id="9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42875"/>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W4</w:t>
                            </w:r>
                            <w:r>
                              <w:rPr>
                                <w:rFonts w:ascii="宋体" w:hAnsi="宋体" w:hint="eastAsia"/>
                              </w:rPr>
                              <w:t>、</w:t>
                            </w:r>
                            <w:r>
                              <w:rPr>
                                <w:rFonts w:ascii="宋体" w:hAnsi="宋体" w:hint="eastAsia"/>
                              </w:rPr>
                              <w:t>N</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18" o:spid="_x0000_s1026" o:spt="202" type="#_x0000_t202" style="position:absolute;left:0pt;margin-left:371pt;margin-top:19.2pt;height:11.25pt;width:27.5pt;z-index:251740160;mso-width-relative:page;mso-height-relative:page;" fillcolor="#FFFFFF" filled="t" stroked="f" coordsize="21600,21600" o:gfxdata="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EQYD2QAAAAkBAAAPAAAAAAAAAAEAIAAAACIAAABkcnMvZG93bnJldi54&#10;bWxQSwECFAAUAAAACACHTuJAXpByxfkBAADhAwAADgAAAAAAAAABACAAAAAoAQAAZHJzL2Uyb0Rv&#10;Yy54bWxQSwUGAAAAAAYABgBZAQAAkwUAAAAA&#10;">
                <v:fill on="t" focussize="0,0"/>
                <v:stroke on="f"/>
                <v:imagedata o:title=""/>
                <o:lock v:ext="edit" aspectratio="f"/>
                <v:textbox inset="0mm,0mm,0mm,0mm">
                  <w:txbxContent>
                    <w:p>
                      <w:pPr>
                        <w:rPr>
                          <w:rFonts w:ascii="宋体" w:hAnsi="宋体"/>
                        </w:rPr>
                      </w:pPr>
                      <w:r>
                        <w:rPr>
                          <w:rFonts w:hint="eastAsia" w:ascii="宋体" w:hAnsi="宋体"/>
                        </w:rPr>
                        <w:t>W4、N</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19360" behindDoc="0" locked="0" layoutInCell="1" allowOverlap="1">
                <wp:simplePos x="0" y="0"/>
                <wp:positionH relativeFrom="column">
                  <wp:posOffset>2292350</wp:posOffset>
                </wp:positionH>
                <wp:positionV relativeFrom="paragraph">
                  <wp:posOffset>93980</wp:posOffset>
                </wp:positionV>
                <wp:extent cx="511175" cy="317500"/>
                <wp:effectExtent l="6350" t="8255" r="6350" b="7620"/>
                <wp:wrapNone/>
                <wp:docPr id="417"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317500"/>
                        </a:xfrm>
                        <a:prstGeom prst="rect">
                          <a:avLst/>
                        </a:prstGeom>
                        <a:solidFill>
                          <a:srgbClr val="FFFFFF"/>
                        </a:solidFill>
                        <a:ln w="9525">
                          <a:solidFill>
                            <a:srgbClr val="000000"/>
                          </a:solidFill>
                          <a:miter lim="800000"/>
                        </a:ln>
                      </wps:spPr>
                      <wps:txbx>
                        <w:txbxContent>
                          <w:p w:rsidR="00C861DA" w:rsidRDefault="0044752E">
                            <w:pPr>
                              <w:jc w:val="distribute"/>
                              <w:rPr>
                                <w:rFonts w:ascii="宋体" w:hAnsi="宋体"/>
                              </w:rPr>
                            </w:pPr>
                            <w:r>
                              <w:rPr>
                                <w:rFonts w:ascii="宋体" w:hAnsi="宋体" w:hint="eastAsia"/>
                              </w:rPr>
                              <w:t>压缩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73" o:spid="_x0000_s1026" o:spt="1" style="position:absolute;left:0pt;margin-left:180.5pt;margin-top:7.4pt;height:25pt;width:40.25pt;z-index:251919360;mso-width-relative:page;mso-height-relative:page;" fillcolor="#FFFFFF" filled="t" stroked="t" coordsize="21600,21600" o:gfxdata="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5liN9cAAAAJAQAADwAAAAAA&#10;AAABACAAAAAiAAAAZHJzL2Rvd25yZXYueG1sUEsBAhQAFAAAAAgAh07iQM8CKGkUAgAAMgQAAA4A&#10;AAAAAAAAAQAgAAAAJgEAAGRycy9lMm9Eb2MueG1sUEsFBgAAAAAGAAYAWQEAAKwFAAAAAA==&#10;">
                <v:fill on="t" focussize="0,0"/>
                <v:stroke color="#000000" miterlimit="8" joinstyle="miter"/>
                <v:imagedata o:title=""/>
                <o:lock v:ext="edit" aspectratio="f"/>
                <v:textbox>
                  <w:txbxContent>
                    <w:p>
                      <w:pPr>
                        <w:jc w:val="distribute"/>
                        <w:rPr>
                          <w:rFonts w:ascii="宋体" w:hAnsi="宋体"/>
                        </w:rPr>
                      </w:pPr>
                      <w:r>
                        <w:rPr>
                          <w:rFonts w:hint="eastAsia" w:ascii="宋体" w:hAnsi="宋体"/>
                        </w:rPr>
                        <w:t>压缩</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17312" behindDoc="0" locked="0" layoutInCell="1" allowOverlap="1">
                <wp:simplePos x="0" y="0"/>
                <wp:positionH relativeFrom="column">
                  <wp:posOffset>1117600</wp:posOffset>
                </wp:positionH>
                <wp:positionV relativeFrom="paragraph">
                  <wp:posOffset>84455</wp:posOffset>
                </wp:positionV>
                <wp:extent cx="688975" cy="317500"/>
                <wp:effectExtent l="12700" t="8255" r="12700" b="7620"/>
                <wp:wrapNone/>
                <wp:docPr id="41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317500"/>
                        </a:xfrm>
                        <a:prstGeom prst="rect">
                          <a:avLst/>
                        </a:prstGeom>
                        <a:solidFill>
                          <a:srgbClr val="FFFFFF"/>
                        </a:solidFill>
                        <a:ln w="9525">
                          <a:solidFill>
                            <a:srgbClr val="000000"/>
                          </a:solidFill>
                          <a:miter lim="800000"/>
                        </a:ln>
                      </wps:spPr>
                      <wps:txbx>
                        <w:txbxContent>
                          <w:p w:rsidR="00C861DA" w:rsidRDefault="0044752E">
                            <w:pPr>
                              <w:jc w:val="distribute"/>
                              <w:rPr>
                                <w:rFonts w:ascii="宋体" w:hAnsi="宋体"/>
                              </w:rPr>
                            </w:pPr>
                            <w:r>
                              <w:rPr>
                                <w:rFonts w:ascii="宋体" w:hAnsi="宋体" w:hint="eastAsia"/>
                              </w:rPr>
                              <w:t>脱氢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74" o:spid="_x0000_s1026" o:spt="1" style="position:absolute;left:0pt;margin-left:88pt;margin-top:6.65pt;height:25pt;width:54.25pt;z-index:251917312;mso-width-relative:page;mso-height-relative:page;" fillcolor="#FFFFFF" filled="t" stroked="t" coordsize="21600,21600" o:gfxdata="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67ClrXAAAACQEAAA8AAAAA&#10;AAAAAQAgAAAAIgAAAGRycy9kb3ducmV2LnhtbFBLAQIUABQAAAAIAIdO4kA3U3BLFQIAADIEAAAO&#10;AAAAAAAAAAEAIAAAACYBAABkcnMvZTJvRG9jLnhtbFBLBQYAAAAABgAGAFkBAACtBQAAAAA=&#10;">
                <v:fill on="t" focussize="0,0"/>
                <v:stroke color="#000000" miterlimit="8" joinstyle="miter"/>
                <v:imagedata o:title=""/>
                <o:lock v:ext="edit" aspectratio="f"/>
                <v:textbox>
                  <w:txbxContent>
                    <w:p>
                      <w:pPr>
                        <w:jc w:val="distribute"/>
                        <w:rPr>
                          <w:rFonts w:ascii="宋体" w:hAnsi="宋体"/>
                        </w:rPr>
                      </w:pPr>
                      <w:r>
                        <w:rPr>
                          <w:rFonts w:hint="eastAsia" w:ascii="宋体" w:hAnsi="宋体"/>
                        </w:rPr>
                        <w:t>脱氢</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15264" behindDoc="0" locked="0" layoutInCell="1" allowOverlap="1">
                <wp:simplePos x="0" y="0"/>
                <wp:positionH relativeFrom="column">
                  <wp:posOffset>34925</wp:posOffset>
                </wp:positionH>
                <wp:positionV relativeFrom="paragraph">
                  <wp:posOffset>145415</wp:posOffset>
                </wp:positionV>
                <wp:extent cx="660400" cy="171450"/>
                <wp:effectExtent l="0" t="2540" r="0" b="0"/>
                <wp:wrapNone/>
                <wp:docPr id="41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二氧化碳</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75" o:spid="_x0000_s1026" o:spt="202" type="#_x0000_t202" style="position:absolute;left:0pt;margin-left:2.75pt;margin-top:11.45pt;height:13.5pt;width:52pt;z-index:251915264;mso-width-relative:page;mso-height-relative:page;" fillcolor="#FFFFFF" filled="t" stroked="f" coordsize="21600,21600" o:gfxdata="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2SEzNUAAAAHAQAADwAAAAAAAAABACAAAAAiAAAAZHJzL2Rvd25yZXYueG1sUEsB&#10;AhQAFAAAAAgAh07iQHneX+X4AQAA4gMAAA4AAAAAAAAAAQAgAAAAJAEAAGRycy9lMm9Eb2MueG1s&#10;UEsFBgAAAAAGAAYAWQEAAI4FAAAAAA==&#10;">
                <v:fill on="t" focussize="0,0"/>
                <v:stroke on="f"/>
                <v:imagedata o:title=""/>
                <o:lock v:ext="edit" aspectratio="f"/>
                <v:textbox inset="0mm,0mm,0mm,0mm">
                  <w:txbxContent>
                    <w:p>
                      <w:pPr>
                        <w:rPr>
                          <w:rFonts w:ascii="宋体" w:hAnsi="宋体"/>
                        </w:rPr>
                      </w:pPr>
                      <w:r>
                        <w:rPr>
                          <w:rFonts w:hint="eastAsia" w:ascii="宋体" w:hAnsi="宋体"/>
                        </w:rPr>
                        <w:t>二氧化碳</w:t>
                      </w:r>
                    </w:p>
                  </w:txbxContent>
                </v:textbox>
              </v:shape>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70560" behindDoc="0" locked="0" layoutInCell="1" allowOverlap="1">
                <wp:simplePos x="0" y="0"/>
                <wp:positionH relativeFrom="column">
                  <wp:posOffset>2546350</wp:posOffset>
                </wp:positionH>
                <wp:positionV relativeFrom="paragraph">
                  <wp:posOffset>149225</wp:posOffset>
                </wp:positionV>
                <wp:extent cx="635" cy="285750"/>
                <wp:effectExtent l="60325" t="6350" r="53340" b="22225"/>
                <wp:wrapNone/>
                <wp:docPr id="420"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215" o:spid="_x0000_s1026" o:spt="32" type="#_x0000_t32" style="position:absolute;left:0pt;margin-left:200.5pt;margin-top:11.75pt;height:22.5pt;width:0.05pt;z-index:251970560;mso-width-relative:page;mso-height-relative:page;" filled="f" stroked="t" coordsize="21600,21600" o:gfxdata="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chgdYAAAAJ&#10;AQAADwAAAAAAAAABACAAAAAiAAAAZHJzL2Rvd25yZXYueG1sUEsBAhQAFAAAAAgAh07iQCwdQAXl&#10;AQAArwMAAA4AAAAAAAAAAQAgAAAAJQEAAGRycy9lMm9Eb2MueG1sUEsFBgAAAAAGAAYAWQEAAHwF&#10;A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27552" behindDoc="0" locked="0" layoutInCell="1" allowOverlap="1">
                <wp:simplePos x="0" y="0"/>
                <wp:positionH relativeFrom="column">
                  <wp:posOffset>1498600</wp:posOffset>
                </wp:positionH>
                <wp:positionV relativeFrom="paragraph">
                  <wp:posOffset>139700</wp:posOffset>
                </wp:positionV>
                <wp:extent cx="635" cy="266700"/>
                <wp:effectExtent l="60325" t="6350" r="53340" b="22225"/>
                <wp:wrapNone/>
                <wp:docPr id="421"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158" o:spid="_x0000_s1026" o:spt="32" type="#_x0000_t32" style="position:absolute;left:0pt;margin-left:118pt;margin-top:11pt;height:21pt;width:0.05pt;z-index:251927552;mso-width-relative:page;mso-height-relative:page;" filled="f" stroked="t" coordsize="21600,21600" o:gfxdata="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XaM5nTAAAACQEA&#10;AA8AAAAAAAAAAQAgAAAAIgAAAGRycy9kb3ducmV2LnhtbFBLAQIUABQAAAAIAIdO4kCpVN+o5gEA&#10;AK8DAAAOAAAAAAAAAAEAIAAAACIBAABkcnMvZTJvRG9jLnhtbFBLBQYAAAAABgAGAFkBAAB6BQAA&#10;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50080" behindDoc="0" locked="0" layoutInCell="1" allowOverlap="1">
                <wp:simplePos x="0" y="0"/>
                <wp:positionH relativeFrom="column">
                  <wp:posOffset>3825875</wp:posOffset>
                </wp:positionH>
                <wp:positionV relativeFrom="paragraph">
                  <wp:posOffset>104775</wp:posOffset>
                </wp:positionV>
                <wp:extent cx="796925" cy="219075"/>
                <wp:effectExtent l="0" t="0" r="0" b="0"/>
                <wp:wrapNone/>
                <wp:docPr id="42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19075"/>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尿素合成液</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97" o:spid="_x0000_s1026" o:spt="202" type="#_x0000_t202" style="position:absolute;left:0pt;margin-left:301.25pt;margin-top:8.25pt;height:17.25pt;width:62.75pt;z-index:251950080;mso-width-relative:page;mso-height-relative:page;" fillcolor="#FFFFFF" filled="t" stroked="f" coordsize="21600,21600" o:gfxdata="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jAnDPXAAAACQEAAA8AAAAAAAAAAQAgAAAAIgAAAGRycy9kb3ducmV2Lnht&#10;bFBLAQIUABQAAAAIAIdO4kCmQaRI+gEAAOIDAAAOAAAAAAAAAAEAIAAAACYBAABkcnMvZTJvRG9j&#10;LnhtbFBLBQYAAAAABgAGAFkBAACSBQAAAAA=&#10;">
                <v:fill on="t" focussize="0,0"/>
                <v:stroke on="f"/>
                <v:imagedata o:title=""/>
                <o:lock v:ext="edit" aspectratio="f"/>
                <v:textbox inset="0mm,0mm,0mm,0mm">
                  <w:txbxContent>
                    <w:p>
                      <w:pPr>
                        <w:rPr>
                          <w:rFonts w:ascii="宋体" w:hAnsi="宋体"/>
                        </w:rPr>
                      </w:pPr>
                      <w:r>
                        <w:rPr>
                          <w:rFonts w:hint="eastAsia" w:ascii="宋体" w:hAnsi="宋体"/>
                        </w:rPr>
                        <w:t>尿素合成液</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24480" behindDoc="0" locked="0" layoutInCell="1" allowOverlap="1">
                <wp:simplePos x="0" y="0"/>
                <wp:positionH relativeFrom="column">
                  <wp:posOffset>3766185</wp:posOffset>
                </wp:positionH>
                <wp:positionV relativeFrom="paragraph">
                  <wp:posOffset>63500</wp:posOffset>
                </wp:positionV>
                <wp:extent cx="8890" cy="303530"/>
                <wp:effectExtent l="60960" t="6350" r="44450" b="23495"/>
                <wp:wrapNone/>
                <wp:docPr id="423"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0353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76" o:spid="_x0000_s1026" o:spt="32" type="#_x0000_t32" style="position:absolute;left:0pt;flip:x;margin-left:296.55pt;margin-top:5pt;height:23.9pt;width:0.7pt;z-index:251924480;mso-width-relative:page;mso-height-relative:page;" filled="f" stroked="t" coordsize="21600,21600" o:gfxdata="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hIBxNkAAAAJ&#10;AQAADwAAAAAAAAABACAAAAAiAAAAZHJzL2Rvd25yZXYueG1sUEsBAhQAFAAAAAgAh07iQPzzH+Hi&#10;AQAAogMAAA4AAAAAAAAAAQAgAAAAKAEAAGRycy9lMm9Eb2MueG1sUEsFBgAAAAAGAAYAWQEAAHwF&#10;A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49056" behindDoc="0" locked="0" layoutInCell="1" allowOverlap="1">
                <wp:simplePos x="0" y="0"/>
                <wp:positionH relativeFrom="column">
                  <wp:posOffset>524510</wp:posOffset>
                </wp:positionH>
                <wp:positionV relativeFrom="paragraph">
                  <wp:posOffset>86360</wp:posOffset>
                </wp:positionV>
                <wp:extent cx="603250" cy="161925"/>
                <wp:effectExtent l="635" t="635" r="0" b="0"/>
                <wp:wrapNone/>
                <wp:docPr id="42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61925"/>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6#</w:t>
                            </w:r>
                            <w:r>
                              <w:rPr>
                                <w:rFonts w:ascii="宋体" w:hAnsi="宋体" w:hint="eastAsia"/>
                              </w:rPr>
                              <w:t>排气筒</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96" o:spid="_x0000_s1026" o:spt="202" type="#_x0000_t202" style="position:absolute;left:0pt;margin-left:41.3pt;margin-top:6.8pt;height:12.75pt;width:47.5pt;z-index:251949056;mso-width-relative:page;mso-height-relative:page;" fillcolor="#FFFFFF" filled="t" stroked="f" coordsize="21600,21600" o:gfxdata="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ILC+dcAAAAIAQAADwAAAAAAAAABACAAAAAiAAAAZHJzL2Rvd25yZXYueG1s&#10;UEsBAhQAFAAAAAgAh07iQLcy6Sv5AQAA4gMAAA4AAAAAAAAAAQAgAAAAJgEAAGRycy9lMm9Eb2Mu&#10;eG1sUEsFBgAAAAAGAAYAWQEAAJEFAAAAAA==&#10;">
                <v:fill on="t" focussize="0,0"/>
                <v:stroke on="f"/>
                <v:imagedata o:title=""/>
                <o:lock v:ext="edit" aspectratio="f"/>
                <v:textbox inset="0mm,0mm,0mm,0mm">
                  <w:txbxContent>
                    <w:p>
                      <w:pPr>
                        <w:rPr>
                          <w:rFonts w:ascii="宋体" w:hAnsi="宋体"/>
                        </w:rPr>
                      </w:pPr>
                      <w:r>
                        <w:rPr>
                          <w:rFonts w:hint="eastAsia" w:ascii="宋体" w:hAnsi="宋体"/>
                        </w:rPr>
                        <w:t>6#排气筒</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35040" behindDoc="1" locked="0" layoutInCell="1" allowOverlap="1">
                <wp:simplePos x="0" y="0"/>
                <wp:positionH relativeFrom="column">
                  <wp:posOffset>2502535</wp:posOffset>
                </wp:positionH>
                <wp:positionV relativeFrom="paragraph">
                  <wp:posOffset>171450</wp:posOffset>
                </wp:positionV>
                <wp:extent cx="231140" cy="180975"/>
                <wp:effectExtent l="0" t="0" r="0" b="0"/>
                <wp:wrapNone/>
                <wp:docPr id="42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0975"/>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N</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16" o:spid="_x0000_s1026" o:spt="202" type="#_x0000_t202" style="position:absolute;left:0pt;margin-left:197.05pt;margin-top:13.5pt;height:14.25pt;width:18.2pt;z-index:-251581440;mso-width-relative:page;mso-height-relative:page;" fillcolor="#FFFFFF" filled="t" stroked="f" coordsize="21600,21600" o:gfxdata="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aLrrx2QAAAAkBAAAPAAAAAAAAAAEAIAAAACIAAABkcnMvZG93bnJldi54&#10;bWxQSwECFAAUAAAACACHTuJASBThh/kBAADiAwAADgAAAAAAAAABACAAAAAoAQAAZHJzL2Uyb0Rv&#10;Yy54bWxQSwUGAAAAAAYABgBZAQAAkwUAAAAA&#10;">
                <v:fill on="t" focussize="0,0"/>
                <v:stroke on="f"/>
                <v:imagedata o:title=""/>
                <o:lock v:ext="edit" aspectratio="f"/>
                <v:textbox inset="0mm,0mm,0mm,0mm">
                  <w:txbxContent>
                    <w:p>
                      <w:pPr>
                        <w:rPr>
                          <w:rFonts w:ascii="宋体" w:hAnsi="宋体"/>
                        </w:rPr>
                      </w:pPr>
                      <w:r>
                        <w:rPr>
                          <w:rFonts w:hint="eastAsia" w:ascii="宋体" w:hAnsi="宋体"/>
                        </w:rPr>
                        <w:t>N</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39136" behindDoc="0" locked="0" layoutInCell="1" allowOverlap="1">
                <wp:simplePos x="0" y="0"/>
                <wp:positionH relativeFrom="column">
                  <wp:posOffset>1388110</wp:posOffset>
                </wp:positionH>
                <wp:positionV relativeFrom="paragraph">
                  <wp:posOffset>152400</wp:posOffset>
                </wp:positionV>
                <wp:extent cx="221615" cy="152400"/>
                <wp:effectExtent l="0" t="0" r="0" b="0"/>
                <wp:wrapNone/>
                <wp:docPr id="42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5240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S5</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17" o:spid="_x0000_s1026" o:spt="202" type="#_x0000_t202" style="position:absolute;left:0pt;margin-left:109.3pt;margin-top:12pt;height:12pt;width:17.45pt;z-index:251739136;mso-width-relative:page;mso-height-relative:page;" fillcolor="#FFFFFF" filled="t" stroked="f" coordsize="21600,21600" o:gfxdata="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MBa7YAAAACQEAAA8AAAAAAAAAAQAgAAAAIgAAAGRycy9kb3ducmV2Lnht&#10;bFBLAQIUABQAAAAIAIdO4kAGvO7o+QEAAOIDAAAOAAAAAAAAAAEAIAAAACcBAABkcnMvZTJvRG9j&#10;LnhtbFBLBQYAAAAABgAGAFkBAACSBQAAAAA=&#10;">
                <v:fill on="t" focussize="0,0"/>
                <v:stroke on="f"/>
                <v:imagedata o:title=""/>
                <o:lock v:ext="edit" aspectratio="f"/>
                <v:textbox inset="0mm,0mm,0mm,0mm">
                  <w:txbxContent>
                    <w:p>
                      <w:pPr>
                        <w:rPr>
                          <w:rFonts w:ascii="宋体" w:hAnsi="宋体"/>
                        </w:rPr>
                      </w:pPr>
                      <w:r>
                        <w:rPr>
                          <w:rFonts w:hint="eastAsia" w:ascii="宋体" w:hAnsi="宋体"/>
                        </w:rPr>
                        <w:t>S5</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40864" behindDoc="0" locked="0" layoutInCell="1" allowOverlap="1">
                <wp:simplePos x="0" y="0"/>
                <wp:positionH relativeFrom="column">
                  <wp:posOffset>2965450</wp:posOffset>
                </wp:positionH>
                <wp:positionV relativeFrom="paragraph">
                  <wp:posOffset>236220</wp:posOffset>
                </wp:positionV>
                <wp:extent cx="635" cy="630555"/>
                <wp:effectExtent l="12700" t="7620" r="5715" b="9525"/>
                <wp:wrapNone/>
                <wp:docPr id="427"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0555"/>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AutoShape 190" o:spid="_x0000_s1026" o:spt="32" type="#_x0000_t32" style="position:absolute;left:0pt;margin-left:233.5pt;margin-top:18.6pt;height:49.65pt;width:0.05pt;z-index:251940864;mso-width-relative:page;mso-height-relative:page;" filled="f" stroked="t" coordsize="21600,21600" o:gfxdata="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VSGfLYAAAACgEAAA8AAAAAAAAAAQAgAAAAIgAAAGRycy9kb3ducmV2Lnht&#10;bFBLAQIUABQAAAAIAIdO4kCN2kvYwAEAAGkDAAAOAAAAAAAAAAEAIAAAACcBAABkcnMvZTJvRG9j&#10;LnhtbFBLBQYAAAAABgAGAFkBAABZBQAAAAA=&#10;">
                <v:fill on="f" focussize="0,0"/>
                <v:stroke color="#000000" joinstyle="round"/>
                <v:imagedata o:title=""/>
                <o:lock v:ext="edit" aspectratio="f"/>
              </v:shape>
            </w:pict>
          </mc:Fallback>
        </mc:AlternateContent>
      </w:r>
      <w:r>
        <w:rPr>
          <w:rFonts w:ascii="Tahoma" w:eastAsia="微软雅黑" w:hAnsi="Tahoma" w:cs="Times New Roman"/>
          <w:noProof/>
          <w:color w:val="000000" w:themeColor="text1"/>
          <w:kern w:val="0"/>
          <w:sz w:val="24"/>
          <w:szCs w:val="22"/>
        </w:rPr>
        <mc:AlternateContent>
          <mc:Choice Requires="wps">
            <w:drawing>
              <wp:anchor distT="0" distB="0" distL="114300" distR="114300" simplePos="0" relativeHeight="251730944" behindDoc="1" locked="0" layoutInCell="1" allowOverlap="1">
                <wp:simplePos x="0" y="0"/>
                <wp:positionH relativeFrom="column">
                  <wp:posOffset>1146810</wp:posOffset>
                </wp:positionH>
                <wp:positionV relativeFrom="paragraph">
                  <wp:posOffset>177800</wp:posOffset>
                </wp:positionV>
                <wp:extent cx="142875" cy="457200"/>
                <wp:effectExtent l="13335" t="6350" r="15240" b="12700"/>
                <wp:wrapNone/>
                <wp:docPr id="428"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2875" cy="457200"/>
                        </a:xfrm>
                        <a:prstGeom prst="flowChartManualOperation">
                          <a:avLst/>
                        </a:prstGeom>
                        <a:noFill/>
                        <a:ln w="9525">
                          <a:solidFill>
                            <a:srgbClr val="000000"/>
                          </a:solidFill>
                          <a:miter lim="800000"/>
                          <a:tailEnd type="triangle" w="med" len="me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AutoShape 206" o:spid="_x0000_s1026" o:spt="119" type="#_x0000_t119" style="position:absolute;left:0pt;flip:y;margin-left:90.3pt;margin-top:14pt;height:36pt;width:11.25pt;z-index:-251585536;mso-width-relative:page;mso-height-relative:page;" filled="f" stroked="t" coordsize="21600,21600" o:gfxdata="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pAAw1gAAAAoBAAAPAAAAAAAAAAEAIAAAACIAAABkcnMvZG93bnJldi54bWxQ&#10;SwECFAAUAAAACACHTuJAICFDQTICAABKBAAADgAAAAAAAAABACAAAAAlAQAAZHJzL2Uyb0RvYy54&#10;bWxQSwUGAAAAAAYABgBZAQAAyQUAAAAA&#10;">
                <v:fill on="f" focussize="0,0"/>
                <v:stroke color="#000000" miterlimit="8" joinstyle="miter"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42912" behindDoc="0" locked="0" layoutInCell="1" allowOverlap="1">
                <wp:simplePos x="0" y="0"/>
                <wp:positionH relativeFrom="column">
                  <wp:posOffset>3111500</wp:posOffset>
                </wp:positionH>
                <wp:positionV relativeFrom="paragraph">
                  <wp:posOffset>51435</wp:posOffset>
                </wp:positionV>
                <wp:extent cx="244475" cy="161925"/>
                <wp:effectExtent l="0" t="3810" r="0" b="0"/>
                <wp:wrapNone/>
                <wp:docPr id="42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61925"/>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G7</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92" o:spid="_x0000_s1026" o:spt="202" type="#_x0000_t202" style="position:absolute;left:0pt;margin-left:245pt;margin-top:4.05pt;height:12.75pt;width:19.25pt;z-index:251942912;mso-width-relative:page;mso-height-relative:page;" fillcolor="#FFFFFF" filled="t" stroked="f" coordsize="21600,21600" o:gfxdata="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84FuPYAAAACAEAAA8AAAAAAAAAAQAgAAAAIgAAAGRycy9kb3ducmV2Lnht&#10;bFBLAQIUABQAAAAIAIdO4kAxXfPH+QEAAOIDAAAOAAAAAAAAAAEAIAAAACcBAABkcnMvZTJvRG9j&#10;LnhtbFBLBQYAAAAABgAGAFkBAACSBQAAAAA=&#10;">
                <v:fill on="t" focussize="0,0"/>
                <v:stroke on="f"/>
                <v:imagedata o:title=""/>
                <o:lock v:ext="edit" aspectratio="f"/>
                <v:textbox inset="0mm,0mm,0mm,0mm">
                  <w:txbxContent>
                    <w:p>
                      <w:pPr>
                        <w:rPr>
                          <w:rFonts w:ascii="宋体" w:hAnsi="宋体"/>
                        </w:rPr>
                      </w:pPr>
                      <w:r>
                        <w:rPr>
                          <w:rFonts w:hint="eastAsia" w:ascii="宋体" w:hAnsi="宋体"/>
                        </w:rPr>
                        <w:t>G7</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39840" behindDoc="0" locked="0" layoutInCell="1" allowOverlap="1">
                <wp:simplePos x="0" y="0"/>
                <wp:positionH relativeFrom="column">
                  <wp:posOffset>2985135</wp:posOffset>
                </wp:positionH>
                <wp:positionV relativeFrom="paragraph">
                  <wp:posOffset>243840</wp:posOffset>
                </wp:positionV>
                <wp:extent cx="390525" cy="1270"/>
                <wp:effectExtent l="22860" t="53340" r="5715" b="59690"/>
                <wp:wrapNone/>
                <wp:docPr id="430"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127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189" o:spid="_x0000_s1026" o:spt="32" type="#_x0000_t32" style="position:absolute;left:0pt;flip:x;margin-left:235.05pt;margin-top:19.2pt;height:0.1pt;width:30.75pt;z-index:251939840;mso-width-relative:page;mso-height-relative:page;" filled="f" stroked="t" coordsize="21600,21600" o:gfxdata="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rYzrdUA&#10;AAAJAQAADwAAAAAAAAABACAAAAAiAAAAZHJzL2Rvd25yZXYueG1sUEsBAhQAFAAAAAgAh07iQAYI&#10;knDpAQAAugMAAA4AAAAAAAAAAQAgAAAAJAEAAGRycy9lMm9Eb2MueG1sUEsFBgAAAAAGAAYAWQEA&#10;AH8FA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28576" behindDoc="0" locked="0" layoutInCell="1" allowOverlap="1">
                <wp:simplePos x="0" y="0"/>
                <wp:positionH relativeFrom="column">
                  <wp:posOffset>3375025</wp:posOffset>
                </wp:positionH>
                <wp:positionV relativeFrom="paragraph">
                  <wp:posOffset>92075</wp:posOffset>
                </wp:positionV>
                <wp:extent cx="794385" cy="317500"/>
                <wp:effectExtent l="12700" t="6350" r="12065" b="9525"/>
                <wp:wrapNone/>
                <wp:docPr id="43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317500"/>
                        </a:xfrm>
                        <a:prstGeom prst="rect">
                          <a:avLst/>
                        </a:prstGeom>
                        <a:solidFill>
                          <a:srgbClr val="FFFFFF"/>
                        </a:solidFill>
                        <a:ln w="9525">
                          <a:solidFill>
                            <a:srgbClr val="000000"/>
                          </a:solidFill>
                          <a:miter lim="800000"/>
                        </a:ln>
                      </wps:spPr>
                      <wps:txbx>
                        <w:txbxContent>
                          <w:p w:rsidR="00C861DA" w:rsidRDefault="0044752E">
                            <w:pPr>
                              <w:jc w:val="distribute"/>
                              <w:rPr>
                                <w:rFonts w:ascii="宋体" w:hAnsi="宋体"/>
                              </w:rPr>
                            </w:pPr>
                            <w:r>
                              <w:rPr>
                                <w:rFonts w:ascii="宋体" w:hAnsi="宋体" w:hint="eastAsia"/>
                              </w:rPr>
                              <w:t>中压分解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77" o:spid="_x0000_s1026" o:spt="1" style="position:absolute;left:0pt;margin-left:265.75pt;margin-top:7.25pt;height:25pt;width:62.55pt;z-index:251928576;mso-width-relative:page;mso-height-relative:page;" fillcolor="#FFFFFF" filled="t" stroked="t" coordsize="21600,21600" o:gfxdata="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fi4wTWAAAACQEAAA8AAAAA&#10;AAAAAQAgAAAAIgAAAGRycy9kb3ducmV2LnhtbFBLAQIUABQAAAAIAIdO4kBQsLW5FgIAADIEAAAO&#10;AAAAAAAAAAEAIAAAACUBAABkcnMvZTJvRG9jLnhtbFBLBQYAAAAABgAGAFkBAACtBQAAAAA=&#10;">
                <v:fill on="t" focussize="0,0"/>
                <v:stroke color="#000000" miterlimit="8" joinstyle="miter"/>
                <v:imagedata o:title=""/>
                <o:lock v:ext="edit" aspectratio="f"/>
                <v:textbox>
                  <w:txbxContent>
                    <w:p>
                      <w:pPr>
                        <w:jc w:val="distribute"/>
                        <w:rPr>
                          <w:rFonts w:ascii="宋体" w:hAnsi="宋体"/>
                        </w:rPr>
                      </w:pPr>
                      <w:r>
                        <w:rPr>
                          <w:rFonts w:hint="eastAsia" w:ascii="宋体" w:hAnsi="宋体"/>
                        </w:rPr>
                        <w:t>中压分解</w:t>
                      </w:r>
                    </w:p>
                  </w:txbxContent>
                </v:textbox>
              </v:rect>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30624" behindDoc="0" locked="0" layoutInCell="1" allowOverlap="1">
                <wp:simplePos x="0" y="0"/>
                <wp:positionH relativeFrom="column">
                  <wp:posOffset>3766185</wp:posOffset>
                </wp:positionH>
                <wp:positionV relativeFrom="paragraph">
                  <wp:posOffset>147320</wp:posOffset>
                </wp:positionV>
                <wp:extent cx="8890" cy="303530"/>
                <wp:effectExtent l="60960" t="13970" r="44450" b="15875"/>
                <wp:wrapNone/>
                <wp:docPr id="432"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0353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78" o:spid="_x0000_s1026" o:spt="32" type="#_x0000_t32" style="position:absolute;left:0pt;flip:x;margin-left:296.55pt;margin-top:11.6pt;height:23.9pt;width:0.7pt;z-index:251930624;mso-width-relative:page;mso-height-relative:page;" filled="f" stroked="t" coordsize="21600,21600" o:gfxdata="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A15L2QAAAAkB&#10;AAAPAAAAAAAAAAEAIAAAACIAAABkcnMvZG93bnJldi54bWxQSwECFAAUAAAACACHTuJAL++LcOEB&#10;AACiAwAADgAAAAAAAAABACAAAAAoAQAAZHJzL2Uyb0RvYy54bWxQSwUGAAAAAAYABgBZAQAAewUA&#10;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68512" behindDoc="0" locked="0" layoutInCell="1" allowOverlap="1">
                <wp:simplePos x="0" y="0"/>
                <wp:positionH relativeFrom="column">
                  <wp:posOffset>3835400</wp:posOffset>
                </wp:positionH>
                <wp:positionV relativeFrom="paragraph">
                  <wp:posOffset>179070</wp:posOffset>
                </wp:positionV>
                <wp:extent cx="406400" cy="219075"/>
                <wp:effectExtent l="0" t="0" r="0" b="1905"/>
                <wp:wrapNone/>
                <wp:docPr id="43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19075"/>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尿液</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12" o:spid="_x0000_s1026" o:spt="202" type="#_x0000_t202" style="position:absolute;left:0pt;margin-left:302pt;margin-top:14.1pt;height:17.25pt;width:32pt;z-index:251968512;mso-width-relative:page;mso-height-relative:page;" fillcolor="#FFFFFF" filled="t" stroked="f" coordsize="21600,21600" o:gfxdata="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0TlC1wAAAAkBAAAPAAAAAAAAAAEAIAAAACIAAABkcnMvZG93bnJldi54bWxQ&#10;SwECFAAUAAAACACHTuJAV78gyfgBAADiAwAADgAAAAAAAAABACAAAAAmAQAAZHJzL2Uyb0RvYy54&#10;bWxQSwUGAAAAAAYABgBZAQAAkAUAAAAA&#10;">
                <v:fill on="t" focussize="0,0"/>
                <v:stroke on="f"/>
                <v:imagedata o:title=""/>
                <o:lock v:ext="edit" aspectratio="f"/>
                <v:textbox inset="0mm,0mm,0mm,0mm">
                  <w:txbxContent>
                    <w:p>
                      <w:pPr>
                        <w:rPr>
                          <w:rFonts w:ascii="宋体" w:hAnsi="宋体"/>
                        </w:rPr>
                      </w:pPr>
                      <w:r>
                        <w:rPr>
                          <w:rFonts w:hint="eastAsia" w:ascii="宋体" w:hAnsi="宋体"/>
                        </w:rPr>
                        <w:t>尿液</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44960" behindDoc="0" locked="0" layoutInCell="1" allowOverlap="1">
                <wp:simplePos x="0" y="0"/>
                <wp:positionH relativeFrom="column">
                  <wp:posOffset>1714500</wp:posOffset>
                </wp:positionH>
                <wp:positionV relativeFrom="paragraph">
                  <wp:posOffset>137795</wp:posOffset>
                </wp:positionV>
                <wp:extent cx="803275" cy="317500"/>
                <wp:effectExtent l="9525" t="13970" r="6350" b="11430"/>
                <wp:wrapNone/>
                <wp:docPr id="43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尾气洗涤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94" o:spid="_x0000_s1026" o:spt="1" style="position:absolute;left:0pt;margin-left:135pt;margin-top:10.85pt;height:25pt;width:63.25pt;z-index:251944960;mso-width-relative:page;mso-height-relative:page;" fillcolor="#FFFFFF" filled="t" stroked="t" coordsize="21600,21600" o:gfxdata="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E07R1wAAAAkBAAAPAAAA&#10;AAAAAAEAIAAAACIAAABkcnMvZG93bnJldi54bWxQSwECFAAUAAAACACHTuJA09pDyRYCAAAyBAAA&#10;DgAAAAAAAAABACAAAAAmAQAAZHJzL2Uyb0RvYy54bWxQSwUGAAAAAAYABgBZAQAArgUAAAAA&#10;">
                <v:fill on="t" focussize="0,0"/>
                <v:stroke color="#000000" miterlimit="8" joinstyle="miter"/>
                <v:imagedata o:title=""/>
                <o:lock v:ext="edit" aspectratio="f"/>
                <v:textbox>
                  <w:txbxContent>
                    <w:p>
                      <w:pPr>
                        <w:rPr>
                          <w:rFonts w:ascii="宋体" w:hAnsi="宋体"/>
                        </w:rPr>
                      </w:pPr>
                      <w:r>
                        <w:rPr>
                          <w:rFonts w:hint="eastAsia" w:ascii="宋体" w:hAnsi="宋体"/>
                        </w:rPr>
                        <w:t>尾气洗涤</w:t>
                      </w:r>
                    </w:p>
                  </w:txbxContent>
                </v:textbox>
              </v:rect>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58272" behindDoc="0" locked="0" layoutInCell="1" allowOverlap="1">
                <wp:simplePos x="0" y="0"/>
                <wp:positionH relativeFrom="column">
                  <wp:posOffset>2137410</wp:posOffset>
                </wp:positionH>
                <wp:positionV relativeFrom="paragraph">
                  <wp:posOffset>198755</wp:posOffset>
                </wp:positionV>
                <wp:extent cx="0" cy="232410"/>
                <wp:effectExtent l="60960" t="8255" r="53340" b="16510"/>
                <wp:wrapNone/>
                <wp:docPr id="72"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213" o:spid="_x0000_s1026" o:spt="32" type="#_x0000_t32" style="position:absolute;left:0pt;margin-left:168.3pt;margin-top:15.65pt;height:18.3pt;width:0pt;z-index:251958272;mso-width-relative:page;mso-height-relative:page;" filled="f" stroked="t" coordsize="21600,21600" o:gfxdata="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YzsINQAAAAJAQAADwAA&#10;AAAAAAABACAAAAAiAAAAZHJzL2Rvd25yZXYueG1sUEsBAhQAFAAAAAgAh07iQFBRkaPhAQAArAMA&#10;AA4AAAAAAAAAAQAgAAAAIwEAAGRycy9lMm9Eb2MueG1sUEsFBgAAAAAGAAYAWQEAAHYFA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48032" behindDoc="0" locked="0" layoutInCell="1" allowOverlap="1">
                <wp:simplePos x="0" y="0"/>
                <wp:positionH relativeFrom="column">
                  <wp:posOffset>1279525</wp:posOffset>
                </wp:positionH>
                <wp:positionV relativeFrom="paragraph">
                  <wp:posOffset>17145</wp:posOffset>
                </wp:positionV>
                <wp:extent cx="457835" cy="6985"/>
                <wp:effectExtent l="22225" t="45720" r="5715" b="61595"/>
                <wp:wrapNone/>
                <wp:docPr id="71"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835" cy="698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95" o:spid="_x0000_s1026" o:spt="32" type="#_x0000_t32" style="position:absolute;left:0pt;flip:x;margin-left:100.75pt;margin-top:1.35pt;height:0.55pt;width:36.05pt;z-index:251948032;mso-width-relative:page;mso-height-relative:page;" filled="f" stroked="t" coordsize="21600,21600" o:gfxdata="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3KMqNcAAAAHAQAA&#10;DwAAAAAAAAABACAAAAAiAAAAZHJzL2Rvd25yZXYueG1sUEsBAhQAFAAAAAgAh07iQD9EBcLhAQAA&#10;oQMAAA4AAAAAAAAAAQAgAAAAJgEAAGRycy9lMm9Eb2MueG1sUEsFBgAAAAAGAAYAWQEAAHkFAAAA&#10;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41888" behindDoc="0" locked="0" layoutInCell="1" allowOverlap="1">
                <wp:simplePos x="0" y="0"/>
                <wp:positionH relativeFrom="column">
                  <wp:posOffset>2517775</wp:posOffset>
                </wp:positionH>
                <wp:positionV relativeFrom="paragraph">
                  <wp:posOffset>26670</wp:posOffset>
                </wp:positionV>
                <wp:extent cx="457835" cy="6985"/>
                <wp:effectExtent l="22225" t="45720" r="5715" b="61595"/>
                <wp:wrapNone/>
                <wp:docPr id="70"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835" cy="698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91" o:spid="_x0000_s1026" o:spt="32" type="#_x0000_t32" style="position:absolute;left:0pt;flip:x;margin-left:198.25pt;margin-top:2.1pt;height:0.55pt;width:36.05pt;z-index:251941888;mso-width-relative:page;mso-height-relative:page;" filled="f" stroked="t" coordsize="21600,21600" o:gfxdata="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IC2uTXAAAABwEAAA8A&#10;AAAAAAAAAQAgAAAAIgAAAGRycy9kb3ducmV2LnhtbFBLAQIUABQAAAAIAIdO4kDIgdoO3wEAAKED&#10;AAAOAAAAAAAAAAEAIAAAACYBAABkcnMvZTJvRG9jLnhtbFBLBQYAAAAABgAGAFkBAAB3BQ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43936" behindDoc="0" locked="0" layoutInCell="1" allowOverlap="1">
                <wp:simplePos x="0" y="0"/>
                <wp:positionH relativeFrom="column">
                  <wp:posOffset>3092450</wp:posOffset>
                </wp:positionH>
                <wp:positionV relativeFrom="paragraph">
                  <wp:posOffset>135255</wp:posOffset>
                </wp:positionV>
                <wp:extent cx="244475" cy="161925"/>
                <wp:effectExtent l="0" t="1905" r="0" b="0"/>
                <wp:wrapNone/>
                <wp:docPr id="6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61925"/>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G8</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93" o:spid="_x0000_s1026" o:spt="202" type="#_x0000_t202" style="position:absolute;left:0pt;margin-left:243.5pt;margin-top:10.65pt;height:12.75pt;width:19.25pt;z-index:251943936;mso-width-relative:page;mso-height-relative:page;" fillcolor="#FFFFFF" filled="t" stroked="f" coordsize="21600,21600" o:gfxdata="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St8dHYAAAACQEAAA8AAAAAAAAAAQAgAAAAIgAAAGRycy9kb3ducmV2Lnht&#10;bFBLAQIUABQAAAAIAIdO4kBVaknc+QEAAOEDAAAOAAAAAAAAAAEAIAAAACcBAABkcnMvZTJvRG9j&#10;LnhtbFBLBQYAAAAABgAGAFkBAACSBQAAAAA=&#10;">
                <v:fill on="t" focussize="0,0"/>
                <v:stroke on="f"/>
                <v:imagedata o:title=""/>
                <o:lock v:ext="edit" aspectratio="f"/>
                <v:textbox inset="0mm,0mm,0mm,0mm">
                  <w:txbxContent>
                    <w:p>
                      <w:pPr>
                        <w:rPr>
                          <w:rFonts w:ascii="宋体" w:hAnsi="宋体"/>
                        </w:rPr>
                      </w:pPr>
                      <w:r>
                        <w:rPr>
                          <w:rFonts w:hint="eastAsia" w:ascii="宋体" w:hAnsi="宋体"/>
                        </w:rPr>
                        <w:t>G8</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29600" behindDoc="0" locked="0" layoutInCell="1" allowOverlap="1">
                <wp:simplePos x="0" y="0"/>
                <wp:positionH relativeFrom="column">
                  <wp:posOffset>3385185</wp:posOffset>
                </wp:positionH>
                <wp:positionV relativeFrom="paragraph">
                  <wp:posOffset>175895</wp:posOffset>
                </wp:positionV>
                <wp:extent cx="764540" cy="317500"/>
                <wp:effectExtent l="13335" t="13970" r="12700" b="11430"/>
                <wp:wrapNone/>
                <wp:docPr id="68"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17500"/>
                        </a:xfrm>
                        <a:prstGeom prst="rect">
                          <a:avLst/>
                        </a:prstGeom>
                        <a:solidFill>
                          <a:srgbClr val="FFFFFF"/>
                        </a:solidFill>
                        <a:ln w="9525">
                          <a:solidFill>
                            <a:srgbClr val="000000"/>
                          </a:solidFill>
                          <a:miter lim="800000"/>
                        </a:ln>
                      </wps:spPr>
                      <wps:txbx>
                        <w:txbxContent>
                          <w:p w:rsidR="00C861DA" w:rsidRDefault="0044752E">
                            <w:pPr>
                              <w:jc w:val="distribute"/>
                              <w:rPr>
                                <w:rFonts w:ascii="宋体" w:hAnsi="宋体"/>
                              </w:rPr>
                            </w:pPr>
                            <w:r>
                              <w:rPr>
                                <w:rFonts w:ascii="宋体" w:hAnsi="宋体" w:hint="eastAsia"/>
                              </w:rPr>
                              <w:t>低压分解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79" o:spid="_x0000_s1026" o:spt="1" style="position:absolute;left:0pt;margin-left:266.55pt;margin-top:13.85pt;height:25pt;width:60.2pt;z-index:251929600;mso-width-relative:page;mso-height-relative:page;" fillcolor="#FFFFFF" filled="t" stroked="t" coordsize="21600,21600" o:gfxdata="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UpNibYAAAACQEAAA8AAAAA&#10;AAAAAQAgAAAAIgAAAGRycy9kb3ducmV2LnhtbFBLAQIUABQAAAAIAIdO4kD51igkFAIAADEEAAAO&#10;AAAAAAAAAAEAIAAAACcBAABkcnMvZTJvRG9jLnhtbFBLBQYAAAAABgAGAFkBAACtBQAAAAA=&#10;">
                <v:fill on="t" focussize="0,0"/>
                <v:stroke color="#000000" miterlimit="8" joinstyle="miter"/>
                <v:imagedata o:title=""/>
                <o:lock v:ext="edit" aspectratio="f"/>
                <v:textbox>
                  <w:txbxContent>
                    <w:p>
                      <w:pPr>
                        <w:jc w:val="distribute"/>
                        <w:rPr>
                          <w:rFonts w:ascii="宋体" w:hAnsi="宋体"/>
                        </w:rPr>
                      </w:pPr>
                      <w:r>
                        <w:rPr>
                          <w:rFonts w:hint="eastAsia" w:ascii="宋体" w:hAnsi="宋体"/>
                        </w:rPr>
                        <w:t>低压分解</w:t>
                      </w:r>
                    </w:p>
                  </w:txbxContent>
                </v:textbox>
              </v:rect>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51104" behindDoc="1" locked="0" layoutInCell="1" allowOverlap="1">
                <wp:simplePos x="0" y="0"/>
                <wp:positionH relativeFrom="column">
                  <wp:posOffset>2168525</wp:posOffset>
                </wp:positionH>
                <wp:positionV relativeFrom="paragraph">
                  <wp:posOffset>81915</wp:posOffset>
                </wp:positionV>
                <wp:extent cx="387350" cy="152400"/>
                <wp:effectExtent l="0" t="0" r="0" b="3810"/>
                <wp:wrapNone/>
                <wp:docPr id="6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5240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W5/N</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19" o:spid="_x0000_s1026" o:spt="202" type="#_x0000_t202" style="position:absolute;left:0pt;margin-left:170.75pt;margin-top:6.45pt;height:12pt;width:30.5pt;z-index:-251365376;mso-width-relative:page;mso-height-relative:page;" fillcolor="#FFFFFF" filled="t" stroked="f" coordsize="21600,21600" o:gfxdata="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ILSU9cAAAAJAQAADwAAAAAAAAABACAAAAAiAAAAZHJzL2Rvd25yZXYueG1s&#10;UEsBAhQAFAAAAAgAh07iQBX6s8T5AQAA4QMAAA4AAAAAAAAAAQAgAAAAJgEAAGRycy9lMm9Eb2Mu&#10;eG1sUEsFBgAAAAAGAAYAWQEAAJEFAAAAAA==&#10;">
                <v:fill on="t" focussize="0,0"/>
                <v:stroke on="f"/>
                <v:imagedata o:title=""/>
                <o:lock v:ext="edit" aspectratio="f"/>
                <v:textbox inset="0mm,0mm,0mm,0mm">
                  <w:txbxContent>
                    <w:p>
                      <w:pPr>
                        <w:rPr>
                          <w:rFonts w:ascii="宋体" w:hAnsi="宋体"/>
                        </w:rPr>
                      </w:pPr>
                      <w:r>
                        <w:rPr>
                          <w:rFonts w:hint="eastAsia" w:ascii="宋体" w:hAnsi="宋体"/>
                        </w:rPr>
                        <w:t>W5/N</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38816" behindDoc="0" locked="0" layoutInCell="1" allowOverlap="1">
                <wp:simplePos x="0" y="0"/>
                <wp:positionH relativeFrom="column">
                  <wp:posOffset>2966085</wp:posOffset>
                </wp:positionH>
                <wp:positionV relativeFrom="paragraph">
                  <wp:posOffset>74295</wp:posOffset>
                </wp:positionV>
                <wp:extent cx="390525" cy="1270"/>
                <wp:effectExtent l="22860" t="55245" r="5715" b="57785"/>
                <wp:wrapNone/>
                <wp:docPr id="435"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127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188" o:spid="_x0000_s1026" o:spt="32" type="#_x0000_t32" style="position:absolute;left:0pt;flip:x;margin-left:233.55pt;margin-top:5.85pt;height:0.1pt;width:30.75pt;z-index:251938816;mso-width-relative:page;mso-height-relative:page;" filled="f" stroked="t" coordsize="21600,21600" o:gfxdata="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XctbG1AAA&#10;AAkBAAAPAAAAAAAAAAEAIAAAACIAAABkcnMvZG93bnJldi54bWxQSwECFAAUAAAACACHTuJAo9Ke&#10;COkBAAC6AwAADgAAAAAAAAABACAAAAAjAQAAZHJzL2Uyb0RvYy54bWxQSwUGAAAAAAYABgBZAQAA&#10;fgU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32672" behindDoc="0" locked="0" layoutInCell="1" allowOverlap="1">
                <wp:simplePos x="0" y="0"/>
                <wp:positionH relativeFrom="column">
                  <wp:posOffset>3794760</wp:posOffset>
                </wp:positionH>
                <wp:positionV relativeFrom="paragraph">
                  <wp:posOffset>240665</wp:posOffset>
                </wp:positionV>
                <wp:extent cx="8890" cy="303530"/>
                <wp:effectExtent l="60960" t="12065" r="44450" b="17780"/>
                <wp:wrapNone/>
                <wp:docPr id="65"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0353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80" o:spid="_x0000_s1026" o:spt="32" type="#_x0000_t32" style="position:absolute;left:0pt;flip:x;margin-left:298.8pt;margin-top:18.95pt;height:23.9pt;width:0.7pt;z-index:251932672;mso-width-relative:page;mso-height-relative:page;" filled="f" stroked="t" coordsize="21600,21600" o:gfxdata="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YeEMTZAAAACQEA&#10;AA8AAAAAAAAAAQAgAAAAIgAAAGRycy9kb3ducmV2LnhtbFBLAQIUABQAAAAIAIdO4kDq+cuz4AEA&#10;AKEDAAAOAAAAAAAAAAEAIAAAACgBAABkcnMvZTJvRG9jLnhtbFBLBQYAAAAABgAGAFkBAAB6BQAA&#10;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54176" behindDoc="0" locked="0" layoutInCell="1" allowOverlap="1">
                <wp:simplePos x="0" y="0"/>
                <wp:positionH relativeFrom="column">
                  <wp:posOffset>3854450</wp:posOffset>
                </wp:positionH>
                <wp:positionV relativeFrom="paragraph">
                  <wp:posOffset>13335</wp:posOffset>
                </wp:positionV>
                <wp:extent cx="377825" cy="228600"/>
                <wp:effectExtent l="0" t="3810" r="0" b="0"/>
                <wp:wrapNone/>
                <wp:docPr id="6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2860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尿液</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98" o:spid="_x0000_s1026" o:spt="202" type="#_x0000_t202" style="position:absolute;left:0pt;margin-left:303.5pt;margin-top:1.05pt;height:18pt;width:29.75pt;z-index:251954176;mso-width-relative:page;mso-height-relative:page;" fillcolor="#FFFFFF" filled="t" stroked="f" coordsize="21600,21600" o:gfxdata="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euKENcAAAAIAQAADwAAAAAAAAABACAAAAAiAAAAZHJzL2Rvd25yZXYueG1s&#10;UEsBAhQAFAAAAAgAh07iQLaO24/5AQAA4QMAAA4AAAAAAAAAAQAgAAAAJgEAAGRycy9lMm9Eb2Mu&#10;eG1sUEsFBgAAAAAGAAYAWQEAAJEFAAAAAA==&#10;">
                <v:fill on="t" focussize="0,0"/>
                <v:stroke on="f"/>
                <v:imagedata o:title=""/>
                <o:lock v:ext="edit" aspectratio="f"/>
                <v:textbox inset="0mm,0mm,0mm,0mm">
                  <w:txbxContent>
                    <w:p>
                      <w:pPr>
                        <w:rPr>
                          <w:rFonts w:ascii="宋体" w:hAnsi="宋体"/>
                        </w:rPr>
                      </w:pPr>
                      <w:r>
                        <w:rPr>
                          <w:rFonts w:hint="eastAsia" w:ascii="宋体" w:hAnsi="宋体"/>
                        </w:rPr>
                        <w:t>尿液</w:t>
                      </w:r>
                    </w:p>
                  </w:txbxContent>
                </v:textbox>
              </v:shape>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36768" behindDoc="0" locked="0" layoutInCell="1" allowOverlap="1">
                <wp:simplePos x="0" y="0"/>
                <wp:positionH relativeFrom="column">
                  <wp:posOffset>1933575</wp:posOffset>
                </wp:positionH>
                <wp:positionV relativeFrom="paragraph">
                  <wp:posOffset>52705</wp:posOffset>
                </wp:positionV>
                <wp:extent cx="951230" cy="311150"/>
                <wp:effectExtent l="0" t="0" r="1270" b="0"/>
                <wp:wrapNone/>
                <wp:docPr id="4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11150"/>
                        </a:xfrm>
                        <a:prstGeom prst="rect">
                          <a:avLst/>
                        </a:prstGeom>
                        <a:solidFill>
                          <a:srgbClr val="FFFFFF"/>
                        </a:solidFill>
                        <a:ln>
                          <a:noFill/>
                        </a:ln>
                      </wps:spPr>
                      <wps:txbx>
                        <w:txbxContent>
                          <w:p w:rsidR="00C861DA" w:rsidRDefault="0044752E">
                            <w:pPr>
                              <w:jc w:val="both"/>
                            </w:pPr>
                            <w:r>
                              <w:rPr>
                                <w:rFonts w:ascii="Times New Roman" w:hAnsi="Times New Roman" w:cs="Times New Roman"/>
                                <w:color w:val="FF0000"/>
                              </w:rPr>
                              <w:t>熔融尿素</w:t>
                            </w:r>
                            <w:r>
                              <w:rPr>
                                <w:rFonts w:ascii="Times New Roman" w:hAnsi="Times New Roman" w:cs="Times New Roman" w:hint="eastAsia"/>
                                <w:color w:val="FF0000"/>
                              </w:rPr>
                              <w:t>（去尿基复合肥装置）</w:t>
                            </w:r>
                          </w:p>
                          <w:p w:rsidR="00C861DA" w:rsidRDefault="00C861DA">
                            <w:pPr>
                              <w:pStyle w:val="21"/>
                            </w:pP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81" o:spid="_x0000_s1026" o:spt="202" type="#_x0000_t202" style="position:absolute;left:0pt;margin-left:152.25pt;margin-top:4.15pt;height:24.5pt;width:74.9pt;z-index:251936768;mso-width-relative:page;mso-height-relative:page;" fillcolor="#FFFFFF" filled="t" stroked="f" coordsize="21600,21600" o:gfxdata="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IoC97YAAAACAEAAA8AAAAAAAAAAQAgAAAAIgAAAGRycy9kb3ducmV2Lnht&#10;bFBLAQIUABQAAAAIAIdO4kAntlDK+QEAAOIDAAAOAAAAAAAAAAEAIAAAACcBAABkcnMvZTJvRG9j&#10;LnhtbFBLBQYAAAAABgAGAFkBAACSBQAAAAA=&#10;">
                <v:fill on="t" focussize="0,0"/>
                <v:stroke on="f"/>
                <v:imagedata o:title=""/>
                <o:lock v:ext="edit" aspectratio="f"/>
                <v:textbox inset="0mm,0mm,0mm,0mm">
                  <w:txbxContent>
                    <w:p>
                      <w:pPr>
                        <w:jc w:val="both"/>
                      </w:pPr>
                      <w:r>
                        <w:rPr>
                          <w:rFonts w:ascii="Times New Roman" w:hAnsi="Times New Roman" w:cs="Times New Roman"/>
                          <w:color w:val="FF0000"/>
                        </w:rPr>
                        <w:t>熔融尿素</w:t>
                      </w:r>
                      <w:r>
                        <w:rPr>
                          <w:rFonts w:hint="eastAsia" w:ascii="Times New Roman" w:hAnsi="Times New Roman" w:cs="Times New Roman"/>
                          <w:color w:val="FF0000"/>
                        </w:rPr>
                        <w:t>（去尿基复合肥装置）</w:t>
                      </w:r>
                    </w:p>
                    <w:p>
                      <w:pPr>
                        <w:pStyle w:val="2"/>
                      </w:pP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67488" behindDoc="0" locked="0" layoutInCell="1" allowOverlap="1">
                <wp:simplePos x="0" y="0"/>
                <wp:positionH relativeFrom="column">
                  <wp:posOffset>4740275</wp:posOffset>
                </wp:positionH>
                <wp:positionV relativeFrom="paragraph">
                  <wp:posOffset>257810</wp:posOffset>
                </wp:positionV>
                <wp:extent cx="660400" cy="171450"/>
                <wp:effectExtent l="0" t="635" r="0" b="0"/>
                <wp:wrapNone/>
                <wp:docPr id="43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7#</w:t>
                            </w:r>
                            <w:r>
                              <w:rPr>
                                <w:rFonts w:ascii="宋体" w:hAnsi="宋体" w:hint="eastAsia"/>
                              </w:rPr>
                              <w:t>排气筒</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11" o:spid="_x0000_s1026" o:spt="202" type="#_x0000_t202" style="position:absolute;left:0pt;margin-left:373.25pt;margin-top:20.3pt;height:13.5pt;width:52pt;z-index:251967488;mso-width-relative:page;mso-height-relative:page;" fillcolor="#FFFFFF" filled="t" stroked="f" coordsize="21600,21600" o:gfxdata="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k/0oTYAAAACQEAAA8AAAAAAAAAAQAgAAAAIgAAAGRycy9kb3ducmV2Lnht&#10;bFBLAQIUABQAAAAIAIdO4kBY3Xw8+QEAAOIDAAAOAAAAAAAAAAEAIAAAACcBAABkcnMvZTJvRG9j&#10;LnhtbFBLBQYAAAAABgAGAFkBAACSBQAAAAA=&#10;">
                <v:fill on="t" focussize="0,0"/>
                <v:stroke on="f"/>
                <v:imagedata o:title=""/>
                <o:lock v:ext="edit" aspectratio="f"/>
                <v:textbox inset="0mm,0mm,0mm,0mm">
                  <w:txbxContent>
                    <w:p>
                      <w:pPr>
                        <w:rPr>
                          <w:rFonts w:ascii="宋体" w:hAnsi="宋体"/>
                        </w:rPr>
                      </w:pPr>
                      <w:r>
                        <w:rPr>
                          <w:rFonts w:hint="eastAsia" w:ascii="宋体" w:hAnsi="宋体"/>
                        </w:rPr>
                        <w:t>7#排气筒</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37792" behindDoc="0" locked="0" layoutInCell="1" allowOverlap="1">
                <wp:simplePos x="0" y="0"/>
                <wp:positionH relativeFrom="column">
                  <wp:posOffset>2908935</wp:posOffset>
                </wp:positionH>
                <wp:positionV relativeFrom="paragraph">
                  <wp:posOffset>187960</wp:posOffset>
                </wp:positionV>
                <wp:extent cx="514350" cy="9525"/>
                <wp:effectExtent l="22860" t="45085" r="5715" b="59690"/>
                <wp:wrapNone/>
                <wp:docPr id="438"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95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82" o:spid="_x0000_s1026" o:spt="32" type="#_x0000_t32" style="position:absolute;left:0pt;flip:x;margin-left:229.05pt;margin-top:14.8pt;height:0.75pt;width:40.5pt;z-index:251937792;mso-width-relative:page;mso-height-relative:page;" filled="f" stroked="t" coordsize="21600,21600" o:gfxdata="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DvQldkAAAAJAQAADwAA&#10;AAAAAAABACAAAAAiAAAAZHJzL2Rvd25yZXYueG1sUEsBAhQAFAAAAAgAh07iQC1TzcXcAQAAogMA&#10;AA4AAAAAAAAAAQAgAAAAKAEAAGRycy9lMm9Eb2MueG1sUEsFBgAAAAAGAAYAWQEAAHY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31648" behindDoc="0" locked="0" layoutInCell="1" allowOverlap="1">
                <wp:simplePos x="0" y="0"/>
                <wp:positionH relativeFrom="column">
                  <wp:posOffset>3413760</wp:posOffset>
                </wp:positionH>
                <wp:positionV relativeFrom="paragraph">
                  <wp:posOffset>15875</wp:posOffset>
                </wp:positionV>
                <wp:extent cx="764540" cy="317500"/>
                <wp:effectExtent l="13335" t="6350" r="12700" b="9525"/>
                <wp:wrapNone/>
                <wp:docPr id="439"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17500"/>
                        </a:xfrm>
                        <a:prstGeom prst="rect">
                          <a:avLst/>
                        </a:prstGeom>
                        <a:solidFill>
                          <a:srgbClr val="FFFFFF"/>
                        </a:solidFill>
                        <a:ln w="9525">
                          <a:solidFill>
                            <a:srgbClr val="000000"/>
                          </a:solidFill>
                          <a:miter lim="800000"/>
                        </a:ln>
                      </wps:spPr>
                      <wps:txbx>
                        <w:txbxContent>
                          <w:p w:rsidR="00C861DA" w:rsidRDefault="0044752E">
                            <w:pPr>
                              <w:jc w:val="distribute"/>
                              <w:rPr>
                                <w:rFonts w:ascii="宋体" w:hAnsi="宋体"/>
                              </w:rPr>
                            </w:pPr>
                            <w:r>
                              <w:rPr>
                                <w:rFonts w:ascii="宋体" w:hAnsi="宋体" w:hint="eastAsia"/>
                              </w:rPr>
                              <w:t>尿液蒸发</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83" o:spid="_x0000_s1026" o:spt="1" style="position:absolute;left:0pt;margin-left:268.8pt;margin-top:1.25pt;height:25pt;width:60.2pt;z-index:251931648;mso-width-relative:page;mso-height-relative:page;" fillcolor="#FFFFFF" filled="t" stroked="t" coordsize="21600,21600" o:gfxdata="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MDdvDWAAAACAEAAA8AAAAA&#10;AAAAAQAgAAAAIgAAAGRycy9kb3ducmV2LnhtbFBLAQIUABQAAAAIAIdO4kCmlFJOFgIAADIEAAAO&#10;AAAAAAAAAAEAIAAAACUBAABkcnMvZTJvRG9jLnhtbFBLBQYAAAAABgAGAFkBAACtBQAAAAA=&#10;">
                <v:fill on="t" focussize="0,0"/>
                <v:stroke color="#000000" miterlimit="8" joinstyle="miter"/>
                <v:imagedata o:title=""/>
                <o:lock v:ext="edit" aspectratio="f"/>
                <v:textbox>
                  <w:txbxContent>
                    <w:p>
                      <w:pPr>
                        <w:jc w:val="distribute"/>
                        <w:rPr>
                          <w:rFonts w:ascii="宋体" w:hAnsi="宋体"/>
                        </w:rPr>
                      </w:pPr>
                      <w:r>
                        <w:rPr>
                          <w:rFonts w:hint="eastAsia" w:ascii="宋体" w:hAnsi="宋体"/>
                        </w:rPr>
                        <w:t>尿液蒸发</w:t>
                      </w:r>
                    </w:p>
                  </w:txbxContent>
                </v:textbox>
              </v:rect>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34720" behindDoc="0" locked="0" layoutInCell="1" allowOverlap="1">
                <wp:simplePos x="0" y="0"/>
                <wp:positionH relativeFrom="column">
                  <wp:posOffset>3804285</wp:posOffset>
                </wp:positionH>
                <wp:positionV relativeFrom="paragraph">
                  <wp:posOffset>71120</wp:posOffset>
                </wp:positionV>
                <wp:extent cx="8890" cy="303530"/>
                <wp:effectExtent l="60960" t="13970" r="44450" b="15875"/>
                <wp:wrapNone/>
                <wp:docPr id="440"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0353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184" o:spid="_x0000_s1026" o:spt="32" type="#_x0000_t32" style="position:absolute;left:0pt;flip:x;margin-left:299.55pt;margin-top:5.6pt;height:23.9pt;width:0.7pt;z-index:251934720;mso-width-relative:page;mso-height-relative:page;" filled="f" stroked="t" coordsize="21600,21600" o:gfxdata="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8Ni6q1wAAAAkBAAAP&#10;AAAAAAAAAAEAIAAAACIAAABkcnMvZG93bnJldi54bWxQSwECFAAUAAAACACHTuJAA31zXeABAACi&#10;AwAADgAAAAAAAAABACAAAAAmAQAAZHJzL2Uyb0RvYy54bWxQSwUGAAAAAAYABgBZAQAAeA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55200" behindDoc="0" locked="0" layoutInCell="1" allowOverlap="1">
                <wp:simplePos x="0" y="0"/>
                <wp:positionH relativeFrom="column">
                  <wp:posOffset>3892550</wp:posOffset>
                </wp:positionH>
                <wp:positionV relativeFrom="paragraph">
                  <wp:posOffset>106680</wp:posOffset>
                </wp:positionV>
                <wp:extent cx="568325" cy="228600"/>
                <wp:effectExtent l="0" t="1905" r="0" b="0"/>
                <wp:wrapNone/>
                <wp:docPr id="44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2860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闪蒸气</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199" o:spid="_x0000_s1026" o:spt="202" type="#_x0000_t202" style="position:absolute;left:0pt;margin-left:306.5pt;margin-top:8.4pt;height:18pt;width:44.75pt;z-index:251955200;mso-width-relative:page;mso-height-relative:page;" fillcolor="#FFFFFF" filled="t" stroked="f" coordsize="21600,21600" o:gfxdata="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AF8XR2AAAAAkBAAAPAAAAAAAAAAEAIAAAACIAAABkcnMvZG93bnJldi54&#10;bWxQSwECFAAUAAAACACHTuJAR49k6PoBAADiAwAADgAAAAAAAAABACAAAAAnAQAAZHJzL2Uyb0Rv&#10;Yy54bWxQSwUGAAAAAAYABgBZAQAAkwUAAAAA&#10;">
                <v:fill on="t" focussize="0,0"/>
                <v:stroke on="f"/>
                <v:imagedata o:title=""/>
                <o:lock v:ext="edit" aspectratio="f"/>
                <v:textbox inset="0mm,0mm,0mm,0mm">
                  <w:txbxContent>
                    <w:p>
                      <w:pPr>
                        <w:rPr>
                          <w:rFonts w:ascii="宋体" w:hAnsi="宋体"/>
                        </w:rPr>
                      </w:pPr>
                      <w:r>
                        <w:rPr>
                          <w:rFonts w:hint="eastAsia" w:ascii="宋体" w:hAnsi="宋体"/>
                        </w:rPr>
                        <w:t>闪蒸气</w:t>
                      </w:r>
                    </w:p>
                  </w:txbxContent>
                </v:textbox>
              </v:shape>
            </w:pict>
          </mc:Fallback>
        </mc:AlternateContent>
      </w:r>
      <w:r>
        <w:rPr>
          <w:rFonts w:ascii="Tahoma" w:eastAsia="微软雅黑" w:hAnsi="Tahoma" w:cs="Times New Roman"/>
          <w:noProof/>
          <w:color w:val="000000" w:themeColor="text1"/>
          <w:kern w:val="0"/>
          <w:sz w:val="24"/>
          <w:szCs w:val="22"/>
        </w:rPr>
        <mc:AlternateContent>
          <mc:Choice Requires="wps">
            <w:drawing>
              <wp:anchor distT="0" distB="0" distL="114300" distR="114300" simplePos="0" relativeHeight="251961344" behindDoc="0" locked="0" layoutInCell="1" allowOverlap="1">
                <wp:simplePos x="0" y="0"/>
                <wp:positionH relativeFrom="column">
                  <wp:posOffset>4985385</wp:posOffset>
                </wp:positionH>
                <wp:positionV relativeFrom="paragraph">
                  <wp:posOffset>209550</wp:posOffset>
                </wp:positionV>
                <wp:extent cx="142875" cy="391160"/>
                <wp:effectExtent l="13335" t="9525" r="15240" b="8890"/>
                <wp:wrapNone/>
                <wp:docPr id="442"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2875" cy="391160"/>
                        </a:xfrm>
                        <a:prstGeom prst="flowChartManualOperation">
                          <a:avLst/>
                        </a:prstGeom>
                        <a:noFill/>
                        <a:ln w="9525">
                          <a:solidFill>
                            <a:srgbClr val="000000"/>
                          </a:solidFill>
                          <a:miter lim="800000"/>
                          <a:tailEnd type="triangle" w="med" len="me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AutoShape 204" o:spid="_x0000_s1026" o:spt="119" type="#_x0000_t119" style="position:absolute;left:0pt;flip:y;margin-left:392.55pt;margin-top:16.5pt;height:30.8pt;width:11.25pt;z-index:251961344;mso-width-relative:page;mso-height-relative:page;" filled="f" stroked="t" coordsize="21600,21600" o:gfxdata="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WONQ7YAAAACQEAAA8AAAAAAAAAAQAgAAAAIgAAAGRycy9kb3du&#10;cmV2LnhtbFBLAQIUABQAAAAIAIdO4kDt3AuKOAIAAEoEAAAOAAAAAAAAAAEAIAAAACcBAABkcnMv&#10;ZTJvRG9jLnhtbFBLBQYAAAAABgAGAFkBAADRBQAAAAA=&#10;">
                <v:fill on="f" focussize="0,0"/>
                <v:stroke color="#000000" miterlimit="8" joinstyle="miter" endarrow="block"/>
                <v:imagedata o:title=""/>
                <o:lock v:ext="edit" aspectratio="f"/>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33696" behindDoc="0" locked="0" layoutInCell="1" allowOverlap="1">
                <wp:simplePos x="0" y="0"/>
                <wp:positionH relativeFrom="column">
                  <wp:posOffset>3432810</wp:posOffset>
                </wp:positionH>
                <wp:positionV relativeFrom="paragraph">
                  <wp:posOffset>99695</wp:posOffset>
                </wp:positionV>
                <wp:extent cx="764540" cy="317500"/>
                <wp:effectExtent l="13335" t="13970" r="12700" b="11430"/>
                <wp:wrapNone/>
                <wp:docPr id="443"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17500"/>
                        </a:xfrm>
                        <a:prstGeom prst="rect">
                          <a:avLst/>
                        </a:prstGeom>
                        <a:solidFill>
                          <a:srgbClr val="FFFFFF"/>
                        </a:solidFill>
                        <a:ln w="9525">
                          <a:solidFill>
                            <a:srgbClr val="000000"/>
                          </a:solidFill>
                          <a:miter lim="800000"/>
                        </a:ln>
                      </wps:spPr>
                      <wps:txbx>
                        <w:txbxContent>
                          <w:p w:rsidR="00C861DA" w:rsidRDefault="0044752E">
                            <w:pPr>
                              <w:jc w:val="distribute"/>
                              <w:rPr>
                                <w:rFonts w:ascii="宋体" w:hAnsi="宋体"/>
                              </w:rPr>
                            </w:pPr>
                            <w:r>
                              <w:rPr>
                                <w:rFonts w:ascii="宋体" w:hAnsi="宋体" w:hint="eastAsia"/>
                              </w:rPr>
                              <w:t>冷凝</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85" o:spid="_x0000_s1026" o:spt="1" style="position:absolute;left:0pt;margin-left:270.3pt;margin-top:7.85pt;height:25pt;width:60.2pt;z-index:251933696;mso-width-relative:page;mso-height-relative:page;" fillcolor="#FFFFFF" filled="t" stroked="t" coordsize="21600,21600" o:gfxdata="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4G6wDXAAAACQEAAA8AAAAA&#10;AAAAAQAgAAAAIgAAAGRycy9kb3ducmV2LnhtbFBLAQIUABQAAAAIAIdO4kA6qUhoFQIAADIEAAAO&#10;AAAAAAAAAAEAIAAAACYBAABkcnMvZTJvRG9jLnhtbFBLBQYAAAAABgAGAFkBAACtBQAAAAA=&#10;">
                <v:fill on="t" focussize="0,0"/>
                <v:stroke color="#000000" miterlimit="8" joinstyle="miter"/>
                <v:imagedata o:title=""/>
                <o:lock v:ext="edit" aspectratio="f"/>
                <v:textbox>
                  <w:txbxContent>
                    <w:p>
                      <w:pPr>
                        <w:jc w:val="distribute"/>
                        <w:rPr>
                          <w:rFonts w:ascii="宋体" w:hAnsi="宋体"/>
                        </w:rPr>
                      </w:pPr>
                      <w:r>
                        <w:rPr>
                          <w:rFonts w:hint="eastAsia" w:ascii="宋体" w:hAnsi="宋体"/>
                        </w:rPr>
                        <w:t>冷凝</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60320" behindDoc="0" locked="0" layoutInCell="1" allowOverlap="1">
                <wp:simplePos x="0" y="0"/>
                <wp:positionH relativeFrom="column">
                  <wp:posOffset>4264025</wp:posOffset>
                </wp:positionH>
                <wp:positionV relativeFrom="paragraph">
                  <wp:posOffset>43815</wp:posOffset>
                </wp:positionV>
                <wp:extent cx="605790" cy="200025"/>
                <wp:effectExtent l="0" t="0" r="0" b="3810"/>
                <wp:wrapNone/>
                <wp:docPr id="44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00025"/>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不凝气</w:t>
                            </w:r>
                            <w:r>
                              <w:rPr>
                                <w:rFonts w:ascii="宋体" w:hAnsi="宋体" w:hint="eastAsia"/>
                              </w:rPr>
                              <w:t>G9</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03" o:spid="_x0000_s1026" o:spt="202" type="#_x0000_t202" style="position:absolute;left:0pt;margin-left:335.75pt;margin-top:3.45pt;height:15.75pt;width:47.7pt;z-index:251960320;mso-width-relative:page;mso-height-relative:page;" fillcolor="#FFFFFF" filled="t" stroked="f" coordsize="21600,21600" o:gfxdata="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sI0P1wAAAAgBAAAPAAAAAAAAAAEAIAAAACIAAABkcnMvZG93bnJldi54bWxQ&#10;SwECFAAUAAAACACHTuJAOuAR7/gBAADiAwAADgAAAAAAAAABACAAAAAmAQAAZHJzL2Uyb0RvYy54&#10;bWxQSwUGAAAAAAYABgBZAQAAkAUAAAAA&#10;">
                <v:fill on="t" focussize="0,0"/>
                <v:stroke on="f"/>
                <v:imagedata o:title=""/>
                <o:lock v:ext="edit" aspectratio="f"/>
                <v:textbox inset="0mm,0mm,0mm,0mm">
                  <w:txbxContent>
                    <w:p>
                      <w:pPr>
                        <w:rPr>
                          <w:rFonts w:ascii="宋体" w:hAnsi="宋体"/>
                        </w:rPr>
                      </w:pPr>
                      <w:r>
                        <w:rPr>
                          <w:rFonts w:hint="eastAsia" w:ascii="宋体" w:hAnsi="宋体"/>
                        </w:rPr>
                        <w:t>不凝气G9</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56224" behindDoc="0" locked="0" layoutInCell="1" allowOverlap="1">
                <wp:simplePos x="0" y="0"/>
                <wp:positionH relativeFrom="column">
                  <wp:posOffset>4184650</wp:posOffset>
                </wp:positionH>
                <wp:positionV relativeFrom="paragraph">
                  <wp:posOffset>252095</wp:posOffset>
                </wp:positionV>
                <wp:extent cx="800735" cy="3810"/>
                <wp:effectExtent l="12700" t="61595" r="15240" b="48895"/>
                <wp:wrapNone/>
                <wp:docPr id="445"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735" cy="381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200" o:spid="_x0000_s1026" o:spt="32" type="#_x0000_t32" style="position:absolute;left:0pt;flip:y;margin-left:329.5pt;margin-top:19.85pt;height:0.3pt;width:63.05pt;z-index:251956224;mso-width-relative:page;mso-height-relative:page;" filled="f" stroked="t" coordsize="21600,21600" o:gfxdata="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r27&#10;nNYAAAAJAQAADwAAAAAAAAABACAAAAAiAAAAZHJzL2Rvd25yZXYueG1sUEsBAhQAFAAAAAgAh07i&#10;QHWC1VHrAQAAugMAAA4AAAAAAAAAAQAgAAAAJQEAAGRycy9lMm9Eb2MueG1sUEsFBgAAAAAGAAYA&#10;WQEAAIIFAAAAAA==&#10;">
                <v:fill on="f" focussize="0,0"/>
                <v:stroke color="#000000" joinstyle="round" dashstyle="dash" endarrow="block"/>
                <v:imagedata o:title=""/>
                <o:lock v:ext="edit" aspectratio="f"/>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36064" behindDoc="1" locked="0" layoutInCell="1" allowOverlap="1">
                <wp:simplePos x="0" y="0"/>
                <wp:positionH relativeFrom="column">
                  <wp:posOffset>3892550</wp:posOffset>
                </wp:positionH>
                <wp:positionV relativeFrom="paragraph">
                  <wp:posOffset>205740</wp:posOffset>
                </wp:positionV>
                <wp:extent cx="568325" cy="228600"/>
                <wp:effectExtent l="0" t="0" r="0" b="3810"/>
                <wp:wrapNone/>
                <wp:docPr id="44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2860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冷凝液</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08" o:spid="_x0000_s1026" o:spt="202" type="#_x0000_t202" style="position:absolute;left:0pt;margin-left:306.5pt;margin-top:16.2pt;height:18pt;width:44.75pt;z-index:-251580416;mso-width-relative:page;mso-height-relative:page;" fillcolor="#FFFFFF" filled="t" stroked="f" coordsize="21600,21600" o:gfxdata="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lnxPvYAAAACQEAAA8AAAAAAAAAAQAgAAAAIgAAAGRycy9kb3ducmV2Lnht&#10;bFBLAQIUABQAAAAIAIdO4kC2easv+QEAAOIDAAAOAAAAAAAAAAEAIAAAACcBAABkcnMvZTJvRG9j&#10;LnhtbFBLBQYAAAAABgAGAFkBAACSBQAAAAA=&#10;">
                <v:fill on="t" focussize="0,0"/>
                <v:stroke on="f"/>
                <v:imagedata o:title=""/>
                <o:lock v:ext="edit" aspectratio="f"/>
                <v:textbox inset="0mm,0mm,0mm,0mm">
                  <w:txbxContent>
                    <w:p>
                      <w:pPr>
                        <w:rPr>
                          <w:rFonts w:ascii="宋体" w:hAnsi="宋体"/>
                        </w:rPr>
                      </w:pPr>
                      <w:r>
                        <w:rPr>
                          <w:rFonts w:hint="eastAsia" w:ascii="宋体" w:hAnsi="宋体"/>
                        </w:rPr>
                        <w:t>冷凝液</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31968" behindDoc="1" locked="0" layoutInCell="1" allowOverlap="1">
                <wp:simplePos x="0" y="0"/>
                <wp:positionH relativeFrom="column">
                  <wp:posOffset>3813810</wp:posOffset>
                </wp:positionH>
                <wp:positionV relativeFrom="paragraph">
                  <wp:posOffset>154940</wp:posOffset>
                </wp:positionV>
                <wp:extent cx="8890" cy="303530"/>
                <wp:effectExtent l="60960" t="12065" r="44450" b="17780"/>
                <wp:wrapNone/>
                <wp:docPr id="447"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0353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07" o:spid="_x0000_s1026" o:spt="32" type="#_x0000_t32" style="position:absolute;left:0pt;flip:x;margin-left:300.3pt;margin-top:12.2pt;height:23.9pt;width:0.7pt;z-index:-251584512;mso-width-relative:page;mso-height-relative:page;" filled="f" stroked="t" coordsize="21600,21600" o:gfxdata="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uEEWL2AAAAAkB&#10;AAAPAAAAAAAAAAEAIAAAACIAAABkcnMvZG93bnJldi54bWxQSwECFAAUAAAACACHTuJA4HDLYOIB&#10;AACiAwAADgAAAAAAAAABACAAAAAnAQAAZHJzL2Uyb0RvYy54bWxQSwUGAAAAAAYABgBZAQAAewUA&#10;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57248" behindDoc="0" locked="0" layoutInCell="1" allowOverlap="1">
                <wp:simplePos x="0" y="0"/>
                <wp:positionH relativeFrom="column">
                  <wp:posOffset>3442335</wp:posOffset>
                </wp:positionH>
                <wp:positionV relativeFrom="paragraph">
                  <wp:posOffset>193040</wp:posOffset>
                </wp:positionV>
                <wp:extent cx="764540" cy="317500"/>
                <wp:effectExtent l="13335" t="12065" r="12700" b="13335"/>
                <wp:wrapNone/>
                <wp:docPr id="44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17500"/>
                        </a:xfrm>
                        <a:prstGeom prst="rect">
                          <a:avLst/>
                        </a:prstGeom>
                        <a:solidFill>
                          <a:srgbClr val="FFFFFF"/>
                        </a:solidFill>
                        <a:ln w="9525">
                          <a:solidFill>
                            <a:srgbClr val="000000"/>
                          </a:solidFill>
                          <a:miter lim="800000"/>
                        </a:ln>
                      </wps:spPr>
                      <wps:txbx>
                        <w:txbxContent>
                          <w:p w:rsidR="00C861DA" w:rsidRDefault="0044752E">
                            <w:pPr>
                              <w:jc w:val="distribute"/>
                              <w:rPr>
                                <w:rFonts w:ascii="宋体" w:hAnsi="宋体"/>
                              </w:rPr>
                            </w:pPr>
                            <w:r>
                              <w:rPr>
                                <w:rFonts w:ascii="宋体" w:hAnsi="宋体" w:hint="eastAsia"/>
                              </w:rPr>
                              <w:t>解析水解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201" o:spid="_x0000_s1026" o:spt="1" style="position:absolute;left:0pt;margin-left:271.05pt;margin-top:15.2pt;height:25pt;width:60.2pt;z-index:251957248;mso-width-relative:page;mso-height-relative:page;" fillcolor="#FFFFFF" filled="t" stroked="t" coordsize="21600,21600" o:gfxdata="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xNNVtgAAAAJAQAADwAAAAAA&#10;AAABACAAAAAiAAAAZHJzL2Rvd25yZXYueG1sUEsBAhQAFAAAAAgAh07iQEHNzg4TAgAAMgQAAA4A&#10;AAAAAAAAAQAgAAAAJwEAAGRycy9lMm9Eb2MueG1sUEsFBgAAAAAGAAYAWQEAAKwFAAAAAA==&#10;">
                <v:fill on="t" focussize="0,0"/>
                <v:stroke color="#000000" miterlimit="8" joinstyle="miter"/>
                <v:imagedata o:title=""/>
                <o:lock v:ext="edit" aspectratio="f"/>
                <v:textbox>
                  <w:txbxContent>
                    <w:p>
                      <w:pPr>
                        <w:jc w:val="distribute"/>
                        <w:rPr>
                          <w:rFonts w:ascii="宋体" w:hAnsi="宋体"/>
                        </w:rPr>
                      </w:pPr>
                      <w:r>
                        <w:rPr>
                          <w:rFonts w:hint="eastAsia" w:ascii="宋体" w:hAnsi="宋体"/>
                        </w:rPr>
                        <w:t>解析水解</w:t>
                      </w:r>
                    </w:p>
                  </w:txbxContent>
                </v:textbox>
              </v:rect>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35744" behindDoc="0" locked="0" layoutInCell="1" allowOverlap="1">
                <wp:simplePos x="0" y="0"/>
                <wp:positionH relativeFrom="column">
                  <wp:posOffset>3813810</wp:posOffset>
                </wp:positionH>
                <wp:positionV relativeFrom="paragraph">
                  <wp:posOffset>257810</wp:posOffset>
                </wp:positionV>
                <wp:extent cx="8890" cy="303530"/>
                <wp:effectExtent l="60960" t="10160" r="44450" b="19685"/>
                <wp:wrapNone/>
                <wp:docPr id="449"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0353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186" o:spid="_x0000_s1026" o:spt="32" type="#_x0000_t32" style="position:absolute;left:0pt;flip:x;margin-left:300.3pt;margin-top:20.3pt;height:23.9pt;width:0.7pt;z-index:251935744;mso-width-relative:page;mso-height-relative:page;" filled="f" stroked="t" coordsize="21600,21600" o:gfxdata="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7qwxD&#10;0wAAAAkBAAAPAAAAAAAAAAEAIAAAACIAAABkcnMvZG93bnJldi54bWxQSwECFAAUAAAACACHTuJA&#10;L/IUlu0BAAC6AwAADgAAAAAAAAABACAAAAAiAQAAZHJzL2Uyb0RvYy54bWxQSwUGAAAAAAYABgBZ&#10;AQAAgQUAAAAA&#10;">
                <v:fill on="f" focussize="0,0"/>
                <v:stroke color="#000000" joinstyle="round" dashstyle="dash" endarrow="block"/>
                <v:imagedata o:title=""/>
                <o:lock v:ext="edit" aspectratio="f"/>
              </v:shape>
            </w:pict>
          </mc:Fallback>
        </mc:AlternateContent>
      </w:r>
    </w:p>
    <w:p w:rsidR="00C861DA" w:rsidRDefault="0044752E">
      <w:pPr>
        <w:widowControl/>
        <w:autoSpaceDE/>
        <w:autoSpaceDN/>
        <w:snapToGrid w:val="0"/>
        <w:spacing w:after="200" w:line="500" w:lineRule="atLeast"/>
        <w:ind w:firstLine="560"/>
        <w:jc w:val="both"/>
        <w:rPr>
          <w:rFonts w:ascii="Tahoma" w:eastAsia="微软雅黑" w:hAnsi="Tahoma" w:cs="Times New Roman"/>
          <w:color w:val="000000" w:themeColor="text1"/>
          <w:kern w:val="0"/>
          <w:sz w:val="22"/>
          <w:szCs w:val="22"/>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59296" behindDoc="0" locked="0" layoutInCell="1" allowOverlap="1">
                <wp:simplePos x="0" y="0"/>
                <wp:positionH relativeFrom="column">
                  <wp:posOffset>3435350</wp:posOffset>
                </wp:positionH>
                <wp:positionV relativeFrom="paragraph">
                  <wp:posOffset>297180</wp:posOffset>
                </wp:positionV>
                <wp:extent cx="1386840" cy="438150"/>
                <wp:effectExtent l="0" t="1905" r="0" b="0"/>
                <wp:wrapNone/>
                <wp:docPr id="45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381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W6</w:t>
                            </w:r>
                            <w:r>
                              <w:rPr>
                                <w:rFonts w:ascii="宋体" w:hAnsi="宋体" w:hint="eastAsia"/>
                              </w:rPr>
                              <w:t>：工艺冷凝液（送造粒塔）</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02" o:spid="_x0000_s1026" o:spt="202" type="#_x0000_t202" style="position:absolute;left:0pt;margin-left:270.5pt;margin-top:23.4pt;height:34.5pt;width:109.2pt;z-index:251959296;mso-width-relative:page;mso-height-relative:page;" fillcolor="#FFFFFF" filled="t" stroked="f" coordsize="21600,21600" o:gfxdata="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ADJG2QAAAAoBAAAPAAAAAAAAAAEAIAAAACIAAABkcnMvZG93bnJldi54bWxQ&#10;SwECFAAUAAAACACHTuJADsQO1fYBAADjAwAADgAAAAAAAAABACAAAAAoAQAAZHJzL2Uyb0RvYy54&#10;bWxQSwUGAAAAAAYABgBZAQAAkAUAAAAA&#10;">
                <v:fill on="t" focussize="0,0"/>
                <v:stroke on="f"/>
                <v:imagedata o:title=""/>
                <o:lock v:ext="edit" aspectratio="f"/>
                <v:textbox inset="0mm,0mm,0mm,0mm">
                  <w:txbxContent>
                    <w:p>
                      <w:pPr>
                        <w:rPr>
                          <w:rFonts w:ascii="宋体" w:hAnsi="宋体"/>
                        </w:rPr>
                      </w:pPr>
                      <w:r>
                        <w:rPr>
                          <w:rFonts w:hint="eastAsia" w:ascii="宋体" w:hAnsi="宋体"/>
                        </w:rPr>
                        <w:t>W6：工艺冷凝液（送造粒塔）</w:t>
                      </w:r>
                    </w:p>
                  </w:txbxContent>
                </v:textbox>
              </v:shape>
            </w:pict>
          </mc:Fallback>
        </mc:AlternateContent>
      </w:r>
    </w:p>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52128" behindDoc="1" locked="0" layoutInCell="1" allowOverlap="1">
                <wp:simplePos x="0" y="0"/>
                <wp:positionH relativeFrom="column">
                  <wp:posOffset>1012825</wp:posOffset>
                </wp:positionH>
                <wp:positionV relativeFrom="paragraph">
                  <wp:posOffset>69850</wp:posOffset>
                </wp:positionV>
                <wp:extent cx="3162300" cy="387350"/>
                <wp:effectExtent l="3175" t="3175" r="0" b="0"/>
                <wp:wrapNone/>
                <wp:docPr id="45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87350"/>
                        </a:xfrm>
                        <a:prstGeom prst="rect">
                          <a:avLst/>
                        </a:prstGeom>
                        <a:solidFill>
                          <a:srgbClr val="FFFFFF"/>
                        </a:solidFill>
                        <a:ln>
                          <a:noFill/>
                        </a:ln>
                      </wps:spPr>
                      <wps:txbx>
                        <w:txbxContent>
                          <w:p w:rsidR="00C861DA" w:rsidRDefault="0044752E">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sz w:val="24"/>
                                <w:szCs w:val="24"/>
                              </w:rPr>
                              <w:t>4.1-</w:t>
                            </w:r>
                            <w:r>
                              <w:rPr>
                                <w:rFonts w:ascii="Times New Roman" w:hAnsi="Times New Roman" w:cs="Times New Roman" w:hint="eastAsia"/>
                                <w:sz w:val="24"/>
                                <w:szCs w:val="24"/>
                              </w:rPr>
                              <w:t>5</w:t>
                            </w:r>
                            <w:r>
                              <w:rPr>
                                <w:rFonts w:ascii="Times New Roman" w:hAnsi="Times New Roman" w:cs="Times New Roman"/>
                                <w:sz w:val="24"/>
                                <w:szCs w:val="24"/>
                              </w:rPr>
                              <w:t xml:space="preserve">    </w:t>
                            </w:r>
                            <w:r>
                              <w:rPr>
                                <w:rFonts w:ascii="Times New Roman" w:hAnsi="Times New Roman" w:cs="Times New Roman" w:hint="eastAsia"/>
                                <w:sz w:val="24"/>
                                <w:szCs w:val="24"/>
                              </w:rPr>
                              <w:t>尿素生产</w:t>
                            </w:r>
                            <w:r>
                              <w:rPr>
                                <w:rFonts w:ascii="Times New Roman" w:hAnsi="Times New Roman" w:cs="Times New Roman"/>
                                <w:sz w:val="24"/>
                                <w:szCs w:val="24"/>
                              </w:rPr>
                              <w:t>工艺流程及产污环节</w:t>
                            </w:r>
                          </w:p>
                          <w:p w:rsidR="00C861DA" w:rsidRDefault="0044752E">
                            <w:pPr>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W</w:t>
                            </w:r>
                            <w:r>
                              <w:rPr>
                                <w:rFonts w:ascii="Times New Roman" w:hAnsi="Times New Roman" w:cs="Times New Roman"/>
                              </w:rPr>
                              <w:t>：废水</w:t>
                            </w:r>
                            <w:r>
                              <w:rPr>
                                <w:rFonts w:ascii="Times New Roman" w:hAnsi="Times New Roman" w:cs="Times New Roman"/>
                              </w:rPr>
                              <w:t xml:space="preserve">    G:</w:t>
                            </w:r>
                            <w:r>
                              <w:rPr>
                                <w:rFonts w:ascii="Times New Roman" w:hAnsi="Times New Roman" w:cs="Times New Roman"/>
                              </w:rPr>
                              <w:t>废气</w:t>
                            </w:r>
                            <w:r>
                              <w:rPr>
                                <w:rFonts w:ascii="Times New Roman" w:hAnsi="Times New Roman" w:cs="Times New Roman"/>
                              </w:rPr>
                              <w:t xml:space="preserve">    N</w:t>
                            </w:r>
                            <w:r>
                              <w:rPr>
                                <w:rFonts w:ascii="Times New Roman" w:hAnsi="Times New Roman" w:cs="Times New Roman"/>
                              </w:rPr>
                              <w:t>：噪声</w:t>
                            </w:r>
                            <w:r>
                              <w:rPr>
                                <w:rFonts w:ascii="Times New Roman" w:hAnsi="Times New Roman" w:cs="Times New Roman"/>
                              </w:rPr>
                              <w:t xml:space="preserve">    S</w:t>
                            </w:r>
                            <w:r>
                              <w:rPr>
                                <w:rFonts w:ascii="Times New Roman" w:hAnsi="Times New Roman" w:cs="Times New Roman"/>
                              </w:rPr>
                              <w:t>：固废）</w:t>
                            </w:r>
                          </w:p>
                          <w:p w:rsidR="00C861DA" w:rsidRDefault="00C861DA">
                            <w:pPr>
                              <w:jc w:val="center"/>
                              <w:rPr>
                                <w:rFonts w:ascii="Times New Roman" w:hAnsi="Times New Roman" w:cs="Times New Roman"/>
                              </w:rPr>
                            </w:pP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57" o:spid="_x0000_s1026" o:spt="202" type="#_x0000_t202" style="position:absolute;left:0pt;margin-left:79.75pt;margin-top:5.5pt;height:30.5pt;width:249pt;z-index:-251364352;mso-width-relative:page;mso-height-relative:page;" fillcolor="#FFFFFF" filled="t" stroked="f" coordsize="21600,21600" o:gfxdata="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4CI5TXAAAACQEAAA8AAAAAAAAAAQAgAAAAIgAAAGRycy9kb3ducmV2Lnht&#10;bFBLAQIUABQAAAAIAIdO4kA2fjAt+gEAAOMDAAAOAAAAAAAAAAEAIAAAACYBAABkcnMvZTJvRG9j&#10;LnhtbFBLBQYAAAAABgAGAFkBAACSBQAAAAA=&#10;">
                <v:fill on="t" focussize="0,0"/>
                <v:stroke on="f"/>
                <v:imagedata o:title=""/>
                <o:lock v:ext="edit" aspectratio="f"/>
                <v:textbox inset="0mm,0mm,0mm,0mm">
                  <w:txbxContent>
                    <w:p>
                      <w:pPr>
                        <w:jc w:val="center"/>
                        <w:rPr>
                          <w:rFonts w:ascii="Times New Roman" w:hAnsi="Times New Roman" w:cs="Times New Roman"/>
                          <w:sz w:val="24"/>
                          <w:szCs w:val="24"/>
                        </w:rPr>
                      </w:pPr>
                      <w:r>
                        <w:rPr>
                          <w:rFonts w:ascii="Times New Roman" w:hAnsi="Times New Roman" w:cs="Times New Roman"/>
                          <w:sz w:val="24"/>
                          <w:szCs w:val="24"/>
                        </w:rPr>
                        <w:t>图4.1-</w:t>
                      </w:r>
                      <w:r>
                        <w:rPr>
                          <w:rFonts w:hint="eastAsia" w:ascii="Times New Roman" w:hAnsi="Times New Roman" w:cs="Times New Roman"/>
                          <w:sz w:val="24"/>
                          <w:szCs w:val="24"/>
                        </w:rPr>
                        <w:t>5</w:t>
                      </w:r>
                      <w:r>
                        <w:rPr>
                          <w:rFonts w:ascii="Times New Roman" w:hAnsi="Times New Roman" w:cs="Times New Roman"/>
                          <w:sz w:val="24"/>
                          <w:szCs w:val="24"/>
                        </w:rPr>
                        <w:t xml:space="preserve">    </w:t>
                      </w:r>
                      <w:r>
                        <w:rPr>
                          <w:rFonts w:hint="eastAsia" w:ascii="Times New Roman" w:hAnsi="Times New Roman" w:cs="Times New Roman"/>
                          <w:sz w:val="24"/>
                          <w:szCs w:val="24"/>
                        </w:rPr>
                        <w:t>尿素生产</w:t>
                      </w:r>
                      <w:r>
                        <w:rPr>
                          <w:rFonts w:ascii="Times New Roman" w:hAnsi="Times New Roman" w:cs="Times New Roman"/>
                          <w:sz w:val="24"/>
                          <w:szCs w:val="24"/>
                        </w:rPr>
                        <w:t>工艺流程及产污环节</w:t>
                      </w:r>
                    </w:p>
                    <w:p>
                      <w:pPr>
                        <w:jc w:val="center"/>
                        <w:rPr>
                          <w:rFonts w:ascii="Times New Roman" w:hAnsi="Times New Roman" w:cs="Times New Roman"/>
                        </w:rPr>
                      </w:pPr>
                      <w:r>
                        <w:rPr>
                          <w:rFonts w:ascii="Times New Roman" w:hAnsi="Times New Roman" w:cs="Times New Roman"/>
                        </w:rPr>
                        <w:t>（W：废水    G:废气    N：噪声    S：固废）</w:t>
                      </w:r>
                    </w:p>
                    <w:p>
                      <w:pPr>
                        <w:jc w:val="center"/>
                        <w:rPr>
                          <w:rFonts w:ascii="Times New Roman" w:hAnsi="Times New Roman" w:cs="Times New Roman"/>
                        </w:rPr>
                      </w:pPr>
                    </w:p>
                  </w:txbxContent>
                </v:textbox>
              </v:shape>
            </w:pict>
          </mc:Fallback>
        </mc:AlternateContent>
      </w:r>
    </w:p>
    <w:p w:rsidR="00C861DA" w:rsidRDefault="00C861DA">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2</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 xml:space="preserve"> </w:t>
      </w:r>
      <w:r>
        <w:rPr>
          <w:rFonts w:ascii="Times New Roman" w:eastAsia="宋体" w:hAnsi="Times New Roman" w:cs="Times New Roman"/>
          <w:color w:val="000000" w:themeColor="text1"/>
          <w:kern w:val="1"/>
          <w:sz w:val="24"/>
          <w:szCs w:val="24"/>
        </w:rPr>
        <w:t>二氧化碳压缩</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来合成氨装置脱碳工序的二氧化碳气体（其中</w:t>
      </w:r>
      <w:r>
        <w:rPr>
          <w:rFonts w:ascii="Times New Roman" w:eastAsia="宋体" w:hAnsi="Times New Roman" w:cs="Times New Roman"/>
          <w:color w:val="000000" w:themeColor="text1"/>
          <w:kern w:val="1"/>
          <w:sz w:val="24"/>
          <w:szCs w:val="24"/>
        </w:rPr>
        <w:t>CO</w:t>
      </w:r>
      <w:r>
        <w:rPr>
          <w:rFonts w:ascii="Times New Roman" w:eastAsia="宋体" w:hAnsi="Times New Roman" w:cs="Times New Roman"/>
          <w:color w:val="000000" w:themeColor="text1"/>
          <w:kern w:val="1"/>
          <w:sz w:val="24"/>
          <w:szCs w:val="24"/>
          <w:vertAlign w:val="subscript"/>
        </w:rPr>
        <w:t>2</w:t>
      </w:r>
      <w:r>
        <w:rPr>
          <w:rFonts w:ascii="Times New Roman" w:eastAsia="宋体" w:hAnsi="Times New Roman" w:cs="Times New Roman"/>
          <w:color w:val="000000" w:themeColor="text1"/>
          <w:kern w:val="1"/>
          <w:sz w:val="24"/>
          <w:szCs w:val="24"/>
        </w:rPr>
        <w:t xml:space="preserve">≥98.5%(vol) </w:t>
      </w:r>
      <w:r>
        <w:rPr>
          <w:rFonts w:ascii="Times New Roman" w:eastAsia="宋体" w:hAnsi="Times New Roman" w:cs="Times New Roman"/>
          <w:color w:val="000000" w:themeColor="text1"/>
          <w:kern w:val="1"/>
          <w:sz w:val="24"/>
          <w:szCs w:val="24"/>
        </w:rPr>
        <w:t>），送入界区压力</w:t>
      </w:r>
      <w:r>
        <w:rPr>
          <w:rFonts w:ascii="Times New Roman" w:eastAsia="宋体" w:hAnsi="Times New Roman" w:cs="Times New Roman"/>
          <w:color w:val="000000" w:themeColor="text1"/>
          <w:kern w:val="1"/>
          <w:sz w:val="24"/>
          <w:szCs w:val="24"/>
        </w:rPr>
        <w:t>0.15MPa(A)</w:t>
      </w:r>
      <w:r>
        <w:rPr>
          <w:rFonts w:ascii="Times New Roman" w:eastAsia="宋体" w:hAnsi="Times New Roman" w:cs="Times New Roman"/>
          <w:color w:val="000000" w:themeColor="text1"/>
          <w:kern w:val="1"/>
          <w:sz w:val="24"/>
          <w:szCs w:val="24"/>
        </w:rPr>
        <w:t>，温度</w:t>
      </w:r>
      <w:r>
        <w:rPr>
          <w:rFonts w:ascii="Times New Roman" w:eastAsia="宋体" w:hAnsi="Times New Roman" w:cs="Times New Roman"/>
          <w:color w:val="000000" w:themeColor="text1"/>
          <w:kern w:val="1"/>
          <w:sz w:val="24"/>
          <w:szCs w:val="24"/>
        </w:rPr>
        <w:t>30</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，通过二氧化碳一段入口分离器后再进入二氧化碳压缩机一段入口。二氧化碳气体经离心式</w:t>
      </w:r>
      <w:r>
        <w:rPr>
          <w:rFonts w:ascii="Times New Roman" w:eastAsia="宋体" w:hAnsi="Times New Roman" w:cs="Times New Roman"/>
          <w:color w:val="000000" w:themeColor="text1"/>
          <w:kern w:val="1"/>
          <w:sz w:val="24"/>
          <w:szCs w:val="24"/>
        </w:rPr>
        <w:t>CO</w:t>
      </w:r>
      <w:r>
        <w:rPr>
          <w:rFonts w:ascii="Times New Roman" w:eastAsia="宋体" w:hAnsi="Times New Roman" w:cs="Times New Roman"/>
          <w:color w:val="000000" w:themeColor="text1"/>
          <w:kern w:val="1"/>
          <w:sz w:val="24"/>
          <w:szCs w:val="24"/>
          <w:vertAlign w:val="subscript"/>
        </w:rPr>
        <w:t>2</w:t>
      </w:r>
      <w:r>
        <w:rPr>
          <w:rFonts w:ascii="Times New Roman" w:eastAsia="宋体" w:hAnsi="Times New Roman" w:cs="Times New Roman"/>
          <w:color w:val="000000" w:themeColor="text1"/>
          <w:kern w:val="1"/>
          <w:sz w:val="24"/>
          <w:szCs w:val="24"/>
        </w:rPr>
        <w:t>压缩机压缩到一定压力（约</w:t>
      </w:r>
      <w:r>
        <w:rPr>
          <w:rFonts w:ascii="Times New Roman" w:eastAsia="宋体" w:hAnsi="Times New Roman" w:cs="Times New Roman"/>
          <w:color w:val="000000" w:themeColor="text1"/>
          <w:kern w:val="1"/>
          <w:sz w:val="24"/>
          <w:szCs w:val="24"/>
        </w:rPr>
        <w:t>14.7MPaG</w:t>
      </w:r>
      <w:r>
        <w:rPr>
          <w:rFonts w:ascii="Times New Roman" w:eastAsia="宋体" w:hAnsi="Times New Roman" w:cs="Times New Roman"/>
          <w:color w:val="000000" w:themeColor="text1"/>
          <w:kern w:val="1"/>
          <w:sz w:val="24"/>
          <w:szCs w:val="24"/>
        </w:rPr>
        <w:t>）后去尿素合成高压圈（合成塔和汽提塔）。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二氧化碳气体在进入二氧化碳一段入口分离器之前，加入一定量的空气用于脱氢反应和高压圈设备的防腐，保证进入高压圈之前的氧含量达到</w:t>
      </w:r>
      <w:r>
        <w:rPr>
          <w:rFonts w:ascii="Times New Roman" w:eastAsia="宋体" w:hAnsi="Times New Roman" w:cs="Times New Roman"/>
          <w:color w:val="000000" w:themeColor="text1"/>
          <w:kern w:val="1"/>
          <w:sz w:val="24"/>
          <w:szCs w:val="24"/>
        </w:rPr>
        <w:t xml:space="preserve"> </w:t>
      </w:r>
      <w:r>
        <w:rPr>
          <w:rFonts w:ascii="Times New Roman" w:eastAsia="宋体" w:hAnsi="Times New Roman" w:cs="Times New Roman"/>
          <w:color w:val="000000" w:themeColor="text1"/>
          <w:kern w:val="1"/>
          <w:sz w:val="24"/>
          <w:szCs w:val="24"/>
        </w:rPr>
        <w:t>0.6%(vol)</w:t>
      </w:r>
      <w:r>
        <w:rPr>
          <w:rFonts w:ascii="Times New Roman" w:eastAsia="宋体" w:hAnsi="Times New Roman" w:cs="Times New Roman"/>
          <w:color w:val="000000" w:themeColor="text1"/>
          <w:kern w:val="1"/>
          <w:sz w:val="24"/>
          <w:szCs w:val="24"/>
        </w:rPr>
        <w:t>。脱氢的目的是降低高压洗涤器出口气体中的氢含量，避免氢的浓度进入爆炸限，脱氢使用贵金属催化剂（</w:t>
      </w:r>
      <w:r>
        <w:rPr>
          <w:rFonts w:ascii="Times New Roman" w:eastAsia="宋体" w:hAnsi="Times New Roman" w:cs="Times New Roman"/>
          <w:color w:val="000000" w:themeColor="text1"/>
          <w:kern w:val="1"/>
          <w:sz w:val="24"/>
          <w:szCs w:val="24"/>
        </w:rPr>
        <w:t>Pt/Pb</w:t>
      </w:r>
      <w:r>
        <w:rPr>
          <w:rFonts w:ascii="Times New Roman" w:eastAsia="宋体" w:hAnsi="Times New Roman" w:cs="Times New Roman"/>
          <w:color w:val="000000" w:themeColor="text1"/>
          <w:kern w:val="1"/>
          <w:sz w:val="24"/>
          <w:szCs w:val="24"/>
        </w:rPr>
        <w:t>含量约</w:t>
      </w:r>
      <w:r>
        <w:rPr>
          <w:rFonts w:ascii="Times New Roman" w:eastAsia="宋体" w:hAnsi="Times New Roman" w:cs="Times New Roman"/>
          <w:color w:val="000000" w:themeColor="text1"/>
          <w:kern w:val="1"/>
          <w:sz w:val="24"/>
          <w:szCs w:val="24"/>
        </w:rPr>
        <w:t>0.3%</w:t>
      </w:r>
      <w:r>
        <w:rPr>
          <w:rFonts w:ascii="Times New Roman" w:eastAsia="宋体" w:hAnsi="Times New Roman" w:cs="Times New Roman"/>
          <w:color w:val="000000" w:themeColor="text1"/>
          <w:kern w:val="1"/>
          <w:sz w:val="24"/>
          <w:szCs w:val="24"/>
        </w:rPr>
        <w:t>的氧化铝球，装填量约</w:t>
      </w:r>
      <w:r>
        <w:rPr>
          <w:rFonts w:ascii="Times New Roman" w:eastAsia="宋体" w:hAnsi="Times New Roman" w:cs="Times New Roman"/>
          <w:color w:val="000000" w:themeColor="text1"/>
          <w:kern w:val="1"/>
          <w:sz w:val="24"/>
          <w:szCs w:val="24"/>
        </w:rPr>
        <w:t>1.1m</w:t>
      </w:r>
      <w:r>
        <w:rPr>
          <w:rFonts w:ascii="Times New Roman" w:eastAsia="宋体" w:hAnsi="Times New Roman" w:cs="Times New Roman"/>
          <w:color w:val="000000" w:themeColor="text1"/>
          <w:kern w:val="1"/>
          <w:sz w:val="24"/>
          <w:szCs w:val="24"/>
          <w:vertAlign w:val="superscript"/>
        </w:rPr>
        <w:t>3</w:t>
      </w:r>
      <w:r>
        <w:rPr>
          <w:rFonts w:ascii="Times New Roman" w:eastAsia="宋体" w:hAnsi="Times New Roman" w:cs="Times New Roman"/>
          <w:color w:val="000000" w:themeColor="text1"/>
          <w:kern w:val="1"/>
          <w:sz w:val="24"/>
          <w:szCs w:val="24"/>
        </w:rPr>
        <w:t>，使用寿命不低于</w:t>
      </w:r>
      <w:r>
        <w:rPr>
          <w:rFonts w:ascii="Times New Roman" w:eastAsia="宋体" w:hAnsi="Times New Roman" w:cs="Times New Roman"/>
          <w:color w:val="000000" w:themeColor="text1"/>
          <w:kern w:val="1"/>
          <w:sz w:val="24"/>
          <w:szCs w:val="24"/>
        </w:rPr>
        <w:t>3</w:t>
      </w:r>
      <w:r>
        <w:rPr>
          <w:rFonts w:ascii="Times New Roman" w:eastAsia="宋体" w:hAnsi="Times New Roman" w:cs="Times New Roman"/>
          <w:color w:val="000000" w:themeColor="text1"/>
          <w:kern w:val="1"/>
          <w:sz w:val="24"/>
          <w:szCs w:val="24"/>
        </w:rPr>
        <w:t>年，废旧催化剂由催化剂厂家回收再利用），保证压缩机出口二氧化碳气体中的氢气含量低于</w:t>
      </w:r>
      <w:r>
        <w:rPr>
          <w:rFonts w:ascii="Times New Roman" w:eastAsia="宋体" w:hAnsi="Times New Roman" w:cs="Times New Roman"/>
          <w:color w:val="000000" w:themeColor="text1"/>
          <w:kern w:val="1"/>
          <w:sz w:val="24"/>
          <w:szCs w:val="24"/>
        </w:rPr>
        <w:t xml:space="preserve">50ppm </w:t>
      </w:r>
      <w:r>
        <w:rPr>
          <w:rFonts w:ascii="Times New Roman" w:eastAsia="宋体" w:hAnsi="Times New Roman" w:cs="Times New Roman"/>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来自上游合成氨装置脱碳工序的</w:t>
      </w:r>
      <w:r>
        <w:rPr>
          <w:rFonts w:ascii="Times New Roman" w:eastAsia="宋体" w:hAnsi="Times New Roman" w:cs="Times New Roman"/>
          <w:color w:val="000000" w:themeColor="text1"/>
          <w:kern w:val="1"/>
          <w:sz w:val="24"/>
          <w:szCs w:val="24"/>
        </w:rPr>
        <w:t>CO</w:t>
      </w:r>
      <w:r>
        <w:rPr>
          <w:rFonts w:ascii="Times New Roman" w:eastAsia="宋体" w:hAnsi="Times New Roman" w:cs="Times New Roman"/>
          <w:color w:val="000000" w:themeColor="text1"/>
          <w:kern w:val="1"/>
          <w:sz w:val="24"/>
          <w:szCs w:val="24"/>
          <w:vertAlign w:val="subscript"/>
        </w:rPr>
        <w:t>2</w:t>
      </w:r>
      <w:r>
        <w:rPr>
          <w:rFonts w:ascii="Times New Roman" w:eastAsia="宋体" w:hAnsi="Times New Roman" w:cs="Times New Roman"/>
          <w:color w:val="000000" w:themeColor="text1"/>
          <w:kern w:val="1"/>
          <w:sz w:val="24"/>
          <w:szCs w:val="24"/>
        </w:rPr>
        <w:t>气体为饱和气体，夹带有微量的</w:t>
      </w:r>
      <w:r>
        <w:rPr>
          <w:rFonts w:ascii="Times New Roman" w:eastAsia="宋体" w:hAnsi="Times New Roman" w:cs="Times New Roman"/>
          <w:color w:val="000000" w:themeColor="text1"/>
          <w:kern w:val="1"/>
          <w:sz w:val="24"/>
          <w:szCs w:val="24"/>
        </w:rPr>
        <w:t>MDEA</w:t>
      </w:r>
      <w:r>
        <w:rPr>
          <w:rFonts w:ascii="Times New Roman" w:eastAsia="宋体" w:hAnsi="Times New Roman" w:cs="Times New Roman"/>
          <w:color w:val="000000" w:themeColor="text1"/>
          <w:kern w:val="1"/>
          <w:sz w:val="24"/>
          <w:szCs w:val="24"/>
        </w:rPr>
        <w:t>，甲醇和</w:t>
      </w:r>
      <w:r>
        <w:rPr>
          <w:rFonts w:ascii="Times New Roman" w:eastAsia="宋体" w:hAnsi="Times New Roman" w:cs="Times New Roman"/>
          <w:color w:val="000000" w:themeColor="text1"/>
          <w:kern w:val="1"/>
          <w:sz w:val="24"/>
          <w:szCs w:val="24"/>
        </w:rPr>
        <w:t>NH</w:t>
      </w:r>
      <w:r>
        <w:rPr>
          <w:rFonts w:ascii="Times New Roman" w:eastAsia="宋体" w:hAnsi="Times New Roman" w:cs="Times New Roman"/>
          <w:color w:val="000000" w:themeColor="text1"/>
          <w:kern w:val="1"/>
          <w:sz w:val="24"/>
          <w:szCs w:val="24"/>
          <w:vertAlign w:val="subscript"/>
        </w:rPr>
        <w:t>3</w:t>
      </w:r>
      <w:r>
        <w:rPr>
          <w:rFonts w:ascii="Times New Roman" w:eastAsia="宋体" w:hAnsi="Times New Roman" w:cs="Times New Roman"/>
          <w:color w:val="000000" w:themeColor="text1"/>
          <w:kern w:val="1"/>
          <w:sz w:val="24"/>
          <w:szCs w:val="24"/>
        </w:rPr>
        <w:t>，经压缩机压缩后水蒸气被冷凝，经分离器分离出的液体（仅含微量</w:t>
      </w:r>
      <w:r>
        <w:rPr>
          <w:rFonts w:ascii="Times New Roman" w:eastAsia="宋体" w:hAnsi="Times New Roman" w:cs="Times New Roman"/>
          <w:color w:val="000000" w:themeColor="text1"/>
          <w:kern w:val="1"/>
          <w:sz w:val="24"/>
          <w:szCs w:val="24"/>
        </w:rPr>
        <w:t>MDEA</w:t>
      </w:r>
      <w:r>
        <w:rPr>
          <w:rFonts w:ascii="Times New Roman" w:eastAsia="宋体" w:hAnsi="Times New Roman" w:cs="Times New Roman"/>
          <w:color w:val="000000" w:themeColor="text1"/>
          <w:kern w:val="1"/>
          <w:sz w:val="24"/>
          <w:szCs w:val="24"/>
        </w:rPr>
        <w:t>，甲醇和</w:t>
      </w:r>
      <w:r>
        <w:rPr>
          <w:rFonts w:ascii="Times New Roman" w:eastAsia="宋体" w:hAnsi="Times New Roman" w:cs="Times New Roman"/>
          <w:color w:val="000000" w:themeColor="text1"/>
          <w:kern w:val="1"/>
          <w:sz w:val="24"/>
          <w:szCs w:val="24"/>
        </w:rPr>
        <w:t>NH</w:t>
      </w:r>
      <w:r>
        <w:rPr>
          <w:rFonts w:ascii="Times New Roman" w:eastAsia="宋体" w:hAnsi="Times New Roman" w:cs="Times New Roman"/>
          <w:color w:val="000000" w:themeColor="text1"/>
          <w:kern w:val="1"/>
          <w:sz w:val="24"/>
          <w:szCs w:val="24"/>
          <w:vertAlign w:val="subscript"/>
        </w:rPr>
        <w:t>3</w:t>
      </w:r>
      <w:r>
        <w:rPr>
          <w:rFonts w:ascii="Times New Roman" w:eastAsia="宋体" w:hAnsi="Times New Roman" w:cs="Times New Roman"/>
          <w:color w:val="000000" w:themeColor="text1"/>
          <w:kern w:val="1"/>
          <w:sz w:val="24"/>
          <w:szCs w:val="24"/>
        </w:rPr>
        <w:t>），总量约</w:t>
      </w:r>
      <w:r>
        <w:rPr>
          <w:rFonts w:ascii="Times New Roman" w:eastAsia="宋体" w:hAnsi="Times New Roman" w:cs="Times New Roman"/>
          <w:color w:val="000000" w:themeColor="text1"/>
          <w:kern w:val="1"/>
          <w:sz w:val="24"/>
          <w:szCs w:val="24"/>
        </w:rPr>
        <w:t>0.85t/h</w:t>
      </w:r>
      <w:r>
        <w:rPr>
          <w:rFonts w:ascii="Times New Roman" w:eastAsia="宋体" w:hAnsi="Times New Roman" w:cs="Times New Roman"/>
          <w:color w:val="000000" w:themeColor="text1"/>
          <w:kern w:val="1"/>
          <w:sz w:val="24"/>
          <w:szCs w:val="24"/>
        </w:rPr>
        <w:t>，返回上游合成氨装置脱碳工序，不外排。</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3</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尿素高压合成</w:t>
      </w:r>
    </w:p>
    <w:p w:rsidR="00C861DA" w:rsidRDefault="0044752E">
      <w:pPr>
        <w:autoSpaceDE/>
        <w:autoSpaceDN/>
        <w:adjustRightInd/>
        <w:spacing w:line="360" w:lineRule="auto"/>
        <w:ind w:firstLineChars="200" w:firstLine="480"/>
        <w:jc w:val="both"/>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尿素合成需要在高温高压下进行，尿素生产分为两步反应过程。第一步是氨和二氧化碳反应生成氨基甲酸铵（简称甲铵）的平衡反应。</w:t>
      </w:r>
      <w:r>
        <w:rPr>
          <w:rFonts w:ascii="Times New Roman" w:eastAsia="宋体" w:hAnsi="Times New Roman" w:cs="Times New Roman"/>
          <w:color w:val="000000" w:themeColor="text1"/>
          <w:kern w:val="0"/>
          <w:sz w:val="24"/>
          <w:szCs w:val="24"/>
        </w:rPr>
        <w:t xml:space="preserve">    </w:t>
      </w:r>
    </w:p>
    <w:p w:rsidR="00C861DA" w:rsidRDefault="0044752E">
      <w:pPr>
        <w:autoSpaceDE/>
        <w:autoSpaceDN/>
        <w:adjustRightInd/>
        <w:spacing w:line="360" w:lineRule="auto"/>
        <w:ind w:firstLine="200"/>
        <w:jc w:val="both"/>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2NH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object w:dxaOrig="348" w:dyaOrig="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12.6pt" o:ole="">
            <v:imagedata r:id="rId18" o:title=""/>
          </v:shape>
          <o:OLEObject Type="Embed" ProgID="Equation.3" ShapeID="_x0000_i1025" DrawAspect="Content" ObjectID="_1618988636" r:id="rId19"/>
        </w:objec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COONH</w:t>
      </w:r>
      <w:r>
        <w:rPr>
          <w:rFonts w:ascii="Times New Roman" w:eastAsia="宋体" w:hAnsi="Times New Roman" w:cs="Times New Roman"/>
          <w:color w:val="000000" w:themeColor="text1"/>
          <w:kern w:val="0"/>
          <w:sz w:val="24"/>
          <w:szCs w:val="24"/>
          <w:vertAlign w:val="subscript"/>
        </w:rPr>
        <w:t xml:space="preserve">4 </w:t>
      </w:r>
      <w:r>
        <w:rPr>
          <w:rFonts w:ascii="Times New Roman" w:eastAsia="宋体" w:hAnsi="Times New Roman" w:cs="Times New Roman"/>
          <w:color w:val="000000" w:themeColor="text1"/>
          <w:kern w:val="0"/>
          <w:sz w:val="24"/>
          <w:szCs w:val="24"/>
        </w:rPr>
        <w:t xml:space="preserve">            [ΔH=-117kJ/mol]</w:t>
      </w:r>
    </w:p>
    <w:p w:rsidR="00C861DA" w:rsidRDefault="0044752E">
      <w:pPr>
        <w:autoSpaceDE/>
        <w:autoSpaceDN/>
        <w:adjustRightInd/>
        <w:spacing w:line="360" w:lineRule="auto"/>
        <w:ind w:firstLine="200"/>
        <w:jc w:val="both"/>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这是强放热反应，很快达到平衡。</w:t>
      </w:r>
    </w:p>
    <w:p w:rsidR="00C861DA" w:rsidRDefault="0044752E">
      <w:pPr>
        <w:autoSpaceDE/>
        <w:autoSpaceDN/>
        <w:adjustRightInd/>
        <w:spacing w:line="360" w:lineRule="auto"/>
        <w:ind w:firstLine="200"/>
        <w:jc w:val="both"/>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第二步，氨基甲酸铵脱水生成尿素和水的平衡反应：</w:t>
      </w:r>
    </w:p>
    <w:p w:rsidR="00C861DA" w:rsidRDefault="0044752E">
      <w:pPr>
        <w:autoSpaceDE/>
        <w:autoSpaceDN/>
        <w:adjustRightInd/>
        <w:spacing w:line="360" w:lineRule="auto"/>
        <w:ind w:firstLine="200"/>
        <w:jc w:val="both"/>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 xml:space="preserve"> NH</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COONH</w:t>
      </w:r>
      <w:r>
        <w:rPr>
          <w:rFonts w:ascii="Times New Roman" w:eastAsia="宋体" w:hAnsi="Times New Roman" w:cs="Times New Roman"/>
          <w:color w:val="000000" w:themeColor="text1"/>
          <w:kern w:val="0"/>
          <w:sz w:val="24"/>
          <w:szCs w:val="24"/>
          <w:vertAlign w:val="subscript"/>
        </w:rPr>
        <w:t>4</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object w:dxaOrig="348" w:dyaOrig="253">
          <v:shape id="_x0000_i1026" type="#_x0000_t75" style="width:17.4pt;height:12.6pt" o:ole="">
            <v:imagedata r:id="rId18" o:title=""/>
          </v:shape>
          <o:OLEObject Type="Embed" ProgID="Equation.3" ShapeID="_x0000_i1026" DrawAspect="Content" ObjectID="_1618988637" r:id="rId20"/>
        </w:object>
      </w:r>
      <w:r>
        <w:rPr>
          <w:rFonts w:ascii="Times New Roman" w:eastAsia="宋体" w:hAnsi="Times New Roman" w:cs="Times New Roman"/>
          <w:color w:val="000000" w:themeColor="text1"/>
          <w:kern w:val="0"/>
          <w:sz w:val="24"/>
          <w:szCs w:val="24"/>
        </w:rPr>
        <w:t>CO(NH</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hint="eastAsia"/>
          <w:color w:val="000000" w:themeColor="text1"/>
          <w:kern w:val="0"/>
          <w:sz w:val="24"/>
          <w:szCs w:val="24"/>
        </w:rPr>
        <w:t>+H</w:t>
      </w:r>
      <w:r>
        <w:rPr>
          <w:rFonts w:ascii="Times New Roman" w:eastAsia="宋体" w:hAnsi="Times New Roman" w:cs="Times New Roman" w:hint="eastAsia"/>
          <w:color w:val="000000" w:themeColor="text1"/>
          <w:kern w:val="0"/>
          <w:sz w:val="24"/>
          <w:szCs w:val="24"/>
          <w:vertAlign w:val="subscript"/>
        </w:rPr>
        <w:t>2</w:t>
      </w:r>
      <w:r>
        <w:rPr>
          <w:rFonts w:ascii="Times New Roman" w:eastAsia="宋体" w:hAnsi="Times New Roman" w:cs="Times New Roman" w:hint="eastAsia"/>
          <w:color w:val="000000" w:themeColor="text1"/>
          <w:kern w:val="0"/>
          <w:sz w:val="24"/>
          <w:szCs w:val="24"/>
        </w:rPr>
        <w:t>O</w:t>
      </w:r>
      <w:r>
        <w:rPr>
          <w:rFonts w:ascii="Times New Roman" w:eastAsia="宋体" w:hAnsi="Times New Roman" w:cs="Times New Roman"/>
          <w:color w:val="000000" w:themeColor="text1"/>
          <w:kern w:val="0"/>
          <w:sz w:val="24"/>
          <w:szCs w:val="24"/>
        </w:rPr>
        <w:t xml:space="preserve">(ΔH=+15.5kJ/mol)    </w:t>
      </w:r>
    </w:p>
    <w:p w:rsidR="00C861DA" w:rsidRDefault="0044752E">
      <w:pPr>
        <w:autoSpaceDE/>
        <w:autoSpaceDN/>
        <w:adjustRightInd/>
        <w:spacing w:line="360" w:lineRule="auto"/>
        <w:ind w:firstLineChars="200" w:firstLine="480"/>
        <w:jc w:val="both"/>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这是吸热反应，其平衡反应速度相对于第一步来说相当慢，是尿素合成的控制反应。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来自二氧化碳压缩机的高压</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气体，大部分送入汽提塔，在壳侧蒸汽加热条件下，将来自尿素合成塔的反应液（尿素、甲铵和水，</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生成尿素的转化率约</w:t>
      </w:r>
      <w:r>
        <w:rPr>
          <w:rFonts w:ascii="Times New Roman" w:eastAsia="宋体" w:hAnsi="Times New Roman" w:cs="Times New Roman"/>
          <w:color w:val="000000" w:themeColor="text1"/>
          <w:kern w:val="0"/>
          <w:sz w:val="24"/>
          <w:szCs w:val="24"/>
        </w:rPr>
        <w:t>62%</w:t>
      </w:r>
      <w:r>
        <w:rPr>
          <w:rFonts w:ascii="Times New Roman" w:eastAsia="宋体" w:hAnsi="Times New Roman" w:cs="Times New Roman"/>
          <w:color w:val="000000" w:themeColor="text1"/>
          <w:kern w:val="0"/>
          <w:sz w:val="24"/>
          <w:szCs w:val="24"/>
        </w:rPr>
        <w:t>）中的甲铵在汽提塔内分解为</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和</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气体，并送入全冷凝反应器的底部入口，与来自高压洗涤器的甲铵液在全冷凝反应器的下部进行冷凝吸收反应（气体</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和</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冷凝生成甲铵），反应放出大量的热用于副产低压蒸汽，供后续的尿液浓缩使用，多余的蒸汽外供。全冷凝反应器的结构分为上下两个主要部分，氨和二氧化碳在全冷凝反应器下部冷凝段内进行生产甲铵的反应，反应放出大量的热被壳侧的锅炉给水移出，副产低压饱和蒸汽。全冷凝反应器上部为反应段，下部来的甲铵液在上部进行缓慢的甲铵脱水生生成尿素的第二步反应。出全冷凝反应器的反应液（尿素、甲铵和水，</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生成尿素的转化率约</w:t>
      </w:r>
      <w:r>
        <w:rPr>
          <w:rFonts w:ascii="Times New Roman" w:eastAsia="宋体" w:hAnsi="Times New Roman" w:cs="Times New Roman"/>
          <w:color w:val="000000" w:themeColor="text1"/>
          <w:kern w:val="0"/>
          <w:sz w:val="24"/>
          <w:szCs w:val="24"/>
        </w:rPr>
        <w:t>48%</w:t>
      </w:r>
      <w:r>
        <w:rPr>
          <w:rFonts w:ascii="Times New Roman" w:eastAsia="宋体" w:hAnsi="Times New Roman" w:cs="Times New Roman"/>
          <w:color w:val="000000" w:themeColor="text1"/>
          <w:kern w:val="0"/>
          <w:sz w:val="24"/>
          <w:szCs w:val="24"/>
        </w:rPr>
        <w:t>）经高压喷射器升压后进入尿素合成塔进一步反应，同时往尿素合成塔送入一小部分原料</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，以维持尿素合成塔内的热平衡</w:t>
      </w:r>
      <w:r>
        <w:rPr>
          <w:rFonts w:ascii="Times New Roman" w:eastAsia="宋体" w:hAnsi="Times New Roman" w:cs="Times New Roman"/>
          <w:color w:val="000000" w:themeColor="text1"/>
          <w:kern w:val="0"/>
          <w:sz w:val="24"/>
          <w:szCs w:val="24"/>
        </w:rPr>
        <w:t>，出尿素合成塔的反应液相利用压差流入汽提塔，未反应的</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和惰性气体送入全冷凝反应器进行冷凝吸收。出全冷凝反应器的未反应的</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及惰性气体进入高压洗涤器，在高压洗涤器内被来自中压分解回收工序的甲铵液冷凝吸收（通过高压甲铵泵来升压），洗涤后的液体靠重力自流入全冷凝反应器底部。高压洗涤器出口的气体中含少量的氨和二氧化碳，减压后送入尾气吸收器，用尿液蒸发系统产生的工艺冷凝液（</w:t>
      </w:r>
      <w:r>
        <w:rPr>
          <w:rFonts w:ascii="Times New Roman" w:eastAsia="宋体" w:hAnsi="Times New Roman" w:cs="Times New Roman"/>
          <w:color w:val="000000" w:themeColor="text1"/>
          <w:kern w:val="0"/>
          <w:sz w:val="24"/>
          <w:szCs w:val="24"/>
        </w:rPr>
        <w:t>Ur</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1.64%</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4.73%</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1.6%</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H</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O:91.97%, 24.97t/h</w:t>
      </w:r>
      <w:r>
        <w:rPr>
          <w:rFonts w:ascii="Times New Roman" w:eastAsia="宋体" w:hAnsi="Times New Roman" w:cs="Times New Roman"/>
          <w:color w:val="000000" w:themeColor="text1"/>
          <w:kern w:val="0"/>
          <w:sz w:val="24"/>
          <w:szCs w:val="24"/>
        </w:rPr>
        <w:t>）和蒸汽冷凝液（</w:t>
      </w:r>
      <w:r>
        <w:rPr>
          <w:rFonts w:ascii="Times New Roman" w:eastAsia="宋体" w:hAnsi="Times New Roman" w:cs="Times New Roman"/>
          <w:color w:val="000000" w:themeColor="text1"/>
          <w:kern w:val="0"/>
          <w:sz w:val="24"/>
          <w:szCs w:val="24"/>
        </w:rPr>
        <w:t>1t/h</w:t>
      </w:r>
      <w:r>
        <w:rPr>
          <w:rFonts w:ascii="Times New Roman" w:eastAsia="宋体" w:hAnsi="Times New Roman" w:cs="Times New Roman"/>
          <w:color w:val="000000" w:themeColor="text1"/>
          <w:kern w:val="0"/>
          <w:sz w:val="24"/>
          <w:szCs w:val="24"/>
        </w:rPr>
        <w:t>）进</w:t>
      </w:r>
      <w:r>
        <w:rPr>
          <w:rFonts w:ascii="Times New Roman" w:eastAsia="宋体" w:hAnsi="Times New Roman" w:cs="Times New Roman"/>
          <w:color w:val="000000" w:themeColor="text1"/>
          <w:kern w:val="0"/>
          <w:sz w:val="24"/>
          <w:szCs w:val="24"/>
        </w:rPr>
        <w:t>行分段洗涤，经洗涤后的尾气中绝大部分为氮气和氧气，含有极少了的</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含量约</w:t>
      </w:r>
      <w:r>
        <w:rPr>
          <w:rFonts w:ascii="Times New Roman" w:eastAsia="宋体" w:hAnsi="Times New Roman" w:cs="Times New Roman"/>
          <w:color w:val="000000" w:themeColor="text1"/>
          <w:kern w:val="0"/>
          <w:sz w:val="24"/>
          <w:szCs w:val="24"/>
        </w:rPr>
        <w:t>0.35%vol</w:t>
      </w:r>
      <w:r>
        <w:rPr>
          <w:rFonts w:ascii="Times New Roman" w:eastAsia="宋体" w:hAnsi="Times New Roman" w:cs="Times New Roman"/>
          <w:color w:val="000000" w:themeColor="text1"/>
          <w:kern w:val="0"/>
          <w:sz w:val="24"/>
          <w:szCs w:val="24"/>
        </w:rPr>
        <w:t>，其余为氮气和氧气等惰性气体），通过排放筒</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5#</w:t>
      </w:r>
      <w:r>
        <w:rPr>
          <w:rFonts w:ascii="Times New Roman" w:eastAsia="宋体" w:hAnsi="Times New Roman" w:cs="Times New Roman" w:hint="eastAsia"/>
          <w:color w:val="000000" w:themeColor="text1"/>
          <w:kern w:val="0"/>
          <w:sz w:val="24"/>
          <w:szCs w:val="24"/>
        </w:rPr>
        <w:t>排气筒）排放，排气筒高度</w:t>
      </w:r>
      <w:r>
        <w:rPr>
          <w:rFonts w:ascii="Times New Roman" w:eastAsia="宋体" w:hAnsi="Times New Roman" w:cs="Times New Roman" w:hint="eastAsia"/>
          <w:color w:val="000000" w:themeColor="text1"/>
          <w:kern w:val="0"/>
          <w:sz w:val="24"/>
          <w:szCs w:val="24"/>
        </w:rPr>
        <w:t>30m</w:t>
      </w:r>
      <w:r>
        <w:rPr>
          <w:rFonts w:ascii="Times New Roman" w:eastAsia="宋体" w:hAnsi="Times New Roman" w:cs="Times New Roman"/>
          <w:color w:val="000000" w:themeColor="text1"/>
          <w:kern w:val="0"/>
          <w:sz w:val="24"/>
          <w:szCs w:val="24"/>
        </w:rPr>
        <w:t>。洗涤后的洗涤液（</w:t>
      </w:r>
      <w:r>
        <w:rPr>
          <w:rFonts w:ascii="Times New Roman" w:eastAsia="宋体" w:hAnsi="Times New Roman" w:cs="Times New Roman"/>
          <w:color w:val="000000" w:themeColor="text1"/>
          <w:kern w:val="0"/>
          <w:sz w:val="24"/>
          <w:szCs w:val="24"/>
        </w:rPr>
        <w:t>Ur</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1.64%</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5.75%</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3.53%</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H</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O:89.08%</w:t>
      </w:r>
      <w:r>
        <w:rPr>
          <w:rFonts w:ascii="Times New Roman" w:eastAsia="宋体" w:hAnsi="Times New Roman" w:cs="Times New Roman"/>
          <w:color w:val="000000" w:themeColor="text1"/>
          <w:kern w:val="0"/>
          <w:sz w:val="24"/>
          <w:szCs w:val="24"/>
        </w:rPr>
        <w:t>）的一小部分（约</w:t>
      </w:r>
      <w:r>
        <w:rPr>
          <w:rFonts w:ascii="Times New Roman" w:eastAsia="宋体" w:hAnsi="Times New Roman" w:cs="Times New Roman"/>
          <w:color w:val="000000" w:themeColor="text1"/>
          <w:kern w:val="0"/>
          <w:sz w:val="24"/>
          <w:szCs w:val="24"/>
        </w:rPr>
        <w:t>12.76t/h</w:t>
      </w:r>
      <w:r>
        <w:rPr>
          <w:rFonts w:ascii="Times New Roman" w:eastAsia="宋体" w:hAnsi="Times New Roman" w:cs="Times New Roman"/>
          <w:color w:val="000000" w:themeColor="text1"/>
          <w:kern w:val="0"/>
          <w:sz w:val="24"/>
          <w:szCs w:val="24"/>
        </w:rPr>
        <w:t>）送至低压吸收塔，其余的送至氨水槽再进行处理。</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 xml:space="preserve">5)  </w:t>
      </w:r>
      <w:r>
        <w:rPr>
          <w:rFonts w:ascii="Times New Roman" w:eastAsia="宋体" w:hAnsi="Times New Roman" w:cs="Times New Roman"/>
          <w:color w:val="000000" w:themeColor="text1"/>
          <w:kern w:val="0"/>
          <w:sz w:val="24"/>
          <w:szCs w:val="24"/>
        </w:rPr>
        <w:t>中压分解回收工序</w:t>
      </w:r>
      <w:r>
        <w:rPr>
          <w:rFonts w:ascii="Times New Roman" w:eastAsia="宋体" w:hAnsi="Times New Roman" w:cs="Times New Roman"/>
          <w:color w:val="000000" w:themeColor="text1"/>
          <w:kern w:val="0"/>
          <w:sz w:val="24"/>
          <w:szCs w:val="24"/>
        </w:rPr>
        <w:t xml:space="preserve"> </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来自汽提塔的尿素合成液（尿素浓度约</w:t>
      </w:r>
      <w:r>
        <w:rPr>
          <w:rFonts w:ascii="Times New Roman" w:eastAsia="宋体" w:hAnsi="Times New Roman" w:cs="Times New Roman"/>
          <w:color w:val="000000" w:themeColor="text1"/>
          <w:kern w:val="0"/>
          <w:sz w:val="24"/>
          <w:szCs w:val="24"/>
        </w:rPr>
        <w:t>47%</w:t>
      </w:r>
      <w:r>
        <w:rPr>
          <w:rFonts w:ascii="Times New Roman" w:eastAsia="宋体" w:hAnsi="Times New Roman" w:cs="Times New Roman"/>
          <w:color w:val="000000" w:themeColor="text1"/>
          <w:kern w:val="0"/>
          <w:sz w:val="24"/>
          <w:szCs w:val="24"/>
        </w:rPr>
        <w:t>）经汽提塔液位调节阀减压至约</w:t>
      </w:r>
      <w:r>
        <w:rPr>
          <w:rFonts w:ascii="Times New Roman" w:eastAsia="宋体" w:hAnsi="Times New Roman" w:cs="Times New Roman"/>
          <w:color w:val="000000" w:themeColor="text1"/>
          <w:kern w:val="0"/>
          <w:sz w:val="24"/>
          <w:szCs w:val="24"/>
        </w:rPr>
        <w:t>1.7MPa</w:t>
      </w:r>
      <w:r>
        <w:rPr>
          <w:rFonts w:ascii="Times New Roman" w:eastAsia="宋体" w:hAnsi="Times New Roman" w:cs="Times New Roman"/>
          <w:color w:val="000000" w:themeColor="text1"/>
          <w:kern w:val="0"/>
          <w:sz w:val="24"/>
          <w:szCs w:val="24"/>
        </w:rPr>
        <w:t>后入中压分解塔，中压分解塔为填料塔，闪蒸后的液相进入中压分解加热器，中压分解加热器为两段式换热器，分别利用</w:t>
      </w:r>
      <w:r>
        <w:rPr>
          <w:rFonts w:ascii="Times New Roman" w:eastAsia="宋体" w:hAnsi="Times New Roman" w:cs="Times New Roman"/>
          <w:color w:val="000000" w:themeColor="text1"/>
          <w:kern w:val="0"/>
          <w:sz w:val="24"/>
          <w:szCs w:val="24"/>
        </w:rPr>
        <w:t>0.6MPa(A)</w:t>
      </w:r>
      <w:r>
        <w:rPr>
          <w:rFonts w:ascii="Times New Roman" w:eastAsia="宋体" w:hAnsi="Times New Roman" w:cs="Times New Roman"/>
          <w:color w:val="000000" w:themeColor="text1"/>
          <w:kern w:val="0"/>
          <w:sz w:val="24"/>
          <w:szCs w:val="24"/>
        </w:rPr>
        <w:t>的蒸汽和汽提塔壳侧出来的高温蒸汽冷凝液作为热源，来分解尿素合成液里未生成尿素的甲铵液。出中压分解加热器的气液混合物进入中压分解塔的下部进行气液分离，液相经减压后去后续的低压分解回收系统，气体上升进入中压分解塔，经过中压分解塔的填料层，预热尿液后，送至一段蒸发器下部的热能回收段，在进入真空预浓缩器的壳侧之前与</w:t>
      </w:r>
      <w:r>
        <w:rPr>
          <w:rFonts w:ascii="Times New Roman" w:eastAsia="宋体" w:hAnsi="Times New Roman" w:cs="Times New Roman"/>
          <w:color w:val="000000" w:themeColor="text1"/>
          <w:kern w:val="0"/>
          <w:sz w:val="24"/>
          <w:szCs w:val="24"/>
        </w:rPr>
        <w:t>来自中压甲铵泵的甲铵液混合，冷凝热用于浓缩尿液并回收部分冷凝热量。出真空预浓缩器壳侧的气液混合物进入中压甲铵冷凝器进一步冷凝，用密闭循环水移走反应热后，气液混合物在中压吸收塔下部进行分离，气体进入上部填料段，用中压甲铵液和稀氨水吸收，未被吸收的气体经减压后去尾气洗涤器进一步吸收后排入大气。中压吸收塔的操作压力控制在约</w:t>
      </w:r>
      <w:r>
        <w:rPr>
          <w:rFonts w:ascii="Times New Roman" w:eastAsia="宋体" w:hAnsi="Times New Roman" w:cs="Times New Roman"/>
          <w:color w:val="000000" w:themeColor="text1"/>
          <w:kern w:val="0"/>
          <w:sz w:val="24"/>
          <w:szCs w:val="24"/>
        </w:rPr>
        <w:t>1.6MPa</w:t>
      </w:r>
      <w:r>
        <w:rPr>
          <w:rFonts w:ascii="Times New Roman" w:eastAsia="宋体" w:hAnsi="Times New Roman" w:cs="Times New Roman"/>
          <w:color w:val="000000" w:themeColor="text1"/>
          <w:kern w:val="0"/>
          <w:sz w:val="24"/>
          <w:szCs w:val="24"/>
        </w:rPr>
        <w:t>，中压吸收塔底部的甲铵液的温度约</w:t>
      </w:r>
      <w:r>
        <w:rPr>
          <w:rFonts w:ascii="Times New Roman" w:eastAsia="宋体" w:hAnsi="Times New Roman" w:cs="Times New Roman"/>
          <w:color w:val="000000" w:themeColor="text1"/>
          <w:kern w:val="0"/>
          <w:sz w:val="24"/>
          <w:szCs w:val="24"/>
        </w:rPr>
        <w:t>98</w:t>
      </w:r>
      <w:r>
        <w:rPr>
          <w:rFonts w:ascii="宋体" w:eastAsia="宋体" w:hAnsi="宋体" w:cs="宋体" w:hint="eastAsia"/>
          <w:color w:val="000000" w:themeColor="text1"/>
          <w:kern w:val="0"/>
          <w:sz w:val="24"/>
          <w:szCs w:val="24"/>
        </w:rPr>
        <w:t>℃</w:t>
      </w:r>
      <w:r>
        <w:rPr>
          <w:rFonts w:ascii="Times New Roman" w:eastAsia="宋体" w:hAnsi="Times New Roman" w:cs="Times New Roman"/>
          <w:color w:val="000000" w:themeColor="text1"/>
          <w:kern w:val="0"/>
          <w:sz w:val="24"/>
          <w:szCs w:val="24"/>
        </w:rPr>
        <w:t>，含水量约</w:t>
      </w:r>
      <w:r>
        <w:rPr>
          <w:rFonts w:ascii="Times New Roman" w:eastAsia="宋体" w:hAnsi="Times New Roman" w:cs="Times New Roman"/>
          <w:color w:val="000000" w:themeColor="text1"/>
          <w:kern w:val="0"/>
          <w:sz w:val="24"/>
          <w:szCs w:val="24"/>
        </w:rPr>
        <w:t>25%</w:t>
      </w:r>
      <w:r>
        <w:rPr>
          <w:rFonts w:ascii="Times New Roman" w:eastAsia="宋体" w:hAnsi="Times New Roman" w:cs="Times New Roman"/>
          <w:color w:val="000000" w:themeColor="text1"/>
          <w:kern w:val="0"/>
          <w:sz w:val="24"/>
          <w:szCs w:val="24"/>
        </w:rPr>
        <w:t>，通过向中压甲铵冷凝器中加入液氨来调节最佳的氨</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二氧化碳摩尔比（</w:t>
      </w:r>
      <w:r>
        <w:rPr>
          <w:rFonts w:ascii="Times New Roman" w:eastAsia="宋体" w:hAnsi="Times New Roman" w:cs="Times New Roman"/>
          <w:color w:val="000000" w:themeColor="text1"/>
          <w:kern w:val="0"/>
          <w:sz w:val="24"/>
          <w:szCs w:val="24"/>
        </w:rPr>
        <w:t>N/C</w:t>
      </w:r>
      <w:r>
        <w:rPr>
          <w:rFonts w:ascii="Times New Roman" w:eastAsia="宋体" w:hAnsi="Times New Roman" w:cs="Times New Roman"/>
          <w:color w:val="000000" w:themeColor="text1"/>
          <w:kern w:val="0"/>
          <w:sz w:val="24"/>
          <w:szCs w:val="24"/>
        </w:rPr>
        <w:t>）。中压吸收塔底部的甲铵液经离心式高压甲铵泵升压后送入高压</w:t>
      </w:r>
      <w:r>
        <w:rPr>
          <w:rFonts w:ascii="Times New Roman" w:eastAsia="宋体" w:hAnsi="Times New Roman" w:cs="Times New Roman"/>
          <w:color w:val="000000" w:themeColor="text1"/>
          <w:kern w:val="0"/>
          <w:sz w:val="24"/>
          <w:szCs w:val="24"/>
        </w:rPr>
        <w:t>洗涤器，吸收全冷凝反应器出口的气相。</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 xml:space="preserve">6)  </w:t>
      </w:r>
      <w:r>
        <w:rPr>
          <w:rFonts w:ascii="Times New Roman" w:eastAsia="宋体" w:hAnsi="Times New Roman" w:cs="Times New Roman"/>
          <w:color w:val="000000" w:themeColor="text1"/>
          <w:kern w:val="0"/>
          <w:sz w:val="24"/>
          <w:szCs w:val="24"/>
        </w:rPr>
        <w:t>低压分解回收工序</w:t>
      </w:r>
      <w:r>
        <w:rPr>
          <w:rFonts w:ascii="Times New Roman" w:eastAsia="宋体" w:hAnsi="Times New Roman" w:cs="Times New Roman"/>
          <w:color w:val="000000" w:themeColor="text1"/>
          <w:kern w:val="0"/>
          <w:sz w:val="24"/>
          <w:szCs w:val="24"/>
        </w:rPr>
        <w:t xml:space="preserve"> </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来自中压分解塔的尿液（浓度约</w:t>
      </w:r>
      <w:r>
        <w:rPr>
          <w:rFonts w:ascii="Times New Roman" w:eastAsia="宋体" w:hAnsi="Times New Roman" w:cs="Times New Roman"/>
          <w:color w:val="000000" w:themeColor="text1"/>
          <w:kern w:val="0"/>
          <w:sz w:val="24"/>
          <w:szCs w:val="24"/>
        </w:rPr>
        <w:t>60%</w:t>
      </w:r>
      <w:r>
        <w:rPr>
          <w:rFonts w:ascii="Times New Roman" w:eastAsia="宋体" w:hAnsi="Times New Roman" w:cs="Times New Roman"/>
          <w:color w:val="000000" w:themeColor="text1"/>
          <w:kern w:val="0"/>
          <w:sz w:val="24"/>
          <w:szCs w:val="24"/>
        </w:rPr>
        <w:t>）减压后送至低压分解塔，低压分解塔加热器使用全冷凝反应器副产的低压蒸汽加热，甲铵进一步分解，液体经液位控制阀减压后流入闪蒸槽。气体送到低压甲铵冷凝器，冷凝热直接用循环冷却水所带走。冷凝后的气液混合物从低压甲铵冷凝器上部溢流到低压吸收塔的下部液位槽，进行气液分离。甲铵液经中压甲铵泵升压后大部分送入真空预浓缩器壳侧，小部分送至中压吸收塔顶部来洗涤中压吸收塔气体中未冷凝的氨和</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。低压吸收塔上段用冷却后的蒸汽冷凝</w:t>
      </w:r>
      <w:r>
        <w:rPr>
          <w:rFonts w:ascii="Times New Roman" w:eastAsia="宋体" w:hAnsi="Times New Roman" w:cs="Times New Roman"/>
          <w:color w:val="000000" w:themeColor="text1"/>
          <w:kern w:val="0"/>
          <w:sz w:val="24"/>
          <w:szCs w:val="24"/>
        </w:rPr>
        <w:t>液进行</w:t>
      </w:r>
      <w:r>
        <w:rPr>
          <w:rFonts w:ascii="Times New Roman" w:eastAsia="宋体" w:hAnsi="Times New Roman" w:cs="Times New Roman" w:hint="eastAsia"/>
          <w:color w:val="000000" w:themeColor="text1"/>
          <w:kern w:val="0"/>
          <w:sz w:val="24"/>
          <w:szCs w:val="24"/>
        </w:rPr>
        <w:t>洗涤</w:t>
      </w:r>
      <w:r>
        <w:rPr>
          <w:rFonts w:ascii="Times New Roman" w:eastAsia="宋体" w:hAnsi="Times New Roman" w:cs="Times New Roman"/>
          <w:color w:val="000000" w:themeColor="text1"/>
          <w:kern w:val="0"/>
          <w:sz w:val="24"/>
          <w:szCs w:val="24"/>
        </w:rPr>
        <w:t>，尾气送至</w:t>
      </w:r>
      <w:r>
        <w:rPr>
          <w:rFonts w:ascii="Times New Roman" w:eastAsia="宋体" w:hAnsi="Times New Roman" w:cs="Times New Roman" w:hint="eastAsia"/>
          <w:color w:val="000000" w:themeColor="text1"/>
          <w:kern w:val="0"/>
          <w:sz w:val="24"/>
          <w:szCs w:val="24"/>
        </w:rPr>
        <w:t>尾气洗涤器</w:t>
      </w:r>
      <w:r>
        <w:rPr>
          <w:rFonts w:ascii="Times New Roman" w:eastAsia="宋体" w:hAnsi="Times New Roman" w:cs="Times New Roman"/>
          <w:color w:val="000000" w:themeColor="text1"/>
          <w:kern w:val="0"/>
          <w:sz w:val="24"/>
          <w:szCs w:val="24"/>
        </w:rPr>
        <w:t>进一步洗涤后</w:t>
      </w:r>
      <w:r>
        <w:rPr>
          <w:rFonts w:ascii="Times New Roman" w:eastAsia="宋体" w:hAnsi="Times New Roman" w:cs="Times New Roman" w:hint="eastAsia"/>
          <w:color w:val="000000" w:themeColor="text1"/>
          <w:kern w:val="0"/>
          <w:sz w:val="24"/>
          <w:szCs w:val="24"/>
        </w:rPr>
        <w:t>排放</w:t>
      </w:r>
      <w:r>
        <w:rPr>
          <w:rFonts w:ascii="Times New Roman" w:eastAsia="宋体" w:hAnsi="Times New Roman" w:cs="Times New Roman"/>
          <w:color w:val="000000" w:themeColor="text1"/>
          <w:kern w:val="0"/>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 xml:space="preserve">7)  </w:t>
      </w:r>
      <w:r>
        <w:rPr>
          <w:rFonts w:ascii="Times New Roman" w:eastAsia="宋体" w:hAnsi="Times New Roman" w:cs="Times New Roman"/>
          <w:color w:val="000000" w:themeColor="text1"/>
          <w:kern w:val="0"/>
          <w:sz w:val="24"/>
          <w:szCs w:val="24"/>
        </w:rPr>
        <w:t>尿液蒸发</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出低压分解塔底部的尿素溶液，经液位控制阀减压后，送到真空预浓缩分离器，有相当一部分水、</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和</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闪蒸出来。分离后的尿液经降膜式真空预浓缩器进行浓缩，浓缩后的尿液浓度约为</w:t>
      </w:r>
      <w:r>
        <w:rPr>
          <w:rFonts w:ascii="Times New Roman" w:eastAsia="宋体" w:hAnsi="Times New Roman" w:cs="Times New Roman"/>
          <w:color w:val="000000" w:themeColor="text1"/>
          <w:kern w:val="0"/>
          <w:sz w:val="24"/>
          <w:szCs w:val="24"/>
        </w:rPr>
        <w:t>90%(wt)</w:t>
      </w:r>
      <w:r>
        <w:rPr>
          <w:rFonts w:ascii="Times New Roman" w:eastAsia="宋体" w:hAnsi="Times New Roman" w:cs="Times New Roman"/>
          <w:color w:val="000000" w:themeColor="text1"/>
          <w:kern w:val="0"/>
          <w:sz w:val="24"/>
          <w:szCs w:val="24"/>
        </w:rPr>
        <w:t>，正常生产是由尿液泵送入一段蒸发器，造粒短停时，尿液送至尿液槽，再开车后就经尿液回收泵送至一段蒸发器。尿液在一段蒸发器内被蒸汽加热而进一步提浓，一段蒸发器的操作压力约在</w:t>
      </w:r>
      <w:r>
        <w:rPr>
          <w:rFonts w:ascii="Times New Roman" w:eastAsia="宋体" w:hAnsi="Times New Roman" w:cs="Times New Roman"/>
          <w:color w:val="000000" w:themeColor="text1"/>
          <w:kern w:val="0"/>
          <w:sz w:val="24"/>
          <w:szCs w:val="24"/>
        </w:rPr>
        <w:t>0.03MPa(A)</w:t>
      </w:r>
      <w:r>
        <w:rPr>
          <w:rFonts w:ascii="Times New Roman" w:eastAsia="宋体" w:hAnsi="Times New Roman" w:cs="Times New Roman"/>
          <w:color w:val="000000" w:themeColor="text1"/>
          <w:kern w:val="0"/>
          <w:sz w:val="24"/>
          <w:szCs w:val="24"/>
        </w:rPr>
        <w:t>，气液混合物在一段蒸发器分离内分离，尿液在去二段蒸发器。二段蒸发器在</w:t>
      </w:r>
      <w:r>
        <w:rPr>
          <w:rFonts w:ascii="Times New Roman" w:eastAsia="宋体" w:hAnsi="Times New Roman" w:cs="Times New Roman"/>
          <w:color w:val="000000" w:themeColor="text1"/>
          <w:kern w:val="0"/>
          <w:sz w:val="24"/>
          <w:szCs w:val="24"/>
        </w:rPr>
        <w:t>0.003MPa(A)</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138</w:t>
      </w:r>
      <w:r>
        <w:rPr>
          <w:rFonts w:ascii="宋体" w:eastAsia="宋体" w:hAnsi="宋体" w:cs="宋体" w:hint="eastAsia"/>
          <w:color w:val="000000" w:themeColor="text1"/>
          <w:kern w:val="0"/>
          <w:sz w:val="24"/>
          <w:szCs w:val="24"/>
        </w:rPr>
        <w:t>℃</w:t>
      </w:r>
      <w:r>
        <w:rPr>
          <w:rFonts w:ascii="Times New Roman" w:eastAsia="宋体" w:hAnsi="Times New Roman" w:cs="Times New Roman"/>
          <w:color w:val="000000" w:themeColor="text1"/>
          <w:kern w:val="0"/>
          <w:sz w:val="24"/>
          <w:szCs w:val="24"/>
        </w:rPr>
        <w:t>下操作，尿液被浓缩到约</w:t>
      </w:r>
      <w:r>
        <w:rPr>
          <w:rFonts w:ascii="Times New Roman" w:eastAsia="宋体" w:hAnsi="Times New Roman" w:cs="Times New Roman"/>
          <w:color w:val="000000" w:themeColor="text1"/>
          <w:kern w:val="0"/>
          <w:sz w:val="24"/>
          <w:szCs w:val="24"/>
        </w:rPr>
        <w:t>99.7%(wt)</w:t>
      </w:r>
      <w:r>
        <w:rPr>
          <w:rFonts w:ascii="Times New Roman" w:eastAsia="宋体" w:hAnsi="Times New Roman" w:cs="Times New Roman"/>
          <w:color w:val="000000" w:themeColor="text1"/>
          <w:kern w:val="0"/>
          <w:sz w:val="24"/>
          <w:szCs w:val="24"/>
        </w:rPr>
        <w:t>，成为熔融尿素，经二段蒸发分离器分离后，熔融尿素由熔融泵送往位于复合肥造粒塔顶部，与其它配料混合后</w:t>
      </w:r>
      <w:r>
        <w:rPr>
          <w:rFonts w:ascii="Times New Roman" w:eastAsia="宋体" w:hAnsi="Times New Roman" w:cs="Times New Roman"/>
          <w:color w:val="000000" w:themeColor="text1"/>
          <w:kern w:val="0"/>
          <w:sz w:val="24"/>
          <w:szCs w:val="24"/>
        </w:rPr>
        <w:t>进入旋转喷头进行造粒。</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真空预浓缩分离器的气相与一段蒸发分离器的气相一起送至一段蒸发冷凝器冷凝。一段蒸发冷凝器的未凝气由一段蒸发喷射器抽出送至最终冷凝器；二段蒸发分离器气相经升压器升压后直接送至二段蒸发冷凝器冷凝，未凝气由二段蒸发第一喷射器抽出送至二段蒸发后冷凝器冷凝，不凝气由二段蒸发第二喷射器抽出送入最终冷凝器进行冷凝，不凝气排大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8</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hint="eastAsia"/>
          <w:color w:val="000000" w:themeColor="text1"/>
          <w:kern w:val="0"/>
          <w:sz w:val="24"/>
          <w:szCs w:val="24"/>
        </w:rPr>
        <w:t>解析</w:t>
      </w:r>
      <w:r>
        <w:rPr>
          <w:rFonts w:ascii="Times New Roman" w:eastAsia="宋体" w:hAnsi="Times New Roman" w:cs="Times New Roman"/>
          <w:color w:val="000000" w:themeColor="text1"/>
          <w:kern w:val="0"/>
          <w:sz w:val="24"/>
          <w:szCs w:val="24"/>
        </w:rPr>
        <w:t>和水解</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尿液蒸发系统产生的蒸发冷凝液，均含有一定量的氨和少量尿素。经真空</w:t>
      </w:r>
      <w:r>
        <w:rPr>
          <w:rFonts w:ascii="Times New Roman" w:eastAsia="宋体" w:hAnsi="Times New Roman" w:cs="Times New Roman" w:hint="eastAsia"/>
          <w:color w:val="000000" w:themeColor="text1"/>
          <w:kern w:val="0"/>
          <w:sz w:val="24"/>
          <w:szCs w:val="24"/>
        </w:rPr>
        <w:t>泵打</w:t>
      </w:r>
      <w:r>
        <w:rPr>
          <w:rFonts w:ascii="Times New Roman" w:eastAsia="宋体" w:hAnsi="Times New Roman" w:cs="Times New Roman"/>
          <w:color w:val="000000" w:themeColor="text1"/>
          <w:kern w:val="0"/>
          <w:sz w:val="24"/>
          <w:szCs w:val="24"/>
        </w:rPr>
        <w:t>入氨水槽。氨水槽内用隔板分为三个间隔</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二小一大</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各间隔之间在下部有孔连通。因此，液位相同但不完全相混。大间隔用来贮存装置排放液或冲洗的工艺液体。蒸发冷凝液流入第一小间隔，用尾气洗涤器给料泵送往尾气洗涤器，尾气洗涤器的出液进入经尾气洗涤器出液冷凝器冷却后，少部分用于低压吸收塔的吸收剂，大部分送至氨水槽第三隔间，由</w:t>
      </w:r>
      <w:r>
        <w:rPr>
          <w:rFonts w:ascii="Times New Roman" w:eastAsia="宋体" w:hAnsi="Times New Roman" w:cs="Times New Roman" w:hint="eastAsia"/>
          <w:color w:val="000000" w:themeColor="text1"/>
          <w:kern w:val="0"/>
          <w:sz w:val="24"/>
          <w:szCs w:val="24"/>
        </w:rPr>
        <w:t>解析</w:t>
      </w:r>
      <w:r>
        <w:rPr>
          <w:rFonts w:ascii="Times New Roman" w:eastAsia="宋体" w:hAnsi="Times New Roman" w:cs="Times New Roman"/>
          <w:color w:val="000000" w:themeColor="text1"/>
          <w:kern w:val="0"/>
          <w:sz w:val="24"/>
          <w:szCs w:val="24"/>
        </w:rPr>
        <w:t>塔给料泵送至</w:t>
      </w:r>
      <w:r>
        <w:rPr>
          <w:rFonts w:ascii="Times New Roman" w:eastAsia="宋体" w:hAnsi="Times New Roman" w:cs="Times New Roman" w:hint="eastAsia"/>
          <w:color w:val="000000" w:themeColor="text1"/>
          <w:kern w:val="0"/>
          <w:sz w:val="24"/>
          <w:szCs w:val="24"/>
        </w:rPr>
        <w:t>解析</w:t>
      </w:r>
      <w:r>
        <w:rPr>
          <w:rFonts w:ascii="Times New Roman" w:eastAsia="宋体" w:hAnsi="Times New Roman" w:cs="Times New Roman"/>
          <w:color w:val="000000" w:themeColor="text1"/>
          <w:kern w:val="0"/>
          <w:sz w:val="24"/>
          <w:szCs w:val="24"/>
        </w:rPr>
        <w:t>、水解系统。水解采用</w:t>
      </w:r>
      <w:r>
        <w:rPr>
          <w:rFonts w:ascii="Times New Roman" w:eastAsia="宋体" w:hAnsi="Times New Roman" w:cs="Times New Roman"/>
          <w:color w:val="000000" w:themeColor="text1"/>
          <w:kern w:val="0"/>
          <w:sz w:val="24"/>
          <w:szCs w:val="24"/>
        </w:rPr>
        <w:t>2.0MPaG</w:t>
      </w:r>
      <w:r>
        <w:rPr>
          <w:rFonts w:ascii="Times New Roman" w:eastAsia="宋体" w:hAnsi="Times New Roman" w:cs="Times New Roman"/>
          <w:color w:val="000000" w:themeColor="text1"/>
          <w:kern w:val="0"/>
          <w:sz w:val="24"/>
          <w:szCs w:val="24"/>
        </w:rPr>
        <w:t>立式水解塔，</w:t>
      </w:r>
      <w:r>
        <w:rPr>
          <w:rFonts w:ascii="Times New Roman" w:eastAsia="宋体" w:hAnsi="Times New Roman" w:cs="Times New Roman" w:hint="eastAsia"/>
          <w:color w:val="000000" w:themeColor="text1"/>
          <w:kern w:val="0"/>
          <w:sz w:val="24"/>
          <w:szCs w:val="24"/>
        </w:rPr>
        <w:t>解析</w:t>
      </w:r>
      <w:r>
        <w:rPr>
          <w:rFonts w:ascii="Times New Roman" w:eastAsia="宋体" w:hAnsi="Times New Roman" w:cs="Times New Roman"/>
          <w:color w:val="000000" w:themeColor="text1"/>
          <w:kern w:val="0"/>
          <w:sz w:val="24"/>
          <w:szCs w:val="24"/>
        </w:rPr>
        <w:t>塔采用立式两段式</w:t>
      </w:r>
      <w:r>
        <w:rPr>
          <w:rFonts w:ascii="Times New Roman" w:eastAsia="宋体" w:hAnsi="Times New Roman" w:cs="Times New Roman" w:hint="eastAsia"/>
          <w:color w:val="000000" w:themeColor="text1"/>
          <w:kern w:val="0"/>
          <w:sz w:val="24"/>
          <w:szCs w:val="24"/>
        </w:rPr>
        <w:t>解析</w:t>
      </w:r>
      <w:r>
        <w:rPr>
          <w:rFonts w:ascii="Times New Roman" w:eastAsia="宋体" w:hAnsi="Times New Roman" w:cs="Times New Roman"/>
          <w:color w:val="000000" w:themeColor="text1"/>
          <w:kern w:val="0"/>
          <w:sz w:val="24"/>
          <w:szCs w:val="24"/>
        </w:rPr>
        <w:t>塔。经水解、</w:t>
      </w:r>
      <w:r>
        <w:rPr>
          <w:rFonts w:ascii="Times New Roman" w:eastAsia="宋体" w:hAnsi="Times New Roman" w:cs="Times New Roman" w:hint="eastAsia"/>
          <w:color w:val="000000" w:themeColor="text1"/>
          <w:kern w:val="0"/>
          <w:sz w:val="24"/>
          <w:szCs w:val="24"/>
        </w:rPr>
        <w:t>解析</w:t>
      </w:r>
      <w:r>
        <w:rPr>
          <w:rFonts w:ascii="Times New Roman" w:eastAsia="宋体" w:hAnsi="Times New Roman" w:cs="Times New Roman"/>
          <w:color w:val="000000" w:themeColor="text1"/>
          <w:kern w:val="0"/>
          <w:sz w:val="24"/>
          <w:szCs w:val="24"/>
        </w:rPr>
        <w:t>后的净化工艺冷凝中含氨小于</w:t>
      </w:r>
      <w:r>
        <w:rPr>
          <w:rFonts w:ascii="Times New Roman" w:eastAsia="宋体" w:hAnsi="Times New Roman" w:cs="Times New Roman"/>
          <w:color w:val="000000" w:themeColor="text1"/>
          <w:kern w:val="0"/>
          <w:sz w:val="24"/>
          <w:szCs w:val="24"/>
        </w:rPr>
        <w:t>3ppm</w:t>
      </w:r>
      <w:r>
        <w:rPr>
          <w:rFonts w:ascii="Times New Roman" w:eastAsia="宋体" w:hAnsi="Times New Roman" w:cs="Times New Roman"/>
          <w:color w:val="000000" w:themeColor="text1"/>
          <w:kern w:val="0"/>
          <w:sz w:val="24"/>
          <w:szCs w:val="24"/>
        </w:rPr>
        <w:t>，尿素小于</w:t>
      </w:r>
      <w:r>
        <w:rPr>
          <w:rFonts w:ascii="Times New Roman" w:eastAsia="宋体" w:hAnsi="Times New Roman" w:cs="Times New Roman"/>
          <w:color w:val="000000" w:themeColor="text1"/>
          <w:kern w:val="0"/>
          <w:sz w:val="24"/>
          <w:szCs w:val="24"/>
        </w:rPr>
        <w:t>3ppm</w:t>
      </w:r>
      <w:r>
        <w:rPr>
          <w:rFonts w:ascii="Times New Roman" w:eastAsia="宋体" w:hAnsi="Times New Roman" w:cs="Times New Roman"/>
          <w:color w:val="000000" w:themeColor="text1"/>
          <w:kern w:val="0"/>
          <w:sz w:val="24"/>
          <w:szCs w:val="24"/>
        </w:rPr>
        <w:t>，一部分用作尿基复合肥造粒塔顶粉尘洗涤器</w:t>
      </w:r>
      <w:r>
        <w:rPr>
          <w:rFonts w:ascii="Times New Roman" w:eastAsia="宋体" w:hAnsi="Times New Roman" w:cs="Times New Roman"/>
          <w:color w:val="000000" w:themeColor="text1"/>
          <w:kern w:val="0"/>
          <w:sz w:val="24"/>
          <w:szCs w:val="24"/>
        </w:rPr>
        <w:t>补液，剩余部分送出界区的脱盐水站进行精制，加以回收利用。</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2</w:t>
      </w:r>
      <w:r>
        <w:rPr>
          <w:rFonts w:ascii="Times New Roman" w:eastAsia="宋体" w:hAnsi="Times New Roman" w:cs="Times New Roman" w:hint="eastAsia"/>
          <w:color w:val="000000" w:themeColor="text1"/>
          <w:kern w:val="0"/>
          <w:sz w:val="24"/>
          <w:szCs w:val="24"/>
        </w:rPr>
        <w:t>）产污环节</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1</w:t>
      </w:r>
      <w:r>
        <w:rPr>
          <w:rFonts w:ascii="Times New Roman" w:eastAsia="宋体" w:hAnsi="Times New Roman" w:cs="Times New Roman" w:hint="eastAsia"/>
          <w:color w:val="000000" w:themeColor="text1"/>
          <w:kern w:val="0"/>
          <w:sz w:val="24"/>
          <w:szCs w:val="24"/>
        </w:rPr>
        <w:t>）废水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W4</w:t>
      </w:r>
      <w:r>
        <w:rPr>
          <w:rFonts w:ascii="Times New Roman" w:eastAsia="宋体" w:hAnsi="Times New Roman" w:cs="Times New Roman" w:hint="eastAsia"/>
          <w:color w:val="000000" w:themeColor="text1"/>
          <w:kern w:val="0"/>
          <w:sz w:val="24"/>
          <w:szCs w:val="24"/>
        </w:rPr>
        <w:t>：合成尾气洗涤废水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废水中主要污染物为氨氮，经收集进入生产废水收集池，送祥丰金麦球磨工段用作生产补充水。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W5</w:t>
      </w:r>
      <w:r>
        <w:rPr>
          <w:rFonts w:ascii="Times New Roman" w:eastAsia="宋体" w:hAnsi="Times New Roman" w:cs="Times New Roman" w:hint="eastAsia"/>
          <w:color w:val="000000" w:themeColor="text1"/>
          <w:kern w:val="0"/>
          <w:sz w:val="24"/>
          <w:szCs w:val="24"/>
        </w:rPr>
        <w:t>：中压、低压尾气洗涤废水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废水中主要污染物为氨氮，经收集进入生产废水收集池，送祥丰金麦球磨工段用作生产补充水。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W6</w:t>
      </w:r>
      <w:r>
        <w:rPr>
          <w:rFonts w:ascii="Times New Roman" w:eastAsia="宋体" w:hAnsi="Times New Roman" w:cs="Times New Roman" w:hint="eastAsia"/>
          <w:color w:val="000000" w:themeColor="text1"/>
          <w:kern w:val="0"/>
          <w:sz w:val="24"/>
          <w:szCs w:val="24"/>
        </w:rPr>
        <w:t>：解析水解废水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经水解、</w:t>
      </w:r>
      <w:r>
        <w:rPr>
          <w:rFonts w:ascii="Times New Roman" w:eastAsia="宋体" w:hAnsi="Times New Roman" w:cs="Times New Roman" w:hint="eastAsia"/>
          <w:color w:val="000000" w:themeColor="text1"/>
          <w:kern w:val="0"/>
          <w:sz w:val="24"/>
          <w:szCs w:val="24"/>
        </w:rPr>
        <w:t>解析</w:t>
      </w:r>
      <w:r>
        <w:rPr>
          <w:rFonts w:ascii="Times New Roman" w:eastAsia="宋体" w:hAnsi="Times New Roman" w:cs="Times New Roman"/>
          <w:color w:val="000000" w:themeColor="text1"/>
          <w:kern w:val="0"/>
          <w:sz w:val="24"/>
          <w:szCs w:val="24"/>
        </w:rPr>
        <w:t>后的净化工艺冷凝中含氨小于</w:t>
      </w:r>
      <w:r>
        <w:rPr>
          <w:rFonts w:ascii="Times New Roman" w:eastAsia="宋体" w:hAnsi="Times New Roman" w:cs="Times New Roman"/>
          <w:color w:val="000000" w:themeColor="text1"/>
          <w:kern w:val="0"/>
          <w:sz w:val="24"/>
          <w:szCs w:val="24"/>
        </w:rPr>
        <w:t>3ppm</w:t>
      </w:r>
      <w:r>
        <w:rPr>
          <w:rFonts w:ascii="Times New Roman" w:eastAsia="宋体" w:hAnsi="Times New Roman" w:cs="Times New Roman"/>
          <w:color w:val="000000" w:themeColor="text1"/>
          <w:kern w:val="0"/>
          <w:sz w:val="24"/>
          <w:szCs w:val="24"/>
        </w:rPr>
        <w:t>，尿素小于</w:t>
      </w:r>
      <w:r>
        <w:rPr>
          <w:rFonts w:ascii="Times New Roman" w:eastAsia="宋体" w:hAnsi="Times New Roman" w:cs="Times New Roman"/>
          <w:color w:val="000000" w:themeColor="text1"/>
          <w:kern w:val="0"/>
          <w:sz w:val="24"/>
          <w:szCs w:val="24"/>
        </w:rPr>
        <w:t>3ppm</w:t>
      </w:r>
      <w:r>
        <w:rPr>
          <w:rFonts w:ascii="Times New Roman" w:eastAsia="宋体" w:hAnsi="Times New Roman" w:cs="Times New Roman"/>
          <w:color w:val="000000" w:themeColor="text1"/>
          <w:kern w:val="0"/>
          <w:sz w:val="24"/>
          <w:szCs w:val="24"/>
        </w:rPr>
        <w:t>，一部分用作尿基复合肥造粒塔顶粉尘洗涤器补液，剩余部分送出界区的脱盐水站进行精制，加以回收利用。</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2</w:t>
      </w:r>
      <w:r>
        <w:rPr>
          <w:rFonts w:ascii="Times New Roman" w:eastAsia="宋体" w:hAnsi="Times New Roman" w:cs="Times New Roman" w:hint="eastAsia"/>
          <w:color w:val="000000" w:themeColor="text1"/>
          <w:kern w:val="0"/>
          <w:sz w:val="24"/>
          <w:szCs w:val="24"/>
        </w:rPr>
        <w:t>）废气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G6</w:t>
      </w:r>
      <w:r>
        <w:rPr>
          <w:rFonts w:ascii="Times New Roman" w:eastAsia="宋体" w:hAnsi="Times New Roman" w:cs="Times New Roman" w:hint="eastAsia"/>
          <w:color w:val="000000" w:themeColor="text1"/>
          <w:kern w:val="0"/>
          <w:sz w:val="24"/>
          <w:szCs w:val="24"/>
        </w:rPr>
        <w:t>：尿素</w:t>
      </w:r>
      <w:r>
        <w:rPr>
          <w:rFonts w:ascii="Times New Roman" w:eastAsia="宋体" w:hAnsi="Times New Roman" w:cs="Times New Roman" w:hint="eastAsia"/>
          <w:color w:val="000000" w:themeColor="text1"/>
          <w:kern w:val="0"/>
          <w:sz w:val="24"/>
          <w:szCs w:val="24"/>
        </w:rPr>
        <w:t>合成尾气</w:t>
      </w:r>
    </w:p>
    <w:p w:rsidR="00C861DA" w:rsidRDefault="0044752E">
      <w:pPr>
        <w:widowControl/>
        <w:autoSpaceDE/>
        <w:autoSpaceDN/>
        <w:snapToGrid w:val="0"/>
        <w:spacing w:line="360" w:lineRule="auto"/>
        <w:ind w:firstLineChars="200" w:firstLine="480"/>
        <w:rPr>
          <w:rFonts w:ascii="Tahoma" w:eastAsia="宋体" w:hAnsi="Tahoma" w:cs="Times New Roman"/>
          <w:color w:val="000000" w:themeColor="text1"/>
          <w:kern w:val="0"/>
          <w:sz w:val="22"/>
          <w:szCs w:val="22"/>
        </w:rPr>
      </w:pPr>
      <w:r>
        <w:rPr>
          <w:rFonts w:ascii="Times New Roman" w:eastAsia="宋体" w:hAnsi="Times New Roman" w:cs="Times New Roman"/>
          <w:color w:val="000000" w:themeColor="text1"/>
          <w:kern w:val="0"/>
          <w:sz w:val="24"/>
          <w:szCs w:val="24"/>
        </w:rPr>
        <w:t>出</w:t>
      </w:r>
      <w:r>
        <w:rPr>
          <w:rFonts w:ascii="Times New Roman" w:eastAsia="宋体" w:hAnsi="Times New Roman" w:cs="Times New Roman" w:hint="eastAsia"/>
          <w:color w:val="000000" w:themeColor="text1"/>
          <w:kern w:val="0"/>
          <w:sz w:val="24"/>
          <w:szCs w:val="24"/>
        </w:rPr>
        <w:t>尿素合成装置</w:t>
      </w:r>
      <w:r>
        <w:rPr>
          <w:rFonts w:ascii="Times New Roman" w:eastAsia="宋体" w:hAnsi="Times New Roman" w:cs="Times New Roman"/>
          <w:color w:val="000000" w:themeColor="text1"/>
          <w:kern w:val="0"/>
          <w:sz w:val="24"/>
          <w:szCs w:val="24"/>
        </w:rPr>
        <w:t>全冷凝反应器的未反应的</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及惰性气体进入高压洗涤器，在高压洗涤器内被来自中压分解回收工序的甲铵液冷凝吸收（通过高压甲铵泵来升压），洗涤后的液体靠重力自流入全冷凝反应器底部。高压洗涤器出口的气体中含少量的氨和二氧化碳（</w:t>
      </w:r>
      <w:r>
        <w:rPr>
          <w:rFonts w:ascii="Times New Roman" w:eastAsia="宋体" w:hAnsi="Times New Roman" w:cs="Times New Roman"/>
          <w:color w:val="000000" w:themeColor="text1"/>
          <w:kern w:val="0"/>
          <w:sz w:val="24"/>
          <w:szCs w:val="24"/>
        </w:rPr>
        <w:t>Ur</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1.64%</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4.73%</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1.6%</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H</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O:91.97%</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24.97t/h</w:t>
      </w:r>
      <w:r>
        <w:rPr>
          <w:rFonts w:ascii="Times New Roman" w:eastAsia="宋体" w:hAnsi="Times New Roman" w:cs="Times New Roman"/>
          <w:color w:val="000000" w:themeColor="text1"/>
          <w:kern w:val="0"/>
          <w:sz w:val="24"/>
          <w:szCs w:val="24"/>
        </w:rPr>
        <w:t>），减压后送入尾气吸收器，用尿液蒸发系统产生的工艺冷凝液和蒸汽冷凝液（</w:t>
      </w:r>
      <w:r>
        <w:rPr>
          <w:rFonts w:ascii="Times New Roman" w:eastAsia="宋体" w:hAnsi="Times New Roman" w:cs="Times New Roman"/>
          <w:color w:val="000000" w:themeColor="text1"/>
          <w:kern w:val="0"/>
          <w:sz w:val="24"/>
          <w:szCs w:val="24"/>
        </w:rPr>
        <w:t>1t/h</w:t>
      </w:r>
      <w:r>
        <w:rPr>
          <w:rFonts w:ascii="Times New Roman" w:eastAsia="宋体" w:hAnsi="Times New Roman" w:cs="Times New Roman"/>
          <w:color w:val="000000" w:themeColor="text1"/>
          <w:kern w:val="0"/>
          <w:sz w:val="24"/>
          <w:szCs w:val="24"/>
        </w:rPr>
        <w:t>）进行分段洗涤，经洗涤后的尾气中绝大部分为氮气和氧气，含有极少了的</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含量约</w:t>
      </w:r>
      <w:r>
        <w:rPr>
          <w:rFonts w:ascii="Times New Roman" w:eastAsia="宋体" w:hAnsi="Times New Roman" w:cs="Times New Roman"/>
          <w:color w:val="000000" w:themeColor="text1"/>
          <w:kern w:val="0"/>
          <w:sz w:val="24"/>
          <w:szCs w:val="24"/>
        </w:rPr>
        <w:t>0.35%</w:t>
      </w:r>
      <w:r>
        <w:rPr>
          <w:rFonts w:ascii="Times New Roman" w:eastAsia="宋体" w:hAnsi="Times New Roman" w:cs="Times New Roman"/>
          <w:color w:val="000000" w:themeColor="text1"/>
          <w:kern w:val="0"/>
          <w:sz w:val="24"/>
          <w:szCs w:val="24"/>
        </w:rPr>
        <w:t>，其余为氮气和氧气等惰性气体），通过排放筒</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5#</w:t>
      </w:r>
      <w:r>
        <w:rPr>
          <w:rFonts w:ascii="Times New Roman" w:eastAsia="宋体" w:hAnsi="Times New Roman" w:cs="Times New Roman" w:hint="eastAsia"/>
          <w:color w:val="000000" w:themeColor="text1"/>
          <w:kern w:val="0"/>
          <w:sz w:val="24"/>
          <w:szCs w:val="24"/>
        </w:rPr>
        <w:t>排气筒）排放，排气筒高度</w:t>
      </w:r>
      <w:r>
        <w:rPr>
          <w:rFonts w:ascii="Times New Roman" w:eastAsia="宋体" w:hAnsi="Times New Roman" w:cs="Times New Roman" w:hint="eastAsia"/>
          <w:color w:val="000000" w:themeColor="text1"/>
          <w:kern w:val="0"/>
          <w:sz w:val="24"/>
          <w:szCs w:val="24"/>
        </w:rPr>
        <w:t>30m</w:t>
      </w:r>
      <w:r>
        <w:rPr>
          <w:rFonts w:ascii="Times New Roman" w:eastAsia="宋体" w:hAnsi="Times New Roman" w:cs="Times New Roman" w:hint="eastAsia"/>
          <w:color w:val="000000" w:themeColor="text1"/>
          <w:kern w:val="0"/>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G7</w:t>
      </w:r>
      <w:r>
        <w:rPr>
          <w:rFonts w:ascii="Times New Roman" w:eastAsia="宋体" w:hAnsi="Times New Roman" w:cs="Times New Roman" w:hint="eastAsia"/>
          <w:color w:val="000000" w:themeColor="text1"/>
          <w:kern w:val="0"/>
          <w:sz w:val="24"/>
          <w:szCs w:val="24"/>
        </w:rPr>
        <w:t>：中压分解回收尾气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中压吸收过程中，</w:t>
      </w:r>
      <w:r>
        <w:rPr>
          <w:rFonts w:ascii="Times New Roman" w:eastAsia="宋体" w:hAnsi="Times New Roman" w:cs="Times New Roman"/>
          <w:color w:val="000000" w:themeColor="text1"/>
          <w:kern w:val="0"/>
          <w:sz w:val="24"/>
          <w:szCs w:val="24"/>
        </w:rPr>
        <w:t>气液混合物在中压吸收塔下部进行分离，气体进入上部填料段，用中压甲铵液和稀氨水吸收，未被吸收的气体经减压后去尾气洗涤器进一步吸收后排入大气</w:t>
      </w:r>
      <w:r>
        <w:rPr>
          <w:rFonts w:ascii="Times New Roman" w:eastAsia="宋体" w:hAnsi="Times New Roman" w:cs="Times New Roman" w:hint="eastAsia"/>
          <w:color w:val="000000" w:themeColor="text1"/>
          <w:kern w:val="0"/>
          <w:sz w:val="24"/>
          <w:szCs w:val="24"/>
        </w:rPr>
        <w:t>，排气筒（</w:t>
      </w:r>
      <w:r>
        <w:rPr>
          <w:rFonts w:ascii="Times New Roman" w:eastAsia="宋体" w:hAnsi="Times New Roman" w:cs="Times New Roman" w:hint="eastAsia"/>
          <w:color w:val="000000" w:themeColor="text1"/>
          <w:kern w:val="0"/>
          <w:sz w:val="24"/>
          <w:szCs w:val="24"/>
        </w:rPr>
        <w:t>6#</w:t>
      </w:r>
      <w:r>
        <w:rPr>
          <w:rFonts w:ascii="Times New Roman" w:eastAsia="宋体" w:hAnsi="Times New Roman" w:cs="Times New Roman" w:hint="eastAsia"/>
          <w:color w:val="000000" w:themeColor="text1"/>
          <w:kern w:val="0"/>
          <w:sz w:val="24"/>
          <w:szCs w:val="24"/>
        </w:rPr>
        <w:t>排气筒）高度</w:t>
      </w:r>
      <w:r>
        <w:rPr>
          <w:rFonts w:ascii="Times New Roman" w:eastAsia="宋体" w:hAnsi="Times New Roman" w:cs="Times New Roman" w:hint="eastAsia"/>
          <w:color w:val="000000" w:themeColor="text1"/>
          <w:kern w:val="0"/>
          <w:sz w:val="24"/>
          <w:szCs w:val="24"/>
        </w:rPr>
        <w:t>48m</w:t>
      </w:r>
      <w:r>
        <w:rPr>
          <w:rFonts w:ascii="Times New Roman" w:eastAsia="宋体" w:hAnsi="Times New Roman" w:cs="Times New Roman"/>
          <w:color w:val="000000" w:themeColor="text1"/>
          <w:kern w:val="0"/>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G8</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低压分解回收</w:t>
      </w:r>
      <w:r>
        <w:rPr>
          <w:rFonts w:ascii="Times New Roman" w:eastAsia="宋体" w:hAnsi="Times New Roman" w:cs="Times New Roman" w:hint="eastAsia"/>
          <w:color w:val="000000" w:themeColor="text1"/>
          <w:kern w:val="0"/>
          <w:sz w:val="24"/>
          <w:szCs w:val="24"/>
        </w:rPr>
        <w:t>尾气</w:t>
      </w:r>
      <w:r>
        <w:rPr>
          <w:rFonts w:ascii="Times New Roman" w:eastAsia="宋体" w:hAnsi="Times New Roman" w:cs="Times New Roman"/>
          <w:color w:val="000000" w:themeColor="text1"/>
          <w:kern w:val="0"/>
          <w:sz w:val="24"/>
          <w:szCs w:val="24"/>
        </w:rPr>
        <w:t xml:space="preserve"> </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在低压分解回收工程中，</w:t>
      </w:r>
      <w:r>
        <w:rPr>
          <w:rFonts w:ascii="Times New Roman" w:eastAsia="宋体" w:hAnsi="Times New Roman" w:cs="Times New Roman"/>
          <w:color w:val="000000" w:themeColor="text1"/>
          <w:kern w:val="0"/>
          <w:sz w:val="24"/>
          <w:szCs w:val="24"/>
        </w:rPr>
        <w:t>冷凝后的气液混合物从低压甲铵冷凝器上部溢流到低压吸收塔的下部液位槽，进行气液分离。尾气送至</w:t>
      </w:r>
      <w:r>
        <w:rPr>
          <w:rFonts w:ascii="Times New Roman" w:eastAsia="宋体" w:hAnsi="Times New Roman" w:cs="Times New Roman" w:hint="eastAsia"/>
          <w:color w:val="000000" w:themeColor="text1"/>
          <w:kern w:val="0"/>
          <w:sz w:val="24"/>
          <w:szCs w:val="24"/>
        </w:rPr>
        <w:t>尾气洗涤器</w:t>
      </w:r>
      <w:r>
        <w:rPr>
          <w:rFonts w:ascii="Times New Roman" w:eastAsia="宋体" w:hAnsi="Times New Roman" w:cs="Times New Roman"/>
          <w:color w:val="000000" w:themeColor="text1"/>
          <w:kern w:val="0"/>
          <w:sz w:val="24"/>
          <w:szCs w:val="24"/>
        </w:rPr>
        <w:t>进一步洗涤后</w:t>
      </w:r>
      <w:r>
        <w:rPr>
          <w:rFonts w:ascii="Times New Roman" w:eastAsia="宋体" w:hAnsi="Times New Roman" w:cs="Times New Roman" w:hint="eastAsia"/>
          <w:color w:val="000000" w:themeColor="text1"/>
          <w:kern w:val="0"/>
          <w:sz w:val="24"/>
          <w:szCs w:val="24"/>
        </w:rPr>
        <w:t>排放，和中压分解回收尾气共用洗涤器和排气筒（</w:t>
      </w:r>
      <w:r>
        <w:rPr>
          <w:rFonts w:ascii="Times New Roman" w:eastAsia="宋体" w:hAnsi="Times New Roman" w:cs="Times New Roman" w:hint="eastAsia"/>
          <w:color w:val="000000" w:themeColor="text1"/>
          <w:kern w:val="0"/>
          <w:sz w:val="24"/>
          <w:szCs w:val="24"/>
        </w:rPr>
        <w:t>6#</w:t>
      </w:r>
      <w:r>
        <w:rPr>
          <w:rFonts w:ascii="Times New Roman" w:eastAsia="宋体" w:hAnsi="Times New Roman" w:cs="Times New Roman" w:hint="eastAsia"/>
          <w:color w:val="000000" w:themeColor="text1"/>
          <w:kern w:val="0"/>
          <w:sz w:val="24"/>
          <w:szCs w:val="24"/>
        </w:rPr>
        <w:t>排气筒），排气筒高度</w:t>
      </w:r>
      <w:r>
        <w:rPr>
          <w:rFonts w:ascii="Times New Roman" w:eastAsia="宋体" w:hAnsi="Times New Roman" w:cs="Times New Roman" w:hint="eastAsia"/>
          <w:color w:val="000000" w:themeColor="text1"/>
          <w:kern w:val="0"/>
          <w:sz w:val="24"/>
          <w:szCs w:val="24"/>
        </w:rPr>
        <w:t>48m</w:t>
      </w:r>
      <w:r>
        <w:rPr>
          <w:rFonts w:ascii="Times New Roman" w:eastAsia="宋体" w:hAnsi="Times New Roman" w:cs="Times New Roman"/>
          <w:color w:val="000000" w:themeColor="text1"/>
          <w:kern w:val="0"/>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G9</w:t>
      </w:r>
      <w:r>
        <w:rPr>
          <w:rFonts w:ascii="Times New Roman" w:eastAsia="宋体" w:hAnsi="Times New Roman" w:cs="Times New Roman" w:hint="eastAsia"/>
          <w:color w:val="000000" w:themeColor="text1"/>
          <w:kern w:val="0"/>
          <w:sz w:val="24"/>
          <w:szCs w:val="24"/>
        </w:rPr>
        <w:t>：尿液蒸发不凝气</w:t>
      </w:r>
    </w:p>
    <w:p w:rsidR="00C861DA" w:rsidRDefault="0044752E">
      <w:pPr>
        <w:widowControl/>
        <w:autoSpaceDE/>
        <w:autoSpaceDN/>
        <w:snapToGrid w:val="0"/>
        <w:spacing w:line="360" w:lineRule="auto"/>
        <w:ind w:firstLineChars="200" w:firstLine="480"/>
        <w:rPr>
          <w:rFonts w:ascii="Times New Roman" w:eastAsia="微软雅黑"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尿液蒸发过程中，</w:t>
      </w:r>
      <w:r>
        <w:rPr>
          <w:rFonts w:ascii="Times New Roman" w:eastAsia="宋体" w:hAnsi="Times New Roman" w:cs="Times New Roman"/>
          <w:color w:val="000000" w:themeColor="text1"/>
          <w:kern w:val="0"/>
          <w:sz w:val="24"/>
          <w:szCs w:val="24"/>
        </w:rPr>
        <w:t>真空预浓缩分离器的气相与一段蒸发分离器的气相一起送至一段蒸发冷凝器冷凝。一段蒸发冷凝器的未凝气由一段蒸发喷射器抽出送至最终冷凝器；二段蒸发分离器气相经升压器升压后直接送至二段蒸发冷凝器冷凝，未凝气由二段蒸发第一喷射器抽出送至二段蒸发后冷凝器冷凝，不凝气由二段蒸发第二喷射器抽出送入最终冷凝器进行冷凝，不凝气</w:t>
      </w:r>
      <w:r>
        <w:rPr>
          <w:rFonts w:ascii="Times New Roman" w:eastAsia="宋体" w:hAnsi="Times New Roman" w:cs="Times New Roman" w:hint="eastAsia"/>
          <w:color w:val="000000" w:themeColor="text1"/>
          <w:kern w:val="0"/>
          <w:sz w:val="24"/>
          <w:szCs w:val="24"/>
        </w:rPr>
        <w:t>的主要组分为</w:t>
      </w:r>
      <w:r>
        <w:rPr>
          <w:rFonts w:ascii="Times New Roman" w:eastAsia="宋体" w:hAnsi="Times New Roman" w:cs="Times New Roman" w:hint="eastAsia"/>
          <w:color w:val="000000" w:themeColor="text1"/>
          <w:kern w:val="0"/>
          <w:sz w:val="24"/>
          <w:szCs w:val="24"/>
        </w:rPr>
        <w:t>NH</w:t>
      </w:r>
      <w:r>
        <w:rPr>
          <w:rFonts w:ascii="Times New Roman" w:eastAsia="宋体" w:hAnsi="Times New Roman" w:cs="Times New Roman" w:hint="eastAsia"/>
          <w:color w:val="000000" w:themeColor="text1"/>
          <w:kern w:val="0"/>
          <w:sz w:val="24"/>
          <w:szCs w:val="24"/>
          <w:vertAlign w:val="subscript"/>
        </w:rPr>
        <w:t>3</w:t>
      </w:r>
      <w:r>
        <w:rPr>
          <w:rFonts w:ascii="Times New Roman" w:eastAsia="宋体" w:hAnsi="Times New Roman" w:cs="Times New Roman" w:hint="eastAsia"/>
          <w:color w:val="000000" w:themeColor="text1"/>
          <w:kern w:val="0"/>
          <w:sz w:val="24"/>
          <w:szCs w:val="24"/>
        </w:rPr>
        <w:t>:7.69%</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H</w:t>
      </w:r>
      <w:r>
        <w:rPr>
          <w:rFonts w:ascii="Times New Roman" w:eastAsia="宋体" w:hAnsi="Times New Roman" w:cs="Times New Roman" w:hint="eastAsia"/>
          <w:color w:val="000000" w:themeColor="text1"/>
          <w:kern w:val="0"/>
          <w:sz w:val="24"/>
          <w:szCs w:val="24"/>
          <w:vertAlign w:val="subscript"/>
        </w:rPr>
        <w:t>2</w:t>
      </w:r>
      <w:r>
        <w:rPr>
          <w:rFonts w:ascii="Times New Roman" w:eastAsia="宋体" w:hAnsi="Times New Roman" w:cs="Times New Roman" w:hint="eastAsia"/>
          <w:color w:val="000000" w:themeColor="text1"/>
          <w:kern w:val="0"/>
          <w:sz w:val="24"/>
          <w:szCs w:val="24"/>
        </w:rPr>
        <w:t>O:14.1%</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 xml:space="preserve">  N</w:t>
      </w:r>
      <w:r>
        <w:rPr>
          <w:rFonts w:ascii="Times New Roman" w:eastAsia="宋体" w:hAnsi="Times New Roman" w:cs="Times New Roman" w:hint="eastAsia"/>
          <w:color w:val="000000" w:themeColor="text1"/>
          <w:kern w:val="0"/>
          <w:sz w:val="24"/>
          <w:szCs w:val="24"/>
          <w:vertAlign w:val="subscript"/>
        </w:rPr>
        <w:t>2</w:t>
      </w:r>
      <w:r>
        <w:rPr>
          <w:rFonts w:ascii="Times New Roman" w:eastAsia="宋体" w:hAnsi="Times New Roman" w:cs="Times New Roman" w:hint="eastAsia"/>
          <w:color w:val="000000" w:themeColor="text1"/>
          <w:kern w:val="0"/>
          <w:sz w:val="24"/>
          <w:szCs w:val="24"/>
        </w:rPr>
        <w:t>:62.04%</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O</w:t>
      </w:r>
      <w:r>
        <w:rPr>
          <w:rFonts w:ascii="Times New Roman" w:eastAsia="宋体" w:hAnsi="Times New Roman" w:cs="Times New Roman" w:hint="eastAsia"/>
          <w:color w:val="000000" w:themeColor="text1"/>
          <w:kern w:val="0"/>
          <w:sz w:val="24"/>
          <w:szCs w:val="24"/>
          <w:vertAlign w:val="subscript"/>
        </w:rPr>
        <w:t>2</w:t>
      </w:r>
      <w:r>
        <w:rPr>
          <w:rFonts w:ascii="Times New Roman" w:eastAsia="宋体" w:hAnsi="Times New Roman" w:cs="Times New Roman" w:hint="eastAsia"/>
          <w:color w:val="000000" w:themeColor="text1"/>
          <w:kern w:val="0"/>
          <w:sz w:val="24"/>
          <w:szCs w:val="24"/>
        </w:rPr>
        <w:t>:16.1</w:t>
      </w:r>
      <w:r>
        <w:rPr>
          <w:rFonts w:ascii="Times New Roman" w:eastAsia="宋体" w:hAnsi="Times New Roman" w:cs="Times New Roman" w:hint="eastAsia"/>
          <w:color w:val="000000" w:themeColor="text1"/>
          <w:kern w:val="0"/>
          <w:sz w:val="24"/>
          <w:szCs w:val="24"/>
        </w:rPr>
        <w:t>7%</w:t>
      </w:r>
      <w:r>
        <w:rPr>
          <w:rFonts w:ascii="Times New Roman" w:eastAsia="宋体" w:hAnsi="Times New Roman" w:cs="Times New Roman" w:hint="eastAsia"/>
          <w:color w:val="000000" w:themeColor="text1"/>
          <w:kern w:val="0"/>
          <w:sz w:val="24"/>
          <w:szCs w:val="24"/>
        </w:rPr>
        <w:t>，经</w:t>
      </w:r>
      <w:r>
        <w:rPr>
          <w:rFonts w:ascii="Times New Roman" w:eastAsia="宋体" w:hAnsi="Times New Roman" w:cs="Times New Roman" w:hint="eastAsia"/>
          <w:color w:val="000000" w:themeColor="text1"/>
          <w:kern w:val="0"/>
          <w:sz w:val="24"/>
          <w:szCs w:val="24"/>
        </w:rPr>
        <w:t>28m</w:t>
      </w:r>
      <w:r>
        <w:rPr>
          <w:rFonts w:ascii="Times New Roman" w:eastAsia="宋体" w:hAnsi="Times New Roman" w:cs="Times New Roman" w:hint="eastAsia"/>
          <w:color w:val="000000" w:themeColor="text1"/>
          <w:kern w:val="0"/>
          <w:sz w:val="24"/>
          <w:szCs w:val="24"/>
        </w:rPr>
        <w:t>排气筒（</w:t>
      </w:r>
      <w:r>
        <w:rPr>
          <w:rFonts w:ascii="Times New Roman" w:eastAsia="宋体" w:hAnsi="Times New Roman" w:cs="Times New Roman" w:hint="eastAsia"/>
          <w:color w:val="000000" w:themeColor="text1"/>
          <w:kern w:val="0"/>
          <w:sz w:val="24"/>
          <w:szCs w:val="24"/>
        </w:rPr>
        <w:t>7#</w:t>
      </w:r>
      <w:r>
        <w:rPr>
          <w:rFonts w:ascii="Times New Roman" w:eastAsia="宋体" w:hAnsi="Times New Roman" w:cs="Times New Roman" w:hint="eastAsia"/>
          <w:color w:val="000000" w:themeColor="text1"/>
          <w:kern w:val="0"/>
          <w:sz w:val="24"/>
          <w:szCs w:val="24"/>
        </w:rPr>
        <w:t>排气筒）排放。</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3</w:t>
      </w:r>
      <w:r>
        <w:rPr>
          <w:rFonts w:ascii="Times New Roman" w:eastAsia="宋体" w:hAnsi="Times New Roman" w:cs="Times New Roman" w:hint="eastAsia"/>
          <w:color w:val="000000" w:themeColor="text1"/>
          <w:kern w:val="0"/>
          <w:sz w:val="24"/>
          <w:szCs w:val="24"/>
        </w:rPr>
        <w:t>）噪声</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项目噪声污染源主要来自生产设备、空压机、水泵等，噪声源强</w:t>
      </w:r>
      <w:r>
        <w:rPr>
          <w:rFonts w:ascii="Times New Roman" w:eastAsia="宋体" w:hAnsi="Times New Roman" w:cs="Times New Roman" w:hint="eastAsia"/>
          <w:color w:val="000000" w:themeColor="text1"/>
          <w:kern w:val="0"/>
          <w:sz w:val="24"/>
          <w:szCs w:val="24"/>
        </w:rPr>
        <w:t>85-100dB</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A</w:t>
      </w:r>
      <w:r>
        <w:rPr>
          <w:rFonts w:ascii="Times New Roman" w:eastAsia="宋体" w:hAnsi="Times New Roman" w:cs="Times New Roman" w:hint="eastAsia"/>
          <w:color w:val="000000" w:themeColor="text1"/>
          <w:kern w:val="0"/>
          <w:sz w:val="24"/>
          <w:szCs w:val="24"/>
        </w:rPr>
        <w:t>），采取隔声减振降噪措施。</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4</w:t>
      </w:r>
      <w:r>
        <w:rPr>
          <w:rFonts w:ascii="Times New Roman" w:eastAsia="宋体" w:hAnsi="Times New Roman" w:cs="Times New Roman" w:hint="eastAsia"/>
          <w:color w:val="000000" w:themeColor="text1"/>
          <w:kern w:val="0"/>
          <w:sz w:val="24"/>
          <w:szCs w:val="24"/>
        </w:rPr>
        <w:t>）固体废物</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0"/>
          <w:sz w:val="24"/>
          <w:szCs w:val="24"/>
        </w:rPr>
        <w:t>S4</w:t>
      </w:r>
      <w:r>
        <w:rPr>
          <w:rFonts w:ascii="Times New Roman" w:eastAsia="宋体" w:hAnsi="Times New Roman" w:cs="Times New Roman" w:hint="eastAsia"/>
          <w:color w:val="000000" w:themeColor="text1"/>
          <w:kern w:val="0"/>
          <w:sz w:val="24"/>
          <w:szCs w:val="24"/>
        </w:rPr>
        <w:t>：氨</w:t>
      </w:r>
      <w:r>
        <w:rPr>
          <w:rFonts w:ascii="Times New Roman" w:eastAsia="宋体" w:hAnsi="Times New Roman" w:cs="Times New Roman" w:hint="eastAsia"/>
          <w:color w:val="000000" w:themeColor="text1"/>
          <w:kern w:val="1"/>
          <w:sz w:val="24"/>
          <w:szCs w:val="24"/>
        </w:rPr>
        <w:t>过滤废滤料</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在生产过程中，为避免过滤杂质导致滤料发生堵塞，影响生产，需对液氨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气氨过滤器进行检修，一般每</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年检修一次，检修更换的废滤料由滤料供货厂家更换新滤料时回收。</w:t>
      </w:r>
    </w:p>
    <w:p w:rsidR="00C861DA" w:rsidRDefault="0044752E">
      <w:pPr>
        <w:widowControl/>
        <w:autoSpaceDE/>
        <w:autoSpaceDN/>
        <w:snapToGrid w:val="0"/>
        <w:spacing w:line="360" w:lineRule="auto"/>
        <w:ind w:leftChars="50" w:left="105" w:firstLineChars="150" w:firstLine="36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S5</w:t>
      </w:r>
      <w:r>
        <w:rPr>
          <w:rFonts w:ascii="Times New Roman" w:eastAsia="宋体" w:hAnsi="Times New Roman" w:cs="Times New Roman" w:hint="eastAsia"/>
          <w:color w:val="000000" w:themeColor="text1"/>
          <w:kern w:val="0"/>
          <w:sz w:val="24"/>
          <w:szCs w:val="24"/>
        </w:rPr>
        <w:t>：废脱氢催化剂</w:t>
      </w:r>
    </w:p>
    <w:p w:rsidR="00C861DA" w:rsidRDefault="0044752E">
      <w:pPr>
        <w:widowControl/>
        <w:autoSpaceDE/>
        <w:autoSpaceDN/>
        <w:snapToGrid w:val="0"/>
        <w:spacing w:line="360" w:lineRule="auto"/>
        <w:ind w:leftChars="50" w:left="105" w:firstLineChars="150" w:firstLine="36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废脱氢催化剂属于危险废物，由供货厂家更换时回收。</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2</w:t>
      </w:r>
      <w:r>
        <w:rPr>
          <w:rFonts w:ascii="Times New Roman" w:eastAsia="宋体" w:hAnsi="Times New Roman" w:cs="Times New Roman"/>
          <w:color w:val="000000" w:themeColor="text1"/>
          <w:kern w:val="0"/>
          <w:sz w:val="24"/>
          <w:szCs w:val="24"/>
        </w:rPr>
        <w:t>）尿基复合肥生产</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本工程生产装置主要由固体原料处理、尿液输送、熔融料液的输送和料浆造粒、成品冷却和处理等工序组成。工艺流程图见图</w:t>
      </w:r>
      <w:r>
        <w:rPr>
          <w:rFonts w:ascii="Times New Roman" w:eastAsia="宋体" w:hAnsi="Times New Roman" w:cs="Times New Roman"/>
          <w:color w:val="000000" w:themeColor="text1"/>
          <w:kern w:val="0"/>
          <w:sz w:val="24"/>
          <w:szCs w:val="24"/>
        </w:rPr>
        <w:t>4.1-6</w:t>
      </w:r>
      <w:r>
        <w:rPr>
          <w:rFonts w:ascii="Times New Roman" w:eastAsia="宋体" w:hAnsi="Times New Roman" w:cs="Times New Roman"/>
          <w:color w:val="000000" w:themeColor="text1"/>
          <w:kern w:val="0"/>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）工艺流程</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1</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原料处理</w:t>
      </w:r>
      <w:r>
        <w:rPr>
          <w:rFonts w:ascii="Times New Roman" w:eastAsia="宋体" w:hAnsi="Times New Roman" w:cs="Times New Roman"/>
          <w:color w:val="000000" w:themeColor="text1"/>
          <w:kern w:val="0"/>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本生产装置所用的原料磷酸一铵、硫酸钾、有机质和填充剂为粉状袋装，由人工拆包后倒入原料贮斗，分别通过计量称计量后通过原料输送带进入斗提机提升至造粒塔上部。硫酸钾和冷却筛分的返料经计量后一同送至钾盐输送皮带，经钾盐斗提机提升至造粒塔上部。磷酸一铵、有机质和添加剂经计量后一同送至磷铵输送皮带，经磷铵斗提机提升至造粒塔上部。原料处理过程中产生的粉尘经袋式除尘系统</w:t>
      </w:r>
      <w:r>
        <w:rPr>
          <w:rFonts w:ascii="Times New Roman" w:eastAsia="宋体" w:hAnsi="Times New Roman" w:cs="Times New Roman"/>
          <w:color w:val="000000" w:themeColor="text1"/>
          <w:kern w:val="0"/>
          <w:sz w:val="24"/>
          <w:szCs w:val="24"/>
        </w:rPr>
        <w:t>处理后，</w:t>
      </w:r>
      <w:r>
        <w:rPr>
          <w:rFonts w:ascii="Times New Roman" w:eastAsia="宋体" w:hAnsi="Times New Roman" w:cs="Times New Roman" w:hint="eastAsia"/>
          <w:color w:val="000000" w:themeColor="text1"/>
          <w:kern w:val="0"/>
          <w:sz w:val="24"/>
          <w:szCs w:val="24"/>
        </w:rPr>
        <w:t>经由</w:t>
      </w:r>
      <w:r>
        <w:rPr>
          <w:rFonts w:ascii="Times New Roman" w:eastAsia="宋体" w:hAnsi="Times New Roman" w:cs="Times New Roman" w:hint="eastAsia"/>
          <w:color w:val="000000" w:themeColor="text1"/>
          <w:kern w:val="0"/>
          <w:sz w:val="24"/>
          <w:szCs w:val="24"/>
        </w:rPr>
        <w:t>25m</w:t>
      </w:r>
      <w:r>
        <w:rPr>
          <w:rFonts w:ascii="Times New Roman" w:eastAsia="宋体" w:hAnsi="Times New Roman" w:cs="Times New Roman" w:hint="eastAsia"/>
          <w:color w:val="000000" w:themeColor="text1"/>
          <w:kern w:val="0"/>
          <w:sz w:val="24"/>
          <w:szCs w:val="24"/>
        </w:rPr>
        <w:t>高排气筒（</w:t>
      </w:r>
      <w:r>
        <w:rPr>
          <w:rFonts w:ascii="Times New Roman" w:eastAsia="宋体" w:hAnsi="Times New Roman" w:cs="Times New Roman" w:hint="eastAsia"/>
          <w:color w:val="000000" w:themeColor="text1"/>
          <w:kern w:val="0"/>
          <w:sz w:val="24"/>
          <w:szCs w:val="24"/>
        </w:rPr>
        <w:t>8#</w:t>
      </w:r>
      <w:r>
        <w:rPr>
          <w:rFonts w:ascii="Times New Roman" w:eastAsia="宋体" w:hAnsi="Times New Roman" w:cs="Times New Roman" w:hint="eastAsia"/>
          <w:color w:val="000000" w:themeColor="text1"/>
          <w:kern w:val="0"/>
          <w:sz w:val="24"/>
          <w:szCs w:val="24"/>
        </w:rPr>
        <w:t>排气筒）排放，废气排放</w:t>
      </w:r>
      <w:r>
        <w:rPr>
          <w:rFonts w:ascii="Times New Roman" w:eastAsia="宋体" w:hAnsi="Times New Roman" w:cs="Times New Roman"/>
          <w:color w:val="000000" w:themeColor="text1"/>
          <w:kern w:val="0"/>
          <w:sz w:val="24"/>
          <w:szCs w:val="24"/>
        </w:rPr>
        <w:t>量约</w:t>
      </w:r>
      <w:r>
        <w:rPr>
          <w:rFonts w:ascii="Times New Roman" w:eastAsia="宋体" w:hAnsi="Times New Roman" w:cs="Times New Roman" w:hint="eastAsia"/>
          <w:color w:val="000000" w:themeColor="text1"/>
          <w:kern w:val="0"/>
          <w:sz w:val="24"/>
          <w:szCs w:val="24"/>
        </w:rPr>
        <w:t>75</w:t>
      </w:r>
      <w:r>
        <w:rPr>
          <w:rFonts w:ascii="Times New Roman" w:eastAsia="宋体" w:hAnsi="Times New Roman" w:cs="Times New Roman"/>
          <w:color w:val="000000" w:themeColor="text1"/>
          <w:kern w:val="0"/>
          <w:sz w:val="24"/>
          <w:szCs w:val="24"/>
        </w:rPr>
        <w:t>00Nm</w:t>
      </w:r>
      <w:r>
        <w:rPr>
          <w:rFonts w:ascii="Times New Roman" w:eastAsia="宋体" w:hAnsi="Times New Roman" w:cs="Times New Roman"/>
          <w:color w:val="000000" w:themeColor="text1"/>
          <w:kern w:val="0"/>
          <w:sz w:val="24"/>
          <w:szCs w:val="24"/>
          <w:vertAlign w:val="superscript"/>
        </w:rPr>
        <w:t>3</w:t>
      </w:r>
      <w:r>
        <w:rPr>
          <w:rFonts w:ascii="Times New Roman" w:eastAsia="宋体" w:hAnsi="Times New Roman" w:cs="Times New Roman"/>
          <w:color w:val="000000" w:themeColor="text1"/>
          <w:kern w:val="0"/>
          <w:sz w:val="24"/>
          <w:szCs w:val="24"/>
        </w:rPr>
        <w:t>/h</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hint="eastAsia"/>
          <w:color w:val="000000" w:themeColor="text1"/>
          <w:kern w:val="0"/>
          <w:sz w:val="24"/>
          <w:szCs w:val="24"/>
        </w:rPr>
        <w:t>其中颗粒物浓度小于</w:t>
      </w:r>
      <w:r>
        <w:rPr>
          <w:rFonts w:ascii="Times New Roman" w:eastAsia="宋体" w:hAnsi="Times New Roman" w:cs="Times New Roman"/>
          <w:color w:val="000000" w:themeColor="text1"/>
          <w:kern w:val="0"/>
          <w:sz w:val="24"/>
          <w:szCs w:val="24"/>
        </w:rPr>
        <w:t>50mg/ Nm</w:t>
      </w:r>
      <w:r>
        <w:rPr>
          <w:rFonts w:ascii="Times New Roman" w:eastAsia="宋体" w:hAnsi="Times New Roman" w:cs="Times New Roman"/>
          <w:color w:val="000000" w:themeColor="text1"/>
          <w:kern w:val="0"/>
          <w:sz w:val="24"/>
          <w:szCs w:val="24"/>
          <w:vertAlign w:val="superscript"/>
        </w:rPr>
        <w:t>3</w:t>
      </w:r>
      <w:r>
        <w:rPr>
          <w:rFonts w:ascii="Times New Roman" w:eastAsia="宋体" w:hAnsi="Times New Roman" w:cs="Times New Roman"/>
          <w:color w:val="000000" w:themeColor="text1"/>
          <w:kern w:val="0"/>
          <w:sz w:val="24"/>
          <w:szCs w:val="24"/>
        </w:rPr>
        <w:t>。</w:t>
      </w:r>
    </w:p>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90016" behindDoc="0" locked="0" layoutInCell="1" allowOverlap="1">
                <wp:simplePos x="0" y="0"/>
                <wp:positionH relativeFrom="column">
                  <wp:posOffset>2099310</wp:posOffset>
                </wp:positionH>
                <wp:positionV relativeFrom="paragraph">
                  <wp:posOffset>144780</wp:posOffset>
                </wp:positionV>
                <wp:extent cx="133350" cy="372110"/>
                <wp:effectExtent l="19050" t="0" r="38100" b="27940"/>
                <wp:wrapNone/>
                <wp:docPr id="287"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350" cy="372110"/>
                        </a:xfrm>
                        <a:prstGeom prst="flowChartManualOperation">
                          <a:avLst/>
                        </a:prstGeom>
                        <a:noFill/>
                        <a:ln w="9525">
                          <a:solidFill>
                            <a:srgbClr val="000000"/>
                          </a:solidFill>
                          <a:miter lim="800000"/>
                          <a:tailEnd type="triangle" w="med" len="me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AutoShape 210" o:spid="_x0000_s1026" o:spt="119" type="#_x0000_t119" style="position:absolute;left:0pt;flip:y;margin-left:165.3pt;margin-top:11.4pt;height:29.3pt;width:10.5pt;z-index:251990016;mso-width-relative:page;mso-height-relative:page;" filled="f" stroked="t" coordsize="21600,21600" o:gfxdata="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9z797XAAAACQEAAA8AAAAAAAAAAQAgAAAAIgAAAGRycy9kb3ducmV2&#10;LnhtbFBLAQIUABQAAAAIAIdO4kB17iFeNgIAAEoEAAAOAAAAAAAAAAEAIAAAACYBAABkcnMvZTJv&#10;RG9jLnhtbFBLBQYAAAAABgAGAFkBAADOBQAAAAA=&#10;">
                <v:fill on="f" focussize="0,0"/>
                <v:stroke color="#000000" miterlimit="8" joinstyle="miter"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91040" behindDoc="0" locked="0" layoutInCell="1" allowOverlap="1">
                <wp:simplePos x="0" y="0"/>
                <wp:positionH relativeFrom="column">
                  <wp:posOffset>1883410</wp:posOffset>
                </wp:positionH>
                <wp:positionV relativeFrom="paragraph">
                  <wp:posOffset>-41275</wp:posOffset>
                </wp:positionV>
                <wp:extent cx="564515" cy="152400"/>
                <wp:effectExtent l="0" t="0" r="6985" b="0"/>
                <wp:wrapNone/>
                <wp:docPr id="28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15240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8#</w:t>
                            </w:r>
                            <w:r>
                              <w:rPr>
                                <w:rFonts w:ascii="宋体" w:hAnsi="宋体" w:hint="eastAsia"/>
                              </w:rPr>
                              <w:t>排气筒</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05" o:spid="_x0000_s1026" o:spt="202" type="#_x0000_t202" style="position:absolute;left:0pt;margin-left:148.3pt;margin-top:-3.25pt;height:12pt;width:44.45pt;z-index:251991040;mso-width-relative:page;mso-height-relative:page;" fillcolor="#FFFFFF" filled="t" stroked="f" coordsize="21600,21600" o:gfxdata="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rJvorYAAAACQEAAA8AAAAAAAAAAQAgAAAAIgAAAGRycy9kb3ducmV2Lnht&#10;bFBLAQIUABQAAAAIAIdO4kC2jL2r+QEAAOIDAAAOAAAAAAAAAAEAIAAAACcBAABkcnMvZTJvRG9j&#10;LnhtbFBLBQYAAAAABgAGAFkBAACSBQAAAAA=&#10;">
                <v:fill on="t" focussize="0,0"/>
                <v:stroke on="f"/>
                <v:imagedata o:title=""/>
                <o:lock v:ext="edit" aspectratio="f"/>
                <v:textbox inset="0mm,0mm,0mm,0mm">
                  <w:txbxContent>
                    <w:p>
                      <w:pPr>
                        <w:rPr>
                          <w:rFonts w:ascii="宋体" w:hAnsi="宋体"/>
                        </w:rPr>
                      </w:pPr>
                      <w:r>
                        <w:rPr>
                          <w:rFonts w:hint="eastAsia" w:ascii="宋体" w:hAnsi="宋体"/>
                        </w:rPr>
                        <w:t>8#排气筒</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88992" behindDoc="0" locked="0" layoutInCell="1" allowOverlap="1">
                <wp:simplePos x="0" y="0"/>
                <wp:positionH relativeFrom="column">
                  <wp:posOffset>834390</wp:posOffset>
                </wp:positionH>
                <wp:positionV relativeFrom="paragraph">
                  <wp:posOffset>257810</wp:posOffset>
                </wp:positionV>
                <wp:extent cx="800100" cy="273050"/>
                <wp:effectExtent l="0" t="0" r="19050" b="12700"/>
                <wp:wrapNone/>
                <wp:docPr id="28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7305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布袋除尘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52" o:spid="_x0000_s1026" o:spt="1" style="position:absolute;left:0pt;margin-left:65.7pt;margin-top:20.3pt;height:21.5pt;width:63pt;z-index:251988992;mso-width-relative:page;mso-height-relative:page;" fillcolor="#FFFFFF" filled="t" stroked="t" coordsize="21600,21600" o:gfxdata="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bcmMNcAAAAJAQAADwAAAAAA&#10;AAABACAAAAAiAAAAZHJzL2Rvd25yZXYueG1sUEsBAhQAFAAAAAgAh07iQCAQM7YUAgAAMQQAAA4A&#10;AAAAAAAAAQAgAAAAJgEAAGRycy9lMm9Eb2MueG1sUEsFBgAAAAAGAAYAWQEAAKwFAAAAAA==&#10;">
                <v:fill on="t" focussize="0,0"/>
                <v:stroke color="#000000" miterlimit="8" joinstyle="miter"/>
                <v:imagedata o:title=""/>
                <o:lock v:ext="edit" aspectratio="f"/>
                <v:textbox>
                  <w:txbxContent>
                    <w:p>
                      <w:pPr>
                        <w:rPr>
                          <w:rFonts w:ascii="宋体" w:hAnsi="宋体"/>
                        </w:rPr>
                      </w:pPr>
                      <w:r>
                        <w:rPr>
                          <w:rFonts w:hint="eastAsia" w:ascii="宋体" w:hAnsi="宋体"/>
                        </w:rPr>
                        <w:t>布袋除尘</w:t>
                      </w:r>
                    </w:p>
                  </w:txbxContent>
                </v:textbox>
              </v:rect>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92064" behindDoc="0" locked="0" layoutInCell="1" allowOverlap="1">
                <wp:simplePos x="0" y="0"/>
                <wp:positionH relativeFrom="column">
                  <wp:posOffset>1638300</wp:posOffset>
                </wp:positionH>
                <wp:positionV relativeFrom="paragraph">
                  <wp:posOffset>160655</wp:posOffset>
                </wp:positionV>
                <wp:extent cx="457200" cy="0"/>
                <wp:effectExtent l="0" t="76200" r="19050" b="95250"/>
                <wp:wrapNone/>
                <wp:docPr id="28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59" o:spid="_x0000_s1026" o:spt="32" type="#_x0000_t32" style="position:absolute;left:0pt;flip:y;margin-left:129pt;margin-top:12.65pt;height:0pt;width:36pt;z-index:251992064;mso-width-relative:page;mso-height-relative:page;" filled="f" stroked="t" coordsize="21600,21600" o:gfxdata="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hjHULWAAAACQEAAA8AAAAAAAAA&#10;AQAgAAAAIgAAAGRycy9kb3ducmV2LnhtbFBLAQIUABQAAAAIAIdO4kBYL74i2gEAAJ4DAAAOAAAA&#10;AAAAAAEAIAAAACUBAABkcnMvZTJvRG9jLnhtbFBLBQYAAAAABgAGAFkBAABxBQ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67808" behindDoc="0" locked="0" layoutInCell="1" allowOverlap="1">
                <wp:simplePos x="0" y="0"/>
                <wp:positionH relativeFrom="column">
                  <wp:posOffset>4511675</wp:posOffset>
                </wp:positionH>
                <wp:positionV relativeFrom="paragraph">
                  <wp:posOffset>153670</wp:posOffset>
                </wp:positionV>
                <wp:extent cx="622300" cy="171450"/>
                <wp:effectExtent l="0" t="0" r="6350" b="0"/>
                <wp:wrapNone/>
                <wp:docPr id="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产品包装</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51" o:spid="_x0000_s1026" o:spt="202" type="#_x0000_t202" style="position:absolute;left:0pt;margin-left:355.25pt;margin-top:12.1pt;height:13.5pt;width:49pt;z-index:251767808;mso-width-relative:page;mso-height-relative:page;" fillcolor="#FFFFFF" filled="t" stroked="f" coordsize="21600,21600" o:gfxdata="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fppC2AAAAAkBAAAPAAAAAAAAAAEAIAAAACIAAABkcnMvZG93bnJldi54bWxQ&#10;SwECFAAUAAAACACHTuJAImGAaPcBAADgAwAADgAAAAAAAAABACAAAAAnAQAAZHJzL2Uyb0RvYy54&#10;bWxQSwUGAAAAAAYABgBZAQAAkAUAAAAA&#10;">
                <v:fill on="t" focussize="0,0"/>
                <v:stroke on="f"/>
                <v:imagedata o:title=""/>
                <o:lock v:ext="edit" aspectratio="f"/>
                <v:textbox inset="0mm,0mm,0mm,0mm">
                  <w:txbxContent>
                    <w:p>
                      <w:pPr>
                        <w:rPr>
                          <w:rFonts w:ascii="宋体" w:hAnsi="宋体"/>
                        </w:rPr>
                      </w:pPr>
                      <w:r>
                        <w:rPr>
                          <w:rFonts w:hint="eastAsia" w:ascii="宋体" w:hAnsi="宋体"/>
                        </w:rPr>
                        <w:t>产品包装</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61664" behindDoc="0" locked="0" layoutInCell="1" allowOverlap="1">
                <wp:simplePos x="0" y="0"/>
                <wp:positionH relativeFrom="column">
                  <wp:posOffset>749935</wp:posOffset>
                </wp:positionH>
                <wp:positionV relativeFrom="paragraph">
                  <wp:posOffset>94615</wp:posOffset>
                </wp:positionV>
                <wp:extent cx="463550" cy="171450"/>
                <wp:effectExtent l="0" t="0" r="0" b="0"/>
                <wp:wrapNone/>
                <wp:docPr id="45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rPr>
                              <w:t>G</w:t>
                            </w:r>
                            <w:r>
                              <w:rPr>
                                <w:rFonts w:ascii="Times New Roman" w:hAnsi="Times New Roman" w:cs="Times New Roman" w:hint="eastAsia"/>
                              </w:rPr>
                              <w:t>10/N</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22" o:spid="_x0000_s1026" o:spt="202" type="#_x0000_t202" style="position:absolute;left:0pt;margin-left:59.05pt;margin-top:7.45pt;height:13.5pt;width:36.5pt;z-index:251761664;mso-width-relative:page;mso-height-relative:page;" fillcolor="#FFFFFF" filled="t" stroked="f" coordsize="21600,21600" o:gfxdata="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L6oktcAAAAJAQAADwAAAAAAAAABACAAAAAiAAAAZHJzL2Rvd25yZXYueG1sUEsB&#10;AhQAFAAAAAgAh07iQHD199P2AQAA4gMAAA4AAAAAAAAAAQAgAAAAJgEAAGRycy9lMm9Eb2MueG1s&#10;UEsFBgAAAAAGAAYAWQEAAI4FAAAAAA==&#10;">
                <v:fill on="t" focussize="0,0"/>
                <v:stroke on="f"/>
                <v:imagedata o:title=""/>
                <o:lock v:ext="edit" aspectratio="f"/>
                <v:textbox inset="0mm,0mm,0mm,0mm">
                  <w:txbxContent>
                    <w:p>
                      <w:pPr>
                        <w:rPr>
                          <w:rFonts w:ascii="Times New Roman" w:hAnsi="Times New Roman" w:cs="Times New Roman"/>
                        </w:rPr>
                      </w:pPr>
                      <w:r>
                        <w:rPr>
                          <w:rFonts w:ascii="Times New Roman" w:hAnsi="Times New Roman" w:cs="Times New Roman"/>
                        </w:rPr>
                        <w:t>G</w:t>
                      </w:r>
                      <w:r>
                        <w:rPr>
                          <w:rFonts w:hint="eastAsia" w:ascii="Times New Roman" w:hAnsi="Times New Roman" w:cs="Times New Roman"/>
                        </w:rPr>
                        <w:t>10/N</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60640" behindDoc="0" locked="0" layoutInCell="1" allowOverlap="1">
                <wp:simplePos x="0" y="0"/>
                <wp:positionH relativeFrom="column">
                  <wp:posOffset>1219200</wp:posOffset>
                </wp:positionH>
                <wp:positionV relativeFrom="paragraph">
                  <wp:posOffset>17145</wp:posOffset>
                </wp:positionV>
                <wp:extent cx="0" cy="262890"/>
                <wp:effectExtent l="57150" t="17145" r="57150" b="5715"/>
                <wp:wrapNone/>
                <wp:docPr id="46"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224" o:spid="_x0000_s1026" o:spt="32" type="#_x0000_t32" style="position:absolute;left:0pt;flip:y;margin-left:96pt;margin-top:1.35pt;height:20.7pt;width:0pt;z-index:251760640;mso-width-relative:page;mso-height-relative:page;" filled="f" stroked="t" coordsize="21600,21600" o:gfxdata="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bLrzdIAAAAIAQAA&#10;DwAAAAAAAAABACAAAAAiAAAAZHJzL2Rvd25yZXYueG1sUEsBAhQAFAAAAAgAh07iQDm54+TmAQAA&#10;tgMAAA4AAAAAAAAAAQAgAAAAIQEAAGRycy9lMm9Eb2MueG1sUEsFBgAAAAAGAAYAWQEAAHkFAAAA&#10;AA==&#10;">
                <v:fill on="f" focussize="0,0"/>
                <v:stroke color="#000000" joinstyle="round" dashstyle="dash" endarrow="block"/>
                <v:imagedata o:title=""/>
                <o:lock v:ext="edit" aspectratio="f"/>
              </v:shape>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66784" behindDoc="0" locked="0" layoutInCell="1" allowOverlap="1">
                <wp:simplePos x="0" y="0"/>
                <wp:positionH relativeFrom="column">
                  <wp:posOffset>4895850</wp:posOffset>
                </wp:positionH>
                <wp:positionV relativeFrom="paragraph">
                  <wp:posOffset>69215</wp:posOffset>
                </wp:positionV>
                <wp:extent cx="0" cy="419100"/>
                <wp:effectExtent l="76200" t="38100" r="57150" b="19050"/>
                <wp:wrapNone/>
                <wp:docPr id="10"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91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49" o:spid="_x0000_s1026" o:spt="32" type="#_x0000_t32" style="position:absolute;left:0pt;flip:y;margin-left:385.5pt;margin-top:5.45pt;height:33pt;width:0pt;z-index:251766784;mso-width-relative:page;mso-height-relative:page;" filled="f" stroked="t" coordsize="21600,21600" o:gfxdata="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gkK7P1wAAAAkBAAAPAAAAAAAA&#10;AAEAIAAAACIAAABkcnMvZG93bnJldi54bWxQSwECFAAUAAAACACHTuJAbCj6lNoBAACeAwAADgAA&#10;AAAAAAABACAAAAAmAQAAZHJzL2Uyb0RvYy54bWxQSwUGAAAAAAYABgBZAQAAcg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59616" behindDoc="0" locked="0" layoutInCell="1" allowOverlap="1">
                <wp:simplePos x="0" y="0"/>
                <wp:positionH relativeFrom="column">
                  <wp:posOffset>596900</wp:posOffset>
                </wp:positionH>
                <wp:positionV relativeFrom="paragraph">
                  <wp:posOffset>17145</wp:posOffset>
                </wp:positionV>
                <wp:extent cx="939800" cy="1584960"/>
                <wp:effectExtent l="6350" t="7620" r="6350" b="7620"/>
                <wp:wrapNone/>
                <wp:docPr id="41"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584960"/>
                        </a:xfrm>
                        <a:prstGeom prst="rect">
                          <a:avLst/>
                        </a:prstGeom>
                        <a:noFill/>
                        <a:ln w="9525">
                          <a:solidFill>
                            <a:srgbClr val="000000"/>
                          </a:solidFill>
                          <a:prstDash val="dashDot"/>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225" o:spid="_x0000_s1026" o:spt="1" style="position:absolute;left:0pt;margin-left:47pt;margin-top:1.35pt;height:124.8pt;width:74pt;z-index:251759616;mso-width-relative:page;mso-height-relative:page;" filled="f" stroked="t" coordsize="21600,21600" o:gfxdata="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SBYl/XAAAACAEAAA8A&#10;AAAAAAAAAQAgAAAAIgAAAGRycy9kb3ducmV2LnhtbFBLAQIUABQAAAAIAIdO4kChxzG6GAIAABkE&#10;AAAOAAAAAAAAAAEAIAAAACYBAABkcnMvZTJvRG9jLnhtbFBLBQYAAAAABgAGAFkBAACwBQAAAAA=&#10;">
                <v:fill on="f" focussize="0,0"/>
                <v:stroke color="#000000" miterlimit="8" joinstyle="miter" dashstyle="dashDot"/>
                <v:imagedata o:title=""/>
                <o:lock v:ext="edit" aspectratio="f"/>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50400" behindDoc="0" locked="0" layoutInCell="1" allowOverlap="1">
                <wp:simplePos x="0" y="0"/>
                <wp:positionH relativeFrom="column">
                  <wp:posOffset>654050</wp:posOffset>
                </wp:positionH>
                <wp:positionV relativeFrom="paragraph">
                  <wp:posOffset>112395</wp:posOffset>
                </wp:positionV>
                <wp:extent cx="838200" cy="317500"/>
                <wp:effectExtent l="6350" t="7620" r="12700" b="8255"/>
                <wp:wrapNone/>
                <wp:docPr id="40"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计量</w:t>
                            </w:r>
                            <w:r>
                              <w:rPr>
                                <w:rFonts w:ascii="宋体" w:hAnsi="宋体" w:hint="eastAsia"/>
                              </w:rPr>
                              <w:t>/</w:t>
                            </w:r>
                            <w:r>
                              <w:rPr>
                                <w:rFonts w:ascii="宋体" w:hAnsi="宋体" w:hint="eastAsia"/>
                              </w:rPr>
                              <w:t>提升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226" o:spid="_x0000_s1026" o:spt="1" style="position:absolute;left:0pt;margin-left:51.5pt;margin-top:8.85pt;height:25pt;width:66pt;z-index:251750400;mso-width-relative:page;mso-height-relative:page;" fillcolor="#FFFFFF" filled="t" stroked="t" coordsize="21600,21600" o:gfxdata="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TdwStUAAAAJAQAADwAAAAAAAAABACAA&#10;AAAiAAAAZHJzL2Rvd25yZXYueG1sUEsBAhQAFAAAAAgAh07iQDL9Zh8QAgAAMQQAAA4AAAAAAAAA&#10;AQAgAAAAJAEAAGRycy9lMm9Eb2MueG1sUEsFBgAAAAAGAAYAWQEAAKYFAAAAAA==&#10;">
                <v:fill on="t" focussize="0,0"/>
                <v:stroke color="#000000" miterlimit="8" joinstyle="miter"/>
                <v:imagedata o:title=""/>
                <o:lock v:ext="edit" aspectratio="f"/>
                <v:textbox>
                  <w:txbxContent>
                    <w:p>
                      <w:pPr>
                        <w:rPr>
                          <w:rFonts w:ascii="宋体" w:hAnsi="宋体"/>
                        </w:rPr>
                      </w:pPr>
                      <w:r>
                        <w:rPr>
                          <w:rFonts w:hint="eastAsia" w:ascii="宋体" w:hAnsi="宋体"/>
                        </w:rPr>
                        <w:t>计量/提升</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41184" behindDoc="0" locked="0" layoutInCell="1" allowOverlap="1">
                <wp:simplePos x="0" y="0"/>
                <wp:positionH relativeFrom="column">
                  <wp:posOffset>-31750</wp:posOffset>
                </wp:positionH>
                <wp:positionV relativeFrom="paragraph">
                  <wp:posOffset>17145</wp:posOffset>
                </wp:positionV>
                <wp:extent cx="577850" cy="171450"/>
                <wp:effectExtent l="0" t="0" r="0" b="1905"/>
                <wp:wrapNone/>
                <wp:docPr id="3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有机原料</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28" o:spid="_x0000_s1026" o:spt="202" type="#_x0000_t202" style="position:absolute;left:0pt;margin-left:-2.5pt;margin-top:1.35pt;height:13.5pt;width:45.5pt;z-index:251741184;mso-width-relative:page;mso-height-relative:page;" fillcolor="#FFFFFF" filled="t" stroked="f" coordsize="21600,21600" o:gfxdata="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kcPuPVAAAABgEAAA8AAAAAAAAAAQAgAAAAIgAAAGRycy9kb3ducmV2LnhtbFBLAQIU&#10;ABQAAAAIAIdO4kDbBrWh9gEAAOEDAAAOAAAAAAAAAAEAIAAAACQBAABkcnMvZTJvRG9jLnhtbFBL&#10;BQYAAAAABgAGAFkBAACMBQAAAAA=&#10;">
                <v:fill on="t" focussize="0,0"/>
                <v:stroke on="f"/>
                <v:imagedata o:title=""/>
                <o:lock v:ext="edit" aspectratio="f"/>
                <v:textbox inset="0mm,0mm,0mm,0mm">
                  <w:txbxContent>
                    <w:p>
                      <w:pPr>
                        <w:rPr>
                          <w:rFonts w:ascii="宋体" w:hAnsi="宋体"/>
                        </w:rPr>
                      </w:pPr>
                      <w:r>
                        <w:rPr>
                          <w:rFonts w:hint="eastAsia" w:ascii="宋体" w:hAnsi="宋体"/>
                        </w:rPr>
                        <w:t>有机原料</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42208" behindDoc="0" locked="0" layoutInCell="1" allowOverlap="1">
                <wp:simplePos x="0" y="0"/>
                <wp:positionH relativeFrom="column">
                  <wp:posOffset>158750</wp:posOffset>
                </wp:positionH>
                <wp:positionV relativeFrom="paragraph">
                  <wp:posOffset>233045</wp:posOffset>
                </wp:positionV>
                <wp:extent cx="495300" cy="0"/>
                <wp:effectExtent l="6350" t="61595" r="22225" b="52705"/>
                <wp:wrapNone/>
                <wp:docPr id="38"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29" o:spid="_x0000_s1026" o:spt="32" type="#_x0000_t32" style="position:absolute;left:0pt;margin-left:12.5pt;margin-top:18.35pt;height:0pt;width:39pt;z-index:251742208;mso-width-relative:page;mso-height-relative:page;" filled="f" stroked="t" coordsize="21600,21600" o:gfxdata="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lB/k+2AAAAAgBAAAPAAAAAAAAAAEA&#10;IAAAACIAAABkcnMvZG93bnJldi54bWxQSwECFAAUAAAACACHTuJAOBi3edYBAACUAwAADgAAAAAA&#10;AAABACAAAAAnAQAAZHJzL2Uyb0RvYy54bWxQSwUGAAAAAAYABgBZAQAAbwU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65760" behindDoc="0" locked="0" layoutInCell="1" allowOverlap="1">
                <wp:simplePos x="0" y="0"/>
                <wp:positionH relativeFrom="column">
                  <wp:posOffset>3594100</wp:posOffset>
                </wp:positionH>
                <wp:positionV relativeFrom="paragraph">
                  <wp:posOffset>179705</wp:posOffset>
                </wp:positionV>
                <wp:extent cx="476250" cy="317500"/>
                <wp:effectExtent l="0" t="0" r="19050" b="25400"/>
                <wp:wrapNone/>
                <wp:docPr id="3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造粒</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247" o:spid="_x0000_s1026" o:spt="1" style="position:absolute;left:0pt;margin-left:283pt;margin-top:14.15pt;height:25pt;width:37.5pt;z-index:251765760;mso-width-relative:page;mso-height-relative:page;" fillcolor="#FFFFFF" filled="t" stroked="t" coordsize="21600,21600" o:gfxdata="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nTTz3XAAAACQEAAA8AAAAA&#10;AAAAAQAgAAAAIgAAAGRycy9kb3ducmV2LnhtbFBLAQIUABQAAAAIAIdO4kBGe7fUFQIAADEEAAAO&#10;AAAAAAAAAAEAIAAAACYBAABkcnMvZTJvRG9jLnhtbFBLBQYAAAAABgAGAFkBAACtBQAAAAA=&#10;">
                <v:fill on="t" focussize="0,0"/>
                <v:stroke color="#000000" miterlimit="8" joinstyle="miter"/>
                <v:imagedata o:title=""/>
                <o:lock v:ext="edit" aspectratio="f"/>
                <v:textbox>
                  <w:txbxContent>
                    <w:p>
                      <w:pPr>
                        <w:rPr>
                          <w:rFonts w:ascii="宋体" w:hAnsi="宋体"/>
                        </w:rPr>
                      </w:pPr>
                      <w:r>
                        <w:rPr>
                          <w:rFonts w:hint="eastAsia" w:ascii="宋体" w:hAnsi="宋体"/>
                        </w:rPr>
                        <w:t>造粒</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87968" behindDoc="0" locked="0" layoutInCell="1" allowOverlap="1">
                <wp:simplePos x="0" y="0"/>
                <wp:positionH relativeFrom="column">
                  <wp:posOffset>4521200</wp:posOffset>
                </wp:positionH>
                <wp:positionV relativeFrom="paragraph">
                  <wp:posOffset>205105</wp:posOffset>
                </wp:positionV>
                <wp:extent cx="787400" cy="317500"/>
                <wp:effectExtent l="6350" t="10160" r="6350" b="5715"/>
                <wp:wrapNone/>
                <wp:docPr id="285"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冷却筛分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238" o:spid="_x0000_s1026" o:spt="1" style="position:absolute;left:0pt;margin-left:356pt;margin-top:16.15pt;height:25pt;width:62pt;z-index:251987968;mso-width-relative:page;mso-height-relative:page;" fillcolor="#FFFFFF" filled="t" stroked="t" coordsize="21600,21600" o:gfxdata="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U59/1wAAAAkBAAAPAAAAAAAA&#10;AAEAIAAAACIAAABkcnMvZG93bnJldi54bWxQSwECFAAUAAAACACHTuJAnq76uxMCAAAyBAAADgAA&#10;AAAAAAABACAAAAAmAQAAZHJzL2Uyb0RvYy54bWxQSwUGAAAAAAYABgBZAQAAqwUAAAAA&#10;">
                <v:fill on="t" focussize="0,0"/>
                <v:stroke color="#000000" miterlimit="8" joinstyle="miter"/>
                <v:imagedata o:title=""/>
                <o:lock v:ext="edit" aspectratio="f"/>
                <v:textbox>
                  <w:txbxContent>
                    <w:p>
                      <w:pPr>
                        <w:rPr>
                          <w:rFonts w:ascii="宋体" w:hAnsi="宋体"/>
                        </w:rPr>
                      </w:pPr>
                      <w:r>
                        <w:rPr>
                          <w:rFonts w:hint="eastAsia" w:ascii="宋体" w:hAnsi="宋体"/>
                        </w:rPr>
                        <w:t>冷却筛分</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65440" behindDoc="0" locked="0" layoutInCell="1" allowOverlap="1">
                <wp:simplePos x="0" y="0"/>
                <wp:positionH relativeFrom="column">
                  <wp:posOffset>2432050</wp:posOffset>
                </wp:positionH>
                <wp:positionV relativeFrom="paragraph">
                  <wp:posOffset>179705</wp:posOffset>
                </wp:positionV>
                <wp:extent cx="656590" cy="317500"/>
                <wp:effectExtent l="12700" t="8255" r="6985" b="7620"/>
                <wp:wrapNone/>
                <wp:docPr id="36"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9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二混槽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264" o:spid="_x0000_s1026" o:spt="1" style="position:absolute;left:0pt;margin-left:191.5pt;margin-top:14.15pt;height:25pt;width:51.7pt;z-index:251965440;mso-width-relative:page;mso-height-relative:page;" fillcolor="#FFFFFF" filled="t" stroked="t" coordsize="21600,21600" o:gfxdata="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GySm2AAAAAkBAAAPAAAA&#10;AAAAAAEAIAAAACIAAABkcnMvZG93bnJldi54bWxQSwECFAAUAAAACACHTuJAXKglDhUCAAAxBAAA&#10;DgAAAAAAAAABACAAAAAnAQAAZHJzL2Uyb0RvYy54bWxQSwUGAAAAAAYABgBZAQAArgUAAAAA&#10;">
                <v:fill on="t" focussize="0,0"/>
                <v:stroke color="#000000" miterlimit="8" joinstyle="miter"/>
                <v:imagedata o:title=""/>
                <o:lock v:ext="edit" aspectratio="f"/>
                <v:textbox>
                  <w:txbxContent>
                    <w:p>
                      <w:pPr>
                        <w:rPr>
                          <w:rFonts w:ascii="宋体" w:hAnsi="宋体"/>
                        </w:rPr>
                      </w:pPr>
                      <w:r>
                        <w:rPr>
                          <w:rFonts w:hint="eastAsia" w:ascii="宋体" w:hAnsi="宋体"/>
                        </w:rPr>
                        <w:t>二混槽</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63712" behindDoc="0" locked="0" layoutInCell="1" allowOverlap="1">
                <wp:simplePos x="0" y="0"/>
                <wp:positionH relativeFrom="column">
                  <wp:posOffset>1927860</wp:posOffset>
                </wp:positionH>
                <wp:positionV relativeFrom="paragraph">
                  <wp:posOffset>27305</wp:posOffset>
                </wp:positionV>
                <wp:extent cx="8890" cy="739140"/>
                <wp:effectExtent l="13335" t="8255" r="6350" b="5080"/>
                <wp:wrapNone/>
                <wp:docPr id="35"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73914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AutoShape 235" o:spid="_x0000_s1026" o:spt="32" type="#_x0000_t32" style="position:absolute;left:0pt;flip:x;margin-left:151.8pt;margin-top:2.15pt;height:58.2pt;width:0.7pt;z-index:251763712;mso-width-relative:page;mso-height-relative:page;" filled="f" stroked="t" coordsize="21600,21600" o:gfxdata="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KbTtjXAAAACQEAAA8AAAAAAAAAAQAgAAAAIgAAAGRycy9kb3du&#10;cmV2LnhtbFBLAQIUABQAAAAIAIdO4kAAJxGuxwEAAHMDAAAOAAAAAAAAAAEAIAAAACYBAABkcnMv&#10;ZTJvRG9jLnhtbFBLBQYAAAAABgAGAFkBAABfBQAAAAA=&#10;">
                <v:fill on="f" focussize="0,0"/>
                <v:stroke color="#000000" joinstyle="round"/>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51424" behindDoc="0" locked="0" layoutInCell="1" allowOverlap="1">
                <wp:simplePos x="0" y="0"/>
                <wp:positionH relativeFrom="column">
                  <wp:posOffset>1492250</wp:posOffset>
                </wp:positionH>
                <wp:positionV relativeFrom="paragraph">
                  <wp:posOffset>27305</wp:posOffset>
                </wp:positionV>
                <wp:extent cx="444500" cy="635"/>
                <wp:effectExtent l="6350" t="55880" r="15875" b="57785"/>
                <wp:wrapNone/>
                <wp:docPr id="34"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6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30" o:spid="_x0000_s1026" o:spt="32" type="#_x0000_t32" style="position:absolute;left:0pt;margin-left:117.5pt;margin-top:2.15pt;height:0.05pt;width:35pt;z-index:251751424;mso-width-relative:page;mso-height-relative:page;" filled="f" stroked="t" coordsize="21600,21600" o:gfxdata="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lUn29cAAAAHAQAADwAAAAAAAAAB&#10;ACAAAAAiAAAAZHJzL2Rvd25yZXYueG1sUEsBAhQAFAAAAAgAh07iQADU2FzYAQAAlgMAAA4AAAAA&#10;AAAAAQAgAAAAJgEAAGRycy9lMm9Eb2MueG1sUEsFBgAAAAAGAAYAWQEAAHA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52448" behindDoc="0" locked="0" layoutInCell="1" allowOverlap="1">
                <wp:simplePos x="0" y="0"/>
                <wp:positionH relativeFrom="column">
                  <wp:posOffset>654050</wp:posOffset>
                </wp:positionH>
                <wp:positionV relativeFrom="paragraph">
                  <wp:posOffset>230505</wp:posOffset>
                </wp:positionV>
                <wp:extent cx="838200" cy="317500"/>
                <wp:effectExtent l="6350" t="11430" r="12700" b="13970"/>
                <wp:wrapNone/>
                <wp:docPr id="33"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计量</w:t>
                            </w:r>
                            <w:r>
                              <w:rPr>
                                <w:rFonts w:ascii="宋体" w:hAnsi="宋体" w:hint="eastAsia"/>
                              </w:rPr>
                              <w:t>/</w:t>
                            </w:r>
                            <w:r>
                              <w:rPr>
                                <w:rFonts w:ascii="宋体" w:hAnsi="宋体" w:hint="eastAsia"/>
                              </w:rPr>
                              <w:t>提升</w:t>
                            </w:r>
                          </w:p>
                          <w:p w:rsidR="00C861DA" w:rsidRDefault="00C861DA">
                            <w:pPr>
                              <w:rPr>
                                <w:rFonts w:ascii="宋体" w:hAnsi="宋体"/>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231" o:spid="_x0000_s1026" o:spt="1" style="position:absolute;left:0pt;margin-left:51.5pt;margin-top:18.15pt;height:25pt;width:66pt;z-index:251752448;mso-width-relative:page;mso-height-relative:page;" fillcolor="#FFFFFF" filled="t" stroked="t" coordsize="21600,21600" o:gfxdata="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S/cG3WAAAACQEAAA8AAAAAAAAAAQAg&#10;AAAAIgAAAGRycy9kb3ducmV2LnhtbFBLAQIUABQAAAAIAIdO4kB1cvOfEAIAADEEAAAOAAAAAAAA&#10;AAEAIAAAACUBAABkcnMvZTJvRG9jLnhtbFBLBQYAAAAABgAGAFkBAACnBQAAAAA=&#10;">
                <v:fill on="t" focussize="0,0"/>
                <v:stroke color="#000000" miterlimit="8" joinstyle="miter"/>
                <v:imagedata o:title=""/>
                <o:lock v:ext="edit" aspectratio="f"/>
                <v:textbox>
                  <w:txbxContent>
                    <w:p>
                      <w:pPr>
                        <w:rPr>
                          <w:rFonts w:ascii="宋体" w:hAnsi="宋体"/>
                        </w:rPr>
                      </w:pPr>
                      <w:r>
                        <w:rPr>
                          <w:rFonts w:hint="eastAsia" w:ascii="宋体" w:hAnsi="宋体"/>
                        </w:rPr>
                        <w:t>计量/提升</w:t>
                      </w:r>
                    </w:p>
                    <w:p>
                      <w:pPr>
                        <w:rPr>
                          <w:rFonts w:ascii="宋体" w:hAnsi="宋体"/>
                        </w:rPr>
                      </w:pP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43232" behindDoc="0" locked="0" layoutInCell="1" allowOverlap="1">
                <wp:simplePos x="0" y="0"/>
                <wp:positionH relativeFrom="column">
                  <wp:posOffset>-31750</wp:posOffset>
                </wp:positionH>
                <wp:positionV relativeFrom="paragraph">
                  <wp:posOffset>128905</wp:posOffset>
                </wp:positionV>
                <wp:extent cx="298450" cy="171450"/>
                <wp:effectExtent l="0" t="0" r="0" b="4445"/>
                <wp:wrapNone/>
                <wp:docPr id="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磷铵</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32" o:spid="_x0000_s1026" o:spt="202" type="#_x0000_t202" style="position:absolute;left:0pt;margin-left:-2.5pt;margin-top:10.15pt;height:13.5pt;width:23.5pt;z-index:251743232;mso-width-relative:page;mso-height-relative:page;" fillcolor="#FFFFFF" filled="t" stroked="f" coordsize="21600,21600" o:gfxdata="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N9AmTXAAAABwEAAA8AAAAAAAAAAQAgAAAAIgAAAGRycy9kb3ducmV2LnhtbFBLAQIU&#10;ABQAAAAIAIdO4kCrWN9r9AEAAOEDAAAOAAAAAAAAAAEAIAAAACYBAABkcnMvZTJvRG9jLnhtbFBL&#10;BQYAAAAABgAGAFkBAACMBQAAAAA=&#10;">
                <v:fill on="t" focussize="0,0"/>
                <v:stroke on="f"/>
                <v:imagedata o:title=""/>
                <o:lock v:ext="edit" aspectratio="f"/>
                <v:textbox inset="0mm,0mm,0mm,0mm">
                  <w:txbxContent>
                    <w:p>
                      <w:pPr>
                        <w:rPr>
                          <w:rFonts w:ascii="宋体" w:hAnsi="宋体"/>
                        </w:rPr>
                      </w:pPr>
                      <w:r>
                        <w:rPr>
                          <w:rFonts w:hint="eastAsia" w:ascii="宋体" w:hAnsi="宋体"/>
                        </w:rPr>
                        <w:t>磷铵</w:t>
                      </w:r>
                    </w:p>
                  </w:txbxContent>
                </v:textbox>
              </v:shape>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45984" behindDoc="1" locked="0" layoutInCell="1" allowOverlap="1">
                <wp:simplePos x="0" y="0"/>
                <wp:positionH relativeFrom="column">
                  <wp:posOffset>3076575</wp:posOffset>
                </wp:positionH>
                <wp:positionV relativeFrom="paragraph">
                  <wp:posOffset>251460</wp:posOffset>
                </wp:positionV>
                <wp:extent cx="466725" cy="250190"/>
                <wp:effectExtent l="0" t="0" r="66675" b="54610"/>
                <wp:wrapNone/>
                <wp:docPr id="43"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25019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269" o:spid="_x0000_s1026" o:spt="32" type="#_x0000_t32" style="position:absolute;left:0pt;margin-left:242.25pt;margin-top:19.8pt;height:19.7pt;width:36.75pt;z-index:-251370496;mso-width-relative:page;mso-height-relative:page;" filled="f" stroked="t" coordsize="21600,21600" o:gfxdata="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ONrUrWAAAA&#10;CQEAAA8AAAAAAAAAAQAgAAAAIgAAAGRycy9kb3ducmV2LnhtbFBLAQIUABQAAAAIAIdO4kA925oc&#10;5gEAALEDAAAOAAAAAAAAAAEAIAAAACUBAABkcnMvZTJvRG9jLnhtbFBLBQYAAAAABgAGAFkBAAB9&#10;BQ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73952" behindDoc="1" locked="0" layoutInCell="1" allowOverlap="1">
                <wp:simplePos x="0" y="0"/>
                <wp:positionH relativeFrom="column">
                  <wp:posOffset>3819525</wp:posOffset>
                </wp:positionH>
                <wp:positionV relativeFrom="paragraph">
                  <wp:posOffset>235585</wp:posOffset>
                </wp:positionV>
                <wp:extent cx="0" cy="269240"/>
                <wp:effectExtent l="76200" t="0" r="57150" b="54610"/>
                <wp:wrapNone/>
                <wp:docPr id="44"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270" o:spid="_x0000_s1026" o:spt="32" type="#_x0000_t32" style="position:absolute;left:0pt;margin-left:300.75pt;margin-top:18.55pt;height:21.2pt;width:0pt;z-index:-251542528;mso-width-relative:page;mso-height-relative:page;" filled="f" stroked="t" coordsize="21600,21600" o:gfxdata="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1O7enVAAAACQEAAA8A&#10;AAAAAAAAAQAgAAAAIgAAAGRycy9kb3ducmV2LnhtbFBLAQIUABQAAAAIAIdO4kDsllxC4QEAAKwD&#10;AAAOAAAAAAAAAAEAIAAAACQBAABkcnMvZTJvRG9jLnhtbFBLBQYAAAAABgAGAFkBAAB3BQ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63392" behindDoc="0" locked="0" layoutInCell="1" allowOverlap="1">
                <wp:simplePos x="0" y="0"/>
                <wp:positionH relativeFrom="column">
                  <wp:posOffset>2752725</wp:posOffset>
                </wp:positionH>
                <wp:positionV relativeFrom="paragraph">
                  <wp:posOffset>238125</wp:posOffset>
                </wp:positionV>
                <wp:extent cx="0" cy="701040"/>
                <wp:effectExtent l="76200" t="38100" r="57150" b="22860"/>
                <wp:wrapNone/>
                <wp:docPr id="23"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10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63" o:spid="_x0000_s1026" o:spt="32" type="#_x0000_t32" style="position:absolute;left:0pt;flip:y;margin-left:216.75pt;margin-top:18.75pt;height:55.2pt;width:0pt;z-index:251963392;mso-width-relative:page;mso-height-relative:page;" filled="f" stroked="t" coordsize="21600,21600" o:gfxdata="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jHOALYAAAACgEAAA8AAAAA&#10;AAAAAQAgAAAAIgAAAGRycy9kb3ducmV2LnhtbFBLAQIUABQAAAAIAIdO4kAN1aTb2wEAAJ4DAAAO&#10;AAAAAAAAAAEAIAAAACcBAABkcnMvZTJvRG9jLnhtbFBLBQYAAAAABgAGAFkBAAB0BQ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64736" behindDoc="0" locked="0" layoutInCell="1" allowOverlap="1">
                <wp:simplePos x="0" y="0"/>
                <wp:positionH relativeFrom="column">
                  <wp:posOffset>3076575</wp:posOffset>
                </wp:positionH>
                <wp:positionV relativeFrom="paragraph">
                  <wp:posOffset>101600</wp:posOffset>
                </wp:positionV>
                <wp:extent cx="534035" cy="0"/>
                <wp:effectExtent l="0" t="76200" r="18415" b="95250"/>
                <wp:wrapNone/>
                <wp:docPr id="31"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4035"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34" o:spid="_x0000_s1026" o:spt="32" type="#_x0000_t32" style="position:absolute;left:0pt;flip:y;margin-left:242.25pt;margin-top:8pt;height:0pt;width:42.05pt;z-index:251764736;mso-width-relative:page;mso-height-relative:page;" filled="f" stroked="t" coordsize="21600,21600" o:gfxdata="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he6iNcAAAAJAQAADwAAAAAA&#10;AAABACAAAAAiAAAAZHJzL2Rvd25yZXYueG1sUEsBAhQAFAAAAAgAh07iQPdin6LbAQAAngMAAA4A&#10;AAAAAAAAAQAgAAAAJgEAAGRycy9lMm9Eb2MueG1sUEsFBgAAAAAGAAYAWQEAAHM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86944" behindDoc="0" locked="0" layoutInCell="1" allowOverlap="1">
                <wp:simplePos x="0" y="0"/>
                <wp:positionH relativeFrom="column">
                  <wp:posOffset>4083050</wp:posOffset>
                </wp:positionH>
                <wp:positionV relativeFrom="paragraph">
                  <wp:posOffset>100965</wp:posOffset>
                </wp:positionV>
                <wp:extent cx="438150" cy="0"/>
                <wp:effectExtent l="0" t="76200" r="19050" b="95250"/>
                <wp:wrapNone/>
                <wp:docPr id="284"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33" o:spid="_x0000_s1026" o:spt="32" type="#_x0000_t32" style="position:absolute;left:0pt;margin-left:321.5pt;margin-top:7.95pt;height:0pt;width:34.5pt;z-index:251986944;mso-width-relative:page;mso-height-relative:page;" filled="f" stroked="t" coordsize="21600,21600" o:gfxdata="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SacNgAAAAJAQAADwAAAAAAAAAB&#10;ACAAAAAiAAAAZHJzL2Rvd25yZXYueG1sUEsBAhQAFAAAAAgAh07iQP3Z38XXAQAAlQMAAA4AAAAA&#10;AAAAAQAgAAAAJwEAAGRycy9lMm9Eb2MueG1sUEsFBgAAAAAGAAYAWQEAAHA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34016" behindDoc="1" locked="0" layoutInCell="1" allowOverlap="1">
                <wp:simplePos x="0" y="0"/>
                <wp:positionH relativeFrom="column">
                  <wp:posOffset>1946275</wp:posOffset>
                </wp:positionH>
                <wp:positionV relativeFrom="paragraph">
                  <wp:posOffset>31115</wp:posOffset>
                </wp:positionV>
                <wp:extent cx="495300" cy="0"/>
                <wp:effectExtent l="12700" t="59690" r="15875" b="54610"/>
                <wp:wrapNone/>
                <wp:docPr id="30"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66" o:spid="_x0000_s1026" o:spt="32" type="#_x0000_t32" style="position:absolute;left:0pt;margin-left:153.25pt;margin-top:2.45pt;height:0pt;width:39pt;z-index:-251582464;mso-width-relative:page;mso-height-relative:page;" filled="f" stroked="t" coordsize="21600,21600" o:gfxdata="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2g4kNYAAAAHAQAADwAAAAAAAAABACAA&#10;AAAiAAAAZHJzL2Rvd25yZXYueG1sUEsBAhQAFAAAAAgAh07iQL5TigTWAQAAlAMAAA4AAAAAAAAA&#10;AQAgAAAAJQEAAGRycy9lMm9Eb2MueG1sUEsFBgAAAAAGAAYAWQEAAG0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47328" behindDoc="0" locked="0" layoutInCell="1" allowOverlap="1">
                <wp:simplePos x="0" y="0"/>
                <wp:positionH relativeFrom="column">
                  <wp:posOffset>-28575</wp:posOffset>
                </wp:positionH>
                <wp:positionV relativeFrom="paragraph">
                  <wp:posOffset>237490</wp:posOffset>
                </wp:positionV>
                <wp:extent cx="469900" cy="171450"/>
                <wp:effectExtent l="0" t="0" r="0" b="635"/>
                <wp:wrapNone/>
                <wp:docPr id="2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添加剂</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46" o:spid="_x0000_s1026" o:spt="202" type="#_x0000_t202" style="position:absolute;left:0pt;margin-left:-2.25pt;margin-top:18.7pt;height:13.5pt;width:37pt;z-index:251747328;mso-width-relative:page;mso-height-relative:page;" fillcolor="#FFFFFF" filled="t" stroked="f" coordsize="21600,21600" o:gfxdata="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Xd7tbWAAAABwEAAA8AAAAAAAAAAQAgAAAAIgAAAGRycy9kb3ducmV2LnhtbFBL&#10;AQIUABQAAAAIAIdO4kCBzi7t+AEAAOEDAAAOAAAAAAAAAAEAIAAAACUBAABkcnMvZTJvRG9jLnht&#10;bFBLBQYAAAAABgAGAFkBAACPBQAAAAA=&#10;">
                <v:fill on="t" focussize="0,0"/>
                <v:stroke on="f"/>
                <v:imagedata o:title=""/>
                <o:lock v:ext="edit" aspectratio="f"/>
                <v:textbox inset="0mm,0mm,0mm,0mm">
                  <w:txbxContent>
                    <w:p>
                      <w:pPr>
                        <w:rPr>
                          <w:rFonts w:ascii="宋体" w:hAnsi="宋体"/>
                        </w:rPr>
                      </w:pPr>
                      <w:r>
                        <w:rPr>
                          <w:rFonts w:hint="eastAsia" w:ascii="宋体" w:hAnsi="宋体"/>
                        </w:rPr>
                        <w:t>添加剂</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49376" behindDoc="0" locked="0" layoutInCell="1" allowOverlap="1">
                <wp:simplePos x="0" y="0"/>
                <wp:positionH relativeFrom="column">
                  <wp:posOffset>1492250</wp:posOffset>
                </wp:positionH>
                <wp:positionV relativeFrom="paragraph">
                  <wp:posOffset>158115</wp:posOffset>
                </wp:positionV>
                <wp:extent cx="444500" cy="635"/>
                <wp:effectExtent l="6350" t="53340" r="15875" b="60325"/>
                <wp:wrapNone/>
                <wp:docPr id="28"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6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36" o:spid="_x0000_s1026" o:spt="32" type="#_x0000_t32" style="position:absolute;left:0pt;margin-left:117.5pt;margin-top:12.45pt;height:0.05pt;width:35pt;z-index:251749376;mso-width-relative:page;mso-height-relative:page;" filled="f" stroked="t" coordsize="21600,21600" o:gfxdata="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UhcK9cAAAAJAQAADwAAAAAAAAAB&#10;ACAAAAAiAAAAZHJzL2Rvd25yZXYueG1sUEsBAhQAFAAAAAgAh07iQOvY2IvYAQAAlgMAAA4AAAAA&#10;AAAAAQAgAAAAJgEAAGRycy9lMm9Eb2MueG1sUEsFBgAAAAAGAAYAWQEAAHA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44256" behindDoc="0" locked="0" layoutInCell="1" allowOverlap="1">
                <wp:simplePos x="0" y="0"/>
                <wp:positionH relativeFrom="column">
                  <wp:posOffset>152400</wp:posOffset>
                </wp:positionH>
                <wp:positionV relativeFrom="paragraph">
                  <wp:posOffset>81915</wp:posOffset>
                </wp:positionV>
                <wp:extent cx="495300" cy="0"/>
                <wp:effectExtent l="9525" t="53340" r="19050" b="60960"/>
                <wp:wrapNone/>
                <wp:docPr id="27"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39" o:spid="_x0000_s1026" o:spt="32" type="#_x0000_t32" style="position:absolute;left:0pt;margin-left:12pt;margin-top:6.45pt;height:0pt;width:39pt;z-index:251744256;mso-width-relative:page;mso-height-relative:page;" filled="f" stroked="t" coordsize="21600,21600" o:gfxdata="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7D3bXWAAAACAEAAA8AAAAAAAAAAQAg&#10;AAAAIgAAAGRycy9kb3ducmV2LnhtbFBLAQIUABQAAAAIAIdO4kCksF3K1wEAAJQDAAAOAAAAAAAA&#10;AAEAIAAAACUBAABkcnMvZTJvRG9jLnhtbFBLBQYAAAAABgAGAFkBAABuBQ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71904" behindDoc="0" locked="0" layoutInCell="1" allowOverlap="1">
                <wp:simplePos x="0" y="0"/>
                <wp:positionH relativeFrom="column">
                  <wp:posOffset>4622800</wp:posOffset>
                </wp:positionH>
                <wp:positionV relativeFrom="paragraph">
                  <wp:posOffset>113030</wp:posOffset>
                </wp:positionV>
                <wp:extent cx="457200" cy="171450"/>
                <wp:effectExtent l="0" t="0" r="0" b="0"/>
                <wp:wrapNone/>
                <wp:docPr id="2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rPr>
                              <w:t>G</w:t>
                            </w:r>
                            <w:r>
                              <w:rPr>
                                <w:rFonts w:ascii="Times New Roman" w:hAnsi="Times New Roman" w:cs="Times New Roman" w:hint="eastAsia"/>
                              </w:rPr>
                              <w:t>14/N</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21" o:spid="_x0000_s1026" o:spt="202" type="#_x0000_t202" style="position:absolute;left:0pt;margin-left:364pt;margin-top:8.9pt;height:13.5pt;width:36pt;z-index:251771904;mso-width-relative:page;mso-height-relative:page;" fillcolor="#FFFFFF" filled="t" stroked="f" coordsize="21600,21600" o:gfxdata="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xqzAB1wAAAAkBAAAPAAAAAAAAAAEAIAAAACIAAABkcnMvZG93bnJldi54bWxQ&#10;SwECFAAUAAAACACHTuJAay9VRvgBAADhAwAADgAAAAAAAAABACAAAAAmAQAAZHJzL2Uyb0RvYy54&#10;bWxQSwUGAAAAAAYABgBZAQAAkAUAAAAA&#10;">
                <v:fill on="t" focussize="0,0"/>
                <v:stroke on="f"/>
                <v:imagedata o:title=""/>
                <o:lock v:ext="edit" aspectratio="f"/>
                <v:textbox inset="0mm,0mm,0mm,0mm">
                  <w:txbxContent>
                    <w:p>
                      <w:pPr>
                        <w:rPr>
                          <w:rFonts w:ascii="Times New Roman" w:hAnsi="Times New Roman" w:cs="Times New Roman"/>
                        </w:rPr>
                      </w:pPr>
                      <w:r>
                        <w:rPr>
                          <w:rFonts w:ascii="Times New Roman" w:hAnsi="Times New Roman" w:cs="Times New Roman"/>
                        </w:rPr>
                        <w:t>G</w:t>
                      </w:r>
                      <w:r>
                        <w:rPr>
                          <w:rFonts w:hint="eastAsia" w:ascii="Times New Roman" w:hAnsi="Times New Roman" w:cs="Times New Roman"/>
                        </w:rPr>
                        <w:t>14/N</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70880" behindDoc="0" locked="0" layoutInCell="1" allowOverlap="1">
                <wp:simplePos x="0" y="0"/>
                <wp:positionH relativeFrom="column">
                  <wp:posOffset>4524375</wp:posOffset>
                </wp:positionH>
                <wp:positionV relativeFrom="paragraph">
                  <wp:posOffset>23495</wp:posOffset>
                </wp:positionV>
                <wp:extent cx="98425" cy="229235"/>
                <wp:effectExtent l="38100" t="0" r="34925" b="56515"/>
                <wp:wrapNone/>
                <wp:docPr id="25"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6" cy="229235"/>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220" o:spid="_x0000_s1026" o:spt="32" type="#_x0000_t32" style="position:absolute;left:0pt;flip:x;margin-left:356.25pt;margin-top:1.85pt;height:18.05pt;width:7.75pt;z-index:251770880;mso-width-relative:page;mso-height-relative:page;" filled="f" stroked="t" coordsize="21600,21600" o:gfxdata="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hrs4fTAAAA&#10;CAEAAA8AAAAAAAAAAQAgAAAAIgAAAGRycy9kb3ducmV2LnhtbFBLAQIUABQAAAAIAIdO4kBLY4/j&#10;6QEAALoDAAAOAAAAAAAAAAEAIAAAACIBAABkcnMvZTJvRG9jLnhtbFBLBQYAAAAABgAGAFkBAAB9&#10;BQ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93088" behindDoc="0" locked="0" layoutInCell="1" allowOverlap="1">
                <wp:simplePos x="0" y="0"/>
                <wp:positionH relativeFrom="column">
                  <wp:posOffset>3333750</wp:posOffset>
                </wp:positionH>
                <wp:positionV relativeFrom="paragraph">
                  <wp:posOffset>245745</wp:posOffset>
                </wp:positionV>
                <wp:extent cx="1190625" cy="317500"/>
                <wp:effectExtent l="0" t="0" r="28575" b="25400"/>
                <wp:wrapNone/>
                <wp:docPr id="297"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布袋</w:t>
                            </w:r>
                            <w:r>
                              <w:rPr>
                                <w:rFonts w:ascii="宋体" w:hAnsi="宋体" w:hint="eastAsia"/>
                              </w:rPr>
                              <w:t>+</w:t>
                            </w:r>
                            <w:r>
                              <w:rPr>
                                <w:rFonts w:ascii="宋体" w:hAnsi="宋体" w:hint="eastAsia"/>
                              </w:rPr>
                              <w:t>湿法洗涤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264" o:spid="_x0000_s1026" o:spt="1" style="position:absolute;left:0pt;margin-left:262.5pt;margin-top:19.35pt;height:25pt;width:93.75pt;z-index:251993088;mso-width-relative:page;mso-height-relative:page;" fillcolor="#FFFFFF" filled="t" stroked="t" coordsize="21600,21600" o:gfxdata="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s1sM9gAAAAJAQAADwAAAAAA&#10;AAABACAAAAAiAAAAZHJzL2Rvd25yZXYueG1sUEsBAhQAFAAAAAgAh07iQPzUl7ATAgAAMwQAAA4A&#10;AAAAAAAAAQAgAAAAJwEAAGRycy9lMm9Eb2MueG1sUEsFBgAAAAAGAAYAWQEAAKwFAAAAAA==&#10;">
                <v:fill on="t" focussize="0,0"/>
                <v:stroke color="#000000" miterlimit="8" joinstyle="miter"/>
                <v:imagedata o:title=""/>
                <o:lock v:ext="edit" aspectratio="f"/>
                <v:textbox>
                  <w:txbxContent>
                    <w:p>
                      <w:pPr>
                        <w:rPr>
                          <w:rFonts w:ascii="宋体" w:hAnsi="宋体"/>
                        </w:rPr>
                      </w:pPr>
                      <w:r>
                        <w:rPr>
                          <w:rFonts w:hint="eastAsia" w:ascii="宋体" w:hAnsi="宋体"/>
                        </w:rPr>
                        <w:t>布袋+湿法洗涤</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74976" behindDoc="1" locked="0" layoutInCell="1" allowOverlap="1">
                <wp:simplePos x="0" y="0"/>
                <wp:positionH relativeFrom="column">
                  <wp:posOffset>3911600</wp:posOffset>
                </wp:positionH>
                <wp:positionV relativeFrom="paragraph">
                  <wp:posOffset>22225</wp:posOffset>
                </wp:positionV>
                <wp:extent cx="457200" cy="171450"/>
                <wp:effectExtent l="0" t="0" r="0" b="0"/>
                <wp:wrapNone/>
                <wp:docPr id="4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rPr>
                              <w:t>G</w:t>
                            </w:r>
                            <w:r>
                              <w:rPr>
                                <w:rFonts w:ascii="Times New Roman" w:hAnsi="Times New Roman" w:cs="Times New Roman" w:hint="eastAsia"/>
                              </w:rPr>
                              <w:t>13/N</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71" o:spid="_x0000_s1026" o:spt="202" type="#_x0000_t202" style="position:absolute;left:0pt;margin-left:308pt;margin-top:1.75pt;height:13.5pt;width:36pt;z-index:-251541504;mso-width-relative:page;mso-height-relative:page;" fillcolor="#FFFFFF" filled="t" stroked="f" coordsize="21600,21600" o:gfxdata="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uxEbdUAAAAIAQAADwAAAAAAAAABACAAAAAiAAAAZHJzL2Rvd25yZXYueG1sUEsB&#10;AhQAFAAAAAgAh07iQLMyyZP4AQAA4QMAAA4AAAAAAAAAAQAgAAAAJAEAAGRycy9lMm9Eb2MueG1s&#10;UEsFBgAAAAAGAAYAWQEAAI4FAAAAAA==&#10;">
                <v:fill on="t" focussize="0,0"/>
                <v:stroke on="f"/>
                <v:imagedata o:title=""/>
                <o:lock v:ext="edit" aspectratio="f"/>
                <v:textbox inset="0mm,0mm,0mm,0mm">
                  <w:txbxContent>
                    <w:p>
                      <w:pPr>
                        <w:rPr>
                          <w:rFonts w:ascii="Times New Roman" w:hAnsi="Times New Roman" w:cs="Times New Roman"/>
                        </w:rPr>
                      </w:pPr>
                      <w:r>
                        <w:rPr>
                          <w:rFonts w:ascii="Times New Roman" w:hAnsi="Times New Roman" w:cs="Times New Roman"/>
                        </w:rPr>
                        <w:t>G</w:t>
                      </w:r>
                      <w:r>
                        <w:rPr>
                          <w:rFonts w:hint="eastAsia" w:ascii="Times New Roman" w:hAnsi="Times New Roman" w:cs="Times New Roman"/>
                        </w:rPr>
                        <w:t>13/N</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47008" behindDoc="1" locked="0" layoutInCell="1" allowOverlap="1">
                <wp:simplePos x="0" y="0"/>
                <wp:positionH relativeFrom="column">
                  <wp:posOffset>2838450</wp:posOffset>
                </wp:positionH>
                <wp:positionV relativeFrom="paragraph">
                  <wp:posOffset>150495</wp:posOffset>
                </wp:positionV>
                <wp:extent cx="409575" cy="142875"/>
                <wp:effectExtent l="0" t="0" r="9525" b="9525"/>
                <wp:wrapNone/>
                <wp:docPr id="4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2875"/>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rPr>
                              <w:t>G</w:t>
                            </w:r>
                            <w:r>
                              <w:rPr>
                                <w:rFonts w:ascii="Times New Roman" w:hAnsi="Times New Roman" w:cs="Times New Roman" w:hint="eastAsia"/>
                              </w:rPr>
                              <w:t>12/N</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68" o:spid="_x0000_s1026" o:spt="202" type="#_x0000_t202" style="position:absolute;left:0pt;margin-left:223.5pt;margin-top:11.85pt;height:11.25pt;width:32.25pt;z-index:-251369472;mso-width-relative:page;mso-height-relative:page;" fillcolor="#FFFFFF" filled="t" stroked="f" coordsize="21600,21600" o:gfxdata="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H4QOB2QAAAAkBAAAPAAAAAAAAAAEAIAAAACIAAABkcnMvZG93bnJldi54bWxQ&#10;SwECFAAUAAAACACHTuJAfvGhs/YBAADhAwAADgAAAAAAAAABACAAAAAoAQAAZHJzL2Uyb0RvYy54&#10;bWxQSwUGAAAAAAYABgBZAQAAkAUAAAAA&#10;">
                <v:fill on="t" focussize="0,0"/>
                <v:stroke on="f"/>
                <v:imagedata o:title=""/>
                <o:lock v:ext="edit" aspectratio="f"/>
                <v:textbox inset="0mm,0mm,0mm,0mm">
                  <w:txbxContent>
                    <w:p>
                      <w:pPr>
                        <w:rPr>
                          <w:rFonts w:ascii="Times New Roman" w:hAnsi="Times New Roman" w:cs="Times New Roman"/>
                        </w:rPr>
                      </w:pPr>
                      <w:r>
                        <w:rPr>
                          <w:rFonts w:ascii="Times New Roman" w:hAnsi="Times New Roman" w:cs="Times New Roman"/>
                        </w:rPr>
                        <w:t>G</w:t>
                      </w:r>
                      <w:r>
                        <w:rPr>
                          <w:rFonts w:hint="eastAsia" w:ascii="Times New Roman" w:hAnsi="Times New Roman" w:cs="Times New Roman"/>
                        </w:rPr>
                        <w:t>12/N</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54496" behindDoc="0" locked="0" layoutInCell="1" allowOverlap="1">
                <wp:simplePos x="0" y="0"/>
                <wp:positionH relativeFrom="column">
                  <wp:posOffset>657225</wp:posOffset>
                </wp:positionH>
                <wp:positionV relativeFrom="paragraph">
                  <wp:posOffset>101600</wp:posOffset>
                </wp:positionV>
                <wp:extent cx="844550" cy="317500"/>
                <wp:effectExtent l="9525" t="6350" r="12700" b="9525"/>
                <wp:wrapNone/>
                <wp:docPr id="453"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计量</w:t>
                            </w:r>
                            <w:r>
                              <w:rPr>
                                <w:rFonts w:ascii="宋体" w:hAnsi="宋体" w:hint="eastAsia"/>
                              </w:rPr>
                              <w:t>/</w:t>
                            </w:r>
                            <w:r>
                              <w:rPr>
                                <w:rFonts w:ascii="宋体" w:hAnsi="宋体" w:hint="eastAsia"/>
                              </w:rPr>
                              <w:t>提升</w:t>
                            </w:r>
                          </w:p>
                          <w:p w:rsidR="00C861DA" w:rsidRDefault="00C861DA">
                            <w:pPr>
                              <w:rPr>
                                <w:rFonts w:ascii="宋体" w:hAnsi="宋体"/>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245" o:spid="_x0000_s1026" o:spt="1" style="position:absolute;left:0pt;margin-left:51.75pt;margin-top:8pt;height:25pt;width:66.5pt;z-index:251754496;mso-width-relative:page;mso-height-relative:page;" fillcolor="#FFFFFF" filled="t" stroked="t" coordsize="21600,21600" o:gfxdata="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x3yNtQAAAAJAQAADwAAAAAAAAAB&#10;ACAAAAAiAAAAZHJzL2Rvd25yZXYueG1sUEsBAhQAFAAAAAgAh07iQLr6skgUAgAAMgQAAA4AAAAA&#10;AAAAAQAgAAAAIwEAAGRycy9lMm9Eb2MueG1sUEsFBgAAAAAGAAYAWQEAAKkFAAAAAA==&#10;">
                <v:fill on="t" focussize="0,0"/>
                <v:stroke color="#000000" miterlimit="8" joinstyle="miter"/>
                <v:imagedata o:title=""/>
                <o:lock v:ext="edit" aspectratio="f"/>
                <v:textbox>
                  <w:txbxContent>
                    <w:p>
                      <w:pPr>
                        <w:rPr>
                          <w:rFonts w:ascii="宋体" w:hAnsi="宋体"/>
                        </w:rPr>
                      </w:pPr>
                      <w:r>
                        <w:rPr>
                          <w:rFonts w:hint="eastAsia" w:ascii="宋体" w:hAnsi="宋体"/>
                        </w:rPr>
                        <w:t>计量/提升</w:t>
                      </w:r>
                    </w:p>
                    <w:p>
                      <w:pPr>
                        <w:rPr>
                          <w:rFonts w:ascii="宋体" w:hAnsi="宋体"/>
                        </w:rPr>
                      </w:pP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48352" behindDoc="0" locked="0" layoutInCell="1" allowOverlap="1">
                <wp:simplePos x="0" y="0"/>
                <wp:positionH relativeFrom="column">
                  <wp:posOffset>161925</wp:posOffset>
                </wp:positionH>
                <wp:positionV relativeFrom="paragraph">
                  <wp:posOffset>190500</wp:posOffset>
                </wp:positionV>
                <wp:extent cx="495300" cy="0"/>
                <wp:effectExtent l="9525" t="57150" r="19050" b="57150"/>
                <wp:wrapNone/>
                <wp:docPr id="21"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50" o:spid="_x0000_s1026" o:spt="32" type="#_x0000_t32" style="position:absolute;left:0pt;margin-left:12.75pt;margin-top:15pt;height:0pt;width:39pt;z-index:251748352;mso-width-relative:page;mso-height-relative:page;" filled="f" stroked="t" coordsize="21600,21600" o:gfxdata="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zl05XXAAAACAEAAA8AAAAAAAAAAQAg&#10;AAAAIgAAAGRycy9kb3ducmV2LnhtbFBLAQIUABQAAAAIAIdO4kAGT+pj1gEAAJQDAAAOAAAAAAAA&#10;AAEAIAAAACYBAABkcnMvZTJvRG9jLnhtbFBLBQYAAAAABgAGAFkBAABuBQ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55520" behindDoc="0" locked="0" layoutInCell="1" allowOverlap="1">
                <wp:simplePos x="0" y="0"/>
                <wp:positionH relativeFrom="column">
                  <wp:posOffset>1492250</wp:posOffset>
                </wp:positionH>
                <wp:positionV relativeFrom="paragraph">
                  <wp:posOffset>244475</wp:posOffset>
                </wp:positionV>
                <wp:extent cx="438150" cy="635"/>
                <wp:effectExtent l="6350" t="53975" r="22225" b="59690"/>
                <wp:wrapNone/>
                <wp:docPr id="20"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6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40" o:spid="_x0000_s1026" o:spt="32" type="#_x0000_t32" style="position:absolute;left:0pt;margin-left:117.5pt;margin-top:19.25pt;height:0.05pt;width:34.5pt;z-index:251755520;mso-width-relative:page;mso-height-relative:page;" filled="f" stroked="t" coordsize="21600,21600" o:gfxdata="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u1DPp2QAAAAkBAAAPAAAAAAAA&#10;AAEAIAAAACIAAABkcnMvZG93bnJldi54bWxQSwECFAAUAAAACACHTuJALIEp7tgBAACWAwAADgAA&#10;AAAAAAABACAAAAAoAQAAZHJzL2Uyb0RvYy54bWxQSwUGAAAAAAYABgBZAQAAcgU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68832" behindDoc="0" locked="0" layoutInCell="1" allowOverlap="1">
                <wp:simplePos x="0" y="0"/>
                <wp:positionH relativeFrom="column">
                  <wp:posOffset>2876550</wp:posOffset>
                </wp:positionH>
                <wp:positionV relativeFrom="paragraph">
                  <wp:posOffset>211455</wp:posOffset>
                </wp:positionV>
                <wp:extent cx="457200" cy="205105"/>
                <wp:effectExtent l="0" t="38100" r="57150" b="23495"/>
                <wp:wrapNone/>
                <wp:docPr id="17"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05105"/>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223" o:spid="_x0000_s1026" o:spt="32" type="#_x0000_t32" style="position:absolute;left:0pt;flip:y;margin-left:226.5pt;margin-top:16.65pt;height:16.15pt;width:36pt;z-index:251768832;mso-width-relative:page;mso-height-relative:page;" filled="f" stroked="t" coordsize="21600,21600" o:gfxdata="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eHz3/V&#10;AAAACQEAAA8AAAAAAAAAAQAgAAAAIgAAAGRycy9kb3ducmV2LnhtbFBLAQIUABQAAAAIAIdO4kAA&#10;5EV66gEAALsDAAAOAAAAAAAAAAEAIAAAACQBAABkcnMvZTJvRG9jLnhtbFBLBQYAAAAABgAGAFkB&#10;AACABQ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53472" behindDoc="0" locked="0" layoutInCell="1" allowOverlap="1">
                <wp:simplePos x="0" y="0"/>
                <wp:positionH relativeFrom="column">
                  <wp:posOffset>638175</wp:posOffset>
                </wp:positionH>
                <wp:positionV relativeFrom="paragraph">
                  <wp:posOffset>210185</wp:posOffset>
                </wp:positionV>
                <wp:extent cx="844550" cy="317500"/>
                <wp:effectExtent l="9525" t="10160" r="12700" b="5715"/>
                <wp:wrapNone/>
                <wp:docPr id="16"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计量</w:t>
                            </w:r>
                            <w:r>
                              <w:rPr>
                                <w:rFonts w:ascii="宋体" w:hAnsi="宋体" w:hint="eastAsia"/>
                              </w:rPr>
                              <w:t>/</w:t>
                            </w:r>
                            <w:r>
                              <w:rPr>
                                <w:rFonts w:ascii="宋体" w:hAnsi="宋体" w:hint="eastAsia"/>
                              </w:rPr>
                              <w:t>提升</w:t>
                            </w:r>
                          </w:p>
                          <w:p w:rsidR="00C861DA" w:rsidRDefault="00C861DA">
                            <w:pPr>
                              <w:rPr>
                                <w:rFonts w:ascii="宋体" w:hAnsi="宋体"/>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241" o:spid="_x0000_s1026" o:spt="1" style="position:absolute;left:0pt;margin-left:50.25pt;margin-top:16.55pt;height:25pt;width:66.5pt;z-index:251753472;mso-width-relative:page;mso-height-relative:page;" fillcolor="#FFFFFF" filled="t" stroked="t" coordsize="21600,21600" o:gfxdata="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F5PmtYAAAAJAQAADwAAAAAAAAAB&#10;ACAAAAAiAAAAZHJzL2Rvd25yZXYueG1sUEsBAhQAFAAAAAgAh07iQLUHRFQSAgAAMQQAAA4AAAAA&#10;AAAAAQAgAAAAJQEAAGRycy9lMm9Eb2MueG1sUEsFBgAAAAAGAAYAWQEAAKkFAAAAAA==&#10;">
                <v:fill on="t" focussize="0,0"/>
                <v:stroke color="#000000" miterlimit="8" joinstyle="miter"/>
                <v:imagedata o:title=""/>
                <o:lock v:ext="edit" aspectratio="f"/>
                <v:textbox>
                  <w:txbxContent>
                    <w:p>
                      <w:pPr>
                        <w:rPr>
                          <w:rFonts w:ascii="宋体" w:hAnsi="宋体"/>
                        </w:rPr>
                      </w:pPr>
                      <w:r>
                        <w:rPr>
                          <w:rFonts w:hint="eastAsia" w:ascii="宋体" w:hAnsi="宋体"/>
                        </w:rPr>
                        <w:t>计量/提升</w:t>
                      </w:r>
                    </w:p>
                    <w:p>
                      <w:pPr>
                        <w:rPr>
                          <w:rFonts w:ascii="宋体" w:hAnsi="宋体"/>
                        </w:rPr>
                      </w:pP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45280" behindDoc="0" locked="0" layoutInCell="1" allowOverlap="1">
                <wp:simplePos x="0" y="0"/>
                <wp:positionH relativeFrom="column">
                  <wp:posOffset>-47625</wp:posOffset>
                </wp:positionH>
                <wp:positionV relativeFrom="paragraph">
                  <wp:posOffset>105410</wp:posOffset>
                </wp:positionV>
                <wp:extent cx="469900" cy="171450"/>
                <wp:effectExtent l="0" t="635" r="0" b="0"/>
                <wp:wrapNone/>
                <wp:docPr id="1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硫酸钾</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37" o:spid="_x0000_s1026" o:spt="202" type="#_x0000_t202" style="position:absolute;left:0pt;margin-left:-3.75pt;margin-top:8.3pt;height:13.5pt;width:37pt;z-index:251745280;mso-width-relative:page;mso-height-relative:page;" fillcolor="#FFFFFF" filled="t" stroked="f" coordsize="21600,21600" o:gfxdata="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Pqo29UAAAAHAQAADwAAAAAAAAABACAAAAAiAAAAZHJzL2Rvd25yZXYueG1sUEsB&#10;AhQAFAAAAAgAh07iQC4FzbP4AQAA4QMAAA4AAAAAAAAAAQAgAAAAJAEAAGRycy9lMm9Eb2MueG1s&#10;UEsFBgAAAAAGAAYAWQEAAI4FAAAAAA==&#10;">
                <v:fill on="t" focussize="0,0"/>
                <v:stroke on="f"/>
                <v:imagedata o:title=""/>
                <o:lock v:ext="edit" aspectratio="f"/>
                <v:textbox inset="0mm,0mm,0mm,0mm">
                  <w:txbxContent>
                    <w:p>
                      <w:pPr>
                        <w:rPr>
                          <w:rFonts w:ascii="宋体" w:hAnsi="宋体"/>
                        </w:rPr>
                      </w:pPr>
                      <w:r>
                        <w:rPr>
                          <w:rFonts w:hint="eastAsia" w:ascii="宋体" w:hAnsi="宋体"/>
                        </w:rPr>
                        <w:t>硫酸钾</w:t>
                      </w:r>
                    </w:p>
                  </w:txbxContent>
                </v:textbox>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2001280" behindDoc="1" locked="0" layoutInCell="1" allowOverlap="1">
                <wp:simplePos x="0" y="0"/>
                <wp:positionH relativeFrom="column">
                  <wp:posOffset>3819525</wp:posOffset>
                </wp:positionH>
                <wp:positionV relativeFrom="paragraph">
                  <wp:posOffset>59690</wp:posOffset>
                </wp:positionV>
                <wp:extent cx="0" cy="333375"/>
                <wp:effectExtent l="76200" t="0" r="76200" b="47625"/>
                <wp:wrapNone/>
                <wp:docPr id="305"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prstDash val="dash"/>
                          <a:round/>
                          <a:tailEnd type="triangle" w="med" len="med"/>
                        </a:ln>
                      </wps:spPr>
                      <wps:bodyPr/>
                    </wps:wsp>
                  </a:graphicData>
                </a:graphic>
              </wp:anchor>
            </w:drawing>
          </mc:Choice>
          <mc:Fallback xmlns:wpsCustomData="http://www.wps.cn/officeDocument/2013/wpsCustomData" xmlns:w15="http://schemas.microsoft.com/office/word/2012/wordml">
            <w:pict>
              <v:shape id="AutoShape 269" o:spid="_x0000_s1026" o:spt="32" type="#_x0000_t32" style="position:absolute;left:0pt;margin-left:300.75pt;margin-top:4.7pt;height:26.25pt;width:0pt;z-index:-251315200;mso-width-relative:page;mso-height-relative:page;" filled="f" stroked="t" coordsize="21600,21600" o:gfxdata="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q2tINMAAAAIAQAADwAAAAAA&#10;AAABACAAAAAiAAAAZHJzL2Rvd25yZXYueG1sUEsBAhQAFAAAAAgAh07iQN5cLCHfAQAArQMAAA4A&#10;AAAAAAAAAQAgAAAAIgEAAGRycy9lMm9Eb2MueG1sUEsFBgAAAAAGAAYAWQEAAHMFAAAAAA==&#10;">
                <v:fill on="f" focussize="0,0"/>
                <v:stroke color="#000000" joinstyle="round" dashstyle="dash"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96160" behindDoc="0" locked="0" layoutInCell="1" allowOverlap="1">
                <wp:simplePos x="0" y="0"/>
                <wp:positionH relativeFrom="column">
                  <wp:posOffset>4572000</wp:posOffset>
                </wp:positionH>
                <wp:positionV relativeFrom="paragraph">
                  <wp:posOffset>234315</wp:posOffset>
                </wp:positionV>
                <wp:extent cx="752475" cy="171450"/>
                <wp:effectExtent l="0" t="0" r="9525" b="0"/>
                <wp:wrapNone/>
                <wp:docPr id="30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714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9#</w:t>
                            </w:r>
                            <w:r>
                              <w:rPr>
                                <w:rFonts w:ascii="宋体" w:hAnsi="宋体" w:hint="eastAsia"/>
                              </w:rPr>
                              <w:t>排气筒</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05" o:spid="_x0000_s1026" o:spt="202" type="#_x0000_t202" style="position:absolute;left:0pt;margin-left:360pt;margin-top:18.45pt;height:13.5pt;width:59.25pt;z-index:251996160;mso-width-relative:page;mso-height-relative:page;" fillcolor="#FFFFFF" filled="t" stroked="f" coordsize="21600,21600" o:gfxdata="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xA+vdcAAAAJAQAADwAAAAAAAAABACAAAAAiAAAAZHJzL2Rvd25yZXYueG1s&#10;UEsBAhQAFAAAAAgAh07iQGlyuIf5AQAA4gMAAA4AAAAAAAAAAQAgAAAAJgEAAGRycy9lMm9Eb2Mu&#10;eG1sUEsFBgAAAAAGAAYAWQEAAJEFAAAAAA==&#10;">
                <v:fill on="t" focussize="0,0"/>
                <v:stroke on="f"/>
                <v:imagedata o:title=""/>
                <o:lock v:ext="edit" aspectratio="f"/>
                <v:textbox inset="0mm,0mm,0mm,0mm">
                  <w:txbxContent>
                    <w:p>
                      <w:pPr>
                        <w:rPr>
                          <w:rFonts w:ascii="宋体" w:hAnsi="宋体"/>
                        </w:rPr>
                      </w:pPr>
                      <w:r>
                        <w:rPr>
                          <w:rFonts w:hint="eastAsia" w:ascii="宋体" w:hAnsi="宋体"/>
                        </w:rPr>
                        <w:t>9#排气筒</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95136" behindDoc="0" locked="0" layoutInCell="1" allowOverlap="1">
                <wp:simplePos x="0" y="0"/>
                <wp:positionH relativeFrom="column">
                  <wp:posOffset>4432935</wp:posOffset>
                </wp:positionH>
                <wp:positionV relativeFrom="paragraph">
                  <wp:posOffset>250825</wp:posOffset>
                </wp:positionV>
                <wp:extent cx="133350" cy="372110"/>
                <wp:effectExtent l="19050" t="0" r="38100" b="27940"/>
                <wp:wrapNone/>
                <wp:docPr id="299"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350" cy="372110"/>
                        </a:xfrm>
                        <a:prstGeom prst="flowChartManualOperation">
                          <a:avLst/>
                        </a:prstGeom>
                        <a:noFill/>
                        <a:ln w="9525">
                          <a:solidFill>
                            <a:srgbClr val="000000"/>
                          </a:solidFill>
                          <a:miter lim="800000"/>
                          <a:tailEnd type="triangle" w="med" len="me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AutoShape 210" o:spid="_x0000_s1026" o:spt="119" type="#_x0000_t119" style="position:absolute;left:0pt;flip:y;margin-left:349.05pt;margin-top:19.75pt;height:29.3pt;width:10.5pt;z-index:251995136;mso-width-relative:page;mso-height-relative:page;" filled="f" stroked="t" coordsize="21600,21600" o:gfxdata="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W9tELXAAAACQEAAA8AAAAAAAAAAQAgAAAAIgAAAGRycy9kb3ducmV2&#10;LnhtbFBLAQIUABQAAAAIAIdO4kAHXWPONgIAAEoEAAAOAAAAAAAAAAEAIAAAACYBAABkcnMvZTJv&#10;RG9jLnhtbFBLBQYAAAAABgAGAFkBAADOBQAAAAA=&#10;">
                <v:fill on="f" focussize="0,0"/>
                <v:stroke color="#000000" miterlimit="8" joinstyle="miter"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94112" behindDoc="0" locked="0" layoutInCell="1" allowOverlap="1">
                <wp:simplePos x="0" y="0"/>
                <wp:positionH relativeFrom="column">
                  <wp:posOffset>4114165</wp:posOffset>
                </wp:positionH>
                <wp:positionV relativeFrom="paragraph">
                  <wp:posOffset>34290</wp:posOffset>
                </wp:positionV>
                <wp:extent cx="304165" cy="361950"/>
                <wp:effectExtent l="0" t="0" r="76835" b="57150"/>
                <wp:wrapNone/>
                <wp:docPr id="29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3619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59" o:spid="_x0000_s1026" o:spt="32" type="#_x0000_t32" style="position:absolute;left:0pt;margin-left:323.95pt;margin-top:2.7pt;height:28.5pt;width:23.95pt;z-index:251994112;mso-width-relative:page;mso-height-relative:page;" filled="f" stroked="t" coordsize="21600,21600" o:gfxdata="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N7w1TdkAAAAIAQAADwAA&#10;AAAAAAABACAAAAAiAAAAZHJzL2Rvd25yZXYueG1sUEsBAhQAFAAAAAgAh07iQJq+B5PcAQAAmQMA&#10;AA4AAAAAAAAAAQAgAAAAKAEAAGRycy9lMm9Eb2MueG1sUEsFBgAAAAAGAAYAWQEAAHY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69856" behindDoc="0" locked="0" layoutInCell="1" allowOverlap="1">
                <wp:simplePos x="0" y="0"/>
                <wp:positionH relativeFrom="column">
                  <wp:posOffset>3082290</wp:posOffset>
                </wp:positionH>
                <wp:positionV relativeFrom="paragraph">
                  <wp:posOffset>45085</wp:posOffset>
                </wp:positionV>
                <wp:extent cx="457200" cy="171450"/>
                <wp:effectExtent l="0" t="0" r="0" b="0"/>
                <wp:wrapNone/>
                <wp:docPr id="1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rPr>
                              <w:t>G</w:t>
                            </w:r>
                            <w:r>
                              <w:rPr>
                                <w:rFonts w:ascii="Times New Roman" w:hAnsi="Times New Roman" w:cs="Times New Roman" w:hint="eastAsia"/>
                              </w:rPr>
                              <w:t>11/N</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42" o:spid="_x0000_s1026" o:spt="202" type="#_x0000_t202" style="position:absolute;left:0pt;margin-left:242.7pt;margin-top:3.55pt;height:13.5pt;width:36pt;z-index:251769856;mso-width-relative:page;mso-height-relative:page;" fillcolor="#FFFFFF" filled="t" stroked="f" coordsize="21600,21600" o:gfxdata="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r0lNPYAAAACAEAAA8AAAAAAAAAAQAgAAAAIgAAAGRycy9kb3ducmV2LnhtbFBL&#10;AQIUABQAAAAIAIdO4kAu6x0H9gEAAOEDAAAOAAAAAAAAAAEAIAAAACcBAABkcnMvZTJvRG9jLnht&#10;bFBLBQYAAAAABgAGAFkBAACPBQAAAAA=&#10;">
                <v:fill on="t" focussize="0,0"/>
                <v:stroke on="f"/>
                <v:imagedata o:title=""/>
                <o:lock v:ext="edit" aspectratio="f"/>
                <v:textbox inset="0mm,0mm,0mm,0mm">
                  <w:txbxContent>
                    <w:p>
                      <w:pPr>
                        <w:rPr>
                          <w:rFonts w:ascii="Times New Roman" w:hAnsi="Times New Roman" w:cs="Times New Roman"/>
                        </w:rPr>
                      </w:pPr>
                      <w:r>
                        <w:rPr>
                          <w:rFonts w:ascii="Times New Roman" w:hAnsi="Times New Roman" w:cs="Times New Roman"/>
                        </w:rPr>
                        <w:t>G</w:t>
                      </w:r>
                      <w:r>
                        <w:rPr>
                          <w:rFonts w:hint="eastAsia" w:ascii="Times New Roman" w:hAnsi="Times New Roman" w:cs="Times New Roman"/>
                        </w:rPr>
                        <w:t>11/N</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38112" behindDoc="0" locked="0" layoutInCell="1" allowOverlap="1">
                <wp:simplePos x="0" y="0"/>
                <wp:positionH relativeFrom="column">
                  <wp:posOffset>2432050</wp:posOffset>
                </wp:positionH>
                <wp:positionV relativeFrom="paragraph">
                  <wp:posOffset>166370</wp:posOffset>
                </wp:positionV>
                <wp:extent cx="656590" cy="317500"/>
                <wp:effectExtent l="12700" t="13970" r="6985" b="11430"/>
                <wp:wrapNone/>
                <wp:docPr id="454"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90" cy="317500"/>
                        </a:xfrm>
                        <a:prstGeom prst="rect">
                          <a:avLst/>
                        </a:prstGeom>
                        <a:solidFill>
                          <a:srgbClr val="FFFFFF"/>
                        </a:solidFill>
                        <a:ln w="9525">
                          <a:solidFill>
                            <a:srgbClr val="000000"/>
                          </a:solidFill>
                          <a:miter lim="800000"/>
                        </a:ln>
                      </wps:spPr>
                      <wps:txbx>
                        <w:txbxContent>
                          <w:p w:rsidR="00C861DA" w:rsidRDefault="0044752E">
                            <w:pPr>
                              <w:rPr>
                                <w:rFonts w:ascii="宋体" w:hAnsi="宋体"/>
                              </w:rPr>
                            </w:pPr>
                            <w:r>
                              <w:rPr>
                                <w:rFonts w:ascii="宋体" w:hAnsi="宋体" w:hint="eastAsia"/>
                              </w:rPr>
                              <w:t>一混槽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267" o:spid="_x0000_s1026" o:spt="1" style="position:absolute;left:0pt;margin-left:191.5pt;margin-top:13.1pt;height:25pt;width:51.7pt;z-index:251738112;mso-width-relative:page;mso-height-relative:page;" fillcolor="#FFFFFF" filled="t" stroked="t" coordsize="21600,21600" o:gfxdata="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51yqV2AAAAAkBAAAPAAAA&#10;AAAAAAEAIAAAACIAAABkcnMvZG93bnJldi54bWxQSwECFAAUAAAACACHTuJA2YTgWhUCAAAyBAAA&#10;DgAAAAAAAAABACAAAAAnAQAAZHJzL2Uyb0RvYy54bWxQSwUGAAAAAAYABgBZAQAArgUAAAAA&#10;">
                <v:fill on="t" focussize="0,0"/>
                <v:stroke color="#000000" miterlimit="8" joinstyle="miter"/>
                <v:imagedata o:title=""/>
                <o:lock v:ext="edit" aspectratio="f"/>
                <v:textbox>
                  <w:txbxContent>
                    <w:p>
                      <w:pPr>
                        <w:rPr>
                          <w:rFonts w:ascii="宋体" w:hAnsi="宋体"/>
                        </w:rPr>
                      </w:pPr>
                      <w:r>
                        <w:rPr>
                          <w:rFonts w:hint="eastAsia" w:ascii="宋体" w:hAnsi="宋体"/>
                        </w:rPr>
                        <w:t>一混槽</w:t>
                      </w:r>
                    </w:p>
                  </w:txbxContent>
                </v:textbox>
              </v:rect>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964416" behindDoc="0" locked="0" layoutInCell="1" allowOverlap="1">
                <wp:simplePos x="0" y="0"/>
                <wp:positionH relativeFrom="column">
                  <wp:posOffset>1917700</wp:posOffset>
                </wp:positionH>
                <wp:positionV relativeFrom="paragraph">
                  <wp:posOffset>61595</wp:posOffset>
                </wp:positionV>
                <wp:extent cx="635" cy="501015"/>
                <wp:effectExtent l="12700" t="13970" r="5715" b="8890"/>
                <wp:wrapNone/>
                <wp:docPr id="13"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1015"/>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AutoShape 262" o:spid="_x0000_s1026" o:spt="32" type="#_x0000_t32" style="position:absolute;left:0pt;margin-left:151pt;margin-top:4.85pt;height:39.45pt;width:0.05pt;z-index:251964416;mso-width-relative:page;mso-height-relative:page;" filled="f" stroked="t" coordsize="21600,21600" o:gfxdata="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KDfeC1gAAAAgBAAAPAAAAAAAAAAEAIAAAACIAAABkcnMvZG93bnJldi54bWxQSwEC&#10;FAAUAAAACACHTuJArZz+P70BAABoAwAADgAAAAAAAAABACAAAAAlAQAAZHJzL2Uyb0RvYy54bWxQ&#10;SwUGAAAAAAYABgBZAQAAVAUAAAAA&#10;">
                <v:fill on="f" focussize="0,0"/>
                <v:stroke color="#000000" joinstyle="round"/>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46304" behindDoc="0" locked="0" layoutInCell="1" allowOverlap="1">
                <wp:simplePos x="0" y="0"/>
                <wp:positionH relativeFrom="column">
                  <wp:posOffset>142875</wp:posOffset>
                </wp:positionH>
                <wp:positionV relativeFrom="paragraph">
                  <wp:posOffset>67945</wp:posOffset>
                </wp:positionV>
                <wp:extent cx="495300" cy="0"/>
                <wp:effectExtent l="9525" t="58420" r="19050" b="55880"/>
                <wp:wrapNone/>
                <wp:docPr id="12"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44" o:spid="_x0000_s1026" o:spt="32" type="#_x0000_t32" style="position:absolute;left:0pt;margin-left:11.25pt;margin-top:5.35pt;height:0pt;width:39pt;z-index:251746304;mso-width-relative:page;mso-height-relative:page;" filled="f" stroked="t" coordsize="21600,21600" o:gfxdata="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2MnedYAAAAIAQAADwAAAAAAAAABACAA&#10;AAAiAAAAZHJzL2Rvd25yZXYueG1sUEsBAhQAFAAAAAgAh07iQJjqMtzWAQAAlAMAAA4AAAAAAAAA&#10;AQAgAAAAJQEAAGRycy9lMm9Eb2MueG1sUEsFBgAAAAAGAAYAWQEAAG0FA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56544" behindDoc="0" locked="0" layoutInCell="1" allowOverlap="1">
                <wp:simplePos x="0" y="0"/>
                <wp:positionH relativeFrom="column">
                  <wp:posOffset>1492250</wp:posOffset>
                </wp:positionH>
                <wp:positionV relativeFrom="paragraph">
                  <wp:posOffset>67945</wp:posOffset>
                </wp:positionV>
                <wp:extent cx="438150" cy="635"/>
                <wp:effectExtent l="6350" t="58420" r="22225" b="55245"/>
                <wp:wrapNone/>
                <wp:docPr id="11"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6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48" o:spid="_x0000_s1026" o:spt="32" type="#_x0000_t32" style="position:absolute;left:0pt;margin-left:117.5pt;margin-top:5.35pt;height:0.05pt;width:34.5pt;z-index:251756544;mso-width-relative:page;mso-height-relative:page;" filled="f" stroked="t" coordsize="21600,21600" o:gfxdata="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fqB+nYAAAACQEAAA8AAAAAAAAA&#10;AQAgAAAAIgAAAGRycy9kb3ducmV2LnhtbFBLAQIUABQAAAAIAIdO4kDEnpFk2AEAAJYDAAAOAAAA&#10;AAAAAAEAIAAAACcBAABkcnMvZTJvRG9jLnhtbFBLBQYAAAAABgAGAFkBAABxBQ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2002304" behindDoc="1" locked="0" layoutInCell="1" allowOverlap="1">
                <wp:simplePos x="0" y="0"/>
                <wp:positionH relativeFrom="column">
                  <wp:posOffset>3714750</wp:posOffset>
                </wp:positionH>
                <wp:positionV relativeFrom="paragraph">
                  <wp:posOffset>177800</wp:posOffset>
                </wp:positionV>
                <wp:extent cx="285750" cy="153035"/>
                <wp:effectExtent l="0" t="0" r="0" b="0"/>
                <wp:wrapNone/>
                <wp:docPr id="30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53035"/>
                        </a:xfrm>
                        <a:prstGeom prst="rect">
                          <a:avLst/>
                        </a:prstGeom>
                        <a:solidFill>
                          <a:srgbClr val="FFFFFF"/>
                        </a:solidFill>
                        <a:ln>
                          <a:noFill/>
                        </a:ln>
                      </wps:spPr>
                      <wps:txbx>
                        <w:txbxContent>
                          <w:p w:rsidR="00C861DA" w:rsidRDefault="0044752E">
                            <w:pPr>
                              <w:rPr>
                                <w:rFonts w:ascii="Times New Roman" w:hAnsi="Times New Roman" w:cs="Times New Roman"/>
                              </w:rPr>
                            </w:pPr>
                            <w:r>
                              <w:rPr>
                                <w:rFonts w:ascii="Times New Roman" w:hAnsi="Times New Roman" w:cs="Times New Roman" w:hint="eastAsia"/>
                              </w:rPr>
                              <w:t>W7</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71" o:spid="_x0000_s1026" o:spt="202" type="#_x0000_t202" style="position:absolute;left:0pt;margin-left:292.5pt;margin-top:14pt;height:12.05pt;width:22.5pt;z-index:-251314176;mso-width-relative:page;mso-height-relative:page;" fillcolor="#FFFFFF" filled="t" stroked="f" coordsize="21600,21600" o:gfxdata="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8QR482AAAAAkBAAAPAAAAAAAAAAEAIAAAACIAAABkcnMvZG93bnJldi54bWxQ&#10;SwECFAAUAAAACACHTuJAl+ErHfcBAADiAwAADgAAAAAAAAABACAAAAAnAQAAZHJzL2Uyb0RvYy54&#10;bWxQSwUGAAAAAAYABgBZAQAAkAUAAAAA&#10;">
                <v:fill on="t" focussize="0,0"/>
                <v:stroke on="f"/>
                <v:imagedata o:title=""/>
                <o:lock v:ext="edit" aspectratio="f"/>
                <v:textbox inset="0mm,0mm,0mm,0mm">
                  <w:txbxContent>
                    <w:p>
                      <w:pPr>
                        <w:rPr>
                          <w:rFonts w:ascii="Times New Roman" w:hAnsi="Times New Roman" w:cs="Times New Roman"/>
                        </w:rPr>
                      </w:pPr>
                      <w:r>
                        <w:rPr>
                          <w:rFonts w:hint="eastAsia" w:ascii="Times New Roman" w:hAnsi="Times New Roman" w:cs="Times New Roman"/>
                        </w:rPr>
                        <w:t>W7</w:t>
                      </w:r>
                    </w:p>
                  </w:txbxContent>
                </v:textbox>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57568" behindDoc="0" locked="0" layoutInCell="1" allowOverlap="1">
                <wp:simplePos x="0" y="0"/>
                <wp:positionH relativeFrom="column">
                  <wp:posOffset>1917700</wp:posOffset>
                </wp:positionH>
                <wp:positionV relativeFrom="paragraph">
                  <wp:posOffset>65405</wp:posOffset>
                </wp:positionV>
                <wp:extent cx="495300" cy="0"/>
                <wp:effectExtent l="12700" t="55880" r="15875" b="58420"/>
                <wp:wrapNone/>
                <wp:docPr id="455"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27" o:spid="_x0000_s1026" o:spt="32" type="#_x0000_t32" style="position:absolute;left:0pt;margin-left:151pt;margin-top:5.15pt;height:0pt;width:39pt;z-index:251757568;mso-width-relative:page;mso-height-relative:page;" filled="f" stroked="t" coordsize="21600,21600" o:gfxdata="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8aojm1wAAAAkBAAAPAAAAAAAAAAEA&#10;IAAAACIAAABkcnMvZG93bnJldi54bWxQSwECFAAUAAAACACHTuJA+pJVw9cBAACVAwAADgAAAAAA&#10;AAABACAAAAAmAQAAZHJzL2Uyb0RvYy54bWxQSwUGAAAAAAYABgBZAQAAbwUAAAAA&#10;">
                <v:fill on="f" focussize="0,0"/>
                <v:stroke color="#000000" joinstyle="round" endarrow="block"/>
                <v:imagedata o:title=""/>
                <o:lock v:ext="edit" aspectratio="f"/>
              </v:shape>
            </w:pict>
          </mc:Fallback>
        </mc:AlternateContent>
      </w: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170180</wp:posOffset>
                </wp:positionV>
                <wp:extent cx="581660" cy="209550"/>
                <wp:effectExtent l="0" t="0" r="0" b="1270"/>
                <wp:wrapNone/>
                <wp:docPr id="45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09550"/>
                        </a:xfrm>
                        <a:prstGeom prst="rect">
                          <a:avLst/>
                        </a:prstGeom>
                        <a:solidFill>
                          <a:srgbClr val="FFFFFF"/>
                        </a:solidFill>
                        <a:ln>
                          <a:noFill/>
                        </a:ln>
                      </wps:spPr>
                      <wps:txbx>
                        <w:txbxContent>
                          <w:p w:rsidR="00C861DA" w:rsidRDefault="0044752E">
                            <w:pPr>
                              <w:rPr>
                                <w:rFonts w:ascii="宋体" w:hAnsi="宋体"/>
                              </w:rPr>
                            </w:pPr>
                            <w:r>
                              <w:rPr>
                                <w:rFonts w:ascii="宋体" w:hAnsi="宋体" w:hint="eastAsia"/>
                              </w:rPr>
                              <w:t>熔融尿素</w:t>
                            </w: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53" o:spid="_x0000_s1026" o:spt="202" type="#_x0000_t202" style="position:absolute;left:0pt;margin-left:9pt;margin-top:13.4pt;height:16.5pt;width:45.8pt;z-index:251758592;mso-width-relative:page;mso-height-relative:page;" fillcolor="#FFFFFF" filled="t" stroked="f" coordsize="21600,21600" o:gfxdata="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i/OetcAAAAIAQAADwAAAAAAAAABACAAAAAiAAAAZHJzL2Rvd25yZXYueG1s&#10;UEsBAhQAFAAAAAgAh07iQMjRNZz5AQAA4gMAAA4AAAAAAAAAAQAgAAAAJgEAAGRycy9lMm9Eb2Mu&#10;eG1sUEsFBgAAAAAGAAYAWQEAAJEFAAAAAA==&#10;">
                <v:fill on="t" focussize="0,0"/>
                <v:stroke on="f"/>
                <v:imagedata o:title=""/>
                <o:lock v:ext="edit" aspectratio="f"/>
                <v:textbox inset="0mm,0mm,0mm,0mm">
                  <w:txbxContent>
                    <w:p>
                      <w:pPr>
                        <w:rPr>
                          <w:rFonts w:ascii="宋体" w:hAnsi="宋体"/>
                        </w:rPr>
                      </w:pPr>
                      <w:r>
                        <w:rPr>
                          <w:rFonts w:hint="eastAsia" w:ascii="宋体" w:hAnsi="宋体"/>
                        </w:rPr>
                        <w:t>熔融尿素</w:t>
                      </w:r>
                    </w:p>
                  </w:txbxContent>
                </v:textbox>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62688" behindDoc="0" locked="0" layoutInCell="1" allowOverlap="1">
                <wp:simplePos x="0" y="0"/>
                <wp:positionH relativeFrom="column">
                  <wp:posOffset>749300</wp:posOffset>
                </wp:positionH>
                <wp:positionV relativeFrom="paragraph">
                  <wp:posOffset>17780</wp:posOffset>
                </wp:positionV>
                <wp:extent cx="1188085" cy="635"/>
                <wp:effectExtent l="6350" t="55880" r="15240" b="57785"/>
                <wp:wrapNone/>
                <wp:docPr id="457"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8085" cy="6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AutoShape 254" o:spid="_x0000_s1026" o:spt="32" type="#_x0000_t32" style="position:absolute;left:0pt;flip:y;margin-left:59pt;margin-top:1.4pt;height:0.05pt;width:93.55pt;z-index:251762688;mso-width-relative:page;mso-height-relative:page;" filled="f" stroked="t" coordsize="21600,21600" o:gfxdata="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5khn9UAAAAHAQAADwAA&#10;AAAAAAABACAAAAAiAAAAZHJzL2Rvd25yZXYueG1sUEsBAhQAFAAAAAgAh07iQKRW5gDgAQAAogMA&#10;AA4AAAAAAAAAAQAgAAAAJAEAAGRycy9lMm9Eb2MueG1sUEsFBgAAAAAGAAYAWQEAAHYFAAAAAA==&#10;">
                <v:fill on="f" focussize="0,0"/>
                <v:stroke color="#000000" joinstyle="round" endarrow="block"/>
                <v:imagedata o:title=""/>
                <o:lock v:ext="edit" aspectratio="f"/>
              </v:shape>
            </w:pict>
          </mc:Fallback>
        </mc:AlternateConten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noProof/>
          <w:color w:val="000000" w:themeColor="text1"/>
          <w:kern w:val="1"/>
          <w:sz w:val="24"/>
          <w:szCs w:val="24"/>
        </w:rPr>
        <mc:AlternateContent>
          <mc:Choice Requires="wps">
            <w:drawing>
              <wp:anchor distT="0" distB="0" distL="114300" distR="114300" simplePos="0" relativeHeight="251772928" behindDoc="0" locked="0" layoutInCell="1" allowOverlap="1">
                <wp:simplePos x="0" y="0"/>
                <wp:positionH relativeFrom="column">
                  <wp:posOffset>1003300</wp:posOffset>
                </wp:positionH>
                <wp:positionV relativeFrom="paragraph">
                  <wp:posOffset>70485</wp:posOffset>
                </wp:positionV>
                <wp:extent cx="3162300" cy="387350"/>
                <wp:effectExtent l="3175" t="3810" r="0" b="0"/>
                <wp:wrapNone/>
                <wp:docPr id="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87350"/>
                        </a:xfrm>
                        <a:prstGeom prst="rect">
                          <a:avLst/>
                        </a:prstGeom>
                        <a:solidFill>
                          <a:srgbClr val="FFFFFF"/>
                        </a:solidFill>
                        <a:ln>
                          <a:noFill/>
                        </a:ln>
                      </wps:spPr>
                      <wps:txbx>
                        <w:txbxContent>
                          <w:p w:rsidR="00C861DA" w:rsidRDefault="0044752E">
                            <w:pPr>
                              <w:jc w:val="center"/>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sz w:val="24"/>
                                <w:szCs w:val="24"/>
                              </w:rPr>
                              <w:t>4.1-</w:t>
                            </w:r>
                            <w:r>
                              <w:rPr>
                                <w:rFonts w:ascii="Times New Roman" w:hAnsi="Times New Roman" w:cs="Times New Roman" w:hint="eastAsia"/>
                                <w:sz w:val="24"/>
                                <w:szCs w:val="24"/>
                              </w:rPr>
                              <w:t>6</w:t>
                            </w:r>
                            <w:r>
                              <w:rPr>
                                <w:rFonts w:ascii="Times New Roman" w:hAnsi="Times New Roman" w:cs="Times New Roman"/>
                                <w:sz w:val="24"/>
                                <w:szCs w:val="24"/>
                              </w:rPr>
                              <w:t xml:space="preserve">    </w:t>
                            </w:r>
                            <w:r>
                              <w:rPr>
                                <w:rFonts w:ascii="Times New Roman" w:hAnsi="Times New Roman" w:cs="Times New Roman" w:hint="eastAsia"/>
                                <w:sz w:val="24"/>
                                <w:szCs w:val="24"/>
                              </w:rPr>
                              <w:t>尿基复合肥</w:t>
                            </w:r>
                            <w:r>
                              <w:rPr>
                                <w:rFonts w:ascii="Times New Roman" w:hAnsi="Times New Roman" w:cs="Times New Roman"/>
                                <w:sz w:val="24"/>
                                <w:szCs w:val="24"/>
                              </w:rPr>
                              <w:t>生产工艺流程及产污环节</w:t>
                            </w:r>
                          </w:p>
                          <w:p w:rsidR="00C861DA" w:rsidRDefault="0044752E">
                            <w:pPr>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W</w:t>
                            </w:r>
                            <w:r>
                              <w:rPr>
                                <w:rFonts w:ascii="Times New Roman" w:hAnsi="Times New Roman" w:cs="Times New Roman"/>
                              </w:rPr>
                              <w:t>：废水</w:t>
                            </w:r>
                            <w:r>
                              <w:rPr>
                                <w:rFonts w:ascii="Times New Roman" w:hAnsi="Times New Roman" w:cs="Times New Roman"/>
                              </w:rPr>
                              <w:t xml:space="preserve">    G:</w:t>
                            </w:r>
                            <w:r>
                              <w:rPr>
                                <w:rFonts w:ascii="Times New Roman" w:hAnsi="Times New Roman" w:cs="Times New Roman"/>
                              </w:rPr>
                              <w:t>废气</w:t>
                            </w:r>
                            <w:r>
                              <w:rPr>
                                <w:rFonts w:ascii="Times New Roman" w:hAnsi="Times New Roman" w:cs="Times New Roman"/>
                              </w:rPr>
                              <w:t xml:space="preserve">    N</w:t>
                            </w:r>
                            <w:r>
                              <w:rPr>
                                <w:rFonts w:ascii="Times New Roman" w:hAnsi="Times New Roman" w:cs="Times New Roman"/>
                              </w:rPr>
                              <w:t>：噪声</w:t>
                            </w:r>
                            <w:r>
                              <w:rPr>
                                <w:rFonts w:ascii="Times New Roman" w:hAnsi="Times New Roman" w:cs="Times New Roman"/>
                              </w:rPr>
                              <w:t xml:space="preserve">    S</w:t>
                            </w:r>
                            <w:r>
                              <w:rPr>
                                <w:rFonts w:ascii="Times New Roman" w:hAnsi="Times New Roman" w:cs="Times New Roman"/>
                              </w:rPr>
                              <w:t>：固废）</w:t>
                            </w:r>
                          </w:p>
                          <w:p w:rsidR="00C861DA" w:rsidRDefault="00C861DA">
                            <w:pPr>
                              <w:jc w:val="center"/>
                              <w:rPr>
                                <w:rFonts w:ascii="Times New Roman" w:hAnsi="Times New Roman" w:cs="Times New Roman"/>
                              </w:rPr>
                            </w:pPr>
                          </w:p>
                        </w:txbxContent>
                      </wps:txbx>
                      <wps:bodyPr rot="0" vert="horz" wrap="square" lIns="0" tIns="0" rIns="0" bIns="0" anchor="t" anchorCtr="0" upright="1">
                        <a:noAutofit/>
                      </wps:bodyPr>
                    </wps:wsp>
                  </a:graphicData>
                </a:graphic>
              </wp:anchor>
            </w:drawing>
          </mc:Choice>
          <mc:Fallback xmlns:wpsCustomData="http://www.wps.cn/officeDocument/2013/wpsCustomData" xmlns:w15="http://schemas.microsoft.com/office/word/2012/wordml">
            <w:pict>
              <v:shape id="Text Box 256" o:spid="_x0000_s1026" o:spt="202" type="#_x0000_t202" style="position:absolute;left:0pt;margin-left:79pt;margin-top:5.55pt;height:30.5pt;width:249pt;z-index:251772928;mso-width-relative:page;mso-height-relative:page;" fillcolor="#FFFFFF" filled="t" stroked="f" coordsize="21600,21600" o:gfxdata="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wq1/nXAAAACQEAAA8AAAAAAAAAAQAgAAAAIgAAAGRycy9kb3ducmV2LnhtbFBL&#10;AQIUABQAAAAIAIdO4kAl0J0O9wEAAOEDAAAOAAAAAAAAAAEAIAAAACYBAABkcnMvZTJvRG9jLnht&#10;bFBLBQYAAAAABgAGAFkBAACPBQAAAAA=&#10;">
                <v:fill on="t" focussize="0,0"/>
                <v:stroke on="f"/>
                <v:imagedata o:title=""/>
                <o:lock v:ext="edit" aspectratio="f"/>
                <v:textbox inset="0mm,0mm,0mm,0mm">
                  <w:txbxContent>
                    <w:p>
                      <w:pPr>
                        <w:jc w:val="center"/>
                        <w:rPr>
                          <w:rFonts w:ascii="Times New Roman" w:hAnsi="Times New Roman" w:cs="Times New Roman"/>
                          <w:sz w:val="24"/>
                          <w:szCs w:val="24"/>
                        </w:rPr>
                      </w:pPr>
                      <w:r>
                        <w:rPr>
                          <w:rFonts w:ascii="Times New Roman" w:hAnsi="Times New Roman" w:cs="Times New Roman"/>
                          <w:sz w:val="24"/>
                          <w:szCs w:val="24"/>
                        </w:rPr>
                        <w:t>图4.1-</w:t>
                      </w:r>
                      <w:r>
                        <w:rPr>
                          <w:rFonts w:hint="eastAsia" w:ascii="Times New Roman" w:hAnsi="Times New Roman" w:cs="Times New Roman"/>
                          <w:sz w:val="24"/>
                          <w:szCs w:val="24"/>
                        </w:rPr>
                        <w:t>6</w:t>
                      </w:r>
                      <w:r>
                        <w:rPr>
                          <w:rFonts w:ascii="Times New Roman" w:hAnsi="Times New Roman" w:cs="Times New Roman"/>
                          <w:sz w:val="24"/>
                          <w:szCs w:val="24"/>
                        </w:rPr>
                        <w:t xml:space="preserve">    </w:t>
                      </w:r>
                      <w:r>
                        <w:rPr>
                          <w:rFonts w:hint="eastAsia" w:ascii="Times New Roman" w:hAnsi="Times New Roman" w:cs="Times New Roman"/>
                          <w:sz w:val="24"/>
                          <w:szCs w:val="24"/>
                        </w:rPr>
                        <w:t>尿基复合肥</w:t>
                      </w:r>
                      <w:r>
                        <w:rPr>
                          <w:rFonts w:ascii="Times New Roman" w:hAnsi="Times New Roman" w:cs="Times New Roman"/>
                          <w:sz w:val="24"/>
                          <w:szCs w:val="24"/>
                        </w:rPr>
                        <w:t>生产工艺流程及产污环节</w:t>
                      </w:r>
                    </w:p>
                    <w:p>
                      <w:pPr>
                        <w:jc w:val="center"/>
                        <w:rPr>
                          <w:rFonts w:ascii="Times New Roman" w:hAnsi="Times New Roman" w:cs="Times New Roman"/>
                        </w:rPr>
                      </w:pPr>
                      <w:r>
                        <w:rPr>
                          <w:rFonts w:ascii="Times New Roman" w:hAnsi="Times New Roman" w:cs="Times New Roman"/>
                        </w:rPr>
                        <w:t>（W：废水    G:废气    N：噪声    S：固废）</w:t>
                      </w:r>
                    </w:p>
                    <w:p>
                      <w:pPr>
                        <w:jc w:val="center"/>
                        <w:rPr>
                          <w:rFonts w:ascii="Times New Roman" w:hAnsi="Times New Roman" w:cs="Times New Roman"/>
                        </w:rPr>
                      </w:pPr>
                    </w:p>
                  </w:txbxContent>
                </v:textbox>
              </v:shape>
            </w:pict>
          </mc:Fallback>
        </mc:AlternateContent>
      </w:r>
    </w:p>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2</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尿液输送</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来自于尿素主装置的</w:t>
      </w:r>
      <w:r>
        <w:rPr>
          <w:rFonts w:ascii="Times New Roman" w:eastAsia="宋体" w:hAnsi="Times New Roman" w:cs="Times New Roman"/>
          <w:color w:val="000000" w:themeColor="text1"/>
          <w:kern w:val="0"/>
          <w:sz w:val="24"/>
          <w:szCs w:val="24"/>
        </w:rPr>
        <w:t>99.7%</w:t>
      </w:r>
      <w:r>
        <w:rPr>
          <w:rFonts w:ascii="Times New Roman" w:eastAsia="宋体" w:hAnsi="Times New Roman" w:cs="Times New Roman"/>
          <w:color w:val="000000" w:themeColor="text1"/>
          <w:kern w:val="0"/>
          <w:sz w:val="24"/>
          <w:szCs w:val="24"/>
        </w:rPr>
        <w:t>的熔融尿素，通过熔融尿素泵将熔融尿素送至造粒塔塔顶，与硫酸钾在硫酸钾一混槽内进行混合。</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3</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料浆制备和造粒</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来自钾盐斗提机的硫酸钾，通过溜管送入一混槽，在蒸汽盘管加热以及搅拌器的搅拌下，与熔融尿素泵送来的熔融尿素在槽内融化混合，充分混合成熔体料浆，该料浆自流入二混槽。这股料将与磷铵斗提机送来的磷铵在二混槽内融化混合，混合好的料浆进一步在均混器混合，而后经过过滤，送入适合于本工艺的专用喷头从塔顶喷淋成液滴，液滴落入造粒塔，在塔中下落过程中与上升的空气热交换后凝结、冷却成粒径为</w:t>
      </w:r>
      <w:r>
        <w:rPr>
          <w:rFonts w:ascii="Times New Roman" w:eastAsia="宋体" w:hAnsi="Times New Roman" w:cs="Times New Roman"/>
          <w:color w:val="000000" w:themeColor="text1"/>
          <w:kern w:val="0"/>
          <w:sz w:val="24"/>
          <w:szCs w:val="24"/>
        </w:rPr>
        <w:t>2</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4.75mm</w:t>
      </w:r>
      <w:r>
        <w:rPr>
          <w:rFonts w:ascii="Times New Roman" w:eastAsia="宋体" w:hAnsi="Times New Roman" w:cs="Times New Roman"/>
          <w:color w:val="000000" w:themeColor="text1"/>
          <w:kern w:val="0"/>
          <w:sz w:val="24"/>
          <w:szCs w:val="24"/>
        </w:rPr>
        <w:t>的颗粒，落至塔底刮料机上。</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一混槽和二混槽都需要蒸汽加热，其蒸汽盘管以及各保温管道的蒸汽冷凝液分别通过疏水阀进行回收，回收的蒸</w:t>
      </w:r>
      <w:r>
        <w:rPr>
          <w:rFonts w:ascii="Times New Roman" w:eastAsia="宋体" w:hAnsi="Times New Roman" w:cs="Times New Roman"/>
          <w:color w:val="000000" w:themeColor="text1"/>
          <w:kern w:val="0"/>
          <w:sz w:val="24"/>
          <w:szCs w:val="24"/>
        </w:rPr>
        <w:t>汽冷凝液送入尿素装置的蒸汽冷凝液系统。</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造粒塔顶设置粉尘洗涤器和引风机，设置粉尘收集风机将一混槽、二混槽等设备产生粉尘进行收集经</w:t>
      </w:r>
      <w:r>
        <w:rPr>
          <w:rFonts w:ascii="Times New Roman" w:eastAsia="宋体" w:hAnsi="Times New Roman" w:cs="Times New Roman" w:hint="eastAsia"/>
          <w:color w:val="000000" w:themeColor="text1"/>
          <w:kern w:val="0"/>
          <w:sz w:val="24"/>
          <w:szCs w:val="24"/>
        </w:rPr>
        <w:t>布袋除尘</w:t>
      </w:r>
      <w:r>
        <w:rPr>
          <w:rFonts w:ascii="Times New Roman" w:eastAsia="宋体" w:hAnsi="Times New Roman" w:cs="Times New Roman"/>
          <w:color w:val="000000" w:themeColor="text1"/>
          <w:kern w:val="0"/>
          <w:sz w:val="24"/>
          <w:szCs w:val="24"/>
        </w:rPr>
        <w:t>后再送至</w:t>
      </w:r>
      <w:r>
        <w:rPr>
          <w:rFonts w:ascii="Times New Roman" w:eastAsia="宋体" w:hAnsi="Times New Roman" w:cs="Times New Roman" w:hint="eastAsia"/>
          <w:color w:val="000000" w:themeColor="text1"/>
          <w:kern w:val="0"/>
          <w:sz w:val="24"/>
          <w:szCs w:val="24"/>
        </w:rPr>
        <w:t>塔顶</w:t>
      </w:r>
      <w:r>
        <w:rPr>
          <w:rFonts w:ascii="Times New Roman" w:eastAsia="宋体" w:hAnsi="Times New Roman" w:cs="Times New Roman"/>
          <w:color w:val="000000" w:themeColor="text1"/>
          <w:kern w:val="0"/>
          <w:sz w:val="24"/>
          <w:szCs w:val="24"/>
        </w:rPr>
        <w:t>粉尘洗涤器。造粒塔下冷却和筛分等产生的粉尘经旋风</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布袋收尘后，尾气送至造粒塔</w:t>
      </w:r>
      <w:r>
        <w:rPr>
          <w:rFonts w:ascii="Times New Roman" w:eastAsia="宋体" w:hAnsi="Times New Roman" w:cs="Times New Roman" w:hint="eastAsia"/>
          <w:color w:val="000000" w:themeColor="text1"/>
          <w:kern w:val="0"/>
          <w:sz w:val="24"/>
          <w:szCs w:val="24"/>
        </w:rPr>
        <w:t>顶部粉尘洗涤器</w:t>
      </w:r>
      <w:r>
        <w:rPr>
          <w:rFonts w:ascii="Times New Roman" w:eastAsia="宋体" w:hAnsi="Times New Roman" w:cs="Times New Roman"/>
          <w:color w:val="000000" w:themeColor="text1"/>
          <w:kern w:val="0"/>
          <w:sz w:val="24"/>
          <w:szCs w:val="24"/>
        </w:rPr>
        <w:t>。塔顶粉尘洗涤器采用湿法洗涤，使用尿素装置的净化工艺冷凝液作为洗涤器的补水，洗涤后的洗涤液中硫酸钾、磷酸一铵和尿素等的含量约</w:t>
      </w:r>
      <w:r>
        <w:rPr>
          <w:rFonts w:ascii="Times New Roman" w:eastAsia="宋体" w:hAnsi="Times New Roman" w:cs="Times New Roman"/>
          <w:color w:val="000000" w:themeColor="text1"/>
          <w:kern w:val="0"/>
          <w:sz w:val="24"/>
          <w:szCs w:val="24"/>
        </w:rPr>
        <w:t>20%</w:t>
      </w:r>
      <w:r>
        <w:rPr>
          <w:rFonts w:ascii="Times New Roman" w:eastAsia="宋体" w:hAnsi="Times New Roman" w:cs="Times New Roman"/>
          <w:color w:val="000000" w:themeColor="text1"/>
          <w:kern w:val="0"/>
          <w:sz w:val="24"/>
          <w:szCs w:val="24"/>
        </w:rPr>
        <w:t>，其余为水，洗涤液流量约</w:t>
      </w:r>
      <w:r>
        <w:rPr>
          <w:rFonts w:ascii="Times New Roman" w:eastAsia="宋体" w:hAnsi="Times New Roman" w:cs="Times New Roman"/>
          <w:color w:val="000000" w:themeColor="text1"/>
          <w:kern w:val="0"/>
          <w:sz w:val="24"/>
          <w:szCs w:val="24"/>
        </w:rPr>
        <w:t>1.1t/h,</w:t>
      </w:r>
      <w:r>
        <w:rPr>
          <w:rFonts w:ascii="Times New Roman" w:eastAsia="宋体" w:hAnsi="Times New Roman" w:cs="Times New Roman"/>
          <w:color w:val="000000" w:themeColor="text1"/>
          <w:kern w:val="0"/>
          <w:sz w:val="24"/>
          <w:szCs w:val="24"/>
        </w:rPr>
        <w:t>送至金麦磷肥装置的球磨机。洗涤后的造粒塔尾气中</w:t>
      </w:r>
      <w:r>
        <w:rPr>
          <w:rFonts w:ascii="Times New Roman" w:eastAsia="宋体" w:hAnsi="Times New Roman" w:cs="Times New Roman" w:hint="eastAsia"/>
          <w:color w:val="000000" w:themeColor="text1"/>
          <w:kern w:val="0"/>
          <w:sz w:val="24"/>
          <w:szCs w:val="24"/>
        </w:rPr>
        <w:t>经由。</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4</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成品处理</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刮料机将还有一定温度的颗粒物料进行收集</w:t>
      </w:r>
      <w:r>
        <w:rPr>
          <w:rFonts w:ascii="Times New Roman" w:eastAsia="宋体" w:hAnsi="Times New Roman" w:cs="Times New Roman"/>
          <w:color w:val="000000" w:themeColor="text1"/>
          <w:kern w:val="0"/>
          <w:sz w:val="24"/>
          <w:szCs w:val="24"/>
        </w:rPr>
        <w:t>，并通过成品输送带把物料送至成品斗提机经成品振动筛筛分，合格粒料去粉体流冷却器冷却（水冷），使物料温度冷却至</w:t>
      </w:r>
      <w:r>
        <w:rPr>
          <w:rFonts w:ascii="Times New Roman" w:eastAsia="宋体" w:hAnsi="Times New Roman" w:cs="Times New Roman"/>
          <w:color w:val="000000" w:themeColor="text1"/>
          <w:kern w:val="0"/>
          <w:sz w:val="24"/>
          <w:szCs w:val="24"/>
        </w:rPr>
        <w:t>40</w:t>
      </w:r>
      <w:r>
        <w:rPr>
          <w:rFonts w:ascii="宋体" w:eastAsia="宋体" w:hAnsi="宋体" w:cs="宋体" w:hint="eastAsia"/>
          <w:color w:val="000000" w:themeColor="text1"/>
          <w:kern w:val="0"/>
          <w:sz w:val="24"/>
          <w:szCs w:val="24"/>
        </w:rPr>
        <w:t>℃</w:t>
      </w:r>
      <w:r>
        <w:rPr>
          <w:rFonts w:ascii="Times New Roman" w:eastAsia="宋体" w:hAnsi="Times New Roman" w:cs="Times New Roman"/>
          <w:color w:val="000000" w:themeColor="text1"/>
          <w:kern w:val="0"/>
          <w:sz w:val="24"/>
          <w:szCs w:val="24"/>
        </w:rPr>
        <w:t>左右。不合格粒料经返料皮带进行回收，并重新用于造粒。</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粉体流冷却器出来产品进入包裹机进行表面处理，再由皮带输送机进入包装楼</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通过自动包装秤包装得到产品送至成品库。</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成品处理过程中产生的粉尘经袋式除尘系统处理后，回收粉料，尾气排入大气。除尘的尾气量约</w:t>
      </w:r>
      <w:r>
        <w:rPr>
          <w:rFonts w:ascii="Times New Roman" w:eastAsia="宋体" w:hAnsi="Times New Roman" w:cs="Times New Roman"/>
          <w:color w:val="000000" w:themeColor="text1"/>
          <w:kern w:val="0"/>
          <w:sz w:val="24"/>
          <w:szCs w:val="24"/>
        </w:rPr>
        <w:t>12000Nm</w:t>
      </w:r>
      <w:r>
        <w:rPr>
          <w:rFonts w:ascii="Times New Roman" w:eastAsia="宋体" w:hAnsi="Times New Roman" w:cs="Times New Roman"/>
          <w:color w:val="000000" w:themeColor="text1"/>
          <w:kern w:val="0"/>
          <w:sz w:val="24"/>
          <w:szCs w:val="24"/>
          <w:vertAlign w:val="superscript"/>
        </w:rPr>
        <w:t>3</w:t>
      </w:r>
      <w:r>
        <w:rPr>
          <w:rFonts w:ascii="Times New Roman" w:eastAsia="宋体" w:hAnsi="Times New Roman" w:cs="Times New Roman"/>
          <w:color w:val="000000" w:themeColor="text1"/>
          <w:kern w:val="0"/>
          <w:sz w:val="24"/>
          <w:szCs w:val="24"/>
        </w:rPr>
        <w:t>/h</w:t>
      </w:r>
      <w:r>
        <w:rPr>
          <w:rFonts w:ascii="Times New Roman" w:eastAsia="宋体" w:hAnsi="Times New Roman" w:cs="Times New Roman"/>
          <w:color w:val="000000" w:themeColor="text1"/>
          <w:kern w:val="0"/>
          <w:sz w:val="24"/>
          <w:szCs w:val="24"/>
        </w:rPr>
        <w:t>，排入大气的尾气中粉尘含量不高于</w:t>
      </w:r>
      <w:r>
        <w:rPr>
          <w:rFonts w:ascii="Times New Roman" w:eastAsia="宋体" w:hAnsi="Times New Roman" w:cs="Times New Roman"/>
          <w:color w:val="000000" w:themeColor="text1"/>
          <w:kern w:val="0"/>
          <w:sz w:val="24"/>
          <w:szCs w:val="24"/>
        </w:rPr>
        <w:t>50mg/ Nm</w:t>
      </w:r>
      <w:r>
        <w:rPr>
          <w:rFonts w:ascii="Times New Roman" w:eastAsia="宋体" w:hAnsi="Times New Roman" w:cs="Times New Roman"/>
          <w:color w:val="000000" w:themeColor="text1"/>
          <w:kern w:val="0"/>
          <w:sz w:val="24"/>
          <w:szCs w:val="24"/>
          <w:vertAlign w:val="superscript"/>
        </w:rPr>
        <w:t>3</w:t>
      </w:r>
      <w:r>
        <w:rPr>
          <w:rFonts w:ascii="Times New Roman" w:eastAsia="宋体" w:hAnsi="Times New Roman" w:cs="Times New Roman"/>
          <w:color w:val="000000" w:themeColor="text1"/>
          <w:kern w:val="0"/>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2</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产污环节</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1</w:t>
      </w:r>
      <w:r>
        <w:rPr>
          <w:rFonts w:ascii="Times New Roman" w:eastAsia="宋体" w:hAnsi="Times New Roman" w:cs="Times New Roman" w:hint="eastAsia"/>
          <w:color w:val="000000" w:themeColor="text1"/>
          <w:kern w:val="0"/>
          <w:sz w:val="24"/>
          <w:szCs w:val="24"/>
        </w:rPr>
        <w:t>）废水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W7</w:t>
      </w:r>
      <w:r>
        <w:rPr>
          <w:rFonts w:ascii="Times New Roman" w:eastAsia="宋体" w:hAnsi="Times New Roman" w:cs="Times New Roman" w:hint="eastAsia"/>
          <w:color w:val="000000" w:themeColor="text1"/>
          <w:kern w:val="0"/>
          <w:sz w:val="24"/>
          <w:szCs w:val="24"/>
        </w:rPr>
        <w:t>：造粒尾气洗涤废水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造粒</w:t>
      </w:r>
      <w:r>
        <w:rPr>
          <w:rFonts w:ascii="Times New Roman" w:eastAsia="宋体" w:hAnsi="Times New Roman" w:cs="Times New Roman"/>
          <w:color w:val="000000" w:themeColor="text1"/>
          <w:kern w:val="0"/>
          <w:sz w:val="24"/>
          <w:szCs w:val="24"/>
        </w:rPr>
        <w:t>塔顶粉尘洗涤器采用湿法洗涤，使用尿素装置的净化工艺冷凝液作为洗涤器的补水，洗涤后的洗涤液中硫酸钾、磷酸一铵和尿素等的含量约</w:t>
      </w:r>
      <w:r>
        <w:rPr>
          <w:rFonts w:ascii="Times New Roman" w:eastAsia="宋体" w:hAnsi="Times New Roman" w:cs="Times New Roman"/>
          <w:color w:val="000000" w:themeColor="text1"/>
          <w:kern w:val="0"/>
          <w:sz w:val="24"/>
          <w:szCs w:val="24"/>
        </w:rPr>
        <w:t>20%</w:t>
      </w:r>
      <w:r>
        <w:rPr>
          <w:rFonts w:ascii="Times New Roman" w:eastAsia="宋体" w:hAnsi="Times New Roman" w:cs="Times New Roman"/>
          <w:color w:val="000000" w:themeColor="text1"/>
          <w:kern w:val="0"/>
          <w:sz w:val="24"/>
          <w:szCs w:val="24"/>
        </w:rPr>
        <w:t>，送至金麦磷肥装置的球磨</w:t>
      </w:r>
      <w:r>
        <w:rPr>
          <w:rFonts w:ascii="Times New Roman" w:eastAsia="宋体" w:hAnsi="Times New Roman" w:cs="Times New Roman" w:hint="eastAsia"/>
          <w:color w:val="000000" w:themeColor="text1"/>
          <w:kern w:val="0"/>
          <w:sz w:val="24"/>
          <w:szCs w:val="24"/>
        </w:rPr>
        <w:t>工段，作为补充水。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2</w:t>
      </w:r>
      <w:r>
        <w:rPr>
          <w:rFonts w:ascii="Times New Roman" w:eastAsia="宋体" w:hAnsi="Times New Roman" w:cs="Times New Roman" w:hint="eastAsia"/>
          <w:color w:val="000000" w:themeColor="text1"/>
          <w:kern w:val="0"/>
          <w:sz w:val="24"/>
          <w:szCs w:val="24"/>
        </w:rPr>
        <w:t>）废气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G10</w:t>
      </w:r>
      <w:r>
        <w:rPr>
          <w:rFonts w:ascii="Times New Roman" w:eastAsia="宋体" w:hAnsi="Times New Roman" w:cs="Times New Roman" w:hint="eastAsia"/>
          <w:color w:val="000000" w:themeColor="text1"/>
          <w:kern w:val="0"/>
          <w:sz w:val="24"/>
          <w:szCs w:val="24"/>
        </w:rPr>
        <w:t>：原料准备废气，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原料准备废气主要为</w:t>
      </w:r>
      <w:r>
        <w:rPr>
          <w:rFonts w:ascii="Times New Roman" w:eastAsia="宋体" w:hAnsi="Times New Roman" w:cs="Times New Roman"/>
          <w:color w:val="000000" w:themeColor="text1"/>
          <w:kern w:val="0"/>
          <w:sz w:val="24"/>
          <w:szCs w:val="24"/>
        </w:rPr>
        <w:t>原料</w:t>
      </w:r>
      <w:r>
        <w:rPr>
          <w:rFonts w:ascii="Times New Roman" w:eastAsia="宋体" w:hAnsi="Times New Roman" w:cs="Times New Roman" w:hint="eastAsia"/>
          <w:color w:val="000000" w:themeColor="text1"/>
          <w:kern w:val="0"/>
          <w:sz w:val="24"/>
          <w:szCs w:val="24"/>
        </w:rPr>
        <w:t>输送提升过程中</w:t>
      </w:r>
      <w:r>
        <w:rPr>
          <w:rFonts w:ascii="Times New Roman" w:eastAsia="宋体" w:hAnsi="Times New Roman" w:cs="Times New Roman"/>
          <w:color w:val="000000" w:themeColor="text1"/>
          <w:kern w:val="0"/>
          <w:sz w:val="24"/>
          <w:szCs w:val="24"/>
        </w:rPr>
        <w:t>产生的</w:t>
      </w:r>
      <w:r>
        <w:rPr>
          <w:rFonts w:ascii="Times New Roman" w:eastAsia="宋体" w:hAnsi="Times New Roman" w:cs="Times New Roman" w:hint="eastAsia"/>
          <w:color w:val="000000" w:themeColor="text1"/>
          <w:kern w:val="0"/>
          <w:sz w:val="24"/>
          <w:szCs w:val="24"/>
        </w:rPr>
        <w:t>颗粒物，</w:t>
      </w:r>
      <w:r>
        <w:rPr>
          <w:rFonts w:ascii="Times New Roman" w:eastAsia="宋体" w:hAnsi="Times New Roman" w:cs="Times New Roman"/>
          <w:color w:val="000000" w:themeColor="text1"/>
          <w:kern w:val="0"/>
          <w:sz w:val="24"/>
          <w:szCs w:val="24"/>
        </w:rPr>
        <w:t>经袋式除尘系统处理后，</w:t>
      </w:r>
      <w:r>
        <w:rPr>
          <w:rFonts w:ascii="Times New Roman" w:eastAsia="宋体" w:hAnsi="Times New Roman" w:cs="Times New Roman" w:hint="eastAsia"/>
          <w:color w:val="000000" w:themeColor="text1"/>
          <w:kern w:val="0"/>
          <w:sz w:val="24"/>
          <w:szCs w:val="24"/>
        </w:rPr>
        <w:t>经由</w:t>
      </w:r>
      <w:r>
        <w:rPr>
          <w:rFonts w:ascii="Times New Roman" w:eastAsia="宋体" w:hAnsi="Times New Roman" w:cs="Times New Roman" w:hint="eastAsia"/>
          <w:color w:val="000000" w:themeColor="text1"/>
          <w:kern w:val="0"/>
          <w:sz w:val="24"/>
          <w:szCs w:val="24"/>
        </w:rPr>
        <w:t>25m</w:t>
      </w:r>
      <w:r>
        <w:rPr>
          <w:rFonts w:ascii="Times New Roman" w:eastAsia="宋体" w:hAnsi="Times New Roman" w:cs="Times New Roman" w:hint="eastAsia"/>
          <w:color w:val="000000" w:themeColor="text1"/>
          <w:kern w:val="0"/>
          <w:sz w:val="24"/>
          <w:szCs w:val="24"/>
        </w:rPr>
        <w:t>高排气筒（</w:t>
      </w:r>
      <w:r>
        <w:rPr>
          <w:rFonts w:ascii="Times New Roman" w:eastAsia="宋体" w:hAnsi="Times New Roman" w:cs="Times New Roman" w:hint="eastAsia"/>
          <w:color w:val="000000" w:themeColor="text1"/>
          <w:kern w:val="0"/>
          <w:sz w:val="24"/>
          <w:szCs w:val="24"/>
        </w:rPr>
        <w:t>8#</w:t>
      </w:r>
      <w:r>
        <w:rPr>
          <w:rFonts w:ascii="Times New Roman" w:eastAsia="宋体" w:hAnsi="Times New Roman" w:cs="Times New Roman" w:hint="eastAsia"/>
          <w:color w:val="000000" w:themeColor="text1"/>
          <w:kern w:val="0"/>
          <w:sz w:val="24"/>
          <w:szCs w:val="24"/>
        </w:rPr>
        <w:t>排气筒）排放，废气排放</w:t>
      </w:r>
      <w:r>
        <w:rPr>
          <w:rFonts w:ascii="Times New Roman" w:eastAsia="宋体" w:hAnsi="Times New Roman" w:cs="Times New Roman"/>
          <w:color w:val="000000" w:themeColor="text1"/>
          <w:kern w:val="0"/>
          <w:sz w:val="24"/>
          <w:szCs w:val="24"/>
        </w:rPr>
        <w:t>量约</w:t>
      </w:r>
      <w:r>
        <w:rPr>
          <w:rFonts w:ascii="Times New Roman" w:eastAsia="宋体" w:hAnsi="Times New Roman" w:cs="Times New Roman" w:hint="eastAsia"/>
          <w:color w:val="000000" w:themeColor="text1"/>
          <w:kern w:val="0"/>
          <w:sz w:val="24"/>
          <w:szCs w:val="24"/>
        </w:rPr>
        <w:t>75</w:t>
      </w:r>
      <w:r>
        <w:rPr>
          <w:rFonts w:ascii="Times New Roman" w:eastAsia="宋体" w:hAnsi="Times New Roman" w:cs="Times New Roman"/>
          <w:color w:val="000000" w:themeColor="text1"/>
          <w:kern w:val="0"/>
          <w:sz w:val="24"/>
          <w:szCs w:val="24"/>
        </w:rPr>
        <w:t>00Nm</w:t>
      </w:r>
      <w:r>
        <w:rPr>
          <w:rFonts w:ascii="Times New Roman" w:eastAsia="宋体" w:hAnsi="Times New Roman" w:cs="Times New Roman"/>
          <w:color w:val="000000" w:themeColor="text1"/>
          <w:kern w:val="0"/>
          <w:sz w:val="24"/>
          <w:szCs w:val="24"/>
          <w:vertAlign w:val="superscript"/>
        </w:rPr>
        <w:t>3</w:t>
      </w:r>
      <w:r>
        <w:rPr>
          <w:rFonts w:ascii="Times New Roman" w:eastAsia="宋体" w:hAnsi="Times New Roman" w:cs="Times New Roman"/>
          <w:color w:val="000000" w:themeColor="text1"/>
          <w:kern w:val="0"/>
          <w:sz w:val="24"/>
          <w:szCs w:val="24"/>
        </w:rPr>
        <w:t>/h</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hint="eastAsia"/>
          <w:color w:val="000000" w:themeColor="text1"/>
          <w:kern w:val="0"/>
          <w:sz w:val="24"/>
          <w:szCs w:val="24"/>
        </w:rPr>
        <w:t>其中颗粒物浓度小于</w:t>
      </w:r>
      <w:r>
        <w:rPr>
          <w:rFonts w:ascii="Times New Roman" w:eastAsia="宋体" w:hAnsi="Times New Roman" w:cs="Times New Roman"/>
          <w:color w:val="000000" w:themeColor="text1"/>
          <w:kern w:val="0"/>
          <w:sz w:val="24"/>
          <w:szCs w:val="24"/>
        </w:rPr>
        <w:t>50mg/ Nm</w:t>
      </w:r>
      <w:r>
        <w:rPr>
          <w:rFonts w:ascii="Times New Roman" w:eastAsia="宋体" w:hAnsi="Times New Roman" w:cs="Times New Roman"/>
          <w:color w:val="000000" w:themeColor="text1"/>
          <w:kern w:val="0"/>
          <w:sz w:val="24"/>
          <w:szCs w:val="24"/>
          <w:vertAlign w:val="superscript"/>
        </w:rPr>
        <w:t>3</w:t>
      </w:r>
      <w:r>
        <w:rPr>
          <w:rFonts w:ascii="Times New Roman" w:eastAsia="宋体" w:hAnsi="Times New Roman" w:cs="Times New Roman"/>
          <w:color w:val="000000" w:themeColor="text1"/>
          <w:kern w:val="0"/>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G11-G14</w:t>
      </w:r>
      <w:r>
        <w:rPr>
          <w:rFonts w:ascii="Times New Roman" w:eastAsia="宋体" w:hAnsi="Times New Roman" w:cs="Times New Roman" w:hint="eastAsia"/>
          <w:color w:val="000000" w:themeColor="text1"/>
          <w:kern w:val="0"/>
          <w:sz w:val="24"/>
          <w:szCs w:val="24"/>
        </w:rPr>
        <w:t>：造粒废气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1"/>
          <w:sz w:val="24"/>
          <w:szCs w:val="24"/>
        </w:rPr>
        <w:t>造粒废气</w:t>
      </w:r>
      <w:r>
        <w:rPr>
          <w:rFonts w:ascii="Times New Roman" w:eastAsia="宋体" w:hAnsi="Times New Roman" w:cs="Times New Roman" w:hint="eastAsia"/>
          <w:color w:val="000000" w:themeColor="text1"/>
          <w:kern w:val="1"/>
          <w:sz w:val="24"/>
          <w:szCs w:val="24"/>
        </w:rPr>
        <w:t>有由两部分组成，一部分</w:t>
      </w:r>
      <w:r>
        <w:rPr>
          <w:rFonts w:ascii="Times New Roman" w:eastAsia="宋体" w:hAnsi="Times New Roman" w:cs="Times New Roman"/>
          <w:color w:val="000000" w:themeColor="text1"/>
          <w:kern w:val="1"/>
          <w:sz w:val="24"/>
          <w:szCs w:val="24"/>
        </w:rPr>
        <w:t>是造粒塔</w:t>
      </w:r>
      <w:r>
        <w:rPr>
          <w:rFonts w:ascii="Times New Roman" w:eastAsia="宋体" w:hAnsi="Times New Roman" w:cs="Times New Roman" w:hint="eastAsia"/>
          <w:color w:val="000000" w:themeColor="text1"/>
          <w:kern w:val="1"/>
          <w:sz w:val="24"/>
          <w:szCs w:val="24"/>
        </w:rPr>
        <w:t>产品冷却筛分废气，</w:t>
      </w:r>
      <w:r>
        <w:rPr>
          <w:rFonts w:ascii="Times New Roman" w:eastAsia="宋体" w:hAnsi="Times New Roman" w:cs="Times New Roman"/>
          <w:color w:val="000000" w:themeColor="text1"/>
          <w:kern w:val="1"/>
          <w:sz w:val="24"/>
          <w:szCs w:val="24"/>
        </w:rPr>
        <w:t>主要污染</w:t>
      </w:r>
      <w:r>
        <w:rPr>
          <w:rFonts w:ascii="Times New Roman" w:eastAsia="宋体" w:hAnsi="Times New Roman" w:cs="Times New Roman" w:hint="eastAsia"/>
          <w:color w:val="000000" w:themeColor="text1"/>
          <w:kern w:val="1"/>
          <w:sz w:val="24"/>
          <w:szCs w:val="24"/>
        </w:rPr>
        <w:t>物为</w:t>
      </w:r>
      <w:r>
        <w:rPr>
          <w:rFonts w:ascii="Times New Roman" w:eastAsia="宋体" w:hAnsi="Times New Roman" w:cs="Times New Roman"/>
          <w:color w:val="000000" w:themeColor="text1"/>
          <w:kern w:val="1"/>
          <w:sz w:val="24"/>
          <w:szCs w:val="24"/>
        </w:rPr>
        <w:t>颗粒物</w:t>
      </w:r>
      <w:r>
        <w:rPr>
          <w:rFonts w:ascii="Times New Roman" w:eastAsia="宋体" w:hAnsi="Times New Roman" w:cs="Times New Roman" w:hint="eastAsia"/>
          <w:color w:val="000000" w:themeColor="text1"/>
          <w:kern w:val="1"/>
          <w:sz w:val="24"/>
          <w:szCs w:val="24"/>
        </w:rPr>
        <w:t>和氨</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经</w:t>
      </w:r>
      <w:r>
        <w:rPr>
          <w:rFonts w:ascii="Times New Roman" w:eastAsia="宋体" w:hAnsi="Times New Roman" w:cs="Times New Roman"/>
          <w:color w:val="000000" w:themeColor="text1"/>
          <w:kern w:val="0"/>
          <w:sz w:val="24"/>
          <w:szCs w:val="24"/>
        </w:rPr>
        <w:t>经旋风</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布袋收尘</w:t>
      </w:r>
      <w:r>
        <w:rPr>
          <w:rFonts w:ascii="Times New Roman" w:eastAsia="宋体" w:hAnsi="Times New Roman" w:cs="Times New Roman" w:hint="eastAsia"/>
          <w:color w:val="000000" w:themeColor="text1"/>
          <w:kern w:val="0"/>
          <w:sz w:val="24"/>
          <w:szCs w:val="24"/>
        </w:rPr>
        <w:t>后，再送至塔顶</w:t>
      </w:r>
      <w:r>
        <w:rPr>
          <w:rFonts w:ascii="Times New Roman" w:eastAsia="宋体" w:hAnsi="Times New Roman" w:cs="Times New Roman" w:hint="eastAsia"/>
          <w:color w:val="000000" w:themeColor="text1"/>
          <w:kern w:val="1"/>
          <w:sz w:val="24"/>
          <w:szCs w:val="24"/>
        </w:rPr>
        <w:t>湿法</w:t>
      </w:r>
      <w:r>
        <w:rPr>
          <w:rFonts w:ascii="Times New Roman" w:eastAsia="宋体" w:hAnsi="Times New Roman" w:cs="Times New Roman"/>
          <w:color w:val="000000" w:themeColor="text1"/>
          <w:kern w:val="1"/>
          <w:sz w:val="24"/>
          <w:szCs w:val="24"/>
        </w:rPr>
        <w:t>洗涤</w:t>
      </w:r>
      <w:r>
        <w:rPr>
          <w:rFonts w:ascii="Times New Roman" w:eastAsia="宋体" w:hAnsi="Times New Roman" w:cs="Times New Roman" w:hint="eastAsia"/>
          <w:color w:val="000000" w:themeColor="text1"/>
          <w:kern w:val="1"/>
          <w:sz w:val="24"/>
          <w:szCs w:val="24"/>
        </w:rPr>
        <w:t>系统，</w:t>
      </w:r>
      <w:r>
        <w:rPr>
          <w:rFonts w:ascii="Times New Roman" w:eastAsia="宋体" w:hAnsi="Times New Roman" w:cs="Times New Roman"/>
          <w:color w:val="000000" w:themeColor="text1"/>
          <w:kern w:val="1"/>
          <w:sz w:val="24"/>
          <w:szCs w:val="24"/>
        </w:rPr>
        <w:t>经</w:t>
      </w:r>
      <w:r>
        <w:rPr>
          <w:rFonts w:ascii="Times New Roman" w:eastAsia="宋体" w:hAnsi="Times New Roman" w:cs="Times New Roman" w:hint="eastAsia"/>
          <w:color w:val="000000" w:themeColor="text1"/>
          <w:kern w:val="1"/>
          <w:sz w:val="24"/>
          <w:szCs w:val="24"/>
        </w:rPr>
        <w:t>塔顶</w:t>
      </w:r>
      <w:r>
        <w:rPr>
          <w:rFonts w:ascii="Times New Roman" w:eastAsia="宋体" w:hAnsi="Times New Roman" w:cs="Times New Roman" w:hint="eastAsia"/>
          <w:color w:val="000000" w:themeColor="text1"/>
          <w:kern w:val="1"/>
          <w:sz w:val="24"/>
          <w:szCs w:val="24"/>
        </w:rPr>
        <w:t>110</w:t>
      </w:r>
      <w:r>
        <w:rPr>
          <w:rFonts w:ascii="Times New Roman" w:eastAsia="宋体" w:hAnsi="Times New Roman" w:cs="Times New Roman"/>
          <w:color w:val="000000" w:themeColor="text1"/>
          <w:kern w:val="1"/>
          <w:sz w:val="24"/>
          <w:szCs w:val="24"/>
        </w:rPr>
        <w:t>m</w:t>
      </w:r>
      <w:r>
        <w:rPr>
          <w:rFonts w:ascii="Times New Roman" w:eastAsia="宋体" w:hAnsi="Times New Roman" w:cs="Times New Roman"/>
          <w:color w:val="000000" w:themeColor="text1"/>
          <w:kern w:val="1"/>
          <w:sz w:val="24"/>
          <w:szCs w:val="24"/>
        </w:rPr>
        <w:t>高的造粒塔出风口（</w:t>
      </w:r>
      <w:r>
        <w:rPr>
          <w:rFonts w:ascii="Times New Roman" w:eastAsia="宋体" w:hAnsi="Times New Roman" w:cs="Times New Roman" w:hint="eastAsia"/>
          <w:color w:val="000000" w:themeColor="text1"/>
          <w:kern w:val="1"/>
          <w:sz w:val="24"/>
          <w:szCs w:val="24"/>
        </w:rPr>
        <w:t>9</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排气筒</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排放</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另一部分</w:t>
      </w:r>
      <w:r>
        <w:rPr>
          <w:rFonts w:ascii="Times New Roman" w:eastAsia="宋体" w:hAnsi="Times New Roman" w:cs="Times New Roman"/>
          <w:color w:val="000000" w:themeColor="text1"/>
          <w:kern w:val="1"/>
          <w:sz w:val="24"/>
          <w:szCs w:val="24"/>
        </w:rPr>
        <w:t>是造粒塔内</w:t>
      </w:r>
      <w:r>
        <w:rPr>
          <w:rFonts w:ascii="Times New Roman" w:eastAsia="宋体" w:hAnsi="Times New Roman" w:cs="Times New Roman"/>
          <w:color w:val="000000" w:themeColor="text1"/>
          <w:kern w:val="0"/>
          <w:sz w:val="24"/>
          <w:szCs w:val="24"/>
        </w:rPr>
        <w:t>一混槽、二混槽</w:t>
      </w:r>
      <w:r>
        <w:rPr>
          <w:rFonts w:ascii="Times New Roman" w:eastAsia="宋体" w:hAnsi="Times New Roman" w:cs="Times New Roman"/>
          <w:color w:val="000000" w:themeColor="text1"/>
          <w:kern w:val="1"/>
          <w:sz w:val="24"/>
          <w:szCs w:val="24"/>
        </w:rPr>
        <w:t>设备</w:t>
      </w:r>
      <w:r>
        <w:rPr>
          <w:rFonts w:ascii="Times New Roman" w:eastAsia="宋体" w:hAnsi="Times New Roman" w:cs="Times New Roman" w:hint="eastAsia"/>
          <w:color w:val="000000" w:themeColor="text1"/>
          <w:kern w:val="1"/>
          <w:sz w:val="24"/>
          <w:szCs w:val="24"/>
        </w:rPr>
        <w:t>产生</w:t>
      </w:r>
      <w:r>
        <w:rPr>
          <w:rFonts w:ascii="Times New Roman" w:eastAsia="宋体" w:hAnsi="Times New Roman" w:cs="Times New Roman"/>
          <w:color w:val="000000" w:themeColor="text1"/>
          <w:kern w:val="1"/>
          <w:sz w:val="24"/>
          <w:szCs w:val="24"/>
        </w:rPr>
        <w:t>的废气</w:t>
      </w:r>
      <w:r>
        <w:rPr>
          <w:rFonts w:ascii="Times New Roman" w:eastAsia="宋体" w:hAnsi="Times New Roman" w:cs="Times New Roman" w:hint="eastAsia"/>
          <w:color w:val="000000" w:themeColor="text1"/>
          <w:kern w:val="1"/>
          <w:sz w:val="24"/>
          <w:szCs w:val="24"/>
        </w:rPr>
        <w:t>，主要污染物为颗粒物，</w:t>
      </w:r>
      <w:r>
        <w:rPr>
          <w:rFonts w:ascii="Times New Roman" w:eastAsia="宋体" w:hAnsi="Times New Roman" w:cs="Times New Roman"/>
          <w:color w:val="000000" w:themeColor="text1"/>
          <w:kern w:val="1"/>
          <w:sz w:val="24"/>
          <w:szCs w:val="24"/>
        </w:rPr>
        <w:t>经布袋除尘后，再送至造粒塔顶的湿法洗涤系统</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经</w:t>
      </w:r>
      <w:r>
        <w:rPr>
          <w:rFonts w:ascii="Times New Roman" w:eastAsia="宋体" w:hAnsi="Times New Roman" w:cs="Times New Roman" w:hint="eastAsia"/>
          <w:color w:val="000000" w:themeColor="text1"/>
          <w:kern w:val="1"/>
          <w:sz w:val="24"/>
          <w:szCs w:val="24"/>
        </w:rPr>
        <w:t>塔顶</w:t>
      </w:r>
      <w:r>
        <w:rPr>
          <w:rFonts w:ascii="Times New Roman" w:eastAsia="宋体" w:hAnsi="Times New Roman" w:cs="Times New Roman" w:hint="eastAsia"/>
          <w:color w:val="000000" w:themeColor="text1"/>
          <w:kern w:val="1"/>
          <w:sz w:val="24"/>
          <w:szCs w:val="24"/>
        </w:rPr>
        <w:t>110</w:t>
      </w:r>
      <w:r>
        <w:rPr>
          <w:rFonts w:ascii="Times New Roman" w:eastAsia="宋体" w:hAnsi="Times New Roman" w:cs="Times New Roman"/>
          <w:color w:val="000000" w:themeColor="text1"/>
          <w:kern w:val="1"/>
          <w:sz w:val="24"/>
          <w:szCs w:val="24"/>
        </w:rPr>
        <w:t>m</w:t>
      </w:r>
      <w:r>
        <w:rPr>
          <w:rFonts w:ascii="Times New Roman" w:eastAsia="宋体" w:hAnsi="Times New Roman" w:cs="Times New Roman"/>
          <w:color w:val="000000" w:themeColor="text1"/>
          <w:kern w:val="1"/>
          <w:sz w:val="24"/>
          <w:szCs w:val="24"/>
        </w:rPr>
        <w:t>高的造粒塔出风口（</w:t>
      </w:r>
      <w:r>
        <w:rPr>
          <w:rFonts w:ascii="Times New Roman" w:eastAsia="宋体" w:hAnsi="Times New Roman" w:cs="Times New Roman" w:hint="eastAsia"/>
          <w:color w:val="000000" w:themeColor="text1"/>
          <w:kern w:val="1"/>
          <w:sz w:val="24"/>
          <w:szCs w:val="24"/>
        </w:rPr>
        <w:t>9</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排气筒</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排放</w:t>
      </w:r>
      <w:r>
        <w:rPr>
          <w:rFonts w:ascii="Times New Roman" w:eastAsia="宋体" w:hAnsi="Times New Roman" w:cs="Times New Roman"/>
          <w:color w:val="000000" w:themeColor="text1"/>
          <w:kern w:val="1"/>
          <w:sz w:val="24"/>
          <w:szCs w:val="24"/>
        </w:rPr>
        <w:t>。</w:t>
      </w:r>
    </w:p>
    <w:p w:rsidR="00C861DA" w:rsidRDefault="0044752E">
      <w:pPr>
        <w:pStyle w:val="22"/>
        <w:rPr>
          <w:rFonts w:ascii="Times New Roman" w:eastAsia="宋体" w:hAnsi="Times New Roman"/>
          <w:bCs w:val="0"/>
          <w:color w:val="000000" w:themeColor="text1"/>
          <w:sz w:val="28"/>
          <w:szCs w:val="28"/>
        </w:rPr>
      </w:pPr>
      <w:bookmarkStart w:id="231" w:name="_Toc6826798"/>
      <w:r>
        <w:rPr>
          <w:rFonts w:ascii="Times New Roman" w:eastAsia="宋体" w:hAnsi="Times New Roman"/>
          <w:bCs w:val="0"/>
          <w:color w:val="000000" w:themeColor="text1"/>
          <w:sz w:val="28"/>
          <w:szCs w:val="28"/>
        </w:rPr>
        <w:t>4.2</w:t>
      </w:r>
      <w:r>
        <w:rPr>
          <w:rFonts w:ascii="Times New Roman" w:eastAsia="宋体" w:hAnsi="Times New Roman"/>
          <w:bCs w:val="0"/>
          <w:color w:val="000000" w:themeColor="text1"/>
          <w:sz w:val="28"/>
          <w:szCs w:val="28"/>
        </w:rPr>
        <w:t>原辅材料及能源消耗</w:t>
      </w:r>
      <w:bookmarkEnd w:id="231"/>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根据项目产品方案，各生产工段原辅材料及能源消耗见表</w:t>
      </w:r>
      <w:r>
        <w:rPr>
          <w:rFonts w:ascii="Times New Roman" w:eastAsia="宋体" w:hAnsi="Times New Roman" w:cs="Times New Roman"/>
          <w:color w:val="000000" w:themeColor="text1"/>
          <w:kern w:val="0"/>
          <w:sz w:val="24"/>
          <w:szCs w:val="24"/>
        </w:rPr>
        <w:t>4.2-1</w:t>
      </w:r>
      <w:r>
        <w:rPr>
          <w:rFonts w:ascii="Times New Roman" w:eastAsia="宋体" w:hAnsi="Times New Roman" w:cs="Times New Roman"/>
          <w:color w:val="000000" w:themeColor="text1"/>
          <w:kern w:val="0"/>
          <w:sz w:val="24"/>
          <w:szCs w:val="24"/>
        </w:rPr>
        <w:t>至表</w:t>
      </w:r>
      <w:r>
        <w:rPr>
          <w:rFonts w:ascii="Times New Roman" w:eastAsia="宋体" w:hAnsi="Times New Roman" w:cs="Times New Roman"/>
          <w:color w:val="000000" w:themeColor="text1"/>
          <w:kern w:val="0"/>
          <w:sz w:val="24"/>
          <w:szCs w:val="24"/>
        </w:rPr>
        <w:t>4.2-4</w:t>
      </w:r>
      <w:r>
        <w:rPr>
          <w:rFonts w:ascii="Times New Roman" w:eastAsia="宋体" w:hAnsi="Times New Roman" w:cs="Times New Roman"/>
          <w:color w:val="000000" w:themeColor="text1"/>
          <w:kern w:val="0"/>
          <w:sz w:val="24"/>
          <w:szCs w:val="24"/>
        </w:rPr>
        <w:t>。</w:t>
      </w:r>
    </w:p>
    <w:p w:rsidR="00C861DA" w:rsidRDefault="0044752E">
      <w:pPr>
        <w:widowControl/>
        <w:autoSpaceDE/>
        <w:autoSpaceDN/>
        <w:snapToGrid w:val="0"/>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表</w:t>
      </w:r>
      <w:r>
        <w:rPr>
          <w:rFonts w:ascii="Times New Roman" w:eastAsia="宋体" w:hAnsi="Times New Roman" w:cs="Times New Roman"/>
          <w:color w:val="000000" w:themeColor="text1"/>
          <w:kern w:val="0"/>
          <w:sz w:val="24"/>
          <w:szCs w:val="24"/>
        </w:rPr>
        <w:t xml:space="preserve">4.2-1     </w:t>
      </w:r>
      <w:r>
        <w:rPr>
          <w:rFonts w:ascii="Times New Roman" w:eastAsia="宋体" w:hAnsi="Times New Roman" w:cs="Times New Roman"/>
          <w:color w:val="000000" w:themeColor="text1"/>
          <w:kern w:val="0"/>
          <w:sz w:val="24"/>
          <w:szCs w:val="24"/>
        </w:rPr>
        <w:t>硝基复肥主要原料、辅助材料消耗及来源</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27"/>
        <w:gridCol w:w="1275"/>
        <w:gridCol w:w="850"/>
        <w:gridCol w:w="927"/>
        <w:gridCol w:w="803"/>
        <w:gridCol w:w="2006"/>
      </w:tblGrid>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序号</w:t>
            </w:r>
          </w:p>
        </w:tc>
        <w:tc>
          <w:tcPr>
            <w:tcW w:w="212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名</w:t>
            </w:r>
            <w:r>
              <w:rPr>
                <w:rFonts w:ascii="Times New Roman" w:eastAsia="宋体" w:hAnsi="Times New Roman" w:cs="Times New Roman"/>
                <w:color w:val="000000" w:themeColor="text1"/>
                <w:kern w:val="0"/>
                <w:sz w:val="22"/>
              </w:rPr>
              <w:t xml:space="preserve"> </w:t>
            </w:r>
            <w:r>
              <w:rPr>
                <w:rFonts w:ascii="Times New Roman" w:eastAsia="宋体" w:hAnsi="Times New Roman" w:cs="Times New Roman"/>
                <w:color w:val="000000" w:themeColor="text1"/>
                <w:kern w:val="0"/>
                <w:sz w:val="22"/>
              </w:rPr>
              <w:t>称</w:t>
            </w:r>
          </w:p>
        </w:tc>
        <w:tc>
          <w:tcPr>
            <w:tcW w:w="12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年需用量</w:t>
            </w:r>
          </w:p>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（吨</w:t>
            </w:r>
            <w:r>
              <w:rPr>
                <w:rFonts w:ascii="Times New Roman" w:eastAsia="宋体" w:hAnsi="Times New Roman" w:cs="Times New Roman"/>
                <w:color w:val="000000" w:themeColor="text1"/>
                <w:kern w:val="0"/>
                <w:sz w:val="22"/>
              </w:rPr>
              <w:t>/</w:t>
            </w:r>
            <w:r>
              <w:rPr>
                <w:rFonts w:ascii="Times New Roman" w:eastAsia="宋体" w:hAnsi="Times New Roman" w:cs="Times New Roman"/>
                <w:color w:val="000000" w:themeColor="text1"/>
                <w:kern w:val="0"/>
                <w:sz w:val="22"/>
              </w:rPr>
              <w:t>年）</w:t>
            </w:r>
          </w:p>
        </w:tc>
        <w:tc>
          <w:tcPr>
            <w:tcW w:w="85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来源</w:t>
            </w:r>
          </w:p>
        </w:tc>
        <w:tc>
          <w:tcPr>
            <w:tcW w:w="92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包装要求</w:t>
            </w:r>
          </w:p>
        </w:tc>
        <w:tc>
          <w:tcPr>
            <w:tcW w:w="80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运输方式</w:t>
            </w:r>
          </w:p>
        </w:tc>
        <w:tc>
          <w:tcPr>
            <w:tcW w:w="200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备</w:t>
            </w:r>
            <w:r>
              <w:rPr>
                <w:rFonts w:ascii="Times New Roman" w:eastAsia="宋体" w:hAnsi="Times New Roman" w:cs="Times New Roman"/>
                <w:color w:val="000000" w:themeColor="text1"/>
                <w:kern w:val="0"/>
                <w:sz w:val="22"/>
              </w:rPr>
              <w:t xml:space="preserve"> </w:t>
            </w:r>
            <w:r>
              <w:rPr>
                <w:rFonts w:ascii="Times New Roman" w:eastAsia="宋体" w:hAnsi="Times New Roman" w:cs="Times New Roman"/>
                <w:color w:val="000000" w:themeColor="text1"/>
                <w:kern w:val="0"/>
                <w:sz w:val="22"/>
              </w:rPr>
              <w:t>注</w:t>
            </w: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一</w:t>
            </w:r>
          </w:p>
        </w:tc>
        <w:tc>
          <w:tcPr>
            <w:tcW w:w="2127"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原材料</w:t>
            </w:r>
          </w:p>
        </w:tc>
        <w:tc>
          <w:tcPr>
            <w:tcW w:w="1275" w:type="dxa"/>
            <w:vAlign w:val="center"/>
          </w:tcPr>
          <w:p w:rsidR="00C861DA" w:rsidRDefault="00C861DA">
            <w:pPr>
              <w:widowControl/>
              <w:autoSpaceDE/>
              <w:autoSpaceDN/>
              <w:snapToGrid w:val="0"/>
              <w:rPr>
                <w:rFonts w:ascii="Times New Roman" w:eastAsia="宋体" w:hAnsi="Times New Roman" w:cs="Times New Roman"/>
                <w:color w:val="000000" w:themeColor="text1"/>
                <w:kern w:val="0"/>
                <w:sz w:val="22"/>
              </w:rPr>
            </w:pPr>
          </w:p>
        </w:tc>
        <w:tc>
          <w:tcPr>
            <w:tcW w:w="850" w:type="dxa"/>
            <w:vAlign w:val="center"/>
          </w:tcPr>
          <w:p w:rsidR="00C861DA" w:rsidRDefault="00C861DA">
            <w:pPr>
              <w:widowControl/>
              <w:autoSpaceDE/>
              <w:autoSpaceDN/>
              <w:snapToGrid w:val="0"/>
              <w:rPr>
                <w:rFonts w:ascii="Times New Roman" w:eastAsia="宋体" w:hAnsi="Times New Roman" w:cs="Times New Roman"/>
                <w:color w:val="000000" w:themeColor="text1"/>
                <w:kern w:val="0"/>
                <w:sz w:val="22"/>
              </w:rPr>
            </w:pPr>
          </w:p>
        </w:tc>
        <w:tc>
          <w:tcPr>
            <w:tcW w:w="927" w:type="dxa"/>
            <w:vAlign w:val="center"/>
          </w:tcPr>
          <w:p w:rsidR="00C861DA" w:rsidRDefault="00C861DA">
            <w:pPr>
              <w:widowControl/>
              <w:autoSpaceDE/>
              <w:autoSpaceDN/>
              <w:snapToGrid w:val="0"/>
              <w:rPr>
                <w:rFonts w:ascii="Times New Roman" w:eastAsia="宋体" w:hAnsi="Times New Roman" w:cs="Times New Roman"/>
                <w:color w:val="000000" w:themeColor="text1"/>
                <w:kern w:val="0"/>
                <w:sz w:val="22"/>
              </w:rPr>
            </w:pPr>
          </w:p>
        </w:tc>
        <w:tc>
          <w:tcPr>
            <w:tcW w:w="803" w:type="dxa"/>
            <w:vAlign w:val="center"/>
          </w:tcPr>
          <w:p w:rsidR="00C861DA" w:rsidRDefault="00C861DA">
            <w:pPr>
              <w:widowControl/>
              <w:autoSpaceDE/>
              <w:autoSpaceDN/>
              <w:snapToGrid w:val="0"/>
              <w:rPr>
                <w:rFonts w:ascii="Times New Roman" w:eastAsia="宋体" w:hAnsi="Times New Roman" w:cs="Times New Roman"/>
                <w:color w:val="000000" w:themeColor="text1"/>
                <w:kern w:val="0"/>
                <w:sz w:val="22"/>
              </w:rPr>
            </w:pPr>
          </w:p>
        </w:tc>
        <w:tc>
          <w:tcPr>
            <w:tcW w:w="2006"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 xml:space="preserve">　</w:t>
            </w: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2127"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液氨</w:t>
            </w:r>
          </w:p>
        </w:tc>
        <w:tc>
          <w:tcPr>
            <w:tcW w:w="12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1"/>
                <w:sz w:val="22"/>
              </w:rPr>
              <w:t>70605</w:t>
            </w:r>
          </w:p>
        </w:tc>
        <w:tc>
          <w:tcPr>
            <w:tcW w:w="85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自供</w:t>
            </w:r>
          </w:p>
        </w:tc>
        <w:tc>
          <w:tcPr>
            <w:tcW w:w="92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液体</w:t>
            </w:r>
          </w:p>
        </w:tc>
        <w:tc>
          <w:tcPr>
            <w:tcW w:w="80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管道</w:t>
            </w:r>
          </w:p>
        </w:tc>
        <w:tc>
          <w:tcPr>
            <w:tcW w:w="200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其中</w:t>
            </w:r>
            <w:r>
              <w:rPr>
                <w:rFonts w:ascii="Times New Roman" w:eastAsia="宋体" w:hAnsi="Times New Roman" w:cs="Times New Roman"/>
                <w:color w:val="000000" w:themeColor="text1"/>
                <w:kern w:val="1"/>
                <w:sz w:val="22"/>
              </w:rPr>
              <w:t>外购</w:t>
            </w:r>
            <w:r>
              <w:rPr>
                <w:rFonts w:ascii="Times New Roman" w:eastAsia="宋体" w:hAnsi="Times New Roman" w:cs="Times New Roman"/>
                <w:color w:val="000000" w:themeColor="text1"/>
                <w:kern w:val="1"/>
                <w:sz w:val="22"/>
              </w:rPr>
              <w:t>22605</w:t>
            </w:r>
            <w:r>
              <w:rPr>
                <w:rFonts w:ascii="Times New Roman" w:eastAsia="宋体" w:hAnsi="Times New Roman" w:cs="Times New Roman"/>
                <w:color w:val="000000" w:themeColor="text1"/>
                <w:kern w:val="1"/>
                <w:sz w:val="22"/>
              </w:rPr>
              <w:t>吨</w:t>
            </w: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2</w:t>
            </w:r>
          </w:p>
        </w:tc>
        <w:tc>
          <w:tcPr>
            <w:tcW w:w="2127"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磷酸一铵</w:t>
            </w:r>
          </w:p>
        </w:tc>
        <w:tc>
          <w:tcPr>
            <w:tcW w:w="12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71700</w:t>
            </w:r>
          </w:p>
        </w:tc>
        <w:tc>
          <w:tcPr>
            <w:tcW w:w="85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自供</w:t>
            </w:r>
          </w:p>
        </w:tc>
        <w:tc>
          <w:tcPr>
            <w:tcW w:w="92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袋装</w:t>
            </w:r>
          </w:p>
        </w:tc>
        <w:tc>
          <w:tcPr>
            <w:tcW w:w="80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汽车</w:t>
            </w:r>
          </w:p>
        </w:tc>
        <w:tc>
          <w:tcPr>
            <w:tcW w:w="200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集团公司内部供应</w:t>
            </w: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3</w:t>
            </w:r>
          </w:p>
        </w:tc>
        <w:tc>
          <w:tcPr>
            <w:tcW w:w="2127"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硫酸钾</w:t>
            </w:r>
          </w:p>
        </w:tc>
        <w:tc>
          <w:tcPr>
            <w:tcW w:w="12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53400</w:t>
            </w:r>
          </w:p>
        </w:tc>
        <w:tc>
          <w:tcPr>
            <w:tcW w:w="85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外购</w:t>
            </w:r>
          </w:p>
        </w:tc>
        <w:tc>
          <w:tcPr>
            <w:tcW w:w="92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袋装</w:t>
            </w:r>
          </w:p>
        </w:tc>
        <w:tc>
          <w:tcPr>
            <w:tcW w:w="80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汽车</w:t>
            </w:r>
          </w:p>
        </w:tc>
        <w:tc>
          <w:tcPr>
            <w:tcW w:w="2006"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4</w:t>
            </w:r>
          </w:p>
        </w:tc>
        <w:tc>
          <w:tcPr>
            <w:tcW w:w="2127"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有机原料</w:t>
            </w:r>
          </w:p>
        </w:tc>
        <w:tc>
          <w:tcPr>
            <w:tcW w:w="12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45000</w:t>
            </w:r>
          </w:p>
        </w:tc>
        <w:tc>
          <w:tcPr>
            <w:tcW w:w="85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外购</w:t>
            </w:r>
          </w:p>
        </w:tc>
        <w:tc>
          <w:tcPr>
            <w:tcW w:w="92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袋装</w:t>
            </w:r>
          </w:p>
        </w:tc>
        <w:tc>
          <w:tcPr>
            <w:tcW w:w="80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汽车</w:t>
            </w:r>
          </w:p>
        </w:tc>
        <w:tc>
          <w:tcPr>
            <w:tcW w:w="2006"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二</w:t>
            </w:r>
          </w:p>
        </w:tc>
        <w:tc>
          <w:tcPr>
            <w:tcW w:w="2127"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辅助材料</w:t>
            </w:r>
          </w:p>
        </w:tc>
        <w:tc>
          <w:tcPr>
            <w:tcW w:w="1275" w:type="dxa"/>
            <w:vAlign w:val="center"/>
          </w:tcPr>
          <w:p w:rsidR="00C861DA" w:rsidRDefault="00C861DA">
            <w:pPr>
              <w:widowControl/>
              <w:autoSpaceDE/>
              <w:autoSpaceDN/>
              <w:snapToGrid w:val="0"/>
              <w:rPr>
                <w:rFonts w:ascii="Times New Roman" w:eastAsia="宋体" w:hAnsi="Times New Roman" w:cs="Times New Roman"/>
                <w:color w:val="000000" w:themeColor="text1"/>
                <w:kern w:val="0"/>
                <w:sz w:val="22"/>
              </w:rPr>
            </w:pPr>
          </w:p>
        </w:tc>
        <w:tc>
          <w:tcPr>
            <w:tcW w:w="850" w:type="dxa"/>
            <w:vAlign w:val="center"/>
          </w:tcPr>
          <w:p w:rsidR="00C861DA" w:rsidRDefault="00C861DA">
            <w:pPr>
              <w:widowControl/>
              <w:autoSpaceDE/>
              <w:autoSpaceDN/>
              <w:snapToGrid w:val="0"/>
              <w:rPr>
                <w:rFonts w:ascii="Times New Roman" w:eastAsia="宋体" w:hAnsi="Times New Roman" w:cs="Times New Roman"/>
                <w:color w:val="000000" w:themeColor="text1"/>
                <w:kern w:val="0"/>
                <w:sz w:val="22"/>
              </w:rPr>
            </w:pPr>
          </w:p>
        </w:tc>
        <w:tc>
          <w:tcPr>
            <w:tcW w:w="927" w:type="dxa"/>
            <w:vAlign w:val="center"/>
          </w:tcPr>
          <w:p w:rsidR="00C861DA" w:rsidRDefault="00C861DA">
            <w:pPr>
              <w:widowControl/>
              <w:autoSpaceDE/>
              <w:autoSpaceDN/>
              <w:snapToGrid w:val="0"/>
              <w:rPr>
                <w:rFonts w:ascii="Times New Roman" w:eastAsia="宋体" w:hAnsi="Times New Roman" w:cs="Times New Roman"/>
                <w:color w:val="000000" w:themeColor="text1"/>
                <w:kern w:val="0"/>
                <w:sz w:val="22"/>
              </w:rPr>
            </w:pPr>
          </w:p>
        </w:tc>
        <w:tc>
          <w:tcPr>
            <w:tcW w:w="803" w:type="dxa"/>
            <w:vAlign w:val="center"/>
          </w:tcPr>
          <w:p w:rsidR="00C861DA" w:rsidRDefault="00C861DA">
            <w:pPr>
              <w:widowControl/>
              <w:autoSpaceDE/>
              <w:autoSpaceDN/>
              <w:snapToGrid w:val="0"/>
              <w:rPr>
                <w:rFonts w:ascii="Times New Roman" w:eastAsia="宋体" w:hAnsi="Times New Roman" w:cs="Times New Roman"/>
                <w:color w:val="000000" w:themeColor="text1"/>
                <w:kern w:val="0"/>
                <w:sz w:val="22"/>
              </w:rPr>
            </w:pPr>
          </w:p>
        </w:tc>
        <w:tc>
          <w:tcPr>
            <w:tcW w:w="2006"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 xml:space="preserve">　</w:t>
            </w: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2127"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1"/>
                <w:sz w:val="22"/>
                <w:szCs w:val="22"/>
              </w:rPr>
              <w:t>催化剂（铂网）</w:t>
            </w:r>
          </w:p>
        </w:tc>
        <w:tc>
          <w:tcPr>
            <w:tcW w:w="12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0.01529</w:t>
            </w:r>
          </w:p>
        </w:tc>
        <w:tc>
          <w:tcPr>
            <w:tcW w:w="85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外购</w:t>
            </w:r>
          </w:p>
        </w:tc>
        <w:tc>
          <w:tcPr>
            <w:tcW w:w="92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袋装</w:t>
            </w:r>
          </w:p>
        </w:tc>
        <w:tc>
          <w:tcPr>
            <w:tcW w:w="80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汽车</w:t>
            </w:r>
          </w:p>
        </w:tc>
        <w:tc>
          <w:tcPr>
            <w:tcW w:w="2006"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一次装填量</w:t>
            </w:r>
            <w:r>
              <w:rPr>
                <w:rFonts w:ascii="Times New Roman" w:eastAsia="宋体" w:hAnsi="Times New Roman" w:cs="Times New Roman"/>
                <w:color w:val="000000" w:themeColor="text1"/>
                <w:kern w:val="0"/>
                <w:sz w:val="22"/>
              </w:rPr>
              <w:t>42kg</w:t>
            </w: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2</w:t>
            </w:r>
          </w:p>
        </w:tc>
        <w:tc>
          <w:tcPr>
            <w:tcW w:w="2127"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添加剂</w:t>
            </w:r>
          </w:p>
        </w:tc>
        <w:tc>
          <w:tcPr>
            <w:tcW w:w="12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7500</w:t>
            </w:r>
          </w:p>
        </w:tc>
        <w:tc>
          <w:tcPr>
            <w:tcW w:w="85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外购</w:t>
            </w:r>
          </w:p>
        </w:tc>
        <w:tc>
          <w:tcPr>
            <w:tcW w:w="92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袋装</w:t>
            </w:r>
          </w:p>
        </w:tc>
        <w:tc>
          <w:tcPr>
            <w:tcW w:w="80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汽车</w:t>
            </w:r>
          </w:p>
        </w:tc>
        <w:tc>
          <w:tcPr>
            <w:tcW w:w="200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包括防爆剂</w:t>
            </w: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3</w:t>
            </w:r>
          </w:p>
        </w:tc>
        <w:tc>
          <w:tcPr>
            <w:tcW w:w="2127"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包装袋（</w:t>
            </w:r>
            <w:r>
              <w:rPr>
                <w:rFonts w:ascii="Times New Roman" w:eastAsia="宋体" w:hAnsi="Times New Roman" w:cs="Times New Roman"/>
                <w:color w:val="000000" w:themeColor="text1"/>
                <w:kern w:val="0"/>
                <w:sz w:val="22"/>
              </w:rPr>
              <w:t>50kg/</w:t>
            </w:r>
            <w:r>
              <w:rPr>
                <w:rFonts w:ascii="Times New Roman" w:eastAsia="宋体" w:hAnsi="Times New Roman" w:cs="Times New Roman"/>
                <w:color w:val="000000" w:themeColor="text1"/>
                <w:kern w:val="0"/>
                <w:sz w:val="22"/>
              </w:rPr>
              <w:t>袋）</w:t>
            </w:r>
          </w:p>
        </w:tc>
        <w:tc>
          <w:tcPr>
            <w:tcW w:w="12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6150000</w:t>
            </w:r>
          </w:p>
        </w:tc>
        <w:tc>
          <w:tcPr>
            <w:tcW w:w="85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外购</w:t>
            </w:r>
          </w:p>
        </w:tc>
        <w:tc>
          <w:tcPr>
            <w:tcW w:w="92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捆装</w:t>
            </w:r>
          </w:p>
        </w:tc>
        <w:tc>
          <w:tcPr>
            <w:tcW w:w="80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汽车</w:t>
            </w:r>
          </w:p>
        </w:tc>
        <w:tc>
          <w:tcPr>
            <w:tcW w:w="200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集团公司内部供应</w:t>
            </w:r>
          </w:p>
        </w:tc>
      </w:tr>
    </w:tbl>
    <w:p w:rsidR="00C861DA" w:rsidRDefault="0044752E">
      <w:pPr>
        <w:widowControl/>
        <w:autoSpaceDE/>
        <w:autoSpaceDN/>
        <w:snapToGrid w:val="0"/>
        <w:jc w:val="center"/>
        <w:rPr>
          <w:rFonts w:ascii="Times New Roman" w:eastAsia="宋体" w:hAnsi="Times New Roman" w:cs="Times New Roman"/>
          <w:color w:val="000000" w:themeColor="text1"/>
          <w:kern w:val="0"/>
          <w:sz w:val="24"/>
          <w:szCs w:val="24"/>
        </w:rPr>
      </w:pPr>
      <w:bookmarkStart w:id="232" w:name="_Toc193295345"/>
      <w:bookmarkEnd w:id="232"/>
      <w:r>
        <w:rPr>
          <w:rFonts w:ascii="Times New Roman" w:eastAsia="宋体" w:hAnsi="Times New Roman" w:cs="Times New Roman"/>
          <w:color w:val="000000" w:themeColor="text1"/>
          <w:kern w:val="0"/>
          <w:sz w:val="24"/>
          <w:szCs w:val="24"/>
        </w:rPr>
        <w:t>表</w:t>
      </w:r>
      <w:r>
        <w:rPr>
          <w:rFonts w:ascii="Times New Roman" w:eastAsia="宋体" w:hAnsi="Times New Roman" w:cs="Times New Roman"/>
          <w:color w:val="000000" w:themeColor="text1"/>
          <w:kern w:val="0"/>
          <w:sz w:val="24"/>
          <w:szCs w:val="24"/>
        </w:rPr>
        <w:t xml:space="preserve">4.2-2    </w:t>
      </w:r>
      <w:r>
        <w:rPr>
          <w:rFonts w:ascii="Times New Roman" w:eastAsia="宋体" w:hAnsi="Times New Roman" w:cs="Times New Roman"/>
          <w:color w:val="000000" w:themeColor="text1"/>
          <w:kern w:val="0"/>
          <w:sz w:val="24"/>
          <w:szCs w:val="24"/>
        </w:rPr>
        <w:t>尿基复肥主要原料、辅助材料、燃料消耗及来源</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28"/>
        <w:gridCol w:w="1558"/>
        <w:gridCol w:w="707"/>
        <w:gridCol w:w="781"/>
        <w:gridCol w:w="764"/>
        <w:gridCol w:w="2050"/>
      </w:tblGrid>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序号</w:t>
            </w:r>
          </w:p>
        </w:tc>
        <w:tc>
          <w:tcPr>
            <w:tcW w:w="212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名</w:t>
            </w:r>
            <w:r>
              <w:rPr>
                <w:rFonts w:ascii="Times New Roman" w:eastAsia="宋体" w:hAnsi="Times New Roman" w:cs="Times New Roman"/>
                <w:color w:val="000000" w:themeColor="text1"/>
                <w:kern w:val="0"/>
                <w:sz w:val="22"/>
              </w:rPr>
              <w:t xml:space="preserve"> </w:t>
            </w:r>
            <w:r>
              <w:rPr>
                <w:rFonts w:ascii="Times New Roman" w:eastAsia="宋体" w:hAnsi="Times New Roman" w:cs="Times New Roman"/>
                <w:color w:val="000000" w:themeColor="text1"/>
                <w:kern w:val="0"/>
                <w:sz w:val="22"/>
              </w:rPr>
              <w:t>称</w:t>
            </w:r>
          </w:p>
        </w:tc>
        <w:tc>
          <w:tcPr>
            <w:tcW w:w="155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年需用量</w:t>
            </w:r>
          </w:p>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（吨</w:t>
            </w:r>
            <w:r>
              <w:rPr>
                <w:rFonts w:ascii="Times New Roman" w:eastAsia="宋体" w:hAnsi="Times New Roman" w:cs="Times New Roman"/>
                <w:color w:val="000000" w:themeColor="text1"/>
                <w:kern w:val="0"/>
                <w:sz w:val="22"/>
              </w:rPr>
              <w:t>/</w:t>
            </w:r>
            <w:r>
              <w:rPr>
                <w:rFonts w:ascii="Times New Roman" w:eastAsia="宋体" w:hAnsi="Times New Roman" w:cs="Times New Roman"/>
                <w:color w:val="000000" w:themeColor="text1"/>
                <w:kern w:val="0"/>
                <w:sz w:val="22"/>
              </w:rPr>
              <w:t>年）</w:t>
            </w:r>
          </w:p>
        </w:tc>
        <w:tc>
          <w:tcPr>
            <w:tcW w:w="7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来源</w:t>
            </w:r>
          </w:p>
        </w:tc>
        <w:tc>
          <w:tcPr>
            <w:tcW w:w="78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包装要求</w:t>
            </w:r>
          </w:p>
        </w:tc>
        <w:tc>
          <w:tcPr>
            <w:tcW w:w="76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运输方式</w:t>
            </w:r>
          </w:p>
        </w:tc>
        <w:tc>
          <w:tcPr>
            <w:tcW w:w="205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备</w:t>
            </w:r>
            <w:r>
              <w:rPr>
                <w:rFonts w:ascii="Times New Roman" w:eastAsia="宋体" w:hAnsi="Times New Roman" w:cs="Times New Roman"/>
                <w:color w:val="000000" w:themeColor="text1"/>
                <w:kern w:val="0"/>
                <w:sz w:val="22"/>
              </w:rPr>
              <w:t xml:space="preserve"> </w:t>
            </w:r>
            <w:r>
              <w:rPr>
                <w:rFonts w:ascii="Times New Roman" w:eastAsia="宋体" w:hAnsi="Times New Roman" w:cs="Times New Roman"/>
                <w:color w:val="000000" w:themeColor="text1"/>
                <w:kern w:val="0"/>
                <w:sz w:val="22"/>
              </w:rPr>
              <w:t>注</w:t>
            </w: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一</w:t>
            </w:r>
          </w:p>
        </w:tc>
        <w:tc>
          <w:tcPr>
            <w:tcW w:w="212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原材料</w:t>
            </w:r>
          </w:p>
        </w:tc>
        <w:tc>
          <w:tcPr>
            <w:tcW w:w="1558"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707"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781"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764"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2050"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212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液氨</w:t>
            </w:r>
          </w:p>
        </w:tc>
        <w:tc>
          <w:tcPr>
            <w:tcW w:w="155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1"/>
                <w:sz w:val="22"/>
              </w:rPr>
              <w:t>171000</w:t>
            </w:r>
          </w:p>
        </w:tc>
        <w:tc>
          <w:tcPr>
            <w:tcW w:w="7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自供</w:t>
            </w:r>
          </w:p>
        </w:tc>
        <w:tc>
          <w:tcPr>
            <w:tcW w:w="78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液体</w:t>
            </w:r>
          </w:p>
        </w:tc>
        <w:tc>
          <w:tcPr>
            <w:tcW w:w="76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管道</w:t>
            </w:r>
          </w:p>
        </w:tc>
        <w:tc>
          <w:tcPr>
            <w:tcW w:w="205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集团公司内部供应</w:t>
            </w: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2</w:t>
            </w:r>
          </w:p>
        </w:tc>
        <w:tc>
          <w:tcPr>
            <w:tcW w:w="212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磷酸一铵</w:t>
            </w:r>
          </w:p>
        </w:tc>
        <w:tc>
          <w:tcPr>
            <w:tcW w:w="155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61300</w:t>
            </w:r>
          </w:p>
        </w:tc>
        <w:tc>
          <w:tcPr>
            <w:tcW w:w="7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自供</w:t>
            </w:r>
          </w:p>
        </w:tc>
        <w:tc>
          <w:tcPr>
            <w:tcW w:w="78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袋装</w:t>
            </w:r>
          </w:p>
        </w:tc>
        <w:tc>
          <w:tcPr>
            <w:tcW w:w="76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汽车</w:t>
            </w:r>
          </w:p>
        </w:tc>
        <w:tc>
          <w:tcPr>
            <w:tcW w:w="205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集团公司内部供应</w:t>
            </w: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3</w:t>
            </w:r>
          </w:p>
        </w:tc>
        <w:tc>
          <w:tcPr>
            <w:tcW w:w="212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硫酸钾</w:t>
            </w:r>
          </w:p>
        </w:tc>
        <w:tc>
          <w:tcPr>
            <w:tcW w:w="155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101300</w:t>
            </w:r>
          </w:p>
        </w:tc>
        <w:tc>
          <w:tcPr>
            <w:tcW w:w="7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外购</w:t>
            </w:r>
          </w:p>
        </w:tc>
        <w:tc>
          <w:tcPr>
            <w:tcW w:w="78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袋装</w:t>
            </w:r>
          </w:p>
        </w:tc>
        <w:tc>
          <w:tcPr>
            <w:tcW w:w="76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汽车</w:t>
            </w:r>
          </w:p>
        </w:tc>
        <w:tc>
          <w:tcPr>
            <w:tcW w:w="2050"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4</w:t>
            </w:r>
          </w:p>
        </w:tc>
        <w:tc>
          <w:tcPr>
            <w:tcW w:w="212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有机原料</w:t>
            </w:r>
          </w:p>
        </w:tc>
        <w:tc>
          <w:tcPr>
            <w:tcW w:w="155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75000</w:t>
            </w:r>
          </w:p>
        </w:tc>
        <w:tc>
          <w:tcPr>
            <w:tcW w:w="7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外购</w:t>
            </w:r>
          </w:p>
        </w:tc>
        <w:tc>
          <w:tcPr>
            <w:tcW w:w="78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袋装</w:t>
            </w:r>
          </w:p>
        </w:tc>
        <w:tc>
          <w:tcPr>
            <w:tcW w:w="76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汽车</w:t>
            </w:r>
          </w:p>
        </w:tc>
        <w:tc>
          <w:tcPr>
            <w:tcW w:w="2050"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二</w:t>
            </w:r>
          </w:p>
        </w:tc>
        <w:tc>
          <w:tcPr>
            <w:tcW w:w="212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燃料</w:t>
            </w:r>
          </w:p>
        </w:tc>
        <w:tc>
          <w:tcPr>
            <w:tcW w:w="1558"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707"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781"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764"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2050"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212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天然气</w:t>
            </w:r>
          </w:p>
        </w:tc>
        <w:tc>
          <w:tcPr>
            <w:tcW w:w="155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1"/>
                <w:sz w:val="22"/>
              </w:rPr>
              <w:t>2739</w:t>
            </w:r>
            <w:r>
              <w:rPr>
                <w:rFonts w:ascii="Times New Roman" w:eastAsia="宋体" w:hAnsi="Times New Roman" w:cs="Times New Roman"/>
                <w:color w:val="000000" w:themeColor="text1"/>
                <w:kern w:val="0"/>
                <w:sz w:val="22"/>
              </w:rPr>
              <w:t>万</w:t>
            </w:r>
            <w:r>
              <w:rPr>
                <w:rFonts w:ascii="Times New Roman" w:eastAsia="宋体" w:hAnsi="Times New Roman" w:cs="Times New Roman"/>
                <w:color w:val="000000" w:themeColor="text1"/>
                <w:kern w:val="0"/>
                <w:sz w:val="22"/>
              </w:rPr>
              <w:t>m</w:t>
            </w:r>
            <w:r>
              <w:rPr>
                <w:rFonts w:ascii="Times New Roman" w:eastAsia="宋体" w:hAnsi="Times New Roman" w:cs="Times New Roman"/>
                <w:color w:val="000000" w:themeColor="text1"/>
                <w:kern w:val="0"/>
                <w:sz w:val="22"/>
                <w:vertAlign w:val="superscript"/>
              </w:rPr>
              <w:t>3</w:t>
            </w:r>
            <w:r>
              <w:rPr>
                <w:rFonts w:ascii="Times New Roman" w:eastAsia="宋体" w:hAnsi="Times New Roman" w:cs="Times New Roman"/>
                <w:color w:val="000000" w:themeColor="text1"/>
                <w:kern w:val="0"/>
                <w:sz w:val="22"/>
              </w:rPr>
              <w:t>/</w:t>
            </w:r>
            <w:r>
              <w:rPr>
                <w:rFonts w:ascii="Times New Roman" w:eastAsia="宋体" w:hAnsi="Times New Roman" w:cs="Times New Roman"/>
                <w:color w:val="000000" w:themeColor="text1"/>
                <w:kern w:val="0"/>
                <w:sz w:val="22"/>
              </w:rPr>
              <w:t>年</w:t>
            </w:r>
          </w:p>
        </w:tc>
        <w:tc>
          <w:tcPr>
            <w:tcW w:w="7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外购</w:t>
            </w:r>
          </w:p>
        </w:tc>
        <w:tc>
          <w:tcPr>
            <w:tcW w:w="78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w:t>
            </w:r>
          </w:p>
        </w:tc>
        <w:tc>
          <w:tcPr>
            <w:tcW w:w="76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管输</w:t>
            </w:r>
          </w:p>
        </w:tc>
        <w:tc>
          <w:tcPr>
            <w:tcW w:w="2050"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三</w:t>
            </w:r>
          </w:p>
        </w:tc>
        <w:tc>
          <w:tcPr>
            <w:tcW w:w="212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辅助材料</w:t>
            </w:r>
          </w:p>
        </w:tc>
        <w:tc>
          <w:tcPr>
            <w:tcW w:w="1558"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707"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781"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764"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2050"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212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填充剂</w:t>
            </w:r>
          </w:p>
        </w:tc>
        <w:tc>
          <w:tcPr>
            <w:tcW w:w="155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8000</w:t>
            </w:r>
          </w:p>
        </w:tc>
        <w:tc>
          <w:tcPr>
            <w:tcW w:w="7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外购</w:t>
            </w:r>
          </w:p>
        </w:tc>
        <w:tc>
          <w:tcPr>
            <w:tcW w:w="78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袋装</w:t>
            </w:r>
          </w:p>
        </w:tc>
        <w:tc>
          <w:tcPr>
            <w:tcW w:w="76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汽车</w:t>
            </w:r>
          </w:p>
        </w:tc>
        <w:tc>
          <w:tcPr>
            <w:tcW w:w="2050"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2</w:t>
            </w:r>
          </w:p>
        </w:tc>
        <w:tc>
          <w:tcPr>
            <w:tcW w:w="212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包装袋（</w:t>
            </w:r>
            <w:r>
              <w:rPr>
                <w:rFonts w:ascii="Times New Roman" w:eastAsia="宋体" w:hAnsi="Times New Roman" w:cs="Times New Roman"/>
                <w:color w:val="000000" w:themeColor="text1"/>
                <w:kern w:val="0"/>
                <w:sz w:val="22"/>
              </w:rPr>
              <w:t>50kg/</w:t>
            </w:r>
            <w:r>
              <w:rPr>
                <w:rFonts w:ascii="Times New Roman" w:eastAsia="宋体" w:hAnsi="Times New Roman" w:cs="Times New Roman"/>
                <w:color w:val="000000" w:themeColor="text1"/>
                <w:kern w:val="0"/>
                <w:sz w:val="22"/>
              </w:rPr>
              <w:t>袋）</w:t>
            </w:r>
          </w:p>
        </w:tc>
        <w:tc>
          <w:tcPr>
            <w:tcW w:w="155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10250000</w:t>
            </w:r>
          </w:p>
        </w:tc>
        <w:tc>
          <w:tcPr>
            <w:tcW w:w="7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外购</w:t>
            </w:r>
          </w:p>
        </w:tc>
        <w:tc>
          <w:tcPr>
            <w:tcW w:w="78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捆装</w:t>
            </w:r>
          </w:p>
        </w:tc>
        <w:tc>
          <w:tcPr>
            <w:tcW w:w="76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汽车</w:t>
            </w:r>
          </w:p>
        </w:tc>
        <w:tc>
          <w:tcPr>
            <w:tcW w:w="205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集团公司内部供应</w:t>
            </w:r>
          </w:p>
        </w:tc>
      </w:tr>
    </w:tbl>
    <w:p w:rsidR="00C861DA" w:rsidRDefault="00C861DA">
      <w:pPr>
        <w:widowControl/>
        <w:autoSpaceDE/>
        <w:autoSpaceDN/>
        <w:snapToGrid w:val="0"/>
        <w:jc w:val="center"/>
        <w:rPr>
          <w:rFonts w:ascii="Times New Roman" w:eastAsia="宋体" w:hAnsi="Times New Roman" w:cs="Times New Roman"/>
          <w:color w:val="000000" w:themeColor="text1"/>
          <w:kern w:val="0"/>
          <w:sz w:val="24"/>
          <w:szCs w:val="24"/>
        </w:rPr>
      </w:pPr>
    </w:p>
    <w:p w:rsidR="00C861DA" w:rsidRDefault="0044752E">
      <w:pPr>
        <w:widowControl/>
        <w:autoSpaceDE/>
        <w:autoSpaceDN/>
        <w:snapToGrid w:val="0"/>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表</w:t>
      </w:r>
      <w:r>
        <w:rPr>
          <w:rFonts w:ascii="Times New Roman" w:eastAsia="宋体" w:hAnsi="Times New Roman" w:cs="Times New Roman"/>
          <w:color w:val="000000" w:themeColor="text1"/>
          <w:kern w:val="0"/>
          <w:sz w:val="24"/>
          <w:szCs w:val="24"/>
        </w:rPr>
        <w:t xml:space="preserve">4.2-3       </w:t>
      </w:r>
      <w:r>
        <w:rPr>
          <w:rFonts w:ascii="Times New Roman" w:eastAsia="宋体" w:hAnsi="Times New Roman" w:cs="Times New Roman"/>
          <w:color w:val="000000" w:themeColor="text1"/>
          <w:kern w:val="0"/>
          <w:sz w:val="24"/>
          <w:szCs w:val="24"/>
        </w:rPr>
        <w:t>硝基复肥生产主要动力消耗表</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07"/>
        <w:gridCol w:w="876"/>
        <w:gridCol w:w="1207"/>
        <w:gridCol w:w="1439"/>
        <w:gridCol w:w="2059"/>
      </w:tblGrid>
      <w:tr w:rsidR="00C861DA">
        <w:trPr>
          <w:trHeight w:val="397"/>
          <w:jc w:val="center"/>
        </w:trPr>
        <w:tc>
          <w:tcPr>
            <w:tcW w:w="534" w:type="dxa"/>
            <w:vMerge w:val="restart"/>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序号</w:t>
            </w:r>
          </w:p>
        </w:tc>
        <w:tc>
          <w:tcPr>
            <w:tcW w:w="2407" w:type="dxa"/>
            <w:vMerge w:val="restart"/>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名称及规格</w:t>
            </w:r>
          </w:p>
        </w:tc>
        <w:tc>
          <w:tcPr>
            <w:tcW w:w="876" w:type="dxa"/>
            <w:vMerge w:val="restart"/>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单位</w:t>
            </w:r>
          </w:p>
        </w:tc>
        <w:tc>
          <w:tcPr>
            <w:tcW w:w="2646" w:type="dxa"/>
            <w:gridSpan w:val="2"/>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消耗量</w:t>
            </w:r>
          </w:p>
        </w:tc>
        <w:tc>
          <w:tcPr>
            <w:tcW w:w="2059" w:type="dxa"/>
            <w:vMerge w:val="restart"/>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备</w:t>
            </w:r>
            <w:r>
              <w:rPr>
                <w:rFonts w:ascii="Times New Roman" w:eastAsia="宋体" w:hAnsi="Times New Roman" w:cs="Times New Roman"/>
                <w:color w:val="000000" w:themeColor="text1"/>
                <w:kern w:val="0"/>
                <w:sz w:val="22"/>
              </w:rPr>
              <w:t xml:space="preserve"> </w:t>
            </w:r>
            <w:r>
              <w:rPr>
                <w:rFonts w:ascii="Times New Roman" w:eastAsia="宋体" w:hAnsi="Times New Roman" w:cs="Times New Roman"/>
                <w:color w:val="000000" w:themeColor="text1"/>
                <w:kern w:val="0"/>
                <w:sz w:val="22"/>
              </w:rPr>
              <w:t>注</w:t>
            </w:r>
          </w:p>
        </w:tc>
      </w:tr>
      <w:tr w:rsidR="00C861DA">
        <w:trPr>
          <w:trHeight w:val="397"/>
          <w:jc w:val="center"/>
        </w:trPr>
        <w:tc>
          <w:tcPr>
            <w:tcW w:w="534" w:type="dxa"/>
            <w:vMerge/>
            <w:vAlign w:val="center"/>
          </w:tcPr>
          <w:p w:rsidR="00C861DA" w:rsidRDefault="00C861DA">
            <w:pPr>
              <w:widowControl/>
              <w:autoSpaceDE/>
              <w:autoSpaceDN/>
              <w:snapToGrid w:val="0"/>
              <w:rPr>
                <w:rFonts w:ascii="Times New Roman" w:eastAsia="宋体" w:hAnsi="Times New Roman" w:cs="Times New Roman"/>
                <w:color w:val="000000" w:themeColor="text1"/>
                <w:kern w:val="0"/>
                <w:sz w:val="22"/>
              </w:rPr>
            </w:pPr>
          </w:p>
        </w:tc>
        <w:tc>
          <w:tcPr>
            <w:tcW w:w="2407" w:type="dxa"/>
            <w:vMerge/>
            <w:vAlign w:val="center"/>
          </w:tcPr>
          <w:p w:rsidR="00C861DA" w:rsidRDefault="00C861DA">
            <w:pPr>
              <w:widowControl/>
              <w:autoSpaceDE/>
              <w:autoSpaceDN/>
              <w:snapToGrid w:val="0"/>
              <w:rPr>
                <w:rFonts w:ascii="Times New Roman" w:eastAsia="宋体" w:hAnsi="Times New Roman" w:cs="Times New Roman"/>
                <w:color w:val="000000" w:themeColor="text1"/>
                <w:kern w:val="0"/>
                <w:sz w:val="22"/>
              </w:rPr>
            </w:pPr>
          </w:p>
        </w:tc>
        <w:tc>
          <w:tcPr>
            <w:tcW w:w="876" w:type="dxa"/>
            <w:vMerge/>
            <w:vAlign w:val="center"/>
          </w:tcPr>
          <w:p w:rsidR="00C861DA" w:rsidRDefault="00C861DA">
            <w:pPr>
              <w:widowControl/>
              <w:autoSpaceDE/>
              <w:autoSpaceDN/>
              <w:snapToGrid w:val="0"/>
              <w:rPr>
                <w:rFonts w:ascii="Times New Roman" w:eastAsia="宋体" w:hAnsi="Times New Roman" w:cs="Times New Roman"/>
                <w:color w:val="000000" w:themeColor="text1"/>
                <w:kern w:val="0"/>
                <w:sz w:val="22"/>
              </w:rPr>
            </w:pPr>
          </w:p>
        </w:tc>
        <w:tc>
          <w:tcPr>
            <w:tcW w:w="12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小时耗量</w:t>
            </w:r>
          </w:p>
        </w:tc>
        <w:tc>
          <w:tcPr>
            <w:tcW w:w="143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年</w:t>
            </w:r>
          </w:p>
        </w:tc>
        <w:tc>
          <w:tcPr>
            <w:tcW w:w="2059" w:type="dxa"/>
            <w:vMerge/>
            <w:vAlign w:val="center"/>
          </w:tcPr>
          <w:p w:rsidR="00C861DA" w:rsidRDefault="00C861DA">
            <w:pPr>
              <w:widowControl/>
              <w:autoSpaceDE/>
              <w:autoSpaceDN/>
              <w:snapToGrid w:val="0"/>
              <w:rPr>
                <w:rFonts w:ascii="Times New Roman" w:eastAsia="宋体" w:hAnsi="Times New Roman" w:cs="Times New Roman"/>
                <w:color w:val="000000" w:themeColor="text1"/>
                <w:kern w:val="0"/>
                <w:sz w:val="22"/>
              </w:rPr>
            </w:pP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2407"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新鲜水</w:t>
            </w:r>
          </w:p>
        </w:tc>
        <w:tc>
          <w:tcPr>
            <w:tcW w:w="8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1"/>
                <w:sz w:val="22"/>
              </w:rPr>
              <w:t>m</w:t>
            </w:r>
            <w:r>
              <w:rPr>
                <w:rFonts w:ascii="Times New Roman" w:eastAsia="宋体" w:hAnsi="Times New Roman" w:cs="Times New Roman"/>
                <w:color w:val="000000" w:themeColor="text1"/>
                <w:kern w:val="1"/>
                <w:sz w:val="22"/>
                <w:vertAlign w:val="superscript"/>
              </w:rPr>
              <w:t>3</w:t>
            </w:r>
          </w:p>
        </w:tc>
        <w:tc>
          <w:tcPr>
            <w:tcW w:w="12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8.0</w:t>
            </w:r>
          </w:p>
        </w:tc>
        <w:tc>
          <w:tcPr>
            <w:tcW w:w="143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57600</w:t>
            </w:r>
          </w:p>
        </w:tc>
        <w:tc>
          <w:tcPr>
            <w:tcW w:w="2059"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2</w:t>
            </w:r>
          </w:p>
        </w:tc>
        <w:tc>
          <w:tcPr>
            <w:tcW w:w="2407"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输出蒸汽</w:t>
            </w:r>
            <w:r>
              <w:rPr>
                <w:rFonts w:ascii="Times New Roman" w:eastAsia="宋体" w:hAnsi="Times New Roman" w:cs="Times New Roman"/>
                <w:color w:val="000000" w:themeColor="text1"/>
                <w:kern w:val="0"/>
                <w:sz w:val="22"/>
              </w:rPr>
              <w:t>3.9MPa 440</w:t>
            </w:r>
            <w:r>
              <w:rPr>
                <w:rFonts w:ascii="宋体" w:eastAsia="宋体" w:hAnsi="宋体" w:cs="宋体" w:hint="eastAsia"/>
                <w:color w:val="000000" w:themeColor="text1"/>
                <w:kern w:val="0"/>
                <w:sz w:val="22"/>
              </w:rPr>
              <w:t>℃</w:t>
            </w:r>
          </w:p>
        </w:tc>
        <w:tc>
          <w:tcPr>
            <w:tcW w:w="8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t</w:t>
            </w:r>
          </w:p>
        </w:tc>
        <w:tc>
          <w:tcPr>
            <w:tcW w:w="12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7.61</w:t>
            </w:r>
          </w:p>
        </w:tc>
        <w:tc>
          <w:tcPr>
            <w:tcW w:w="143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54790</w:t>
            </w:r>
          </w:p>
        </w:tc>
        <w:tc>
          <w:tcPr>
            <w:tcW w:w="2059"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3</w:t>
            </w:r>
          </w:p>
        </w:tc>
        <w:tc>
          <w:tcPr>
            <w:tcW w:w="2407"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电</w:t>
            </w:r>
            <w:r>
              <w:rPr>
                <w:rFonts w:ascii="Times New Roman" w:eastAsia="宋体" w:hAnsi="Times New Roman" w:cs="Times New Roman"/>
                <w:color w:val="000000" w:themeColor="text1"/>
                <w:kern w:val="0"/>
                <w:sz w:val="22"/>
              </w:rPr>
              <w:t>380V</w:t>
            </w:r>
          </w:p>
        </w:tc>
        <w:tc>
          <w:tcPr>
            <w:tcW w:w="8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kWh</w:t>
            </w:r>
          </w:p>
        </w:tc>
        <w:tc>
          <w:tcPr>
            <w:tcW w:w="12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2484.7</w:t>
            </w:r>
          </w:p>
        </w:tc>
        <w:tc>
          <w:tcPr>
            <w:tcW w:w="143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17889640</w:t>
            </w:r>
          </w:p>
        </w:tc>
        <w:tc>
          <w:tcPr>
            <w:tcW w:w="2059"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r w:rsidR="00C861DA">
        <w:trPr>
          <w:trHeight w:val="397"/>
          <w:jc w:val="center"/>
        </w:trPr>
        <w:tc>
          <w:tcPr>
            <w:tcW w:w="53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4</w:t>
            </w:r>
          </w:p>
        </w:tc>
        <w:tc>
          <w:tcPr>
            <w:tcW w:w="2407"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1"/>
                <w:sz w:val="22"/>
                <w:szCs w:val="22"/>
              </w:rPr>
              <w:t>脱盐水</w:t>
            </w:r>
          </w:p>
        </w:tc>
        <w:tc>
          <w:tcPr>
            <w:tcW w:w="8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1"/>
                <w:sz w:val="22"/>
              </w:rPr>
              <w:t>m</w:t>
            </w:r>
            <w:r>
              <w:rPr>
                <w:rFonts w:ascii="Times New Roman" w:eastAsia="宋体" w:hAnsi="Times New Roman" w:cs="Times New Roman"/>
                <w:color w:val="000000" w:themeColor="text1"/>
                <w:kern w:val="1"/>
                <w:sz w:val="22"/>
                <w:vertAlign w:val="superscript"/>
              </w:rPr>
              <w:t>3</w:t>
            </w:r>
          </w:p>
        </w:tc>
        <w:tc>
          <w:tcPr>
            <w:tcW w:w="12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16.3</w:t>
            </w:r>
          </w:p>
        </w:tc>
        <w:tc>
          <w:tcPr>
            <w:tcW w:w="143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117360</w:t>
            </w:r>
          </w:p>
        </w:tc>
        <w:tc>
          <w:tcPr>
            <w:tcW w:w="2059"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bl>
    <w:p w:rsidR="00C861DA" w:rsidRDefault="00C861DA">
      <w:pPr>
        <w:widowControl/>
        <w:autoSpaceDE/>
        <w:autoSpaceDN/>
        <w:snapToGrid w:val="0"/>
        <w:jc w:val="center"/>
        <w:rPr>
          <w:rFonts w:ascii="Times New Roman" w:eastAsia="宋体" w:hAnsi="Times New Roman" w:cs="Times New Roman"/>
          <w:color w:val="000000" w:themeColor="text1"/>
          <w:kern w:val="0"/>
          <w:sz w:val="24"/>
          <w:szCs w:val="24"/>
        </w:rPr>
      </w:pPr>
    </w:p>
    <w:p w:rsidR="00C861DA" w:rsidRDefault="00C861DA">
      <w:pPr>
        <w:widowControl/>
        <w:autoSpaceDE/>
        <w:autoSpaceDN/>
        <w:snapToGrid w:val="0"/>
        <w:jc w:val="center"/>
        <w:rPr>
          <w:rFonts w:ascii="Times New Roman" w:eastAsia="宋体" w:hAnsi="Times New Roman" w:cs="Times New Roman"/>
          <w:color w:val="000000" w:themeColor="text1"/>
          <w:kern w:val="0"/>
          <w:sz w:val="24"/>
          <w:szCs w:val="24"/>
        </w:rPr>
      </w:pPr>
    </w:p>
    <w:p w:rsidR="00C861DA" w:rsidRDefault="00C861DA">
      <w:pPr>
        <w:widowControl/>
        <w:autoSpaceDE/>
        <w:autoSpaceDN/>
        <w:snapToGrid w:val="0"/>
        <w:jc w:val="center"/>
        <w:rPr>
          <w:rFonts w:ascii="Times New Roman" w:eastAsia="宋体" w:hAnsi="Times New Roman" w:cs="Times New Roman"/>
          <w:color w:val="000000" w:themeColor="text1"/>
          <w:kern w:val="0"/>
          <w:sz w:val="24"/>
          <w:szCs w:val="24"/>
        </w:rPr>
      </w:pPr>
    </w:p>
    <w:p w:rsidR="00C861DA" w:rsidRDefault="00C861DA">
      <w:pPr>
        <w:widowControl/>
        <w:autoSpaceDE/>
        <w:autoSpaceDN/>
        <w:snapToGrid w:val="0"/>
        <w:jc w:val="center"/>
        <w:rPr>
          <w:rFonts w:ascii="Times New Roman" w:eastAsia="宋体" w:hAnsi="Times New Roman" w:cs="Times New Roman"/>
          <w:color w:val="000000" w:themeColor="text1"/>
          <w:kern w:val="0"/>
          <w:sz w:val="24"/>
          <w:szCs w:val="24"/>
        </w:rPr>
      </w:pPr>
    </w:p>
    <w:p w:rsidR="00C861DA" w:rsidRDefault="0044752E">
      <w:pPr>
        <w:widowControl/>
        <w:autoSpaceDE/>
        <w:autoSpaceDN/>
        <w:snapToGrid w:val="0"/>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表</w:t>
      </w:r>
      <w:r>
        <w:rPr>
          <w:rFonts w:ascii="Times New Roman" w:eastAsia="宋体" w:hAnsi="Times New Roman" w:cs="Times New Roman"/>
          <w:color w:val="000000" w:themeColor="text1"/>
          <w:kern w:val="0"/>
          <w:sz w:val="24"/>
          <w:szCs w:val="24"/>
        </w:rPr>
        <w:t xml:space="preserve">4.2-4     </w:t>
      </w:r>
      <w:r>
        <w:rPr>
          <w:rFonts w:ascii="Times New Roman" w:eastAsia="宋体" w:hAnsi="Times New Roman" w:cs="Times New Roman"/>
          <w:color w:val="000000" w:themeColor="text1"/>
          <w:kern w:val="0"/>
          <w:sz w:val="24"/>
          <w:szCs w:val="24"/>
        </w:rPr>
        <w:t>尿基复肥生产主要动力消耗表</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7"/>
        <w:gridCol w:w="2321"/>
        <w:gridCol w:w="868"/>
        <w:gridCol w:w="1196"/>
        <w:gridCol w:w="1427"/>
        <w:gridCol w:w="2113"/>
      </w:tblGrid>
      <w:tr w:rsidR="00C861DA">
        <w:trPr>
          <w:trHeight w:val="397"/>
          <w:jc w:val="center"/>
        </w:trPr>
        <w:tc>
          <w:tcPr>
            <w:tcW w:w="597" w:type="dxa"/>
            <w:vMerge w:val="restart"/>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序号</w:t>
            </w:r>
          </w:p>
        </w:tc>
        <w:tc>
          <w:tcPr>
            <w:tcW w:w="2321" w:type="dxa"/>
            <w:vMerge w:val="restart"/>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名称及规格</w:t>
            </w:r>
          </w:p>
        </w:tc>
        <w:tc>
          <w:tcPr>
            <w:tcW w:w="868" w:type="dxa"/>
            <w:vMerge w:val="restart"/>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单位</w:t>
            </w:r>
          </w:p>
        </w:tc>
        <w:tc>
          <w:tcPr>
            <w:tcW w:w="2623" w:type="dxa"/>
            <w:gridSpan w:val="2"/>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消耗量</w:t>
            </w:r>
          </w:p>
        </w:tc>
        <w:tc>
          <w:tcPr>
            <w:tcW w:w="2113" w:type="dxa"/>
            <w:vMerge w:val="restart"/>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备</w:t>
            </w:r>
            <w:r>
              <w:rPr>
                <w:rFonts w:ascii="Times New Roman" w:eastAsia="宋体" w:hAnsi="Times New Roman" w:cs="Times New Roman"/>
                <w:color w:val="000000" w:themeColor="text1"/>
                <w:kern w:val="0"/>
                <w:sz w:val="22"/>
              </w:rPr>
              <w:t xml:space="preserve"> </w:t>
            </w:r>
            <w:r>
              <w:rPr>
                <w:rFonts w:ascii="Times New Roman" w:eastAsia="宋体" w:hAnsi="Times New Roman" w:cs="Times New Roman"/>
                <w:color w:val="000000" w:themeColor="text1"/>
                <w:kern w:val="0"/>
                <w:sz w:val="22"/>
              </w:rPr>
              <w:t>注</w:t>
            </w:r>
          </w:p>
        </w:tc>
      </w:tr>
      <w:tr w:rsidR="00C861DA">
        <w:trPr>
          <w:trHeight w:val="397"/>
          <w:jc w:val="center"/>
        </w:trPr>
        <w:tc>
          <w:tcPr>
            <w:tcW w:w="597" w:type="dxa"/>
            <w:vMerge/>
            <w:vAlign w:val="center"/>
          </w:tcPr>
          <w:p w:rsidR="00C861DA" w:rsidRDefault="00C861DA">
            <w:pPr>
              <w:widowControl/>
              <w:autoSpaceDE/>
              <w:autoSpaceDN/>
              <w:snapToGrid w:val="0"/>
              <w:rPr>
                <w:rFonts w:ascii="Times New Roman" w:eastAsia="宋体" w:hAnsi="Times New Roman" w:cs="Times New Roman"/>
                <w:color w:val="000000" w:themeColor="text1"/>
                <w:kern w:val="0"/>
                <w:sz w:val="22"/>
              </w:rPr>
            </w:pPr>
          </w:p>
        </w:tc>
        <w:tc>
          <w:tcPr>
            <w:tcW w:w="2321" w:type="dxa"/>
            <w:vMerge/>
            <w:vAlign w:val="center"/>
          </w:tcPr>
          <w:p w:rsidR="00C861DA" w:rsidRDefault="00C861DA">
            <w:pPr>
              <w:widowControl/>
              <w:autoSpaceDE/>
              <w:autoSpaceDN/>
              <w:snapToGrid w:val="0"/>
              <w:rPr>
                <w:rFonts w:ascii="Times New Roman" w:eastAsia="宋体" w:hAnsi="Times New Roman" w:cs="Times New Roman"/>
                <w:color w:val="000000" w:themeColor="text1"/>
                <w:kern w:val="0"/>
                <w:sz w:val="22"/>
              </w:rPr>
            </w:pPr>
          </w:p>
        </w:tc>
        <w:tc>
          <w:tcPr>
            <w:tcW w:w="868" w:type="dxa"/>
            <w:vMerge/>
            <w:vAlign w:val="center"/>
          </w:tcPr>
          <w:p w:rsidR="00C861DA" w:rsidRDefault="00C861DA">
            <w:pPr>
              <w:widowControl/>
              <w:autoSpaceDE/>
              <w:autoSpaceDN/>
              <w:snapToGrid w:val="0"/>
              <w:rPr>
                <w:rFonts w:ascii="Times New Roman" w:eastAsia="宋体" w:hAnsi="Times New Roman" w:cs="Times New Roman"/>
                <w:color w:val="000000" w:themeColor="text1"/>
                <w:kern w:val="0"/>
                <w:sz w:val="22"/>
              </w:rPr>
            </w:pPr>
          </w:p>
        </w:tc>
        <w:tc>
          <w:tcPr>
            <w:tcW w:w="119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小时耗量</w:t>
            </w:r>
          </w:p>
        </w:tc>
        <w:tc>
          <w:tcPr>
            <w:tcW w:w="142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年</w:t>
            </w:r>
          </w:p>
        </w:tc>
        <w:tc>
          <w:tcPr>
            <w:tcW w:w="2113" w:type="dxa"/>
            <w:vMerge/>
            <w:vAlign w:val="center"/>
          </w:tcPr>
          <w:p w:rsidR="00C861DA" w:rsidRDefault="00C861DA">
            <w:pPr>
              <w:widowControl/>
              <w:autoSpaceDE/>
              <w:autoSpaceDN/>
              <w:snapToGrid w:val="0"/>
              <w:rPr>
                <w:rFonts w:ascii="Times New Roman" w:eastAsia="宋体" w:hAnsi="Times New Roman" w:cs="Times New Roman"/>
                <w:color w:val="000000" w:themeColor="text1"/>
                <w:kern w:val="0"/>
                <w:sz w:val="22"/>
              </w:rPr>
            </w:pPr>
          </w:p>
        </w:tc>
      </w:tr>
      <w:tr w:rsidR="00C861DA">
        <w:trPr>
          <w:trHeight w:val="397"/>
          <w:jc w:val="center"/>
        </w:trPr>
        <w:tc>
          <w:tcPr>
            <w:tcW w:w="59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2321"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新鲜水</w:t>
            </w:r>
          </w:p>
        </w:tc>
        <w:tc>
          <w:tcPr>
            <w:tcW w:w="86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1"/>
                <w:sz w:val="22"/>
              </w:rPr>
              <w:t>m</w:t>
            </w:r>
            <w:r>
              <w:rPr>
                <w:rFonts w:ascii="Times New Roman" w:eastAsia="宋体" w:hAnsi="Times New Roman" w:cs="Times New Roman"/>
                <w:color w:val="000000" w:themeColor="text1"/>
                <w:kern w:val="1"/>
                <w:sz w:val="22"/>
                <w:vertAlign w:val="superscript"/>
              </w:rPr>
              <w:t>3</w:t>
            </w:r>
          </w:p>
        </w:tc>
        <w:tc>
          <w:tcPr>
            <w:tcW w:w="119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12</w:t>
            </w:r>
          </w:p>
        </w:tc>
        <w:tc>
          <w:tcPr>
            <w:tcW w:w="142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86400</w:t>
            </w:r>
          </w:p>
        </w:tc>
        <w:tc>
          <w:tcPr>
            <w:tcW w:w="2113"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r w:rsidR="00C861DA">
        <w:trPr>
          <w:trHeight w:val="397"/>
          <w:jc w:val="center"/>
        </w:trPr>
        <w:tc>
          <w:tcPr>
            <w:tcW w:w="59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2</w:t>
            </w:r>
          </w:p>
        </w:tc>
        <w:tc>
          <w:tcPr>
            <w:tcW w:w="2321"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电</w:t>
            </w:r>
            <w:r>
              <w:rPr>
                <w:rFonts w:ascii="Times New Roman" w:eastAsia="宋体" w:hAnsi="Times New Roman" w:cs="Times New Roman"/>
                <w:color w:val="000000" w:themeColor="text1"/>
                <w:kern w:val="0"/>
                <w:sz w:val="22"/>
              </w:rPr>
              <w:t>10kV/380V</w:t>
            </w:r>
          </w:p>
        </w:tc>
        <w:tc>
          <w:tcPr>
            <w:tcW w:w="86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kWh</w:t>
            </w:r>
          </w:p>
        </w:tc>
        <w:tc>
          <w:tcPr>
            <w:tcW w:w="119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5208.3</w:t>
            </w:r>
          </w:p>
        </w:tc>
        <w:tc>
          <w:tcPr>
            <w:tcW w:w="142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1"/>
                <w:sz w:val="22"/>
                <w:szCs w:val="28"/>
              </w:rPr>
              <w:t>37500000</w:t>
            </w:r>
          </w:p>
        </w:tc>
        <w:tc>
          <w:tcPr>
            <w:tcW w:w="2113"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r w:rsidR="00C861DA">
        <w:trPr>
          <w:trHeight w:val="397"/>
          <w:jc w:val="center"/>
        </w:trPr>
        <w:tc>
          <w:tcPr>
            <w:tcW w:w="59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3</w:t>
            </w:r>
          </w:p>
        </w:tc>
        <w:tc>
          <w:tcPr>
            <w:tcW w:w="2321"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脱盐水</w:t>
            </w:r>
          </w:p>
        </w:tc>
        <w:tc>
          <w:tcPr>
            <w:tcW w:w="86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1"/>
                <w:sz w:val="22"/>
              </w:rPr>
              <w:t>m</w:t>
            </w:r>
            <w:r>
              <w:rPr>
                <w:rFonts w:ascii="Times New Roman" w:eastAsia="宋体" w:hAnsi="Times New Roman" w:cs="Times New Roman"/>
                <w:color w:val="000000" w:themeColor="text1"/>
                <w:kern w:val="1"/>
                <w:sz w:val="22"/>
                <w:vertAlign w:val="superscript"/>
              </w:rPr>
              <w:t>3</w:t>
            </w:r>
          </w:p>
        </w:tc>
        <w:tc>
          <w:tcPr>
            <w:tcW w:w="119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40</w:t>
            </w:r>
          </w:p>
        </w:tc>
        <w:tc>
          <w:tcPr>
            <w:tcW w:w="142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600</w:t>
            </w:r>
          </w:p>
        </w:tc>
        <w:tc>
          <w:tcPr>
            <w:tcW w:w="211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间断使用</w:t>
            </w:r>
          </w:p>
        </w:tc>
      </w:tr>
      <w:tr w:rsidR="00C861DA">
        <w:trPr>
          <w:trHeight w:val="397"/>
          <w:jc w:val="center"/>
        </w:trPr>
        <w:tc>
          <w:tcPr>
            <w:tcW w:w="59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4</w:t>
            </w:r>
          </w:p>
        </w:tc>
        <w:tc>
          <w:tcPr>
            <w:tcW w:w="2321" w:type="dxa"/>
            <w:vAlign w:val="center"/>
          </w:tcPr>
          <w:p w:rsidR="00C861DA" w:rsidRDefault="0044752E">
            <w:pPr>
              <w:widowControl/>
              <w:autoSpaceDE/>
              <w:autoSpaceDN/>
              <w:snapToGrid w:val="0"/>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蒸汽</w:t>
            </w:r>
            <w:r>
              <w:rPr>
                <w:rFonts w:ascii="Times New Roman" w:eastAsia="宋体" w:hAnsi="Times New Roman" w:cs="Times New Roman"/>
                <w:color w:val="000000" w:themeColor="text1"/>
                <w:kern w:val="0"/>
                <w:sz w:val="22"/>
              </w:rPr>
              <w:t>2.4MPa  330</w:t>
            </w:r>
            <w:r>
              <w:rPr>
                <w:rFonts w:ascii="宋体" w:eastAsia="宋体" w:hAnsi="宋体" w:cs="宋体" w:hint="eastAsia"/>
                <w:color w:val="000000" w:themeColor="text1"/>
                <w:kern w:val="0"/>
                <w:sz w:val="22"/>
              </w:rPr>
              <w:t>℃</w:t>
            </w:r>
            <w:r>
              <w:rPr>
                <w:rFonts w:ascii="Times New Roman" w:eastAsia="宋体" w:hAnsi="Times New Roman" w:cs="Times New Roman"/>
                <w:color w:val="000000" w:themeColor="text1"/>
                <w:kern w:val="0"/>
                <w:sz w:val="22"/>
              </w:rPr>
              <w:t>（尿素装置用）</w:t>
            </w:r>
          </w:p>
        </w:tc>
        <w:tc>
          <w:tcPr>
            <w:tcW w:w="86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sz w:val="22"/>
              </w:rPr>
            </w:pPr>
            <w:r>
              <w:rPr>
                <w:rFonts w:ascii="Times New Roman" w:eastAsia="宋体" w:hAnsi="Times New Roman" w:cs="Times New Roman"/>
                <w:color w:val="000000" w:themeColor="text1"/>
                <w:kern w:val="0"/>
                <w:sz w:val="22"/>
              </w:rPr>
              <w:t>t</w:t>
            </w:r>
          </w:p>
        </w:tc>
        <w:tc>
          <w:tcPr>
            <w:tcW w:w="119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28.33</w:t>
            </w:r>
          </w:p>
        </w:tc>
        <w:tc>
          <w:tcPr>
            <w:tcW w:w="142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204000</w:t>
            </w:r>
          </w:p>
        </w:tc>
        <w:tc>
          <w:tcPr>
            <w:tcW w:w="2113"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bl>
    <w:p w:rsidR="00C861DA" w:rsidRDefault="0044752E">
      <w:pPr>
        <w:widowControl/>
        <w:autoSpaceDE/>
        <w:autoSpaceDN/>
        <w:snapToGrid w:val="0"/>
        <w:spacing w:after="200" w:line="360" w:lineRule="auto"/>
        <w:rPr>
          <w:rFonts w:ascii="Times New Roman" w:eastAsia="宋体" w:hAnsi="Times New Roman" w:cs="Times New Roman"/>
          <w:color w:val="000000" w:themeColor="text1"/>
          <w:kern w:val="0"/>
          <w:sz w:val="22"/>
          <w:szCs w:val="24"/>
        </w:rPr>
      </w:pPr>
      <w:r>
        <w:rPr>
          <w:rFonts w:ascii="Times New Roman" w:eastAsia="宋体" w:hAnsi="Times New Roman" w:cs="Times New Roman"/>
          <w:color w:val="000000" w:themeColor="text1"/>
          <w:kern w:val="0"/>
          <w:sz w:val="22"/>
          <w:szCs w:val="24"/>
        </w:rPr>
        <w:t>注：年操作时间</w:t>
      </w:r>
      <w:r>
        <w:rPr>
          <w:rFonts w:ascii="Times New Roman" w:eastAsia="宋体" w:hAnsi="Times New Roman" w:cs="Times New Roman"/>
          <w:color w:val="000000" w:themeColor="text1"/>
          <w:kern w:val="0"/>
          <w:sz w:val="22"/>
          <w:szCs w:val="24"/>
        </w:rPr>
        <w:t>7200</w:t>
      </w:r>
      <w:r>
        <w:rPr>
          <w:rFonts w:ascii="Times New Roman" w:eastAsia="宋体" w:hAnsi="Times New Roman" w:cs="Times New Roman"/>
          <w:color w:val="000000" w:themeColor="text1"/>
          <w:kern w:val="0"/>
          <w:sz w:val="22"/>
          <w:szCs w:val="24"/>
        </w:rPr>
        <w:t>小时计。</w:t>
      </w:r>
    </w:p>
    <w:p w:rsidR="00C861DA" w:rsidRDefault="0044752E">
      <w:pPr>
        <w:pStyle w:val="22"/>
        <w:rPr>
          <w:rFonts w:ascii="Times New Roman" w:eastAsia="宋体" w:hAnsi="Times New Roman"/>
          <w:bCs w:val="0"/>
          <w:color w:val="000000" w:themeColor="text1"/>
          <w:sz w:val="28"/>
          <w:szCs w:val="28"/>
        </w:rPr>
      </w:pPr>
      <w:bookmarkStart w:id="233" w:name="_Toc6826799"/>
      <w:r>
        <w:rPr>
          <w:rFonts w:ascii="Times New Roman" w:eastAsia="宋体" w:hAnsi="Times New Roman"/>
          <w:bCs w:val="0"/>
          <w:color w:val="000000" w:themeColor="text1"/>
          <w:sz w:val="28"/>
          <w:szCs w:val="28"/>
        </w:rPr>
        <w:t>4.3</w:t>
      </w:r>
      <w:r>
        <w:rPr>
          <w:rFonts w:ascii="Times New Roman" w:eastAsia="宋体" w:hAnsi="Times New Roman"/>
          <w:bCs w:val="0"/>
          <w:color w:val="000000" w:themeColor="text1"/>
          <w:sz w:val="28"/>
          <w:szCs w:val="28"/>
        </w:rPr>
        <w:t>物料平衡及水平衡</w:t>
      </w:r>
      <w:bookmarkEnd w:id="233"/>
    </w:p>
    <w:p w:rsidR="00C861DA" w:rsidRDefault="0044752E">
      <w:pPr>
        <w:pStyle w:val="32"/>
        <w:rPr>
          <w:rFonts w:ascii="Times New Roman" w:eastAsia="宋体"/>
          <w:bCs w:val="0"/>
          <w:color w:val="000000" w:themeColor="text1"/>
          <w:sz w:val="24"/>
          <w:szCs w:val="24"/>
        </w:rPr>
      </w:pPr>
      <w:bookmarkStart w:id="234" w:name="_Toc6826800"/>
      <w:r>
        <w:rPr>
          <w:rFonts w:ascii="Times New Roman" w:eastAsia="宋体" w:hint="eastAsia"/>
          <w:bCs w:val="0"/>
          <w:color w:val="000000" w:themeColor="text1"/>
          <w:sz w:val="24"/>
          <w:szCs w:val="24"/>
        </w:rPr>
        <w:t>4.3.1</w:t>
      </w:r>
      <w:r>
        <w:rPr>
          <w:rFonts w:ascii="Times New Roman" w:eastAsia="宋体" w:hint="eastAsia"/>
          <w:bCs w:val="0"/>
          <w:color w:val="000000" w:themeColor="text1"/>
          <w:sz w:val="24"/>
          <w:szCs w:val="24"/>
        </w:rPr>
        <w:t>物料平衡</w:t>
      </w:r>
      <w:bookmarkEnd w:id="234"/>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1</w:t>
      </w:r>
      <w:r>
        <w:rPr>
          <w:rFonts w:ascii="Times New Roman" w:eastAsia="宋体" w:hAnsi="Times New Roman" w:cs="Times New Roman" w:hint="eastAsia"/>
          <w:color w:val="000000" w:themeColor="text1"/>
          <w:kern w:val="0"/>
          <w:sz w:val="24"/>
          <w:szCs w:val="24"/>
        </w:rPr>
        <w:t>）总物料平衡</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根据项目原辅材料消耗情况、产品方案和生产工艺流程，做出项目生产总物料平衡表见表</w:t>
      </w:r>
      <w:r>
        <w:rPr>
          <w:rFonts w:ascii="Times New Roman" w:eastAsia="宋体" w:hAnsi="Times New Roman" w:cs="Times New Roman" w:hint="eastAsia"/>
          <w:color w:val="000000" w:themeColor="text1"/>
          <w:kern w:val="0"/>
          <w:sz w:val="24"/>
          <w:szCs w:val="24"/>
        </w:rPr>
        <w:t>4.3-1</w:t>
      </w:r>
      <w:r>
        <w:rPr>
          <w:rFonts w:ascii="Times New Roman" w:eastAsia="宋体" w:hAnsi="Times New Roman" w:cs="Times New Roman" w:hint="eastAsia"/>
          <w:color w:val="000000" w:themeColor="text1"/>
          <w:kern w:val="0"/>
          <w:sz w:val="24"/>
          <w:szCs w:val="24"/>
        </w:rPr>
        <w:t>，总物料平衡图见图</w:t>
      </w:r>
      <w:r>
        <w:rPr>
          <w:rFonts w:ascii="Times New Roman" w:eastAsia="宋体" w:hAnsi="Times New Roman" w:cs="Times New Roman" w:hint="eastAsia"/>
          <w:color w:val="000000" w:themeColor="text1"/>
          <w:kern w:val="0"/>
          <w:sz w:val="24"/>
          <w:szCs w:val="24"/>
        </w:rPr>
        <w:t>4.3-1</w:t>
      </w:r>
      <w:r>
        <w:rPr>
          <w:rFonts w:ascii="Times New Roman" w:eastAsia="宋体" w:hAnsi="Times New Roman" w:cs="Times New Roman" w:hint="eastAsia"/>
          <w:color w:val="000000" w:themeColor="text1"/>
          <w:kern w:val="0"/>
          <w:sz w:val="24"/>
          <w:szCs w:val="24"/>
        </w:rPr>
        <w:t>。</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表</w:t>
      </w:r>
      <w:r>
        <w:rPr>
          <w:rFonts w:ascii="Times New Roman" w:eastAsia="宋体" w:hAnsi="Times New Roman" w:cs="Times New Roman" w:hint="eastAsia"/>
          <w:color w:val="000000" w:themeColor="text1"/>
          <w:kern w:val="0"/>
          <w:sz w:val="24"/>
          <w:szCs w:val="24"/>
        </w:rPr>
        <w:t xml:space="preserve">4.3-1       </w:t>
      </w:r>
      <w:r>
        <w:rPr>
          <w:rFonts w:ascii="Times New Roman" w:eastAsia="宋体" w:hAnsi="Times New Roman" w:cs="Times New Roman" w:hint="eastAsia"/>
          <w:color w:val="000000" w:themeColor="text1"/>
          <w:kern w:val="0"/>
          <w:sz w:val="24"/>
          <w:szCs w:val="24"/>
        </w:rPr>
        <w:t>项目生产物料平衡表</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692"/>
        <w:gridCol w:w="1243"/>
        <w:gridCol w:w="1241"/>
        <w:gridCol w:w="1380"/>
        <w:gridCol w:w="1243"/>
        <w:gridCol w:w="1842"/>
      </w:tblGrid>
      <w:tr w:rsidR="00C861DA">
        <w:trPr>
          <w:trHeight w:val="340"/>
        </w:trPr>
        <w:tc>
          <w:tcPr>
            <w:tcW w:w="655" w:type="dxa"/>
            <w:vMerge w:val="restart"/>
            <w:shd w:val="clear" w:color="auto" w:fill="auto"/>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生产装置</w:t>
            </w:r>
          </w:p>
        </w:tc>
        <w:tc>
          <w:tcPr>
            <w:tcW w:w="692" w:type="dxa"/>
            <w:vMerge w:val="restart"/>
            <w:shd w:val="clear" w:color="auto" w:fill="auto"/>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序号</w:t>
            </w:r>
          </w:p>
        </w:tc>
        <w:tc>
          <w:tcPr>
            <w:tcW w:w="2484" w:type="dxa"/>
            <w:gridSpan w:val="2"/>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投入</w:t>
            </w:r>
          </w:p>
        </w:tc>
        <w:tc>
          <w:tcPr>
            <w:tcW w:w="4465" w:type="dxa"/>
            <w:gridSpan w:val="3"/>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产出</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物料名称</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物料量（</w:t>
            </w:r>
            <w:r>
              <w:rPr>
                <w:rFonts w:ascii="Times New Roman" w:eastAsia="宋体" w:hAnsi="Times New Roman" w:cs="Times New Roman"/>
                <w:color w:val="000000" w:themeColor="text1"/>
                <w:kern w:val="0"/>
                <w:sz w:val="22"/>
                <w:szCs w:val="22"/>
              </w:rPr>
              <w:t>t/a</w:t>
            </w:r>
            <w:r>
              <w:rPr>
                <w:rFonts w:ascii="Times New Roman" w:eastAsia="宋体" w:hAnsi="Times New Roman" w:cs="Times New Roman"/>
                <w:color w:val="000000" w:themeColor="text1"/>
                <w:kern w:val="0"/>
                <w:sz w:val="22"/>
                <w:szCs w:val="22"/>
              </w:rPr>
              <w:t>）</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物料名称</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物料量（</w:t>
            </w:r>
            <w:r>
              <w:rPr>
                <w:rFonts w:ascii="Times New Roman" w:eastAsia="宋体" w:hAnsi="Times New Roman" w:cs="Times New Roman"/>
                <w:color w:val="000000" w:themeColor="text1"/>
                <w:kern w:val="0"/>
                <w:sz w:val="22"/>
                <w:szCs w:val="22"/>
              </w:rPr>
              <w:t>t/a</w:t>
            </w:r>
            <w:r>
              <w:rPr>
                <w:rFonts w:ascii="Times New Roman" w:eastAsia="宋体" w:hAnsi="Times New Roman" w:cs="Times New Roman"/>
                <w:color w:val="000000" w:themeColor="text1"/>
                <w:kern w:val="0"/>
                <w:sz w:val="22"/>
                <w:szCs w:val="22"/>
              </w:rPr>
              <w:t>）</w:t>
            </w:r>
          </w:p>
        </w:tc>
        <w:tc>
          <w:tcPr>
            <w:tcW w:w="184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备注</w:t>
            </w:r>
          </w:p>
        </w:tc>
      </w:tr>
      <w:tr w:rsidR="00C861DA">
        <w:trPr>
          <w:trHeight w:val="340"/>
        </w:trPr>
        <w:tc>
          <w:tcPr>
            <w:tcW w:w="655" w:type="dxa"/>
            <w:vMerge w:val="restart"/>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硝酸装置</w:t>
            </w: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1</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空气</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784563</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60%</w:t>
            </w:r>
            <w:r>
              <w:rPr>
                <w:rFonts w:ascii="Times New Roman" w:eastAsia="宋体" w:hAnsi="Times New Roman" w:cs="Times New Roman"/>
                <w:color w:val="000000" w:themeColor="text1"/>
                <w:kern w:val="0"/>
                <w:sz w:val="22"/>
                <w:szCs w:val="22"/>
              </w:rPr>
              <w:t>稀硝酸</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223345</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2</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99.5%</w:t>
            </w:r>
            <w:r>
              <w:rPr>
                <w:rFonts w:ascii="Times New Roman" w:eastAsia="宋体" w:hAnsi="Times New Roman" w:cs="Times New Roman"/>
                <w:color w:val="000000" w:themeColor="text1"/>
                <w:kern w:val="0"/>
                <w:sz w:val="22"/>
                <w:szCs w:val="22"/>
              </w:rPr>
              <w:t>液氨</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36905.9</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有组织废气</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717718.803</w:t>
            </w:r>
          </w:p>
        </w:tc>
        <w:tc>
          <w:tcPr>
            <w:tcW w:w="184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其中氮氧化物</w:t>
            </w:r>
            <w:r>
              <w:rPr>
                <w:rFonts w:ascii="Times New Roman" w:eastAsia="宋体" w:hAnsi="Times New Roman" w:cs="Times New Roman"/>
                <w:color w:val="000000" w:themeColor="text1"/>
                <w:kern w:val="0"/>
                <w:sz w:val="22"/>
                <w:szCs w:val="22"/>
              </w:rPr>
              <w:t>8.25t/a</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3</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脱盐水</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117360</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无组织废气</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0.097</w:t>
            </w:r>
          </w:p>
        </w:tc>
        <w:tc>
          <w:tcPr>
            <w:tcW w:w="184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其中氨</w:t>
            </w:r>
            <w:r>
              <w:rPr>
                <w:rFonts w:ascii="Times New Roman" w:eastAsia="宋体" w:hAnsi="Times New Roman" w:cs="Times New Roman"/>
                <w:color w:val="000000" w:themeColor="text1"/>
                <w:kern w:val="0"/>
                <w:sz w:val="22"/>
                <w:szCs w:val="22"/>
              </w:rPr>
              <w:t>0.079t/a</w:t>
            </w:r>
            <w:r>
              <w:rPr>
                <w:rFonts w:ascii="Times New Roman" w:eastAsia="宋体" w:hAnsi="Times New Roman" w:cs="Times New Roman"/>
                <w:color w:val="000000" w:themeColor="text1"/>
                <w:kern w:val="0"/>
                <w:sz w:val="22"/>
                <w:szCs w:val="22"/>
              </w:rPr>
              <w:t>，氮氧化物</w:t>
            </w:r>
            <w:r>
              <w:rPr>
                <w:rFonts w:ascii="Times New Roman" w:eastAsia="宋体" w:hAnsi="Times New Roman" w:cs="Times New Roman"/>
                <w:color w:val="000000" w:themeColor="text1"/>
                <w:kern w:val="0"/>
                <w:sz w:val="22"/>
                <w:szCs w:val="22"/>
              </w:rPr>
              <w:t>0.108t/a</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4</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硝铵装置返回工艺水</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27435</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废水</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25200</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合计</w:t>
            </w:r>
          </w:p>
        </w:tc>
        <w:tc>
          <w:tcPr>
            <w:tcW w:w="1243"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966263.9</w:t>
            </w:r>
          </w:p>
        </w:tc>
        <w:tc>
          <w:tcPr>
            <w:tcW w:w="13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966263.9</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val="restart"/>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硝铵装置</w:t>
            </w: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1</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99.5%</w:t>
            </w:r>
            <w:r>
              <w:rPr>
                <w:rFonts w:ascii="Times New Roman" w:eastAsia="宋体" w:hAnsi="Times New Roman" w:cs="Times New Roman"/>
                <w:color w:val="000000" w:themeColor="text1"/>
                <w:kern w:val="0"/>
                <w:sz w:val="22"/>
                <w:szCs w:val="22"/>
              </w:rPr>
              <w:t>液氨</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35317.1</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97%</w:t>
            </w:r>
            <w:r>
              <w:rPr>
                <w:rFonts w:ascii="Times New Roman" w:eastAsia="宋体" w:hAnsi="Times New Roman" w:cs="Times New Roman"/>
                <w:color w:val="000000" w:themeColor="text1"/>
                <w:kern w:val="0"/>
                <w:sz w:val="22"/>
                <w:szCs w:val="22"/>
              </w:rPr>
              <w:t>硝酸铵</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169702</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2</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60%</w:t>
            </w:r>
            <w:r>
              <w:rPr>
                <w:rFonts w:ascii="Times New Roman" w:eastAsia="宋体" w:hAnsi="Times New Roman" w:cs="Times New Roman"/>
                <w:color w:val="000000" w:themeColor="text1"/>
                <w:kern w:val="0"/>
                <w:sz w:val="22"/>
                <w:szCs w:val="22"/>
              </w:rPr>
              <w:t>稀硝酸</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223345</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工艺水</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61524.812</w:t>
            </w:r>
          </w:p>
        </w:tc>
        <w:tc>
          <w:tcPr>
            <w:tcW w:w="184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去硝基复合肥造粒尾气洗涤</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3</w:t>
            </w:r>
          </w:p>
        </w:tc>
        <w:tc>
          <w:tcPr>
            <w:tcW w:w="1243"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3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27435</w:t>
            </w:r>
          </w:p>
        </w:tc>
        <w:tc>
          <w:tcPr>
            <w:tcW w:w="184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返回硝酸装置</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4</w:t>
            </w:r>
          </w:p>
        </w:tc>
        <w:tc>
          <w:tcPr>
            <w:tcW w:w="1243"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无组织废气</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0.288</w:t>
            </w:r>
          </w:p>
        </w:tc>
        <w:tc>
          <w:tcPr>
            <w:tcW w:w="184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其中氨</w:t>
            </w:r>
            <w:r>
              <w:rPr>
                <w:rFonts w:ascii="Times New Roman" w:eastAsia="宋体" w:hAnsi="Times New Roman" w:cs="Times New Roman"/>
                <w:color w:val="000000" w:themeColor="text1"/>
                <w:kern w:val="0"/>
                <w:sz w:val="22"/>
                <w:szCs w:val="22"/>
              </w:rPr>
              <w:t>0.108t/a</w:t>
            </w:r>
            <w:r>
              <w:rPr>
                <w:rFonts w:ascii="Times New Roman" w:eastAsia="宋体" w:hAnsi="Times New Roman" w:cs="Times New Roman"/>
                <w:color w:val="000000" w:themeColor="text1"/>
                <w:kern w:val="0"/>
                <w:sz w:val="22"/>
                <w:szCs w:val="22"/>
              </w:rPr>
              <w:t>，氮氧化物</w:t>
            </w:r>
            <w:r>
              <w:rPr>
                <w:rFonts w:ascii="Times New Roman" w:eastAsia="宋体" w:hAnsi="Times New Roman" w:cs="Times New Roman"/>
                <w:color w:val="000000" w:themeColor="text1"/>
                <w:kern w:val="0"/>
                <w:sz w:val="22"/>
                <w:szCs w:val="22"/>
              </w:rPr>
              <w:t>0.18t/a</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合计</w:t>
            </w:r>
          </w:p>
        </w:tc>
        <w:tc>
          <w:tcPr>
            <w:tcW w:w="1243"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258662.1</w:t>
            </w:r>
          </w:p>
        </w:tc>
        <w:tc>
          <w:tcPr>
            <w:tcW w:w="13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258662.1</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val="restart"/>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硝基复合肥装置</w:t>
            </w: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1</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97%</w:t>
            </w:r>
            <w:r>
              <w:rPr>
                <w:rFonts w:ascii="Times New Roman" w:eastAsia="宋体" w:hAnsi="Times New Roman" w:cs="Times New Roman"/>
                <w:color w:val="000000" w:themeColor="text1"/>
                <w:kern w:val="0"/>
                <w:sz w:val="22"/>
                <w:szCs w:val="22"/>
              </w:rPr>
              <w:t>硝酸铵</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169702</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硝基复合肥</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300000</w:t>
            </w:r>
          </w:p>
        </w:tc>
        <w:tc>
          <w:tcPr>
            <w:tcW w:w="184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产品</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2</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磷酸一铵</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31765</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配料外排废气</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1.29</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3</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硫酸钾</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46045</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造粒废气</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8.4</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4</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有机质</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45000</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冷却筛分废气</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3</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5</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添加剂</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6900</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无组织废气</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0.56</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6</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包裹油</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601.25</w:t>
            </w:r>
          </w:p>
        </w:tc>
        <w:tc>
          <w:tcPr>
            <w:tcW w:w="13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3"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合计</w:t>
            </w:r>
          </w:p>
        </w:tc>
        <w:tc>
          <w:tcPr>
            <w:tcW w:w="1243"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300013.25</w:t>
            </w:r>
          </w:p>
        </w:tc>
        <w:tc>
          <w:tcPr>
            <w:tcW w:w="13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300013.25</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val="restart"/>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尿素装置</w:t>
            </w: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1</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99.5%</w:t>
            </w:r>
            <w:r>
              <w:rPr>
                <w:rFonts w:ascii="Times New Roman" w:eastAsia="宋体" w:hAnsi="Times New Roman" w:cs="Times New Roman"/>
                <w:color w:val="000000" w:themeColor="text1"/>
                <w:kern w:val="0"/>
                <w:sz w:val="22"/>
                <w:szCs w:val="22"/>
              </w:rPr>
              <w:t>液氨</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170377.1</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尿素</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300000</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2</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二氧化碳</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222000</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废水</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75764</w:t>
            </w:r>
          </w:p>
        </w:tc>
        <w:tc>
          <w:tcPr>
            <w:tcW w:w="184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去尿基复合肥造粒尾气洗涤</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3</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进入系统蒸汽</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93633.21</w:t>
            </w:r>
          </w:p>
        </w:tc>
        <w:tc>
          <w:tcPr>
            <w:tcW w:w="13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110231</w:t>
            </w:r>
          </w:p>
        </w:tc>
        <w:tc>
          <w:tcPr>
            <w:tcW w:w="184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去脱盐水站</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4</w:t>
            </w:r>
          </w:p>
        </w:tc>
        <w:tc>
          <w:tcPr>
            <w:tcW w:w="1243"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合成尾气</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0.09</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5</w:t>
            </w:r>
          </w:p>
        </w:tc>
        <w:tc>
          <w:tcPr>
            <w:tcW w:w="1243"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解析尾气</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13.15</w:t>
            </w:r>
          </w:p>
        </w:tc>
        <w:tc>
          <w:tcPr>
            <w:tcW w:w="184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经洗涤后排放，排放量</w:t>
            </w:r>
            <w:r>
              <w:rPr>
                <w:rFonts w:ascii="Times New Roman" w:eastAsia="宋体" w:hAnsi="Times New Roman" w:cs="Times New Roman"/>
                <w:color w:val="000000" w:themeColor="text1"/>
                <w:kern w:val="0"/>
                <w:sz w:val="22"/>
                <w:szCs w:val="22"/>
              </w:rPr>
              <w:t>0.41t/a</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6</w:t>
            </w:r>
          </w:p>
        </w:tc>
        <w:tc>
          <w:tcPr>
            <w:tcW w:w="1243"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尿液蒸发尾气</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2.04</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7</w:t>
            </w:r>
          </w:p>
        </w:tc>
        <w:tc>
          <w:tcPr>
            <w:tcW w:w="1243"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无组织废气</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0.03</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合计</w:t>
            </w:r>
          </w:p>
        </w:tc>
        <w:tc>
          <w:tcPr>
            <w:tcW w:w="1243"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486010.31</w:t>
            </w:r>
          </w:p>
        </w:tc>
        <w:tc>
          <w:tcPr>
            <w:tcW w:w="13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486010.31</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val="restart"/>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尿基复合肥装置</w:t>
            </w: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1</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尿素</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300000</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尿基复合肥</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500000</w:t>
            </w:r>
          </w:p>
        </w:tc>
        <w:tc>
          <w:tcPr>
            <w:tcW w:w="184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产品</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2</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磷酸一铵</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69000</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配料外排废气</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1.99</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3</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硫酸钾</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48000</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造粒废气</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14</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4</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有机质</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75000</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冷却筛分废气</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3</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5</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添加剂</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7000</w:t>
            </w:r>
          </w:p>
        </w:tc>
        <w:tc>
          <w:tcPr>
            <w:tcW w:w="13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无组织废气</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0.58</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6</w:t>
            </w: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包裹油</w:t>
            </w: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1019.57</w:t>
            </w:r>
          </w:p>
        </w:tc>
        <w:tc>
          <w:tcPr>
            <w:tcW w:w="13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3"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合计</w:t>
            </w:r>
          </w:p>
        </w:tc>
        <w:tc>
          <w:tcPr>
            <w:tcW w:w="1243"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500019.57</w:t>
            </w:r>
          </w:p>
        </w:tc>
        <w:tc>
          <w:tcPr>
            <w:tcW w:w="13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c>
          <w:tcPr>
            <w:tcW w:w="1243"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500019.57</w:t>
            </w:r>
          </w:p>
        </w:tc>
        <w:tc>
          <w:tcPr>
            <w:tcW w:w="184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sz w:val="22"/>
                <w:szCs w:val="22"/>
              </w:rPr>
            </w:pPr>
          </w:p>
        </w:tc>
      </w:tr>
    </w:tbl>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2</w:t>
      </w:r>
      <w:r>
        <w:rPr>
          <w:rFonts w:ascii="Times New Roman" w:eastAsia="宋体" w:hAnsi="Times New Roman" w:cs="Times New Roman" w:hint="eastAsia"/>
          <w:color w:val="000000" w:themeColor="text1"/>
          <w:kern w:val="0"/>
          <w:sz w:val="24"/>
          <w:szCs w:val="24"/>
        </w:rPr>
        <w:t>）氨平衡</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项目祥丰合成氨装置生产的液氨为原料，生产硝基复合肥和尿基复合肥，根据液氨用量、生产工艺及产污环节、产品方案，做出项目生产氨平衡见表</w:t>
      </w:r>
      <w:r>
        <w:rPr>
          <w:rFonts w:ascii="Times New Roman" w:eastAsia="宋体" w:hAnsi="Times New Roman" w:cs="Times New Roman" w:hint="eastAsia"/>
          <w:color w:val="000000" w:themeColor="text1"/>
          <w:kern w:val="0"/>
          <w:sz w:val="24"/>
          <w:szCs w:val="24"/>
        </w:rPr>
        <w:t>4.3-2</w:t>
      </w:r>
      <w:r>
        <w:rPr>
          <w:rFonts w:ascii="Times New Roman" w:eastAsia="宋体" w:hAnsi="Times New Roman" w:cs="Times New Roman" w:hint="eastAsia"/>
          <w:color w:val="000000" w:themeColor="text1"/>
          <w:kern w:val="0"/>
          <w:sz w:val="24"/>
          <w:szCs w:val="24"/>
        </w:rPr>
        <w:t>。</w:t>
      </w:r>
    </w:p>
    <w:p w:rsidR="00C861DA" w:rsidRDefault="00C861DA">
      <w:pPr>
        <w:widowControl/>
        <w:autoSpaceDE/>
        <w:autoSpaceDN/>
        <w:snapToGrid w:val="0"/>
        <w:spacing w:line="360" w:lineRule="auto"/>
        <w:jc w:val="center"/>
        <w:rPr>
          <w:rFonts w:ascii="Times New Roman" w:eastAsia="宋体" w:hAnsi="Times New Roman" w:cs="Times New Roman"/>
          <w:color w:val="000000" w:themeColor="text1"/>
          <w:kern w:val="0"/>
          <w:sz w:val="24"/>
          <w:szCs w:val="24"/>
        </w:rPr>
      </w:pPr>
    </w:p>
    <w:p w:rsidR="00C861DA" w:rsidRDefault="00C861DA">
      <w:pPr>
        <w:widowControl/>
        <w:autoSpaceDE/>
        <w:autoSpaceDN/>
        <w:snapToGrid w:val="0"/>
        <w:spacing w:line="360" w:lineRule="auto"/>
        <w:jc w:val="center"/>
        <w:rPr>
          <w:rFonts w:ascii="Times New Roman" w:eastAsia="宋体" w:hAnsi="Times New Roman" w:cs="Times New Roman"/>
          <w:color w:val="000000" w:themeColor="text1"/>
          <w:kern w:val="0"/>
          <w:sz w:val="24"/>
          <w:szCs w:val="24"/>
        </w:rPr>
      </w:pP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表</w:t>
      </w:r>
      <w:r>
        <w:rPr>
          <w:rFonts w:ascii="Times New Roman" w:eastAsia="宋体" w:hAnsi="Times New Roman" w:cs="Times New Roman" w:hint="eastAsia"/>
          <w:color w:val="000000" w:themeColor="text1"/>
          <w:kern w:val="0"/>
          <w:sz w:val="24"/>
          <w:szCs w:val="24"/>
        </w:rPr>
        <w:t xml:space="preserve">4.3-2             </w:t>
      </w:r>
      <w:r>
        <w:rPr>
          <w:rFonts w:ascii="Times New Roman" w:eastAsia="宋体" w:hAnsi="Times New Roman" w:cs="Times New Roman" w:hint="eastAsia"/>
          <w:color w:val="000000" w:themeColor="text1"/>
          <w:kern w:val="0"/>
          <w:sz w:val="24"/>
          <w:szCs w:val="24"/>
        </w:rPr>
        <w:t>项目生产氨平衡</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692"/>
        <w:gridCol w:w="1361"/>
        <w:gridCol w:w="1080"/>
        <w:gridCol w:w="1302"/>
        <w:gridCol w:w="1432"/>
        <w:gridCol w:w="1774"/>
      </w:tblGrid>
      <w:tr w:rsidR="00C861DA">
        <w:trPr>
          <w:trHeight w:val="340"/>
        </w:trPr>
        <w:tc>
          <w:tcPr>
            <w:tcW w:w="655" w:type="dxa"/>
            <w:vMerge w:val="restart"/>
            <w:shd w:val="clear" w:color="auto" w:fill="auto"/>
            <w:noWrap/>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生产装置</w:t>
            </w:r>
          </w:p>
        </w:tc>
        <w:tc>
          <w:tcPr>
            <w:tcW w:w="692" w:type="dxa"/>
            <w:vMerge w:val="restart"/>
            <w:shd w:val="clear" w:color="auto" w:fill="auto"/>
            <w:noWrap/>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序号</w:t>
            </w:r>
          </w:p>
        </w:tc>
        <w:tc>
          <w:tcPr>
            <w:tcW w:w="2441" w:type="dxa"/>
            <w:gridSpan w:val="2"/>
            <w:shd w:val="clear" w:color="auto" w:fill="auto"/>
            <w:noWrap/>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投入</w:t>
            </w:r>
          </w:p>
        </w:tc>
        <w:tc>
          <w:tcPr>
            <w:tcW w:w="4508" w:type="dxa"/>
            <w:gridSpan w:val="3"/>
            <w:shd w:val="clear" w:color="auto" w:fill="auto"/>
            <w:noWrap/>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产出</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36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物料名称</w:t>
            </w:r>
          </w:p>
        </w:tc>
        <w:tc>
          <w:tcPr>
            <w:tcW w:w="10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物料量（</w:t>
            </w:r>
            <w:r>
              <w:rPr>
                <w:rFonts w:ascii="Times New Roman" w:eastAsia="宋体" w:hAnsi="Times New Roman" w:cs="Times New Roman"/>
                <w:color w:val="000000" w:themeColor="text1"/>
                <w:kern w:val="0"/>
                <w:sz w:val="22"/>
                <w:szCs w:val="22"/>
              </w:rPr>
              <w:t>t/a</w:t>
            </w:r>
            <w:r>
              <w:rPr>
                <w:rFonts w:ascii="Times New Roman" w:eastAsia="宋体" w:hAnsi="Times New Roman" w:cs="Times New Roman"/>
                <w:color w:val="000000" w:themeColor="text1"/>
                <w:kern w:val="0"/>
                <w:sz w:val="22"/>
                <w:szCs w:val="22"/>
              </w:rPr>
              <w:t>）</w:t>
            </w: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物料名称</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物料量（</w:t>
            </w:r>
            <w:r>
              <w:rPr>
                <w:rFonts w:ascii="Times New Roman" w:eastAsia="宋体" w:hAnsi="Times New Roman" w:cs="Times New Roman"/>
                <w:color w:val="000000" w:themeColor="text1"/>
                <w:kern w:val="0"/>
                <w:sz w:val="22"/>
                <w:szCs w:val="22"/>
              </w:rPr>
              <w:t>t/a</w:t>
            </w:r>
            <w:r>
              <w:rPr>
                <w:rFonts w:ascii="Times New Roman" w:eastAsia="宋体" w:hAnsi="Times New Roman" w:cs="Times New Roman"/>
                <w:color w:val="000000" w:themeColor="text1"/>
                <w:kern w:val="0"/>
                <w:sz w:val="22"/>
                <w:szCs w:val="22"/>
              </w:rPr>
              <w:t>）</w:t>
            </w:r>
          </w:p>
        </w:tc>
        <w:tc>
          <w:tcPr>
            <w:tcW w:w="1774"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 w:val="22"/>
                <w:szCs w:val="22"/>
              </w:rPr>
            </w:pPr>
            <w:r>
              <w:rPr>
                <w:rFonts w:ascii="Times New Roman" w:eastAsia="宋体" w:hAnsi="Times New Roman" w:cs="Times New Roman"/>
                <w:color w:val="000000" w:themeColor="text1"/>
                <w:kern w:val="0"/>
                <w:sz w:val="22"/>
                <w:szCs w:val="22"/>
              </w:rPr>
              <w:t>备注</w:t>
            </w:r>
          </w:p>
        </w:tc>
      </w:tr>
      <w:tr w:rsidR="00C861DA">
        <w:trPr>
          <w:trHeight w:val="340"/>
        </w:trPr>
        <w:tc>
          <w:tcPr>
            <w:tcW w:w="655" w:type="dxa"/>
            <w:vMerge w:val="restart"/>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硝酸装置</w:t>
            </w: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1</w:t>
            </w:r>
          </w:p>
        </w:tc>
        <w:tc>
          <w:tcPr>
            <w:tcW w:w="136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99.5%</w:t>
            </w:r>
            <w:r>
              <w:rPr>
                <w:rFonts w:ascii="Times New Roman" w:eastAsia="宋体" w:hAnsi="Times New Roman" w:cs="Times New Roman"/>
                <w:color w:val="000000" w:themeColor="text1"/>
                <w:kern w:val="0"/>
              </w:rPr>
              <w:t>液氨（折纯）</w:t>
            </w:r>
          </w:p>
        </w:tc>
        <w:tc>
          <w:tcPr>
            <w:tcW w:w="10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36721.37</w:t>
            </w: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60%</w:t>
            </w:r>
            <w:r>
              <w:rPr>
                <w:rFonts w:ascii="Times New Roman" w:eastAsia="宋体" w:hAnsi="Times New Roman" w:cs="Times New Roman"/>
                <w:color w:val="000000" w:themeColor="text1"/>
                <w:kern w:val="0"/>
              </w:rPr>
              <w:t>稀硝酸</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36822.241</w:t>
            </w:r>
          </w:p>
        </w:tc>
        <w:tc>
          <w:tcPr>
            <w:tcW w:w="1774"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2</w:t>
            </w:r>
          </w:p>
        </w:tc>
        <w:tc>
          <w:tcPr>
            <w:tcW w:w="136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硝酸铵装置返回工艺水</w:t>
            </w:r>
          </w:p>
        </w:tc>
        <w:tc>
          <w:tcPr>
            <w:tcW w:w="10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116.6</w:t>
            </w: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有组织废气</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3.05</w:t>
            </w:r>
          </w:p>
        </w:tc>
        <w:tc>
          <w:tcPr>
            <w:tcW w:w="1774"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以二氧化氮计，并将氮折算成氨</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3</w:t>
            </w:r>
          </w:p>
        </w:tc>
        <w:tc>
          <w:tcPr>
            <w:tcW w:w="136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0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无组织废气</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0.079</w:t>
            </w:r>
          </w:p>
        </w:tc>
        <w:tc>
          <w:tcPr>
            <w:tcW w:w="1774"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4</w:t>
            </w:r>
          </w:p>
        </w:tc>
        <w:tc>
          <w:tcPr>
            <w:tcW w:w="136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0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废水</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12.6</w:t>
            </w:r>
          </w:p>
        </w:tc>
        <w:tc>
          <w:tcPr>
            <w:tcW w:w="1774"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合计</w:t>
            </w:r>
          </w:p>
        </w:tc>
        <w:tc>
          <w:tcPr>
            <w:tcW w:w="136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0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36837.97</w:t>
            </w:r>
          </w:p>
        </w:tc>
        <w:tc>
          <w:tcPr>
            <w:tcW w:w="130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36837.97</w:t>
            </w:r>
          </w:p>
        </w:tc>
        <w:tc>
          <w:tcPr>
            <w:tcW w:w="1774"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r>
      <w:tr w:rsidR="00C861DA">
        <w:trPr>
          <w:trHeight w:val="340"/>
        </w:trPr>
        <w:tc>
          <w:tcPr>
            <w:tcW w:w="655" w:type="dxa"/>
            <w:vMerge w:val="restart"/>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硝铵装置</w:t>
            </w: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1</w:t>
            </w:r>
          </w:p>
        </w:tc>
        <w:tc>
          <w:tcPr>
            <w:tcW w:w="136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液氨</w:t>
            </w:r>
          </w:p>
        </w:tc>
        <w:tc>
          <w:tcPr>
            <w:tcW w:w="10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35140.4</w:t>
            </w: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97%</w:t>
            </w:r>
            <w:r>
              <w:rPr>
                <w:rFonts w:ascii="Times New Roman" w:eastAsia="宋体" w:hAnsi="Times New Roman" w:cs="Times New Roman"/>
                <w:color w:val="000000" w:themeColor="text1"/>
                <w:kern w:val="0"/>
              </w:rPr>
              <w:t>硝酸铵</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71734.433</w:t>
            </w:r>
          </w:p>
        </w:tc>
        <w:tc>
          <w:tcPr>
            <w:tcW w:w="1774"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2</w:t>
            </w:r>
          </w:p>
        </w:tc>
        <w:tc>
          <w:tcPr>
            <w:tcW w:w="136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60%</w:t>
            </w:r>
            <w:r>
              <w:rPr>
                <w:rFonts w:ascii="Times New Roman" w:eastAsia="宋体" w:hAnsi="Times New Roman" w:cs="Times New Roman"/>
                <w:color w:val="000000" w:themeColor="text1"/>
                <w:kern w:val="0"/>
              </w:rPr>
              <w:t>稀硝酸</w:t>
            </w:r>
          </w:p>
        </w:tc>
        <w:tc>
          <w:tcPr>
            <w:tcW w:w="10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36822.241</w:t>
            </w:r>
          </w:p>
        </w:tc>
        <w:tc>
          <w:tcPr>
            <w:tcW w:w="1302" w:type="dxa"/>
            <w:vMerge w:val="restart"/>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工艺水</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111.5</w:t>
            </w:r>
          </w:p>
        </w:tc>
        <w:tc>
          <w:tcPr>
            <w:tcW w:w="1774"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去硝基复合肥造粒尾气洗涤</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3</w:t>
            </w:r>
          </w:p>
        </w:tc>
        <w:tc>
          <w:tcPr>
            <w:tcW w:w="136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0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302"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116.6</w:t>
            </w:r>
          </w:p>
        </w:tc>
        <w:tc>
          <w:tcPr>
            <w:tcW w:w="1774"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返回硝酸装置</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4</w:t>
            </w:r>
          </w:p>
        </w:tc>
        <w:tc>
          <w:tcPr>
            <w:tcW w:w="136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0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无组织废气</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0.108</w:t>
            </w:r>
          </w:p>
        </w:tc>
        <w:tc>
          <w:tcPr>
            <w:tcW w:w="1774"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其中氨</w:t>
            </w:r>
            <w:r>
              <w:rPr>
                <w:rFonts w:ascii="Times New Roman" w:eastAsia="宋体" w:hAnsi="Times New Roman" w:cs="Times New Roman"/>
                <w:color w:val="000000" w:themeColor="text1"/>
                <w:kern w:val="0"/>
              </w:rPr>
              <w:t>0.108t/a</w:t>
            </w:r>
            <w:r>
              <w:rPr>
                <w:rFonts w:ascii="Times New Roman" w:eastAsia="宋体" w:hAnsi="Times New Roman" w:cs="Times New Roman"/>
                <w:color w:val="000000" w:themeColor="text1"/>
                <w:kern w:val="0"/>
              </w:rPr>
              <w:t>，氮氧化物</w:t>
            </w:r>
            <w:r>
              <w:rPr>
                <w:rFonts w:ascii="Times New Roman" w:eastAsia="宋体" w:hAnsi="Times New Roman" w:cs="Times New Roman"/>
                <w:color w:val="000000" w:themeColor="text1"/>
                <w:kern w:val="0"/>
              </w:rPr>
              <w:t>0.18t/a</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合计</w:t>
            </w:r>
          </w:p>
        </w:tc>
        <w:tc>
          <w:tcPr>
            <w:tcW w:w="136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0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71962.641</w:t>
            </w:r>
          </w:p>
        </w:tc>
        <w:tc>
          <w:tcPr>
            <w:tcW w:w="130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71962.641</w:t>
            </w:r>
          </w:p>
        </w:tc>
        <w:tc>
          <w:tcPr>
            <w:tcW w:w="1774"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r>
      <w:tr w:rsidR="00C861DA">
        <w:trPr>
          <w:trHeight w:val="340"/>
        </w:trPr>
        <w:tc>
          <w:tcPr>
            <w:tcW w:w="655" w:type="dxa"/>
            <w:vMerge w:val="restart"/>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硝基复合肥装置</w:t>
            </w: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1</w:t>
            </w:r>
          </w:p>
        </w:tc>
        <w:tc>
          <w:tcPr>
            <w:tcW w:w="136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97%</w:t>
            </w:r>
            <w:r>
              <w:rPr>
                <w:rFonts w:ascii="Times New Roman" w:eastAsia="宋体" w:hAnsi="Times New Roman" w:cs="Times New Roman"/>
                <w:color w:val="000000" w:themeColor="text1"/>
                <w:kern w:val="0"/>
              </w:rPr>
              <w:t>硝酸铵</w:t>
            </w:r>
          </w:p>
        </w:tc>
        <w:tc>
          <w:tcPr>
            <w:tcW w:w="10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71734.433</w:t>
            </w: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硝基复合肥</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76359.98</w:t>
            </w:r>
          </w:p>
        </w:tc>
        <w:tc>
          <w:tcPr>
            <w:tcW w:w="1774"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以产品中的氮折算成氨</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2</w:t>
            </w:r>
          </w:p>
        </w:tc>
        <w:tc>
          <w:tcPr>
            <w:tcW w:w="136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磷酸一铵</w:t>
            </w:r>
          </w:p>
        </w:tc>
        <w:tc>
          <w:tcPr>
            <w:tcW w:w="10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4628.8</w:t>
            </w: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外排废气</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3.25</w:t>
            </w:r>
          </w:p>
        </w:tc>
        <w:tc>
          <w:tcPr>
            <w:tcW w:w="1774"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废气折算</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合计</w:t>
            </w:r>
          </w:p>
        </w:tc>
        <w:tc>
          <w:tcPr>
            <w:tcW w:w="136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0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76363.233</w:t>
            </w:r>
          </w:p>
        </w:tc>
        <w:tc>
          <w:tcPr>
            <w:tcW w:w="130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76363.23</w:t>
            </w:r>
          </w:p>
        </w:tc>
        <w:tc>
          <w:tcPr>
            <w:tcW w:w="1774"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r>
      <w:tr w:rsidR="00C861DA">
        <w:trPr>
          <w:trHeight w:val="340"/>
        </w:trPr>
        <w:tc>
          <w:tcPr>
            <w:tcW w:w="655" w:type="dxa"/>
            <w:vMerge w:val="restart"/>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尿素装置</w:t>
            </w: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1</w:t>
            </w:r>
          </w:p>
        </w:tc>
        <w:tc>
          <w:tcPr>
            <w:tcW w:w="136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液氨</w:t>
            </w:r>
          </w:p>
        </w:tc>
        <w:tc>
          <w:tcPr>
            <w:tcW w:w="10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169525.23</w:t>
            </w: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尿素</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169508.99</w:t>
            </w:r>
          </w:p>
        </w:tc>
        <w:tc>
          <w:tcPr>
            <w:tcW w:w="1774"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以尿素中的氮折算为氨</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2</w:t>
            </w:r>
          </w:p>
        </w:tc>
        <w:tc>
          <w:tcPr>
            <w:tcW w:w="136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0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废水</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0.38</w:t>
            </w:r>
          </w:p>
        </w:tc>
        <w:tc>
          <w:tcPr>
            <w:tcW w:w="1774"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去尿基复合肥造粒尾气洗涤</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3</w:t>
            </w:r>
          </w:p>
        </w:tc>
        <w:tc>
          <w:tcPr>
            <w:tcW w:w="136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0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30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0.55</w:t>
            </w:r>
          </w:p>
        </w:tc>
        <w:tc>
          <w:tcPr>
            <w:tcW w:w="1774"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去脱盐水站</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4</w:t>
            </w:r>
          </w:p>
        </w:tc>
        <w:tc>
          <w:tcPr>
            <w:tcW w:w="136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0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合成尾气</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0.09</w:t>
            </w:r>
          </w:p>
        </w:tc>
        <w:tc>
          <w:tcPr>
            <w:tcW w:w="1774"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5</w:t>
            </w:r>
          </w:p>
        </w:tc>
        <w:tc>
          <w:tcPr>
            <w:tcW w:w="136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0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解析尾气</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13.15</w:t>
            </w:r>
          </w:p>
        </w:tc>
        <w:tc>
          <w:tcPr>
            <w:tcW w:w="1774"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经洗涤后排放，排放量</w:t>
            </w:r>
            <w:r>
              <w:rPr>
                <w:rFonts w:ascii="Times New Roman" w:eastAsia="宋体" w:hAnsi="Times New Roman" w:cs="Times New Roman"/>
                <w:color w:val="000000" w:themeColor="text1"/>
                <w:kern w:val="0"/>
              </w:rPr>
              <w:t>0.41t/a</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6</w:t>
            </w:r>
          </w:p>
        </w:tc>
        <w:tc>
          <w:tcPr>
            <w:tcW w:w="136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0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尿液蒸发尾气</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2.04</w:t>
            </w:r>
          </w:p>
        </w:tc>
        <w:tc>
          <w:tcPr>
            <w:tcW w:w="1774"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7</w:t>
            </w:r>
          </w:p>
        </w:tc>
        <w:tc>
          <w:tcPr>
            <w:tcW w:w="136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080"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无组织废气</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0.03</w:t>
            </w:r>
          </w:p>
        </w:tc>
        <w:tc>
          <w:tcPr>
            <w:tcW w:w="1774"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8</w:t>
            </w:r>
          </w:p>
        </w:tc>
        <w:tc>
          <w:tcPr>
            <w:tcW w:w="136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0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169525.23</w:t>
            </w:r>
          </w:p>
        </w:tc>
        <w:tc>
          <w:tcPr>
            <w:tcW w:w="130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169525.23</w:t>
            </w:r>
          </w:p>
        </w:tc>
        <w:tc>
          <w:tcPr>
            <w:tcW w:w="1774"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r>
      <w:tr w:rsidR="00C861DA">
        <w:trPr>
          <w:trHeight w:val="340"/>
        </w:trPr>
        <w:tc>
          <w:tcPr>
            <w:tcW w:w="655" w:type="dxa"/>
            <w:vMerge w:val="restart"/>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尿基复合肥装置</w:t>
            </w: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1</w:t>
            </w:r>
          </w:p>
        </w:tc>
        <w:tc>
          <w:tcPr>
            <w:tcW w:w="136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尿素</w:t>
            </w:r>
          </w:p>
        </w:tc>
        <w:tc>
          <w:tcPr>
            <w:tcW w:w="10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169508.99</w:t>
            </w: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尿基复合肥</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179620.03</w:t>
            </w:r>
          </w:p>
        </w:tc>
        <w:tc>
          <w:tcPr>
            <w:tcW w:w="1774"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以产品中的氮折算成氨</w:t>
            </w: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2</w:t>
            </w:r>
          </w:p>
        </w:tc>
        <w:tc>
          <w:tcPr>
            <w:tcW w:w="1361"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磷酸一铵</w:t>
            </w:r>
          </w:p>
        </w:tc>
        <w:tc>
          <w:tcPr>
            <w:tcW w:w="10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10113</w:t>
            </w:r>
          </w:p>
        </w:tc>
        <w:tc>
          <w:tcPr>
            <w:tcW w:w="130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外排废气</w:t>
            </w: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1.96</w:t>
            </w:r>
          </w:p>
        </w:tc>
        <w:tc>
          <w:tcPr>
            <w:tcW w:w="1774"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r>
      <w:tr w:rsidR="00C861DA">
        <w:trPr>
          <w:trHeight w:val="340"/>
        </w:trPr>
        <w:tc>
          <w:tcPr>
            <w:tcW w:w="655" w:type="dxa"/>
            <w:vMerge/>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69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合计</w:t>
            </w:r>
          </w:p>
        </w:tc>
        <w:tc>
          <w:tcPr>
            <w:tcW w:w="1361"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080"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179621.99</w:t>
            </w:r>
          </w:p>
        </w:tc>
        <w:tc>
          <w:tcPr>
            <w:tcW w:w="1302"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c>
          <w:tcPr>
            <w:tcW w:w="1432"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179621.99</w:t>
            </w:r>
          </w:p>
        </w:tc>
        <w:tc>
          <w:tcPr>
            <w:tcW w:w="1774" w:type="dxa"/>
            <w:shd w:val="clear" w:color="auto" w:fill="auto"/>
            <w:vAlign w:val="center"/>
          </w:tcPr>
          <w:p w:rsidR="00C861DA" w:rsidRDefault="00C861DA">
            <w:pPr>
              <w:widowControl/>
              <w:autoSpaceDE/>
              <w:autoSpaceDN/>
              <w:adjustRightInd/>
              <w:jc w:val="center"/>
              <w:rPr>
                <w:rFonts w:ascii="Times New Roman" w:eastAsia="宋体" w:hAnsi="Times New Roman" w:cs="Times New Roman"/>
                <w:color w:val="000000" w:themeColor="text1"/>
                <w:kern w:val="0"/>
              </w:rPr>
            </w:pPr>
          </w:p>
        </w:tc>
      </w:tr>
    </w:tbl>
    <w:p w:rsidR="00C861DA" w:rsidRDefault="0044752E">
      <w:pPr>
        <w:pStyle w:val="32"/>
        <w:rPr>
          <w:rFonts w:ascii="Times New Roman" w:eastAsia="宋体"/>
          <w:bCs w:val="0"/>
          <w:color w:val="000000" w:themeColor="text1"/>
          <w:sz w:val="24"/>
          <w:szCs w:val="24"/>
        </w:rPr>
      </w:pPr>
      <w:bookmarkStart w:id="235" w:name="_Toc6826801"/>
      <w:r>
        <w:rPr>
          <w:rFonts w:ascii="Times New Roman" w:eastAsia="宋体" w:hint="eastAsia"/>
          <w:bCs w:val="0"/>
          <w:color w:val="000000" w:themeColor="text1"/>
          <w:sz w:val="24"/>
          <w:szCs w:val="24"/>
        </w:rPr>
        <w:t>4.3.2</w:t>
      </w:r>
      <w:r>
        <w:rPr>
          <w:rFonts w:ascii="Times New Roman" w:eastAsia="宋体" w:hint="eastAsia"/>
          <w:bCs w:val="0"/>
          <w:color w:val="000000" w:themeColor="text1"/>
          <w:sz w:val="24"/>
          <w:szCs w:val="24"/>
        </w:rPr>
        <w:t>水平衡</w:t>
      </w:r>
      <w:bookmarkEnd w:id="235"/>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根据项目用水排水情况，做出项目生产水平衡见图</w:t>
      </w:r>
      <w:r>
        <w:rPr>
          <w:rFonts w:ascii="Times New Roman" w:eastAsia="宋体" w:hAnsi="Times New Roman" w:cs="Times New Roman" w:hint="eastAsia"/>
          <w:color w:val="000000" w:themeColor="text1"/>
          <w:kern w:val="0"/>
          <w:sz w:val="24"/>
          <w:szCs w:val="24"/>
        </w:rPr>
        <w:t>4.3-1</w:t>
      </w:r>
      <w:r>
        <w:rPr>
          <w:rFonts w:ascii="Times New Roman" w:eastAsia="宋体" w:hAnsi="Times New Roman" w:cs="Times New Roman" w:hint="eastAsia"/>
          <w:color w:val="000000" w:themeColor="text1"/>
          <w:kern w:val="0"/>
          <w:sz w:val="24"/>
          <w:szCs w:val="24"/>
        </w:rPr>
        <w:t>至图</w:t>
      </w:r>
      <w:r>
        <w:rPr>
          <w:rFonts w:ascii="Times New Roman" w:eastAsia="宋体" w:hAnsi="Times New Roman" w:cs="Times New Roman" w:hint="eastAsia"/>
          <w:color w:val="000000" w:themeColor="text1"/>
          <w:kern w:val="0"/>
          <w:sz w:val="24"/>
          <w:szCs w:val="24"/>
        </w:rPr>
        <w:t>4.3-3</w:t>
      </w:r>
      <w:r>
        <w:rPr>
          <w:rFonts w:ascii="Times New Roman" w:eastAsia="宋体" w:hAnsi="Times New Roman" w:cs="Times New Roman" w:hint="eastAsia"/>
          <w:color w:val="000000" w:themeColor="text1"/>
          <w:kern w:val="0"/>
          <w:sz w:val="24"/>
          <w:szCs w:val="24"/>
        </w:rPr>
        <w:t>。</w:t>
      </w:r>
    </w:p>
    <w:p w:rsidR="00C861DA" w:rsidRDefault="0044752E">
      <w:pPr>
        <w:widowControl/>
        <w:autoSpaceDE/>
        <w:autoSpaceDN/>
        <w:snapToGrid w:val="0"/>
        <w:jc w:val="both"/>
        <w:rPr>
          <w:rFonts w:ascii="Tahoma" w:eastAsia="微软雅黑" w:hAnsi="Tahoma" w:cs="Times New Roman"/>
          <w:color w:val="000000" w:themeColor="text1"/>
          <w:kern w:val="0"/>
          <w:sz w:val="22"/>
          <w:szCs w:val="22"/>
        </w:rPr>
      </w:pPr>
      <w:r>
        <w:rPr>
          <w:rFonts w:ascii="Tahoma" w:eastAsia="微软雅黑" w:hAnsi="Tahoma" w:cs="Times New Roman"/>
          <w:noProof/>
          <w:color w:val="000000" w:themeColor="text1"/>
          <w:kern w:val="0"/>
          <w:sz w:val="22"/>
          <w:szCs w:val="22"/>
        </w:rPr>
        <w:drawing>
          <wp:inline distT="0" distB="0" distL="0" distR="0">
            <wp:extent cx="5274310" cy="1705610"/>
            <wp:effectExtent l="0" t="0" r="2540" b="8890"/>
            <wp:docPr id="458"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pic:cNvPicPr>
                      <a:picLocks noChangeAspect="1"/>
                    </pic:cNvPicPr>
                  </pic:nvPicPr>
                  <pic:blipFill>
                    <a:blip r:embed="rId21"/>
                    <a:stretch>
                      <a:fillRect/>
                    </a:stretch>
                  </pic:blipFill>
                  <pic:spPr>
                    <a:xfrm>
                      <a:off x="0" y="0"/>
                      <a:ext cx="5274310" cy="1706215"/>
                    </a:xfrm>
                    <a:prstGeom prst="rect">
                      <a:avLst/>
                    </a:prstGeom>
                  </pic:spPr>
                </pic:pic>
              </a:graphicData>
            </a:graphic>
          </wp:inline>
        </w:drawing>
      </w:r>
    </w:p>
    <w:p w:rsidR="00C861DA" w:rsidRDefault="0044752E">
      <w:pPr>
        <w:widowControl/>
        <w:autoSpaceDE/>
        <w:autoSpaceDN/>
        <w:snapToGrid w:val="0"/>
        <w:jc w:val="center"/>
        <w:rPr>
          <w:rFonts w:ascii="Tahoma" w:eastAsia="微软雅黑" w:hAnsi="Tahoma" w:cs="Times New Roman"/>
          <w:color w:val="000000" w:themeColor="text1"/>
          <w:kern w:val="0"/>
          <w:sz w:val="24"/>
          <w:szCs w:val="24"/>
        </w:rPr>
      </w:pPr>
      <w:r>
        <w:rPr>
          <w:rFonts w:ascii="Tahoma" w:eastAsia="微软雅黑" w:hAnsi="Tahoma" w:cs="Times New Roman" w:hint="eastAsia"/>
          <w:color w:val="000000" w:themeColor="text1"/>
          <w:kern w:val="0"/>
          <w:sz w:val="24"/>
          <w:szCs w:val="24"/>
        </w:rPr>
        <w:t>图</w:t>
      </w:r>
      <w:r>
        <w:rPr>
          <w:rFonts w:ascii="Tahoma" w:eastAsia="微软雅黑" w:hAnsi="Tahoma" w:cs="Times New Roman" w:hint="eastAsia"/>
          <w:color w:val="000000" w:themeColor="text1"/>
          <w:kern w:val="0"/>
          <w:sz w:val="24"/>
          <w:szCs w:val="24"/>
        </w:rPr>
        <w:t xml:space="preserve">4.3-1         </w:t>
      </w:r>
      <w:r>
        <w:rPr>
          <w:rFonts w:ascii="Tahoma" w:eastAsia="微软雅黑" w:hAnsi="Tahoma" w:cs="Times New Roman" w:hint="eastAsia"/>
          <w:color w:val="000000" w:themeColor="text1"/>
          <w:kern w:val="0"/>
          <w:sz w:val="24"/>
          <w:szCs w:val="24"/>
        </w:rPr>
        <w:t>项目生产循环水平衡图</w:t>
      </w:r>
    </w:p>
    <w:p w:rsidR="00C861DA" w:rsidRDefault="0044752E">
      <w:pPr>
        <w:widowControl/>
        <w:autoSpaceDE/>
        <w:autoSpaceDN/>
        <w:snapToGrid w:val="0"/>
        <w:jc w:val="both"/>
        <w:rPr>
          <w:rFonts w:ascii="Tahoma" w:eastAsia="微软雅黑" w:hAnsi="Tahoma" w:cs="Times New Roman"/>
          <w:color w:val="000000" w:themeColor="text1"/>
          <w:kern w:val="0"/>
          <w:sz w:val="22"/>
          <w:szCs w:val="22"/>
        </w:rPr>
      </w:pPr>
      <w:r>
        <w:rPr>
          <w:rFonts w:ascii="Tahoma" w:eastAsia="微软雅黑" w:hAnsi="Tahoma" w:cs="Times New Roman"/>
          <w:noProof/>
          <w:color w:val="000000" w:themeColor="text1"/>
          <w:kern w:val="0"/>
          <w:sz w:val="22"/>
          <w:szCs w:val="22"/>
        </w:rPr>
        <w:drawing>
          <wp:inline distT="0" distB="0" distL="0" distR="0">
            <wp:extent cx="5274310" cy="1951355"/>
            <wp:effectExtent l="0" t="0" r="254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22"/>
                    <a:stretch>
                      <a:fillRect/>
                    </a:stretch>
                  </pic:blipFill>
                  <pic:spPr>
                    <a:xfrm>
                      <a:off x="0" y="0"/>
                      <a:ext cx="5274310" cy="1951617"/>
                    </a:xfrm>
                    <a:prstGeom prst="rect">
                      <a:avLst/>
                    </a:prstGeom>
                  </pic:spPr>
                </pic:pic>
              </a:graphicData>
            </a:graphic>
          </wp:inline>
        </w:drawing>
      </w:r>
    </w:p>
    <w:p w:rsidR="00C861DA" w:rsidRDefault="0044752E">
      <w:pPr>
        <w:widowControl/>
        <w:autoSpaceDE/>
        <w:autoSpaceDN/>
        <w:snapToGrid w:val="0"/>
        <w:jc w:val="center"/>
        <w:rPr>
          <w:rFonts w:ascii="Times New Roman" w:eastAsia="宋体" w:hAnsi="Times New Roman" w:cs="Times New Roman"/>
          <w:color w:val="000000" w:themeColor="text1"/>
          <w:kern w:val="0"/>
          <w:sz w:val="24"/>
          <w:szCs w:val="24"/>
        </w:rPr>
      </w:pPr>
      <w:r>
        <w:rPr>
          <w:rFonts w:ascii="Tahoma" w:eastAsia="微软雅黑" w:hAnsi="Tahoma" w:cs="Times New Roman" w:hint="eastAsia"/>
          <w:color w:val="000000" w:themeColor="text1"/>
          <w:kern w:val="0"/>
          <w:sz w:val="24"/>
          <w:szCs w:val="24"/>
        </w:rPr>
        <w:t>图</w:t>
      </w:r>
      <w:r>
        <w:rPr>
          <w:rFonts w:ascii="Tahoma" w:eastAsia="微软雅黑" w:hAnsi="Tahoma" w:cs="Times New Roman" w:hint="eastAsia"/>
          <w:color w:val="000000" w:themeColor="text1"/>
          <w:kern w:val="0"/>
          <w:sz w:val="24"/>
          <w:szCs w:val="24"/>
        </w:rPr>
        <w:t xml:space="preserve">4.3-2         </w:t>
      </w:r>
      <w:r>
        <w:rPr>
          <w:rFonts w:ascii="Tahoma" w:eastAsia="微软雅黑" w:hAnsi="Tahoma" w:cs="Times New Roman" w:hint="eastAsia"/>
          <w:color w:val="000000" w:themeColor="text1"/>
          <w:kern w:val="0"/>
          <w:sz w:val="24"/>
          <w:szCs w:val="24"/>
        </w:rPr>
        <w:t>项目生产新鲜水平衡图</w:t>
      </w:r>
    </w:p>
    <w:p w:rsidR="00C861DA" w:rsidRDefault="0044752E">
      <w:pPr>
        <w:widowControl/>
        <w:autoSpaceDE/>
        <w:autoSpaceDN/>
        <w:snapToGrid w:val="0"/>
        <w:jc w:val="center"/>
        <w:rPr>
          <w:rFonts w:ascii="Tahoma" w:eastAsia="微软雅黑" w:hAnsi="Tahoma" w:cs="Times New Roman"/>
          <w:color w:val="000000" w:themeColor="text1"/>
          <w:kern w:val="0"/>
          <w:sz w:val="22"/>
          <w:szCs w:val="22"/>
        </w:rPr>
      </w:pPr>
      <w:r>
        <w:rPr>
          <w:rFonts w:ascii="Tahoma" w:eastAsia="微软雅黑" w:hAnsi="Tahoma" w:cs="Times New Roman"/>
          <w:noProof/>
          <w:color w:val="000000" w:themeColor="text1"/>
          <w:kern w:val="0"/>
          <w:sz w:val="22"/>
          <w:szCs w:val="22"/>
        </w:rPr>
        <w:drawing>
          <wp:inline distT="0" distB="0" distL="0" distR="0">
            <wp:extent cx="4533900" cy="4382135"/>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23"/>
                    <a:stretch>
                      <a:fillRect/>
                    </a:stretch>
                  </pic:blipFill>
                  <pic:spPr>
                    <a:xfrm>
                      <a:off x="0" y="0"/>
                      <a:ext cx="4536107" cy="4384869"/>
                    </a:xfrm>
                    <a:prstGeom prst="rect">
                      <a:avLst/>
                    </a:prstGeom>
                  </pic:spPr>
                </pic:pic>
              </a:graphicData>
            </a:graphic>
          </wp:inline>
        </w:drawing>
      </w:r>
    </w:p>
    <w:p w:rsidR="00C861DA" w:rsidRDefault="0044752E">
      <w:pPr>
        <w:widowControl/>
        <w:autoSpaceDE/>
        <w:autoSpaceDN/>
        <w:snapToGrid w:val="0"/>
        <w:jc w:val="center"/>
        <w:rPr>
          <w:rFonts w:ascii="Times New Roman" w:eastAsia="宋体" w:hAnsi="Times New Roman" w:cs="Times New Roman"/>
          <w:color w:val="000000" w:themeColor="text1"/>
          <w:kern w:val="0"/>
          <w:sz w:val="24"/>
          <w:szCs w:val="24"/>
        </w:rPr>
      </w:pPr>
      <w:r>
        <w:rPr>
          <w:rFonts w:ascii="Tahoma" w:eastAsia="微软雅黑" w:hAnsi="Tahoma" w:cs="Times New Roman" w:hint="eastAsia"/>
          <w:color w:val="000000" w:themeColor="text1"/>
          <w:kern w:val="0"/>
          <w:sz w:val="24"/>
          <w:szCs w:val="24"/>
        </w:rPr>
        <w:t>图</w:t>
      </w:r>
      <w:r>
        <w:rPr>
          <w:rFonts w:ascii="Tahoma" w:eastAsia="微软雅黑" w:hAnsi="Tahoma" w:cs="Times New Roman" w:hint="eastAsia"/>
          <w:color w:val="000000" w:themeColor="text1"/>
          <w:kern w:val="0"/>
          <w:sz w:val="24"/>
          <w:szCs w:val="24"/>
        </w:rPr>
        <w:t xml:space="preserve">4.3-3        </w:t>
      </w:r>
      <w:r>
        <w:rPr>
          <w:rFonts w:ascii="Tahoma" w:eastAsia="微软雅黑" w:hAnsi="Tahoma" w:cs="Times New Roman" w:hint="eastAsia"/>
          <w:color w:val="000000" w:themeColor="text1"/>
          <w:kern w:val="0"/>
          <w:sz w:val="24"/>
          <w:szCs w:val="24"/>
        </w:rPr>
        <w:t>项目生产脱盐水及蒸汽平衡图</w:t>
      </w:r>
    </w:p>
    <w:p w:rsidR="00C861DA" w:rsidRDefault="00C861DA">
      <w:pPr>
        <w:widowControl/>
        <w:autoSpaceDE/>
        <w:autoSpaceDN/>
        <w:snapToGrid w:val="0"/>
        <w:jc w:val="both"/>
        <w:rPr>
          <w:rFonts w:ascii="Tahoma" w:eastAsia="微软雅黑" w:hAnsi="Tahoma" w:cs="Times New Roman"/>
          <w:color w:val="000000" w:themeColor="text1"/>
          <w:kern w:val="0"/>
          <w:sz w:val="22"/>
          <w:szCs w:val="22"/>
        </w:rPr>
        <w:sectPr w:rsidR="00C861DA">
          <w:pgSz w:w="11906" w:h="16838"/>
          <w:pgMar w:top="1440" w:right="1800" w:bottom="1440" w:left="1800" w:header="708" w:footer="708" w:gutter="0"/>
          <w:cols w:space="708"/>
          <w:docGrid w:linePitch="360"/>
        </w:sectPr>
      </w:pPr>
    </w:p>
    <w:p w:rsidR="00C861DA" w:rsidRDefault="0044752E">
      <w:pPr>
        <w:pStyle w:val="22"/>
        <w:rPr>
          <w:rFonts w:ascii="Times New Roman" w:eastAsia="宋体" w:hAnsi="Times New Roman"/>
          <w:bCs w:val="0"/>
          <w:color w:val="000000" w:themeColor="text1"/>
          <w:sz w:val="28"/>
          <w:szCs w:val="28"/>
        </w:rPr>
      </w:pPr>
      <w:bookmarkStart w:id="236" w:name="_Toc6826802"/>
      <w:r>
        <w:rPr>
          <w:rFonts w:ascii="Times New Roman" w:eastAsia="宋体" w:hAnsi="Times New Roman" w:hint="eastAsia"/>
          <w:bCs w:val="0"/>
          <w:color w:val="000000" w:themeColor="text1"/>
          <w:sz w:val="28"/>
          <w:szCs w:val="28"/>
        </w:rPr>
        <w:t>4.4</w:t>
      </w:r>
      <w:r>
        <w:rPr>
          <w:rFonts w:ascii="Times New Roman" w:eastAsia="宋体" w:hAnsi="Times New Roman" w:hint="eastAsia"/>
          <w:bCs w:val="0"/>
          <w:color w:val="000000" w:themeColor="text1"/>
          <w:sz w:val="28"/>
          <w:szCs w:val="28"/>
        </w:rPr>
        <w:t>污染治理措施及污染物排放核算</w:t>
      </w:r>
      <w:bookmarkEnd w:id="236"/>
    </w:p>
    <w:p w:rsidR="00C861DA" w:rsidRDefault="0044752E">
      <w:pPr>
        <w:pStyle w:val="32"/>
        <w:rPr>
          <w:rFonts w:ascii="Times New Roman" w:eastAsia="宋体"/>
          <w:bCs w:val="0"/>
          <w:color w:val="000000" w:themeColor="text1"/>
          <w:sz w:val="24"/>
          <w:szCs w:val="24"/>
        </w:rPr>
      </w:pPr>
      <w:bookmarkStart w:id="237" w:name="_Toc6826803"/>
      <w:r>
        <w:rPr>
          <w:rFonts w:ascii="Times New Roman" w:eastAsia="宋体" w:hint="eastAsia"/>
          <w:bCs w:val="0"/>
          <w:color w:val="000000" w:themeColor="text1"/>
          <w:sz w:val="24"/>
          <w:szCs w:val="24"/>
        </w:rPr>
        <w:t>4.4.1</w:t>
      </w:r>
      <w:r>
        <w:rPr>
          <w:rFonts w:ascii="Times New Roman" w:eastAsia="宋体" w:hint="eastAsia"/>
          <w:bCs w:val="0"/>
          <w:color w:val="000000" w:themeColor="text1"/>
          <w:sz w:val="24"/>
          <w:szCs w:val="24"/>
        </w:rPr>
        <w:t>废气</w:t>
      </w:r>
      <w:bookmarkEnd w:id="237"/>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）有组织排放</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G1</w:t>
      </w:r>
      <w:r>
        <w:rPr>
          <w:rFonts w:ascii="Times New Roman" w:eastAsia="宋体" w:hAnsi="Times New Roman" w:cs="Times New Roman" w:hint="eastAsia"/>
          <w:color w:val="000000" w:themeColor="text1"/>
          <w:kern w:val="1"/>
          <w:sz w:val="24"/>
          <w:szCs w:val="24"/>
        </w:rPr>
        <w:t>：稀硝酸生产吸收塔尾气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由吸收塔出来的尾气，进入尾气分离器，</w:t>
      </w:r>
      <w:r>
        <w:rPr>
          <w:rFonts w:ascii="Times New Roman" w:eastAsia="宋体" w:hAnsi="Times New Roman" w:cs="Times New Roman" w:hint="eastAsia"/>
          <w:color w:val="000000" w:themeColor="text1"/>
          <w:kern w:val="1"/>
          <w:sz w:val="24"/>
          <w:szCs w:val="24"/>
        </w:rPr>
        <w:t xml:space="preserve"> </w:t>
      </w:r>
      <w:r>
        <w:rPr>
          <w:rFonts w:ascii="Times New Roman" w:eastAsia="宋体" w:hAnsi="Times New Roman" w:cs="Times New Roman" w:hint="eastAsia"/>
          <w:color w:val="000000" w:themeColor="text1"/>
          <w:kern w:val="1"/>
          <w:sz w:val="24"/>
          <w:szCs w:val="24"/>
        </w:rPr>
        <w:t>分离夹带的液滴后，进入尾气加热器与压缩后的氧化氮气体换热后，再进入尾气三级预热器中，被氧化炉氧化氮气体加热</w:t>
      </w:r>
      <w:r>
        <w:rPr>
          <w:rFonts w:ascii="Times New Roman" w:eastAsia="宋体" w:hAnsi="Times New Roman" w:cs="Times New Roman"/>
          <w:color w:val="000000" w:themeColor="text1"/>
          <w:kern w:val="1"/>
          <w:sz w:val="24"/>
          <w:szCs w:val="24"/>
        </w:rPr>
        <w:t>到</w:t>
      </w:r>
      <w:r>
        <w:rPr>
          <w:rFonts w:ascii="Times New Roman" w:eastAsia="宋体" w:hAnsi="Times New Roman" w:cs="Times New Roman"/>
          <w:color w:val="000000" w:themeColor="text1"/>
          <w:kern w:val="1"/>
          <w:sz w:val="24"/>
          <w:szCs w:val="24"/>
        </w:rPr>
        <w:t>360</w:t>
      </w:r>
      <w:r>
        <w:rPr>
          <w:rFonts w:ascii="宋体" w:eastAsia="宋体" w:hAnsi="宋体" w:cs="宋体" w:hint="eastAsia"/>
          <w:color w:val="000000" w:themeColor="text1"/>
          <w:kern w:val="1"/>
          <w:sz w:val="24"/>
          <w:szCs w:val="24"/>
        </w:rPr>
        <w:t>℃</w:t>
      </w:r>
      <w:r>
        <w:rPr>
          <w:rFonts w:ascii="Times New Roman" w:eastAsia="宋体" w:hAnsi="Times New Roman" w:cs="Times New Roman"/>
          <w:color w:val="000000" w:themeColor="text1"/>
          <w:kern w:val="1"/>
          <w:sz w:val="24"/>
          <w:szCs w:val="24"/>
        </w:rPr>
        <w:t>左右</w:t>
      </w:r>
      <w:r>
        <w:rPr>
          <w:rFonts w:ascii="Times New Roman" w:eastAsia="宋体" w:hAnsi="Times New Roman" w:cs="Times New Roman" w:hint="eastAsia"/>
          <w:color w:val="000000" w:themeColor="text1"/>
          <w:kern w:val="1"/>
          <w:sz w:val="24"/>
          <w:szCs w:val="24"/>
        </w:rPr>
        <w:t>，经</w:t>
      </w:r>
      <w:r>
        <w:rPr>
          <w:rFonts w:ascii="Times New Roman" w:eastAsia="宋体" w:hAnsi="Times New Roman" w:cs="Times New Roman" w:hint="eastAsia"/>
          <w:color w:val="000000" w:themeColor="text1"/>
          <w:kern w:val="1"/>
          <w:sz w:val="24"/>
          <w:szCs w:val="24"/>
        </w:rPr>
        <w:t>SCR</w:t>
      </w:r>
      <w:r>
        <w:rPr>
          <w:rFonts w:ascii="Times New Roman" w:eastAsia="宋体" w:hAnsi="Times New Roman" w:cs="Times New Roman" w:hint="eastAsia"/>
          <w:color w:val="000000" w:themeColor="text1"/>
          <w:kern w:val="1"/>
          <w:sz w:val="24"/>
          <w:szCs w:val="24"/>
        </w:rPr>
        <w:t>脱硝系统脱硝处理，热气体进入尾气膨胀机做功，回收总功率的</w:t>
      </w:r>
      <w:r>
        <w:rPr>
          <w:rFonts w:ascii="Times New Roman" w:eastAsia="宋体" w:hAnsi="Times New Roman" w:cs="Times New Roman" w:hint="eastAsia"/>
          <w:color w:val="000000" w:themeColor="text1"/>
          <w:kern w:val="1"/>
          <w:sz w:val="24"/>
          <w:szCs w:val="24"/>
        </w:rPr>
        <w:t>60%</w:t>
      </w:r>
      <w:r>
        <w:rPr>
          <w:rFonts w:ascii="Times New Roman" w:eastAsia="宋体" w:hAnsi="Times New Roman" w:cs="Times New Roman" w:hint="eastAsia"/>
          <w:color w:val="000000" w:themeColor="text1"/>
          <w:kern w:val="1"/>
          <w:sz w:val="24"/>
          <w:szCs w:val="24"/>
        </w:rPr>
        <w:t>后，最终</w:t>
      </w:r>
      <w:r>
        <w:rPr>
          <w:rFonts w:ascii="Times New Roman" w:eastAsia="宋体" w:hAnsi="Times New Roman" w:cs="Times New Roman"/>
          <w:color w:val="000000" w:themeColor="text1"/>
          <w:kern w:val="1"/>
          <w:sz w:val="24"/>
          <w:szCs w:val="24"/>
        </w:rPr>
        <w:t>由</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color w:val="000000" w:themeColor="text1"/>
          <w:kern w:val="1"/>
          <w:sz w:val="24"/>
          <w:szCs w:val="24"/>
        </w:rPr>
        <w:t>排气筒</w:t>
      </w:r>
      <w:r>
        <w:rPr>
          <w:rFonts w:ascii="Times New Roman" w:eastAsia="宋体" w:hAnsi="Times New Roman" w:cs="Times New Roman" w:hint="eastAsia"/>
          <w:color w:val="000000" w:themeColor="text1"/>
          <w:kern w:val="1"/>
          <w:sz w:val="24"/>
          <w:szCs w:val="24"/>
        </w:rPr>
        <w:t>排放，排气筒高度</w:t>
      </w:r>
      <w:r>
        <w:rPr>
          <w:rFonts w:ascii="Times New Roman" w:eastAsia="宋体" w:hAnsi="Times New Roman" w:cs="Times New Roman" w:hint="eastAsia"/>
          <w:color w:val="000000" w:themeColor="text1"/>
          <w:kern w:val="1"/>
          <w:sz w:val="24"/>
          <w:szCs w:val="24"/>
        </w:rPr>
        <w:t>48m</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本项目采用双加压法生产工艺，稀硝酸装置吸收塔出口尾气主要污染物为</w:t>
      </w:r>
      <w:r>
        <w:rPr>
          <w:rFonts w:ascii="Times New Roman" w:eastAsia="宋体" w:hAnsi="Times New Roman" w:cs="Times New Roman" w:hint="eastAsia"/>
          <w:color w:val="000000" w:themeColor="text1"/>
          <w:kern w:val="1"/>
          <w:sz w:val="24"/>
          <w:szCs w:val="24"/>
        </w:rPr>
        <w:t>NO</w:t>
      </w:r>
      <w:r>
        <w:rPr>
          <w:rFonts w:ascii="Times New Roman" w:eastAsia="宋体" w:hAnsi="Times New Roman" w:cs="Times New Roman" w:hint="eastAsia"/>
          <w:color w:val="000000" w:themeColor="text1"/>
          <w:kern w:val="1"/>
          <w:sz w:val="24"/>
          <w:szCs w:val="24"/>
          <w:vertAlign w:val="subscript"/>
        </w:rPr>
        <w:t>x</w:t>
      </w:r>
      <w:r>
        <w:rPr>
          <w:rFonts w:ascii="Times New Roman" w:eastAsia="宋体" w:hAnsi="Times New Roman" w:cs="Times New Roman" w:hint="eastAsia"/>
          <w:color w:val="000000" w:themeColor="text1"/>
          <w:kern w:val="1"/>
          <w:sz w:val="24"/>
          <w:szCs w:val="24"/>
        </w:rPr>
        <w:t xml:space="preserve"> </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 xml:space="preserve"> </w:t>
      </w:r>
      <w:r>
        <w:rPr>
          <w:rFonts w:ascii="Times New Roman" w:eastAsia="宋体" w:hAnsi="Times New Roman" w:cs="Times New Roman" w:hint="eastAsia"/>
          <w:color w:val="000000" w:themeColor="text1"/>
          <w:kern w:val="1"/>
          <w:sz w:val="24"/>
          <w:szCs w:val="24"/>
        </w:rPr>
        <w:t>参考《第一次全国污染源普查工业污染源产排污系数手册》无机酸制造业（硝酸）产排污系数，双加压法硝酸生产工艺工业废气量产污系数为</w:t>
      </w:r>
      <w:r>
        <w:rPr>
          <w:rFonts w:ascii="Times New Roman" w:eastAsia="宋体" w:hAnsi="Times New Roman" w:cs="Times New Roman" w:hint="eastAsia"/>
          <w:color w:val="000000" w:themeColor="text1"/>
          <w:kern w:val="1"/>
          <w:sz w:val="24"/>
          <w:szCs w:val="24"/>
        </w:rPr>
        <w:t>3200~3400</w:t>
      </w:r>
      <w:r>
        <w:rPr>
          <w:rFonts w:ascii="Times New Roman" w:eastAsia="宋体" w:hAnsi="Times New Roman" w:cs="Times New Roman" w:hint="eastAsia"/>
          <w:color w:val="000000" w:themeColor="text1"/>
          <w:kern w:val="1"/>
          <w:sz w:val="24"/>
          <w:szCs w:val="24"/>
        </w:rPr>
        <w:t>标立方米</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产品（本环评取上限</w:t>
      </w:r>
      <w:r>
        <w:rPr>
          <w:rFonts w:ascii="Times New Roman" w:eastAsia="宋体" w:hAnsi="Times New Roman" w:cs="Times New Roman" w:hint="eastAsia"/>
          <w:color w:val="000000" w:themeColor="text1"/>
          <w:kern w:val="1"/>
          <w:sz w:val="24"/>
          <w:szCs w:val="24"/>
        </w:rPr>
        <w:t>3400</w:t>
      </w:r>
      <w:r>
        <w:rPr>
          <w:rFonts w:ascii="Times New Roman" w:eastAsia="宋体" w:hAnsi="Times New Roman" w:cs="Times New Roman" w:hint="eastAsia"/>
          <w:color w:val="000000" w:themeColor="text1"/>
          <w:kern w:val="1"/>
          <w:sz w:val="24"/>
          <w:szCs w:val="24"/>
        </w:rPr>
        <w:t>标立方米</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产品进行估算），氮氧化物产污系数为</w:t>
      </w:r>
      <w:r>
        <w:rPr>
          <w:rFonts w:ascii="Times New Roman" w:eastAsia="宋体" w:hAnsi="Times New Roman" w:cs="Times New Roman" w:hint="eastAsia"/>
          <w:color w:val="000000" w:themeColor="text1"/>
          <w:kern w:val="1"/>
          <w:sz w:val="24"/>
          <w:szCs w:val="24"/>
        </w:rPr>
        <w:t>0.7-1.1</w:t>
      </w:r>
      <w:r>
        <w:rPr>
          <w:rFonts w:ascii="Times New Roman" w:eastAsia="宋体" w:hAnsi="Times New Roman" w:cs="Times New Roman" w:hint="eastAsia"/>
          <w:color w:val="000000" w:themeColor="text1"/>
          <w:kern w:val="1"/>
          <w:sz w:val="24"/>
          <w:szCs w:val="24"/>
        </w:rPr>
        <w:t>千克</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产品（本环评取上限</w:t>
      </w:r>
      <w:r>
        <w:rPr>
          <w:rFonts w:ascii="Times New Roman" w:eastAsia="宋体" w:hAnsi="Times New Roman" w:cs="Times New Roman" w:hint="eastAsia"/>
          <w:color w:val="000000" w:themeColor="text1"/>
          <w:kern w:val="1"/>
          <w:sz w:val="24"/>
          <w:szCs w:val="24"/>
        </w:rPr>
        <w:t>1.1/</w:t>
      </w:r>
      <w:r>
        <w:rPr>
          <w:rFonts w:ascii="Times New Roman" w:eastAsia="宋体" w:hAnsi="Times New Roman" w:cs="Times New Roman" w:hint="eastAsia"/>
          <w:color w:val="000000" w:themeColor="text1"/>
          <w:kern w:val="1"/>
          <w:sz w:val="24"/>
          <w:szCs w:val="24"/>
        </w:rPr>
        <w:t>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产品进行估算）。</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根据项目产品方案，本项目硝酸装置设计生产规模为</w:t>
      </w:r>
      <w:r>
        <w:rPr>
          <w:rFonts w:ascii="Times New Roman" w:eastAsia="宋体" w:hAnsi="Times New Roman" w:cs="Times New Roman" w:hint="eastAsia"/>
          <w:color w:val="000000" w:themeColor="text1"/>
          <w:kern w:val="1"/>
          <w:sz w:val="24"/>
          <w:szCs w:val="24"/>
        </w:rPr>
        <w:t>15</w:t>
      </w:r>
      <w:r>
        <w:rPr>
          <w:rFonts w:ascii="Times New Roman" w:eastAsia="宋体" w:hAnsi="Times New Roman" w:cs="Times New Roman" w:hint="eastAsia"/>
          <w:color w:val="000000" w:themeColor="text1"/>
          <w:kern w:val="1"/>
          <w:sz w:val="24"/>
          <w:szCs w:val="24"/>
        </w:rPr>
        <w:t>万吨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年，年运行时间</w:t>
      </w:r>
      <w:r>
        <w:rPr>
          <w:rFonts w:ascii="Times New Roman" w:eastAsia="宋体" w:hAnsi="Times New Roman" w:cs="Times New Roman" w:hint="eastAsia"/>
          <w:color w:val="000000" w:themeColor="text1"/>
          <w:kern w:val="1"/>
          <w:sz w:val="24"/>
          <w:szCs w:val="24"/>
        </w:rPr>
        <w:t>7200h</w:t>
      </w:r>
      <w:r>
        <w:rPr>
          <w:rFonts w:ascii="Times New Roman" w:eastAsia="宋体" w:hAnsi="Times New Roman" w:cs="Times New Roman" w:hint="eastAsia"/>
          <w:color w:val="000000" w:themeColor="text1"/>
          <w:kern w:val="1"/>
          <w:sz w:val="24"/>
          <w:szCs w:val="24"/>
        </w:rPr>
        <w:t>计，环评以产污系数均值进行估算，预计硝酸生产废气产生量</w:t>
      </w:r>
      <w:r>
        <w:rPr>
          <w:rFonts w:ascii="Times New Roman" w:eastAsia="宋体" w:hAnsi="Times New Roman" w:cs="Times New Roman" w:hint="eastAsia"/>
          <w:color w:val="000000" w:themeColor="text1"/>
          <w:kern w:val="1"/>
          <w:sz w:val="24"/>
          <w:szCs w:val="24"/>
        </w:rPr>
        <w:t>70833m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/h</w:t>
      </w:r>
      <w:r>
        <w:rPr>
          <w:rFonts w:ascii="Times New Roman" w:eastAsia="宋体" w:hAnsi="Times New Roman" w:cs="Times New Roman" w:hint="eastAsia"/>
          <w:color w:val="000000" w:themeColor="text1"/>
          <w:kern w:val="1"/>
          <w:sz w:val="24"/>
          <w:szCs w:val="24"/>
        </w:rPr>
        <w:t>，氮氧化物产生量</w:t>
      </w:r>
      <w:r>
        <w:rPr>
          <w:rFonts w:ascii="Times New Roman" w:eastAsia="宋体" w:hAnsi="Times New Roman" w:cs="Times New Roman" w:hint="eastAsia"/>
          <w:color w:val="000000" w:themeColor="text1"/>
          <w:kern w:val="1"/>
          <w:sz w:val="24"/>
          <w:szCs w:val="24"/>
        </w:rPr>
        <w:t>165t/a</w:t>
      </w:r>
      <w:r>
        <w:rPr>
          <w:rFonts w:ascii="Times New Roman" w:eastAsia="宋体" w:hAnsi="Times New Roman" w:cs="Times New Roman" w:hint="eastAsia"/>
          <w:color w:val="000000" w:themeColor="text1"/>
          <w:kern w:val="1"/>
          <w:sz w:val="24"/>
          <w:szCs w:val="24"/>
        </w:rPr>
        <w:t>，约</w:t>
      </w:r>
      <w:r>
        <w:rPr>
          <w:rFonts w:ascii="Times New Roman" w:eastAsia="宋体" w:hAnsi="Times New Roman" w:cs="Times New Roman" w:hint="eastAsia"/>
          <w:color w:val="000000" w:themeColor="text1"/>
          <w:kern w:val="1"/>
          <w:sz w:val="24"/>
          <w:szCs w:val="24"/>
        </w:rPr>
        <w:t>22.92kg/h</w:t>
      </w:r>
      <w:r>
        <w:rPr>
          <w:rFonts w:ascii="Times New Roman" w:eastAsia="宋体" w:hAnsi="Times New Roman" w:cs="Times New Roman" w:hint="eastAsia"/>
          <w:color w:val="000000" w:themeColor="text1"/>
          <w:kern w:val="1"/>
          <w:sz w:val="24"/>
          <w:szCs w:val="24"/>
        </w:rPr>
        <w:t>。为减少氮氧化物的排放量，降低氮氧化物排放对环境的影响，项目设计拟采用氨选择性催化还原法脱硝处理技术（</w:t>
      </w:r>
      <w:r>
        <w:rPr>
          <w:rFonts w:ascii="Times New Roman" w:eastAsia="宋体" w:hAnsi="Times New Roman" w:cs="Times New Roman" w:hint="eastAsia"/>
          <w:color w:val="000000" w:themeColor="text1"/>
          <w:kern w:val="1"/>
          <w:sz w:val="24"/>
          <w:szCs w:val="24"/>
        </w:rPr>
        <w:t xml:space="preserve">SCR </w:t>
      </w:r>
      <w:r>
        <w:rPr>
          <w:rFonts w:ascii="Times New Roman" w:eastAsia="宋体" w:hAnsi="Times New Roman" w:cs="Times New Roman" w:hint="eastAsia"/>
          <w:color w:val="000000" w:themeColor="text1"/>
          <w:kern w:val="1"/>
          <w:sz w:val="24"/>
          <w:szCs w:val="24"/>
        </w:rPr>
        <w:t>法脱硝技术），对硝酸装置吸收塔尾气进行脱销处理，根据《硝酸工业污染物排放标准（征求意见稿）</w:t>
      </w:r>
      <w:r>
        <w:rPr>
          <w:rFonts w:ascii="Times New Roman" w:eastAsia="宋体" w:hAnsi="Times New Roman" w:cs="Times New Roman" w:hint="eastAsia"/>
          <w:color w:val="000000" w:themeColor="text1"/>
          <w:kern w:val="1"/>
          <w:sz w:val="24"/>
          <w:szCs w:val="24"/>
        </w:rPr>
        <w:t xml:space="preserve"> </w:t>
      </w:r>
      <w:r>
        <w:rPr>
          <w:rFonts w:ascii="Times New Roman" w:eastAsia="宋体" w:hAnsi="Times New Roman" w:cs="Times New Roman" w:hint="eastAsia"/>
          <w:color w:val="000000" w:themeColor="text1"/>
          <w:kern w:val="1"/>
          <w:sz w:val="24"/>
          <w:szCs w:val="24"/>
        </w:rPr>
        <w:t>编</w:t>
      </w:r>
      <w:r>
        <w:rPr>
          <w:rFonts w:ascii="Times New Roman" w:eastAsia="宋体" w:hAnsi="Times New Roman" w:cs="Times New Roman" w:hint="eastAsia"/>
          <w:color w:val="000000" w:themeColor="text1"/>
          <w:kern w:val="1"/>
          <w:sz w:val="24"/>
          <w:szCs w:val="24"/>
        </w:rPr>
        <w:t xml:space="preserve"> </w:t>
      </w:r>
      <w:r>
        <w:rPr>
          <w:rFonts w:ascii="Times New Roman" w:eastAsia="宋体" w:hAnsi="Times New Roman" w:cs="Times New Roman" w:hint="eastAsia"/>
          <w:color w:val="000000" w:themeColor="text1"/>
          <w:kern w:val="1"/>
          <w:sz w:val="24"/>
          <w:szCs w:val="24"/>
        </w:rPr>
        <w:t>制</w:t>
      </w:r>
      <w:r>
        <w:rPr>
          <w:rFonts w:ascii="Times New Roman" w:eastAsia="宋体" w:hAnsi="Times New Roman" w:cs="Times New Roman" w:hint="eastAsia"/>
          <w:color w:val="000000" w:themeColor="text1"/>
          <w:kern w:val="1"/>
          <w:sz w:val="24"/>
          <w:szCs w:val="24"/>
        </w:rPr>
        <w:t xml:space="preserve"> </w:t>
      </w:r>
      <w:r>
        <w:rPr>
          <w:rFonts w:ascii="Times New Roman" w:eastAsia="宋体" w:hAnsi="Times New Roman" w:cs="Times New Roman" w:hint="eastAsia"/>
          <w:color w:val="000000" w:themeColor="text1"/>
          <w:kern w:val="1"/>
          <w:sz w:val="24"/>
          <w:szCs w:val="24"/>
        </w:rPr>
        <w:t>说</w:t>
      </w:r>
      <w:r>
        <w:rPr>
          <w:rFonts w:ascii="Times New Roman" w:eastAsia="宋体" w:hAnsi="Times New Roman" w:cs="Times New Roman" w:hint="eastAsia"/>
          <w:color w:val="000000" w:themeColor="text1"/>
          <w:kern w:val="1"/>
          <w:sz w:val="24"/>
          <w:szCs w:val="24"/>
        </w:rPr>
        <w:t xml:space="preserve"> </w:t>
      </w:r>
      <w:r>
        <w:rPr>
          <w:rFonts w:ascii="Times New Roman" w:eastAsia="宋体" w:hAnsi="Times New Roman" w:cs="Times New Roman" w:hint="eastAsia"/>
          <w:color w:val="000000" w:themeColor="text1"/>
          <w:kern w:val="1"/>
          <w:sz w:val="24"/>
          <w:szCs w:val="24"/>
        </w:rPr>
        <w:t>明，</w:t>
      </w:r>
      <w:r>
        <w:rPr>
          <w:rFonts w:ascii="Times New Roman" w:eastAsia="宋体" w:hAnsi="Times New Roman" w:cs="Times New Roman" w:hint="eastAsia"/>
          <w:color w:val="000000" w:themeColor="text1"/>
          <w:kern w:val="1"/>
          <w:sz w:val="24"/>
          <w:szCs w:val="24"/>
        </w:rPr>
        <w:t xml:space="preserve">SCR </w:t>
      </w:r>
      <w:r>
        <w:rPr>
          <w:rFonts w:ascii="Times New Roman" w:eastAsia="宋体" w:hAnsi="Times New Roman" w:cs="Times New Roman" w:hint="eastAsia"/>
          <w:color w:val="000000" w:themeColor="text1"/>
          <w:kern w:val="1"/>
          <w:sz w:val="24"/>
          <w:szCs w:val="24"/>
        </w:rPr>
        <w:t>法脱硝技术是颇具潜力的先进实用技术，是利用</w:t>
      </w:r>
      <w:r>
        <w:rPr>
          <w:rFonts w:ascii="Times New Roman" w:eastAsia="宋体" w:hAnsi="Times New Roman" w:cs="Times New Roman" w:hint="eastAsia"/>
          <w:color w:val="000000" w:themeColor="text1"/>
          <w:kern w:val="1"/>
          <w:sz w:val="24"/>
          <w:szCs w:val="24"/>
        </w:rPr>
        <w:t xml:space="preserve"> NH</w:t>
      </w:r>
      <w:r>
        <w:rPr>
          <w:rFonts w:ascii="Times New Roman" w:eastAsia="宋体" w:hAnsi="Times New Roman" w:cs="Times New Roman" w:hint="eastAsia"/>
          <w:color w:val="000000" w:themeColor="text1"/>
          <w:kern w:val="1"/>
          <w:sz w:val="24"/>
          <w:szCs w:val="24"/>
          <w:vertAlign w:val="subscript"/>
        </w:rPr>
        <w:t>3</w:t>
      </w:r>
      <w:r>
        <w:rPr>
          <w:rFonts w:ascii="Times New Roman" w:eastAsia="宋体" w:hAnsi="Times New Roman" w:cs="Times New Roman" w:hint="eastAsia"/>
          <w:color w:val="000000" w:themeColor="text1"/>
          <w:kern w:val="1"/>
          <w:sz w:val="24"/>
          <w:szCs w:val="24"/>
        </w:rPr>
        <w:t xml:space="preserve"> </w:t>
      </w:r>
      <w:r>
        <w:rPr>
          <w:rFonts w:ascii="Times New Roman" w:eastAsia="宋体" w:hAnsi="Times New Roman" w:cs="Times New Roman" w:hint="eastAsia"/>
          <w:color w:val="000000" w:themeColor="text1"/>
          <w:kern w:val="1"/>
          <w:sz w:val="24"/>
          <w:szCs w:val="24"/>
        </w:rPr>
        <w:t>通过催化剂有选择性的把氮氧化物转化成无害的氮气和水，其脱硝效率高达</w:t>
      </w:r>
      <w:r>
        <w:rPr>
          <w:rFonts w:ascii="Times New Roman" w:eastAsia="宋体" w:hAnsi="Times New Roman" w:cs="Times New Roman" w:hint="eastAsia"/>
          <w:color w:val="000000" w:themeColor="text1"/>
          <w:kern w:val="1"/>
          <w:sz w:val="24"/>
          <w:szCs w:val="24"/>
        </w:rPr>
        <w:t xml:space="preserve"> 85%~95%</w:t>
      </w:r>
      <w:r>
        <w:rPr>
          <w:rFonts w:ascii="Times New Roman" w:eastAsia="宋体" w:hAnsi="Times New Roman" w:cs="Times New Roman" w:hint="eastAsia"/>
          <w:color w:val="000000" w:themeColor="text1"/>
          <w:kern w:val="1"/>
          <w:sz w:val="24"/>
          <w:szCs w:val="24"/>
        </w:rPr>
        <w:t>（环评取</w:t>
      </w:r>
      <w:r>
        <w:rPr>
          <w:rFonts w:ascii="Times New Roman" w:eastAsia="宋体" w:hAnsi="Times New Roman" w:cs="Times New Roman" w:hint="eastAsia"/>
          <w:color w:val="000000" w:themeColor="text1"/>
          <w:kern w:val="1"/>
          <w:sz w:val="24"/>
          <w:szCs w:val="24"/>
        </w:rPr>
        <w:t>95%</w:t>
      </w:r>
      <w:r>
        <w:rPr>
          <w:rFonts w:ascii="Times New Roman" w:eastAsia="宋体" w:hAnsi="Times New Roman" w:cs="Times New Roman" w:hint="eastAsia"/>
          <w:color w:val="000000" w:themeColor="text1"/>
          <w:kern w:val="1"/>
          <w:sz w:val="24"/>
          <w:szCs w:val="24"/>
        </w:rPr>
        <w:t>进行核算），经脱销处理后，预计氮氧化物排放量</w:t>
      </w:r>
      <w:r>
        <w:rPr>
          <w:rFonts w:ascii="Times New Roman" w:eastAsia="宋体" w:hAnsi="Times New Roman" w:cs="Times New Roman" w:hint="eastAsia"/>
          <w:color w:val="000000" w:themeColor="text1"/>
          <w:kern w:val="1"/>
          <w:sz w:val="24"/>
          <w:szCs w:val="24"/>
        </w:rPr>
        <w:t>8.25t/a</w:t>
      </w:r>
      <w:r>
        <w:rPr>
          <w:rFonts w:ascii="Times New Roman" w:eastAsia="宋体" w:hAnsi="Times New Roman" w:cs="Times New Roman" w:hint="eastAsia"/>
          <w:color w:val="000000" w:themeColor="text1"/>
          <w:kern w:val="1"/>
          <w:sz w:val="24"/>
          <w:szCs w:val="24"/>
        </w:rPr>
        <w:t>，约</w:t>
      </w:r>
      <w:r>
        <w:rPr>
          <w:rFonts w:ascii="Times New Roman" w:eastAsia="宋体" w:hAnsi="Times New Roman" w:cs="Times New Roman" w:hint="eastAsia"/>
          <w:color w:val="000000" w:themeColor="text1"/>
          <w:kern w:val="1"/>
          <w:sz w:val="24"/>
          <w:szCs w:val="24"/>
        </w:rPr>
        <w:t>1.146kg/h</w:t>
      </w:r>
      <w:r>
        <w:rPr>
          <w:rFonts w:ascii="Times New Roman" w:eastAsia="宋体" w:hAnsi="Times New Roman" w:cs="Times New Roman" w:hint="eastAsia"/>
          <w:color w:val="000000" w:themeColor="text1"/>
          <w:kern w:val="1"/>
          <w:sz w:val="24"/>
          <w:szCs w:val="24"/>
        </w:rPr>
        <w:t>，排放浓度</w:t>
      </w:r>
      <w:r>
        <w:rPr>
          <w:rFonts w:ascii="Times New Roman" w:eastAsia="宋体" w:hAnsi="Times New Roman" w:cs="Times New Roman" w:hint="eastAsia"/>
          <w:color w:val="000000" w:themeColor="text1"/>
          <w:kern w:val="1"/>
          <w:sz w:val="24"/>
          <w:szCs w:val="24"/>
        </w:rPr>
        <w:t>16.18mg/m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，污染物排放能满足《硝酸工业污染物排放标准》（</w:t>
      </w:r>
      <w:r>
        <w:rPr>
          <w:rFonts w:ascii="Times New Roman" w:eastAsia="宋体" w:hAnsi="Times New Roman" w:cs="Times New Roman" w:hint="eastAsia"/>
          <w:color w:val="000000" w:themeColor="text1"/>
          <w:kern w:val="1"/>
          <w:sz w:val="24"/>
          <w:szCs w:val="24"/>
        </w:rPr>
        <w:t>GB26131-2010</w:t>
      </w:r>
      <w:r>
        <w:rPr>
          <w:rFonts w:ascii="Times New Roman" w:eastAsia="宋体" w:hAnsi="Times New Roman" w:cs="Times New Roman" w:hint="eastAsia"/>
          <w:color w:val="000000" w:themeColor="text1"/>
          <w:kern w:val="1"/>
          <w:sz w:val="24"/>
          <w:szCs w:val="24"/>
        </w:rPr>
        <w:t>）氮氧化物排放限值</w:t>
      </w:r>
      <w:r>
        <w:rPr>
          <w:rFonts w:ascii="Times New Roman" w:eastAsia="宋体" w:hAnsi="Times New Roman" w:cs="Times New Roman" w:hint="eastAsia"/>
          <w:color w:val="000000" w:themeColor="text1"/>
          <w:kern w:val="1"/>
          <w:sz w:val="24"/>
          <w:szCs w:val="24"/>
        </w:rPr>
        <w:t>300mg/m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，根据《第一次全国污染源普查工业污染源产排污系数手册》无机酸制造业（硝酸）产排污系数，双加压生产工艺废气污染物能达标排放，无须治理。</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硝酸生产废气吸收塔尾气污染物排放情况见表</w:t>
      </w:r>
      <w:r>
        <w:rPr>
          <w:rFonts w:ascii="Times New Roman" w:eastAsia="宋体" w:hAnsi="Times New Roman" w:cs="Times New Roman" w:hint="eastAsia"/>
          <w:color w:val="000000" w:themeColor="text1"/>
          <w:kern w:val="1"/>
          <w:sz w:val="24"/>
          <w:szCs w:val="24"/>
        </w:rPr>
        <w:t>4.4-1</w:t>
      </w:r>
      <w:r>
        <w:rPr>
          <w:rFonts w:ascii="Times New Roman" w:eastAsia="宋体" w:hAnsi="Times New Roman" w:cs="Times New Roman" w:hint="eastAsia"/>
          <w:color w:val="000000" w:themeColor="text1"/>
          <w:kern w:val="1"/>
          <w:sz w:val="24"/>
          <w:szCs w:val="24"/>
        </w:rPr>
        <w:t>。</w:t>
      </w:r>
    </w:p>
    <w:p w:rsidR="00C861DA" w:rsidRDefault="00C861DA">
      <w:pPr>
        <w:widowControl/>
        <w:autoSpaceDE/>
        <w:autoSpaceDN/>
        <w:snapToGrid w:val="0"/>
        <w:spacing w:after="200" w:line="500" w:lineRule="atLeast"/>
        <w:ind w:firstLine="560"/>
        <w:jc w:val="both"/>
        <w:rPr>
          <w:rFonts w:ascii="Tahoma" w:eastAsia="微软雅黑" w:hAnsi="Tahoma" w:cs="Times New Roman"/>
          <w:color w:val="000000" w:themeColor="text1"/>
          <w:kern w:val="0"/>
          <w:sz w:val="22"/>
          <w:szCs w:val="22"/>
        </w:rPr>
      </w:pPr>
    </w:p>
    <w:p w:rsidR="00C861DA" w:rsidRDefault="00C861DA">
      <w:pPr>
        <w:widowControl/>
        <w:autoSpaceDE/>
        <w:autoSpaceDN/>
        <w:snapToGrid w:val="0"/>
        <w:spacing w:after="200" w:line="500" w:lineRule="atLeast"/>
        <w:ind w:firstLine="560"/>
        <w:jc w:val="both"/>
        <w:rPr>
          <w:rFonts w:ascii="Tahoma" w:eastAsia="微软雅黑" w:hAnsi="Tahoma" w:cs="Times New Roman"/>
          <w:color w:val="000000" w:themeColor="text1"/>
          <w:kern w:val="0"/>
          <w:sz w:val="22"/>
          <w:szCs w:val="22"/>
        </w:rPr>
      </w:pP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表</w:t>
      </w:r>
      <w:r>
        <w:rPr>
          <w:rFonts w:ascii="Times New Roman" w:eastAsia="宋体" w:hAnsi="Times New Roman" w:cs="Times New Roman" w:hint="eastAsia"/>
          <w:color w:val="000000" w:themeColor="text1"/>
          <w:kern w:val="1"/>
          <w:sz w:val="24"/>
          <w:szCs w:val="24"/>
        </w:rPr>
        <w:t>4.4</w:t>
      </w:r>
      <w:r>
        <w:rPr>
          <w:rFonts w:ascii="Times New Roman" w:eastAsia="宋体" w:hAnsi="Times New Roman" w:cs="Times New Roman" w:hint="eastAsia"/>
          <w:color w:val="000000" w:themeColor="text1"/>
          <w:kern w:val="1"/>
          <w:sz w:val="24"/>
          <w:szCs w:val="24"/>
        </w:rPr>
        <w:t xml:space="preserve">-1        </w:t>
      </w:r>
      <w:r>
        <w:rPr>
          <w:rFonts w:ascii="Times New Roman" w:eastAsia="宋体" w:hAnsi="Times New Roman" w:cs="Times New Roman" w:hint="eastAsia"/>
          <w:color w:val="000000" w:themeColor="text1"/>
          <w:kern w:val="1"/>
          <w:sz w:val="24"/>
          <w:szCs w:val="24"/>
        </w:rPr>
        <w:t>硝酸生产废气吸收塔尾气污染物排放情况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992"/>
        <w:gridCol w:w="1559"/>
        <w:gridCol w:w="1276"/>
        <w:gridCol w:w="2035"/>
      </w:tblGrid>
      <w:tr w:rsidR="00C861DA">
        <w:tc>
          <w:tcPr>
            <w:tcW w:w="138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排放源（编号）</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废气排放量（</w:t>
            </w:r>
            <w:r>
              <w:rPr>
                <w:rFonts w:ascii="Times New Roman" w:eastAsia="宋体" w:hAnsi="Times New Roman" w:cs="Times New Roman" w:hint="eastAsia"/>
                <w:color w:val="000000" w:themeColor="text1"/>
                <w:kern w:val="1"/>
              </w:rPr>
              <w:t>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/h</w:t>
            </w:r>
            <w:r>
              <w:rPr>
                <w:rFonts w:ascii="Times New Roman" w:eastAsia="宋体" w:hAnsi="Times New Roman" w:cs="Times New Roman" w:hint="eastAsia"/>
                <w:color w:val="000000" w:themeColor="text1"/>
                <w:kern w:val="1"/>
              </w:rPr>
              <w:t>）</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污染物名称</w:t>
            </w:r>
          </w:p>
        </w:tc>
        <w:tc>
          <w:tcPr>
            <w:tcW w:w="15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污染物排放浓度（</w:t>
            </w:r>
            <w:r>
              <w:rPr>
                <w:rFonts w:ascii="Times New Roman" w:eastAsia="宋体" w:hAnsi="Times New Roman" w:cs="Times New Roman" w:hint="eastAsia"/>
                <w:color w:val="000000" w:themeColor="text1"/>
                <w:kern w:val="1"/>
              </w:rPr>
              <w:t>mg/m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污染物排放量（</w:t>
            </w:r>
            <w:r>
              <w:rPr>
                <w:rFonts w:ascii="Times New Roman" w:eastAsia="宋体" w:hAnsi="Times New Roman" w:cs="Times New Roman" w:hint="eastAsia"/>
                <w:color w:val="000000" w:themeColor="text1"/>
                <w:kern w:val="1"/>
              </w:rPr>
              <w:t>kg/h</w:t>
            </w:r>
            <w:r>
              <w:rPr>
                <w:rFonts w:ascii="Times New Roman" w:eastAsia="宋体" w:hAnsi="Times New Roman" w:cs="Times New Roman" w:hint="eastAsia"/>
                <w:color w:val="000000" w:themeColor="text1"/>
                <w:kern w:val="1"/>
              </w:rPr>
              <w:t>）</w:t>
            </w:r>
          </w:p>
        </w:tc>
        <w:tc>
          <w:tcPr>
            <w:tcW w:w="203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排放参数</w:t>
            </w:r>
          </w:p>
        </w:tc>
      </w:tr>
      <w:tr w:rsidR="00C861DA">
        <w:tc>
          <w:tcPr>
            <w:tcW w:w="138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稀硝酸生产吸收塔尾气（</w:t>
            </w:r>
            <w:r>
              <w:rPr>
                <w:rFonts w:ascii="Times New Roman" w:eastAsia="宋体" w:hAnsi="Times New Roman" w:cs="Times New Roman" w:hint="eastAsia"/>
                <w:color w:val="000000" w:themeColor="text1"/>
                <w:kern w:val="1"/>
              </w:rPr>
              <w:t>G1</w:t>
            </w:r>
            <w:r>
              <w:rPr>
                <w:rFonts w:ascii="Times New Roman" w:eastAsia="宋体" w:hAnsi="Times New Roman" w:cs="Times New Roman" w:hint="eastAsia"/>
                <w:color w:val="000000" w:themeColor="text1"/>
                <w:kern w:val="1"/>
              </w:rPr>
              <w:t>）</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70833</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氮氧化物</w:t>
            </w:r>
          </w:p>
        </w:tc>
        <w:tc>
          <w:tcPr>
            <w:tcW w:w="15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16.18</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1.146</w:t>
            </w:r>
          </w:p>
        </w:tc>
        <w:tc>
          <w:tcPr>
            <w:tcW w:w="203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排气筒高度：</w:t>
            </w:r>
            <w:r>
              <w:rPr>
                <w:rFonts w:ascii="Times New Roman" w:eastAsia="宋体" w:hAnsi="Times New Roman" w:cs="Times New Roman" w:hint="eastAsia"/>
                <w:color w:val="000000" w:themeColor="text1"/>
                <w:kern w:val="1"/>
              </w:rPr>
              <w:t>48m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排放口内径：</w:t>
            </w:r>
            <w:r>
              <w:rPr>
                <w:rFonts w:ascii="Times New Roman" w:eastAsia="宋体" w:hAnsi="Times New Roman" w:cs="Times New Roman" w:hint="eastAsia"/>
                <w:color w:val="000000" w:themeColor="text1"/>
                <w:kern w:val="1"/>
              </w:rPr>
              <w:t>1.0m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温度：</w:t>
            </w:r>
            <w:r>
              <w:rPr>
                <w:rFonts w:ascii="Times New Roman" w:eastAsia="宋体" w:hAnsi="Times New Roman" w:cs="Times New Roman" w:hint="eastAsia"/>
                <w:color w:val="000000" w:themeColor="text1"/>
                <w:kern w:val="1"/>
              </w:rPr>
              <w:t>60</w:t>
            </w:r>
            <w:r>
              <w:rPr>
                <w:rFonts w:ascii="Times New Roman" w:eastAsia="宋体" w:hAnsi="Times New Roman" w:cs="Times New Roman" w:hint="eastAsia"/>
                <w:color w:val="000000" w:themeColor="text1"/>
                <w:kern w:val="1"/>
              </w:rPr>
              <w:t>℃</w:t>
            </w:r>
          </w:p>
        </w:tc>
      </w:tr>
    </w:tbl>
    <w:p w:rsidR="00C861DA" w:rsidRDefault="00C861DA">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2</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G3</w:t>
      </w:r>
      <w:r>
        <w:rPr>
          <w:rFonts w:ascii="Times New Roman" w:eastAsia="宋体" w:hAnsi="Times New Roman" w:cs="Times New Roman" w:hint="eastAsia"/>
          <w:color w:val="000000" w:themeColor="text1"/>
          <w:kern w:val="1"/>
          <w:sz w:val="24"/>
          <w:szCs w:val="24"/>
        </w:rPr>
        <w:t>：硝基有机肥生产备料废气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硝基有机肥生产备料废气主要是备料计量、提升过程中产生的颗粒物，项目设计采用布袋除尘措施，布袋除尘效率</w:t>
      </w:r>
      <w:r>
        <w:rPr>
          <w:rFonts w:ascii="Times New Roman" w:eastAsia="宋体" w:hAnsi="Times New Roman" w:cs="Times New Roman" w:hint="eastAsia"/>
          <w:color w:val="000000" w:themeColor="text1"/>
          <w:kern w:val="1"/>
          <w:sz w:val="24"/>
          <w:szCs w:val="24"/>
        </w:rPr>
        <w:t>99%</w:t>
      </w:r>
      <w:r>
        <w:rPr>
          <w:rFonts w:ascii="Times New Roman" w:eastAsia="宋体" w:hAnsi="Times New Roman" w:cs="Times New Roman" w:hint="eastAsia"/>
          <w:color w:val="000000" w:themeColor="text1"/>
          <w:kern w:val="1"/>
          <w:sz w:val="24"/>
          <w:szCs w:val="24"/>
        </w:rPr>
        <w:t>，废气经布袋除尘后，经由</w:t>
      </w:r>
      <w:r>
        <w:rPr>
          <w:rFonts w:ascii="Times New Roman" w:eastAsia="宋体" w:hAnsi="Times New Roman" w:cs="Times New Roman" w:hint="eastAsia"/>
          <w:color w:val="000000" w:themeColor="text1"/>
          <w:kern w:val="1"/>
          <w:sz w:val="24"/>
          <w:szCs w:val="24"/>
        </w:rPr>
        <w:t>15m</w:t>
      </w:r>
      <w:r>
        <w:rPr>
          <w:rFonts w:ascii="Times New Roman" w:eastAsia="宋体" w:hAnsi="Times New Roman" w:cs="Times New Roman" w:hint="eastAsia"/>
          <w:color w:val="000000" w:themeColor="text1"/>
          <w:kern w:val="1"/>
          <w:sz w:val="24"/>
          <w:szCs w:val="24"/>
        </w:rPr>
        <w:t>高排气筒（</w:t>
      </w:r>
      <w:r>
        <w:rPr>
          <w:rFonts w:ascii="Times New Roman" w:eastAsia="宋体" w:hAnsi="Times New Roman" w:cs="Times New Roman" w:hint="eastAsia"/>
          <w:color w:val="000000" w:themeColor="text1"/>
          <w:kern w:val="1"/>
          <w:sz w:val="24"/>
          <w:szCs w:val="24"/>
        </w:rPr>
        <w:t>2#</w:t>
      </w:r>
      <w:r>
        <w:rPr>
          <w:rFonts w:ascii="Times New Roman" w:eastAsia="宋体" w:hAnsi="Times New Roman" w:cs="Times New Roman" w:hint="eastAsia"/>
          <w:color w:val="000000" w:themeColor="text1"/>
          <w:kern w:val="1"/>
          <w:sz w:val="24"/>
          <w:szCs w:val="24"/>
        </w:rPr>
        <w:t>排气筒）排放。</w:t>
      </w:r>
      <w:r>
        <w:rPr>
          <w:rFonts w:ascii="Times New Roman" w:eastAsia="宋体" w:hAnsi="Times New Roman" w:cs="Times New Roman" w:hint="eastAsia"/>
          <w:color w:val="000000" w:themeColor="text1"/>
          <w:kern w:val="1"/>
          <w:sz w:val="24"/>
          <w:szCs w:val="24"/>
        </w:rPr>
        <w:t xml:space="preserve"> </w:t>
      </w:r>
      <w:r>
        <w:rPr>
          <w:rFonts w:ascii="Times New Roman" w:eastAsia="宋体" w:hAnsi="Times New Roman" w:cs="Times New Roman" w:hint="eastAsia"/>
          <w:color w:val="000000" w:themeColor="text1"/>
          <w:kern w:val="1"/>
          <w:sz w:val="24"/>
          <w:szCs w:val="24"/>
        </w:rPr>
        <w:t>本项目硝基有机肥生产以磷酸一铵、硫酸钾、有机质、添加剂和自产硝酸铵为原料，生产硝基有机肥。磷酸一铵、硫酸钾、有机质、添加剂合计用量</w:t>
      </w:r>
      <w:r>
        <w:rPr>
          <w:rFonts w:ascii="Times New Roman" w:eastAsia="宋体" w:hAnsi="Times New Roman" w:cs="Times New Roman" w:hint="eastAsia"/>
          <w:color w:val="000000" w:themeColor="text1"/>
          <w:kern w:val="1"/>
          <w:sz w:val="24"/>
          <w:szCs w:val="24"/>
        </w:rPr>
        <w:t>129710t/a</w:t>
      </w:r>
      <w:r>
        <w:rPr>
          <w:rFonts w:ascii="Times New Roman" w:eastAsia="宋体" w:hAnsi="Times New Roman" w:cs="Times New Roman" w:hint="eastAsia"/>
          <w:color w:val="000000" w:themeColor="text1"/>
          <w:kern w:val="1"/>
          <w:sz w:val="24"/>
          <w:szCs w:val="24"/>
        </w:rPr>
        <w:t>，采用排污系数法，备料过程中颗粒物产生系数为</w:t>
      </w:r>
      <w:r>
        <w:rPr>
          <w:rFonts w:ascii="Times New Roman" w:eastAsia="宋体" w:hAnsi="Times New Roman" w:cs="Times New Roman" w:hint="eastAsia"/>
          <w:color w:val="000000" w:themeColor="text1"/>
          <w:kern w:val="1"/>
          <w:sz w:val="24"/>
          <w:szCs w:val="24"/>
        </w:rPr>
        <w:t>1.0</w:t>
      </w:r>
      <w:r>
        <w:rPr>
          <w:rFonts w:ascii="Times New Roman" w:eastAsia="宋体" w:hAnsi="Times New Roman" w:cs="Times New Roman" w:hint="eastAsia"/>
          <w:color w:val="000000" w:themeColor="text1"/>
          <w:kern w:val="1"/>
          <w:sz w:val="24"/>
          <w:szCs w:val="24"/>
        </w:rPr>
        <w:t>千克</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物料计，约</w:t>
      </w:r>
      <w:r>
        <w:rPr>
          <w:rFonts w:ascii="Times New Roman" w:eastAsia="宋体" w:hAnsi="Times New Roman" w:cs="Times New Roman" w:hint="eastAsia"/>
          <w:color w:val="000000" w:themeColor="text1"/>
          <w:kern w:val="1"/>
          <w:sz w:val="24"/>
          <w:szCs w:val="24"/>
        </w:rPr>
        <w:t>129.71t/a</w:t>
      </w:r>
      <w:r>
        <w:rPr>
          <w:rFonts w:ascii="Times New Roman" w:eastAsia="宋体" w:hAnsi="Times New Roman" w:cs="Times New Roman" w:hint="eastAsia"/>
          <w:color w:val="000000" w:themeColor="text1"/>
          <w:kern w:val="1"/>
          <w:sz w:val="24"/>
          <w:szCs w:val="24"/>
        </w:rPr>
        <w:t>，备料系统采用布袋收尘措施，布袋除尘效率</w:t>
      </w:r>
      <w:r>
        <w:rPr>
          <w:rFonts w:ascii="Times New Roman" w:eastAsia="宋体" w:hAnsi="Times New Roman" w:cs="Times New Roman" w:hint="eastAsia"/>
          <w:color w:val="000000" w:themeColor="text1"/>
          <w:kern w:val="1"/>
          <w:sz w:val="24"/>
          <w:szCs w:val="24"/>
        </w:rPr>
        <w:t>99%</w:t>
      </w:r>
      <w:r>
        <w:rPr>
          <w:rFonts w:ascii="Times New Roman" w:eastAsia="宋体" w:hAnsi="Times New Roman" w:cs="Times New Roman" w:hint="eastAsia"/>
          <w:color w:val="000000" w:themeColor="text1"/>
          <w:kern w:val="1"/>
          <w:sz w:val="24"/>
          <w:szCs w:val="24"/>
        </w:rPr>
        <w:t>，备料废气排放量</w:t>
      </w:r>
      <w:r>
        <w:rPr>
          <w:rFonts w:ascii="Times New Roman" w:eastAsia="宋体" w:hAnsi="Times New Roman" w:cs="Times New Roman" w:hint="eastAsia"/>
          <w:color w:val="000000" w:themeColor="text1"/>
          <w:kern w:val="1"/>
          <w:sz w:val="24"/>
          <w:szCs w:val="24"/>
        </w:rPr>
        <w:t>5000m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/h</w:t>
      </w:r>
      <w:r>
        <w:rPr>
          <w:rFonts w:ascii="Times New Roman" w:eastAsia="宋体" w:hAnsi="Times New Roman" w:cs="Times New Roman" w:hint="eastAsia"/>
          <w:color w:val="000000" w:themeColor="text1"/>
          <w:kern w:val="1"/>
          <w:sz w:val="24"/>
          <w:szCs w:val="24"/>
        </w:rPr>
        <w:t>，经布袋除尘后，颗粒物排放量</w:t>
      </w:r>
      <w:r>
        <w:rPr>
          <w:rFonts w:ascii="Times New Roman" w:eastAsia="宋体" w:hAnsi="Times New Roman" w:cs="Times New Roman" w:hint="eastAsia"/>
          <w:color w:val="000000" w:themeColor="text1"/>
          <w:kern w:val="1"/>
          <w:sz w:val="24"/>
          <w:szCs w:val="24"/>
        </w:rPr>
        <w:t>1.29t/a</w:t>
      </w:r>
      <w:r>
        <w:rPr>
          <w:rFonts w:ascii="Times New Roman" w:eastAsia="宋体" w:hAnsi="Times New Roman" w:cs="Times New Roman" w:hint="eastAsia"/>
          <w:color w:val="000000" w:themeColor="text1"/>
          <w:kern w:val="1"/>
          <w:sz w:val="24"/>
          <w:szCs w:val="24"/>
        </w:rPr>
        <w:t>，约</w:t>
      </w:r>
      <w:r>
        <w:rPr>
          <w:rFonts w:ascii="Times New Roman" w:eastAsia="宋体" w:hAnsi="Times New Roman" w:cs="Times New Roman" w:hint="eastAsia"/>
          <w:color w:val="000000" w:themeColor="text1"/>
          <w:kern w:val="1"/>
          <w:sz w:val="24"/>
          <w:szCs w:val="24"/>
        </w:rPr>
        <w:t>0.18kg/h</w:t>
      </w:r>
      <w:r>
        <w:rPr>
          <w:rFonts w:ascii="Times New Roman" w:eastAsia="宋体" w:hAnsi="Times New Roman" w:cs="Times New Roman" w:hint="eastAsia"/>
          <w:color w:val="000000" w:themeColor="text1"/>
          <w:kern w:val="1"/>
          <w:sz w:val="24"/>
          <w:szCs w:val="24"/>
        </w:rPr>
        <w:t>，废气排放浓度</w:t>
      </w:r>
      <w:r>
        <w:rPr>
          <w:rFonts w:ascii="Times New Roman" w:eastAsia="宋体" w:hAnsi="Times New Roman" w:cs="Times New Roman" w:hint="eastAsia"/>
          <w:color w:val="000000" w:themeColor="text1"/>
          <w:kern w:val="1"/>
          <w:sz w:val="24"/>
          <w:szCs w:val="24"/>
        </w:rPr>
        <w:t>36mg/m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硝基有机肥料备料废气污染物排放情况见表</w:t>
      </w:r>
      <w:r>
        <w:rPr>
          <w:rFonts w:ascii="Times New Roman" w:eastAsia="宋体" w:hAnsi="Times New Roman" w:cs="Times New Roman" w:hint="eastAsia"/>
          <w:color w:val="000000" w:themeColor="text1"/>
          <w:kern w:val="1"/>
          <w:sz w:val="24"/>
          <w:szCs w:val="24"/>
        </w:rPr>
        <w:t>4.4-2</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表</w:t>
      </w:r>
      <w:r>
        <w:rPr>
          <w:rFonts w:ascii="Times New Roman" w:eastAsia="宋体" w:hAnsi="Times New Roman" w:cs="Times New Roman" w:hint="eastAsia"/>
          <w:color w:val="000000" w:themeColor="text1"/>
          <w:kern w:val="1"/>
          <w:sz w:val="24"/>
          <w:szCs w:val="24"/>
        </w:rPr>
        <w:t xml:space="preserve">4.4-2    </w:t>
      </w:r>
      <w:r>
        <w:rPr>
          <w:rFonts w:ascii="Times New Roman" w:eastAsia="宋体" w:hAnsi="Times New Roman" w:cs="Times New Roman" w:hint="eastAsia"/>
          <w:color w:val="000000" w:themeColor="text1"/>
          <w:kern w:val="1"/>
          <w:sz w:val="24"/>
          <w:szCs w:val="24"/>
        </w:rPr>
        <w:t>硝基有机肥备料废气污染物排放情</w:t>
      </w:r>
      <w:r>
        <w:rPr>
          <w:rFonts w:ascii="Times New Roman" w:eastAsia="宋体" w:hAnsi="Times New Roman" w:cs="Times New Roman" w:hint="eastAsia"/>
          <w:color w:val="000000" w:themeColor="text1"/>
          <w:kern w:val="1"/>
          <w:sz w:val="24"/>
          <w:szCs w:val="24"/>
        </w:rPr>
        <w:t>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992"/>
        <w:gridCol w:w="1559"/>
        <w:gridCol w:w="1276"/>
        <w:gridCol w:w="2035"/>
      </w:tblGrid>
      <w:tr w:rsidR="00C861DA">
        <w:tc>
          <w:tcPr>
            <w:tcW w:w="138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排放源（编号）</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废气排放量（</w:t>
            </w:r>
            <w:r>
              <w:rPr>
                <w:rFonts w:ascii="Times New Roman" w:eastAsia="宋体" w:hAnsi="Times New Roman" w:cs="Times New Roman" w:hint="eastAsia"/>
                <w:color w:val="000000" w:themeColor="text1"/>
                <w:kern w:val="1"/>
              </w:rPr>
              <w:t>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/h</w:t>
            </w:r>
            <w:r>
              <w:rPr>
                <w:rFonts w:ascii="Times New Roman" w:eastAsia="宋体" w:hAnsi="Times New Roman" w:cs="Times New Roman" w:hint="eastAsia"/>
                <w:color w:val="000000" w:themeColor="text1"/>
                <w:kern w:val="1"/>
              </w:rPr>
              <w:t>）</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污染物名称</w:t>
            </w:r>
          </w:p>
        </w:tc>
        <w:tc>
          <w:tcPr>
            <w:tcW w:w="15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污染物排放浓度（</w:t>
            </w:r>
            <w:r>
              <w:rPr>
                <w:rFonts w:ascii="Times New Roman" w:eastAsia="宋体" w:hAnsi="Times New Roman" w:cs="Times New Roman" w:hint="eastAsia"/>
                <w:color w:val="000000" w:themeColor="text1"/>
                <w:kern w:val="1"/>
              </w:rPr>
              <w:t>mg/m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污染物排放量（</w:t>
            </w:r>
            <w:r>
              <w:rPr>
                <w:rFonts w:ascii="Times New Roman" w:eastAsia="宋体" w:hAnsi="Times New Roman" w:cs="Times New Roman" w:hint="eastAsia"/>
                <w:color w:val="000000" w:themeColor="text1"/>
                <w:kern w:val="1"/>
              </w:rPr>
              <w:t>kg/h</w:t>
            </w:r>
            <w:r>
              <w:rPr>
                <w:rFonts w:ascii="Times New Roman" w:eastAsia="宋体" w:hAnsi="Times New Roman" w:cs="Times New Roman" w:hint="eastAsia"/>
                <w:color w:val="000000" w:themeColor="text1"/>
                <w:kern w:val="1"/>
              </w:rPr>
              <w:t>）</w:t>
            </w:r>
          </w:p>
        </w:tc>
        <w:tc>
          <w:tcPr>
            <w:tcW w:w="203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排放参数</w:t>
            </w:r>
          </w:p>
        </w:tc>
      </w:tr>
      <w:tr w:rsidR="00C861DA">
        <w:tc>
          <w:tcPr>
            <w:tcW w:w="138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硝基有机肥备料废气（</w:t>
            </w:r>
            <w:r>
              <w:rPr>
                <w:rFonts w:ascii="Times New Roman" w:eastAsia="宋体" w:hAnsi="Times New Roman" w:cs="Times New Roman" w:hint="eastAsia"/>
                <w:color w:val="000000" w:themeColor="text1"/>
                <w:kern w:val="1"/>
              </w:rPr>
              <w:t>G3</w:t>
            </w:r>
            <w:r>
              <w:rPr>
                <w:rFonts w:ascii="Times New Roman" w:eastAsia="宋体" w:hAnsi="Times New Roman" w:cs="Times New Roman" w:hint="eastAsia"/>
                <w:color w:val="000000" w:themeColor="text1"/>
                <w:kern w:val="1"/>
              </w:rPr>
              <w:t>）</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5000</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颗粒物</w:t>
            </w:r>
          </w:p>
        </w:tc>
        <w:tc>
          <w:tcPr>
            <w:tcW w:w="15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36</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0.18</w:t>
            </w:r>
          </w:p>
        </w:tc>
        <w:tc>
          <w:tcPr>
            <w:tcW w:w="203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排气筒高度：</w:t>
            </w:r>
            <w:r>
              <w:rPr>
                <w:rFonts w:ascii="Times New Roman" w:eastAsia="宋体" w:hAnsi="Times New Roman" w:cs="Times New Roman" w:hint="eastAsia"/>
                <w:color w:val="000000" w:themeColor="text1"/>
                <w:kern w:val="1"/>
              </w:rPr>
              <w:t>15m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排放口内径：</w:t>
            </w:r>
            <w:r>
              <w:rPr>
                <w:rFonts w:ascii="Times New Roman" w:eastAsia="宋体" w:hAnsi="Times New Roman" w:cs="Times New Roman" w:hint="eastAsia"/>
                <w:color w:val="000000" w:themeColor="text1"/>
                <w:kern w:val="1"/>
              </w:rPr>
              <w:t>0.5m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温度：</w:t>
            </w:r>
            <w:r>
              <w:rPr>
                <w:rFonts w:ascii="Times New Roman" w:eastAsia="宋体" w:hAnsi="Times New Roman" w:cs="Times New Roman" w:hint="eastAsia"/>
                <w:color w:val="000000" w:themeColor="text1"/>
                <w:kern w:val="1"/>
              </w:rPr>
              <w:t>25</w:t>
            </w:r>
            <w:r>
              <w:rPr>
                <w:rFonts w:ascii="Times New Roman" w:eastAsia="宋体" w:hAnsi="Times New Roman" w:cs="Times New Roman" w:hint="eastAsia"/>
                <w:color w:val="000000" w:themeColor="text1"/>
                <w:kern w:val="1"/>
              </w:rPr>
              <w:t>℃</w:t>
            </w:r>
          </w:p>
        </w:tc>
      </w:tr>
    </w:tbl>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G4</w:t>
      </w:r>
      <w:r>
        <w:rPr>
          <w:rFonts w:ascii="Times New Roman" w:eastAsia="宋体" w:hAnsi="Times New Roman" w:cs="Times New Roman" w:hint="eastAsia"/>
          <w:color w:val="000000" w:themeColor="text1"/>
          <w:kern w:val="1"/>
          <w:sz w:val="24"/>
          <w:szCs w:val="24"/>
        </w:rPr>
        <w:t>：硝基有机肥造粒废气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本项目硝基有机肥生产采用高塔熔融造粒生产工艺，生产规模为</w:t>
      </w:r>
      <w:r>
        <w:rPr>
          <w:rFonts w:ascii="Times New Roman" w:eastAsia="宋体" w:hAnsi="Times New Roman" w:cs="Times New Roman" w:hint="eastAsia"/>
          <w:color w:val="000000" w:themeColor="text1"/>
          <w:kern w:val="1"/>
          <w:sz w:val="24"/>
          <w:szCs w:val="24"/>
        </w:rPr>
        <w:t>30</w:t>
      </w:r>
      <w:r>
        <w:rPr>
          <w:rFonts w:ascii="Times New Roman" w:eastAsia="宋体" w:hAnsi="Times New Roman" w:cs="Times New Roman" w:hint="eastAsia"/>
          <w:color w:val="000000" w:themeColor="text1"/>
          <w:kern w:val="1"/>
          <w:sz w:val="24"/>
          <w:szCs w:val="24"/>
        </w:rPr>
        <w:t>万吨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年，造粒废气主要污染物为工业粉尘、氮氧化物和氨。根据《排污许可证申请与核发技术规范（磷肥、钾肥复混肥料、有机肥料及微生物工业）》（</w:t>
      </w:r>
      <w:r>
        <w:rPr>
          <w:rFonts w:ascii="Times New Roman" w:eastAsia="宋体" w:hAnsi="Times New Roman" w:cs="Times New Roman" w:hint="eastAsia"/>
          <w:color w:val="000000" w:themeColor="text1"/>
          <w:kern w:val="1"/>
          <w:sz w:val="24"/>
          <w:szCs w:val="24"/>
        </w:rPr>
        <w:t>HJ864.2018</w:t>
      </w:r>
      <w:r>
        <w:rPr>
          <w:rFonts w:ascii="Times New Roman" w:eastAsia="宋体" w:hAnsi="Times New Roman" w:cs="Times New Roman" w:hint="eastAsia"/>
          <w:color w:val="000000" w:themeColor="text1"/>
          <w:kern w:val="1"/>
          <w:sz w:val="24"/>
          <w:szCs w:val="24"/>
        </w:rPr>
        <w:t>）工业粉尘产污系数为</w:t>
      </w:r>
      <w:r>
        <w:rPr>
          <w:rFonts w:ascii="Times New Roman" w:eastAsia="宋体" w:hAnsi="Times New Roman" w:cs="Times New Roman" w:hint="eastAsia"/>
          <w:color w:val="000000" w:themeColor="text1"/>
          <w:kern w:val="1"/>
          <w:sz w:val="24"/>
          <w:szCs w:val="24"/>
        </w:rPr>
        <w:t>5.60</w:t>
      </w:r>
      <w:r>
        <w:rPr>
          <w:rFonts w:ascii="Times New Roman" w:eastAsia="宋体" w:hAnsi="Times New Roman" w:cs="Times New Roman" w:hint="eastAsia"/>
          <w:color w:val="000000" w:themeColor="text1"/>
          <w:kern w:val="1"/>
          <w:sz w:val="24"/>
          <w:szCs w:val="24"/>
        </w:rPr>
        <w:t>千克</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产品。预计硝基有机肥造粒废气颗粒物产生量</w:t>
      </w:r>
      <w:r>
        <w:rPr>
          <w:rFonts w:ascii="Times New Roman" w:eastAsia="宋体" w:hAnsi="Times New Roman" w:cs="Times New Roman" w:hint="eastAsia"/>
          <w:color w:val="000000" w:themeColor="text1"/>
          <w:kern w:val="1"/>
          <w:sz w:val="24"/>
          <w:szCs w:val="24"/>
        </w:rPr>
        <w:t>1680t/a</w:t>
      </w:r>
      <w:r>
        <w:rPr>
          <w:rFonts w:ascii="Times New Roman" w:eastAsia="宋体" w:hAnsi="Times New Roman" w:cs="Times New Roman" w:hint="eastAsia"/>
          <w:color w:val="000000" w:themeColor="text1"/>
          <w:kern w:val="1"/>
          <w:sz w:val="24"/>
          <w:szCs w:val="24"/>
        </w:rPr>
        <w:t>。废气经布袋除尘和湿法洗涤后后，经由</w:t>
      </w:r>
      <w:r>
        <w:rPr>
          <w:rFonts w:ascii="Times New Roman" w:eastAsia="宋体" w:hAnsi="Times New Roman" w:cs="Times New Roman" w:hint="eastAsia"/>
          <w:color w:val="000000" w:themeColor="text1"/>
          <w:kern w:val="1"/>
          <w:sz w:val="24"/>
          <w:szCs w:val="24"/>
        </w:rPr>
        <w:t>100m</w:t>
      </w:r>
      <w:r>
        <w:rPr>
          <w:rFonts w:ascii="Times New Roman" w:eastAsia="宋体" w:hAnsi="Times New Roman" w:cs="Times New Roman" w:hint="eastAsia"/>
          <w:color w:val="000000" w:themeColor="text1"/>
          <w:kern w:val="1"/>
          <w:sz w:val="24"/>
          <w:szCs w:val="24"/>
        </w:rPr>
        <w:t>高的造粒塔顶排气筒（</w:t>
      </w: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hint="eastAsia"/>
          <w:color w:val="000000" w:themeColor="text1"/>
          <w:kern w:val="1"/>
          <w:sz w:val="24"/>
          <w:szCs w:val="24"/>
        </w:rPr>
        <w:t>排气口）排放，废气排放量</w:t>
      </w:r>
      <w:r>
        <w:rPr>
          <w:rFonts w:ascii="Times New Roman" w:eastAsia="宋体" w:hAnsi="Times New Roman" w:cs="Times New Roman" w:hint="eastAsia"/>
          <w:color w:val="000000" w:themeColor="text1"/>
          <w:kern w:val="1"/>
          <w:sz w:val="24"/>
          <w:szCs w:val="24"/>
        </w:rPr>
        <w:t>75000m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/h</w:t>
      </w:r>
      <w:r>
        <w:rPr>
          <w:rFonts w:ascii="Times New Roman" w:eastAsia="宋体" w:hAnsi="Times New Roman" w:cs="Times New Roman" w:hint="eastAsia"/>
          <w:color w:val="000000" w:themeColor="text1"/>
          <w:kern w:val="1"/>
          <w:sz w:val="24"/>
          <w:szCs w:val="24"/>
        </w:rPr>
        <w:t>。布袋和湿法洗涤除尘综合效率以</w:t>
      </w:r>
      <w:r>
        <w:rPr>
          <w:rFonts w:ascii="Times New Roman" w:eastAsia="宋体" w:hAnsi="Times New Roman" w:cs="Times New Roman" w:hint="eastAsia"/>
          <w:color w:val="000000" w:themeColor="text1"/>
          <w:kern w:val="1"/>
          <w:sz w:val="24"/>
          <w:szCs w:val="24"/>
        </w:rPr>
        <w:t>99.5%</w:t>
      </w:r>
      <w:r>
        <w:rPr>
          <w:rFonts w:ascii="Times New Roman" w:eastAsia="宋体" w:hAnsi="Times New Roman" w:cs="Times New Roman" w:hint="eastAsia"/>
          <w:color w:val="000000" w:themeColor="text1"/>
          <w:kern w:val="1"/>
          <w:sz w:val="24"/>
          <w:szCs w:val="24"/>
        </w:rPr>
        <w:t>计，预计造粒废气经布袋除尘和湿法洗涤后，废气中颗粒物排</w:t>
      </w:r>
      <w:r>
        <w:rPr>
          <w:rFonts w:ascii="Times New Roman" w:eastAsia="宋体" w:hAnsi="Times New Roman" w:cs="Times New Roman" w:hint="eastAsia"/>
          <w:color w:val="000000" w:themeColor="text1"/>
          <w:kern w:val="1"/>
          <w:sz w:val="24"/>
          <w:szCs w:val="24"/>
        </w:rPr>
        <w:t>放量</w:t>
      </w:r>
      <w:r>
        <w:rPr>
          <w:rFonts w:ascii="Times New Roman" w:eastAsia="宋体" w:hAnsi="Times New Roman" w:cs="Times New Roman" w:hint="eastAsia"/>
          <w:color w:val="000000" w:themeColor="text1"/>
          <w:kern w:val="1"/>
          <w:sz w:val="24"/>
          <w:szCs w:val="24"/>
        </w:rPr>
        <w:t>8.4t/a</w:t>
      </w:r>
      <w:r>
        <w:rPr>
          <w:rFonts w:ascii="Times New Roman" w:eastAsia="宋体" w:hAnsi="Times New Roman" w:cs="Times New Roman" w:hint="eastAsia"/>
          <w:color w:val="000000" w:themeColor="text1"/>
          <w:kern w:val="1"/>
          <w:sz w:val="24"/>
          <w:szCs w:val="24"/>
        </w:rPr>
        <w:t>，约</w:t>
      </w:r>
      <w:r>
        <w:rPr>
          <w:rFonts w:ascii="Times New Roman" w:eastAsia="宋体" w:hAnsi="Times New Roman" w:cs="Times New Roman" w:hint="eastAsia"/>
          <w:color w:val="000000" w:themeColor="text1"/>
          <w:kern w:val="1"/>
          <w:sz w:val="24"/>
          <w:szCs w:val="24"/>
        </w:rPr>
        <w:t>1.167kg/h</w:t>
      </w:r>
      <w:r>
        <w:rPr>
          <w:rFonts w:ascii="Times New Roman" w:eastAsia="宋体" w:hAnsi="Times New Roman" w:cs="Times New Roman" w:hint="eastAsia"/>
          <w:color w:val="000000" w:themeColor="text1"/>
          <w:kern w:val="1"/>
          <w:sz w:val="24"/>
          <w:szCs w:val="24"/>
        </w:rPr>
        <w:t>，排放浓度</w:t>
      </w:r>
      <w:r>
        <w:rPr>
          <w:rFonts w:ascii="Times New Roman" w:eastAsia="宋体" w:hAnsi="Times New Roman" w:cs="Times New Roman" w:hint="eastAsia"/>
          <w:color w:val="000000" w:themeColor="text1"/>
          <w:kern w:val="1"/>
          <w:sz w:val="24"/>
          <w:szCs w:val="24"/>
        </w:rPr>
        <w:t>15.56mg/m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硝基有机肥造粒废气污染物排放情况见表</w:t>
      </w:r>
      <w:r>
        <w:rPr>
          <w:rFonts w:ascii="Times New Roman" w:eastAsia="宋体" w:hAnsi="Times New Roman" w:cs="Times New Roman" w:hint="eastAsia"/>
          <w:color w:val="000000" w:themeColor="text1"/>
          <w:kern w:val="1"/>
          <w:sz w:val="24"/>
          <w:szCs w:val="24"/>
        </w:rPr>
        <w:t>4.4-3</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表</w:t>
      </w:r>
      <w:r>
        <w:rPr>
          <w:rFonts w:ascii="Times New Roman" w:eastAsia="宋体" w:hAnsi="Times New Roman" w:cs="Times New Roman" w:hint="eastAsia"/>
          <w:color w:val="000000" w:themeColor="text1"/>
          <w:kern w:val="1"/>
          <w:sz w:val="24"/>
          <w:szCs w:val="24"/>
        </w:rPr>
        <w:t xml:space="preserve">4.4-3    </w:t>
      </w:r>
      <w:r>
        <w:rPr>
          <w:rFonts w:ascii="Times New Roman" w:eastAsia="宋体" w:hAnsi="Times New Roman" w:cs="Times New Roman" w:hint="eastAsia"/>
          <w:color w:val="000000" w:themeColor="text1"/>
          <w:kern w:val="1"/>
          <w:sz w:val="24"/>
          <w:szCs w:val="24"/>
        </w:rPr>
        <w:t>硝基有机肥造粒废气污染物排放情况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992"/>
        <w:gridCol w:w="1559"/>
        <w:gridCol w:w="1276"/>
        <w:gridCol w:w="2035"/>
      </w:tblGrid>
      <w:tr w:rsidR="00C861DA">
        <w:tc>
          <w:tcPr>
            <w:tcW w:w="138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排放源（编号）</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废气排放量（</w:t>
            </w:r>
            <w:r>
              <w:rPr>
                <w:rFonts w:ascii="Times New Roman" w:eastAsia="宋体" w:hAnsi="Times New Roman" w:cs="Times New Roman" w:hint="eastAsia"/>
                <w:color w:val="000000" w:themeColor="text1"/>
                <w:kern w:val="1"/>
              </w:rPr>
              <w:t>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/h</w:t>
            </w:r>
            <w:r>
              <w:rPr>
                <w:rFonts w:ascii="Times New Roman" w:eastAsia="宋体" w:hAnsi="Times New Roman" w:cs="Times New Roman" w:hint="eastAsia"/>
                <w:color w:val="000000" w:themeColor="text1"/>
                <w:kern w:val="1"/>
              </w:rPr>
              <w:t>）</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污染物名称</w:t>
            </w:r>
          </w:p>
        </w:tc>
        <w:tc>
          <w:tcPr>
            <w:tcW w:w="15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污染物排放浓度（</w:t>
            </w:r>
            <w:r>
              <w:rPr>
                <w:rFonts w:ascii="Times New Roman" w:eastAsia="宋体" w:hAnsi="Times New Roman" w:cs="Times New Roman" w:hint="eastAsia"/>
                <w:color w:val="000000" w:themeColor="text1"/>
                <w:kern w:val="1"/>
              </w:rPr>
              <w:t>mg/m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污染物排放量（</w:t>
            </w:r>
            <w:r>
              <w:rPr>
                <w:rFonts w:ascii="Times New Roman" w:eastAsia="宋体" w:hAnsi="Times New Roman" w:cs="Times New Roman" w:hint="eastAsia"/>
                <w:color w:val="000000" w:themeColor="text1"/>
                <w:kern w:val="1"/>
              </w:rPr>
              <w:t>kg/h</w:t>
            </w:r>
            <w:r>
              <w:rPr>
                <w:rFonts w:ascii="Times New Roman" w:eastAsia="宋体" w:hAnsi="Times New Roman" w:cs="Times New Roman" w:hint="eastAsia"/>
                <w:color w:val="000000" w:themeColor="text1"/>
                <w:kern w:val="1"/>
              </w:rPr>
              <w:t>）</w:t>
            </w:r>
          </w:p>
        </w:tc>
        <w:tc>
          <w:tcPr>
            <w:tcW w:w="203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排放参数</w:t>
            </w:r>
          </w:p>
        </w:tc>
      </w:tr>
      <w:tr w:rsidR="00C861DA">
        <w:trPr>
          <w:trHeight w:val="1300"/>
        </w:trPr>
        <w:tc>
          <w:tcPr>
            <w:tcW w:w="138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硝基有机肥造粒废气（</w:t>
            </w:r>
            <w:r>
              <w:rPr>
                <w:rFonts w:ascii="Times New Roman" w:eastAsia="宋体" w:hAnsi="Times New Roman" w:cs="Times New Roman" w:hint="eastAsia"/>
                <w:color w:val="000000" w:themeColor="text1"/>
                <w:kern w:val="1"/>
              </w:rPr>
              <w:t>G4</w:t>
            </w:r>
            <w:r>
              <w:rPr>
                <w:rFonts w:ascii="Times New Roman" w:eastAsia="宋体" w:hAnsi="Times New Roman" w:cs="Times New Roman" w:hint="eastAsia"/>
                <w:color w:val="000000" w:themeColor="text1"/>
                <w:kern w:val="1"/>
              </w:rPr>
              <w:t>）</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75000</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颗粒物</w:t>
            </w:r>
          </w:p>
        </w:tc>
        <w:tc>
          <w:tcPr>
            <w:tcW w:w="15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15.56</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1.167</w:t>
            </w:r>
          </w:p>
        </w:tc>
        <w:tc>
          <w:tcPr>
            <w:tcW w:w="203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排气筒高度：</w:t>
            </w:r>
            <w:r>
              <w:rPr>
                <w:rFonts w:ascii="Times New Roman" w:eastAsia="宋体" w:hAnsi="Times New Roman" w:cs="Times New Roman" w:hint="eastAsia"/>
                <w:color w:val="000000" w:themeColor="text1"/>
                <w:kern w:val="1"/>
              </w:rPr>
              <w:t>100m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排放口内径：</w:t>
            </w:r>
            <w:r>
              <w:rPr>
                <w:rFonts w:ascii="Times New Roman" w:eastAsia="宋体" w:hAnsi="Times New Roman" w:cs="Times New Roman" w:hint="eastAsia"/>
                <w:color w:val="000000" w:themeColor="text1"/>
                <w:kern w:val="1"/>
              </w:rPr>
              <w:t>1.2m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温度：</w:t>
            </w:r>
            <w:r>
              <w:rPr>
                <w:rFonts w:ascii="Times New Roman" w:eastAsia="宋体" w:hAnsi="Times New Roman" w:cs="Times New Roman" w:hint="eastAsia"/>
                <w:color w:val="000000" w:themeColor="text1"/>
                <w:kern w:val="1"/>
              </w:rPr>
              <w:t>45</w:t>
            </w:r>
            <w:r>
              <w:rPr>
                <w:rFonts w:ascii="Times New Roman" w:eastAsia="宋体" w:hAnsi="Times New Roman" w:cs="Times New Roman" w:hint="eastAsia"/>
                <w:color w:val="000000" w:themeColor="text1"/>
                <w:kern w:val="1"/>
              </w:rPr>
              <w:t>℃</w:t>
            </w:r>
          </w:p>
        </w:tc>
      </w:tr>
    </w:tbl>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4</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G5</w:t>
      </w:r>
      <w:r>
        <w:rPr>
          <w:rFonts w:ascii="Times New Roman" w:eastAsia="宋体" w:hAnsi="Times New Roman" w:cs="Times New Roman" w:hint="eastAsia"/>
          <w:color w:val="000000" w:themeColor="text1"/>
          <w:kern w:val="1"/>
          <w:sz w:val="24"/>
          <w:szCs w:val="24"/>
        </w:rPr>
        <w:t>：硝基复合肥产品滚筒冷却筛分废气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滚筒冷却和筛分废气中的主要污染物为颗粒物，废气经布袋除尘后，由</w:t>
      </w:r>
      <w:r>
        <w:rPr>
          <w:rFonts w:ascii="Times New Roman" w:eastAsia="宋体" w:hAnsi="Times New Roman" w:cs="Times New Roman" w:hint="eastAsia"/>
          <w:color w:val="000000" w:themeColor="text1"/>
          <w:kern w:val="1"/>
          <w:sz w:val="24"/>
          <w:szCs w:val="24"/>
        </w:rPr>
        <w:t>15m</w:t>
      </w:r>
      <w:r>
        <w:rPr>
          <w:rFonts w:ascii="Times New Roman" w:eastAsia="宋体" w:hAnsi="Times New Roman" w:cs="Times New Roman" w:hint="eastAsia"/>
          <w:color w:val="000000" w:themeColor="text1"/>
          <w:kern w:val="1"/>
          <w:sz w:val="24"/>
          <w:szCs w:val="24"/>
        </w:rPr>
        <w:t>高排气筒（</w:t>
      </w:r>
      <w:r>
        <w:rPr>
          <w:rFonts w:ascii="Times New Roman" w:eastAsia="宋体" w:hAnsi="Times New Roman" w:cs="Times New Roman" w:hint="eastAsia"/>
          <w:color w:val="000000" w:themeColor="text1"/>
          <w:kern w:val="1"/>
          <w:sz w:val="24"/>
          <w:szCs w:val="24"/>
        </w:rPr>
        <w:t>4#</w:t>
      </w:r>
      <w:r>
        <w:rPr>
          <w:rFonts w:ascii="Times New Roman" w:eastAsia="宋体" w:hAnsi="Times New Roman" w:cs="Times New Roman" w:hint="eastAsia"/>
          <w:color w:val="000000" w:themeColor="text1"/>
          <w:kern w:val="1"/>
          <w:sz w:val="24"/>
          <w:szCs w:val="24"/>
        </w:rPr>
        <w:t>排气筒）排放，冷却筛分废气产污系数以</w:t>
      </w:r>
      <w:r>
        <w:rPr>
          <w:rFonts w:ascii="Times New Roman" w:eastAsia="宋体" w:hAnsi="Times New Roman" w:cs="Times New Roman" w:hint="eastAsia"/>
          <w:color w:val="000000" w:themeColor="text1"/>
          <w:kern w:val="1"/>
          <w:sz w:val="24"/>
          <w:szCs w:val="24"/>
        </w:rPr>
        <w:t>1.0</w:t>
      </w:r>
      <w:r>
        <w:rPr>
          <w:rFonts w:ascii="Times New Roman" w:eastAsia="宋体" w:hAnsi="Times New Roman" w:cs="Times New Roman" w:hint="eastAsia"/>
          <w:color w:val="000000" w:themeColor="text1"/>
          <w:kern w:val="1"/>
          <w:sz w:val="24"/>
          <w:szCs w:val="24"/>
        </w:rPr>
        <w:t>千克</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产品计，约</w:t>
      </w:r>
      <w:r>
        <w:rPr>
          <w:rFonts w:ascii="Times New Roman" w:eastAsia="宋体" w:hAnsi="Times New Roman" w:cs="Times New Roman" w:hint="eastAsia"/>
          <w:color w:val="000000" w:themeColor="text1"/>
          <w:kern w:val="1"/>
          <w:sz w:val="24"/>
          <w:szCs w:val="24"/>
        </w:rPr>
        <w:t>300t/a</w:t>
      </w:r>
      <w:r>
        <w:rPr>
          <w:rFonts w:ascii="Times New Roman" w:eastAsia="宋体" w:hAnsi="Times New Roman" w:cs="Times New Roman" w:hint="eastAsia"/>
          <w:color w:val="000000" w:themeColor="text1"/>
          <w:kern w:val="1"/>
          <w:sz w:val="24"/>
          <w:szCs w:val="24"/>
        </w:rPr>
        <w:t>，冷却筛分废气采用布袋收尘措施，布袋除尘效率</w:t>
      </w:r>
      <w:r>
        <w:rPr>
          <w:rFonts w:ascii="Times New Roman" w:eastAsia="宋体" w:hAnsi="Times New Roman" w:cs="Times New Roman" w:hint="eastAsia"/>
          <w:color w:val="000000" w:themeColor="text1"/>
          <w:kern w:val="1"/>
          <w:sz w:val="24"/>
          <w:szCs w:val="24"/>
        </w:rPr>
        <w:t>99%</w:t>
      </w:r>
      <w:r>
        <w:rPr>
          <w:rFonts w:ascii="Times New Roman" w:eastAsia="宋体" w:hAnsi="Times New Roman" w:cs="Times New Roman" w:hint="eastAsia"/>
          <w:color w:val="000000" w:themeColor="text1"/>
          <w:kern w:val="1"/>
          <w:sz w:val="24"/>
          <w:szCs w:val="24"/>
        </w:rPr>
        <w:t>，废气排放量</w:t>
      </w:r>
      <w:r>
        <w:rPr>
          <w:rFonts w:ascii="Times New Roman" w:eastAsia="宋体" w:hAnsi="Times New Roman" w:cs="Times New Roman" w:hint="eastAsia"/>
          <w:color w:val="000000" w:themeColor="text1"/>
          <w:kern w:val="1"/>
          <w:sz w:val="24"/>
          <w:szCs w:val="24"/>
        </w:rPr>
        <w:t>7500m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/h</w:t>
      </w:r>
      <w:r>
        <w:rPr>
          <w:rFonts w:ascii="Times New Roman" w:eastAsia="宋体" w:hAnsi="Times New Roman" w:cs="Times New Roman" w:hint="eastAsia"/>
          <w:color w:val="000000" w:themeColor="text1"/>
          <w:kern w:val="1"/>
          <w:sz w:val="24"/>
          <w:szCs w:val="24"/>
        </w:rPr>
        <w:t>，经布袋除尘后，颗粒物排放量</w:t>
      </w:r>
      <w:r>
        <w:rPr>
          <w:rFonts w:ascii="Times New Roman" w:eastAsia="宋体" w:hAnsi="Times New Roman" w:cs="Times New Roman" w:hint="eastAsia"/>
          <w:color w:val="000000" w:themeColor="text1"/>
          <w:kern w:val="1"/>
          <w:sz w:val="24"/>
          <w:szCs w:val="24"/>
        </w:rPr>
        <w:t>3.0t/a</w:t>
      </w:r>
      <w:r>
        <w:rPr>
          <w:rFonts w:ascii="Times New Roman" w:eastAsia="宋体" w:hAnsi="Times New Roman" w:cs="Times New Roman" w:hint="eastAsia"/>
          <w:color w:val="000000" w:themeColor="text1"/>
          <w:kern w:val="1"/>
          <w:sz w:val="24"/>
          <w:szCs w:val="24"/>
        </w:rPr>
        <w:t>，约</w:t>
      </w:r>
      <w:r>
        <w:rPr>
          <w:rFonts w:ascii="Times New Roman" w:eastAsia="宋体" w:hAnsi="Times New Roman" w:cs="Times New Roman" w:hint="eastAsia"/>
          <w:color w:val="000000" w:themeColor="text1"/>
          <w:kern w:val="1"/>
          <w:sz w:val="24"/>
          <w:szCs w:val="24"/>
        </w:rPr>
        <w:t>0.42kg/h</w:t>
      </w:r>
      <w:r>
        <w:rPr>
          <w:rFonts w:ascii="Times New Roman" w:eastAsia="宋体" w:hAnsi="Times New Roman" w:cs="Times New Roman" w:hint="eastAsia"/>
          <w:color w:val="000000" w:themeColor="text1"/>
          <w:kern w:val="1"/>
          <w:sz w:val="24"/>
          <w:szCs w:val="24"/>
        </w:rPr>
        <w:t>，废气排放浓度</w:t>
      </w:r>
      <w:r>
        <w:rPr>
          <w:rFonts w:ascii="Times New Roman" w:eastAsia="宋体" w:hAnsi="Times New Roman" w:cs="Times New Roman" w:hint="eastAsia"/>
          <w:color w:val="000000" w:themeColor="text1"/>
          <w:kern w:val="1"/>
          <w:sz w:val="24"/>
          <w:szCs w:val="24"/>
        </w:rPr>
        <w:t>56mg/m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硝基复合肥产品滚筒冷却筛分废气污染物排放情况见表</w:t>
      </w:r>
      <w:r>
        <w:rPr>
          <w:rFonts w:ascii="Times New Roman" w:eastAsia="宋体" w:hAnsi="Times New Roman" w:cs="Times New Roman" w:hint="eastAsia"/>
          <w:color w:val="000000" w:themeColor="text1"/>
          <w:kern w:val="1"/>
          <w:sz w:val="24"/>
          <w:szCs w:val="24"/>
        </w:rPr>
        <w:t>4.4-4</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表</w:t>
      </w:r>
      <w:r>
        <w:rPr>
          <w:rFonts w:ascii="Times New Roman" w:eastAsia="宋体" w:hAnsi="Times New Roman" w:cs="Times New Roman" w:hint="eastAsia"/>
          <w:color w:val="000000" w:themeColor="text1"/>
          <w:kern w:val="1"/>
          <w:sz w:val="24"/>
          <w:szCs w:val="24"/>
        </w:rPr>
        <w:t xml:space="preserve">4.4-4    </w:t>
      </w:r>
      <w:r>
        <w:rPr>
          <w:rFonts w:ascii="Times New Roman" w:eastAsia="宋体" w:hAnsi="Times New Roman" w:cs="Times New Roman" w:hint="eastAsia"/>
          <w:color w:val="000000" w:themeColor="text1"/>
          <w:kern w:val="1"/>
          <w:sz w:val="24"/>
          <w:szCs w:val="24"/>
        </w:rPr>
        <w:t>硝基有机肥产品滚筒冷却筛分废气污染物排放情况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992"/>
        <w:gridCol w:w="1559"/>
        <w:gridCol w:w="1276"/>
        <w:gridCol w:w="2035"/>
      </w:tblGrid>
      <w:tr w:rsidR="00C861DA">
        <w:tc>
          <w:tcPr>
            <w:tcW w:w="138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排放源（编号）</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废气排放量（</w:t>
            </w:r>
            <w:r>
              <w:rPr>
                <w:rFonts w:ascii="Times New Roman" w:eastAsia="宋体" w:hAnsi="Times New Roman" w:cs="Times New Roman" w:hint="eastAsia"/>
                <w:color w:val="000000" w:themeColor="text1"/>
                <w:kern w:val="1"/>
              </w:rPr>
              <w:t>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/h</w:t>
            </w:r>
            <w:r>
              <w:rPr>
                <w:rFonts w:ascii="Times New Roman" w:eastAsia="宋体" w:hAnsi="Times New Roman" w:cs="Times New Roman" w:hint="eastAsia"/>
                <w:color w:val="000000" w:themeColor="text1"/>
                <w:kern w:val="1"/>
              </w:rPr>
              <w:t>）</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污染物名称</w:t>
            </w:r>
          </w:p>
        </w:tc>
        <w:tc>
          <w:tcPr>
            <w:tcW w:w="15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污染物排放浓度（</w:t>
            </w:r>
            <w:r>
              <w:rPr>
                <w:rFonts w:ascii="Times New Roman" w:eastAsia="宋体" w:hAnsi="Times New Roman" w:cs="Times New Roman" w:hint="eastAsia"/>
                <w:color w:val="000000" w:themeColor="text1"/>
                <w:kern w:val="1"/>
              </w:rPr>
              <w:t>mg/m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污染物排放量（</w:t>
            </w:r>
            <w:r>
              <w:rPr>
                <w:rFonts w:ascii="Times New Roman" w:eastAsia="宋体" w:hAnsi="Times New Roman" w:cs="Times New Roman" w:hint="eastAsia"/>
                <w:color w:val="000000" w:themeColor="text1"/>
                <w:kern w:val="1"/>
              </w:rPr>
              <w:t>kg/h</w:t>
            </w:r>
            <w:r>
              <w:rPr>
                <w:rFonts w:ascii="Times New Roman" w:eastAsia="宋体" w:hAnsi="Times New Roman" w:cs="Times New Roman" w:hint="eastAsia"/>
                <w:color w:val="000000" w:themeColor="text1"/>
                <w:kern w:val="1"/>
              </w:rPr>
              <w:t>）</w:t>
            </w:r>
          </w:p>
        </w:tc>
        <w:tc>
          <w:tcPr>
            <w:tcW w:w="203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排放参数</w:t>
            </w:r>
          </w:p>
        </w:tc>
      </w:tr>
      <w:tr w:rsidR="00C861DA">
        <w:tc>
          <w:tcPr>
            <w:tcW w:w="138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sz w:val="24"/>
                <w:szCs w:val="24"/>
              </w:rPr>
              <w:t>硝基有机肥产品滚筒冷却筛分</w:t>
            </w:r>
            <w:r>
              <w:rPr>
                <w:rFonts w:ascii="Times New Roman" w:eastAsia="宋体" w:hAnsi="Times New Roman" w:cs="Times New Roman" w:hint="eastAsia"/>
                <w:color w:val="000000" w:themeColor="text1"/>
                <w:kern w:val="1"/>
              </w:rPr>
              <w:t>（</w:t>
            </w:r>
            <w:r>
              <w:rPr>
                <w:rFonts w:ascii="Times New Roman" w:eastAsia="宋体" w:hAnsi="Times New Roman" w:cs="Times New Roman" w:hint="eastAsia"/>
                <w:color w:val="000000" w:themeColor="text1"/>
                <w:kern w:val="1"/>
              </w:rPr>
              <w:t>G5</w:t>
            </w:r>
            <w:r>
              <w:rPr>
                <w:rFonts w:ascii="Times New Roman" w:eastAsia="宋体" w:hAnsi="Times New Roman" w:cs="Times New Roman" w:hint="eastAsia"/>
                <w:color w:val="000000" w:themeColor="text1"/>
                <w:kern w:val="1"/>
              </w:rPr>
              <w:t>）</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7500</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颗粒物</w:t>
            </w:r>
          </w:p>
        </w:tc>
        <w:tc>
          <w:tcPr>
            <w:tcW w:w="15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56</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0.42</w:t>
            </w:r>
          </w:p>
        </w:tc>
        <w:tc>
          <w:tcPr>
            <w:tcW w:w="203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排气筒高度：</w:t>
            </w:r>
            <w:r>
              <w:rPr>
                <w:rFonts w:ascii="Times New Roman" w:eastAsia="宋体" w:hAnsi="Times New Roman" w:cs="Times New Roman" w:hint="eastAsia"/>
                <w:color w:val="000000" w:themeColor="text1"/>
                <w:kern w:val="1"/>
              </w:rPr>
              <w:t>15m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排放口内径：</w:t>
            </w:r>
            <w:r>
              <w:rPr>
                <w:rFonts w:ascii="Times New Roman" w:eastAsia="宋体" w:hAnsi="Times New Roman" w:cs="Times New Roman" w:hint="eastAsia"/>
                <w:color w:val="000000" w:themeColor="text1"/>
                <w:kern w:val="1"/>
              </w:rPr>
              <w:t>0.5m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温度：</w:t>
            </w:r>
            <w:r>
              <w:rPr>
                <w:rFonts w:ascii="Times New Roman" w:eastAsia="宋体" w:hAnsi="Times New Roman" w:cs="Times New Roman" w:hint="eastAsia"/>
                <w:color w:val="000000" w:themeColor="text1"/>
                <w:kern w:val="1"/>
              </w:rPr>
              <w:t>25</w:t>
            </w:r>
            <w:r>
              <w:rPr>
                <w:rFonts w:ascii="Times New Roman" w:eastAsia="宋体" w:hAnsi="Times New Roman" w:cs="Times New Roman" w:hint="eastAsia"/>
                <w:color w:val="000000" w:themeColor="text1"/>
                <w:kern w:val="1"/>
              </w:rPr>
              <w:t>℃</w:t>
            </w:r>
          </w:p>
        </w:tc>
      </w:tr>
    </w:tbl>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5</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G6</w:t>
      </w:r>
      <w:r>
        <w:rPr>
          <w:rFonts w:ascii="Times New Roman" w:eastAsia="宋体" w:hAnsi="Times New Roman" w:cs="Times New Roman" w:hint="eastAsia"/>
          <w:color w:val="000000" w:themeColor="text1"/>
          <w:kern w:val="0"/>
          <w:sz w:val="24"/>
          <w:szCs w:val="24"/>
        </w:rPr>
        <w:t>：尿素合成尾气</w:t>
      </w:r>
    </w:p>
    <w:p w:rsidR="00C861DA" w:rsidRDefault="0044752E">
      <w:pPr>
        <w:widowControl/>
        <w:autoSpaceDE/>
        <w:autoSpaceDN/>
        <w:snapToGrid w:val="0"/>
        <w:spacing w:line="360" w:lineRule="auto"/>
        <w:ind w:firstLineChars="200" w:firstLine="480"/>
        <w:rPr>
          <w:rFonts w:ascii="Tahoma" w:eastAsia="宋体" w:hAnsi="Tahoma" w:cs="Times New Roman"/>
          <w:color w:val="000000" w:themeColor="text1"/>
          <w:kern w:val="0"/>
          <w:sz w:val="22"/>
          <w:szCs w:val="22"/>
        </w:rPr>
      </w:pPr>
      <w:r>
        <w:rPr>
          <w:rFonts w:ascii="Times New Roman" w:eastAsia="宋体" w:hAnsi="Times New Roman" w:cs="Times New Roman"/>
          <w:color w:val="000000" w:themeColor="text1"/>
          <w:kern w:val="0"/>
          <w:sz w:val="24"/>
          <w:szCs w:val="24"/>
        </w:rPr>
        <w:t>出</w:t>
      </w:r>
      <w:r>
        <w:rPr>
          <w:rFonts w:ascii="Times New Roman" w:eastAsia="宋体" w:hAnsi="Times New Roman" w:cs="Times New Roman" w:hint="eastAsia"/>
          <w:color w:val="000000" w:themeColor="text1"/>
          <w:kern w:val="0"/>
          <w:sz w:val="24"/>
          <w:szCs w:val="24"/>
        </w:rPr>
        <w:t>尿素合成装置</w:t>
      </w:r>
      <w:r>
        <w:rPr>
          <w:rFonts w:ascii="Times New Roman" w:eastAsia="宋体" w:hAnsi="Times New Roman" w:cs="Times New Roman"/>
          <w:color w:val="000000" w:themeColor="text1"/>
          <w:kern w:val="0"/>
          <w:sz w:val="24"/>
          <w:szCs w:val="24"/>
        </w:rPr>
        <w:t>全冷凝反应器的未反应的</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及惰性气体进入高压洗涤器，在高压洗涤器内被来自中压分解回收工序的甲铵液冷凝吸收（通过高压甲铵泵来升压），洗涤后的液体靠重力自流入全冷凝反应器底部。高压洗涤器出口的气体中含少量的氨和二氧化碳（</w:t>
      </w:r>
      <w:r>
        <w:rPr>
          <w:rFonts w:ascii="Times New Roman" w:eastAsia="宋体" w:hAnsi="Times New Roman" w:cs="Times New Roman"/>
          <w:color w:val="000000" w:themeColor="text1"/>
          <w:kern w:val="0"/>
          <w:sz w:val="24"/>
          <w:szCs w:val="24"/>
        </w:rPr>
        <w:t>Ur</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1.64%</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4.73%</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1.6%</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H</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O:91.97%</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hint="eastAsia"/>
          <w:color w:val="000000" w:themeColor="text1"/>
          <w:kern w:val="0"/>
          <w:sz w:val="24"/>
          <w:szCs w:val="24"/>
        </w:rPr>
        <w:t>其中氨含量</w:t>
      </w:r>
      <w:r>
        <w:rPr>
          <w:rFonts w:ascii="Times New Roman" w:eastAsia="宋体" w:hAnsi="Times New Roman" w:cs="Times New Roman" w:hint="eastAsia"/>
          <w:color w:val="000000" w:themeColor="text1"/>
          <w:kern w:val="0"/>
          <w:sz w:val="24"/>
          <w:szCs w:val="24"/>
        </w:rPr>
        <w:t>1.18t/a</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减压后送入尾气吸收器，用尿液蒸发系统产生的工艺冷凝液和蒸汽冷凝液进行分段洗涤，经洗涤后的尾气中绝大部分为氮气和氧气，含有极少了的</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NH</w:t>
      </w:r>
      <w:r>
        <w:rPr>
          <w:rFonts w:ascii="Times New Roman" w:eastAsia="宋体" w:hAnsi="Times New Roman" w:cs="Times New Roman"/>
          <w:color w:val="000000" w:themeColor="text1"/>
          <w:kern w:val="0"/>
          <w:sz w:val="24"/>
          <w:szCs w:val="24"/>
          <w:vertAlign w:val="subscript"/>
        </w:rPr>
        <w:t>3</w:t>
      </w:r>
      <w:r>
        <w:rPr>
          <w:rFonts w:ascii="Times New Roman" w:eastAsia="宋体" w:hAnsi="Times New Roman" w:cs="Times New Roman"/>
          <w:color w:val="000000" w:themeColor="text1"/>
          <w:kern w:val="0"/>
          <w:sz w:val="24"/>
          <w:szCs w:val="24"/>
        </w:rPr>
        <w:t>含量</w:t>
      </w:r>
      <w:r>
        <w:rPr>
          <w:rFonts w:ascii="Times New Roman" w:eastAsia="宋体" w:hAnsi="Times New Roman" w:cs="Times New Roman" w:hint="eastAsia"/>
          <w:color w:val="000000" w:themeColor="text1"/>
          <w:kern w:val="0"/>
          <w:sz w:val="24"/>
          <w:szCs w:val="24"/>
        </w:rPr>
        <w:t>降低到</w:t>
      </w:r>
      <w:r>
        <w:rPr>
          <w:rFonts w:ascii="Times New Roman" w:eastAsia="宋体" w:hAnsi="Times New Roman" w:cs="Times New Roman"/>
          <w:color w:val="000000" w:themeColor="text1"/>
          <w:kern w:val="0"/>
          <w:sz w:val="24"/>
          <w:szCs w:val="24"/>
        </w:rPr>
        <w:t>0.35%</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hint="eastAsia"/>
          <w:color w:val="000000" w:themeColor="text1"/>
          <w:kern w:val="0"/>
          <w:sz w:val="24"/>
          <w:szCs w:val="24"/>
        </w:rPr>
        <w:t>约</w:t>
      </w:r>
      <w:r>
        <w:rPr>
          <w:rFonts w:ascii="Times New Roman" w:eastAsia="宋体" w:hAnsi="Times New Roman" w:cs="Times New Roman" w:hint="eastAsia"/>
          <w:color w:val="000000" w:themeColor="text1"/>
          <w:kern w:val="0"/>
          <w:sz w:val="24"/>
          <w:szCs w:val="24"/>
        </w:rPr>
        <w:t>0.09t/a</w:t>
      </w:r>
      <w:r>
        <w:rPr>
          <w:rFonts w:ascii="Times New Roman" w:eastAsia="宋体" w:hAnsi="Times New Roman" w:cs="Times New Roman" w:hint="eastAsia"/>
          <w:color w:val="000000" w:themeColor="text1"/>
          <w:kern w:val="0"/>
          <w:sz w:val="24"/>
          <w:szCs w:val="24"/>
        </w:rPr>
        <w:t>，排放量</w:t>
      </w:r>
      <w:r>
        <w:rPr>
          <w:rFonts w:ascii="Times New Roman" w:eastAsia="宋体" w:hAnsi="Times New Roman" w:cs="Times New Roman" w:hint="eastAsia"/>
          <w:color w:val="000000" w:themeColor="text1"/>
          <w:kern w:val="0"/>
          <w:sz w:val="24"/>
          <w:szCs w:val="24"/>
        </w:rPr>
        <w:t>0.0125kg/h</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hint="eastAsia"/>
          <w:color w:val="000000" w:themeColor="text1"/>
          <w:kern w:val="0"/>
          <w:sz w:val="24"/>
          <w:szCs w:val="24"/>
        </w:rPr>
        <w:t>排放浓度</w:t>
      </w:r>
      <w:r>
        <w:rPr>
          <w:rFonts w:ascii="Times New Roman" w:eastAsia="宋体" w:hAnsi="Times New Roman" w:cs="Times New Roman"/>
          <w:color w:val="000000" w:themeColor="text1"/>
          <w:kern w:val="0"/>
          <w:sz w:val="24"/>
          <w:szCs w:val="24"/>
        </w:rPr>
        <w:t>通过排放筒</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5#</w:t>
      </w:r>
      <w:r>
        <w:rPr>
          <w:rFonts w:ascii="Times New Roman" w:eastAsia="宋体" w:hAnsi="Times New Roman" w:cs="Times New Roman" w:hint="eastAsia"/>
          <w:color w:val="000000" w:themeColor="text1"/>
          <w:kern w:val="0"/>
          <w:sz w:val="24"/>
          <w:szCs w:val="24"/>
        </w:rPr>
        <w:t>排气筒）排放，排气筒高度</w:t>
      </w:r>
      <w:r>
        <w:rPr>
          <w:rFonts w:ascii="Times New Roman" w:eastAsia="宋体" w:hAnsi="Times New Roman" w:cs="Times New Roman" w:hint="eastAsia"/>
          <w:color w:val="000000" w:themeColor="text1"/>
          <w:kern w:val="0"/>
          <w:sz w:val="24"/>
          <w:szCs w:val="24"/>
        </w:rPr>
        <w:t>30m</w:t>
      </w:r>
      <w:r>
        <w:rPr>
          <w:rFonts w:ascii="Times New Roman" w:eastAsia="宋体" w:hAnsi="Times New Roman" w:cs="Times New Roman" w:hint="eastAsia"/>
          <w:color w:val="000000" w:themeColor="text1"/>
          <w:kern w:val="0"/>
          <w:sz w:val="24"/>
          <w:szCs w:val="24"/>
        </w:rPr>
        <w:t>，外排废气中氨。尿素合成尾气废气排放情况见表</w:t>
      </w:r>
      <w:r>
        <w:rPr>
          <w:rFonts w:ascii="Times New Roman" w:eastAsia="宋体" w:hAnsi="Times New Roman" w:cs="Times New Roman" w:hint="eastAsia"/>
          <w:color w:val="000000" w:themeColor="text1"/>
          <w:kern w:val="0"/>
          <w:sz w:val="24"/>
          <w:szCs w:val="24"/>
        </w:rPr>
        <w:t>4.4-5</w:t>
      </w:r>
      <w:r>
        <w:rPr>
          <w:rFonts w:ascii="Times New Roman" w:eastAsia="宋体" w:hAnsi="Times New Roman" w:cs="Times New Roman" w:hint="eastAsia"/>
          <w:color w:val="000000" w:themeColor="text1"/>
          <w:kern w:val="0"/>
          <w:sz w:val="24"/>
          <w:szCs w:val="24"/>
        </w:rPr>
        <w:t>。</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表</w:t>
      </w:r>
      <w:r>
        <w:rPr>
          <w:rFonts w:ascii="Times New Roman" w:eastAsia="宋体" w:hAnsi="Times New Roman" w:cs="Times New Roman" w:hint="eastAsia"/>
          <w:color w:val="000000" w:themeColor="text1"/>
          <w:kern w:val="1"/>
          <w:sz w:val="24"/>
          <w:szCs w:val="24"/>
        </w:rPr>
        <w:t xml:space="preserve">4.4-5    </w:t>
      </w:r>
      <w:r>
        <w:rPr>
          <w:rFonts w:ascii="Times New Roman" w:eastAsia="宋体" w:hAnsi="Times New Roman" w:cs="Times New Roman" w:hint="eastAsia"/>
          <w:color w:val="000000" w:themeColor="text1"/>
          <w:kern w:val="1"/>
          <w:sz w:val="24"/>
          <w:szCs w:val="24"/>
        </w:rPr>
        <w:t>尿素合成废气污染物排放情况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992"/>
        <w:gridCol w:w="1559"/>
        <w:gridCol w:w="1276"/>
        <w:gridCol w:w="2035"/>
      </w:tblGrid>
      <w:tr w:rsidR="00C861DA">
        <w:tc>
          <w:tcPr>
            <w:tcW w:w="138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排放源（编号）</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废气排放量（</w:t>
            </w:r>
            <w:r>
              <w:rPr>
                <w:rFonts w:ascii="Times New Roman" w:eastAsia="宋体" w:hAnsi="Times New Roman" w:cs="Times New Roman" w:hint="eastAsia"/>
                <w:color w:val="000000" w:themeColor="text1"/>
                <w:kern w:val="1"/>
              </w:rPr>
              <w:t>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/h</w:t>
            </w:r>
            <w:r>
              <w:rPr>
                <w:rFonts w:ascii="Times New Roman" w:eastAsia="宋体" w:hAnsi="Times New Roman" w:cs="Times New Roman" w:hint="eastAsia"/>
                <w:color w:val="000000" w:themeColor="text1"/>
                <w:kern w:val="1"/>
              </w:rPr>
              <w:t>）</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污染物名称</w:t>
            </w:r>
          </w:p>
        </w:tc>
        <w:tc>
          <w:tcPr>
            <w:tcW w:w="15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污染物排放浓度（</w:t>
            </w:r>
            <w:r>
              <w:rPr>
                <w:rFonts w:ascii="Times New Roman" w:eastAsia="宋体" w:hAnsi="Times New Roman" w:cs="Times New Roman" w:hint="eastAsia"/>
                <w:color w:val="000000" w:themeColor="text1"/>
                <w:kern w:val="1"/>
              </w:rPr>
              <w:t>mg/m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污染物排放量（</w:t>
            </w:r>
            <w:r>
              <w:rPr>
                <w:rFonts w:ascii="Times New Roman" w:eastAsia="宋体" w:hAnsi="Times New Roman" w:cs="Times New Roman" w:hint="eastAsia"/>
                <w:color w:val="000000" w:themeColor="text1"/>
                <w:kern w:val="1"/>
              </w:rPr>
              <w:t>kg/h</w:t>
            </w:r>
            <w:r>
              <w:rPr>
                <w:rFonts w:ascii="Times New Roman" w:eastAsia="宋体" w:hAnsi="Times New Roman" w:cs="Times New Roman" w:hint="eastAsia"/>
                <w:color w:val="000000" w:themeColor="text1"/>
                <w:kern w:val="1"/>
              </w:rPr>
              <w:t>）</w:t>
            </w:r>
          </w:p>
        </w:tc>
        <w:tc>
          <w:tcPr>
            <w:tcW w:w="203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排放参数</w:t>
            </w:r>
          </w:p>
        </w:tc>
      </w:tr>
      <w:tr w:rsidR="00C861DA">
        <w:tc>
          <w:tcPr>
            <w:tcW w:w="138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尿素合成尾气（</w:t>
            </w:r>
            <w:r>
              <w:rPr>
                <w:rFonts w:ascii="Times New Roman" w:eastAsia="宋体" w:hAnsi="Times New Roman" w:cs="Times New Roman" w:hint="eastAsia"/>
                <w:color w:val="000000" w:themeColor="text1"/>
                <w:kern w:val="1"/>
              </w:rPr>
              <w:t>G6</w:t>
            </w:r>
            <w:r>
              <w:rPr>
                <w:rFonts w:ascii="Times New Roman" w:eastAsia="宋体" w:hAnsi="Times New Roman" w:cs="Times New Roman" w:hint="eastAsia"/>
                <w:color w:val="000000" w:themeColor="text1"/>
                <w:kern w:val="1"/>
              </w:rPr>
              <w:t>）</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5000</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氨</w:t>
            </w:r>
          </w:p>
        </w:tc>
        <w:tc>
          <w:tcPr>
            <w:tcW w:w="15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2.5</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0.0125</w:t>
            </w:r>
          </w:p>
        </w:tc>
        <w:tc>
          <w:tcPr>
            <w:tcW w:w="203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排气筒高度：</w:t>
            </w:r>
            <w:r>
              <w:rPr>
                <w:rFonts w:ascii="Times New Roman" w:eastAsia="宋体" w:hAnsi="Times New Roman" w:cs="Times New Roman" w:hint="eastAsia"/>
                <w:color w:val="000000" w:themeColor="text1"/>
                <w:kern w:val="1"/>
              </w:rPr>
              <w:t>30m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排放口内径：</w:t>
            </w:r>
            <w:r>
              <w:rPr>
                <w:rFonts w:ascii="Times New Roman" w:eastAsia="宋体" w:hAnsi="Times New Roman" w:cs="Times New Roman" w:hint="eastAsia"/>
                <w:color w:val="000000" w:themeColor="text1"/>
                <w:kern w:val="1"/>
              </w:rPr>
              <w:t>0.8m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温度：</w:t>
            </w:r>
            <w:r>
              <w:rPr>
                <w:rFonts w:ascii="Times New Roman" w:eastAsia="宋体" w:hAnsi="Times New Roman" w:cs="Times New Roman" w:hint="eastAsia"/>
                <w:color w:val="000000" w:themeColor="text1"/>
                <w:kern w:val="1"/>
              </w:rPr>
              <w:t>25</w:t>
            </w:r>
            <w:r>
              <w:rPr>
                <w:rFonts w:ascii="Times New Roman" w:eastAsia="宋体" w:hAnsi="Times New Roman" w:cs="Times New Roman" w:hint="eastAsia"/>
                <w:color w:val="000000" w:themeColor="text1"/>
                <w:kern w:val="1"/>
              </w:rPr>
              <w:t>℃</w:t>
            </w:r>
          </w:p>
        </w:tc>
      </w:tr>
    </w:tbl>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6</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G7</w:t>
      </w:r>
      <w:r>
        <w:rPr>
          <w:rFonts w:ascii="Times New Roman" w:eastAsia="宋体" w:hAnsi="Times New Roman" w:cs="Times New Roman" w:hint="eastAsia"/>
          <w:color w:val="000000" w:themeColor="text1"/>
          <w:kern w:val="0"/>
          <w:sz w:val="24"/>
          <w:szCs w:val="24"/>
        </w:rPr>
        <w:t>：中压吸收尾气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中压吸收过程中，</w:t>
      </w:r>
      <w:r>
        <w:rPr>
          <w:rFonts w:ascii="Times New Roman" w:eastAsia="宋体" w:hAnsi="Times New Roman" w:cs="Times New Roman"/>
          <w:color w:val="000000" w:themeColor="text1"/>
          <w:kern w:val="0"/>
          <w:sz w:val="24"/>
          <w:szCs w:val="24"/>
        </w:rPr>
        <w:t>气液混合物在中压吸收塔下部进行分离，</w:t>
      </w:r>
      <w:r>
        <w:rPr>
          <w:rFonts w:ascii="Times New Roman" w:eastAsia="宋体" w:hAnsi="Times New Roman" w:cs="Times New Roman" w:hint="eastAsia"/>
          <w:color w:val="000000" w:themeColor="text1"/>
          <w:kern w:val="0"/>
          <w:sz w:val="24"/>
          <w:szCs w:val="24"/>
        </w:rPr>
        <w:t>根据氨平衡，</w:t>
      </w:r>
      <w:r>
        <w:rPr>
          <w:rFonts w:ascii="Times New Roman" w:eastAsia="宋体" w:hAnsi="Times New Roman" w:cs="Times New Roman"/>
          <w:color w:val="000000" w:themeColor="text1"/>
          <w:kern w:val="0"/>
          <w:sz w:val="24"/>
          <w:szCs w:val="24"/>
        </w:rPr>
        <w:t>气体</w:t>
      </w:r>
      <w:r>
        <w:rPr>
          <w:rFonts w:ascii="Times New Roman" w:eastAsia="宋体" w:hAnsi="Times New Roman" w:cs="Times New Roman" w:hint="eastAsia"/>
          <w:color w:val="000000" w:themeColor="text1"/>
          <w:kern w:val="0"/>
          <w:sz w:val="24"/>
          <w:szCs w:val="24"/>
        </w:rPr>
        <w:t>中的主要污染物为氨，氨的含量</w:t>
      </w:r>
      <w:r>
        <w:rPr>
          <w:rFonts w:ascii="Times New Roman" w:eastAsia="宋体" w:hAnsi="Times New Roman" w:cs="Times New Roman" w:hint="eastAsia"/>
          <w:color w:val="000000" w:themeColor="text1"/>
          <w:kern w:val="0"/>
          <w:sz w:val="24"/>
          <w:szCs w:val="24"/>
        </w:rPr>
        <w:t>10t/a</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进入上部填料段，用中压甲铵液和稀氨水吸收，</w:t>
      </w:r>
      <w:r>
        <w:rPr>
          <w:rFonts w:ascii="Times New Roman" w:eastAsia="宋体" w:hAnsi="Times New Roman" w:cs="Times New Roman" w:hint="eastAsia"/>
          <w:color w:val="000000" w:themeColor="text1"/>
          <w:kern w:val="0"/>
          <w:sz w:val="24"/>
          <w:szCs w:val="24"/>
        </w:rPr>
        <w:t>吸收效率</w:t>
      </w:r>
      <w:r>
        <w:rPr>
          <w:rFonts w:ascii="Times New Roman" w:eastAsia="宋体" w:hAnsi="Times New Roman" w:cs="Times New Roman" w:hint="eastAsia"/>
          <w:color w:val="000000" w:themeColor="text1"/>
          <w:kern w:val="0"/>
          <w:sz w:val="24"/>
          <w:szCs w:val="24"/>
        </w:rPr>
        <w:t>95%</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未被吸收的气体经减压后去</w:t>
      </w:r>
      <w:r>
        <w:rPr>
          <w:rFonts w:ascii="Times New Roman" w:eastAsia="宋体" w:hAnsi="Times New Roman" w:cs="Times New Roman" w:hint="eastAsia"/>
          <w:color w:val="000000" w:themeColor="text1"/>
          <w:kern w:val="0"/>
          <w:sz w:val="24"/>
          <w:szCs w:val="24"/>
        </w:rPr>
        <w:t>常压</w:t>
      </w:r>
      <w:r>
        <w:rPr>
          <w:rFonts w:ascii="Times New Roman" w:eastAsia="宋体" w:hAnsi="Times New Roman" w:cs="Times New Roman"/>
          <w:color w:val="000000" w:themeColor="text1"/>
          <w:kern w:val="0"/>
          <w:sz w:val="24"/>
          <w:szCs w:val="24"/>
        </w:rPr>
        <w:t>尾气洗涤器进一步吸收后排入大气</w:t>
      </w:r>
      <w:r>
        <w:rPr>
          <w:rFonts w:ascii="Times New Roman" w:eastAsia="宋体" w:hAnsi="Times New Roman" w:cs="Times New Roman" w:hint="eastAsia"/>
          <w:color w:val="000000" w:themeColor="text1"/>
          <w:kern w:val="0"/>
          <w:sz w:val="24"/>
          <w:szCs w:val="24"/>
        </w:rPr>
        <w:t>，排气筒（</w:t>
      </w:r>
      <w:r>
        <w:rPr>
          <w:rFonts w:ascii="Times New Roman" w:eastAsia="宋体" w:hAnsi="Times New Roman" w:cs="Times New Roman" w:hint="eastAsia"/>
          <w:color w:val="000000" w:themeColor="text1"/>
          <w:kern w:val="0"/>
          <w:sz w:val="24"/>
          <w:szCs w:val="24"/>
        </w:rPr>
        <w:t>6#</w:t>
      </w:r>
      <w:r>
        <w:rPr>
          <w:rFonts w:ascii="Times New Roman" w:eastAsia="宋体" w:hAnsi="Times New Roman" w:cs="Times New Roman" w:hint="eastAsia"/>
          <w:color w:val="000000" w:themeColor="text1"/>
          <w:kern w:val="0"/>
          <w:sz w:val="24"/>
          <w:szCs w:val="24"/>
        </w:rPr>
        <w:t>排气筒）高度</w:t>
      </w:r>
      <w:r>
        <w:rPr>
          <w:rFonts w:ascii="Times New Roman" w:eastAsia="宋体" w:hAnsi="Times New Roman" w:cs="Times New Roman" w:hint="eastAsia"/>
          <w:color w:val="000000" w:themeColor="text1"/>
          <w:kern w:val="0"/>
          <w:sz w:val="24"/>
          <w:szCs w:val="24"/>
        </w:rPr>
        <w:t>30m</w:t>
      </w:r>
      <w:r>
        <w:rPr>
          <w:rFonts w:ascii="Times New Roman" w:eastAsia="宋体" w:hAnsi="Times New Roman" w:cs="Times New Roman" w:hint="eastAsia"/>
          <w:color w:val="000000" w:themeColor="text1"/>
          <w:kern w:val="0"/>
          <w:sz w:val="24"/>
          <w:szCs w:val="24"/>
        </w:rPr>
        <w:t>，废气排放量</w:t>
      </w:r>
      <w:r>
        <w:rPr>
          <w:rFonts w:ascii="Times New Roman" w:eastAsia="宋体" w:hAnsi="Times New Roman" w:cs="Times New Roman" w:hint="eastAsia"/>
          <w:color w:val="000000" w:themeColor="text1"/>
          <w:kern w:val="0"/>
          <w:sz w:val="24"/>
          <w:szCs w:val="24"/>
        </w:rPr>
        <w:t>2000m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/h</w:t>
      </w:r>
      <w:r>
        <w:rPr>
          <w:rFonts w:ascii="Times New Roman" w:eastAsia="宋体" w:hAnsi="Times New Roman" w:cs="Times New Roman" w:hint="eastAsia"/>
          <w:color w:val="000000" w:themeColor="text1"/>
          <w:kern w:val="0"/>
          <w:sz w:val="24"/>
          <w:szCs w:val="24"/>
        </w:rPr>
        <w:t>，洗涤器洗涤吸收效率</w:t>
      </w:r>
      <w:r>
        <w:rPr>
          <w:rFonts w:ascii="Times New Roman" w:eastAsia="宋体" w:hAnsi="Times New Roman" w:cs="Times New Roman" w:hint="eastAsia"/>
          <w:color w:val="000000" w:themeColor="text1"/>
          <w:kern w:val="0"/>
          <w:sz w:val="24"/>
          <w:szCs w:val="24"/>
        </w:rPr>
        <w:t>95%</w:t>
      </w:r>
      <w:r>
        <w:rPr>
          <w:rFonts w:ascii="Times New Roman" w:eastAsia="宋体" w:hAnsi="Times New Roman" w:cs="Times New Roman" w:hint="eastAsia"/>
          <w:color w:val="000000" w:themeColor="text1"/>
          <w:kern w:val="0"/>
          <w:sz w:val="24"/>
          <w:szCs w:val="24"/>
        </w:rPr>
        <w:t>计，预计氨排放量</w:t>
      </w:r>
      <w:r>
        <w:rPr>
          <w:rFonts w:ascii="Times New Roman" w:eastAsia="宋体" w:hAnsi="Times New Roman" w:cs="Times New Roman" w:hint="eastAsia"/>
          <w:color w:val="000000" w:themeColor="text1"/>
          <w:kern w:val="0"/>
          <w:sz w:val="24"/>
          <w:szCs w:val="24"/>
        </w:rPr>
        <w:t>0.25t/a</w:t>
      </w:r>
      <w:r>
        <w:rPr>
          <w:rFonts w:ascii="Times New Roman" w:eastAsia="宋体" w:hAnsi="Times New Roman" w:cs="Times New Roman" w:hint="eastAsia"/>
          <w:color w:val="000000" w:themeColor="text1"/>
          <w:kern w:val="0"/>
          <w:sz w:val="24"/>
          <w:szCs w:val="24"/>
        </w:rPr>
        <w:t>，约</w:t>
      </w:r>
      <w:r>
        <w:rPr>
          <w:rFonts w:ascii="Times New Roman" w:eastAsia="宋体" w:hAnsi="Times New Roman" w:cs="Times New Roman" w:hint="eastAsia"/>
          <w:color w:val="000000" w:themeColor="text1"/>
          <w:kern w:val="0"/>
          <w:sz w:val="24"/>
          <w:szCs w:val="24"/>
        </w:rPr>
        <w:t>0.035kg/h</w:t>
      </w:r>
      <w:r>
        <w:rPr>
          <w:rFonts w:ascii="Times New Roman" w:eastAsia="宋体" w:hAnsi="Times New Roman" w:cs="Times New Roman" w:hint="eastAsia"/>
          <w:color w:val="000000" w:themeColor="text1"/>
          <w:kern w:val="0"/>
          <w:sz w:val="24"/>
          <w:szCs w:val="24"/>
        </w:rPr>
        <w:t>，排放浓度</w:t>
      </w:r>
      <w:r>
        <w:rPr>
          <w:rFonts w:ascii="Times New Roman" w:eastAsia="宋体" w:hAnsi="Times New Roman" w:cs="Times New Roman" w:hint="eastAsia"/>
          <w:color w:val="000000" w:themeColor="text1"/>
          <w:kern w:val="0"/>
          <w:sz w:val="24"/>
          <w:szCs w:val="24"/>
        </w:rPr>
        <w:t>45mg/m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hint="eastAsia"/>
          <w:color w:val="000000" w:themeColor="text1"/>
          <w:kern w:val="0"/>
          <w:sz w:val="24"/>
          <w:szCs w:val="24"/>
        </w:rPr>
        <w:t>中压吸收尾气污染物排放情况见表</w:t>
      </w:r>
      <w:r>
        <w:rPr>
          <w:rFonts w:ascii="Times New Roman" w:eastAsia="宋体" w:hAnsi="Times New Roman" w:cs="Times New Roman" w:hint="eastAsia"/>
          <w:color w:val="000000" w:themeColor="text1"/>
          <w:kern w:val="0"/>
          <w:sz w:val="24"/>
          <w:szCs w:val="24"/>
        </w:rPr>
        <w:t>4.4-6</w:t>
      </w:r>
      <w:r>
        <w:rPr>
          <w:rFonts w:ascii="Times New Roman" w:eastAsia="宋体" w:hAnsi="Times New Roman" w:cs="Times New Roman" w:hint="eastAsia"/>
          <w:color w:val="000000" w:themeColor="text1"/>
          <w:kern w:val="0"/>
          <w:sz w:val="24"/>
          <w:szCs w:val="24"/>
        </w:rPr>
        <w:t>。</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表</w:t>
      </w:r>
      <w:r>
        <w:rPr>
          <w:rFonts w:ascii="Times New Roman" w:eastAsia="宋体" w:hAnsi="Times New Roman" w:cs="Times New Roman" w:hint="eastAsia"/>
          <w:color w:val="000000" w:themeColor="text1"/>
          <w:kern w:val="1"/>
          <w:sz w:val="24"/>
          <w:szCs w:val="24"/>
        </w:rPr>
        <w:t xml:space="preserve">4.4-6    </w:t>
      </w:r>
      <w:r>
        <w:rPr>
          <w:rFonts w:ascii="Times New Roman" w:eastAsia="宋体" w:hAnsi="Times New Roman" w:cs="Times New Roman" w:hint="eastAsia"/>
          <w:color w:val="000000" w:themeColor="text1"/>
          <w:kern w:val="1"/>
          <w:sz w:val="24"/>
          <w:szCs w:val="24"/>
        </w:rPr>
        <w:t>中压吸收尾气污染物排放情况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992"/>
        <w:gridCol w:w="1559"/>
        <w:gridCol w:w="1276"/>
        <w:gridCol w:w="2035"/>
      </w:tblGrid>
      <w:tr w:rsidR="00C861DA">
        <w:tc>
          <w:tcPr>
            <w:tcW w:w="138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排放源（编号）</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废气排放量（</w:t>
            </w:r>
            <w:r>
              <w:rPr>
                <w:rFonts w:ascii="Times New Roman" w:eastAsia="宋体" w:hAnsi="Times New Roman" w:cs="Times New Roman" w:hint="eastAsia"/>
                <w:color w:val="000000" w:themeColor="text1"/>
                <w:kern w:val="1"/>
              </w:rPr>
              <w:t>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/h</w:t>
            </w:r>
            <w:r>
              <w:rPr>
                <w:rFonts w:ascii="Times New Roman" w:eastAsia="宋体" w:hAnsi="Times New Roman" w:cs="Times New Roman" w:hint="eastAsia"/>
                <w:color w:val="000000" w:themeColor="text1"/>
                <w:kern w:val="1"/>
              </w:rPr>
              <w:t>）</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污染物名称</w:t>
            </w:r>
          </w:p>
        </w:tc>
        <w:tc>
          <w:tcPr>
            <w:tcW w:w="15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污染物排放浓度（</w:t>
            </w:r>
            <w:r>
              <w:rPr>
                <w:rFonts w:ascii="Times New Roman" w:eastAsia="宋体" w:hAnsi="Times New Roman" w:cs="Times New Roman" w:hint="eastAsia"/>
                <w:color w:val="000000" w:themeColor="text1"/>
                <w:kern w:val="1"/>
              </w:rPr>
              <w:t>mg/m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污染物排放量（</w:t>
            </w:r>
            <w:r>
              <w:rPr>
                <w:rFonts w:ascii="Times New Roman" w:eastAsia="宋体" w:hAnsi="Times New Roman" w:cs="Times New Roman" w:hint="eastAsia"/>
                <w:color w:val="000000" w:themeColor="text1"/>
                <w:kern w:val="1"/>
              </w:rPr>
              <w:t>kg/h</w:t>
            </w:r>
            <w:r>
              <w:rPr>
                <w:rFonts w:ascii="Times New Roman" w:eastAsia="宋体" w:hAnsi="Times New Roman" w:cs="Times New Roman" w:hint="eastAsia"/>
                <w:color w:val="000000" w:themeColor="text1"/>
                <w:kern w:val="1"/>
              </w:rPr>
              <w:t>）</w:t>
            </w:r>
          </w:p>
        </w:tc>
        <w:tc>
          <w:tcPr>
            <w:tcW w:w="203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排放参数</w:t>
            </w:r>
          </w:p>
        </w:tc>
      </w:tr>
      <w:tr w:rsidR="00C861DA">
        <w:tc>
          <w:tcPr>
            <w:tcW w:w="138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中压吸收尾气（</w:t>
            </w:r>
            <w:r>
              <w:rPr>
                <w:rFonts w:ascii="Times New Roman" w:eastAsia="宋体" w:hAnsi="Times New Roman" w:cs="Times New Roman" w:hint="eastAsia"/>
                <w:color w:val="000000" w:themeColor="text1"/>
                <w:kern w:val="1"/>
              </w:rPr>
              <w:t>G7</w:t>
            </w:r>
            <w:r>
              <w:rPr>
                <w:rFonts w:ascii="Times New Roman" w:eastAsia="宋体" w:hAnsi="Times New Roman" w:cs="Times New Roman" w:hint="eastAsia"/>
                <w:color w:val="000000" w:themeColor="text1"/>
                <w:kern w:val="1"/>
              </w:rPr>
              <w:t>）</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2000</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氨</w:t>
            </w:r>
          </w:p>
        </w:tc>
        <w:tc>
          <w:tcPr>
            <w:tcW w:w="15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17.5</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0.035</w:t>
            </w:r>
          </w:p>
        </w:tc>
        <w:tc>
          <w:tcPr>
            <w:tcW w:w="203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排气筒高度：</w:t>
            </w:r>
            <w:r>
              <w:rPr>
                <w:rFonts w:ascii="Times New Roman" w:eastAsia="宋体" w:hAnsi="Times New Roman" w:cs="Times New Roman" w:hint="eastAsia"/>
                <w:color w:val="000000" w:themeColor="text1"/>
                <w:kern w:val="1"/>
              </w:rPr>
              <w:t>30m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排放口内径：</w:t>
            </w:r>
            <w:r>
              <w:rPr>
                <w:rFonts w:ascii="Times New Roman" w:eastAsia="宋体" w:hAnsi="Times New Roman" w:cs="Times New Roman" w:hint="eastAsia"/>
                <w:color w:val="000000" w:themeColor="text1"/>
                <w:kern w:val="1"/>
              </w:rPr>
              <w:t>0.8m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温度：</w:t>
            </w:r>
            <w:r>
              <w:rPr>
                <w:rFonts w:ascii="Times New Roman" w:eastAsia="宋体" w:hAnsi="Times New Roman" w:cs="Times New Roman" w:hint="eastAsia"/>
                <w:color w:val="000000" w:themeColor="text1"/>
                <w:kern w:val="1"/>
              </w:rPr>
              <w:t>25</w:t>
            </w:r>
            <w:r>
              <w:rPr>
                <w:rFonts w:ascii="Times New Roman" w:eastAsia="宋体" w:hAnsi="Times New Roman" w:cs="Times New Roman" w:hint="eastAsia"/>
                <w:color w:val="000000" w:themeColor="text1"/>
                <w:kern w:val="1"/>
              </w:rPr>
              <w:t>℃</w:t>
            </w:r>
          </w:p>
        </w:tc>
      </w:tr>
    </w:tbl>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7</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G8</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低压</w:t>
      </w:r>
      <w:r>
        <w:rPr>
          <w:rFonts w:ascii="Times New Roman" w:eastAsia="宋体" w:hAnsi="Times New Roman" w:cs="Times New Roman" w:hint="eastAsia"/>
          <w:color w:val="000000" w:themeColor="text1"/>
          <w:kern w:val="0"/>
          <w:sz w:val="24"/>
          <w:szCs w:val="24"/>
        </w:rPr>
        <w:t>吸收尾气</w:t>
      </w:r>
      <w:r>
        <w:rPr>
          <w:rFonts w:ascii="Times New Roman" w:eastAsia="宋体" w:hAnsi="Times New Roman" w:cs="Times New Roman"/>
          <w:color w:val="000000" w:themeColor="text1"/>
          <w:kern w:val="0"/>
          <w:sz w:val="24"/>
          <w:szCs w:val="24"/>
        </w:rPr>
        <w:t xml:space="preserve"> </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在低压分解回收工程中，</w:t>
      </w:r>
      <w:r>
        <w:rPr>
          <w:rFonts w:ascii="Times New Roman" w:eastAsia="宋体" w:hAnsi="Times New Roman" w:cs="Times New Roman"/>
          <w:color w:val="000000" w:themeColor="text1"/>
          <w:kern w:val="0"/>
          <w:sz w:val="24"/>
          <w:szCs w:val="24"/>
        </w:rPr>
        <w:t>冷凝后的气液混合物从低压甲铵冷凝器上部溢流到低压吸收塔的下部液位槽，进行气液分离。</w:t>
      </w:r>
      <w:r>
        <w:rPr>
          <w:rFonts w:ascii="Times New Roman" w:eastAsia="宋体" w:hAnsi="Times New Roman" w:cs="Times New Roman" w:hint="eastAsia"/>
          <w:color w:val="000000" w:themeColor="text1"/>
          <w:kern w:val="0"/>
          <w:sz w:val="24"/>
          <w:szCs w:val="24"/>
        </w:rPr>
        <w:t>分离尾气中的主要污染物为氨，根据物料平衡，氨含量约</w:t>
      </w:r>
      <w:r>
        <w:rPr>
          <w:rFonts w:ascii="Times New Roman" w:eastAsia="宋体" w:hAnsi="Times New Roman" w:cs="Times New Roman" w:hint="eastAsia"/>
          <w:color w:val="000000" w:themeColor="text1"/>
          <w:kern w:val="0"/>
          <w:sz w:val="24"/>
          <w:szCs w:val="24"/>
        </w:rPr>
        <w:t>3.15t/a</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尾气送至</w:t>
      </w:r>
      <w:r>
        <w:rPr>
          <w:rFonts w:ascii="Times New Roman" w:eastAsia="宋体" w:hAnsi="Times New Roman" w:cs="Times New Roman" w:hint="eastAsia"/>
          <w:color w:val="000000" w:themeColor="text1"/>
          <w:kern w:val="0"/>
          <w:sz w:val="24"/>
          <w:szCs w:val="24"/>
        </w:rPr>
        <w:t>低压尾气洗涤器</w:t>
      </w:r>
      <w:r>
        <w:rPr>
          <w:rFonts w:ascii="Times New Roman" w:eastAsia="宋体" w:hAnsi="Times New Roman" w:cs="Times New Roman"/>
          <w:color w:val="000000" w:themeColor="text1"/>
          <w:kern w:val="0"/>
          <w:sz w:val="24"/>
          <w:szCs w:val="24"/>
        </w:rPr>
        <w:t>进一步洗涤后</w:t>
      </w:r>
      <w:r>
        <w:rPr>
          <w:rFonts w:ascii="Times New Roman" w:eastAsia="宋体" w:hAnsi="Times New Roman" w:cs="Times New Roman" w:hint="eastAsia"/>
          <w:color w:val="000000" w:themeColor="text1"/>
          <w:kern w:val="0"/>
          <w:sz w:val="24"/>
          <w:szCs w:val="24"/>
        </w:rPr>
        <w:t>排放，排气筒与中压分解回收尾气共用，高度</w:t>
      </w:r>
      <w:r>
        <w:rPr>
          <w:rFonts w:ascii="Times New Roman" w:eastAsia="宋体" w:hAnsi="Times New Roman" w:cs="Times New Roman" w:hint="eastAsia"/>
          <w:color w:val="000000" w:themeColor="text1"/>
          <w:kern w:val="0"/>
          <w:sz w:val="24"/>
          <w:szCs w:val="24"/>
        </w:rPr>
        <w:t>30m</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hint="eastAsia"/>
          <w:color w:val="000000" w:themeColor="text1"/>
          <w:kern w:val="0"/>
          <w:sz w:val="24"/>
          <w:szCs w:val="24"/>
        </w:rPr>
        <w:t>废气排放量</w:t>
      </w:r>
      <w:r>
        <w:rPr>
          <w:rFonts w:ascii="Times New Roman" w:eastAsia="宋体" w:hAnsi="Times New Roman" w:cs="Times New Roman" w:hint="eastAsia"/>
          <w:color w:val="000000" w:themeColor="text1"/>
          <w:kern w:val="0"/>
          <w:sz w:val="24"/>
          <w:szCs w:val="24"/>
        </w:rPr>
        <w:t>1000m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/h</w:t>
      </w:r>
      <w:r>
        <w:rPr>
          <w:rFonts w:ascii="Times New Roman" w:eastAsia="宋体" w:hAnsi="Times New Roman" w:cs="Times New Roman" w:hint="eastAsia"/>
          <w:color w:val="000000" w:themeColor="text1"/>
          <w:kern w:val="0"/>
          <w:sz w:val="24"/>
          <w:szCs w:val="24"/>
        </w:rPr>
        <w:t>，洗涤器洗涤吸收效率</w:t>
      </w:r>
      <w:r>
        <w:rPr>
          <w:rFonts w:ascii="Times New Roman" w:eastAsia="宋体" w:hAnsi="Times New Roman" w:cs="Times New Roman" w:hint="eastAsia"/>
          <w:color w:val="000000" w:themeColor="text1"/>
          <w:kern w:val="0"/>
          <w:sz w:val="24"/>
          <w:szCs w:val="24"/>
        </w:rPr>
        <w:t>95%</w:t>
      </w:r>
      <w:r>
        <w:rPr>
          <w:rFonts w:ascii="Times New Roman" w:eastAsia="宋体" w:hAnsi="Times New Roman" w:cs="Times New Roman" w:hint="eastAsia"/>
          <w:color w:val="000000" w:themeColor="text1"/>
          <w:kern w:val="0"/>
          <w:sz w:val="24"/>
          <w:szCs w:val="24"/>
        </w:rPr>
        <w:t>计，预计氨排放量</w:t>
      </w:r>
      <w:r>
        <w:rPr>
          <w:rFonts w:ascii="Times New Roman" w:eastAsia="宋体" w:hAnsi="Times New Roman" w:cs="Times New Roman" w:hint="eastAsia"/>
          <w:color w:val="000000" w:themeColor="text1"/>
          <w:kern w:val="0"/>
          <w:sz w:val="24"/>
          <w:szCs w:val="24"/>
        </w:rPr>
        <w:t>0.16t/a</w:t>
      </w:r>
      <w:r>
        <w:rPr>
          <w:rFonts w:ascii="Times New Roman" w:eastAsia="宋体" w:hAnsi="Times New Roman" w:cs="Times New Roman" w:hint="eastAsia"/>
          <w:color w:val="000000" w:themeColor="text1"/>
          <w:kern w:val="0"/>
          <w:sz w:val="24"/>
          <w:szCs w:val="24"/>
        </w:rPr>
        <w:t>，约</w:t>
      </w:r>
      <w:r>
        <w:rPr>
          <w:rFonts w:ascii="Times New Roman" w:eastAsia="宋体" w:hAnsi="Times New Roman" w:cs="Times New Roman" w:hint="eastAsia"/>
          <w:color w:val="000000" w:themeColor="text1"/>
          <w:kern w:val="0"/>
          <w:sz w:val="24"/>
          <w:szCs w:val="24"/>
        </w:rPr>
        <w:t>0.021kg/h</w:t>
      </w:r>
      <w:r>
        <w:rPr>
          <w:rFonts w:ascii="Times New Roman" w:eastAsia="宋体" w:hAnsi="Times New Roman" w:cs="Times New Roman" w:hint="eastAsia"/>
          <w:color w:val="000000" w:themeColor="text1"/>
          <w:kern w:val="0"/>
          <w:sz w:val="24"/>
          <w:szCs w:val="24"/>
        </w:rPr>
        <w:t>，排放浓度</w:t>
      </w:r>
      <w:r>
        <w:rPr>
          <w:rFonts w:ascii="Times New Roman" w:eastAsia="宋体" w:hAnsi="Times New Roman" w:cs="Times New Roman" w:hint="eastAsia"/>
          <w:color w:val="000000" w:themeColor="text1"/>
          <w:kern w:val="0"/>
          <w:sz w:val="24"/>
          <w:szCs w:val="24"/>
        </w:rPr>
        <w:t>21mg/m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。低压吸收尾气污染物排放情况见表</w:t>
      </w:r>
      <w:r>
        <w:rPr>
          <w:rFonts w:ascii="Times New Roman" w:eastAsia="宋体" w:hAnsi="Times New Roman" w:cs="Times New Roman" w:hint="eastAsia"/>
          <w:color w:val="000000" w:themeColor="text1"/>
          <w:kern w:val="0"/>
          <w:sz w:val="24"/>
          <w:szCs w:val="24"/>
        </w:rPr>
        <w:t>4.4-7</w:t>
      </w:r>
      <w:r>
        <w:rPr>
          <w:rFonts w:ascii="Times New Roman" w:eastAsia="宋体" w:hAnsi="Times New Roman" w:cs="Times New Roman" w:hint="eastAsia"/>
          <w:color w:val="000000" w:themeColor="text1"/>
          <w:kern w:val="0"/>
          <w:sz w:val="24"/>
          <w:szCs w:val="24"/>
        </w:rPr>
        <w:t>。</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表</w:t>
      </w:r>
      <w:r>
        <w:rPr>
          <w:rFonts w:ascii="Times New Roman" w:eastAsia="宋体" w:hAnsi="Times New Roman" w:cs="Times New Roman" w:hint="eastAsia"/>
          <w:color w:val="000000" w:themeColor="text1"/>
          <w:kern w:val="1"/>
          <w:sz w:val="24"/>
          <w:szCs w:val="24"/>
        </w:rPr>
        <w:t xml:space="preserve">4.4-7   </w:t>
      </w:r>
      <w:r>
        <w:rPr>
          <w:rFonts w:ascii="Times New Roman" w:eastAsia="宋体" w:hAnsi="Times New Roman" w:cs="Times New Roman" w:hint="eastAsia"/>
          <w:color w:val="000000" w:themeColor="text1"/>
          <w:kern w:val="1"/>
          <w:sz w:val="24"/>
          <w:szCs w:val="24"/>
        </w:rPr>
        <w:t>低压吸收尾气污染物排放情况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992"/>
        <w:gridCol w:w="1559"/>
        <w:gridCol w:w="1276"/>
        <w:gridCol w:w="2035"/>
      </w:tblGrid>
      <w:tr w:rsidR="00C861DA">
        <w:tc>
          <w:tcPr>
            <w:tcW w:w="138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排放源（编号）</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废气排放量（</w:t>
            </w:r>
            <w:r>
              <w:rPr>
                <w:rFonts w:ascii="Times New Roman" w:eastAsia="宋体" w:hAnsi="Times New Roman" w:cs="Times New Roman" w:hint="eastAsia"/>
                <w:color w:val="000000" w:themeColor="text1"/>
                <w:kern w:val="1"/>
              </w:rPr>
              <w:t>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/h</w:t>
            </w:r>
            <w:r>
              <w:rPr>
                <w:rFonts w:ascii="Times New Roman" w:eastAsia="宋体" w:hAnsi="Times New Roman" w:cs="Times New Roman" w:hint="eastAsia"/>
                <w:color w:val="000000" w:themeColor="text1"/>
                <w:kern w:val="1"/>
              </w:rPr>
              <w:t>）</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污染物名称</w:t>
            </w:r>
          </w:p>
        </w:tc>
        <w:tc>
          <w:tcPr>
            <w:tcW w:w="15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污染物排放浓度（</w:t>
            </w:r>
            <w:r>
              <w:rPr>
                <w:rFonts w:ascii="Times New Roman" w:eastAsia="宋体" w:hAnsi="Times New Roman" w:cs="Times New Roman" w:hint="eastAsia"/>
                <w:color w:val="000000" w:themeColor="text1"/>
                <w:kern w:val="1"/>
              </w:rPr>
              <w:t>mg/m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污染物排放量（</w:t>
            </w:r>
            <w:r>
              <w:rPr>
                <w:rFonts w:ascii="Times New Roman" w:eastAsia="宋体" w:hAnsi="Times New Roman" w:cs="Times New Roman" w:hint="eastAsia"/>
                <w:color w:val="000000" w:themeColor="text1"/>
                <w:kern w:val="1"/>
              </w:rPr>
              <w:t>kg/h</w:t>
            </w:r>
            <w:r>
              <w:rPr>
                <w:rFonts w:ascii="Times New Roman" w:eastAsia="宋体" w:hAnsi="Times New Roman" w:cs="Times New Roman" w:hint="eastAsia"/>
                <w:color w:val="000000" w:themeColor="text1"/>
                <w:kern w:val="1"/>
              </w:rPr>
              <w:t>）</w:t>
            </w:r>
          </w:p>
        </w:tc>
        <w:tc>
          <w:tcPr>
            <w:tcW w:w="203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排放参数</w:t>
            </w:r>
          </w:p>
        </w:tc>
      </w:tr>
      <w:tr w:rsidR="00C861DA">
        <w:tc>
          <w:tcPr>
            <w:tcW w:w="138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低压吸收尾气（</w:t>
            </w:r>
            <w:r>
              <w:rPr>
                <w:rFonts w:ascii="Times New Roman" w:eastAsia="宋体" w:hAnsi="Times New Roman" w:cs="Times New Roman" w:hint="eastAsia"/>
                <w:color w:val="000000" w:themeColor="text1"/>
                <w:kern w:val="1"/>
              </w:rPr>
              <w:t>G8</w:t>
            </w:r>
            <w:r>
              <w:rPr>
                <w:rFonts w:ascii="Times New Roman" w:eastAsia="宋体" w:hAnsi="Times New Roman" w:cs="Times New Roman" w:hint="eastAsia"/>
                <w:color w:val="000000" w:themeColor="text1"/>
                <w:kern w:val="1"/>
              </w:rPr>
              <w:t>）</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1000</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氨</w:t>
            </w:r>
          </w:p>
        </w:tc>
        <w:tc>
          <w:tcPr>
            <w:tcW w:w="15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21.0</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0.021</w:t>
            </w:r>
          </w:p>
        </w:tc>
        <w:tc>
          <w:tcPr>
            <w:tcW w:w="203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排气筒高度：</w:t>
            </w:r>
            <w:r>
              <w:rPr>
                <w:rFonts w:ascii="Times New Roman" w:eastAsia="宋体" w:hAnsi="Times New Roman" w:cs="Times New Roman" w:hint="eastAsia"/>
                <w:color w:val="000000" w:themeColor="text1"/>
                <w:kern w:val="1"/>
              </w:rPr>
              <w:t>30m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排放口内径：</w:t>
            </w:r>
            <w:r>
              <w:rPr>
                <w:rFonts w:ascii="Times New Roman" w:eastAsia="宋体" w:hAnsi="Times New Roman" w:cs="Times New Roman" w:hint="eastAsia"/>
                <w:color w:val="000000" w:themeColor="text1"/>
                <w:kern w:val="1"/>
              </w:rPr>
              <w:t>0.8m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温度：</w:t>
            </w:r>
            <w:r>
              <w:rPr>
                <w:rFonts w:ascii="Times New Roman" w:eastAsia="宋体" w:hAnsi="Times New Roman" w:cs="Times New Roman" w:hint="eastAsia"/>
                <w:color w:val="000000" w:themeColor="text1"/>
                <w:kern w:val="1"/>
              </w:rPr>
              <w:t>25</w:t>
            </w:r>
            <w:r>
              <w:rPr>
                <w:rFonts w:ascii="Times New Roman" w:eastAsia="宋体" w:hAnsi="Times New Roman" w:cs="Times New Roman" w:hint="eastAsia"/>
                <w:color w:val="000000" w:themeColor="text1"/>
                <w:kern w:val="1"/>
              </w:rPr>
              <w:t>℃</w:t>
            </w:r>
          </w:p>
        </w:tc>
      </w:tr>
    </w:tbl>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8</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G9</w:t>
      </w:r>
      <w:r>
        <w:rPr>
          <w:rFonts w:ascii="Times New Roman" w:eastAsia="宋体" w:hAnsi="Times New Roman" w:cs="Times New Roman" w:hint="eastAsia"/>
          <w:color w:val="000000" w:themeColor="text1"/>
          <w:kern w:val="0"/>
          <w:sz w:val="24"/>
          <w:szCs w:val="24"/>
        </w:rPr>
        <w:t>：尿液蒸发尾气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尿液蒸发过程中，</w:t>
      </w:r>
      <w:r>
        <w:rPr>
          <w:rFonts w:ascii="Times New Roman" w:eastAsia="宋体" w:hAnsi="Times New Roman" w:cs="Times New Roman"/>
          <w:color w:val="000000" w:themeColor="text1"/>
          <w:kern w:val="0"/>
          <w:sz w:val="24"/>
          <w:szCs w:val="24"/>
        </w:rPr>
        <w:t>真空预浓缩分离器的气相与一段蒸发分离器的气相一起送至一段蒸发冷凝器冷凝。一段蒸发冷凝器的未凝气由一段蒸发喷射器抽出送至最终冷凝器；二段蒸发分离器气相经升压器升压后直接送至二段蒸发冷凝器冷凝，未凝气由二段蒸发第一喷射器抽出送至二段蒸发后冷凝器冷凝，不凝气由二段蒸发第二喷射器抽出送入最终冷凝器进行冷凝，</w:t>
      </w:r>
      <w:r>
        <w:rPr>
          <w:rFonts w:ascii="Times New Roman" w:eastAsia="宋体" w:hAnsi="Times New Roman" w:cs="Times New Roman" w:hint="eastAsia"/>
          <w:color w:val="000000" w:themeColor="text1"/>
          <w:kern w:val="0"/>
          <w:sz w:val="24"/>
          <w:szCs w:val="24"/>
        </w:rPr>
        <w:t>最终冷凝器外排不凝气经</w:t>
      </w:r>
      <w:r>
        <w:rPr>
          <w:rFonts w:ascii="Times New Roman" w:eastAsia="宋体" w:hAnsi="Times New Roman" w:cs="Times New Roman" w:hint="eastAsia"/>
          <w:color w:val="000000" w:themeColor="text1"/>
          <w:kern w:val="0"/>
          <w:sz w:val="24"/>
          <w:szCs w:val="24"/>
        </w:rPr>
        <w:t>28m</w:t>
      </w:r>
      <w:r>
        <w:rPr>
          <w:rFonts w:ascii="Times New Roman" w:eastAsia="宋体" w:hAnsi="Times New Roman" w:cs="Times New Roman" w:hint="eastAsia"/>
          <w:color w:val="000000" w:themeColor="text1"/>
          <w:kern w:val="0"/>
          <w:sz w:val="24"/>
          <w:szCs w:val="24"/>
        </w:rPr>
        <w:t>排气筒（</w:t>
      </w:r>
      <w:r>
        <w:rPr>
          <w:rFonts w:ascii="Times New Roman" w:eastAsia="宋体" w:hAnsi="Times New Roman" w:cs="Times New Roman" w:hint="eastAsia"/>
          <w:color w:val="000000" w:themeColor="text1"/>
          <w:kern w:val="0"/>
          <w:sz w:val="24"/>
          <w:szCs w:val="24"/>
        </w:rPr>
        <w:t>7#</w:t>
      </w:r>
      <w:r>
        <w:rPr>
          <w:rFonts w:ascii="Times New Roman" w:eastAsia="宋体" w:hAnsi="Times New Roman" w:cs="Times New Roman" w:hint="eastAsia"/>
          <w:color w:val="000000" w:themeColor="text1"/>
          <w:kern w:val="0"/>
          <w:sz w:val="24"/>
          <w:szCs w:val="24"/>
        </w:rPr>
        <w:t>排气筒）排放，废气排放量</w:t>
      </w:r>
      <w:r>
        <w:rPr>
          <w:rFonts w:ascii="Times New Roman" w:eastAsia="宋体" w:hAnsi="Times New Roman" w:cs="Times New Roman" w:hint="eastAsia"/>
          <w:color w:val="000000" w:themeColor="text1"/>
          <w:kern w:val="0"/>
          <w:sz w:val="24"/>
          <w:szCs w:val="24"/>
        </w:rPr>
        <w:t>5000m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/h</w:t>
      </w:r>
      <w:r>
        <w:rPr>
          <w:rFonts w:ascii="Times New Roman" w:eastAsia="宋体" w:hAnsi="Times New Roman" w:cs="Times New Roman" w:hint="eastAsia"/>
          <w:color w:val="000000" w:themeColor="text1"/>
          <w:kern w:val="0"/>
          <w:sz w:val="24"/>
          <w:szCs w:val="24"/>
        </w:rPr>
        <w:t>，废气中的主要污染物为氨，氨的排放量约</w:t>
      </w:r>
      <w:r>
        <w:rPr>
          <w:rFonts w:ascii="Times New Roman" w:eastAsia="宋体" w:hAnsi="Times New Roman" w:cs="Times New Roman" w:hint="eastAsia"/>
          <w:color w:val="000000" w:themeColor="text1"/>
          <w:kern w:val="0"/>
          <w:sz w:val="24"/>
          <w:szCs w:val="24"/>
        </w:rPr>
        <w:t>2.04t/a</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0.283kg/h</w:t>
      </w:r>
      <w:r>
        <w:rPr>
          <w:rFonts w:ascii="Times New Roman" w:eastAsia="宋体" w:hAnsi="Times New Roman" w:cs="Times New Roman" w:hint="eastAsia"/>
          <w:color w:val="000000" w:themeColor="text1"/>
          <w:kern w:val="0"/>
          <w:sz w:val="24"/>
          <w:szCs w:val="24"/>
        </w:rPr>
        <w:t>，排放浓度</w:t>
      </w:r>
      <w:r>
        <w:rPr>
          <w:rFonts w:ascii="Times New Roman" w:eastAsia="宋体" w:hAnsi="Times New Roman" w:cs="Times New Roman" w:hint="eastAsia"/>
          <w:color w:val="000000" w:themeColor="text1"/>
          <w:kern w:val="0"/>
          <w:sz w:val="24"/>
          <w:szCs w:val="24"/>
        </w:rPr>
        <w:t>56.6mg/m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尿液蒸发尾气污染物排放情况表</w:t>
      </w:r>
      <w:r>
        <w:rPr>
          <w:rFonts w:ascii="Times New Roman" w:eastAsia="宋体" w:hAnsi="Times New Roman" w:cs="Times New Roman" w:hint="eastAsia"/>
          <w:color w:val="000000" w:themeColor="text1"/>
          <w:kern w:val="0"/>
          <w:sz w:val="24"/>
          <w:szCs w:val="24"/>
        </w:rPr>
        <w:t>表</w:t>
      </w:r>
      <w:r>
        <w:rPr>
          <w:rFonts w:ascii="Times New Roman" w:eastAsia="宋体" w:hAnsi="Times New Roman" w:cs="Times New Roman" w:hint="eastAsia"/>
          <w:color w:val="000000" w:themeColor="text1"/>
          <w:kern w:val="0"/>
          <w:sz w:val="24"/>
          <w:szCs w:val="24"/>
        </w:rPr>
        <w:t>4.4-8</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 xml:space="preserve">   </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表</w:t>
      </w:r>
      <w:r>
        <w:rPr>
          <w:rFonts w:ascii="Times New Roman" w:eastAsia="宋体" w:hAnsi="Times New Roman" w:cs="Times New Roman" w:hint="eastAsia"/>
          <w:color w:val="000000" w:themeColor="text1"/>
          <w:kern w:val="0"/>
          <w:sz w:val="24"/>
          <w:szCs w:val="24"/>
        </w:rPr>
        <w:t xml:space="preserve">4.4-8           </w:t>
      </w:r>
      <w:r>
        <w:rPr>
          <w:rFonts w:ascii="Times New Roman" w:eastAsia="宋体" w:hAnsi="Times New Roman" w:cs="Times New Roman" w:hint="eastAsia"/>
          <w:color w:val="000000" w:themeColor="text1"/>
          <w:kern w:val="0"/>
          <w:sz w:val="24"/>
          <w:szCs w:val="24"/>
        </w:rPr>
        <w:t>尿液蒸发尾气污染物污染物排放情况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992"/>
        <w:gridCol w:w="1559"/>
        <w:gridCol w:w="1276"/>
        <w:gridCol w:w="2035"/>
      </w:tblGrid>
      <w:tr w:rsidR="00C861DA">
        <w:tc>
          <w:tcPr>
            <w:tcW w:w="138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排放源（编号）</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废气排放量（</w:t>
            </w:r>
            <w:r>
              <w:rPr>
                <w:rFonts w:ascii="Times New Roman" w:eastAsia="宋体" w:hAnsi="Times New Roman" w:cs="Times New Roman" w:hint="eastAsia"/>
                <w:color w:val="000000" w:themeColor="text1"/>
                <w:kern w:val="1"/>
              </w:rPr>
              <w:t>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/h</w:t>
            </w:r>
            <w:r>
              <w:rPr>
                <w:rFonts w:ascii="Times New Roman" w:eastAsia="宋体" w:hAnsi="Times New Roman" w:cs="Times New Roman" w:hint="eastAsia"/>
                <w:color w:val="000000" w:themeColor="text1"/>
                <w:kern w:val="1"/>
              </w:rPr>
              <w:t>）</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污染物名称</w:t>
            </w:r>
          </w:p>
        </w:tc>
        <w:tc>
          <w:tcPr>
            <w:tcW w:w="15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污染物排放浓度（</w:t>
            </w:r>
            <w:r>
              <w:rPr>
                <w:rFonts w:ascii="Times New Roman" w:eastAsia="宋体" w:hAnsi="Times New Roman" w:cs="Times New Roman" w:hint="eastAsia"/>
                <w:color w:val="000000" w:themeColor="text1"/>
                <w:kern w:val="1"/>
              </w:rPr>
              <w:t>mg/m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污染物排放量（</w:t>
            </w:r>
            <w:r>
              <w:rPr>
                <w:rFonts w:ascii="Times New Roman" w:eastAsia="宋体" w:hAnsi="Times New Roman" w:cs="Times New Roman" w:hint="eastAsia"/>
                <w:color w:val="000000" w:themeColor="text1"/>
                <w:kern w:val="1"/>
              </w:rPr>
              <w:t>kg/h</w:t>
            </w:r>
            <w:r>
              <w:rPr>
                <w:rFonts w:ascii="Times New Roman" w:eastAsia="宋体" w:hAnsi="Times New Roman" w:cs="Times New Roman" w:hint="eastAsia"/>
                <w:color w:val="000000" w:themeColor="text1"/>
                <w:kern w:val="1"/>
              </w:rPr>
              <w:t>）</w:t>
            </w:r>
          </w:p>
        </w:tc>
        <w:tc>
          <w:tcPr>
            <w:tcW w:w="203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排放参数</w:t>
            </w:r>
          </w:p>
        </w:tc>
      </w:tr>
      <w:tr w:rsidR="00C861DA">
        <w:tc>
          <w:tcPr>
            <w:tcW w:w="1384"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尿素生产装置（</w:t>
            </w:r>
            <w:r>
              <w:rPr>
                <w:rFonts w:ascii="Times New Roman" w:eastAsia="宋体" w:hAnsi="Times New Roman" w:cs="Times New Roman" w:hint="eastAsia"/>
                <w:color w:val="000000" w:themeColor="text1"/>
                <w:kern w:val="1"/>
              </w:rPr>
              <w:t>G9</w:t>
            </w:r>
            <w:r>
              <w:rPr>
                <w:rFonts w:ascii="Times New Roman" w:eastAsia="宋体" w:hAnsi="Times New Roman" w:cs="Times New Roman" w:hint="eastAsia"/>
                <w:color w:val="000000" w:themeColor="text1"/>
                <w:kern w:val="1"/>
              </w:rPr>
              <w:t>）</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18000</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氨</w:t>
            </w:r>
          </w:p>
        </w:tc>
        <w:tc>
          <w:tcPr>
            <w:tcW w:w="15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26.39</w:t>
            </w:r>
          </w:p>
        </w:tc>
        <w:tc>
          <w:tcPr>
            <w:tcW w:w="127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0.475</w:t>
            </w:r>
          </w:p>
        </w:tc>
        <w:tc>
          <w:tcPr>
            <w:tcW w:w="203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排气筒高度：</w:t>
            </w:r>
            <w:r>
              <w:rPr>
                <w:rFonts w:ascii="Times New Roman" w:eastAsia="宋体" w:hAnsi="Times New Roman" w:cs="Times New Roman" w:hint="eastAsia"/>
                <w:color w:val="000000" w:themeColor="text1"/>
                <w:kern w:val="1"/>
              </w:rPr>
              <w:t>50m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排放口内径：</w:t>
            </w:r>
            <w:r>
              <w:rPr>
                <w:rFonts w:ascii="Times New Roman" w:eastAsia="宋体" w:hAnsi="Times New Roman" w:cs="Times New Roman" w:hint="eastAsia"/>
                <w:color w:val="000000" w:themeColor="text1"/>
                <w:kern w:val="1"/>
              </w:rPr>
              <w:t>1.2m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温度：</w:t>
            </w:r>
            <w:r>
              <w:rPr>
                <w:rFonts w:ascii="Times New Roman" w:eastAsia="宋体" w:hAnsi="Times New Roman" w:cs="Times New Roman" w:hint="eastAsia"/>
                <w:color w:val="000000" w:themeColor="text1"/>
                <w:kern w:val="1"/>
              </w:rPr>
              <w:t>25</w:t>
            </w:r>
            <w:r>
              <w:rPr>
                <w:rFonts w:ascii="Times New Roman" w:eastAsia="宋体" w:hAnsi="Times New Roman" w:cs="Times New Roman" w:hint="eastAsia"/>
                <w:color w:val="000000" w:themeColor="text1"/>
                <w:kern w:val="1"/>
              </w:rPr>
              <w:t>℃</w:t>
            </w:r>
          </w:p>
        </w:tc>
      </w:tr>
    </w:tbl>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0"/>
          <w:sz w:val="24"/>
          <w:szCs w:val="24"/>
        </w:rPr>
        <w:t>9</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G10</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1"/>
          <w:sz w:val="24"/>
          <w:szCs w:val="24"/>
        </w:rPr>
        <w:t>尿基有机肥生产备料废气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硝基有机肥生产备料废气主要是备料计量、提升过程中产生的颗粒物，项目设计采用布袋除尘措施，布袋除尘效率</w:t>
      </w:r>
      <w:r>
        <w:rPr>
          <w:rFonts w:ascii="Times New Roman" w:eastAsia="宋体" w:hAnsi="Times New Roman" w:cs="Times New Roman" w:hint="eastAsia"/>
          <w:color w:val="000000" w:themeColor="text1"/>
          <w:kern w:val="1"/>
          <w:sz w:val="24"/>
          <w:szCs w:val="24"/>
        </w:rPr>
        <w:t>99%</w:t>
      </w:r>
      <w:r>
        <w:rPr>
          <w:rFonts w:ascii="Times New Roman" w:eastAsia="宋体" w:hAnsi="Times New Roman" w:cs="Times New Roman" w:hint="eastAsia"/>
          <w:color w:val="000000" w:themeColor="text1"/>
          <w:kern w:val="1"/>
          <w:sz w:val="24"/>
          <w:szCs w:val="24"/>
        </w:rPr>
        <w:t>，废气经布袋除尘后，经由</w:t>
      </w:r>
      <w:r>
        <w:rPr>
          <w:rFonts w:ascii="Times New Roman" w:eastAsia="宋体" w:hAnsi="Times New Roman" w:cs="Times New Roman" w:hint="eastAsia"/>
          <w:color w:val="000000" w:themeColor="text1"/>
          <w:kern w:val="1"/>
          <w:sz w:val="24"/>
          <w:szCs w:val="24"/>
        </w:rPr>
        <w:t>25m</w:t>
      </w:r>
      <w:r>
        <w:rPr>
          <w:rFonts w:ascii="Times New Roman" w:eastAsia="宋体" w:hAnsi="Times New Roman" w:cs="Times New Roman" w:hint="eastAsia"/>
          <w:color w:val="000000" w:themeColor="text1"/>
          <w:kern w:val="1"/>
          <w:sz w:val="24"/>
          <w:szCs w:val="24"/>
        </w:rPr>
        <w:t>高排气筒（</w:t>
      </w:r>
      <w:r>
        <w:rPr>
          <w:rFonts w:ascii="Times New Roman" w:eastAsia="宋体" w:hAnsi="Times New Roman" w:cs="Times New Roman" w:hint="eastAsia"/>
          <w:color w:val="000000" w:themeColor="text1"/>
          <w:kern w:val="1"/>
          <w:sz w:val="24"/>
          <w:szCs w:val="24"/>
        </w:rPr>
        <w:t>8#</w:t>
      </w:r>
      <w:r>
        <w:rPr>
          <w:rFonts w:ascii="Times New Roman" w:eastAsia="宋体" w:hAnsi="Times New Roman" w:cs="Times New Roman" w:hint="eastAsia"/>
          <w:color w:val="000000" w:themeColor="text1"/>
          <w:kern w:val="1"/>
          <w:sz w:val="24"/>
          <w:szCs w:val="24"/>
        </w:rPr>
        <w:t>排气筒）排放。</w:t>
      </w:r>
      <w:r>
        <w:rPr>
          <w:rFonts w:ascii="Times New Roman" w:eastAsia="宋体" w:hAnsi="Times New Roman" w:cs="Times New Roman" w:hint="eastAsia"/>
          <w:color w:val="000000" w:themeColor="text1"/>
          <w:kern w:val="1"/>
          <w:sz w:val="24"/>
          <w:szCs w:val="24"/>
        </w:rPr>
        <w:t xml:space="preserve"> </w:t>
      </w:r>
      <w:r>
        <w:rPr>
          <w:rFonts w:ascii="Times New Roman" w:eastAsia="宋体" w:hAnsi="Times New Roman" w:cs="Times New Roman" w:hint="eastAsia"/>
          <w:color w:val="000000" w:themeColor="text1"/>
          <w:kern w:val="1"/>
          <w:sz w:val="24"/>
          <w:szCs w:val="24"/>
        </w:rPr>
        <w:t>本项目尿基有机肥生产以磷酸一铵、硫酸钾、有机质、添加剂和自产熔融尿素为原料，生产硝基有机肥。磷酸一铵、硫酸钾、有机质、添加剂合计用量</w:t>
      </w:r>
      <w:r>
        <w:rPr>
          <w:rFonts w:ascii="Times New Roman" w:eastAsia="宋体" w:hAnsi="Times New Roman" w:cs="Times New Roman" w:hint="eastAsia"/>
          <w:color w:val="000000" w:themeColor="text1"/>
          <w:kern w:val="1"/>
          <w:sz w:val="24"/>
          <w:szCs w:val="24"/>
        </w:rPr>
        <w:t>199400t/a</w:t>
      </w:r>
      <w:r>
        <w:rPr>
          <w:rFonts w:ascii="Times New Roman" w:eastAsia="宋体" w:hAnsi="Times New Roman" w:cs="Times New Roman" w:hint="eastAsia"/>
          <w:color w:val="000000" w:themeColor="text1"/>
          <w:kern w:val="1"/>
          <w:sz w:val="24"/>
          <w:szCs w:val="24"/>
        </w:rPr>
        <w:t>，采用排污系数法，备料过程中颗粒物产生系数为</w:t>
      </w:r>
      <w:r>
        <w:rPr>
          <w:rFonts w:ascii="Times New Roman" w:eastAsia="宋体" w:hAnsi="Times New Roman" w:cs="Times New Roman" w:hint="eastAsia"/>
          <w:color w:val="000000" w:themeColor="text1"/>
          <w:kern w:val="1"/>
          <w:sz w:val="24"/>
          <w:szCs w:val="24"/>
        </w:rPr>
        <w:t>1.0</w:t>
      </w:r>
      <w:r>
        <w:rPr>
          <w:rFonts w:ascii="Times New Roman" w:eastAsia="宋体" w:hAnsi="Times New Roman" w:cs="Times New Roman" w:hint="eastAsia"/>
          <w:color w:val="000000" w:themeColor="text1"/>
          <w:kern w:val="1"/>
          <w:sz w:val="24"/>
          <w:szCs w:val="24"/>
        </w:rPr>
        <w:t>千克</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物料计，约</w:t>
      </w:r>
      <w:r>
        <w:rPr>
          <w:rFonts w:ascii="Times New Roman" w:eastAsia="宋体" w:hAnsi="Times New Roman" w:cs="Times New Roman" w:hint="eastAsia"/>
          <w:color w:val="000000" w:themeColor="text1"/>
          <w:kern w:val="1"/>
          <w:sz w:val="24"/>
          <w:szCs w:val="24"/>
        </w:rPr>
        <w:t>199.4t/a</w:t>
      </w:r>
      <w:r>
        <w:rPr>
          <w:rFonts w:ascii="Times New Roman" w:eastAsia="宋体" w:hAnsi="Times New Roman" w:cs="Times New Roman" w:hint="eastAsia"/>
          <w:color w:val="000000" w:themeColor="text1"/>
          <w:kern w:val="1"/>
          <w:sz w:val="24"/>
          <w:szCs w:val="24"/>
        </w:rPr>
        <w:t>，备料系统采用布袋收尘措施，布袋除尘效率</w:t>
      </w:r>
      <w:r>
        <w:rPr>
          <w:rFonts w:ascii="Times New Roman" w:eastAsia="宋体" w:hAnsi="Times New Roman" w:cs="Times New Roman" w:hint="eastAsia"/>
          <w:color w:val="000000" w:themeColor="text1"/>
          <w:kern w:val="1"/>
          <w:sz w:val="24"/>
          <w:szCs w:val="24"/>
        </w:rPr>
        <w:t>99%</w:t>
      </w:r>
      <w:r>
        <w:rPr>
          <w:rFonts w:ascii="Times New Roman" w:eastAsia="宋体" w:hAnsi="Times New Roman" w:cs="Times New Roman" w:hint="eastAsia"/>
          <w:color w:val="000000" w:themeColor="text1"/>
          <w:kern w:val="1"/>
          <w:sz w:val="24"/>
          <w:szCs w:val="24"/>
        </w:rPr>
        <w:t>，备料废气排放量</w:t>
      </w:r>
      <w:r>
        <w:rPr>
          <w:rFonts w:ascii="Times New Roman" w:eastAsia="宋体" w:hAnsi="Times New Roman" w:cs="Times New Roman" w:hint="eastAsia"/>
          <w:color w:val="000000" w:themeColor="text1"/>
          <w:kern w:val="1"/>
          <w:sz w:val="24"/>
          <w:szCs w:val="24"/>
        </w:rPr>
        <w:t>7500m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/h</w:t>
      </w:r>
      <w:r>
        <w:rPr>
          <w:rFonts w:ascii="Times New Roman" w:eastAsia="宋体" w:hAnsi="Times New Roman" w:cs="Times New Roman" w:hint="eastAsia"/>
          <w:color w:val="000000" w:themeColor="text1"/>
          <w:kern w:val="1"/>
          <w:sz w:val="24"/>
          <w:szCs w:val="24"/>
        </w:rPr>
        <w:t>，经布袋除尘后，颗粒物排放量</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99t/a</w:t>
      </w:r>
      <w:r>
        <w:rPr>
          <w:rFonts w:ascii="Times New Roman" w:eastAsia="宋体" w:hAnsi="Times New Roman" w:cs="Times New Roman" w:hint="eastAsia"/>
          <w:color w:val="000000" w:themeColor="text1"/>
          <w:kern w:val="1"/>
          <w:sz w:val="24"/>
          <w:szCs w:val="24"/>
        </w:rPr>
        <w:t>，约</w:t>
      </w:r>
      <w:r>
        <w:rPr>
          <w:rFonts w:ascii="Times New Roman" w:eastAsia="宋体" w:hAnsi="Times New Roman" w:cs="Times New Roman" w:hint="eastAsia"/>
          <w:color w:val="000000" w:themeColor="text1"/>
          <w:kern w:val="1"/>
          <w:sz w:val="24"/>
          <w:szCs w:val="24"/>
        </w:rPr>
        <w:t>0.276kg/h</w:t>
      </w:r>
      <w:r>
        <w:rPr>
          <w:rFonts w:ascii="Times New Roman" w:eastAsia="宋体" w:hAnsi="Times New Roman" w:cs="Times New Roman" w:hint="eastAsia"/>
          <w:color w:val="000000" w:themeColor="text1"/>
          <w:kern w:val="1"/>
          <w:sz w:val="24"/>
          <w:szCs w:val="24"/>
        </w:rPr>
        <w:t>，废气排放浓度</w:t>
      </w:r>
      <w:r>
        <w:rPr>
          <w:rFonts w:ascii="Times New Roman" w:eastAsia="宋体" w:hAnsi="Times New Roman" w:cs="Times New Roman" w:hint="eastAsia"/>
          <w:color w:val="000000" w:themeColor="text1"/>
          <w:kern w:val="1"/>
          <w:sz w:val="24"/>
          <w:szCs w:val="24"/>
        </w:rPr>
        <w:t>36.8mg/m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尿基有机肥料备料废气污染物排放情况见表</w:t>
      </w:r>
      <w:r>
        <w:rPr>
          <w:rFonts w:ascii="Times New Roman" w:eastAsia="宋体" w:hAnsi="Times New Roman" w:cs="Times New Roman" w:hint="eastAsia"/>
          <w:color w:val="000000" w:themeColor="text1"/>
          <w:kern w:val="1"/>
          <w:sz w:val="24"/>
          <w:szCs w:val="24"/>
        </w:rPr>
        <w:t>4.4-9</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表</w:t>
      </w:r>
      <w:r>
        <w:rPr>
          <w:rFonts w:ascii="Times New Roman" w:eastAsia="宋体" w:hAnsi="Times New Roman" w:cs="Times New Roman" w:hint="eastAsia"/>
          <w:color w:val="000000" w:themeColor="text1"/>
          <w:kern w:val="1"/>
          <w:sz w:val="24"/>
          <w:szCs w:val="24"/>
        </w:rPr>
        <w:t xml:space="preserve">4.4-9     </w:t>
      </w:r>
      <w:r>
        <w:rPr>
          <w:rFonts w:ascii="Times New Roman" w:eastAsia="宋体" w:hAnsi="Times New Roman" w:cs="Times New Roman" w:hint="eastAsia"/>
          <w:color w:val="000000" w:themeColor="text1"/>
          <w:kern w:val="1"/>
          <w:sz w:val="24"/>
          <w:szCs w:val="24"/>
        </w:rPr>
        <w:t>尿基有机肥备料废气污染物排放情况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303"/>
        <w:gridCol w:w="1245"/>
        <w:gridCol w:w="1507"/>
        <w:gridCol w:w="1320"/>
        <w:gridCol w:w="1621"/>
      </w:tblGrid>
      <w:tr w:rsidR="00C861DA">
        <w:tc>
          <w:tcPr>
            <w:tcW w:w="152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排放源（编号）</w:t>
            </w:r>
          </w:p>
        </w:tc>
        <w:tc>
          <w:tcPr>
            <w:tcW w:w="130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废气排放量（</w:t>
            </w:r>
            <w:r>
              <w:rPr>
                <w:rFonts w:ascii="Times New Roman" w:eastAsia="宋体" w:hAnsi="Times New Roman" w:cs="Times New Roman" w:hint="eastAsia"/>
                <w:color w:val="000000" w:themeColor="text1"/>
                <w:kern w:val="1"/>
              </w:rPr>
              <w:t>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/h</w:t>
            </w:r>
            <w:r>
              <w:rPr>
                <w:rFonts w:ascii="Times New Roman" w:eastAsia="宋体" w:hAnsi="Times New Roman" w:cs="Times New Roman" w:hint="eastAsia"/>
                <w:color w:val="000000" w:themeColor="text1"/>
                <w:kern w:val="1"/>
              </w:rPr>
              <w:t>）</w:t>
            </w:r>
          </w:p>
        </w:tc>
        <w:tc>
          <w:tcPr>
            <w:tcW w:w="124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污染物名称</w:t>
            </w:r>
          </w:p>
        </w:tc>
        <w:tc>
          <w:tcPr>
            <w:tcW w:w="15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污染物排放浓度（</w:t>
            </w:r>
            <w:r>
              <w:rPr>
                <w:rFonts w:ascii="Times New Roman" w:eastAsia="宋体" w:hAnsi="Times New Roman" w:cs="Times New Roman" w:hint="eastAsia"/>
                <w:color w:val="000000" w:themeColor="text1"/>
                <w:kern w:val="1"/>
              </w:rPr>
              <w:t>mg/m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w:t>
            </w:r>
          </w:p>
        </w:tc>
        <w:tc>
          <w:tcPr>
            <w:tcW w:w="132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污染物排放量（</w:t>
            </w:r>
            <w:r>
              <w:rPr>
                <w:rFonts w:ascii="Times New Roman" w:eastAsia="宋体" w:hAnsi="Times New Roman" w:cs="Times New Roman" w:hint="eastAsia"/>
                <w:color w:val="000000" w:themeColor="text1"/>
                <w:kern w:val="1"/>
              </w:rPr>
              <w:t>kg/h</w:t>
            </w:r>
            <w:r>
              <w:rPr>
                <w:rFonts w:ascii="Times New Roman" w:eastAsia="宋体" w:hAnsi="Times New Roman" w:cs="Times New Roman" w:hint="eastAsia"/>
                <w:color w:val="000000" w:themeColor="text1"/>
                <w:kern w:val="1"/>
              </w:rPr>
              <w:t>）</w:t>
            </w:r>
          </w:p>
        </w:tc>
        <w:tc>
          <w:tcPr>
            <w:tcW w:w="16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排放参数</w:t>
            </w:r>
          </w:p>
        </w:tc>
      </w:tr>
      <w:tr w:rsidR="00C861DA">
        <w:tc>
          <w:tcPr>
            <w:tcW w:w="152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硝基有机肥备料废气（</w:t>
            </w:r>
            <w:r>
              <w:rPr>
                <w:rFonts w:ascii="Times New Roman" w:eastAsia="宋体" w:hAnsi="Times New Roman" w:cs="Times New Roman" w:hint="eastAsia"/>
                <w:color w:val="000000" w:themeColor="text1"/>
                <w:kern w:val="1"/>
              </w:rPr>
              <w:t>G10</w:t>
            </w:r>
            <w:r>
              <w:rPr>
                <w:rFonts w:ascii="Times New Roman" w:eastAsia="宋体" w:hAnsi="Times New Roman" w:cs="Times New Roman" w:hint="eastAsia"/>
                <w:color w:val="000000" w:themeColor="text1"/>
                <w:kern w:val="1"/>
              </w:rPr>
              <w:t>）</w:t>
            </w:r>
          </w:p>
        </w:tc>
        <w:tc>
          <w:tcPr>
            <w:tcW w:w="130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7500</w:t>
            </w:r>
          </w:p>
        </w:tc>
        <w:tc>
          <w:tcPr>
            <w:tcW w:w="124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颗粒物</w:t>
            </w:r>
          </w:p>
        </w:tc>
        <w:tc>
          <w:tcPr>
            <w:tcW w:w="15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36.8</w:t>
            </w:r>
          </w:p>
        </w:tc>
        <w:tc>
          <w:tcPr>
            <w:tcW w:w="132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0.276</w:t>
            </w:r>
          </w:p>
        </w:tc>
        <w:tc>
          <w:tcPr>
            <w:tcW w:w="16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排气筒高度：</w:t>
            </w:r>
            <w:r>
              <w:rPr>
                <w:rFonts w:ascii="Times New Roman" w:eastAsia="宋体" w:hAnsi="Times New Roman" w:cs="Times New Roman" w:hint="eastAsia"/>
                <w:color w:val="000000" w:themeColor="text1"/>
                <w:kern w:val="1"/>
              </w:rPr>
              <w:t>25m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排放口内径：</w:t>
            </w:r>
            <w:r>
              <w:rPr>
                <w:rFonts w:ascii="Times New Roman" w:eastAsia="宋体" w:hAnsi="Times New Roman" w:cs="Times New Roman" w:hint="eastAsia"/>
                <w:color w:val="000000" w:themeColor="text1"/>
                <w:kern w:val="1"/>
              </w:rPr>
              <w:t>0.5m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温度：</w:t>
            </w:r>
            <w:r>
              <w:rPr>
                <w:rFonts w:ascii="Times New Roman" w:eastAsia="宋体" w:hAnsi="Times New Roman" w:cs="Times New Roman" w:hint="eastAsia"/>
                <w:color w:val="000000" w:themeColor="text1"/>
                <w:kern w:val="1"/>
              </w:rPr>
              <w:t>25</w:t>
            </w:r>
            <w:r>
              <w:rPr>
                <w:rFonts w:ascii="Times New Roman" w:eastAsia="宋体" w:hAnsi="Times New Roman" w:cs="Times New Roman" w:hint="eastAsia"/>
                <w:color w:val="000000" w:themeColor="text1"/>
                <w:kern w:val="1"/>
              </w:rPr>
              <w:t>℃</w:t>
            </w:r>
          </w:p>
        </w:tc>
      </w:tr>
    </w:tbl>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10</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G11-G14</w:t>
      </w:r>
      <w:r>
        <w:rPr>
          <w:rFonts w:ascii="Times New Roman" w:eastAsia="宋体" w:hAnsi="Times New Roman" w:cs="Times New Roman" w:hint="eastAsia"/>
          <w:color w:val="000000" w:themeColor="text1"/>
          <w:kern w:val="0"/>
          <w:sz w:val="24"/>
          <w:szCs w:val="24"/>
        </w:rPr>
        <w:t>：尿基</w:t>
      </w:r>
      <w:r>
        <w:rPr>
          <w:rFonts w:ascii="Times New Roman" w:eastAsia="宋体" w:hAnsi="Times New Roman" w:cs="Times New Roman"/>
          <w:color w:val="000000" w:themeColor="text1"/>
          <w:kern w:val="0"/>
          <w:sz w:val="24"/>
          <w:szCs w:val="24"/>
        </w:rPr>
        <w:t>复合肥</w:t>
      </w:r>
      <w:r>
        <w:rPr>
          <w:rFonts w:ascii="Times New Roman" w:eastAsia="宋体" w:hAnsi="Times New Roman" w:cs="Times New Roman" w:hint="eastAsia"/>
          <w:color w:val="000000" w:themeColor="text1"/>
          <w:kern w:val="0"/>
          <w:sz w:val="24"/>
          <w:szCs w:val="24"/>
        </w:rPr>
        <w:t>造粒塔</w:t>
      </w:r>
      <w:r>
        <w:rPr>
          <w:rFonts w:ascii="Times New Roman" w:eastAsia="宋体" w:hAnsi="Times New Roman" w:cs="Times New Roman"/>
          <w:color w:val="000000" w:themeColor="text1"/>
          <w:kern w:val="0"/>
          <w:sz w:val="24"/>
          <w:szCs w:val="24"/>
        </w:rPr>
        <w:t>尾气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造粒废气</w:t>
      </w:r>
      <w:r>
        <w:rPr>
          <w:rFonts w:ascii="Times New Roman" w:eastAsia="宋体" w:hAnsi="Times New Roman" w:cs="Times New Roman" w:hint="eastAsia"/>
          <w:color w:val="000000" w:themeColor="text1"/>
          <w:kern w:val="1"/>
          <w:sz w:val="24"/>
          <w:szCs w:val="24"/>
        </w:rPr>
        <w:t>有由两部分组成，一部分</w:t>
      </w:r>
      <w:r>
        <w:rPr>
          <w:rFonts w:ascii="Times New Roman" w:eastAsia="宋体" w:hAnsi="Times New Roman" w:cs="Times New Roman"/>
          <w:color w:val="000000" w:themeColor="text1"/>
          <w:kern w:val="1"/>
          <w:sz w:val="24"/>
          <w:szCs w:val="24"/>
        </w:rPr>
        <w:t>是造粒塔</w:t>
      </w:r>
      <w:r>
        <w:rPr>
          <w:rFonts w:ascii="Times New Roman" w:eastAsia="宋体" w:hAnsi="Times New Roman" w:cs="Times New Roman" w:hint="eastAsia"/>
          <w:color w:val="000000" w:themeColor="text1"/>
          <w:kern w:val="1"/>
          <w:sz w:val="24"/>
          <w:szCs w:val="24"/>
        </w:rPr>
        <w:t>产品冷却</w:t>
      </w:r>
      <w:r>
        <w:rPr>
          <w:rFonts w:ascii="Times New Roman" w:eastAsia="宋体" w:hAnsi="Times New Roman" w:cs="Times New Roman"/>
          <w:color w:val="000000" w:themeColor="text1"/>
          <w:kern w:val="1"/>
          <w:sz w:val="24"/>
          <w:szCs w:val="24"/>
        </w:rPr>
        <w:t>产生的尾气，主要污染</w:t>
      </w:r>
      <w:r>
        <w:rPr>
          <w:rFonts w:ascii="Times New Roman" w:eastAsia="宋体" w:hAnsi="Times New Roman" w:cs="Times New Roman" w:hint="eastAsia"/>
          <w:color w:val="000000" w:themeColor="text1"/>
          <w:kern w:val="1"/>
          <w:sz w:val="24"/>
          <w:szCs w:val="24"/>
        </w:rPr>
        <w:t>物为</w:t>
      </w:r>
      <w:r>
        <w:rPr>
          <w:rFonts w:ascii="Times New Roman" w:eastAsia="宋体" w:hAnsi="Times New Roman" w:cs="Times New Roman"/>
          <w:color w:val="000000" w:themeColor="text1"/>
          <w:kern w:val="1"/>
          <w:sz w:val="24"/>
          <w:szCs w:val="24"/>
        </w:rPr>
        <w:t>颗粒物</w:t>
      </w:r>
      <w:r>
        <w:rPr>
          <w:rFonts w:ascii="Times New Roman" w:eastAsia="宋体" w:hAnsi="Times New Roman" w:cs="Times New Roman" w:hint="eastAsia"/>
          <w:color w:val="000000" w:themeColor="text1"/>
          <w:kern w:val="1"/>
          <w:sz w:val="24"/>
          <w:szCs w:val="24"/>
        </w:rPr>
        <w:t>和氨</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采取湿法</w:t>
      </w:r>
      <w:r>
        <w:rPr>
          <w:rFonts w:ascii="Times New Roman" w:eastAsia="宋体" w:hAnsi="Times New Roman" w:cs="Times New Roman"/>
          <w:color w:val="000000" w:themeColor="text1"/>
          <w:kern w:val="1"/>
          <w:sz w:val="24"/>
          <w:szCs w:val="24"/>
        </w:rPr>
        <w:t>洗涤</w:t>
      </w:r>
      <w:r>
        <w:rPr>
          <w:rFonts w:ascii="Times New Roman" w:eastAsia="宋体" w:hAnsi="Times New Roman" w:cs="Times New Roman" w:hint="eastAsia"/>
          <w:color w:val="000000" w:themeColor="text1"/>
          <w:kern w:val="1"/>
          <w:sz w:val="24"/>
          <w:szCs w:val="24"/>
        </w:rPr>
        <w:t>处理</w:t>
      </w:r>
      <w:r>
        <w:rPr>
          <w:rFonts w:ascii="Times New Roman" w:eastAsia="宋体" w:hAnsi="Times New Roman" w:cs="Times New Roman"/>
          <w:color w:val="000000" w:themeColor="text1"/>
          <w:kern w:val="1"/>
          <w:sz w:val="24"/>
          <w:szCs w:val="24"/>
        </w:rPr>
        <w:t>后</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经</w:t>
      </w:r>
      <w:r>
        <w:rPr>
          <w:rFonts w:ascii="Times New Roman" w:eastAsia="宋体" w:hAnsi="Times New Roman" w:cs="Times New Roman" w:hint="eastAsia"/>
          <w:color w:val="000000" w:themeColor="text1"/>
          <w:kern w:val="1"/>
          <w:sz w:val="24"/>
          <w:szCs w:val="24"/>
        </w:rPr>
        <w:t>110</w:t>
      </w:r>
      <w:r>
        <w:rPr>
          <w:rFonts w:ascii="Times New Roman" w:eastAsia="宋体" w:hAnsi="Times New Roman" w:cs="Times New Roman"/>
          <w:color w:val="000000" w:themeColor="text1"/>
          <w:kern w:val="1"/>
          <w:sz w:val="24"/>
          <w:szCs w:val="24"/>
        </w:rPr>
        <w:t>m</w:t>
      </w:r>
      <w:r>
        <w:rPr>
          <w:rFonts w:ascii="Times New Roman" w:eastAsia="宋体" w:hAnsi="Times New Roman" w:cs="Times New Roman"/>
          <w:color w:val="000000" w:themeColor="text1"/>
          <w:kern w:val="1"/>
          <w:sz w:val="24"/>
          <w:szCs w:val="24"/>
        </w:rPr>
        <w:t>高的造粒塔出风口（</w:t>
      </w:r>
      <w:r>
        <w:rPr>
          <w:rFonts w:ascii="Times New Roman" w:eastAsia="宋体" w:hAnsi="Times New Roman" w:cs="Times New Roman"/>
          <w:color w:val="000000" w:themeColor="text1"/>
          <w:kern w:val="1"/>
          <w:sz w:val="24"/>
          <w:szCs w:val="24"/>
        </w:rPr>
        <w:t>6#</w:t>
      </w:r>
      <w:r>
        <w:rPr>
          <w:rFonts w:ascii="Times New Roman" w:eastAsia="宋体" w:hAnsi="Times New Roman" w:cs="Times New Roman"/>
          <w:color w:val="000000" w:themeColor="text1"/>
          <w:kern w:val="1"/>
          <w:sz w:val="24"/>
          <w:szCs w:val="24"/>
        </w:rPr>
        <w:t>排气</w:t>
      </w:r>
      <w:r>
        <w:rPr>
          <w:rFonts w:ascii="Times New Roman" w:eastAsia="宋体" w:hAnsi="Times New Roman" w:cs="Times New Roman" w:hint="eastAsia"/>
          <w:color w:val="000000" w:themeColor="text1"/>
          <w:kern w:val="1"/>
          <w:sz w:val="24"/>
          <w:szCs w:val="24"/>
        </w:rPr>
        <w:t>口</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排放</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另一部分</w:t>
      </w:r>
      <w:r>
        <w:rPr>
          <w:rFonts w:ascii="Times New Roman" w:eastAsia="宋体" w:hAnsi="Times New Roman" w:cs="Times New Roman"/>
          <w:color w:val="000000" w:themeColor="text1"/>
          <w:kern w:val="1"/>
          <w:sz w:val="24"/>
          <w:szCs w:val="24"/>
        </w:rPr>
        <w:t>是造粒塔内设备</w:t>
      </w:r>
      <w:r>
        <w:rPr>
          <w:rFonts w:ascii="Times New Roman" w:eastAsia="宋体" w:hAnsi="Times New Roman" w:cs="Times New Roman" w:hint="eastAsia"/>
          <w:color w:val="000000" w:themeColor="text1"/>
          <w:kern w:val="1"/>
          <w:sz w:val="24"/>
          <w:szCs w:val="24"/>
        </w:rPr>
        <w:t>产生</w:t>
      </w:r>
      <w:r>
        <w:rPr>
          <w:rFonts w:ascii="Times New Roman" w:eastAsia="宋体" w:hAnsi="Times New Roman" w:cs="Times New Roman"/>
          <w:color w:val="000000" w:themeColor="text1"/>
          <w:kern w:val="1"/>
          <w:sz w:val="24"/>
          <w:szCs w:val="24"/>
        </w:rPr>
        <w:t>的废气</w:t>
      </w:r>
      <w:r>
        <w:rPr>
          <w:rFonts w:ascii="Times New Roman" w:eastAsia="宋体" w:hAnsi="Times New Roman" w:cs="Times New Roman" w:hint="eastAsia"/>
          <w:color w:val="000000" w:themeColor="text1"/>
          <w:kern w:val="1"/>
          <w:sz w:val="24"/>
          <w:szCs w:val="24"/>
        </w:rPr>
        <w:t>，主要污染物为颗粒物，</w:t>
      </w:r>
      <w:r>
        <w:rPr>
          <w:rFonts w:ascii="Times New Roman" w:eastAsia="宋体" w:hAnsi="Times New Roman" w:cs="Times New Roman"/>
          <w:color w:val="000000" w:themeColor="text1"/>
          <w:kern w:val="1"/>
          <w:sz w:val="24"/>
          <w:szCs w:val="24"/>
        </w:rPr>
        <w:t>经布袋除尘后，再送至造粒塔顶的湿法洗涤系统</w:t>
      </w:r>
      <w:r>
        <w:rPr>
          <w:rFonts w:ascii="Times New Roman" w:eastAsia="宋体" w:hAnsi="Times New Roman" w:cs="Times New Roman" w:hint="eastAsia"/>
          <w:color w:val="000000" w:themeColor="text1"/>
          <w:kern w:val="1"/>
          <w:sz w:val="24"/>
          <w:szCs w:val="24"/>
        </w:rPr>
        <w:t>，经</w:t>
      </w:r>
      <w:r>
        <w:rPr>
          <w:rFonts w:ascii="Times New Roman" w:eastAsia="宋体" w:hAnsi="Times New Roman" w:cs="Times New Roman" w:hint="eastAsia"/>
          <w:color w:val="000000" w:themeColor="text1"/>
          <w:kern w:val="1"/>
          <w:sz w:val="24"/>
          <w:szCs w:val="24"/>
        </w:rPr>
        <w:t>110</w:t>
      </w:r>
      <w:r>
        <w:rPr>
          <w:rFonts w:ascii="Times New Roman" w:eastAsia="宋体" w:hAnsi="Times New Roman" w:cs="Times New Roman"/>
          <w:color w:val="000000" w:themeColor="text1"/>
          <w:kern w:val="1"/>
          <w:sz w:val="24"/>
          <w:szCs w:val="24"/>
        </w:rPr>
        <w:t>m</w:t>
      </w:r>
      <w:r>
        <w:rPr>
          <w:rFonts w:ascii="Times New Roman" w:eastAsia="宋体" w:hAnsi="Times New Roman" w:cs="Times New Roman"/>
          <w:color w:val="000000" w:themeColor="text1"/>
          <w:kern w:val="1"/>
          <w:sz w:val="24"/>
          <w:szCs w:val="24"/>
        </w:rPr>
        <w:t>高的造粒塔</w:t>
      </w:r>
      <w:r>
        <w:rPr>
          <w:rFonts w:ascii="Times New Roman" w:eastAsia="宋体" w:hAnsi="Times New Roman" w:cs="Times New Roman" w:hint="eastAsia"/>
          <w:color w:val="000000" w:themeColor="text1"/>
          <w:kern w:val="1"/>
          <w:sz w:val="24"/>
          <w:szCs w:val="24"/>
        </w:rPr>
        <w:t>废气排放口</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9</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color w:val="000000" w:themeColor="text1"/>
          <w:kern w:val="1"/>
          <w:sz w:val="24"/>
          <w:szCs w:val="24"/>
        </w:rPr>
        <w:t>排气</w:t>
      </w:r>
      <w:r>
        <w:rPr>
          <w:rFonts w:ascii="Times New Roman" w:eastAsia="宋体" w:hAnsi="Times New Roman" w:cs="Times New Roman" w:hint="eastAsia"/>
          <w:color w:val="000000" w:themeColor="text1"/>
          <w:kern w:val="1"/>
          <w:sz w:val="24"/>
          <w:szCs w:val="24"/>
        </w:rPr>
        <w:t>筒</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hint="eastAsia"/>
          <w:color w:val="000000" w:themeColor="text1"/>
          <w:kern w:val="1"/>
          <w:sz w:val="24"/>
          <w:szCs w:val="24"/>
        </w:rPr>
        <w:t>排放</w:t>
      </w:r>
      <w:r>
        <w:rPr>
          <w:rFonts w:ascii="Times New Roman" w:eastAsia="宋体" w:hAnsi="Times New Roman" w:cs="Times New Roman"/>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参考《排污许可证申请与核发技术规范（磷肥、钾肥复混肥料、有机肥料及微生物工业）》（</w:t>
      </w:r>
      <w:r>
        <w:rPr>
          <w:rFonts w:ascii="Times New Roman" w:eastAsia="宋体" w:hAnsi="Times New Roman" w:cs="Times New Roman" w:hint="eastAsia"/>
          <w:color w:val="000000" w:themeColor="text1"/>
          <w:kern w:val="1"/>
          <w:sz w:val="24"/>
          <w:szCs w:val="24"/>
        </w:rPr>
        <w:t>HJ864.2018</w:t>
      </w:r>
      <w:r>
        <w:rPr>
          <w:rFonts w:ascii="Times New Roman" w:eastAsia="宋体" w:hAnsi="Times New Roman" w:cs="Times New Roman" w:hint="eastAsia"/>
          <w:color w:val="000000" w:themeColor="text1"/>
          <w:kern w:val="1"/>
          <w:sz w:val="24"/>
          <w:szCs w:val="24"/>
        </w:rPr>
        <w:t>）工业粉尘产污系数为</w:t>
      </w:r>
      <w:r>
        <w:rPr>
          <w:rFonts w:ascii="Times New Roman" w:eastAsia="宋体" w:hAnsi="Times New Roman" w:cs="Times New Roman" w:hint="eastAsia"/>
          <w:color w:val="000000" w:themeColor="text1"/>
          <w:kern w:val="1"/>
          <w:sz w:val="24"/>
          <w:szCs w:val="24"/>
        </w:rPr>
        <w:t>5.60</w:t>
      </w:r>
      <w:r>
        <w:rPr>
          <w:rFonts w:ascii="Times New Roman" w:eastAsia="宋体" w:hAnsi="Times New Roman" w:cs="Times New Roman" w:hint="eastAsia"/>
          <w:color w:val="000000" w:themeColor="text1"/>
          <w:kern w:val="1"/>
          <w:sz w:val="24"/>
          <w:szCs w:val="24"/>
        </w:rPr>
        <w:t>千克</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产品。本项目尿基有机复合肥产量</w:t>
      </w:r>
      <w:r>
        <w:rPr>
          <w:rFonts w:ascii="Times New Roman" w:eastAsia="宋体" w:hAnsi="Times New Roman" w:cs="Times New Roman" w:hint="eastAsia"/>
          <w:color w:val="000000" w:themeColor="text1"/>
          <w:kern w:val="1"/>
          <w:sz w:val="24"/>
          <w:szCs w:val="24"/>
        </w:rPr>
        <w:t>50</w:t>
      </w:r>
      <w:r>
        <w:rPr>
          <w:rFonts w:ascii="Times New Roman" w:eastAsia="宋体" w:hAnsi="Times New Roman" w:cs="Times New Roman" w:hint="eastAsia"/>
          <w:color w:val="000000" w:themeColor="text1"/>
          <w:kern w:val="1"/>
          <w:sz w:val="24"/>
          <w:szCs w:val="24"/>
        </w:rPr>
        <w:t>万吨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年，预计尿基复合有机肥造粒废气颗粒物产生量</w:t>
      </w:r>
      <w:r>
        <w:rPr>
          <w:rFonts w:ascii="Times New Roman" w:eastAsia="宋体" w:hAnsi="Times New Roman" w:cs="Times New Roman" w:hint="eastAsia"/>
          <w:color w:val="000000" w:themeColor="text1"/>
          <w:kern w:val="1"/>
          <w:sz w:val="24"/>
          <w:szCs w:val="24"/>
        </w:rPr>
        <w:t>2800t/a</w:t>
      </w:r>
      <w:r>
        <w:rPr>
          <w:rFonts w:ascii="Times New Roman" w:eastAsia="宋体" w:hAnsi="Times New Roman" w:cs="Times New Roman" w:hint="eastAsia"/>
          <w:color w:val="000000" w:themeColor="text1"/>
          <w:kern w:val="1"/>
          <w:sz w:val="24"/>
          <w:szCs w:val="24"/>
        </w:rPr>
        <w:t>。废气经布袋除尘和湿法洗涤后，经由</w:t>
      </w:r>
      <w:r>
        <w:rPr>
          <w:rFonts w:ascii="Times New Roman" w:eastAsia="宋体" w:hAnsi="Times New Roman" w:cs="Times New Roman" w:hint="eastAsia"/>
          <w:color w:val="000000" w:themeColor="text1"/>
          <w:kern w:val="1"/>
          <w:sz w:val="24"/>
          <w:szCs w:val="24"/>
        </w:rPr>
        <w:t>110m</w:t>
      </w:r>
      <w:r>
        <w:rPr>
          <w:rFonts w:ascii="Times New Roman" w:eastAsia="宋体" w:hAnsi="Times New Roman" w:cs="Times New Roman" w:hint="eastAsia"/>
          <w:color w:val="000000" w:themeColor="text1"/>
          <w:kern w:val="1"/>
          <w:sz w:val="24"/>
          <w:szCs w:val="24"/>
        </w:rPr>
        <w:t>高的造粒塔顶排气筒（</w:t>
      </w:r>
      <w:r>
        <w:rPr>
          <w:rFonts w:ascii="Times New Roman" w:eastAsia="宋体" w:hAnsi="Times New Roman" w:cs="Times New Roman" w:hint="eastAsia"/>
          <w:color w:val="000000" w:themeColor="text1"/>
          <w:kern w:val="1"/>
          <w:sz w:val="24"/>
          <w:szCs w:val="24"/>
        </w:rPr>
        <w:t>9#</w:t>
      </w:r>
      <w:r>
        <w:rPr>
          <w:rFonts w:ascii="Times New Roman" w:eastAsia="宋体" w:hAnsi="Times New Roman" w:cs="Times New Roman" w:hint="eastAsia"/>
          <w:color w:val="000000" w:themeColor="text1"/>
          <w:kern w:val="1"/>
          <w:sz w:val="24"/>
          <w:szCs w:val="24"/>
        </w:rPr>
        <w:t>排气口）排放，废气排放量</w:t>
      </w:r>
      <w:r>
        <w:rPr>
          <w:rFonts w:ascii="Times New Roman" w:eastAsia="宋体" w:hAnsi="Times New Roman" w:cs="Times New Roman" w:hint="eastAsia"/>
          <w:color w:val="000000" w:themeColor="text1"/>
          <w:kern w:val="1"/>
          <w:sz w:val="24"/>
          <w:szCs w:val="24"/>
        </w:rPr>
        <w:t>125000m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/h</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布袋除尘和湿法洗涤综合除尘效率以</w:t>
      </w:r>
      <w:r>
        <w:rPr>
          <w:rFonts w:ascii="Times New Roman" w:eastAsia="宋体" w:hAnsi="Times New Roman" w:cs="Times New Roman" w:hint="eastAsia"/>
          <w:color w:val="000000" w:themeColor="text1"/>
          <w:kern w:val="1"/>
          <w:sz w:val="24"/>
          <w:szCs w:val="24"/>
        </w:rPr>
        <w:t>99.5%</w:t>
      </w:r>
      <w:r>
        <w:rPr>
          <w:rFonts w:ascii="Times New Roman" w:eastAsia="宋体" w:hAnsi="Times New Roman" w:cs="Times New Roman" w:hint="eastAsia"/>
          <w:color w:val="000000" w:themeColor="text1"/>
          <w:kern w:val="1"/>
          <w:sz w:val="24"/>
          <w:szCs w:val="24"/>
        </w:rPr>
        <w:t>计，湿法洗涤氨去除效率以</w:t>
      </w:r>
      <w:r>
        <w:rPr>
          <w:rFonts w:ascii="Times New Roman" w:eastAsia="宋体" w:hAnsi="Times New Roman" w:cs="Times New Roman" w:hint="eastAsia"/>
          <w:color w:val="000000" w:themeColor="text1"/>
          <w:kern w:val="1"/>
          <w:sz w:val="24"/>
          <w:szCs w:val="24"/>
        </w:rPr>
        <w:t>95%</w:t>
      </w:r>
      <w:r>
        <w:rPr>
          <w:rFonts w:ascii="Times New Roman" w:eastAsia="宋体" w:hAnsi="Times New Roman" w:cs="Times New Roman" w:hint="eastAsia"/>
          <w:color w:val="000000" w:themeColor="text1"/>
          <w:kern w:val="1"/>
          <w:sz w:val="24"/>
          <w:szCs w:val="24"/>
        </w:rPr>
        <w:t>，计，预计造粒废气经布袋除尘和湿法洗涤后，废气中颗粒物排放量</w:t>
      </w:r>
      <w:r>
        <w:rPr>
          <w:rFonts w:ascii="Times New Roman" w:eastAsia="宋体" w:hAnsi="Times New Roman" w:cs="Times New Roman" w:hint="eastAsia"/>
          <w:color w:val="000000" w:themeColor="text1"/>
          <w:kern w:val="1"/>
          <w:sz w:val="24"/>
          <w:szCs w:val="24"/>
        </w:rPr>
        <w:t>14t/a</w:t>
      </w:r>
      <w:r>
        <w:rPr>
          <w:rFonts w:ascii="Times New Roman" w:eastAsia="宋体" w:hAnsi="Times New Roman" w:cs="Times New Roman" w:hint="eastAsia"/>
          <w:color w:val="000000" w:themeColor="text1"/>
          <w:kern w:val="1"/>
          <w:sz w:val="24"/>
          <w:szCs w:val="24"/>
        </w:rPr>
        <w:t>，约</w:t>
      </w:r>
      <w:r>
        <w:rPr>
          <w:rFonts w:ascii="Times New Roman" w:eastAsia="宋体" w:hAnsi="Times New Roman" w:cs="Times New Roman" w:hint="eastAsia"/>
          <w:color w:val="000000" w:themeColor="text1"/>
          <w:kern w:val="1"/>
          <w:sz w:val="24"/>
          <w:szCs w:val="24"/>
        </w:rPr>
        <w:t>1.94kg/h</w:t>
      </w:r>
      <w:r>
        <w:rPr>
          <w:rFonts w:ascii="Times New Roman" w:eastAsia="宋体" w:hAnsi="Times New Roman" w:cs="Times New Roman" w:hint="eastAsia"/>
          <w:color w:val="000000" w:themeColor="text1"/>
          <w:kern w:val="1"/>
          <w:sz w:val="24"/>
          <w:szCs w:val="24"/>
        </w:rPr>
        <w:t>，排放浓度</w:t>
      </w:r>
      <w:r>
        <w:rPr>
          <w:rFonts w:ascii="Times New Roman" w:eastAsia="宋体" w:hAnsi="Times New Roman" w:cs="Times New Roman" w:hint="eastAsia"/>
          <w:color w:val="000000" w:themeColor="text1"/>
          <w:kern w:val="1"/>
          <w:sz w:val="24"/>
          <w:szCs w:val="24"/>
        </w:rPr>
        <w:t>15.52mg/m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0"/>
          <w:sz w:val="24"/>
          <w:szCs w:val="24"/>
        </w:rPr>
        <w:t>尿基</w:t>
      </w:r>
      <w:r>
        <w:rPr>
          <w:rFonts w:ascii="Times New Roman" w:eastAsia="宋体" w:hAnsi="Times New Roman" w:cs="Times New Roman"/>
          <w:color w:val="000000" w:themeColor="text1"/>
          <w:kern w:val="0"/>
          <w:sz w:val="24"/>
          <w:szCs w:val="24"/>
        </w:rPr>
        <w:t>复合肥</w:t>
      </w:r>
      <w:r>
        <w:rPr>
          <w:rFonts w:ascii="Times New Roman" w:eastAsia="宋体" w:hAnsi="Times New Roman" w:cs="Times New Roman" w:hint="eastAsia"/>
          <w:color w:val="000000" w:themeColor="text1"/>
          <w:kern w:val="0"/>
          <w:sz w:val="24"/>
          <w:szCs w:val="24"/>
        </w:rPr>
        <w:t>造粒</w:t>
      </w:r>
      <w:r>
        <w:rPr>
          <w:rFonts w:ascii="Times New Roman" w:eastAsia="宋体" w:hAnsi="Times New Roman" w:cs="Times New Roman" w:hint="eastAsia"/>
          <w:color w:val="000000" w:themeColor="text1"/>
          <w:kern w:val="1"/>
          <w:sz w:val="24"/>
          <w:szCs w:val="24"/>
        </w:rPr>
        <w:t>废气污染物排放情况见表</w:t>
      </w:r>
      <w:r>
        <w:rPr>
          <w:rFonts w:ascii="Times New Roman" w:eastAsia="宋体" w:hAnsi="Times New Roman" w:cs="Times New Roman" w:hint="eastAsia"/>
          <w:color w:val="000000" w:themeColor="text1"/>
          <w:kern w:val="1"/>
          <w:sz w:val="24"/>
          <w:szCs w:val="24"/>
        </w:rPr>
        <w:t>4.4-10</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表</w:t>
      </w:r>
      <w:r>
        <w:rPr>
          <w:rFonts w:ascii="Times New Roman" w:eastAsia="宋体" w:hAnsi="Times New Roman" w:cs="Times New Roman" w:hint="eastAsia"/>
          <w:color w:val="000000" w:themeColor="text1"/>
          <w:kern w:val="1"/>
          <w:sz w:val="24"/>
          <w:szCs w:val="24"/>
        </w:rPr>
        <w:t xml:space="preserve">4.4-10    </w:t>
      </w:r>
      <w:r>
        <w:rPr>
          <w:rFonts w:ascii="Times New Roman" w:eastAsia="宋体" w:hAnsi="Times New Roman" w:cs="Times New Roman" w:hint="eastAsia"/>
          <w:color w:val="000000" w:themeColor="text1"/>
          <w:kern w:val="0"/>
          <w:sz w:val="24"/>
          <w:szCs w:val="24"/>
        </w:rPr>
        <w:t>尿基</w:t>
      </w:r>
      <w:r>
        <w:rPr>
          <w:rFonts w:ascii="Times New Roman" w:eastAsia="宋体" w:hAnsi="Times New Roman" w:cs="Times New Roman"/>
          <w:color w:val="000000" w:themeColor="text1"/>
          <w:kern w:val="0"/>
          <w:sz w:val="24"/>
          <w:szCs w:val="24"/>
        </w:rPr>
        <w:t>复合肥</w:t>
      </w:r>
      <w:r>
        <w:rPr>
          <w:rFonts w:ascii="Times New Roman" w:eastAsia="宋体" w:hAnsi="Times New Roman" w:cs="Times New Roman" w:hint="eastAsia"/>
          <w:color w:val="000000" w:themeColor="text1"/>
          <w:kern w:val="0"/>
          <w:sz w:val="24"/>
          <w:szCs w:val="24"/>
        </w:rPr>
        <w:t>造粒</w:t>
      </w:r>
      <w:r>
        <w:rPr>
          <w:rFonts w:ascii="Times New Roman" w:eastAsia="宋体" w:hAnsi="Times New Roman" w:cs="Times New Roman" w:hint="eastAsia"/>
          <w:color w:val="000000" w:themeColor="text1"/>
          <w:kern w:val="1"/>
          <w:sz w:val="24"/>
          <w:szCs w:val="24"/>
        </w:rPr>
        <w:t>废气污染物排放情况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303"/>
        <w:gridCol w:w="1245"/>
        <w:gridCol w:w="1507"/>
        <w:gridCol w:w="1320"/>
        <w:gridCol w:w="1621"/>
      </w:tblGrid>
      <w:tr w:rsidR="00C861DA">
        <w:tc>
          <w:tcPr>
            <w:tcW w:w="152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排放源（编号）</w:t>
            </w:r>
          </w:p>
        </w:tc>
        <w:tc>
          <w:tcPr>
            <w:tcW w:w="130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废气排放量（</w:t>
            </w:r>
            <w:r>
              <w:rPr>
                <w:rFonts w:ascii="Times New Roman" w:eastAsia="宋体" w:hAnsi="Times New Roman" w:cs="Times New Roman" w:hint="eastAsia"/>
                <w:color w:val="000000" w:themeColor="text1"/>
                <w:kern w:val="1"/>
              </w:rPr>
              <w:t>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/h</w:t>
            </w:r>
            <w:r>
              <w:rPr>
                <w:rFonts w:ascii="Times New Roman" w:eastAsia="宋体" w:hAnsi="Times New Roman" w:cs="Times New Roman" w:hint="eastAsia"/>
                <w:color w:val="000000" w:themeColor="text1"/>
                <w:kern w:val="1"/>
              </w:rPr>
              <w:t>）</w:t>
            </w:r>
          </w:p>
        </w:tc>
        <w:tc>
          <w:tcPr>
            <w:tcW w:w="124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污染物名称</w:t>
            </w:r>
          </w:p>
        </w:tc>
        <w:tc>
          <w:tcPr>
            <w:tcW w:w="15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污染物排放浓度（</w:t>
            </w:r>
            <w:r>
              <w:rPr>
                <w:rFonts w:ascii="Times New Roman" w:eastAsia="宋体" w:hAnsi="Times New Roman" w:cs="Times New Roman" w:hint="eastAsia"/>
                <w:color w:val="000000" w:themeColor="text1"/>
                <w:kern w:val="1"/>
              </w:rPr>
              <w:t>mg/m</w:t>
            </w:r>
            <w:r>
              <w:rPr>
                <w:rFonts w:ascii="Times New Roman" w:eastAsia="宋体" w:hAnsi="Times New Roman" w:cs="Times New Roman" w:hint="eastAsia"/>
                <w:color w:val="000000" w:themeColor="text1"/>
                <w:kern w:val="1"/>
                <w:vertAlign w:val="superscript"/>
              </w:rPr>
              <w:t>3</w:t>
            </w:r>
            <w:r>
              <w:rPr>
                <w:rFonts w:ascii="Times New Roman" w:eastAsia="宋体" w:hAnsi="Times New Roman" w:cs="Times New Roman" w:hint="eastAsia"/>
                <w:color w:val="000000" w:themeColor="text1"/>
                <w:kern w:val="1"/>
              </w:rPr>
              <w:t>）</w:t>
            </w:r>
          </w:p>
        </w:tc>
        <w:tc>
          <w:tcPr>
            <w:tcW w:w="132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污染物排放量（</w:t>
            </w:r>
            <w:r>
              <w:rPr>
                <w:rFonts w:ascii="Times New Roman" w:eastAsia="宋体" w:hAnsi="Times New Roman" w:cs="Times New Roman" w:hint="eastAsia"/>
                <w:color w:val="000000" w:themeColor="text1"/>
                <w:kern w:val="1"/>
              </w:rPr>
              <w:t>kg/h</w:t>
            </w:r>
            <w:r>
              <w:rPr>
                <w:rFonts w:ascii="Times New Roman" w:eastAsia="宋体" w:hAnsi="Times New Roman" w:cs="Times New Roman" w:hint="eastAsia"/>
                <w:color w:val="000000" w:themeColor="text1"/>
                <w:kern w:val="1"/>
              </w:rPr>
              <w:t>）</w:t>
            </w:r>
          </w:p>
        </w:tc>
        <w:tc>
          <w:tcPr>
            <w:tcW w:w="16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排放参数</w:t>
            </w:r>
          </w:p>
        </w:tc>
      </w:tr>
      <w:tr w:rsidR="00C861DA">
        <w:trPr>
          <w:trHeight w:val="454"/>
        </w:trPr>
        <w:tc>
          <w:tcPr>
            <w:tcW w:w="1526"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尿基复合肥造粒废气（</w:t>
            </w:r>
            <w:r>
              <w:rPr>
                <w:rFonts w:ascii="Times New Roman" w:eastAsia="宋体" w:hAnsi="Times New Roman" w:cs="Times New Roman" w:hint="eastAsia"/>
                <w:color w:val="000000" w:themeColor="text1"/>
                <w:kern w:val="1"/>
              </w:rPr>
              <w:t>G11-G14</w:t>
            </w:r>
            <w:r>
              <w:rPr>
                <w:rFonts w:ascii="Times New Roman" w:eastAsia="宋体" w:hAnsi="Times New Roman" w:cs="Times New Roman" w:hint="eastAsia"/>
                <w:color w:val="000000" w:themeColor="text1"/>
                <w:kern w:val="1"/>
              </w:rPr>
              <w:t>）</w:t>
            </w:r>
          </w:p>
        </w:tc>
        <w:tc>
          <w:tcPr>
            <w:tcW w:w="130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125000</w:t>
            </w:r>
          </w:p>
        </w:tc>
        <w:tc>
          <w:tcPr>
            <w:tcW w:w="124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颗粒物</w:t>
            </w:r>
          </w:p>
        </w:tc>
        <w:tc>
          <w:tcPr>
            <w:tcW w:w="1507"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15.52</w:t>
            </w:r>
          </w:p>
        </w:tc>
        <w:tc>
          <w:tcPr>
            <w:tcW w:w="132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1.94</w:t>
            </w:r>
          </w:p>
        </w:tc>
        <w:tc>
          <w:tcPr>
            <w:tcW w:w="16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排气筒高度：</w:t>
            </w:r>
            <w:r>
              <w:rPr>
                <w:rFonts w:ascii="Times New Roman" w:eastAsia="宋体" w:hAnsi="Times New Roman" w:cs="Times New Roman" w:hint="eastAsia"/>
                <w:color w:val="000000" w:themeColor="text1"/>
                <w:kern w:val="1"/>
              </w:rPr>
              <w:t>110m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排放口内径：</w:t>
            </w:r>
            <w:r>
              <w:rPr>
                <w:rFonts w:ascii="Times New Roman" w:eastAsia="宋体" w:hAnsi="Times New Roman" w:cs="Times New Roman" w:hint="eastAsia"/>
                <w:color w:val="000000" w:themeColor="text1"/>
                <w:kern w:val="1"/>
              </w:rPr>
              <w:t>1.2m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温度：</w:t>
            </w:r>
            <w:r>
              <w:rPr>
                <w:rFonts w:ascii="Times New Roman" w:eastAsia="宋体" w:hAnsi="Times New Roman" w:cs="Times New Roman" w:hint="eastAsia"/>
                <w:color w:val="000000" w:themeColor="text1"/>
                <w:kern w:val="1"/>
              </w:rPr>
              <w:t>45</w:t>
            </w:r>
            <w:r>
              <w:rPr>
                <w:rFonts w:ascii="Times New Roman" w:eastAsia="宋体" w:hAnsi="Times New Roman" w:cs="Times New Roman" w:hint="eastAsia"/>
                <w:color w:val="000000" w:themeColor="text1"/>
                <w:kern w:val="1"/>
              </w:rPr>
              <w:t>℃</w:t>
            </w:r>
          </w:p>
        </w:tc>
      </w:tr>
    </w:tbl>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根据有组织污染排放核算，项目有组织废气排放情况见表</w:t>
      </w:r>
      <w:r>
        <w:rPr>
          <w:rFonts w:ascii="Times New Roman" w:eastAsia="宋体" w:hAnsi="Times New Roman" w:cs="Times New Roman" w:hint="eastAsia"/>
          <w:color w:val="000000" w:themeColor="text1"/>
          <w:kern w:val="1"/>
          <w:sz w:val="24"/>
          <w:szCs w:val="24"/>
        </w:rPr>
        <w:t>4.4-11</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表</w:t>
      </w:r>
      <w:r>
        <w:rPr>
          <w:rFonts w:ascii="Times New Roman" w:eastAsia="宋体" w:hAnsi="Times New Roman" w:cs="Times New Roman" w:hint="eastAsia"/>
          <w:color w:val="000000" w:themeColor="text1"/>
          <w:kern w:val="1"/>
          <w:sz w:val="24"/>
          <w:szCs w:val="24"/>
        </w:rPr>
        <w:t xml:space="preserve">4.4-11    </w:t>
      </w:r>
      <w:r>
        <w:rPr>
          <w:rFonts w:ascii="Times New Roman" w:eastAsia="宋体" w:hAnsi="Times New Roman" w:cs="Times New Roman" w:hint="eastAsia"/>
          <w:color w:val="000000" w:themeColor="text1"/>
          <w:kern w:val="1"/>
          <w:sz w:val="24"/>
          <w:szCs w:val="24"/>
        </w:rPr>
        <w:t>项目有组织废气排放情况一览表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828"/>
        <w:gridCol w:w="689"/>
        <w:gridCol w:w="1092"/>
        <w:gridCol w:w="697"/>
        <w:gridCol w:w="979"/>
        <w:gridCol w:w="1258"/>
        <w:gridCol w:w="977"/>
        <w:gridCol w:w="1117"/>
      </w:tblGrid>
      <w:tr w:rsidR="00C861DA">
        <w:trPr>
          <w:trHeight w:val="369"/>
          <w:jc w:val="center"/>
        </w:trPr>
        <w:tc>
          <w:tcPr>
            <w:tcW w:w="65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bookmarkStart w:id="238" w:name="_Hlk6492625"/>
            <w:r>
              <w:rPr>
                <w:rFonts w:ascii="Times New Roman" w:eastAsia="宋体" w:hAnsi="Times New Roman" w:cs="Times New Roman"/>
                <w:color w:val="000000" w:themeColor="text1"/>
                <w:kern w:val="0"/>
              </w:rPr>
              <w:t>排气筒编号</w:t>
            </w:r>
          </w:p>
        </w:tc>
        <w:tc>
          <w:tcPr>
            <w:tcW w:w="82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污染源及编号</w:t>
            </w:r>
          </w:p>
        </w:tc>
        <w:tc>
          <w:tcPr>
            <w:tcW w:w="68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污染物名称</w:t>
            </w:r>
          </w:p>
        </w:tc>
        <w:tc>
          <w:tcPr>
            <w:tcW w:w="1092"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污染治理措施</w:t>
            </w:r>
          </w:p>
        </w:tc>
        <w:tc>
          <w:tcPr>
            <w:tcW w:w="69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处理效率</w:t>
            </w:r>
          </w:p>
        </w:tc>
        <w:tc>
          <w:tcPr>
            <w:tcW w:w="97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排气量</w:t>
            </w:r>
            <w:r>
              <w:rPr>
                <w:rFonts w:ascii="Times New Roman" w:eastAsia="宋体" w:hAnsi="Times New Roman" w:cs="Times New Roman"/>
                <w:color w:val="000000" w:themeColor="text1"/>
                <w:kern w:val="1"/>
              </w:rPr>
              <w:t>（</w:t>
            </w:r>
            <w:r>
              <w:rPr>
                <w:rFonts w:ascii="Times New Roman" w:eastAsia="宋体" w:hAnsi="Times New Roman" w:cs="Times New Roman"/>
                <w:color w:val="000000" w:themeColor="text1"/>
                <w:kern w:val="1"/>
              </w:rPr>
              <w:t>m</w:t>
            </w:r>
            <w:r>
              <w:rPr>
                <w:rFonts w:ascii="Times New Roman" w:eastAsia="宋体" w:hAnsi="Times New Roman" w:cs="Times New Roman"/>
                <w:color w:val="000000" w:themeColor="text1"/>
                <w:kern w:val="1"/>
                <w:vertAlign w:val="superscript"/>
              </w:rPr>
              <w:t>3</w:t>
            </w:r>
            <w:r>
              <w:rPr>
                <w:rFonts w:ascii="Times New Roman" w:eastAsia="宋体" w:hAnsi="Times New Roman" w:cs="Times New Roman"/>
                <w:color w:val="000000" w:themeColor="text1"/>
                <w:kern w:val="1"/>
              </w:rPr>
              <w:t>/h</w:t>
            </w:r>
            <w:r>
              <w:rPr>
                <w:rFonts w:ascii="Times New Roman" w:eastAsia="宋体" w:hAnsi="Times New Roman" w:cs="Times New Roman"/>
                <w:color w:val="000000" w:themeColor="text1"/>
                <w:kern w:val="1"/>
              </w:rPr>
              <w:t>）</w:t>
            </w:r>
          </w:p>
        </w:tc>
        <w:tc>
          <w:tcPr>
            <w:tcW w:w="125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排气筒参数</w:t>
            </w:r>
          </w:p>
        </w:tc>
        <w:tc>
          <w:tcPr>
            <w:tcW w:w="97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排放速率（</w:t>
            </w:r>
            <w:r>
              <w:rPr>
                <w:rFonts w:ascii="Times New Roman" w:eastAsia="宋体" w:hAnsi="Times New Roman" w:cs="Times New Roman"/>
                <w:color w:val="000000" w:themeColor="text1"/>
                <w:kern w:val="0"/>
              </w:rPr>
              <w:t>kg/h</w:t>
            </w:r>
            <w:r>
              <w:rPr>
                <w:rFonts w:ascii="Times New Roman" w:eastAsia="宋体" w:hAnsi="Times New Roman" w:cs="Times New Roman"/>
                <w:color w:val="000000" w:themeColor="text1"/>
                <w:kern w:val="0"/>
              </w:rPr>
              <w:t>）</w:t>
            </w:r>
          </w:p>
        </w:tc>
        <w:tc>
          <w:tcPr>
            <w:tcW w:w="111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排放浓度（</w:t>
            </w:r>
            <w:r>
              <w:rPr>
                <w:rFonts w:ascii="Times New Roman" w:eastAsia="宋体" w:hAnsi="Times New Roman" w:cs="Times New Roman"/>
                <w:color w:val="000000" w:themeColor="text1"/>
                <w:kern w:val="0"/>
              </w:rPr>
              <w:t>mg/m</w:t>
            </w:r>
            <w:r>
              <w:rPr>
                <w:rFonts w:ascii="Times New Roman" w:eastAsia="宋体" w:hAnsi="Times New Roman" w:cs="Times New Roman"/>
                <w:color w:val="000000" w:themeColor="text1"/>
                <w:kern w:val="0"/>
                <w:vertAlign w:val="superscript"/>
              </w:rPr>
              <w:t>3</w:t>
            </w:r>
            <w:r>
              <w:rPr>
                <w:rFonts w:ascii="Times New Roman" w:eastAsia="宋体" w:hAnsi="Times New Roman" w:cs="Times New Roman"/>
                <w:color w:val="000000" w:themeColor="text1"/>
                <w:kern w:val="0"/>
              </w:rPr>
              <w:t>）</w:t>
            </w:r>
          </w:p>
        </w:tc>
      </w:tr>
      <w:tr w:rsidR="00C861DA">
        <w:trPr>
          <w:trHeight w:val="369"/>
          <w:jc w:val="center"/>
        </w:trPr>
        <w:tc>
          <w:tcPr>
            <w:tcW w:w="65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w:t>
            </w:r>
            <w:r>
              <w:rPr>
                <w:rFonts w:ascii="Times New Roman" w:eastAsia="宋体" w:hAnsi="Times New Roman" w:cs="Times New Roman"/>
                <w:color w:val="000000" w:themeColor="text1"/>
                <w:kern w:val="0"/>
              </w:rPr>
              <w:t>排气筒</w:t>
            </w:r>
          </w:p>
        </w:tc>
        <w:tc>
          <w:tcPr>
            <w:tcW w:w="82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bookmarkStart w:id="239" w:name="_Hlk6434550"/>
            <w:r>
              <w:rPr>
                <w:rFonts w:ascii="Times New Roman" w:eastAsia="宋体" w:hAnsi="Times New Roman" w:cs="Times New Roman"/>
                <w:color w:val="000000" w:themeColor="text1"/>
                <w:kern w:val="1"/>
              </w:rPr>
              <w:t>G1</w:t>
            </w:r>
            <w:r>
              <w:rPr>
                <w:rFonts w:ascii="Times New Roman" w:eastAsia="宋体" w:hAnsi="Times New Roman" w:cs="Times New Roman"/>
                <w:color w:val="000000" w:themeColor="text1"/>
                <w:kern w:val="1"/>
              </w:rPr>
              <w:t>：稀硝酸生产吸收塔尾气</w:t>
            </w:r>
            <w:bookmarkEnd w:id="239"/>
          </w:p>
        </w:tc>
        <w:tc>
          <w:tcPr>
            <w:tcW w:w="68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NO</w:t>
            </w:r>
            <w:r>
              <w:rPr>
                <w:rFonts w:ascii="Times New Roman" w:eastAsia="宋体" w:hAnsi="Times New Roman" w:cs="Times New Roman"/>
                <w:color w:val="000000" w:themeColor="text1"/>
                <w:kern w:val="0"/>
                <w:vertAlign w:val="subscript"/>
              </w:rPr>
              <w:t>X</w:t>
            </w:r>
          </w:p>
        </w:tc>
        <w:tc>
          <w:tcPr>
            <w:tcW w:w="1092"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SCR</w:t>
            </w:r>
            <w:r>
              <w:rPr>
                <w:rFonts w:ascii="Times New Roman" w:eastAsia="宋体" w:hAnsi="Times New Roman" w:cs="Times New Roman"/>
                <w:color w:val="000000" w:themeColor="text1"/>
                <w:kern w:val="0"/>
              </w:rPr>
              <w:t>脱硝系统脱硝处理</w:t>
            </w:r>
          </w:p>
        </w:tc>
        <w:tc>
          <w:tcPr>
            <w:tcW w:w="69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95%</w:t>
            </w:r>
          </w:p>
        </w:tc>
        <w:tc>
          <w:tcPr>
            <w:tcW w:w="97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70833</w:t>
            </w:r>
          </w:p>
        </w:tc>
        <w:tc>
          <w:tcPr>
            <w:tcW w:w="125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48m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1.0m</w:t>
            </w:r>
          </w:p>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60</w:t>
            </w:r>
            <w:r>
              <w:rPr>
                <w:rFonts w:ascii="宋体" w:eastAsia="宋体" w:hAnsi="宋体" w:cs="宋体" w:hint="eastAsia"/>
                <w:color w:val="000000" w:themeColor="text1"/>
                <w:kern w:val="1"/>
              </w:rPr>
              <w:t>℃</w:t>
            </w:r>
          </w:p>
        </w:tc>
        <w:tc>
          <w:tcPr>
            <w:tcW w:w="97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1.146</w:t>
            </w:r>
          </w:p>
        </w:tc>
        <w:tc>
          <w:tcPr>
            <w:tcW w:w="111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16.18</w:t>
            </w:r>
          </w:p>
        </w:tc>
      </w:tr>
      <w:tr w:rsidR="00C861DA">
        <w:trPr>
          <w:trHeight w:val="369"/>
          <w:jc w:val="center"/>
        </w:trPr>
        <w:tc>
          <w:tcPr>
            <w:tcW w:w="65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w:t>
            </w:r>
            <w:r>
              <w:rPr>
                <w:rFonts w:ascii="Times New Roman" w:eastAsia="宋体" w:hAnsi="Times New Roman" w:cs="Times New Roman"/>
                <w:color w:val="000000" w:themeColor="text1"/>
                <w:kern w:val="0"/>
              </w:rPr>
              <w:t>排气筒</w:t>
            </w:r>
          </w:p>
        </w:tc>
        <w:tc>
          <w:tcPr>
            <w:tcW w:w="82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G3</w:t>
            </w:r>
            <w:r>
              <w:rPr>
                <w:rFonts w:ascii="Times New Roman" w:eastAsia="宋体" w:hAnsi="Times New Roman" w:cs="Times New Roman"/>
                <w:color w:val="000000" w:themeColor="text1"/>
                <w:kern w:val="1"/>
              </w:rPr>
              <w:t>：硝基有机肥生产备料废气</w:t>
            </w:r>
          </w:p>
        </w:tc>
        <w:tc>
          <w:tcPr>
            <w:tcW w:w="68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颗粒物</w:t>
            </w:r>
          </w:p>
        </w:tc>
        <w:tc>
          <w:tcPr>
            <w:tcW w:w="1092"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布袋除尘</w:t>
            </w:r>
          </w:p>
        </w:tc>
        <w:tc>
          <w:tcPr>
            <w:tcW w:w="69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99%</w:t>
            </w:r>
          </w:p>
        </w:tc>
        <w:tc>
          <w:tcPr>
            <w:tcW w:w="97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5000</w:t>
            </w:r>
          </w:p>
        </w:tc>
        <w:tc>
          <w:tcPr>
            <w:tcW w:w="125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15m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0.5m</w:t>
            </w:r>
          </w:p>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25</w:t>
            </w:r>
            <w:r>
              <w:rPr>
                <w:rFonts w:ascii="宋体" w:eastAsia="宋体" w:hAnsi="宋体" w:cs="宋体" w:hint="eastAsia"/>
                <w:color w:val="000000" w:themeColor="text1"/>
                <w:kern w:val="1"/>
              </w:rPr>
              <w:t>℃</w:t>
            </w:r>
          </w:p>
        </w:tc>
        <w:tc>
          <w:tcPr>
            <w:tcW w:w="97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0.18</w:t>
            </w:r>
          </w:p>
        </w:tc>
        <w:tc>
          <w:tcPr>
            <w:tcW w:w="111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36</w:t>
            </w:r>
          </w:p>
        </w:tc>
      </w:tr>
      <w:tr w:rsidR="00C861DA">
        <w:trPr>
          <w:trHeight w:val="369"/>
          <w:jc w:val="center"/>
        </w:trPr>
        <w:tc>
          <w:tcPr>
            <w:tcW w:w="65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w:t>
            </w:r>
            <w:r>
              <w:rPr>
                <w:rFonts w:ascii="Times New Roman" w:eastAsia="宋体" w:hAnsi="Times New Roman" w:cs="Times New Roman"/>
                <w:color w:val="000000" w:themeColor="text1"/>
                <w:kern w:val="0"/>
              </w:rPr>
              <w:t>排气筒</w:t>
            </w:r>
          </w:p>
        </w:tc>
        <w:tc>
          <w:tcPr>
            <w:tcW w:w="82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G4</w:t>
            </w:r>
            <w:r>
              <w:rPr>
                <w:rFonts w:ascii="Times New Roman" w:eastAsia="宋体" w:hAnsi="Times New Roman" w:cs="Times New Roman"/>
                <w:color w:val="000000" w:themeColor="text1"/>
                <w:kern w:val="1"/>
              </w:rPr>
              <w:t>：硝基有机肥造粒废气</w:t>
            </w:r>
          </w:p>
        </w:tc>
        <w:tc>
          <w:tcPr>
            <w:tcW w:w="68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颗粒物</w:t>
            </w:r>
          </w:p>
        </w:tc>
        <w:tc>
          <w:tcPr>
            <w:tcW w:w="1092"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布袋除尘</w:t>
            </w:r>
            <w:r>
              <w:rPr>
                <w:rFonts w:ascii="Times New Roman" w:eastAsia="宋体" w:hAnsi="Times New Roman" w:cs="Times New Roman" w:hint="eastAsia"/>
                <w:color w:val="000000" w:themeColor="text1"/>
                <w:kern w:val="0"/>
              </w:rPr>
              <w:t>+</w:t>
            </w:r>
            <w:r>
              <w:rPr>
                <w:rFonts w:ascii="Times New Roman" w:eastAsia="宋体" w:hAnsi="Times New Roman" w:cs="Times New Roman" w:hint="eastAsia"/>
                <w:color w:val="000000" w:themeColor="text1"/>
                <w:kern w:val="0"/>
              </w:rPr>
              <w:t>湿法洗涤</w:t>
            </w:r>
            <w:r>
              <w:rPr>
                <w:rFonts w:ascii="Times New Roman" w:eastAsia="宋体" w:hAnsi="Times New Roman" w:cs="Times New Roman"/>
                <w:color w:val="000000" w:themeColor="text1"/>
                <w:kern w:val="0"/>
              </w:rPr>
              <w:t xml:space="preserve"> </w:t>
            </w:r>
          </w:p>
        </w:tc>
        <w:tc>
          <w:tcPr>
            <w:tcW w:w="69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99.5%</w:t>
            </w:r>
          </w:p>
        </w:tc>
        <w:tc>
          <w:tcPr>
            <w:tcW w:w="97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75000</w:t>
            </w:r>
          </w:p>
        </w:tc>
        <w:tc>
          <w:tcPr>
            <w:tcW w:w="125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100m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1.2m</w:t>
            </w:r>
          </w:p>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45</w:t>
            </w:r>
            <w:r>
              <w:rPr>
                <w:rFonts w:ascii="宋体" w:eastAsia="宋体" w:hAnsi="宋体" w:cs="宋体" w:hint="eastAsia"/>
                <w:color w:val="000000" w:themeColor="text1"/>
                <w:kern w:val="1"/>
              </w:rPr>
              <w:t>℃</w:t>
            </w:r>
          </w:p>
        </w:tc>
        <w:tc>
          <w:tcPr>
            <w:tcW w:w="97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1"/>
              </w:rPr>
              <w:t>1.167</w:t>
            </w:r>
          </w:p>
        </w:tc>
        <w:tc>
          <w:tcPr>
            <w:tcW w:w="111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1"/>
              </w:rPr>
              <w:t>15.56</w:t>
            </w:r>
          </w:p>
        </w:tc>
      </w:tr>
      <w:tr w:rsidR="00C861DA">
        <w:trPr>
          <w:trHeight w:val="369"/>
          <w:jc w:val="center"/>
        </w:trPr>
        <w:tc>
          <w:tcPr>
            <w:tcW w:w="65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w:t>
            </w:r>
            <w:r>
              <w:rPr>
                <w:rFonts w:ascii="Times New Roman" w:eastAsia="宋体" w:hAnsi="Times New Roman" w:cs="Times New Roman"/>
                <w:color w:val="000000" w:themeColor="text1"/>
                <w:kern w:val="0"/>
              </w:rPr>
              <w:t>排气筒</w:t>
            </w:r>
          </w:p>
        </w:tc>
        <w:tc>
          <w:tcPr>
            <w:tcW w:w="82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G5</w:t>
            </w:r>
            <w:r>
              <w:rPr>
                <w:rFonts w:ascii="Times New Roman" w:eastAsia="宋体" w:hAnsi="Times New Roman" w:cs="Times New Roman"/>
                <w:color w:val="000000" w:themeColor="text1"/>
                <w:kern w:val="1"/>
              </w:rPr>
              <w:t>：硝基复合肥产品滚筒冷却筛分废气</w:t>
            </w:r>
          </w:p>
        </w:tc>
        <w:tc>
          <w:tcPr>
            <w:tcW w:w="68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颗粒物</w:t>
            </w:r>
          </w:p>
        </w:tc>
        <w:tc>
          <w:tcPr>
            <w:tcW w:w="1092"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布袋除尘</w:t>
            </w:r>
          </w:p>
        </w:tc>
        <w:tc>
          <w:tcPr>
            <w:tcW w:w="69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99%</w:t>
            </w:r>
          </w:p>
        </w:tc>
        <w:tc>
          <w:tcPr>
            <w:tcW w:w="97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7500</w:t>
            </w:r>
          </w:p>
        </w:tc>
        <w:tc>
          <w:tcPr>
            <w:tcW w:w="125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15m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0.5m</w:t>
            </w:r>
          </w:p>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25</w:t>
            </w:r>
            <w:r>
              <w:rPr>
                <w:rFonts w:ascii="宋体" w:eastAsia="宋体" w:hAnsi="宋体" w:cs="宋体" w:hint="eastAsia"/>
                <w:color w:val="000000" w:themeColor="text1"/>
                <w:kern w:val="1"/>
              </w:rPr>
              <w:t>℃</w:t>
            </w:r>
          </w:p>
        </w:tc>
        <w:tc>
          <w:tcPr>
            <w:tcW w:w="97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0.42</w:t>
            </w:r>
          </w:p>
        </w:tc>
        <w:tc>
          <w:tcPr>
            <w:tcW w:w="111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56</w:t>
            </w:r>
          </w:p>
        </w:tc>
      </w:tr>
      <w:tr w:rsidR="00C861DA">
        <w:trPr>
          <w:trHeight w:val="369"/>
          <w:jc w:val="center"/>
        </w:trPr>
        <w:tc>
          <w:tcPr>
            <w:tcW w:w="65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w:t>
            </w:r>
            <w:r>
              <w:rPr>
                <w:rFonts w:ascii="Times New Roman" w:eastAsia="宋体" w:hAnsi="Times New Roman" w:cs="Times New Roman"/>
                <w:color w:val="000000" w:themeColor="text1"/>
                <w:kern w:val="0"/>
              </w:rPr>
              <w:t>排气筒</w:t>
            </w:r>
          </w:p>
        </w:tc>
        <w:tc>
          <w:tcPr>
            <w:tcW w:w="82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G6</w:t>
            </w:r>
            <w:r>
              <w:rPr>
                <w:rFonts w:ascii="Times New Roman" w:eastAsia="宋体" w:hAnsi="Times New Roman" w:cs="Times New Roman"/>
                <w:color w:val="000000" w:themeColor="text1"/>
                <w:kern w:val="0"/>
              </w:rPr>
              <w:t>：尿素合成尾气</w:t>
            </w:r>
          </w:p>
        </w:tc>
        <w:tc>
          <w:tcPr>
            <w:tcW w:w="68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w:t>
            </w:r>
          </w:p>
        </w:tc>
        <w:tc>
          <w:tcPr>
            <w:tcW w:w="1092"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尾气吸收器中使用工艺冷凝液和蒸汽冷凝液分段洗涤</w:t>
            </w:r>
          </w:p>
        </w:tc>
        <w:tc>
          <w:tcPr>
            <w:tcW w:w="69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92.4%</w:t>
            </w:r>
          </w:p>
        </w:tc>
        <w:tc>
          <w:tcPr>
            <w:tcW w:w="97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5000</w:t>
            </w:r>
          </w:p>
        </w:tc>
        <w:tc>
          <w:tcPr>
            <w:tcW w:w="125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30m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0.8m</w:t>
            </w:r>
          </w:p>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25</w:t>
            </w:r>
            <w:r>
              <w:rPr>
                <w:rFonts w:ascii="宋体" w:eastAsia="宋体" w:hAnsi="宋体" w:cs="宋体" w:hint="eastAsia"/>
                <w:color w:val="000000" w:themeColor="text1"/>
                <w:kern w:val="1"/>
              </w:rPr>
              <w:t>℃</w:t>
            </w:r>
          </w:p>
        </w:tc>
        <w:tc>
          <w:tcPr>
            <w:tcW w:w="97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0.0125</w:t>
            </w:r>
          </w:p>
        </w:tc>
        <w:tc>
          <w:tcPr>
            <w:tcW w:w="111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2.5</w:t>
            </w:r>
          </w:p>
        </w:tc>
      </w:tr>
      <w:tr w:rsidR="00C861DA">
        <w:trPr>
          <w:trHeight w:val="369"/>
          <w:jc w:val="center"/>
        </w:trPr>
        <w:tc>
          <w:tcPr>
            <w:tcW w:w="659" w:type="dxa"/>
            <w:vMerge w:val="restart"/>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w:t>
            </w:r>
            <w:r>
              <w:rPr>
                <w:rFonts w:ascii="Times New Roman" w:eastAsia="宋体" w:hAnsi="Times New Roman" w:cs="Times New Roman"/>
                <w:color w:val="000000" w:themeColor="text1"/>
                <w:kern w:val="0"/>
              </w:rPr>
              <w:t>排气筒</w:t>
            </w:r>
          </w:p>
        </w:tc>
        <w:tc>
          <w:tcPr>
            <w:tcW w:w="82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G7</w:t>
            </w:r>
            <w:r>
              <w:rPr>
                <w:rFonts w:ascii="Times New Roman" w:eastAsia="宋体" w:hAnsi="Times New Roman" w:cs="Times New Roman"/>
                <w:color w:val="000000" w:themeColor="text1"/>
                <w:kern w:val="0"/>
              </w:rPr>
              <w:t>：中压吸收尾气</w:t>
            </w:r>
          </w:p>
        </w:tc>
        <w:tc>
          <w:tcPr>
            <w:tcW w:w="68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氨</w:t>
            </w:r>
          </w:p>
        </w:tc>
        <w:tc>
          <w:tcPr>
            <w:tcW w:w="1092"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甲铵液和稀氨水吸收</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常压尾气洗涤器吸收处理</w:t>
            </w:r>
          </w:p>
        </w:tc>
        <w:tc>
          <w:tcPr>
            <w:tcW w:w="69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95%</w:t>
            </w:r>
          </w:p>
        </w:tc>
        <w:tc>
          <w:tcPr>
            <w:tcW w:w="97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2000</w:t>
            </w:r>
          </w:p>
        </w:tc>
        <w:tc>
          <w:tcPr>
            <w:tcW w:w="1258" w:type="dxa"/>
            <w:vMerge w:val="restart"/>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30m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0.8m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25</w:t>
            </w:r>
            <w:r>
              <w:rPr>
                <w:rFonts w:ascii="宋体" w:eastAsia="宋体" w:hAnsi="宋体" w:cs="宋体" w:hint="eastAsia"/>
                <w:color w:val="000000" w:themeColor="text1"/>
                <w:kern w:val="1"/>
              </w:rPr>
              <w:t>℃</w:t>
            </w:r>
          </w:p>
        </w:tc>
        <w:tc>
          <w:tcPr>
            <w:tcW w:w="97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0.035</w:t>
            </w:r>
          </w:p>
        </w:tc>
        <w:tc>
          <w:tcPr>
            <w:tcW w:w="111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17.5</w:t>
            </w:r>
          </w:p>
        </w:tc>
      </w:tr>
      <w:tr w:rsidR="00C861DA">
        <w:trPr>
          <w:trHeight w:val="369"/>
          <w:jc w:val="center"/>
        </w:trPr>
        <w:tc>
          <w:tcPr>
            <w:tcW w:w="659" w:type="dxa"/>
            <w:vMerge/>
            <w:tcMar>
              <w:left w:w="57" w:type="dxa"/>
              <w:right w:w="57" w:type="dxa"/>
            </w:tcMar>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rPr>
            </w:pPr>
          </w:p>
        </w:tc>
        <w:tc>
          <w:tcPr>
            <w:tcW w:w="82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G8</w:t>
            </w:r>
            <w:r>
              <w:rPr>
                <w:rFonts w:ascii="Times New Roman" w:eastAsia="宋体" w:hAnsi="Times New Roman" w:cs="Times New Roman"/>
                <w:color w:val="000000" w:themeColor="text1"/>
                <w:kern w:val="0"/>
              </w:rPr>
              <w:t>：低压吸收尾气</w:t>
            </w:r>
          </w:p>
        </w:tc>
        <w:tc>
          <w:tcPr>
            <w:tcW w:w="68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w:t>
            </w:r>
          </w:p>
        </w:tc>
        <w:tc>
          <w:tcPr>
            <w:tcW w:w="1092"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低压尾气洗涤器吸收处理</w:t>
            </w:r>
          </w:p>
        </w:tc>
        <w:tc>
          <w:tcPr>
            <w:tcW w:w="69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95%</w:t>
            </w:r>
          </w:p>
        </w:tc>
        <w:tc>
          <w:tcPr>
            <w:tcW w:w="97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1000</w:t>
            </w:r>
          </w:p>
        </w:tc>
        <w:tc>
          <w:tcPr>
            <w:tcW w:w="1258" w:type="dxa"/>
            <w:vMerge/>
            <w:tcMar>
              <w:left w:w="57" w:type="dxa"/>
              <w:right w:w="57" w:type="dxa"/>
            </w:tcMar>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1"/>
              </w:rPr>
            </w:pPr>
          </w:p>
        </w:tc>
        <w:tc>
          <w:tcPr>
            <w:tcW w:w="97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0.021</w:t>
            </w:r>
          </w:p>
        </w:tc>
        <w:tc>
          <w:tcPr>
            <w:tcW w:w="111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21.0</w:t>
            </w:r>
          </w:p>
        </w:tc>
      </w:tr>
      <w:tr w:rsidR="00C861DA">
        <w:trPr>
          <w:trHeight w:val="369"/>
          <w:jc w:val="center"/>
        </w:trPr>
        <w:tc>
          <w:tcPr>
            <w:tcW w:w="659" w:type="dxa"/>
            <w:vMerge/>
            <w:tcMar>
              <w:left w:w="57" w:type="dxa"/>
              <w:right w:w="57" w:type="dxa"/>
            </w:tcMar>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rPr>
            </w:pPr>
          </w:p>
        </w:tc>
        <w:tc>
          <w:tcPr>
            <w:tcW w:w="82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小计</w:t>
            </w:r>
          </w:p>
        </w:tc>
        <w:tc>
          <w:tcPr>
            <w:tcW w:w="68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w:t>
            </w:r>
          </w:p>
        </w:tc>
        <w:tc>
          <w:tcPr>
            <w:tcW w:w="1092"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69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7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3000</w:t>
            </w:r>
          </w:p>
        </w:tc>
        <w:tc>
          <w:tcPr>
            <w:tcW w:w="1258" w:type="dxa"/>
            <w:vMerge/>
            <w:tcMar>
              <w:left w:w="57" w:type="dxa"/>
              <w:right w:w="57" w:type="dxa"/>
            </w:tcMar>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1"/>
              </w:rPr>
            </w:pPr>
          </w:p>
        </w:tc>
        <w:tc>
          <w:tcPr>
            <w:tcW w:w="97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0.056</w:t>
            </w:r>
          </w:p>
        </w:tc>
        <w:tc>
          <w:tcPr>
            <w:tcW w:w="111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38.5</w:t>
            </w:r>
          </w:p>
        </w:tc>
      </w:tr>
      <w:tr w:rsidR="00C861DA">
        <w:trPr>
          <w:trHeight w:val="369"/>
          <w:jc w:val="center"/>
        </w:trPr>
        <w:tc>
          <w:tcPr>
            <w:tcW w:w="65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w:t>
            </w:r>
            <w:r>
              <w:rPr>
                <w:rFonts w:ascii="Times New Roman" w:eastAsia="宋体" w:hAnsi="Times New Roman" w:cs="Times New Roman"/>
                <w:color w:val="000000" w:themeColor="text1"/>
                <w:kern w:val="0"/>
              </w:rPr>
              <w:t>排气筒</w:t>
            </w:r>
          </w:p>
        </w:tc>
        <w:tc>
          <w:tcPr>
            <w:tcW w:w="82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G9</w:t>
            </w:r>
            <w:r>
              <w:rPr>
                <w:rFonts w:ascii="Times New Roman" w:eastAsia="宋体" w:hAnsi="Times New Roman" w:cs="Times New Roman"/>
                <w:color w:val="000000" w:themeColor="text1"/>
                <w:kern w:val="0"/>
              </w:rPr>
              <w:t>：尿液蒸发尾气</w:t>
            </w:r>
          </w:p>
        </w:tc>
        <w:tc>
          <w:tcPr>
            <w:tcW w:w="68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w:t>
            </w:r>
          </w:p>
        </w:tc>
        <w:tc>
          <w:tcPr>
            <w:tcW w:w="1092"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两段蒸发分离</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两段蒸发冷凝</w:t>
            </w:r>
          </w:p>
        </w:tc>
        <w:tc>
          <w:tcPr>
            <w:tcW w:w="697" w:type="dxa"/>
            <w:tcMar>
              <w:left w:w="57" w:type="dxa"/>
              <w:right w:w="57" w:type="dxa"/>
            </w:tcMar>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rPr>
            </w:pPr>
          </w:p>
        </w:tc>
        <w:tc>
          <w:tcPr>
            <w:tcW w:w="97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18000</w:t>
            </w:r>
          </w:p>
        </w:tc>
        <w:tc>
          <w:tcPr>
            <w:tcW w:w="125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50m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1.2m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25</w:t>
            </w:r>
            <w:r>
              <w:rPr>
                <w:rFonts w:ascii="宋体" w:eastAsia="宋体" w:hAnsi="宋体" w:cs="宋体" w:hint="eastAsia"/>
                <w:color w:val="000000" w:themeColor="text1"/>
                <w:kern w:val="1"/>
              </w:rPr>
              <w:t>℃</w:t>
            </w:r>
          </w:p>
        </w:tc>
        <w:tc>
          <w:tcPr>
            <w:tcW w:w="97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0.475</w:t>
            </w:r>
          </w:p>
        </w:tc>
        <w:tc>
          <w:tcPr>
            <w:tcW w:w="111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26.39</w:t>
            </w:r>
          </w:p>
        </w:tc>
      </w:tr>
      <w:tr w:rsidR="00C861DA">
        <w:trPr>
          <w:trHeight w:val="369"/>
          <w:jc w:val="center"/>
        </w:trPr>
        <w:tc>
          <w:tcPr>
            <w:tcW w:w="65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w:t>
            </w:r>
            <w:r>
              <w:rPr>
                <w:rFonts w:ascii="Times New Roman" w:eastAsia="宋体" w:hAnsi="Times New Roman" w:cs="Times New Roman"/>
                <w:color w:val="000000" w:themeColor="text1"/>
                <w:kern w:val="0"/>
              </w:rPr>
              <w:t>排气筒</w:t>
            </w:r>
          </w:p>
        </w:tc>
        <w:tc>
          <w:tcPr>
            <w:tcW w:w="82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G10</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1"/>
              </w:rPr>
              <w:t>尿基有机肥生产备料废气</w:t>
            </w:r>
          </w:p>
        </w:tc>
        <w:tc>
          <w:tcPr>
            <w:tcW w:w="68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颗粒物</w:t>
            </w:r>
          </w:p>
        </w:tc>
        <w:tc>
          <w:tcPr>
            <w:tcW w:w="1092"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布袋除尘</w:t>
            </w:r>
          </w:p>
        </w:tc>
        <w:tc>
          <w:tcPr>
            <w:tcW w:w="69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99%</w:t>
            </w:r>
          </w:p>
        </w:tc>
        <w:tc>
          <w:tcPr>
            <w:tcW w:w="97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7500</w:t>
            </w:r>
          </w:p>
        </w:tc>
        <w:tc>
          <w:tcPr>
            <w:tcW w:w="125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25m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0.5m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25</w:t>
            </w:r>
            <w:r>
              <w:rPr>
                <w:rFonts w:ascii="宋体" w:eastAsia="宋体" w:hAnsi="宋体" w:cs="宋体" w:hint="eastAsia"/>
                <w:color w:val="000000" w:themeColor="text1"/>
                <w:kern w:val="1"/>
              </w:rPr>
              <w:t>℃</w:t>
            </w:r>
          </w:p>
        </w:tc>
        <w:tc>
          <w:tcPr>
            <w:tcW w:w="97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0.276</w:t>
            </w:r>
          </w:p>
        </w:tc>
        <w:tc>
          <w:tcPr>
            <w:tcW w:w="111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36.8</w:t>
            </w:r>
          </w:p>
        </w:tc>
      </w:tr>
      <w:tr w:rsidR="00C861DA">
        <w:trPr>
          <w:trHeight w:val="369"/>
          <w:jc w:val="center"/>
        </w:trPr>
        <w:tc>
          <w:tcPr>
            <w:tcW w:w="65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w:t>
            </w:r>
            <w:r>
              <w:rPr>
                <w:rFonts w:ascii="Times New Roman" w:eastAsia="宋体" w:hAnsi="Times New Roman" w:cs="Times New Roman"/>
                <w:color w:val="000000" w:themeColor="text1"/>
                <w:kern w:val="0"/>
              </w:rPr>
              <w:t>排气筒</w:t>
            </w:r>
          </w:p>
        </w:tc>
        <w:tc>
          <w:tcPr>
            <w:tcW w:w="82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G11-G14</w:t>
            </w:r>
            <w:r>
              <w:rPr>
                <w:rFonts w:ascii="Times New Roman" w:eastAsia="宋体" w:hAnsi="Times New Roman" w:cs="Times New Roman"/>
                <w:color w:val="000000" w:themeColor="text1"/>
                <w:kern w:val="0"/>
              </w:rPr>
              <w:t>：尿基复合肥造粒塔尾气</w:t>
            </w:r>
          </w:p>
        </w:tc>
        <w:tc>
          <w:tcPr>
            <w:tcW w:w="68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颗粒物</w:t>
            </w:r>
          </w:p>
        </w:tc>
        <w:tc>
          <w:tcPr>
            <w:tcW w:w="1092"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布袋除尘</w:t>
            </w:r>
          </w:p>
        </w:tc>
        <w:tc>
          <w:tcPr>
            <w:tcW w:w="69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99.5%</w:t>
            </w:r>
          </w:p>
        </w:tc>
        <w:tc>
          <w:tcPr>
            <w:tcW w:w="979"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125000</w:t>
            </w:r>
          </w:p>
        </w:tc>
        <w:tc>
          <w:tcPr>
            <w:tcW w:w="1258"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110m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1.2m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45</w:t>
            </w:r>
            <w:r>
              <w:rPr>
                <w:rFonts w:ascii="宋体" w:eastAsia="宋体" w:hAnsi="宋体" w:cs="宋体" w:hint="eastAsia"/>
                <w:color w:val="000000" w:themeColor="text1"/>
                <w:kern w:val="1"/>
              </w:rPr>
              <w:t>℃</w:t>
            </w:r>
          </w:p>
        </w:tc>
        <w:tc>
          <w:tcPr>
            <w:tcW w:w="97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1.94</w:t>
            </w:r>
          </w:p>
        </w:tc>
        <w:tc>
          <w:tcPr>
            <w:tcW w:w="1117" w:type="dxa"/>
            <w:tcMar>
              <w:left w:w="57" w:type="dxa"/>
              <w:right w:w="57" w:type="dxa"/>
            </w:tcMar>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15.52</w:t>
            </w:r>
          </w:p>
        </w:tc>
      </w:tr>
    </w:tbl>
    <w:bookmarkEnd w:id="238"/>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2</w:t>
      </w:r>
      <w:r>
        <w:rPr>
          <w:rFonts w:ascii="Times New Roman" w:eastAsia="宋体" w:hAnsi="Times New Roman" w:cs="Times New Roman" w:hint="eastAsia"/>
          <w:color w:val="000000" w:themeColor="text1"/>
          <w:kern w:val="1"/>
          <w:sz w:val="24"/>
          <w:szCs w:val="24"/>
        </w:rPr>
        <w:t>）无组织废气</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主要为生产过程物料跑冒滴漏，氨挥发废气，根据项目生产单元划分及生产规模，预计各生产单元组织废气排放情况见表</w:t>
      </w:r>
      <w:r>
        <w:rPr>
          <w:rFonts w:ascii="Times New Roman" w:eastAsia="宋体" w:hAnsi="Times New Roman" w:cs="Times New Roman" w:hint="eastAsia"/>
          <w:color w:val="000000" w:themeColor="text1"/>
          <w:kern w:val="1"/>
          <w:sz w:val="24"/>
          <w:szCs w:val="24"/>
        </w:rPr>
        <w:t>4.4-12</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表</w:t>
      </w:r>
      <w:r>
        <w:rPr>
          <w:rFonts w:ascii="Times New Roman" w:eastAsia="宋体" w:hAnsi="Times New Roman" w:cs="Times New Roman" w:hint="eastAsia"/>
          <w:color w:val="000000" w:themeColor="text1"/>
          <w:kern w:val="1"/>
          <w:sz w:val="24"/>
          <w:szCs w:val="24"/>
        </w:rPr>
        <w:t xml:space="preserve">4.4-12      </w:t>
      </w:r>
      <w:r>
        <w:rPr>
          <w:rFonts w:ascii="Times New Roman" w:eastAsia="宋体" w:hAnsi="Times New Roman" w:cs="Times New Roman" w:hint="eastAsia"/>
          <w:color w:val="000000" w:themeColor="text1"/>
          <w:kern w:val="1"/>
          <w:sz w:val="24"/>
          <w:szCs w:val="24"/>
        </w:rPr>
        <w:t>项目无组织废气排放情况</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8"/>
        <w:gridCol w:w="2759"/>
        <w:gridCol w:w="2779"/>
      </w:tblGrid>
      <w:tr w:rsidR="00C861DA">
        <w:trPr>
          <w:trHeight w:val="340"/>
        </w:trPr>
        <w:tc>
          <w:tcPr>
            <w:tcW w:w="275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生产单元</w:t>
            </w:r>
          </w:p>
        </w:tc>
        <w:tc>
          <w:tcPr>
            <w:tcW w:w="27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污染物名称</w:t>
            </w:r>
          </w:p>
        </w:tc>
        <w:tc>
          <w:tcPr>
            <w:tcW w:w="277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污染物排放量（</w:t>
            </w:r>
            <w:r>
              <w:rPr>
                <w:rFonts w:ascii="Times New Roman" w:eastAsia="宋体" w:hAnsi="Times New Roman" w:cs="Times New Roman" w:hint="eastAsia"/>
                <w:color w:val="000000" w:themeColor="text1"/>
                <w:kern w:val="1"/>
              </w:rPr>
              <w:t>kg/h</w:t>
            </w:r>
            <w:r>
              <w:rPr>
                <w:rFonts w:ascii="Times New Roman" w:eastAsia="宋体" w:hAnsi="Times New Roman" w:cs="Times New Roman" w:hint="eastAsia"/>
                <w:color w:val="000000" w:themeColor="text1"/>
                <w:kern w:val="1"/>
              </w:rPr>
              <w:t>）</w:t>
            </w:r>
          </w:p>
        </w:tc>
      </w:tr>
      <w:tr w:rsidR="00C861DA">
        <w:trPr>
          <w:trHeight w:val="340"/>
        </w:trPr>
        <w:tc>
          <w:tcPr>
            <w:tcW w:w="2758" w:type="dxa"/>
            <w:vMerge w:val="restart"/>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硝酸生产单元</w:t>
            </w:r>
          </w:p>
        </w:tc>
        <w:tc>
          <w:tcPr>
            <w:tcW w:w="27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氨</w:t>
            </w:r>
          </w:p>
        </w:tc>
        <w:tc>
          <w:tcPr>
            <w:tcW w:w="277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0.011</w:t>
            </w:r>
          </w:p>
        </w:tc>
      </w:tr>
      <w:tr w:rsidR="00C861DA">
        <w:trPr>
          <w:trHeight w:val="340"/>
        </w:trPr>
        <w:tc>
          <w:tcPr>
            <w:tcW w:w="2758" w:type="dxa"/>
            <w:vMerge/>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1"/>
              </w:rPr>
            </w:pPr>
          </w:p>
        </w:tc>
        <w:tc>
          <w:tcPr>
            <w:tcW w:w="27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氮氧化物</w:t>
            </w:r>
          </w:p>
        </w:tc>
        <w:tc>
          <w:tcPr>
            <w:tcW w:w="277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0.015</w:t>
            </w:r>
          </w:p>
        </w:tc>
      </w:tr>
      <w:tr w:rsidR="00C861DA">
        <w:trPr>
          <w:trHeight w:val="340"/>
        </w:trPr>
        <w:tc>
          <w:tcPr>
            <w:tcW w:w="2758" w:type="dxa"/>
            <w:vMerge w:val="restart"/>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硝铵生产单元</w:t>
            </w:r>
          </w:p>
        </w:tc>
        <w:tc>
          <w:tcPr>
            <w:tcW w:w="27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氨</w:t>
            </w:r>
          </w:p>
        </w:tc>
        <w:tc>
          <w:tcPr>
            <w:tcW w:w="277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0.015</w:t>
            </w:r>
          </w:p>
        </w:tc>
      </w:tr>
      <w:tr w:rsidR="00C861DA">
        <w:trPr>
          <w:trHeight w:val="340"/>
        </w:trPr>
        <w:tc>
          <w:tcPr>
            <w:tcW w:w="2758" w:type="dxa"/>
            <w:vMerge/>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1"/>
              </w:rPr>
            </w:pPr>
          </w:p>
        </w:tc>
        <w:tc>
          <w:tcPr>
            <w:tcW w:w="27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氮氧化物</w:t>
            </w:r>
          </w:p>
        </w:tc>
        <w:tc>
          <w:tcPr>
            <w:tcW w:w="277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0.025</w:t>
            </w:r>
          </w:p>
        </w:tc>
      </w:tr>
      <w:tr w:rsidR="00C861DA">
        <w:trPr>
          <w:trHeight w:val="340"/>
        </w:trPr>
        <w:tc>
          <w:tcPr>
            <w:tcW w:w="2758" w:type="dxa"/>
            <w:vMerge w:val="restart"/>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硝基复合肥生产单元</w:t>
            </w:r>
          </w:p>
        </w:tc>
        <w:tc>
          <w:tcPr>
            <w:tcW w:w="27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氨</w:t>
            </w:r>
          </w:p>
        </w:tc>
        <w:tc>
          <w:tcPr>
            <w:tcW w:w="277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0.04</w:t>
            </w:r>
          </w:p>
        </w:tc>
      </w:tr>
      <w:tr w:rsidR="00C861DA">
        <w:trPr>
          <w:trHeight w:val="340"/>
        </w:trPr>
        <w:tc>
          <w:tcPr>
            <w:tcW w:w="2758" w:type="dxa"/>
            <w:vMerge/>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1"/>
              </w:rPr>
            </w:pPr>
          </w:p>
        </w:tc>
        <w:tc>
          <w:tcPr>
            <w:tcW w:w="27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颗粒物</w:t>
            </w:r>
          </w:p>
        </w:tc>
        <w:tc>
          <w:tcPr>
            <w:tcW w:w="277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0.038</w:t>
            </w:r>
          </w:p>
        </w:tc>
      </w:tr>
      <w:tr w:rsidR="00C861DA">
        <w:trPr>
          <w:trHeight w:val="340"/>
        </w:trPr>
        <w:tc>
          <w:tcPr>
            <w:tcW w:w="2758"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尿素生产单元</w:t>
            </w:r>
          </w:p>
        </w:tc>
        <w:tc>
          <w:tcPr>
            <w:tcW w:w="27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氨</w:t>
            </w:r>
          </w:p>
        </w:tc>
        <w:tc>
          <w:tcPr>
            <w:tcW w:w="277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0.004</w:t>
            </w:r>
          </w:p>
        </w:tc>
      </w:tr>
      <w:tr w:rsidR="00C861DA">
        <w:trPr>
          <w:trHeight w:val="340"/>
        </w:trPr>
        <w:tc>
          <w:tcPr>
            <w:tcW w:w="2758" w:type="dxa"/>
            <w:vMerge w:val="restart"/>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尿基复合肥生产单元</w:t>
            </w:r>
          </w:p>
        </w:tc>
        <w:tc>
          <w:tcPr>
            <w:tcW w:w="27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氨</w:t>
            </w:r>
          </w:p>
        </w:tc>
        <w:tc>
          <w:tcPr>
            <w:tcW w:w="277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0.041</w:t>
            </w:r>
          </w:p>
        </w:tc>
      </w:tr>
      <w:tr w:rsidR="00C861DA">
        <w:trPr>
          <w:trHeight w:val="340"/>
        </w:trPr>
        <w:tc>
          <w:tcPr>
            <w:tcW w:w="2758" w:type="dxa"/>
            <w:vMerge/>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1"/>
              </w:rPr>
            </w:pPr>
          </w:p>
        </w:tc>
        <w:tc>
          <w:tcPr>
            <w:tcW w:w="275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颗粒物</w:t>
            </w:r>
          </w:p>
        </w:tc>
        <w:tc>
          <w:tcPr>
            <w:tcW w:w="277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0.039</w:t>
            </w:r>
          </w:p>
        </w:tc>
      </w:tr>
    </w:tbl>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hint="eastAsia"/>
          <w:color w:val="000000" w:themeColor="text1"/>
          <w:kern w:val="1"/>
          <w:sz w:val="24"/>
          <w:szCs w:val="24"/>
        </w:rPr>
        <w:t>）废气非正常排放</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根据项目生产工艺、废气污染治理措施及污染排放情况，环评设置三种非正常排放情景，作为项目生产过程中可能发生的污染非正常排放。</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情景一：硝酸生产废气氨催化氧化脱销工艺发生故障，导致污染物氮氧化物出现非正常排放，排放浓度和排放量以产生量考虑。</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情景二：造粒塔布袋除尘和湿法洗涤系统发生故障，除尘效率下降到</w:t>
      </w:r>
      <w:r>
        <w:rPr>
          <w:rFonts w:ascii="Times New Roman" w:eastAsia="宋体" w:hAnsi="Times New Roman" w:cs="Times New Roman" w:hint="eastAsia"/>
          <w:color w:val="000000" w:themeColor="text1"/>
          <w:kern w:val="1"/>
          <w:sz w:val="24"/>
          <w:szCs w:val="24"/>
        </w:rPr>
        <w:t>50%</w:t>
      </w:r>
      <w:r>
        <w:rPr>
          <w:rFonts w:ascii="Times New Roman" w:eastAsia="宋体" w:hAnsi="Times New Roman" w:cs="Times New Roman" w:hint="eastAsia"/>
          <w:color w:val="000000" w:themeColor="text1"/>
          <w:kern w:val="1"/>
          <w:sz w:val="24"/>
          <w:szCs w:val="24"/>
        </w:rPr>
        <w:t>，洗涤氨吸收效率下降到</w:t>
      </w:r>
      <w:r>
        <w:rPr>
          <w:rFonts w:ascii="Times New Roman" w:eastAsia="宋体" w:hAnsi="Times New Roman" w:cs="Times New Roman" w:hint="eastAsia"/>
          <w:color w:val="000000" w:themeColor="text1"/>
          <w:kern w:val="1"/>
          <w:sz w:val="24"/>
          <w:szCs w:val="24"/>
        </w:rPr>
        <w:t>50%</w:t>
      </w:r>
      <w:r>
        <w:rPr>
          <w:rFonts w:ascii="Times New Roman" w:eastAsia="宋体" w:hAnsi="Times New Roman" w:cs="Times New Roman" w:hint="eastAsia"/>
          <w:color w:val="000000" w:themeColor="text1"/>
          <w:kern w:val="1"/>
          <w:sz w:val="24"/>
          <w:szCs w:val="24"/>
        </w:rPr>
        <w:t>，导致颗粒物和氨出现非正常排放。本项目包括尿基复合肥造粒系统和硝基复合肥造粒系统，环评以污染物排放较大的尿基复合肥造粒系统除尘和洗涤系统发生故障作为非正常排放情景。</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根据上述非正常排放情景设置，预计本项目污染物非正常排放情况见表</w:t>
      </w:r>
      <w:r>
        <w:rPr>
          <w:rFonts w:ascii="Times New Roman" w:eastAsia="宋体" w:hAnsi="Times New Roman" w:cs="Times New Roman" w:hint="eastAsia"/>
          <w:color w:val="000000" w:themeColor="text1"/>
          <w:kern w:val="1"/>
          <w:sz w:val="24"/>
          <w:szCs w:val="24"/>
        </w:rPr>
        <w:t>4.4-13</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表</w:t>
      </w:r>
      <w:r>
        <w:rPr>
          <w:rFonts w:ascii="Times New Roman" w:eastAsia="宋体" w:hAnsi="Times New Roman" w:cs="Times New Roman" w:hint="eastAsia"/>
          <w:color w:val="000000" w:themeColor="text1"/>
          <w:kern w:val="1"/>
          <w:sz w:val="24"/>
          <w:szCs w:val="24"/>
        </w:rPr>
        <w:t xml:space="preserve">4.4-13       </w:t>
      </w:r>
      <w:r>
        <w:rPr>
          <w:rFonts w:ascii="Times New Roman" w:eastAsia="宋体" w:hAnsi="Times New Roman" w:cs="Times New Roman" w:hint="eastAsia"/>
          <w:color w:val="000000" w:themeColor="text1"/>
          <w:kern w:val="1"/>
          <w:sz w:val="24"/>
          <w:szCs w:val="24"/>
        </w:rPr>
        <w:t>项目废气污染物非正常排放情况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252"/>
        <w:gridCol w:w="1024"/>
        <w:gridCol w:w="1490"/>
        <w:gridCol w:w="1427"/>
        <w:gridCol w:w="2199"/>
      </w:tblGrid>
      <w:tr w:rsidR="00C861DA">
        <w:tc>
          <w:tcPr>
            <w:tcW w:w="1130"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非</w:t>
            </w:r>
            <w:r>
              <w:rPr>
                <w:rFonts w:ascii="宋体" w:eastAsia="宋体" w:hAnsi="宋体" w:cs="宋体" w:hint="eastAsia"/>
                <w:color w:val="000000" w:themeColor="text1"/>
                <w:kern w:val="1"/>
              </w:rPr>
              <w:t>正常排放情景</w:t>
            </w:r>
          </w:p>
        </w:tc>
        <w:tc>
          <w:tcPr>
            <w:tcW w:w="1252"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废气排放量（</w:t>
            </w:r>
            <w:r>
              <w:rPr>
                <w:rFonts w:ascii="宋体" w:eastAsia="宋体" w:hAnsi="宋体" w:cs="宋体" w:hint="eastAsia"/>
                <w:color w:val="000000" w:themeColor="text1"/>
                <w:kern w:val="1"/>
              </w:rPr>
              <w:t>m</w:t>
            </w:r>
            <w:r>
              <w:rPr>
                <w:rFonts w:ascii="宋体" w:eastAsia="宋体" w:hAnsi="宋体" w:cs="宋体" w:hint="eastAsia"/>
                <w:color w:val="000000" w:themeColor="text1"/>
                <w:kern w:val="1"/>
                <w:vertAlign w:val="superscript"/>
              </w:rPr>
              <w:t>3</w:t>
            </w:r>
            <w:r>
              <w:rPr>
                <w:rFonts w:ascii="宋体" w:eastAsia="宋体" w:hAnsi="宋体" w:cs="宋体" w:hint="eastAsia"/>
                <w:color w:val="000000" w:themeColor="text1"/>
                <w:kern w:val="1"/>
              </w:rPr>
              <w:t>/h</w:t>
            </w:r>
            <w:r>
              <w:rPr>
                <w:rFonts w:ascii="宋体" w:eastAsia="宋体" w:hAnsi="宋体" w:cs="宋体" w:hint="eastAsia"/>
                <w:color w:val="000000" w:themeColor="text1"/>
                <w:kern w:val="1"/>
              </w:rPr>
              <w:t>）</w:t>
            </w:r>
          </w:p>
        </w:tc>
        <w:tc>
          <w:tcPr>
            <w:tcW w:w="1024"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污染物名称</w:t>
            </w:r>
          </w:p>
        </w:tc>
        <w:tc>
          <w:tcPr>
            <w:tcW w:w="1490"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污染物排放浓度（</w:t>
            </w:r>
            <w:r>
              <w:rPr>
                <w:rFonts w:ascii="宋体" w:eastAsia="宋体" w:hAnsi="宋体" w:cs="宋体" w:hint="eastAsia"/>
                <w:color w:val="000000" w:themeColor="text1"/>
                <w:kern w:val="1"/>
              </w:rPr>
              <w:t>mg/m</w:t>
            </w:r>
            <w:r>
              <w:rPr>
                <w:rFonts w:ascii="宋体" w:eastAsia="宋体" w:hAnsi="宋体" w:cs="宋体" w:hint="eastAsia"/>
                <w:color w:val="000000" w:themeColor="text1"/>
                <w:kern w:val="1"/>
                <w:vertAlign w:val="superscript"/>
              </w:rPr>
              <w:t>3</w:t>
            </w:r>
            <w:r>
              <w:rPr>
                <w:rFonts w:ascii="宋体" w:eastAsia="宋体" w:hAnsi="宋体" w:cs="宋体" w:hint="eastAsia"/>
                <w:color w:val="000000" w:themeColor="text1"/>
                <w:kern w:val="1"/>
              </w:rPr>
              <w:t>）</w:t>
            </w:r>
          </w:p>
        </w:tc>
        <w:tc>
          <w:tcPr>
            <w:tcW w:w="1427"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污染物排放量（</w:t>
            </w:r>
            <w:r>
              <w:rPr>
                <w:rFonts w:ascii="宋体" w:eastAsia="宋体" w:hAnsi="宋体" w:cs="宋体" w:hint="eastAsia"/>
                <w:color w:val="000000" w:themeColor="text1"/>
                <w:kern w:val="1"/>
              </w:rPr>
              <w:t>kg/h</w:t>
            </w:r>
            <w:r>
              <w:rPr>
                <w:rFonts w:ascii="宋体" w:eastAsia="宋体" w:hAnsi="宋体" w:cs="宋体" w:hint="eastAsia"/>
                <w:color w:val="000000" w:themeColor="text1"/>
                <w:kern w:val="1"/>
              </w:rPr>
              <w:t>）</w:t>
            </w:r>
          </w:p>
        </w:tc>
        <w:tc>
          <w:tcPr>
            <w:tcW w:w="2199"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排放参数</w:t>
            </w:r>
          </w:p>
        </w:tc>
      </w:tr>
      <w:tr w:rsidR="00C861DA">
        <w:tc>
          <w:tcPr>
            <w:tcW w:w="1130"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情景一</w:t>
            </w:r>
          </w:p>
        </w:tc>
        <w:tc>
          <w:tcPr>
            <w:tcW w:w="1252"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Times New Roman" w:eastAsia="宋体" w:hAnsi="Times New Roman" w:cs="Times New Roman" w:hint="eastAsia"/>
                <w:color w:val="000000" w:themeColor="text1"/>
                <w:kern w:val="1"/>
              </w:rPr>
              <w:t>70833</w:t>
            </w:r>
          </w:p>
        </w:tc>
        <w:tc>
          <w:tcPr>
            <w:tcW w:w="1024"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Times New Roman" w:eastAsia="宋体" w:hAnsi="Times New Roman" w:cs="Times New Roman" w:hint="eastAsia"/>
                <w:color w:val="000000" w:themeColor="text1"/>
                <w:kern w:val="1"/>
              </w:rPr>
              <w:t>氮氧化物</w:t>
            </w:r>
          </w:p>
        </w:tc>
        <w:tc>
          <w:tcPr>
            <w:tcW w:w="1490"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Times New Roman" w:eastAsia="宋体" w:hAnsi="Times New Roman" w:cs="Times New Roman" w:hint="eastAsia"/>
                <w:color w:val="000000" w:themeColor="text1"/>
                <w:kern w:val="1"/>
              </w:rPr>
              <w:t>323.58</w:t>
            </w:r>
          </w:p>
        </w:tc>
        <w:tc>
          <w:tcPr>
            <w:tcW w:w="1427"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Times New Roman" w:eastAsia="宋体" w:hAnsi="Times New Roman" w:cs="Times New Roman" w:hint="eastAsia"/>
                <w:color w:val="000000" w:themeColor="text1"/>
                <w:kern w:val="1"/>
              </w:rPr>
              <w:t>22.92</w:t>
            </w:r>
          </w:p>
        </w:tc>
        <w:tc>
          <w:tcPr>
            <w:tcW w:w="2199"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排气筒高度：</w:t>
            </w:r>
            <w:r>
              <w:rPr>
                <w:rFonts w:ascii="Times New Roman" w:eastAsia="宋体" w:hAnsi="Times New Roman" w:cs="Times New Roman" w:hint="eastAsia"/>
                <w:color w:val="000000" w:themeColor="text1"/>
                <w:kern w:val="1"/>
              </w:rPr>
              <w:t>48m</w:t>
            </w:r>
          </w:p>
          <w:p w:rsidR="00C861DA" w:rsidRDefault="0044752E">
            <w:pPr>
              <w:widowControl/>
              <w:autoSpaceDE/>
              <w:autoSpaceDN/>
              <w:snapToGrid w:val="0"/>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排放口内径：</w:t>
            </w:r>
            <w:r>
              <w:rPr>
                <w:rFonts w:ascii="Times New Roman" w:eastAsia="宋体" w:hAnsi="Times New Roman" w:cs="Times New Roman" w:hint="eastAsia"/>
                <w:color w:val="000000" w:themeColor="text1"/>
                <w:kern w:val="1"/>
              </w:rPr>
              <w:t>1.0m</w:t>
            </w:r>
          </w:p>
          <w:p w:rsidR="00C861DA" w:rsidRDefault="0044752E">
            <w:pPr>
              <w:widowControl/>
              <w:autoSpaceDE/>
              <w:autoSpaceDN/>
              <w:snapToGrid w:val="0"/>
              <w:jc w:val="center"/>
              <w:rPr>
                <w:rFonts w:ascii="宋体" w:eastAsia="宋体" w:hAnsi="宋体" w:cs="宋体"/>
                <w:color w:val="000000" w:themeColor="text1"/>
                <w:kern w:val="1"/>
              </w:rPr>
            </w:pPr>
            <w:r>
              <w:rPr>
                <w:rFonts w:ascii="Times New Roman" w:eastAsia="宋体" w:hAnsi="Times New Roman" w:cs="Times New Roman" w:hint="eastAsia"/>
                <w:color w:val="000000" w:themeColor="text1"/>
                <w:kern w:val="1"/>
              </w:rPr>
              <w:t>温度：</w:t>
            </w:r>
            <w:r>
              <w:rPr>
                <w:rFonts w:ascii="Times New Roman" w:eastAsia="宋体" w:hAnsi="Times New Roman" w:cs="Times New Roman" w:hint="eastAsia"/>
                <w:color w:val="000000" w:themeColor="text1"/>
                <w:kern w:val="1"/>
              </w:rPr>
              <w:t>60</w:t>
            </w:r>
            <w:r>
              <w:rPr>
                <w:rFonts w:ascii="Times New Roman" w:eastAsia="宋体" w:hAnsi="Times New Roman" w:cs="Times New Roman" w:hint="eastAsia"/>
                <w:color w:val="000000" w:themeColor="text1"/>
                <w:kern w:val="1"/>
              </w:rPr>
              <w:t>℃</w:t>
            </w:r>
          </w:p>
        </w:tc>
      </w:tr>
      <w:tr w:rsidR="00C861DA">
        <w:trPr>
          <w:trHeight w:val="583"/>
        </w:trPr>
        <w:tc>
          <w:tcPr>
            <w:tcW w:w="1130" w:type="dxa"/>
            <w:vMerge w:val="restart"/>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情景二</w:t>
            </w:r>
          </w:p>
        </w:tc>
        <w:tc>
          <w:tcPr>
            <w:tcW w:w="1252" w:type="dxa"/>
            <w:vMerge w:val="restart"/>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125000</w:t>
            </w:r>
          </w:p>
        </w:tc>
        <w:tc>
          <w:tcPr>
            <w:tcW w:w="1024"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颗粒物</w:t>
            </w:r>
          </w:p>
        </w:tc>
        <w:tc>
          <w:tcPr>
            <w:tcW w:w="1490"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1556</w:t>
            </w:r>
          </w:p>
        </w:tc>
        <w:tc>
          <w:tcPr>
            <w:tcW w:w="1427"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194.5</w:t>
            </w:r>
          </w:p>
        </w:tc>
        <w:tc>
          <w:tcPr>
            <w:tcW w:w="2199" w:type="dxa"/>
            <w:vMerge w:val="restart"/>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排气筒高度：</w:t>
            </w:r>
            <w:r>
              <w:rPr>
                <w:rFonts w:ascii="宋体" w:eastAsia="宋体" w:hAnsi="宋体" w:cs="宋体" w:hint="eastAsia"/>
                <w:color w:val="000000" w:themeColor="text1"/>
                <w:kern w:val="1"/>
              </w:rPr>
              <w:t>110m</w:t>
            </w:r>
          </w:p>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排放口内径：</w:t>
            </w:r>
            <w:r>
              <w:rPr>
                <w:rFonts w:ascii="宋体" w:eastAsia="宋体" w:hAnsi="宋体" w:cs="宋体" w:hint="eastAsia"/>
                <w:color w:val="000000" w:themeColor="text1"/>
                <w:kern w:val="1"/>
              </w:rPr>
              <w:t>1.2m</w:t>
            </w:r>
          </w:p>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温度：</w:t>
            </w:r>
            <w:r>
              <w:rPr>
                <w:rFonts w:ascii="宋体" w:eastAsia="宋体" w:hAnsi="宋体" w:cs="宋体" w:hint="eastAsia"/>
                <w:color w:val="000000" w:themeColor="text1"/>
                <w:kern w:val="1"/>
              </w:rPr>
              <w:t>45</w:t>
            </w:r>
            <w:r>
              <w:rPr>
                <w:rFonts w:ascii="宋体" w:eastAsia="宋体" w:hAnsi="宋体" w:cs="宋体" w:hint="eastAsia"/>
                <w:color w:val="000000" w:themeColor="text1"/>
                <w:kern w:val="1"/>
              </w:rPr>
              <w:t>℃</w:t>
            </w:r>
          </w:p>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持续时间：</w:t>
            </w:r>
            <w:r>
              <w:rPr>
                <w:rFonts w:ascii="宋体" w:eastAsia="宋体" w:hAnsi="宋体" w:cs="宋体" w:hint="eastAsia"/>
                <w:color w:val="000000" w:themeColor="text1"/>
                <w:kern w:val="1"/>
              </w:rPr>
              <w:t>2h</w:t>
            </w:r>
          </w:p>
        </w:tc>
      </w:tr>
      <w:tr w:rsidR="00C861DA">
        <w:tc>
          <w:tcPr>
            <w:tcW w:w="1130" w:type="dxa"/>
            <w:vMerge/>
            <w:vAlign w:val="center"/>
          </w:tcPr>
          <w:p w:rsidR="00C861DA" w:rsidRDefault="00C861DA">
            <w:pPr>
              <w:widowControl/>
              <w:autoSpaceDE/>
              <w:autoSpaceDN/>
              <w:snapToGrid w:val="0"/>
              <w:jc w:val="center"/>
              <w:rPr>
                <w:rFonts w:ascii="宋体" w:eastAsia="宋体" w:hAnsi="宋体" w:cs="宋体"/>
                <w:color w:val="000000" w:themeColor="text1"/>
                <w:kern w:val="1"/>
              </w:rPr>
            </w:pPr>
          </w:p>
        </w:tc>
        <w:tc>
          <w:tcPr>
            <w:tcW w:w="1252" w:type="dxa"/>
            <w:vMerge/>
            <w:vAlign w:val="center"/>
          </w:tcPr>
          <w:p w:rsidR="00C861DA" w:rsidRDefault="00C861DA">
            <w:pPr>
              <w:widowControl/>
              <w:autoSpaceDE/>
              <w:autoSpaceDN/>
              <w:snapToGrid w:val="0"/>
              <w:jc w:val="center"/>
              <w:rPr>
                <w:rFonts w:ascii="宋体" w:eastAsia="宋体" w:hAnsi="宋体" w:cs="宋体"/>
                <w:color w:val="000000" w:themeColor="text1"/>
                <w:kern w:val="1"/>
              </w:rPr>
            </w:pPr>
          </w:p>
        </w:tc>
        <w:tc>
          <w:tcPr>
            <w:tcW w:w="1024"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氨</w:t>
            </w:r>
          </w:p>
        </w:tc>
        <w:tc>
          <w:tcPr>
            <w:tcW w:w="1490"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333.6</w:t>
            </w:r>
          </w:p>
        </w:tc>
        <w:tc>
          <w:tcPr>
            <w:tcW w:w="1427" w:type="dxa"/>
            <w:vAlign w:val="center"/>
          </w:tcPr>
          <w:p w:rsidR="00C861DA" w:rsidRDefault="0044752E">
            <w:pPr>
              <w:widowControl/>
              <w:autoSpaceDE/>
              <w:autoSpaceDN/>
              <w:snapToGrid w:val="0"/>
              <w:jc w:val="center"/>
              <w:rPr>
                <w:rFonts w:ascii="宋体" w:eastAsia="宋体" w:hAnsi="宋体" w:cs="宋体"/>
                <w:color w:val="000000" w:themeColor="text1"/>
                <w:kern w:val="1"/>
              </w:rPr>
            </w:pPr>
            <w:r>
              <w:rPr>
                <w:rFonts w:ascii="宋体" w:eastAsia="宋体" w:hAnsi="宋体" w:cs="宋体" w:hint="eastAsia"/>
                <w:color w:val="000000" w:themeColor="text1"/>
                <w:kern w:val="1"/>
              </w:rPr>
              <w:t>41.7</w:t>
            </w:r>
          </w:p>
        </w:tc>
        <w:tc>
          <w:tcPr>
            <w:tcW w:w="2199" w:type="dxa"/>
            <w:vMerge/>
            <w:vAlign w:val="center"/>
          </w:tcPr>
          <w:p w:rsidR="00C861DA" w:rsidRDefault="00C861DA">
            <w:pPr>
              <w:widowControl/>
              <w:autoSpaceDE/>
              <w:autoSpaceDN/>
              <w:snapToGrid w:val="0"/>
              <w:jc w:val="center"/>
              <w:rPr>
                <w:rFonts w:ascii="宋体" w:eastAsia="宋体" w:hAnsi="宋体" w:cs="宋体"/>
                <w:color w:val="000000" w:themeColor="text1"/>
                <w:kern w:val="1"/>
              </w:rPr>
            </w:pPr>
          </w:p>
        </w:tc>
      </w:tr>
    </w:tbl>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p>
    <w:p w:rsidR="00C861DA" w:rsidRDefault="0044752E">
      <w:pPr>
        <w:pStyle w:val="32"/>
        <w:rPr>
          <w:rFonts w:ascii="Times New Roman" w:eastAsia="宋体"/>
          <w:bCs w:val="0"/>
          <w:color w:val="000000" w:themeColor="text1"/>
          <w:sz w:val="24"/>
          <w:szCs w:val="24"/>
        </w:rPr>
      </w:pPr>
      <w:bookmarkStart w:id="240" w:name="_Toc6826804"/>
      <w:r>
        <w:rPr>
          <w:rFonts w:ascii="Times New Roman" w:eastAsia="宋体" w:hint="eastAsia"/>
          <w:bCs w:val="0"/>
          <w:color w:val="000000" w:themeColor="text1"/>
          <w:sz w:val="24"/>
          <w:szCs w:val="24"/>
        </w:rPr>
        <w:t>4.4.2</w:t>
      </w:r>
      <w:r>
        <w:rPr>
          <w:rFonts w:ascii="Times New Roman" w:eastAsia="宋体" w:hint="eastAsia"/>
          <w:bCs w:val="0"/>
          <w:color w:val="000000" w:themeColor="text1"/>
          <w:sz w:val="24"/>
          <w:szCs w:val="24"/>
        </w:rPr>
        <w:t>废水</w:t>
      </w:r>
      <w:bookmarkEnd w:id="240"/>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W1</w:t>
      </w:r>
      <w:r>
        <w:rPr>
          <w:rFonts w:ascii="Times New Roman" w:eastAsia="宋体" w:hAnsi="Times New Roman" w:cs="Times New Roman" w:hint="eastAsia"/>
          <w:color w:val="000000" w:themeColor="text1"/>
          <w:kern w:val="1"/>
          <w:sz w:val="24"/>
          <w:szCs w:val="24"/>
        </w:rPr>
        <w:t>：硝酸生产废水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硝酸生产氨辅助蒸发器排油罐会定期</w:t>
      </w:r>
      <w:r>
        <w:rPr>
          <w:rFonts w:ascii="Times New Roman" w:eastAsia="宋体" w:hAnsi="Times New Roman" w:cs="Times New Roman"/>
          <w:color w:val="000000" w:themeColor="text1"/>
          <w:kern w:val="1"/>
          <w:sz w:val="24"/>
          <w:szCs w:val="24"/>
        </w:rPr>
        <w:t xml:space="preserve"> </w:t>
      </w:r>
      <w:r>
        <w:rPr>
          <w:rFonts w:ascii="Times New Roman" w:eastAsia="宋体" w:hAnsi="Times New Roman" w:cs="Times New Roman"/>
          <w:color w:val="000000" w:themeColor="text1"/>
          <w:kern w:val="1"/>
          <w:sz w:val="24"/>
          <w:szCs w:val="24"/>
        </w:rPr>
        <w:t>排放少量含氧、石油类的废水。硝酸生产氨辅助蒸发器排油罐排水量为</w:t>
      </w:r>
      <w:r>
        <w:rPr>
          <w:rFonts w:ascii="Times New Roman" w:eastAsia="宋体" w:hAnsi="Times New Roman" w:cs="Times New Roman" w:hint="eastAsia"/>
          <w:color w:val="000000" w:themeColor="text1"/>
          <w:kern w:val="1"/>
          <w:sz w:val="24"/>
          <w:szCs w:val="24"/>
        </w:rPr>
        <w:t>0.01m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/h</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主要污染物</w:t>
      </w:r>
      <w:r>
        <w:rPr>
          <w:rFonts w:ascii="Times New Roman" w:eastAsia="宋体" w:hAnsi="Times New Roman" w:cs="Times New Roman" w:hint="eastAsia"/>
          <w:color w:val="000000" w:themeColor="text1"/>
          <w:kern w:val="1"/>
          <w:sz w:val="24"/>
          <w:szCs w:val="24"/>
        </w:rPr>
        <w:t>氨：</w:t>
      </w:r>
      <w:r>
        <w:rPr>
          <w:rFonts w:ascii="Times New Roman" w:eastAsia="宋体" w:hAnsi="Times New Roman" w:cs="Times New Roman" w:hint="eastAsia"/>
          <w:color w:val="000000" w:themeColor="text1"/>
          <w:kern w:val="1"/>
          <w:sz w:val="24"/>
          <w:szCs w:val="24"/>
        </w:rPr>
        <w:t>20mg/L</w:t>
      </w:r>
      <w:r>
        <w:rPr>
          <w:rFonts w:ascii="Times New Roman" w:eastAsia="宋体" w:hAnsi="Times New Roman" w:cs="Times New Roman"/>
          <w:color w:val="000000" w:themeColor="text1"/>
          <w:kern w:val="1"/>
          <w:sz w:val="24"/>
          <w:szCs w:val="24"/>
        </w:rPr>
        <w:t xml:space="preserve"> </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石油类</w:t>
      </w:r>
      <w:r>
        <w:rPr>
          <w:rFonts w:ascii="Times New Roman" w:eastAsia="宋体" w:hAnsi="Times New Roman" w:cs="Times New Roman"/>
          <w:color w:val="000000" w:themeColor="text1"/>
          <w:kern w:val="1"/>
          <w:sz w:val="24"/>
          <w:szCs w:val="24"/>
        </w:rPr>
        <w:t xml:space="preserve"> </w:t>
      </w:r>
      <w:r>
        <w:rPr>
          <w:rFonts w:ascii="Times New Roman" w:eastAsia="宋体" w:hAnsi="Times New Roman" w:cs="Times New Roman" w:hint="eastAsia"/>
          <w:color w:val="000000" w:themeColor="text1"/>
          <w:kern w:val="1"/>
          <w:sz w:val="24"/>
          <w:szCs w:val="24"/>
        </w:rPr>
        <w:t>10mg/L</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硝酸生产氨辅助蒸发器</w:t>
      </w:r>
      <w:r>
        <w:rPr>
          <w:rFonts w:ascii="Times New Roman" w:eastAsia="宋体" w:hAnsi="Times New Roman" w:cs="Times New Roman" w:hint="eastAsia"/>
          <w:color w:val="000000" w:themeColor="text1"/>
          <w:kern w:val="1"/>
          <w:sz w:val="24"/>
          <w:szCs w:val="24"/>
        </w:rPr>
        <w:t>排油</w:t>
      </w:r>
      <w:r>
        <w:rPr>
          <w:rFonts w:ascii="Times New Roman" w:eastAsia="宋体" w:hAnsi="Times New Roman" w:cs="Times New Roman"/>
          <w:color w:val="000000" w:themeColor="text1"/>
          <w:kern w:val="1"/>
          <w:sz w:val="24"/>
          <w:szCs w:val="24"/>
        </w:rPr>
        <w:t>罐排水为间断水，</w:t>
      </w:r>
      <w:r>
        <w:rPr>
          <w:rFonts w:ascii="Times New Roman" w:eastAsia="宋体" w:hAnsi="Times New Roman" w:cs="Times New Roman" w:hint="eastAsia"/>
          <w:color w:val="000000" w:themeColor="text1"/>
          <w:kern w:val="1"/>
          <w:sz w:val="24"/>
          <w:szCs w:val="24"/>
        </w:rPr>
        <w:t>排入生产废水收集池后，送祥丰金麦球磨工段，作为生产补充水</w:t>
      </w:r>
      <w:r>
        <w:rPr>
          <w:rFonts w:ascii="Times New Roman" w:eastAsia="宋体" w:hAnsi="Times New Roman" w:cs="Times New Roman"/>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2</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W2</w:t>
      </w:r>
      <w:r>
        <w:rPr>
          <w:rFonts w:ascii="Times New Roman" w:eastAsia="宋体" w:hAnsi="Times New Roman" w:cs="Times New Roman" w:hint="eastAsia"/>
          <w:color w:val="000000" w:themeColor="text1"/>
          <w:kern w:val="1"/>
          <w:sz w:val="24"/>
          <w:szCs w:val="24"/>
        </w:rPr>
        <w:t>：氨回收冷凝废水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硝铵生产冷凝废水产生量</w:t>
      </w:r>
      <w:r>
        <w:rPr>
          <w:rFonts w:ascii="Times New Roman" w:eastAsia="宋体" w:hAnsi="Times New Roman" w:cs="Times New Roman" w:hint="eastAsia"/>
          <w:color w:val="000000" w:themeColor="text1"/>
          <w:kern w:val="1"/>
          <w:sz w:val="24"/>
          <w:szCs w:val="24"/>
        </w:rPr>
        <w:t>3.5m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/h</w:t>
      </w:r>
      <w:r>
        <w:rPr>
          <w:rFonts w:ascii="Times New Roman" w:eastAsia="宋体" w:hAnsi="Times New Roman" w:cs="Times New Roman" w:hint="eastAsia"/>
          <w:color w:val="000000" w:themeColor="text1"/>
          <w:kern w:val="1"/>
          <w:sz w:val="24"/>
          <w:szCs w:val="24"/>
        </w:rPr>
        <w:t>，废水中含有少量的氨、硝酸等污染物，其中氨的浓度</w:t>
      </w:r>
      <w:r>
        <w:rPr>
          <w:rFonts w:ascii="Times New Roman" w:eastAsia="宋体" w:hAnsi="Times New Roman" w:cs="Times New Roman" w:hint="eastAsia"/>
          <w:color w:val="000000" w:themeColor="text1"/>
          <w:kern w:val="1"/>
          <w:sz w:val="24"/>
          <w:szCs w:val="24"/>
        </w:rPr>
        <w:t>250mg/L</w:t>
      </w:r>
      <w:r>
        <w:rPr>
          <w:rFonts w:ascii="Times New Roman" w:eastAsia="宋体" w:hAnsi="Times New Roman" w:cs="Times New Roman" w:hint="eastAsia"/>
          <w:color w:val="000000" w:themeColor="text1"/>
          <w:kern w:val="1"/>
          <w:sz w:val="24"/>
          <w:szCs w:val="24"/>
        </w:rPr>
        <w:t>，硝酸浓度</w:t>
      </w:r>
      <w:r>
        <w:rPr>
          <w:rFonts w:ascii="Times New Roman" w:eastAsia="宋体" w:hAnsi="Times New Roman" w:cs="Times New Roman" w:hint="eastAsia"/>
          <w:color w:val="000000" w:themeColor="text1"/>
          <w:kern w:val="1"/>
          <w:sz w:val="24"/>
          <w:szCs w:val="24"/>
        </w:rPr>
        <w:t>150mg/L</w:t>
      </w:r>
      <w:r>
        <w:rPr>
          <w:rFonts w:ascii="Times New Roman" w:eastAsia="宋体" w:hAnsi="Times New Roman" w:cs="Times New Roman" w:hint="eastAsia"/>
          <w:color w:val="000000" w:themeColor="text1"/>
          <w:kern w:val="1"/>
          <w:sz w:val="24"/>
          <w:szCs w:val="24"/>
        </w:rPr>
        <w:t>，冷凝废水进入冷凝液槽，再用泵送至生产废水收集池，作为祥丰金麦公司湿法球磨作为补充用水。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W3</w:t>
      </w:r>
      <w:r>
        <w:rPr>
          <w:rFonts w:ascii="Times New Roman" w:eastAsia="宋体" w:hAnsi="Times New Roman" w:cs="Times New Roman" w:hint="eastAsia"/>
          <w:color w:val="000000" w:themeColor="text1"/>
          <w:kern w:val="1"/>
          <w:sz w:val="24"/>
          <w:szCs w:val="24"/>
        </w:rPr>
        <w:t>：硝基复合肥造粒废气洗涤废水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造粒</w:t>
      </w:r>
      <w:r>
        <w:rPr>
          <w:rFonts w:ascii="Times New Roman" w:eastAsia="宋体" w:hAnsi="Times New Roman" w:cs="Times New Roman"/>
          <w:color w:val="000000" w:themeColor="text1"/>
          <w:kern w:val="0"/>
          <w:sz w:val="24"/>
          <w:szCs w:val="24"/>
        </w:rPr>
        <w:t>塔顶粉尘洗涤器采用湿法洗涤，使用尿素装置的净化工艺冷凝液作为洗涤</w:t>
      </w:r>
      <w:r>
        <w:rPr>
          <w:rFonts w:ascii="Times New Roman" w:eastAsia="宋体" w:hAnsi="Times New Roman" w:cs="Times New Roman" w:hint="eastAsia"/>
          <w:color w:val="000000" w:themeColor="text1"/>
          <w:kern w:val="0"/>
          <w:sz w:val="24"/>
          <w:szCs w:val="24"/>
        </w:rPr>
        <w:t>用水</w:t>
      </w:r>
      <w:r>
        <w:rPr>
          <w:rFonts w:ascii="Times New Roman" w:eastAsia="宋体" w:hAnsi="Times New Roman" w:cs="Times New Roman"/>
          <w:color w:val="000000" w:themeColor="text1"/>
          <w:kern w:val="0"/>
          <w:sz w:val="24"/>
          <w:szCs w:val="24"/>
        </w:rPr>
        <w:t>，洗涤后的</w:t>
      </w:r>
      <w:r>
        <w:rPr>
          <w:rFonts w:ascii="Times New Roman" w:eastAsia="宋体" w:hAnsi="Times New Roman" w:cs="Times New Roman" w:hint="eastAsia"/>
          <w:color w:val="000000" w:themeColor="text1"/>
          <w:kern w:val="0"/>
          <w:sz w:val="24"/>
          <w:szCs w:val="24"/>
        </w:rPr>
        <w:t>废水</w:t>
      </w:r>
      <w:r>
        <w:rPr>
          <w:rFonts w:ascii="Times New Roman" w:eastAsia="宋体" w:hAnsi="Times New Roman" w:cs="Times New Roman"/>
          <w:color w:val="000000" w:themeColor="text1"/>
          <w:kern w:val="0"/>
          <w:sz w:val="24"/>
          <w:szCs w:val="24"/>
        </w:rPr>
        <w:t>中硫酸钾、磷酸一铵和</w:t>
      </w:r>
      <w:r>
        <w:rPr>
          <w:rFonts w:ascii="Times New Roman" w:eastAsia="宋体" w:hAnsi="Times New Roman" w:cs="Times New Roman" w:hint="eastAsia"/>
          <w:color w:val="000000" w:themeColor="text1"/>
          <w:kern w:val="0"/>
          <w:sz w:val="24"/>
          <w:szCs w:val="24"/>
        </w:rPr>
        <w:t>硝酸铵</w:t>
      </w:r>
      <w:r>
        <w:rPr>
          <w:rFonts w:ascii="Times New Roman" w:eastAsia="宋体" w:hAnsi="Times New Roman" w:cs="Times New Roman"/>
          <w:color w:val="000000" w:themeColor="text1"/>
          <w:kern w:val="0"/>
          <w:sz w:val="24"/>
          <w:szCs w:val="24"/>
        </w:rPr>
        <w:t>等的含量约</w:t>
      </w:r>
      <w:r>
        <w:rPr>
          <w:rFonts w:ascii="Times New Roman" w:eastAsia="宋体" w:hAnsi="Times New Roman" w:cs="Times New Roman"/>
          <w:color w:val="000000" w:themeColor="text1"/>
          <w:kern w:val="0"/>
          <w:sz w:val="24"/>
          <w:szCs w:val="24"/>
        </w:rPr>
        <w:t>20%</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hint="eastAsia"/>
          <w:color w:val="000000" w:themeColor="text1"/>
          <w:kern w:val="0"/>
          <w:sz w:val="24"/>
          <w:szCs w:val="24"/>
        </w:rPr>
        <w:t>废水排放量</w:t>
      </w:r>
      <w:r>
        <w:rPr>
          <w:rFonts w:ascii="Times New Roman" w:eastAsia="宋体" w:hAnsi="Times New Roman" w:cs="Times New Roman" w:hint="eastAsia"/>
          <w:color w:val="000000" w:themeColor="text1"/>
          <w:kern w:val="0"/>
          <w:sz w:val="24"/>
          <w:szCs w:val="24"/>
        </w:rPr>
        <w:t>0.42m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/h</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送至金麦磷肥装置的球磨</w:t>
      </w:r>
      <w:r>
        <w:rPr>
          <w:rFonts w:ascii="Times New Roman" w:eastAsia="宋体" w:hAnsi="Times New Roman" w:cs="Times New Roman" w:hint="eastAsia"/>
          <w:color w:val="000000" w:themeColor="text1"/>
          <w:kern w:val="0"/>
          <w:sz w:val="24"/>
          <w:szCs w:val="24"/>
        </w:rPr>
        <w:t>工段，作为补充水。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4</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W4</w:t>
      </w:r>
      <w:r>
        <w:rPr>
          <w:rFonts w:ascii="Times New Roman" w:eastAsia="宋体" w:hAnsi="Times New Roman" w:cs="Times New Roman" w:hint="eastAsia"/>
          <w:color w:val="000000" w:themeColor="text1"/>
          <w:kern w:val="0"/>
          <w:sz w:val="24"/>
          <w:szCs w:val="24"/>
        </w:rPr>
        <w:t>：尿素合成尾气洗涤废水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0"/>
          <w:sz w:val="24"/>
          <w:szCs w:val="24"/>
        </w:rPr>
        <w:t>废水中的主要污染物为氨，先循环洗涤利用，</w:t>
      </w:r>
      <w:r>
        <w:rPr>
          <w:rFonts w:ascii="Times New Roman" w:eastAsia="宋体" w:hAnsi="Times New Roman" w:cs="Times New Roman" w:hint="eastAsia"/>
          <w:color w:val="000000" w:themeColor="text1"/>
          <w:kern w:val="1"/>
          <w:sz w:val="24"/>
          <w:szCs w:val="24"/>
        </w:rPr>
        <w:t>定期排放一定量的浓水，进入生产废水收集池，作为祥丰金麦公司湿法球磨作为补充用水。废水排放量约</w:t>
      </w:r>
      <w:r>
        <w:rPr>
          <w:rFonts w:ascii="Times New Roman" w:eastAsia="宋体" w:hAnsi="Times New Roman" w:cs="Times New Roman" w:hint="eastAsia"/>
          <w:color w:val="000000" w:themeColor="text1"/>
          <w:kern w:val="1"/>
          <w:sz w:val="24"/>
          <w:szCs w:val="24"/>
        </w:rPr>
        <w:t>1.0m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/h</w:t>
      </w:r>
      <w:r>
        <w:rPr>
          <w:rFonts w:ascii="Times New Roman" w:eastAsia="宋体" w:hAnsi="Times New Roman" w:cs="Times New Roman" w:hint="eastAsia"/>
          <w:color w:val="000000" w:themeColor="text1"/>
          <w:kern w:val="1"/>
          <w:sz w:val="24"/>
          <w:szCs w:val="24"/>
        </w:rPr>
        <w:t>，污染物主要为氨和悬浮物，其中氨的浓度约</w:t>
      </w:r>
      <w:r>
        <w:rPr>
          <w:rFonts w:ascii="Times New Roman" w:eastAsia="宋体" w:hAnsi="Times New Roman" w:cs="Times New Roman" w:hint="eastAsia"/>
          <w:color w:val="000000" w:themeColor="text1"/>
          <w:kern w:val="1"/>
          <w:sz w:val="24"/>
          <w:szCs w:val="24"/>
        </w:rPr>
        <w:t>250mg/L</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5</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W5</w:t>
      </w:r>
      <w:r>
        <w:rPr>
          <w:rFonts w:ascii="Times New Roman" w:eastAsia="宋体" w:hAnsi="Times New Roman" w:cs="Times New Roman" w:hint="eastAsia"/>
          <w:color w:val="000000" w:themeColor="text1"/>
          <w:kern w:val="0"/>
          <w:sz w:val="24"/>
          <w:szCs w:val="24"/>
        </w:rPr>
        <w:t>：中压、低压尾气洗涤废水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废水中主要污染物为氨，先循环洗涤利用，</w:t>
      </w:r>
      <w:r>
        <w:rPr>
          <w:rFonts w:ascii="Times New Roman" w:eastAsia="宋体" w:hAnsi="Times New Roman" w:cs="Times New Roman" w:hint="eastAsia"/>
          <w:color w:val="000000" w:themeColor="text1"/>
          <w:kern w:val="1"/>
          <w:sz w:val="24"/>
          <w:szCs w:val="24"/>
        </w:rPr>
        <w:t>定期排放一定量的浓水，进入生产废水收集池，作为祥丰金麦公司湿法球磨作为补充用水。废水排放量约</w:t>
      </w:r>
      <w:r>
        <w:rPr>
          <w:rFonts w:ascii="Times New Roman" w:eastAsia="宋体" w:hAnsi="Times New Roman" w:cs="Times New Roman" w:hint="eastAsia"/>
          <w:color w:val="000000" w:themeColor="text1"/>
          <w:kern w:val="1"/>
          <w:sz w:val="24"/>
          <w:szCs w:val="24"/>
        </w:rPr>
        <w:t>1.0m</w:t>
      </w:r>
      <w:r>
        <w:rPr>
          <w:rFonts w:ascii="Times New Roman" w:eastAsia="宋体" w:hAnsi="Times New Roman" w:cs="Times New Roman" w:hint="eastAsia"/>
          <w:color w:val="000000" w:themeColor="text1"/>
          <w:kern w:val="1"/>
          <w:sz w:val="24"/>
          <w:szCs w:val="24"/>
          <w:vertAlign w:val="superscript"/>
        </w:rPr>
        <w:t>3</w:t>
      </w:r>
      <w:r>
        <w:rPr>
          <w:rFonts w:ascii="Times New Roman" w:eastAsia="宋体" w:hAnsi="Times New Roman" w:cs="Times New Roman" w:hint="eastAsia"/>
          <w:color w:val="000000" w:themeColor="text1"/>
          <w:kern w:val="1"/>
          <w:sz w:val="24"/>
          <w:szCs w:val="24"/>
        </w:rPr>
        <w:t>/h</w:t>
      </w:r>
      <w:r>
        <w:rPr>
          <w:rFonts w:ascii="Times New Roman" w:eastAsia="宋体" w:hAnsi="Times New Roman" w:cs="Times New Roman" w:hint="eastAsia"/>
          <w:color w:val="000000" w:themeColor="text1"/>
          <w:kern w:val="1"/>
          <w:sz w:val="24"/>
          <w:szCs w:val="24"/>
        </w:rPr>
        <w:t>，污染物主要为氨和悬浮物，其中氨的浓度约</w:t>
      </w:r>
      <w:r>
        <w:rPr>
          <w:rFonts w:ascii="Times New Roman" w:eastAsia="宋体" w:hAnsi="Times New Roman" w:cs="Times New Roman" w:hint="eastAsia"/>
          <w:color w:val="000000" w:themeColor="text1"/>
          <w:kern w:val="1"/>
          <w:sz w:val="24"/>
          <w:szCs w:val="24"/>
        </w:rPr>
        <w:t>250mg/L</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0"/>
          <w:sz w:val="24"/>
          <w:szCs w:val="24"/>
        </w:rPr>
        <w:t>经收集进入生产废水收集池，送祥丰金麦球磨工段用作生产补充水。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6</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W6</w:t>
      </w:r>
      <w:r>
        <w:rPr>
          <w:rFonts w:ascii="Times New Roman" w:eastAsia="宋体" w:hAnsi="Times New Roman" w:cs="Times New Roman" w:hint="eastAsia"/>
          <w:color w:val="000000" w:themeColor="text1"/>
          <w:kern w:val="0"/>
          <w:sz w:val="24"/>
          <w:szCs w:val="24"/>
        </w:rPr>
        <w:t>：解析水解废水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解析水解废水主要为</w:t>
      </w:r>
      <w:r>
        <w:rPr>
          <w:rFonts w:ascii="Times New Roman" w:eastAsia="宋体" w:hAnsi="Times New Roman" w:cs="Times New Roman"/>
          <w:color w:val="000000" w:themeColor="text1"/>
          <w:kern w:val="0"/>
          <w:sz w:val="24"/>
          <w:szCs w:val="24"/>
        </w:rPr>
        <w:t>经水解、</w:t>
      </w:r>
      <w:r>
        <w:rPr>
          <w:rFonts w:ascii="Times New Roman" w:eastAsia="宋体" w:hAnsi="Times New Roman" w:cs="Times New Roman" w:hint="eastAsia"/>
          <w:color w:val="000000" w:themeColor="text1"/>
          <w:kern w:val="0"/>
          <w:sz w:val="24"/>
          <w:szCs w:val="24"/>
        </w:rPr>
        <w:t>解析</w:t>
      </w:r>
      <w:r>
        <w:rPr>
          <w:rFonts w:ascii="Times New Roman" w:eastAsia="宋体" w:hAnsi="Times New Roman" w:cs="Times New Roman"/>
          <w:color w:val="000000" w:themeColor="text1"/>
          <w:kern w:val="0"/>
          <w:sz w:val="24"/>
          <w:szCs w:val="24"/>
        </w:rPr>
        <w:t>后的净化工艺冷凝</w:t>
      </w:r>
      <w:r>
        <w:rPr>
          <w:rFonts w:ascii="Times New Roman" w:eastAsia="宋体" w:hAnsi="Times New Roman" w:cs="Times New Roman" w:hint="eastAsia"/>
          <w:color w:val="000000" w:themeColor="text1"/>
          <w:kern w:val="0"/>
          <w:sz w:val="24"/>
          <w:szCs w:val="24"/>
        </w:rPr>
        <w:t>水，产生量约</w:t>
      </w:r>
      <w:r>
        <w:rPr>
          <w:rFonts w:ascii="Times New Roman" w:eastAsia="宋体" w:hAnsi="Times New Roman" w:cs="Times New Roman" w:hint="eastAsia"/>
          <w:color w:val="000000" w:themeColor="text1"/>
          <w:kern w:val="0"/>
          <w:sz w:val="24"/>
          <w:szCs w:val="24"/>
        </w:rPr>
        <w:t>25.83m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/h</w:t>
      </w:r>
      <w:r>
        <w:rPr>
          <w:rFonts w:ascii="Times New Roman" w:eastAsia="宋体" w:hAnsi="Times New Roman" w:cs="Times New Roman" w:hint="eastAsia"/>
          <w:color w:val="000000" w:themeColor="text1"/>
          <w:kern w:val="0"/>
          <w:sz w:val="24"/>
          <w:szCs w:val="24"/>
        </w:rPr>
        <w:t>，废水中</w:t>
      </w:r>
      <w:r>
        <w:rPr>
          <w:rFonts w:ascii="Times New Roman" w:eastAsia="宋体" w:hAnsi="Times New Roman" w:cs="Times New Roman"/>
          <w:color w:val="000000" w:themeColor="text1"/>
          <w:kern w:val="0"/>
          <w:sz w:val="24"/>
          <w:szCs w:val="24"/>
        </w:rPr>
        <w:t>中含氨小于</w:t>
      </w:r>
      <w:r>
        <w:rPr>
          <w:rFonts w:ascii="Times New Roman" w:eastAsia="宋体" w:hAnsi="Times New Roman" w:cs="Times New Roman"/>
          <w:color w:val="000000" w:themeColor="text1"/>
          <w:kern w:val="0"/>
          <w:sz w:val="24"/>
          <w:szCs w:val="24"/>
        </w:rPr>
        <w:t>3ppm</w:t>
      </w:r>
      <w:r>
        <w:rPr>
          <w:rFonts w:ascii="Times New Roman" w:eastAsia="宋体" w:hAnsi="Times New Roman" w:cs="Times New Roman" w:hint="eastAsia"/>
          <w:color w:val="000000" w:themeColor="text1"/>
          <w:kern w:val="0"/>
          <w:sz w:val="24"/>
          <w:szCs w:val="24"/>
        </w:rPr>
        <w:t>，约</w:t>
      </w:r>
      <w:r>
        <w:rPr>
          <w:rFonts w:ascii="Times New Roman" w:eastAsia="宋体" w:hAnsi="Times New Roman" w:cs="Times New Roman" w:hint="eastAsia"/>
          <w:color w:val="000000" w:themeColor="text1"/>
          <w:kern w:val="0"/>
          <w:sz w:val="24"/>
          <w:szCs w:val="24"/>
        </w:rPr>
        <w:t>3mg/L</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尿素小于</w:t>
      </w:r>
      <w:r>
        <w:rPr>
          <w:rFonts w:ascii="Times New Roman" w:eastAsia="宋体" w:hAnsi="Times New Roman" w:cs="Times New Roman"/>
          <w:color w:val="000000" w:themeColor="text1"/>
          <w:kern w:val="0"/>
          <w:sz w:val="24"/>
          <w:szCs w:val="24"/>
        </w:rPr>
        <w:t>3ppm</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hint="eastAsia"/>
          <w:color w:val="000000" w:themeColor="text1"/>
          <w:kern w:val="0"/>
          <w:sz w:val="24"/>
          <w:szCs w:val="24"/>
        </w:rPr>
        <w:t>约</w:t>
      </w:r>
      <w:r>
        <w:rPr>
          <w:rFonts w:ascii="Times New Roman" w:eastAsia="宋体" w:hAnsi="Times New Roman" w:cs="Times New Roman" w:hint="eastAsia"/>
          <w:color w:val="000000" w:themeColor="text1"/>
          <w:kern w:val="0"/>
          <w:sz w:val="24"/>
          <w:szCs w:val="24"/>
        </w:rPr>
        <w:t>3mg/L</w:t>
      </w:r>
      <w:r>
        <w:rPr>
          <w:rFonts w:ascii="Times New Roman" w:eastAsia="宋体" w:hAnsi="Times New Roman" w:cs="Times New Roman" w:hint="eastAsia"/>
          <w:color w:val="000000" w:themeColor="text1"/>
          <w:kern w:val="0"/>
          <w:sz w:val="24"/>
          <w:szCs w:val="24"/>
        </w:rPr>
        <w:t>。其中一部分</w:t>
      </w:r>
      <w:r>
        <w:rPr>
          <w:rFonts w:ascii="Times New Roman" w:eastAsia="宋体" w:hAnsi="Times New Roman" w:cs="Times New Roman" w:hint="eastAsia"/>
          <w:color w:val="000000" w:themeColor="text1"/>
          <w:kern w:val="0"/>
          <w:sz w:val="24"/>
          <w:szCs w:val="24"/>
        </w:rPr>
        <w:t xml:space="preserve"> 10.52m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/h</w:t>
      </w:r>
      <w:r>
        <w:rPr>
          <w:rFonts w:ascii="Times New Roman" w:eastAsia="宋体" w:hAnsi="Times New Roman" w:cs="Times New Roman"/>
          <w:color w:val="000000" w:themeColor="text1"/>
          <w:kern w:val="0"/>
          <w:sz w:val="24"/>
          <w:szCs w:val="24"/>
        </w:rPr>
        <w:t>用作尿基复合肥造粒塔顶粉尘洗涤器补液，剩余部分</w:t>
      </w:r>
      <w:r>
        <w:rPr>
          <w:rFonts w:ascii="Times New Roman" w:eastAsia="宋体" w:hAnsi="Times New Roman" w:cs="Times New Roman" w:hint="eastAsia"/>
          <w:color w:val="000000" w:themeColor="text1"/>
          <w:kern w:val="0"/>
          <w:sz w:val="24"/>
          <w:szCs w:val="24"/>
        </w:rPr>
        <w:t>15.31m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/h</w:t>
      </w:r>
      <w:r>
        <w:rPr>
          <w:rFonts w:ascii="Times New Roman" w:eastAsia="宋体" w:hAnsi="Times New Roman" w:cs="Times New Roman"/>
          <w:color w:val="000000" w:themeColor="text1"/>
          <w:kern w:val="0"/>
          <w:sz w:val="24"/>
          <w:szCs w:val="24"/>
        </w:rPr>
        <w:t>送出界区的脱盐水站进行精制，加以回收利用。</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7</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W7</w:t>
      </w:r>
      <w:r>
        <w:rPr>
          <w:rFonts w:ascii="Times New Roman" w:eastAsia="宋体" w:hAnsi="Times New Roman" w:cs="Times New Roman" w:hint="eastAsia"/>
          <w:color w:val="000000" w:themeColor="text1"/>
          <w:kern w:val="0"/>
          <w:sz w:val="24"/>
          <w:szCs w:val="24"/>
        </w:rPr>
        <w:t>：造粒尾气洗涤废水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造粒塔顶粉尘洗涤器采用湿法洗涤，使用尿素装置的净化工艺冷凝液作为洗涤补充水，洗涤后的废水中硫酸钾、磷酸一铵和尿素等的含量约</w:t>
      </w:r>
      <w:r>
        <w:rPr>
          <w:rFonts w:ascii="Times New Roman" w:eastAsia="宋体" w:hAnsi="Times New Roman" w:cs="Times New Roman"/>
          <w:color w:val="000000" w:themeColor="text1"/>
          <w:kern w:val="0"/>
          <w:sz w:val="24"/>
          <w:szCs w:val="24"/>
        </w:rPr>
        <w:t>20%</w:t>
      </w:r>
      <w:r>
        <w:rPr>
          <w:rFonts w:ascii="Times New Roman" w:eastAsia="宋体" w:hAnsi="Times New Roman" w:cs="Times New Roman"/>
          <w:color w:val="000000" w:themeColor="text1"/>
          <w:kern w:val="0"/>
          <w:sz w:val="24"/>
          <w:szCs w:val="24"/>
        </w:rPr>
        <w:t>，废水排放量</w:t>
      </w:r>
      <w:r>
        <w:rPr>
          <w:rFonts w:ascii="Times New Roman" w:eastAsia="宋体" w:hAnsi="Times New Roman" w:cs="Times New Roman" w:hint="eastAsia"/>
          <w:color w:val="000000" w:themeColor="text1"/>
          <w:kern w:val="0"/>
          <w:sz w:val="24"/>
          <w:szCs w:val="24"/>
        </w:rPr>
        <w:t>1.01</w:t>
      </w:r>
      <w:r>
        <w:rPr>
          <w:rFonts w:ascii="Times New Roman" w:eastAsia="宋体" w:hAnsi="Times New Roman" w:cs="Times New Roman"/>
          <w:color w:val="000000" w:themeColor="text1"/>
          <w:kern w:val="0"/>
          <w:sz w:val="24"/>
          <w:szCs w:val="24"/>
        </w:rPr>
        <w:t xml:space="preserve"> m</w:t>
      </w:r>
      <w:r>
        <w:rPr>
          <w:rFonts w:ascii="Times New Roman" w:eastAsia="宋体" w:hAnsi="Times New Roman" w:cs="Times New Roman"/>
          <w:color w:val="000000" w:themeColor="text1"/>
          <w:kern w:val="0"/>
          <w:sz w:val="24"/>
          <w:szCs w:val="24"/>
          <w:vertAlign w:val="superscript"/>
        </w:rPr>
        <w:t>3</w:t>
      </w:r>
      <w:r>
        <w:rPr>
          <w:rFonts w:ascii="Times New Roman" w:eastAsia="宋体" w:hAnsi="Times New Roman" w:cs="Times New Roman"/>
          <w:color w:val="000000" w:themeColor="text1"/>
          <w:kern w:val="0"/>
          <w:sz w:val="24"/>
          <w:szCs w:val="24"/>
        </w:rPr>
        <w:t>/h</w:t>
      </w:r>
      <w:r>
        <w:rPr>
          <w:rFonts w:ascii="Times New Roman" w:eastAsia="宋体" w:hAnsi="Times New Roman" w:cs="Times New Roman" w:hint="eastAsia"/>
          <w:color w:val="000000" w:themeColor="text1"/>
          <w:kern w:val="0"/>
          <w:sz w:val="24"/>
          <w:szCs w:val="24"/>
        </w:rPr>
        <w:t>（其中硝基复合肥尾气洗涤废水</w:t>
      </w:r>
      <w:r>
        <w:rPr>
          <w:rFonts w:ascii="Times New Roman" w:eastAsia="宋体" w:hAnsi="Times New Roman" w:cs="Times New Roman" w:hint="eastAsia"/>
          <w:color w:val="000000" w:themeColor="text1"/>
          <w:kern w:val="0"/>
          <w:sz w:val="24"/>
          <w:szCs w:val="24"/>
        </w:rPr>
        <w:t>0.38m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/h</w:t>
      </w:r>
      <w:r>
        <w:rPr>
          <w:rFonts w:ascii="Times New Roman" w:eastAsia="宋体" w:hAnsi="Times New Roman" w:cs="Times New Roman" w:hint="eastAsia"/>
          <w:color w:val="000000" w:themeColor="text1"/>
          <w:kern w:val="0"/>
          <w:sz w:val="24"/>
          <w:szCs w:val="24"/>
        </w:rPr>
        <w:t>，尿基复合肥武器洗涤废水</w:t>
      </w:r>
      <w:r>
        <w:rPr>
          <w:rFonts w:ascii="Times New Roman" w:eastAsia="宋体" w:hAnsi="Times New Roman" w:cs="Times New Roman" w:hint="eastAsia"/>
          <w:color w:val="000000" w:themeColor="text1"/>
          <w:kern w:val="0"/>
          <w:sz w:val="24"/>
          <w:szCs w:val="24"/>
        </w:rPr>
        <w:t>0.63m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/h</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，送至金麦磷肥装置的球磨工段，作为补充水。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8</w:t>
      </w:r>
      <w:r>
        <w:rPr>
          <w:rFonts w:ascii="Times New Roman" w:eastAsia="宋体" w:hAnsi="Times New Roman" w:cs="Times New Roman"/>
          <w:color w:val="000000" w:themeColor="text1"/>
          <w:kern w:val="0"/>
          <w:sz w:val="24"/>
          <w:szCs w:val="24"/>
        </w:rPr>
        <w:t>）其他废水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1</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hint="eastAsia"/>
          <w:color w:val="000000" w:themeColor="text1"/>
          <w:kern w:val="0"/>
          <w:sz w:val="24"/>
          <w:szCs w:val="24"/>
        </w:rPr>
        <w:t>余热锅炉排污水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硝铵生产余热锅炉废水排放量</w:t>
      </w:r>
      <w:r>
        <w:rPr>
          <w:rFonts w:ascii="Times New Roman" w:eastAsia="宋体" w:hAnsi="Times New Roman" w:cs="Times New Roman" w:hint="eastAsia"/>
          <w:color w:val="000000" w:themeColor="text1"/>
          <w:kern w:val="0"/>
          <w:sz w:val="24"/>
          <w:szCs w:val="24"/>
        </w:rPr>
        <w:t>3.5m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/h</w:t>
      </w:r>
      <w:r>
        <w:rPr>
          <w:rFonts w:ascii="Times New Roman" w:eastAsia="宋体" w:hAnsi="Times New Roman" w:cs="Times New Roman" w:hint="eastAsia"/>
          <w:color w:val="000000" w:themeColor="text1"/>
          <w:kern w:val="0"/>
          <w:sz w:val="24"/>
          <w:szCs w:val="24"/>
        </w:rPr>
        <w:t>，主要污染物为钙、镁离子，进入生产废水收集池后，送磷酸装置球磨机作为补充水。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2</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地坪冲洗水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地坪冲洗水按每次</w:t>
      </w:r>
      <w:r>
        <w:rPr>
          <w:rFonts w:ascii="Times New Roman" w:eastAsia="宋体" w:hAnsi="Times New Roman" w:cs="Times New Roman" w:hint="eastAsia"/>
          <w:color w:val="000000" w:themeColor="text1"/>
          <w:kern w:val="0"/>
          <w:sz w:val="24"/>
          <w:szCs w:val="24"/>
        </w:rPr>
        <w:t>2.5L/m</w:t>
      </w:r>
      <w:r>
        <w:rPr>
          <w:rFonts w:ascii="Times New Roman" w:eastAsia="宋体" w:hAnsi="Times New Roman" w:cs="Times New Roman" w:hint="eastAsia"/>
          <w:color w:val="000000" w:themeColor="text1"/>
          <w:kern w:val="0"/>
          <w:sz w:val="24"/>
          <w:szCs w:val="24"/>
          <w:vertAlign w:val="superscript"/>
        </w:rPr>
        <w:t>2</w:t>
      </w:r>
      <w:r>
        <w:rPr>
          <w:rFonts w:ascii="Times New Roman" w:eastAsia="宋体" w:hAnsi="Times New Roman" w:cs="Times New Roman" w:hint="eastAsia"/>
          <w:color w:val="000000" w:themeColor="text1"/>
          <w:kern w:val="0"/>
          <w:sz w:val="24"/>
          <w:szCs w:val="24"/>
        </w:rPr>
        <w:t>计，本项目需冲洗面积</w:t>
      </w:r>
      <w:r>
        <w:rPr>
          <w:rFonts w:ascii="Times New Roman" w:eastAsia="宋体" w:hAnsi="Times New Roman" w:cs="Times New Roman" w:hint="eastAsia"/>
          <w:color w:val="000000" w:themeColor="text1"/>
          <w:kern w:val="0"/>
          <w:sz w:val="24"/>
          <w:szCs w:val="24"/>
        </w:rPr>
        <w:t>2000m</w:t>
      </w:r>
      <w:r>
        <w:rPr>
          <w:rFonts w:ascii="Times New Roman" w:eastAsia="宋体" w:hAnsi="Times New Roman" w:cs="Times New Roman" w:hint="eastAsia"/>
          <w:color w:val="000000" w:themeColor="text1"/>
          <w:kern w:val="0"/>
          <w:sz w:val="24"/>
          <w:szCs w:val="24"/>
          <w:vertAlign w:val="superscript"/>
        </w:rPr>
        <w:t>2</w:t>
      </w:r>
      <w:r>
        <w:rPr>
          <w:rFonts w:ascii="Times New Roman" w:eastAsia="宋体" w:hAnsi="Times New Roman" w:cs="Times New Roman" w:hint="eastAsia"/>
          <w:color w:val="000000" w:themeColor="text1"/>
          <w:kern w:val="0"/>
          <w:sz w:val="24"/>
          <w:szCs w:val="24"/>
        </w:rPr>
        <w:t>，正常情况下，每天冲洗一次，每次</w:t>
      </w:r>
      <w:r>
        <w:rPr>
          <w:rFonts w:ascii="Times New Roman" w:eastAsia="宋体" w:hAnsi="Times New Roman" w:cs="Times New Roman" w:hint="eastAsia"/>
          <w:color w:val="000000" w:themeColor="text1"/>
          <w:kern w:val="0"/>
          <w:sz w:val="24"/>
          <w:szCs w:val="24"/>
        </w:rPr>
        <w:t>1</w:t>
      </w:r>
      <w:r>
        <w:rPr>
          <w:rFonts w:ascii="Times New Roman" w:eastAsia="宋体" w:hAnsi="Times New Roman" w:cs="Times New Roman" w:hint="eastAsia"/>
          <w:color w:val="000000" w:themeColor="text1"/>
          <w:kern w:val="0"/>
          <w:sz w:val="24"/>
          <w:szCs w:val="24"/>
        </w:rPr>
        <w:t>小时则地坪冲洗水用量为</w:t>
      </w:r>
      <w:r>
        <w:rPr>
          <w:rFonts w:ascii="Times New Roman" w:eastAsia="宋体" w:hAnsi="Times New Roman" w:cs="Times New Roman" w:hint="eastAsia"/>
          <w:color w:val="000000" w:themeColor="text1"/>
          <w:kern w:val="0"/>
          <w:sz w:val="24"/>
          <w:szCs w:val="24"/>
        </w:rPr>
        <w:t>5m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/d</w:t>
      </w:r>
      <w:r>
        <w:rPr>
          <w:rFonts w:ascii="Times New Roman" w:eastAsia="宋体" w:hAnsi="Times New Roman" w:cs="Times New Roman" w:hint="eastAsia"/>
          <w:color w:val="000000" w:themeColor="text1"/>
          <w:kern w:val="0"/>
          <w:sz w:val="24"/>
          <w:szCs w:val="24"/>
        </w:rPr>
        <w:t>，地坪冲洗废水产生量以用水量的</w:t>
      </w:r>
      <w:r>
        <w:rPr>
          <w:rFonts w:ascii="Times New Roman" w:eastAsia="宋体" w:hAnsi="Times New Roman" w:cs="Times New Roman" w:hint="eastAsia"/>
          <w:color w:val="000000" w:themeColor="text1"/>
          <w:kern w:val="0"/>
          <w:sz w:val="24"/>
          <w:szCs w:val="24"/>
        </w:rPr>
        <w:t>0.8</w:t>
      </w:r>
      <w:r>
        <w:rPr>
          <w:rFonts w:ascii="Times New Roman" w:eastAsia="宋体" w:hAnsi="Times New Roman" w:cs="Times New Roman" w:hint="eastAsia"/>
          <w:color w:val="000000" w:themeColor="text1"/>
          <w:kern w:val="0"/>
          <w:sz w:val="24"/>
          <w:szCs w:val="24"/>
        </w:rPr>
        <w:t>计，约</w:t>
      </w:r>
      <w:r>
        <w:rPr>
          <w:rFonts w:ascii="Times New Roman" w:eastAsia="宋体" w:hAnsi="Times New Roman" w:cs="Times New Roman" w:hint="eastAsia"/>
          <w:color w:val="000000" w:themeColor="text1"/>
          <w:kern w:val="0"/>
          <w:sz w:val="24"/>
          <w:szCs w:val="24"/>
        </w:rPr>
        <w:t>4m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/d</w:t>
      </w:r>
      <w:r>
        <w:rPr>
          <w:rFonts w:ascii="Times New Roman" w:eastAsia="宋体" w:hAnsi="Times New Roman" w:cs="Times New Roman" w:hint="eastAsia"/>
          <w:color w:val="000000" w:themeColor="text1"/>
          <w:kern w:val="0"/>
          <w:sz w:val="24"/>
          <w:szCs w:val="24"/>
        </w:rPr>
        <w:t>，废水中的主要污染物为</w:t>
      </w:r>
      <w:r>
        <w:rPr>
          <w:rFonts w:ascii="Times New Roman" w:eastAsia="宋体" w:hAnsi="Times New Roman" w:cs="Times New Roman" w:hint="eastAsia"/>
          <w:color w:val="000000" w:themeColor="text1"/>
          <w:kern w:val="0"/>
          <w:sz w:val="24"/>
          <w:szCs w:val="24"/>
        </w:rPr>
        <w:t>SS</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NH</w:t>
      </w:r>
      <w:r>
        <w:rPr>
          <w:rFonts w:ascii="Times New Roman" w:eastAsia="宋体" w:hAnsi="Times New Roman" w:cs="Times New Roman" w:hint="eastAsia"/>
          <w:color w:val="000000" w:themeColor="text1"/>
          <w:kern w:val="0"/>
          <w:sz w:val="24"/>
          <w:szCs w:val="24"/>
          <w:vertAlign w:val="subscript"/>
        </w:rPr>
        <w:t>3</w:t>
      </w:r>
      <w:r>
        <w:rPr>
          <w:rFonts w:ascii="Times New Roman" w:eastAsia="宋体" w:hAnsi="Times New Roman" w:cs="Times New Roman" w:hint="eastAsia"/>
          <w:color w:val="000000" w:themeColor="text1"/>
          <w:kern w:val="0"/>
          <w:sz w:val="24"/>
          <w:szCs w:val="24"/>
        </w:rPr>
        <w:t>-N</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CODcr</w:t>
      </w:r>
      <w:r>
        <w:rPr>
          <w:rFonts w:ascii="Times New Roman" w:eastAsia="宋体" w:hAnsi="Times New Roman" w:cs="Times New Roman" w:hint="eastAsia"/>
          <w:color w:val="000000" w:themeColor="text1"/>
          <w:kern w:val="0"/>
          <w:sz w:val="24"/>
          <w:szCs w:val="24"/>
        </w:rPr>
        <w:t>等，其中</w:t>
      </w:r>
      <w:r>
        <w:rPr>
          <w:rFonts w:ascii="Times New Roman" w:eastAsia="宋体" w:hAnsi="Times New Roman" w:cs="Times New Roman" w:hint="eastAsia"/>
          <w:color w:val="000000" w:themeColor="text1"/>
          <w:kern w:val="0"/>
          <w:sz w:val="24"/>
          <w:szCs w:val="24"/>
        </w:rPr>
        <w:t>SS</w:t>
      </w:r>
      <w:r>
        <w:rPr>
          <w:rFonts w:ascii="Times New Roman" w:eastAsia="宋体" w:hAnsi="Times New Roman" w:cs="Times New Roman" w:hint="eastAsia"/>
          <w:color w:val="000000" w:themeColor="text1"/>
          <w:kern w:val="0"/>
          <w:sz w:val="24"/>
          <w:szCs w:val="24"/>
        </w:rPr>
        <w:t>浓度</w:t>
      </w:r>
      <w:r>
        <w:rPr>
          <w:rFonts w:ascii="Times New Roman" w:eastAsia="宋体" w:hAnsi="Times New Roman" w:cs="Times New Roman" w:hint="eastAsia"/>
          <w:color w:val="000000" w:themeColor="text1"/>
          <w:kern w:val="0"/>
          <w:sz w:val="24"/>
          <w:szCs w:val="24"/>
        </w:rPr>
        <w:t>500mg/L</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NH</w:t>
      </w:r>
      <w:r>
        <w:rPr>
          <w:rFonts w:ascii="Times New Roman" w:eastAsia="宋体" w:hAnsi="Times New Roman" w:cs="Times New Roman" w:hint="eastAsia"/>
          <w:color w:val="000000" w:themeColor="text1"/>
          <w:kern w:val="0"/>
          <w:sz w:val="24"/>
          <w:szCs w:val="24"/>
          <w:vertAlign w:val="subscript"/>
        </w:rPr>
        <w:t>3</w:t>
      </w:r>
      <w:r>
        <w:rPr>
          <w:rFonts w:ascii="Times New Roman" w:eastAsia="宋体" w:hAnsi="Times New Roman" w:cs="Times New Roman" w:hint="eastAsia"/>
          <w:color w:val="000000" w:themeColor="text1"/>
          <w:kern w:val="0"/>
          <w:sz w:val="24"/>
          <w:szCs w:val="24"/>
        </w:rPr>
        <w:t>-N</w:t>
      </w:r>
      <w:r>
        <w:rPr>
          <w:rFonts w:ascii="Times New Roman" w:eastAsia="宋体" w:hAnsi="Times New Roman" w:cs="Times New Roman" w:hint="eastAsia"/>
          <w:color w:val="000000" w:themeColor="text1"/>
          <w:kern w:val="0"/>
          <w:sz w:val="24"/>
          <w:szCs w:val="24"/>
        </w:rPr>
        <w:t>浓度</w:t>
      </w:r>
      <w:r>
        <w:rPr>
          <w:rFonts w:ascii="Times New Roman" w:eastAsia="宋体" w:hAnsi="Times New Roman" w:cs="Times New Roman" w:hint="eastAsia"/>
          <w:color w:val="000000" w:themeColor="text1"/>
          <w:kern w:val="0"/>
          <w:sz w:val="24"/>
          <w:szCs w:val="24"/>
        </w:rPr>
        <w:t>50mg/L</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CODcr</w:t>
      </w:r>
      <w:r>
        <w:rPr>
          <w:rFonts w:ascii="Times New Roman" w:eastAsia="宋体" w:hAnsi="Times New Roman" w:cs="Times New Roman" w:hint="eastAsia"/>
          <w:color w:val="000000" w:themeColor="text1"/>
          <w:kern w:val="0"/>
          <w:sz w:val="24"/>
          <w:szCs w:val="24"/>
        </w:rPr>
        <w:t>浓度</w:t>
      </w:r>
      <w:r>
        <w:rPr>
          <w:rFonts w:ascii="Times New Roman" w:eastAsia="宋体" w:hAnsi="Times New Roman" w:cs="Times New Roman" w:hint="eastAsia"/>
          <w:color w:val="000000" w:themeColor="text1"/>
          <w:kern w:val="0"/>
          <w:sz w:val="24"/>
          <w:szCs w:val="24"/>
        </w:rPr>
        <w:t>500mg/L,</w:t>
      </w:r>
      <w:r>
        <w:rPr>
          <w:rFonts w:ascii="Times New Roman" w:eastAsia="宋体" w:hAnsi="Times New Roman" w:cs="Times New Roman" w:hint="eastAsia"/>
          <w:color w:val="000000" w:themeColor="text1"/>
          <w:kern w:val="0"/>
          <w:sz w:val="24"/>
          <w:szCs w:val="24"/>
        </w:rPr>
        <w:t>地坪冲洗废水经收集后，进生产废水收集池，作为祥丰金麦公司磷酸铵装置球磨工段生产补充水。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3</w:t>
      </w:r>
      <w:r>
        <w:rPr>
          <w:rFonts w:ascii="Times New Roman" w:eastAsia="宋体" w:hAnsi="Times New Roman" w:cs="Times New Roman" w:hint="eastAsia"/>
          <w:color w:val="000000" w:themeColor="text1"/>
          <w:kern w:val="0"/>
          <w:sz w:val="24"/>
          <w:szCs w:val="24"/>
        </w:rPr>
        <w:t>）生活污水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本项目劳动定员</w:t>
      </w:r>
      <w:r>
        <w:rPr>
          <w:rFonts w:ascii="Times New Roman" w:eastAsia="宋体" w:hAnsi="Times New Roman" w:cs="Times New Roman" w:hint="eastAsia"/>
          <w:color w:val="000000" w:themeColor="text1"/>
          <w:kern w:val="0"/>
          <w:sz w:val="24"/>
          <w:szCs w:val="24"/>
        </w:rPr>
        <w:t>72</w:t>
      </w:r>
      <w:r>
        <w:rPr>
          <w:rFonts w:ascii="Times New Roman" w:eastAsia="宋体" w:hAnsi="Times New Roman" w:cs="Times New Roman" w:hint="eastAsia"/>
          <w:color w:val="000000" w:themeColor="text1"/>
          <w:kern w:val="0"/>
          <w:sz w:val="24"/>
          <w:szCs w:val="24"/>
        </w:rPr>
        <w:t>人，参考《云南省地方标准</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用水定额》（</w:t>
      </w:r>
      <w:r>
        <w:rPr>
          <w:rFonts w:ascii="Times New Roman" w:eastAsia="宋体" w:hAnsi="Times New Roman" w:cs="Times New Roman"/>
          <w:color w:val="000000" w:themeColor="text1"/>
          <w:kern w:val="0"/>
          <w:sz w:val="24"/>
          <w:szCs w:val="24"/>
        </w:rPr>
        <w:t>DB53/T 168—2013</w:t>
      </w:r>
      <w:r>
        <w:rPr>
          <w:rFonts w:ascii="Times New Roman" w:eastAsia="宋体" w:hAnsi="Times New Roman" w:cs="Times New Roman" w:hint="eastAsia"/>
          <w:color w:val="000000" w:themeColor="text1"/>
          <w:kern w:val="0"/>
          <w:sz w:val="24"/>
          <w:szCs w:val="24"/>
        </w:rPr>
        <w:t>）中城镇居民生活用水定额，员工生活用水量以每人每天</w:t>
      </w:r>
      <w:r>
        <w:rPr>
          <w:rFonts w:ascii="Times New Roman" w:eastAsia="宋体" w:hAnsi="Times New Roman" w:cs="Times New Roman" w:hint="eastAsia"/>
          <w:color w:val="000000" w:themeColor="text1"/>
          <w:kern w:val="0"/>
          <w:sz w:val="24"/>
          <w:szCs w:val="24"/>
        </w:rPr>
        <w:t>100L</w:t>
      </w:r>
      <w:r>
        <w:rPr>
          <w:rFonts w:ascii="Times New Roman" w:eastAsia="宋体" w:hAnsi="Times New Roman" w:cs="Times New Roman" w:hint="eastAsia"/>
          <w:color w:val="000000" w:themeColor="text1"/>
          <w:kern w:val="0"/>
          <w:sz w:val="24"/>
          <w:szCs w:val="24"/>
        </w:rPr>
        <w:t>计，预计本项目生活用水量</w:t>
      </w:r>
      <w:r>
        <w:rPr>
          <w:rFonts w:ascii="Times New Roman" w:eastAsia="宋体" w:hAnsi="Times New Roman" w:cs="Times New Roman" w:hint="eastAsia"/>
          <w:color w:val="000000" w:themeColor="text1"/>
          <w:kern w:val="0"/>
          <w:sz w:val="24"/>
          <w:szCs w:val="24"/>
        </w:rPr>
        <w:t>7.2m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/d</w:t>
      </w:r>
      <w:r>
        <w:rPr>
          <w:rFonts w:ascii="Times New Roman" w:eastAsia="宋体" w:hAnsi="Times New Roman" w:cs="Times New Roman" w:hint="eastAsia"/>
          <w:color w:val="000000" w:themeColor="text1"/>
          <w:kern w:val="0"/>
          <w:sz w:val="24"/>
          <w:szCs w:val="24"/>
        </w:rPr>
        <w:t>，生活污水产生量以用水量的</w:t>
      </w:r>
      <w:r>
        <w:rPr>
          <w:rFonts w:ascii="Times New Roman" w:eastAsia="宋体" w:hAnsi="Times New Roman" w:cs="Times New Roman" w:hint="eastAsia"/>
          <w:color w:val="000000" w:themeColor="text1"/>
          <w:kern w:val="0"/>
          <w:sz w:val="24"/>
          <w:szCs w:val="24"/>
        </w:rPr>
        <w:t>0.8</w:t>
      </w:r>
      <w:r>
        <w:rPr>
          <w:rFonts w:ascii="Times New Roman" w:eastAsia="宋体" w:hAnsi="Times New Roman" w:cs="Times New Roman" w:hint="eastAsia"/>
          <w:color w:val="000000" w:themeColor="text1"/>
          <w:kern w:val="0"/>
          <w:sz w:val="24"/>
          <w:szCs w:val="24"/>
        </w:rPr>
        <w:t>计，预计生活污水产生量</w:t>
      </w:r>
      <w:r>
        <w:rPr>
          <w:rFonts w:ascii="Times New Roman" w:eastAsia="宋体" w:hAnsi="Times New Roman" w:cs="Times New Roman" w:hint="eastAsia"/>
          <w:color w:val="000000" w:themeColor="text1"/>
          <w:kern w:val="0"/>
          <w:sz w:val="24"/>
          <w:szCs w:val="24"/>
        </w:rPr>
        <w:t>5.76m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/d</w:t>
      </w:r>
      <w:r>
        <w:rPr>
          <w:rFonts w:ascii="Times New Roman" w:eastAsia="宋体" w:hAnsi="Times New Roman" w:cs="Times New Roman" w:hint="eastAsia"/>
          <w:color w:val="000000" w:themeColor="text1"/>
          <w:kern w:val="0"/>
          <w:sz w:val="24"/>
          <w:szCs w:val="24"/>
        </w:rPr>
        <w:t>，生活污水中的主要污染物为</w:t>
      </w:r>
      <w:r>
        <w:rPr>
          <w:rFonts w:ascii="Times New Roman" w:eastAsia="宋体" w:hAnsi="Times New Roman" w:cs="Times New Roman" w:hint="eastAsia"/>
          <w:color w:val="000000" w:themeColor="text1"/>
          <w:kern w:val="0"/>
          <w:sz w:val="24"/>
          <w:szCs w:val="24"/>
        </w:rPr>
        <w:t>SS</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CODcr</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BOD</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NH</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-N</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TP</w:t>
      </w:r>
      <w:r>
        <w:rPr>
          <w:rFonts w:ascii="Times New Roman" w:eastAsia="宋体" w:hAnsi="Times New Roman" w:cs="Times New Roman" w:hint="eastAsia"/>
          <w:color w:val="000000" w:themeColor="text1"/>
          <w:kern w:val="0"/>
          <w:sz w:val="24"/>
          <w:szCs w:val="24"/>
        </w:rPr>
        <w:t>，其中</w:t>
      </w:r>
      <w:r>
        <w:rPr>
          <w:rFonts w:ascii="Times New Roman" w:eastAsia="宋体" w:hAnsi="Times New Roman" w:cs="Times New Roman" w:hint="eastAsia"/>
          <w:color w:val="000000" w:themeColor="text1"/>
          <w:kern w:val="0"/>
          <w:sz w:val="24"/>
          <w:szCs w:val="24"/>
        </w:rPr>
        <w:t>SS</w:t>
      </w:r>
      <w:r>
        <w:rPr>
          <w:rFonts w:ascii="Times New Roman" w:eastAsia="宋体" w:hAnsi="Times New Roman" w:cs="Times New Roman" w:hint="eastAsia"/>
          <w:color w:val="000000" w:themeColor="text1"/>
          <w:kern w:val="0"/>
          <w:sz w:val="24"/>
          <w:szCs w:val="24"/>
        </w:rPr>
        <w:t>浓度</w:t>
      </w:r>
      <w:r>
        <w:rPr>
          <w:rFonts w:ascii="Times New Roman" w:eastAsia="宋体" w:hAnsi="Times New Roman" w:cs="Times New Roman" w:hint="eastAsia"/>
          <w:color w:val="000000" w:themeColor="text1"/>
          <w:kern w:val="0"/>
          <w:sz w:val="24"/>
          <w:szCs w:val="24"/>
        </w:rPr>
        <w:t>200mg/L</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CODcr</w:t>
      </w:r>
      <w:r>
        <w:rPr>
          <w:rFonts w:ascii="Times New Roman" w:eastAsia="宋体" w:hAnsi="Times New Roman" w:cs="Times New Roman" w:hint="eastAsia"/>
          <w:color w:val="000000" w:themeColor="text1"/>
          <w:kern w:val="0"/>
          <w:sz w:val="24"/>
          <w:szCs w:val="24"/>
        </w:rPr>
        <w:t>浓度</w:t>
      </w:r>
      <w:r>
        <w:rPr>
          <w:rFonts w:ascii="Times New Roman" w:eastAsia="宋体" w:hAnsi="Times New Roman" w:cs="Times New Roman" w:hint="eastAsia"/>
          <w:color w:val="000000" w:themeColor="text1"/>
          <w:kern w:val="0"/>
          <w:sz w:val="24"/>
          <w:szCs w:val="24"/>
        </w:rPr>
        <w:t>350mg/L</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BOD</w:t>
      </w:r>
      <w:r>
        <w:rPr>
          <w:rFonts w:ascii="Times New Roman" w:eastAsia="宋体" w:hAnsi="Times New Roman" w:cs="Times New Roman" w:hint="eastAsia"/>
          <w:color w:val="000000" w:themeColor="text1"/>
          <w:kern w:val="0"/>
          <w:sz w:val="24"/>
          <w:szCs w:val="24"/>
        </w:rPr>
        <w:t>浓度</w:t>
      </w:r>
      <w:r>
        <w:rPr>
          <w:rFonts w:ascii="Times New Roman" w:eastAsia="宋体" w:hAnsi="Times New Roman" w:cs="Times New Roman" w:hint="eastAsia"/>
          <w:color w:val="000000" w:themeColor="text1"/>
          <w:kern w:val="0"/>
          <w:sz w:val="24"/>
          <w:szCs w:val="24"/>
        </w:rPr>
        <w:t>150mg/L</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NH3-N</w:t>
      </w:r>
      <w:r>
        <w:rPr>
          <w:rFonts w:ascii="Times New Roman" w:eastAsia="宋体" w:hAnsi="Times New Roman" w:cs="Times New Roman" w:hint="eastAsia"/>
          <w:color w:val="000000" w:themeColor="text1"/>
          <w:kern w:val="0"/>
          <w:sz w:val="24"/>
          <w:szCs w:val="24"/>
        </w:rPr>
        <w:t>浓度</w:t>
      </w:r>
      <w:r>
        <w:rPr>
          <w:rFonts w:ascii="Times New Roman" w:eastAsia="宋体" w:hAnsi="Times New Roman" w:cs="Times New Roman" w:hint="eastAsia"/>
          <w:color w:val="000000" w:themeColor="text1"/>
          <w:kern w:val="0"/>
          <w:sz w:val="24"/>
          <w:szCs w:val="24"/>
        </w:rPr>
        <w:t>35mg/L</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TP</w:t>
      </w:r>
      <w:r>
        <w:rPr>
          <w:rFonts w:ascii="Times New Roman" w:eastAsia="宋体" w:hAnsi="Times New Roman" w:cs="Times New Roman" w:hint="eastAsia"/>
          <w:color w:val="000000" w:themeColor="text1"/>
          <w:kern w:val="0"/>
          <w:sz w:val="24"/>
          <w:szCs w:val="24"/>
        </w:rPr>
        <w:t>浓度</w:t>
      </w:r>
      <w:r>
        <w:rPr>
          <w:rFonts w:ascii="Times New Roman" w:eastAsia="宋体" w:hAnsi="Times New Roman" w:cs="Times New Roman" w:hint="eastAsia"/>
          <w:color w:val="000000" w:themeColor="text1"/>
          <w:kern w:val="0"/>
          <w:sz w:val="24"/>
          <w:szCs w:val="24"/>
        </w:rPr>
        <w:t>15mg/L</w:t>
      </w:r>
      <w:r>
        <w:rPr>
          <w:rFonts w:ascii="Times New Roman" w:eastAsia="宋体" w:hAnsi="Times New Roman" w:cs="Times New Roman" w:hint="eastAsia"/>
          <w:color w:val="000000" w:themeColor="text1"/>
          <w:kern w:val="0"/>
          <w:sz w:val="24"/>
          <w:szCs w:val="24"/>
        </w:rPr>
        <w:t>。生活污水依托在建合成氨装置生活污水处理站处理后，回用于绿化不外排。</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4</w:t>
      </w:r>
      <w:r>
        <w:rPr>
          <w:rFonts w:ascii="Times New Roman" w:eastAsia="宋体" w:hAnsi="Times New Roman" w:cs="Times New Roman" w:hint="eastAsia"/>
          <w:color w:val="000000" w:themeColor="text1"/>
          <w:kern w:val="0"/>
          <w:sz w:val="24"/>
          <w:szCs w:val="24"/>
        </w:rPr>
        <w:t>）化验废水</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项目化验废水主要对产品指标监测化验分析废水，废水产生量约</w:t>
      </w:r>
      <w:r>
        <w:rPr>
          <w:rFonts w:ascii="Times New Roman" w:eastAsia="宋体" w:hAnsi="Times New Roman" w:cs="Times New Roman" w:hint="eastAsia"/>
          <w:color w:val="000000" w:themeColor="text1"/>
          <w:kern w:val="0"/>
          <w:sz w:val="24"/>
          <w:szCs w:val="24"/>
        </w:rPr>
        <w:t>2.0m</w:t>
      </w:r>
      <w:r>
        <w:rPr>
          <w:rFonts w:ascii="Times New Roman" w:eastAsia="宋体" w:hAnsi="Times New Roman" w:cs="Times New Roman" w:hint="eastAsia"/>
          <w:color w:val="000000" w:themeColor="text1"/>
          <w:kern w:val="0"/>
          <w:sz w:val="24"/>
          <w:szCs w:val="24"/>
          <w:vertAlign w:val="superscript"/>
        </w:rPr>
        <w:t>3</w:t>
      </w:r>
      <w:r>
        <w:rPr>
          <w:rFonts w:ascii="Times New Roman" w:eastAsia="宋体" w:hAnsi="Times New Roman" w:cs="Times New Roman" w:hint="eastAsia"/>
          <w:color w:val="000000" w:themeColor="text1"/>
          <w:kern w:val="0"/>
          <w:sz w:val="24"/>
          <w:szCs w:val="24"/>
        </w:rPr>
        <w:t>/d</w:t>
      </w:r>
      <w:r>
        <w:rPr>
          <w:rFonts w:ascii="Times New Roman" w:eastAsia="宋体" w:hAnsi="Times New Roman" w:cs="Times New Roman" w:hint="eastAsia"/>
          <w:color w:val="000000" w:themeColor="text1"/>
          <w:kern w:val="0"/>
          <w:sz w:val="24"/>
          <w:szCs w:val="24"/>
        </w:rPr>
        <w:t>，废水进入产废水收集池，作为祥丰金麦公司磷酸铵装置球磨工段生产补充水。</w:t>
      </w:r>
    </w:p>
    <w:p w:rsidR="00C861DA" w:rsidRDefault="0044752E">
      <w:pPr>
        <w:pStyle w:val="32"/>
        <w:rPr>
          <w:rFonts w:ascii="Times New Roman" w:eastAsia="宋体"/>
          <w:bCs w:val="0"/>
          <w:color w:val="000000" w:themeColor="text1"/>
          <w:sz w:val="24"/>
          <w:szCs w:val="24"/>
        </w:rPr>
      </w:pPr>
      <w:bookmarkStart w:id="241" w:name="_Toc6826805"/>
      <w:r>
        <w:rPr>
          <w:rFonts w:ascii="Times New Roman" w:eastAsia="宋体" w:hint="eastAsia"/>
          <w:bCs w:val="0"/>
          <w:color w:val="000000" w:themeColor="text1"/>
          <w:sz w:val="24"/>
          <w:szCs w:val="24"/>
        </w:rPr>
        <w:t>4.4.3</w:t>
      </w:r>
      <w:r>
        <w:rPr>
          <w:rFonts w:ascii="Times New Roman" w:eastAsia="宋体" w:hint="eastAsia"/>
          <w:bCs w:val="0"/>
          <w:color w:val="000000" w:themeColor="text1"/>
          <w:sz w:val="24"/>
          <w:szCs w:val="24"/>
        </w:rPr>
        <w:t>噪声</w:t>
      </w:r>
      <w:bookmarkEnd w:id="241"/>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本项目生产噪声主要来源于机组、压缩机、各种风机、各种泵类等机械动力设备，频谱特征大部分以中低频为主</w:t>
      </w:r>
      <w:r>
        <w:rPr>
          <w:rFonts w:ascii="Times New Roman" w:eastAsia="宋体" w:hAnsi="Times New Roman" w:cs="Times New Roman" w:hint="eastAsia"/>
          <w:color w:val="000000" w:themeColor="text1"/>
          <w:kern w:val="0"/>
          <w:sz w:val="24"/>
          <w:szCs w:val="24"/>
        </w:rPr>
        <w:t xml:space="preserve"> </w:t>
      </w:r>
      <w:r>
        <w:rPr>
          <w:rFonts w:ascii="Times New Roman" w:eastAsia="宋体" w:hAnsi="Times New Roman" w:cs="Times New Roman" w:hint="eastAsia"/>
          <w:color w:val="000000" w:themeColor="text1"/>
          <w:kern w:val="0"/>
          <w:sz w:val="24"/>
          <w:szCs w:val="24"/>
        </w:rPr>
        <w:t>运输车辆在料运输过程中产生</w:t>
      </w:r>
      <w:r>
        <w:rPr>
          <w:rFonts w:ascii="Times New Roman" w:eastAsia="宋体" w:hAnsi="Times New Roman" w:cs="Times New Roman" w:hint="eastAsia"/>
          <w:color w:val="000000" w:themeColor="text1"/>
          <w:kern w:val="0"/>
          <w:sz w:val="24"/>
          <w:szCs w:val="24"/>
        </w:rPr>
        <w:t xml:space="preserve"> </w:t>
      </w:r>
      <w:r>
        <w:rPr>
          <w:rFonts w:ascii="Times New Roman" w:eastAsia="宋体" w:hAnsi="Times New Roman" w:cs="Times New Roman" w:hint="eastAsia"/>
          <w:color w:val="000000" w:themeColor="text1"/>
          <w:kern w:val="0"/>
          <w:sz w:val="24"/>
          <w:szCs w:val="24"/>
        </w:rPr>
        <w:t>的运输噪声。</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对各主要噪声源的防治，首先选取低噪声设备，从噪声源头控制陆地声产生的强度，其次，隔断噪声传播途径，对空压机、风机、压缩机等产噪设备应进行单独布置，对其它产噪设备应安装防振、</w:t>
      </w:r>
      <w:r>
        <w:rPr>
          <w:rFonts w:ascii="Times New Roman" w:eastAsia="宋体" w:hAnsi="Times New Roman" w:cs="Times New Roman" w:hint="eastAsia"/>
          <w:color w:val="000000" w:themeColor="text1"/>
          <w:kern w:val="0"/>
          <w:sz w:val="24"/>
          <w:szCs w:val="24"/>
        </w:rPr>
        <w:t xml:space="preserve"> </w:t>
      </w:r>
      <w:r>
        <w:rPr>
          <w:rFonts w:ascii="Times New Roman" w:eastAsia="宋体" w:hAnsi="Times New Roman" w:cs="Times New Roman" w:hint="eastAsia"/>
          <w:color w:val="000000" w:themeColor="text1"/>
          <w:kern w:val="0"/>
          <w:sz w:val="24"/>
          <w:szCs w:val="24"/>
        </w:rPr>
        <w:t>咸振、隔音、阻尼材料等，第三应特别加强受体保护，发放必要的</w:t>
      </w:r>
      <w:r>
        <w:rPr>
          <w:rFonts w:ascii="Times New Roman" w:eastAsia="宋体" w:hAnsi="Times New Roman" w:cs="Times New Roman" w:hint="eastAsia"/>
          <w:color w:val="000000" w:themeColor="text1"/>
          <w:kern w:val="0"/>
          <w:sz w:val="24"/>
          <w:szCs w:val="24"/>
        </w:rPr>
        <w:t xml:space="preserve"> </w:t>
      </w:r>
      <w:r>
        <w:rPr>
          <w:rFonts w:ascii="Times New Roman" w:eastAsia="宋体" w:hAnsi="Times New Roman" w:cs="Times New Roman" w:hint="eastAsia"/>
          <w:color w:val="000000" w:themeColor="text1"/>
          <w:kern w:val="0"/>
          <w:sz w:val="24"/>
          <w:szCs w:val="24"/>
        </w:rPr>
        <w:t>护用品</w:t>
      </w:r>
      <w:r>
        <w:rPr>
          <w:rFonts w:ascii="Times New Roman" w:eastAsia="宋体" w:hAnsi="Times New Roman" w:cs="Times New Roman" w:hint="eastAsia"/>
          <w:color w:val="000000" w:themeColor="text1"/>
          <w:kern w:val="0"/>
          <w:sz w:val="24"/>
          <w:szCs w:val="24"/>
        </w:rPr>
        <w:t xml:space="preserve"> </w:t>
      </w:r>
      <w:r>
        <w:rPr>
          <w:rFonts w:ascii="Times New Roman" w:eastAsia="宋体" w:hAnsi="Times New Roman" w:cs="Times New Roman" w:hint="eastAsia"/>
          <w:color w:val="000000" w:themeColor="text1"/>
          <w:kern w:val="0"/>
          <w:sz w:val="24"/>
          <w:szCs w:val="24"/>
        </w:rPr>
        <w:t>。在采取以上措施后可不同程度地降低噪声对周围环境和职工健康的影响</w:t>
      </w:r>
      <w:r>
        <w:rPr>
          <w:rFonts w:ascii="Times New Roman" w:eastAsia="宋体" w:hAnsi="Times New Roman" w:cs="Times New Roman" w:hint="eastAsia"/>
          <w:color w:val="000000" w:themeColor="text1"/>
          <w:kern w:val="0"/>
          <w:sz w:val="24"/>
          <w:szCs w:val="24"/>
        </w:rPr>
        <w:t xml:space="preserve"> </w:t>
      </w:r>
      <w:r>
        <w:rPr>
          <w:rFonts w:ascii="Times New Roman" w:eastAsia="宋体" w:hAnsi="Times New Roman" w:cs="Times New Roman" w:hint="eastAsia"/>
          <w:color w:val="000000" w:themeColor="text1"/>
          <w:kern w:val="0"/>
          <w:sz w:val="24"/>
          <w:szCs w:val="24"/>
        </w:rPr>
        <w:t>。本项目各类峡声源及配套治理措施见表</w:t>
      </w:r>
      <w:r>
        <w:rPr>
          <w:rFonts w:ascii="Times New Roman" w:eastAsia="宋体" w:hAnsi="Times New Roman" w:cs="Times New Roman" w:hint="eastAsia"/>
          <w:color w:val="000000" w:themeColor="text1"/>
          <w:kern w:val="0"/>
          <w:sz w:val="24"/>
          <w:szCs w:val="24"/>
        </w:rPr>
        <w:t xml:space="preserve"> 4.4-14</w:t>
      </w:r>
      <w:r>
        <w:rPr>
          <w:rFonts w:ascii="Times New Roman" w:eastAsia="宋体" w:hAnsi="Times New Roman" w:cs="Times New Roman" w:hint="eastAsia"/>
          <w:color w:val="000000" w:themeColor="text1"/>
          <w:kern w:val="0"/>
          <w:sz w:val="24"/>
          <w:szCs w:val="24"/>
        </w:rPr>
        <w:t>。</w:t>
      </w:r>
    </w:p>
    <w:p w:rsidR="00C861DA" w:rsidRDefault="0044752E">
      <w:pPr>
        <w:widowControl/>
        <w:autoSpaceDE/>
        <w:autoSpaceDN/>
        <w:snapToGrid w:val="0"/>
        <w:spacing w:line="360" w:lineRule="auto"/>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表</w:t>
      </w:r>
      <w:r>
        <w:rPr>
          <w:rFonts w:ascii="Times New Roman" w:eastAsia="宋体" w:hAnsi="Times New Roman" w:cs="Times New Roman" w:hint="eastAsia"/>
          <w:color w:val="000000" w:themeColor="text1"/>
          <w:kern w:val="0"/>
          <w:sz w:val="24"/>
          <w:szCs w:val="24"/>
        </w:rPr>
        <w:t xml:space="preserve">4.4-14      </w:t>
      </w:r>
      <w:r>
        <w:rPr>
          <w:rFonts w:ascii="Times New Roman" w:eastAsia="宋体" w:hAnsi="Times New Roman" w:cs="Times New Roman" w:hint="eastAsia"/>
          <w:color w:val="000000" w:themeColor="text1"/>
          <w:kern w:val="0"/>
          <w:sz w:val="24"/>
          <w:szCs w:val="24"/>
        </w:rPr>
        <w:t>项目生产噪声源及配套治理措施</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992"/>
        <w:gridCol w:w="851"/>
        <w:gridCol w:w="2740"/>
        <w:gridCol w:w="1421"/>
      </w:tblGrid>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序号</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噪声源名称</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数量（台）</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噪声级</w:t>
            </w:r>
            <w:r>
              <w:rPr>
                <w:rFonts w:ascii="Times New Roman" w:eastAsia="宋体" w:hAnsi="Times New Roman" w:cs="Times New Roman"/>
                <w:color w:val="000000" w:themeColor="text1"/>
                <w:kern w:val="0"/>
              </w:rPr>
              <w:t>dB(A)</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减噪措施</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减噪后噪声级</w:t>
            </w:r>
            <w:r>
              <w:rPr>
                <w:rFonts w:ascii="Times New Roman" w:eastAsia="宋体" w:hAnsi="Times New Roman" w:cs="Times New Roman"/>
                <w:color w:val="000000" w:themeColor="text1"/>
                <w:kern w:val="0"/>
              </w:rPr>
              <w:t>dB(A)</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一</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稀硝酸生产</w:t>
            </w:r>
          </w:p>
        </w:tc>
        <w:tc>
          <w:tcPr>
            <w:tcW w:w="992"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rPr>
            </w:pPr>
          </w:p>
        </w:tc>
        <w:tc>
          <w:tcPr>
            <w:tcW w:w="851"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rPr>
            </w:pPr>
          </w:p>
        </w:tc>
        <w:tc>
          <w:tcPr>
            <w:tcW w:w="2740"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rPr>
            </w:pPr>
          </w:p>
        </w:tc>
        <w:tc>
          <w:tcPr>
            <w:tcW w:w="1421"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rPr>
            </w:pP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氨蒸发器</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3</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90</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基础减震</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75</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2</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四合一机组</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95</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设隔音操作室，基础减振</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75</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3</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蒸汽透平</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95</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基础减震、设消音器</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75</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4</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尾气膨胀机</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95</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设隔音操作室，基础减振</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75</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5</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空气压缩机</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95</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基础减振，设置消音设施</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75</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6</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氧化氮压缩机</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95</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基础减振，设置消音设施</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75</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7</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尾气透平</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95</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基础减振，设置消音设施</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75</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二</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硝酸铵生产</w:t>
            </w:r>
          </w:p>
        </w:tc>
        <w:tc>
          <w:tcPr>
            <w:tcW w:w="992"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851"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rPr>
            </w:pPr>
          </w:p>
        </w:tc>
        <w:tc>
          <w:tcPr>
            <w:tcW w:w="2740"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rPr>
            </w:pPr>
          </w:p>
        </w:tc>
        <w:tc>
          <w:tcPr>
            <w:tcW w:w="1421"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rPr>
            </w:pP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氨过热器</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90</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基础减震</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75</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2</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高压气液混合反应器</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90</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基础减震</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75</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3</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反应器分离器</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90</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基础减震</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75</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4</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各类泵</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10</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85</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基础减震</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70</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5</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风机</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2</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85</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基础减振，设置消音设施</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65</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三</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硝基复合肥</w:t>
            </w:r>
          </w:p>
        </w:tc>
        <w:tc>
          <w:tcPr>
            <w:tcW w:w="992"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851"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rPr>
            </w:pPr>
          </w:p>
        </w:tc>
        <w:tc>
          <w:tcPr>
            <w:tcW w:w="2740"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rPr>
            </w:pPr>
          </w:p>
        </w:tc>
        <w:tc>
          <w:tcPr>
            <w:tcW w:w="1421"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rPr>
            </w:pP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造粒塔引风机</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4</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85</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基础减振，设置消音设施</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65</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四</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尿素生产</w:t>
            </w:r>
          </w:p>
        </w:tc>
        <w:tc>
          <w:tcPr>
            <w:tcW w:w="992"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851"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2740"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1421"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CO2</w:t>
            </w:r>
            <w:r>
              <w:rPr>
                <w:rFonts w:ascii="Times New Roman" w:eastAsia="宋体" w:hAnsi="Times New Roman" w:cs="Times New Roman"/>
                <w:color w:val="000000" w:themeColor="text1"/>
                <w:kern w:val="0"/>
                <w:sz w:val="22"/>
              </w:rPr>
              <w:t>压缩机</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95</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基础减振，设置消音设施</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75</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2</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各类泵</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41</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85</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基础减震</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70</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3</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除尘风机</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2</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85</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基础减振，设置消音设施</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65</w:t>
            </w: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五</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尿基复合肥生产</w:t>
            </w:r>
          </w:p>
        </w:tc>
        <w:tc>
          <w:tcPr>
            <w:tcW w:w="992"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851"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2740"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c>
          <w:tcPr>
            <w:tcW w:w="1421" w:type="dxa"/>
            <w:vAlign w:val="center"/>
          </w:tcPr>
          <w:p w:rsidR="00C861DA" w:rsidRDefault="00C861DA">
            <w:pPr>
              <w:widowControl/>
              <w:autoSpaceDE/>
              <w:autoSpaceDN/>
              <w:snapToGrid w:val="0"/>
              <w:jc w:val="center"/>
              <w:rPr>
                <w:rFonts w:ascii="Times New Roman" w:eastAsia="宋体" w:hAnsi="Times New Roman" w:cs="Times New Roman"/>
                <w:color w:val="000000" w:themeColor="text1"/>
                <w:kern w:val="0"/>
                <w:sz w:val="22"/>
              </w:rPr>
            </w:pPr>
          </w:p>
        </w:tc>
      </w:tr>
      <w:tr w:rsidR="00C861DA">
        <w:trPr>
          <w:trHeight w:val="340"/>
        </w:trPr>
        <w:tc>
          <w:tcPr>
            <w:tcW w:w="675"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1</w:t>
            </w:r>
          </w:p>
        </w:tc>
        <w:tc>
          <w:tcPr>
            <w:tcW w:w="1843"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造粒塔引风机</w:t>
            </w:r>
          </w:p>
        </w:tc>
        <w:tc>
          <w:tcPr>
            <w:tcW w:w="992"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4</w:t>
            </w:r>
          </w:p>
        </w:tc>
        <w:tc>
          <w:tcPr>
            <w:tcW w:w="85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85</w:t>
            </w:r>
          </w:p>
        </w:tc>
        <w:tc>
          <w:tcPr>
            <w:tcW w:w="2740"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基础减振，设置消音设施</w:t>
            </w:r>
          </w:p>
        </w:tc>
        <w:tc>
          <w:tcPr>
            <w:tcW w:w="1421" w:type="dxa"/>
            <w:vAlign w:val="center"/>
          </w:tcPr>
          <w:p w:rsidR="00C861DA" w:rsidRDefault="0044752E">
            <w:pPr>
              <w:widowControl/>
              <w:autoSpaceDE/>
              <w:autoSpaceDN/>
              <w:snapToGrid w:val="0"/>
              <w:jc w:val="center"/>
              <w:rPr>
                <w:rFonts w:ascii="Times New Roman" w:eastAsia="宋体" w:hAnsi="Times New Roman" w:cs="Times New Roman"/>
                <w:color w:val="000000" w:themeColor="text1"/>
                <w:kern w:val="0"/>
                <w:sz w:val="22"/>
              </w:rPr>
            </w:pPr>
            <w:r>
              <w:rPr>
                <w:rFonts w:ascii="Times New Roman" w:eastAsia="宋体" w:hAnsi="Times New Roman" w:cs="Times New Roman"/>
                <w:color w:val="000000" w:themeColor="text1"/>
                <w:kern w:val="0"/>
                <w:sz w:val="22"/>
              </w:rPr>
              <w:t>65</w:t>
            </w:r>
          </w:p>
        </w:tc>
      </w:tr>
    </w:tbl>
    <w:p w:rsidR="00C861DA" w:rsidRDefault="00C861DA">
      <w:pPr>
        <w:widowControl/>
        <w:autoSpaceDE/>
        <w:autoSpaceDN/>
        <w:snapToGrid w:val="0"/>
        <w:spacing w:line="360" w:lineRule="auto"/>
        <w:rPr>
          <w:rFonts w:ascii="Tahoma" w:eastAsia="微软雅黑" w:hAnsi="Tahoma" w:cs="Times New Roman"/>
          <w:color w:val="000000" w:themeColor="text1"/>
          <w:kern w:val="0"/>
          <w:sz w:val="22"/>
          <w:szCs w:val="22"/>
        </w:rPr>
      </w:pPr>
    </w:p>
    <w:p w:rsidR="00C861DA" w:rsidRDefault="0044752E">
      <w:pPr>
        <w:pStyle w:val="32"/>
        <w:rPr>
          <w:rFonts w:ascii="Times New Roman" w:eastAsia="宋体"/>
          <w:bCs w:val="0"/>
          <w:color w:val="000000" w:themeColor="text1"/>
          <w:sz w:val="24"/>
          <w:szCs w:val="24"/>
        </w:rPr>
      </w:pPr>
      <w:bookmarkStart w:id="242" w:name="_Toc6826806"/>
      <w:r>
        <w:rPr>
          <w:rFonts w:ascii="Times New Roman" w:eastAsia="宋体" w:hint="eastAsia"/>
          <w:bCs w:val="0"/>
          <w:color w:val="000000" w:themeColor="text1"/>
          <w:sz w:val="24"/>
          <w:szCs w:val="24"/>
        </w:rPr>
        <w:t>4.4.4</w:t>
      </w:r>
      <w:r>
        <w:rPr>
          <w:rFonts w:ascii="Times New Roman" w:eastAsia="宋体" w:hint="eastAsia"/>
          <w:bCs w:val="0"/>
          <w:color w:val="000000" w:themeColor="text1"/>
          <w:sz w:val="24"/>
          <w:szCs w:val="24"/>
        </w:rPr>
        <w:t>固体废物</w:t>
      </w:r>
      <w:bookmarkEnd w:id="242"/>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）生产固废</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S1</w:t>
      </w:r>
      <w:r>
        <w:rPr>
          <w:rFonts w:ascii="Times New Roman" w:eastAsia="宋体" w:hAnsi="Times New Roman" w:cs="Times New Roman" w:hint="eastAsia"/>
          <w:color w:val="000000" w:themeColor="text1"/>
          <w:kern w:val="1"/>
          <w:sz w:val="24"/>
          <w:szCs w:val="24"/>
        </w:rPr>
        <w:t>：液氨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气氨过滤废滤料</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在生产过程中，为避免过滤杂质导致滤料发生堵塞，影响生产，需对液氨</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气氨过滤器进行检修，一般每</w:t>
      </w:r>
      <w:r>
        <w:rPr>
          <w:rFonts w:ascii="Times New Roman" w:eastAsia="宋体" w:hAnsi="Times New Roman" w:cs="Times New Roman" w:hint="eastAsia"/>
          <w:color w:val="000000" w:themeColor="text1"/>
          <w:kern w:val="1"/>
          <w:sz w:val="24"/>
          <w:szCs w:val="24"/>
        </w:rPr>
        <w:t>1</w:t>
      </w:r>
      <w:r>
        <w:rPr>
          <w:rFonts w:ascii="Times New Roman" w:eastAsia="宋体" w:hAnsi="Times New Roman" w:cs="Times New Roman" w:hint="eastAsia"/>
          <w:color w:val="000000" w:themeColor="text1"/>
          <w:kern w:val="1"/>
          <w:sz w:val="24"/>
          <w:szCs w:val="24"/>
        </w:rPr>
        <w:t>年检修一次，产生量</w:t>
      </w:r>
      <w:r>
        <w:rPr>
          <w:rFonts w:ascii="Times New Roman" w:eastAsia="宋体" w:hAnsi="Times New Roman" w:cs="Times New Roman" w:hint="eastAsia"/>
          <w:color w:val="000000" w:themeColor="text1"/>
          <w:kern w:val="1"/>
          <w:sz w:val="24"/>
          <w:szCs w:val="24"/>
        </w:rPr>
        <w:t>5kg/</w:t>
      </w:r>
      <w:r>
        <w:rPr>
          <w:rFonts w:ascii="Times New Roman" w:eastAsia="宋体" w:hAnsi="Times New Roman" w:cs="Times New Roman" w:hint="eastAsia"/>
          <w:color w:val="000000" w:themeColor="text1"/>
          <w:kern w:val="1"/>
          <w:sz w:val="24"/>
          <w:szCs w:val="24"/>
        </w:rPr>
        <w:t>次，检修更换的废滤料由滤料供货厂家更换新滤料时回收。</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2</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S2</w:t>
      </w:r>
      <w:r>
        <w:rPr>
          <w:rFonts w:ascii="Times New Roman" w:eastAsia="宋体" w:hAnsi="Times New Roman" w:cs="Times New Roman" w:hint="eastAsia"/>
          <w:color w:val="000000" w:themeColor="text1"/>
          <w:kern w:val="1"/>
          <w:sz w:val="24"/>
          <w:szCs w:val="24"/>
        </w:rPr>
        <w:t>：氧化炉废催化剂</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项目生产过程中，</w:t>
      </w:r>
      <w:r>
        <w:rPr>
          <w:rFonts w:ascii="Times New Roman" w:eastAsia="宋体" w:hAnsi="Times New Roman" w:cs="Times New Roman"/>
          <w:color w:val="000000" w:themeColor="text1"/>
          <w:kern w:val="1"/>
          <w:sz w:val="24"/>
          <w:szCs w:val="24"/>
        </w:rPr>
        <w:t>氨和空气的混合气首先经氧化炉顶部的分配筛板均匀分布在铂网上，进行氨的催化氧化</w:t>
      </w:r>
      <w:r>
        <w:rPr>
          <w:rFonts w:ascii="Times New Roman" w:eastAsia="宋体" w:hAnsi="Times New Roman" w:cs="Times New Roman" w:hint="eastAsia"/>
          <w:color w:val="000000" w:themeColor="text1"/>
          <w:kern w:val="1"/>
          <w:sz w:val="24"/>
          <w:szCs w:val="24"/>
        </w:rPr>
        <w:t>。双加压工艺铂耗约</w:t>
      </w:r>
      <w:r>
        <w:rPr>
          <w:rFonts w:ascii="Times New Roman" w:eastAsia="宋体" w:hAnsi="Times New Roman" w:cs="Times New Roman" w:hint="eastAsia"/>
          <w:color w:val="000000" w:themeColor="text1"/>
          <w:kern w:val="1"/>
          <w:sz w:val="24"/>
          <w:szCs w:val="24"/>
        </w:rPr>
        <w:t>120mg/t</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100%HNO3</w:t>
      </w:r>
      <w:r>
        <w:rPr>
          <w:rFonts w:ascii="Times New Roman" w:eastAsia="宋体" w:hAnsi="Times New Roman" w:cs="Times New Roman" w:hint="eastAsia"/>
          <w:color w:val="000000" w:themeColor="text1"/>
          <w:kern w:val="1"/>
          <w:sz w:val="24"/>
          <w:szCs w:val="24"/>
        </w:rPr>
        <w:t>），一</w:t>
      </w:r>
      <w:r>
        <w:rPr>
          <w:rFonts w:ascii="Times New Roman" w:eastAsia="宋体" w:hAnsi="Times New Roman" w:cs="Times New Roman"/>
          <w:color w:val="000000" w:themeColor="text1"/>
          <w:kern w:val="1"/>
          <w:sz w:val="24"/>
          <w:szCs w:val="24"/>
        </w:rPr>
        <w:t xml:space="preserve"> </w:t>
      </w:r>
      <w:r>
        <w:rPr>
          <w:rFonts w:ascii="Times New Roman" w:eastAsia="宋体" w:hAnsi="Times New Roman" w:cs="Times New Roman"/>
          <w:color w:val="000000" w:themeColor="text1"/>
          <w:kern w:val="1"/>
          <w:sz w:val="24"/>
          <w:szCs w:val="24"/>
        </w:rPr>
        <w:t>般每半年换</w:t>
      </w:r>
      <w:r>
        <w:rPr>
          <w:rFonts w:ascii="Times New Roman" w:eastAsia="宋体" w:hAnsi="Times New Roman" w:cs="Times New Roman" w:hint="eastAsia"/>
          <w:color w:val="000000" w:themeColor="text1"/>
          <w:kern w:val="1"/>
          <w:sz w:val="24"/>
          <w:szCs w:val="24"/>
        </w:rPr>
        <w:t>一</w:t>
      </w:r>
      <w:r>
        <w:rPr>
          <w:rFonts w:ascii="Times New Roman" w:eastAsia="宋体" w:hAnsi="Times New Roman" w:cs="Times New Roman"/>
          <w:color w:val="000000" w:themeColor="text1"/>
          <w:kern w:val="1"/>
          <w:sz w:val="24"/>
          <w:szCs w:val="24"/>
        </w:rPr>
        <w:t>次，主要</w:t>
      </w:r>
      <w:r>
        <w:rPr>
          <w:rFonts w:ascii="Times New Roman" w:eastAsia="宋体" w:hAnsi="Times New Roman" w:cs="Times New Roman" w:hint="eastAsia"/>
          <w:color w:val="000000" w:themeColor="text1"/>
          <w:kern w:val="1"/>
          <w:sz w:val="24"/>
          <w:szCs w:val="24"/>
        </w:rPr>
        <w:t>成分</w:t>
      </w:r>
      <w:r>
        <w:rPr>
          <w:rFonts w:ascii="Times New Roman" w:eastAsia="宋体" w:hAnsi="Times New Roman" w:cs="Times New Roman"/>
          <w:color w:val="000000" w:themeColor="text1"/>
          <w:kern w:val="1"/>
          <w:sz w:val="24"/>
          <w:szCs w:val="24"/>
        </w:rPr>
        <w:t>为</w:t>
      </w:r>
      <w:r>
        <w:rPr>
          <w:rFonts w:ascii="Times New Roman" w:eastAsia="宋体" w:hAnsi="Times New Roman" w:cs="Times New Roman" w:hint="eastAsia"/>
          <w:color w:val="000000" w:themeColor="text1"/>
          <w:kern w:val="1"/>
          <w:sz w:val="24"/>
          <w:szCs w:val="24"/>
        </w:rPr>
        <w:t>铂、铑。产生的废催化剂约</w:t>
      </w:r>
      <w:r>
        <w:rPr>
          <w:rFonts w:ascii="Times New Roman" w:eastAsia="宋体" w:hAnsi="Times New Roman" w:cs="Times New Roman" w:hint="eastAsia"/>
          <w:color w:val="000000" w:themeColor="text1"/>
          <w:kern w:val="1"/>
          <w:sz w:val="24"/>
          <w:szCs w:val="24"/>
        </w:rPr>
        <w:t>12.0kg/a</w:t>
      </w:r>
      <w:r>
        <w:rPr>
          <w:rFonts w:ascii="Times New Roman" w:eastAsia="宋体" w:hAnsi="Times New Roman" w:cs="Times New Roman" w:hint="eastAsia"/>
          <w:color w:val="000000" w:themeColor="text1"/>
          <w:kern w:val="1"/>
          <w:sz w:val="24"/>
          <w:szCs w:val="24"/>
        </w:rPr>
        <w:t>，由催化剂供货厂家负责回收。</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3</w:t>
      </w:r>
      <w:r>
        <w:rPr>
          <w:rFonts w:ascii="Times New Roman" w:eastAsia="宋体" w:hAnsi="Times New Roman" w:cs="Times New Roman" w:hint="eastAsia"/>
          <w:color w:val="000000" w:themeColor="text1"/>
          <w:kern w:val="1"/>
          <w:sz w:val="24"/>
          <w:szCs w:val="24"/>
        </w:rPr>
        <w:t>）二氧化碳脱氢废催化剂</w:t>
      </w:r>
    </w:p>
    <w:p w:rsidR="00C861DA" w:rsidRDefault="0044752E">
      <w:pPr>
        <w:widowControl/>
        <w:autoSpaceDE/>
        <w:autoSpaceDN/>
        <w:snapToGrid w:val="0"/>
        <w:spacing w:line="360" w:lineRule="auto"/>
        <w:ind w:firstLine="560"/>
        <w:jc w:val="both"/>
        <w:rPr>
          <w:rFonts w:ascii="Tahoma" w:eastAsia="微软雅黑" w:hAnsi="Tahoma" w:cs="Times New Roman"/>
          <w:color w:val="000000" w:themeColor="text1"/>
          <w:kern w:val="0"/>
          <w:sz w:val="22"/>
          <w:szCs w:val="22"/>
        </w:rPr>
      </w:pPr>
      <w:r>
        <w:rPr>
          <w:rFonts w:ascii="Times New Roman" w:eastAsia="宋体" w:hAnsi="Times New Roman" w:cs="Times New Roman"/>
          <w:color w:val="000000" w:themeColor="text1"/>
          <w:kern w:val="1"/>
          <w:sz w:val="24"/>
          <w:szCs w:val="24"/>
        </w:rPr>
        <w:t>脱氢使用贵金属催化剂</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Pt/Pb</w:t>
      </w:r>
      <w:r>
        <w:rPr>
          <w:rFonts w:ascii="Times New Roman" w:eastAsia="宋体" w:hAnsi="Times New Roman" w:cs="Times New Roman"/>
          <w:color w:val="000000" w:themeColor="text1"/>
          <w:kern w:val="1"/>
          <w:sz w:val="24"/>
          <w:szCs w:val="24"/>
        </w:rPr>
        <w:t>含量约</w:t>
      </w:r>
      <w:r>
        <w:rPr>
          <w:rFonts w:ascii="Times New Roman" w:eastAsia="宋体" w:hAnsi="Times New Roman" w:cs="Times New Roman"/>
          <w:color w:val="000000" w:themeColor="text1"/>
          <w:kern w:val="1"/>
          <w:sz w:val="24"/>
          <w:szCs w:val="24"/>
        </w:rPr>
        <w:t>0.3%</w:t>
      </w:r>
      <w:r>
        <w:rPr>
          <w:rFonts w:ascii="Times New Roman" w:eastAsia="宋体" w:hAnsi="Times New Roman" w:cs="Times New Roman"/>
          <w:color w:val="000000" w:themeColor="text1"/>
          <w:kern w:val="1"/>
          <w:sz w:val="24"/>
          <w:szCs w:val="24"/>
        </w:rPr>
        <w:t>的氧化铝球，装填量约</w:t>
      </w:r>
      <w:r>
        <w:rPr>
          <w:rFonts w:ascii="Times New Roman" w:eastAsia="宋体" w:hAnsi="Times New Roman" w:cs="Times New Roman"/>
          <w:color w:val="000000" w:themeColor="text1"/>
          <w:kern w:val="1"/>
          <w:sz w:val="24"/>
          <w:szCs w:val="24"/>
        </w:rPr>
        <w:t>1.1m</w:t>
      </w:r>
      <w:r>
        <w:rPr>
          <w:rFonts w:ascii="Times New Roman" w:eastAsia="宋体" w:hAnsi="Times New Roman" w:cs="Times New Roman"/>
          <w:color w:val="000000" w:themeColor="text1"/>
          <w:kern w:val="1"/>
          <w:sz w:val="24"/>
          <w:szCs w:val="24"/>
          <w:vertAlign w:val="superscript"/>
        </w:rPr>
        <w:t>3</w:t>
      </w:r>
      <w:r>
        <w:rPr>
          <w:rFonts w:ascii="Times New Roman" w:eastAsia="宋体" w:hAnsi="Times New Roman" w:cs="Times New Roman"/>
          <w:color w:val="000000" w:themeColor="text1"/>
          <w:kern w:val="1"/>
          <w:sz w:val="24"/>
          <w:szCs w:val="24"/>
        </w:rPr>
        <w:t>，使用寿命不低于</w:t>
      </w:r>
      <w:r>
        <w:rPr>
          <w:rFonts w:ascii="Times New Roman" w:eastAsia="宋体" w:hAnsi="Times New Roman" w:cs="Times New Roman"/>
          <w:color w:val="000000" w:themeColor="text1"/>
          <w:kern w:val="1"/>
          <w:sz w:val="24"/>
          <w:szCs w:val="24"/>
        </w:rPr>
        <w:t>3</w:t>
      </w:r>
      <w:r>
        <w:rPr>
          <w:rFonts w:ascii="Times New Roman" w:eastAsia="宋体" w:hAnsi="Times New Roman" w:cs="Times New Roman"/>
          <w:color w:val="000000" w:themeColor="text1"/>
          <w:kern w:val="1"/>
          <w:sz w:val="24"/>
          <w:szCs w:val="24"/>
        </w:rPr>
        <w:t>年，废旧催化剂由催化剂厂家回收再利用</w:t>
      </w:r>
      <w:r>
        <w:rPr>
          <w:rFonts w:ascii="Times New Roman" w:eastAsia="宋体" w:hAnsi="Times New Roman" w:cs="Times New Roman" w:hint="eastAsia"/>
          <w:color w:val="000000" w:themeColor="text1"/>
          <w:kern w:val="1"/>
          <w:sz w:val="24"/>
          <w:szCs w:val="24"/>
        </w:rPr>
        <w:t>。</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4</w:t>
      </w:r>
      <w:r>
        <w:rPr>
          <w:rFonts w:ascii="Times New Roman" w:eastAsia="宋体" w:hAnsi="Times New Roman" w:cs="Times New Roman" w:hint="eastAsia"/>
          <w:color w:val="000000" w:themeColor="text1"/>
          <w:kern w:val="1"/>
          <w:sz w:val="24"/>
          <w:szCs w:val="24"/>
        </w:rPr>
        <w:t>）硝基复合肥除尘器收尘：收尘量</w:t>
      </w:r>
      <w:r>
        <w:rPr>
          <w:rFonts w:ascii="Times New Roman" w:eastAsia="宋体" w:hAnsi="Times New Roman" w:cs="Times New Roman" w:hint="eastAsia"/>
          <w:color w:val="000000" w:themeColor="text1"/>
          <w:kern w:val="1"/>
          <w:sz w:val="24"/>
          <w:szCs w:val="24"/>
        </w:rPr>
        <w:t>128.42t/a</w:t>
      </w:r>
      <w:r>
        <w:rPr>
          <w:rFonts w:ascii="Times New Roman" w:eastAsia="宋体" w:hAnsi="Times New Roman" w:cs="Times New Roman" w:hint="eastAsia"/>
          <w:color w:val="000000" w:themeColor="text1"/>
          <w:kern w:val="1"/>
          <w:sz w:val="24"/>
          <w:szCs w:val="24"/>
        </w:rPr>
        <w:t>，主要成分为生产配料，返回送硝基复合肥造粒装置。</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5</w:t>
      </w:r>
      <w:r>
        <w:rPr>
          <w:rFonts w:ascii="Times New Roman" w:eastAsia="宋体" w:hAnsi="Times New Roman" w:cs="Times New Roman" w:hint="eastAsia"/>
          <w:color w:val="000000" w:themeColor="text1"/>
          <w:kern w:val="1"/>
          <w:sz w:val="24"/>
          <w:szCs w:val="24"/>
        </w:rPr>
        <w:t>）硝基复合肥造粒塔布袋除尘器收尘：收尘量</w:t>
      </w:r>
      <w:r>
        <w:rPr>
          <w:rFonts w:ascii="Times New Roman" w:eastAsia="宋体" w:hAnsi="Times New Roman" w:cs="Times New Roman" w:hint="eastAsia"/>
          <w:color w:val="000000" w:themeColor="text1"/>
          <w:kern w:val="1"/>
          <w:sz w:val="24"/>
          <w:szCs w:val="24"/>
        </w:rPr>
        <w:t>1663.2t/a</w:t>
      </w:r>
      <w:r>
        <w:rPr>
          <w:rFonts w:ascii="Times New Roman" w:eastAsia="宋体" w:hAnsi="Times New Roman" w:cs="Times New Roman" w:hint="eastAsia"/>
          <w:color w:val="000000" w:themeColor="text1"/>
          <w:kern w:val="1"/>
          <w:sz w:val="24"/>
          <w:szCs w:val="24"/>
        </w:rPr>
        <w:t>，返回硝基复合肥造粒装置。</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6</w:t>
      </w:r>
      <w:r>
        <w:rPr>
          <w:rFonts w:ascii="Times New Roman" w:eastAsia="宋体" w:hAnsi="Times New Roman" w:cs="Times New Roman" w:hint="eastAsia"/>
          <w:color w:val="000000" w:themeColor="text1"/>
          <w:kern w:val="1"/>
          <w:sz w:val="24"/>
          <w:szCs w:val="24"/>
        </w:rPr>
        <w:t>）硝基复合肥产品筛分冷却除尘器收尘：收尘量</w:t>
      </w:r>
      <w:r>
        <w:rPr>
          <w:rFonts w:ascii="Times New Roman" w:eastAsia="宋体" w:hAnsi="Times New Roman" w:cs="Times New Roman" w:hint="eastAsia"/>
          <w:color w:val="000000" w:themeColor="text1"/>
          <w:kern w:val="1"/>
          <w:sz w:val="24"/>
          <w:szCs w:val="24"/>
        </w:rPr>
        <w:t>297t/a</w:t>
      </w:r>
      <w:r>
        <w:rPr>
          <w:rFonts w:ascii="Times New Roman" w:eastAsia="宋体" w:hAnsi="Times New Roman" w:cs="Times New Roman" w:hint="eastAsia"/>
          <w:color w:val="000000" w:themeColor="text1"/>
          <w:kern w:val="1"/>
          <w:sz w:val="24"/>
          <w:szCs w:val="24"/>
        </w:rPr>
        <w:t>，返回硝基复合肥造粒装置。</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7</w:t>
      </w:r>
      <w:r>
        <w:rPr>
          <w:rFonts w:ascii="Times New Roman" w:eastAsia="宋体" w:hAnsi="Times New Roman" w:cs="Times New Roman" w:hint="eastAsia"/>
          <w:color w:val="000000" w:themeColor="text1"/>
          <w:kern w:val="1"/>
          <w:sz w:val="24"/>
          <w:szCs w:val="24"/>
        </w:rPr>
        <w:t>）尿基复</w:t>
      </w:r>
      <w:r>
        <w:rPr>
          <w:rFonts w:ascii="Times New Roman" w:eastAsia="宋体" w:hAnsi="Times New Roman" w:cs="Times New Roman" w:hint="eastAsia"/>
          <w:color w:val="000000" w:themeColor="text1"/>
          <w:kern w:val="1"/>
          <w:sz w:val="24"/>
          <w:szCs w:val="24"/>
        </w:rPr>
        <w:t>合肥配料除尘器收尘：收尘量</w:t>
      </w:r>
      <w:r>
        <w:rPr>
          <w:rFonts w:ascii="Times New Roman" w:eastAsia="宋体" w:hAnsi="Times New Roman" w:cs="Times New Roman" w:hint="eastAsia"/>
          <w:color w:val="000000" w:themeColor="text1"/>
          <w:kern w:val="1"/>
          <w:sz w:val="24"/>
          <w:szCs w:val="24"/>
        </w:rPr>
        <w:t>197.41t/a</w:t>
      </w:r>
      <w:r>
        <w:rPr>
          <w:rFonts w:ascii="Times New Roman" w:eastAsia="宋体" w:hAnsi="Times New Roman" w:cs="Times New Roman" w:hint="eastAsia"/>
          <w:color w:val="000000" w:themeColor="text1"/>
          <w:kern w:val="1"/>
          <w:sz w:val="24"/>
          <w:szCs w:val="24"/>
        </w:rPr>
        <w:t>，返回尿基复合肥造粒装置。</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9</w:t>
      </w:r>
      <w:r>
        <w:rPr>
          <w:rFonts w:ascii="Times New Roman" w:eastAsia="宋体" w:hAnsi="Times New Roman" w:cs="Times New Roman" w:hint="eastAsia"/>
          <w:color w:val="000000" w:themeColor="text1"/>
          <w:kern w:val="1"/>
          <w:sz w:val="24"/>
          <w:szCs w:val="24"/>
        </w:rPr>
        <w:t>）尿复合肥造粒塔布袋除尘器收尘：收尘量</w:t>
      </w:r>
      <w:r>
        <w:rPr>
          <w:rFonts w:ascii="Times New Roman" w:eastAsia="宋体" w:hAnsi="Times New Roman" w:cs="Times New Roman" w:hint="eastAsia"/>
          <w:color w:val="000000" w:themeColor="text1"/>
          <w:kern w:val="1"/>
          <w:sz w:val="24"/>
          <w:szCs w:val="24"/>
        </w:rPr>
        <w:t>2772t/a</w:t>
      </w:r>
      <w:r>
        <w:rPr>
          <w:rFonts w:ascii="Times New Roman" w:eastAsia="宋体" w:hAnsi="Times New Roman" w:cs="Times New Roman" w:hint="eastAsia"/>
          <w:color w:val="000000" w:themeColor="text1"/>
          <w:kern w:val="1"/>
          <w:sz w:val="24"/>
          <w:szCs w:val="24"/>
        </w:rPr>
        <w:t>，返回硝基复合肥造粒装置。</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hint="eastAsia"/>
          <w:color w:val="000000" w:themeColor="text1"/>
          <w:kern w:val="1"/>
          <w:sz w:val="24"/>
          <w:szCs w:val="24"/>
        </w:rPr>
        <w:t>2</w:t>
      </w:r>
      <w:r>
        <w:rPr>
          <w:rFonts w:ascii="Times New Roman" w:eastAsia="宋体" w:hAnsi="Times New Roman" w:cs="Times New Roman" w:hint="eastAsia"/>
          <w:color w:val="000000" w:themeColor="text1"/>
          <w:kern w:val="1"/>
          <w:sz w:val="24"/>
          <w:szCs w:val="24"/>
        </w:rPr>
        <w:t>）</w:t>
      </w:r>
      <w:r>
        <w:rPr>
          <w:rFonts w:ascii="Times New Roman" w:eastAsia="宋体" w:hAnsi="Times New Roman" w:cs="Times New Roman"/>
          <w:color w:val="000000" w:themeColor="text1"/>
          <w:kern w:val="1"/>
          <w:sz w:val="24"/>
          <w:szCs w:val="24"/>
        </w:rPr>
        <w:t>生活</w:t>
      </w:r>
      <w:r>
        <w:rPr>
          <w:rFonts w:ascii="Times New Roman" w:eastAsia="宋体" w:hAnsi="Times New Roman" w:cs="Times New Roman" w:hint="eastAsia"/>
          <w:color w:val="000000" w:themeColor="text1"/>
          <w:kern w:val="1"/>
          <w:sz w:val="24"/>
          <w:szCs w:val="24"/>
        </w:rPr>
        <w:t>垃圾</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1"/>
          <w:sz w:val="24"/>
          <w:szCs w:val="24"/>
        </w:rPr>
        <w:t>本项目全厂定员</w:t>
      </w:r>
      <w:r>
        <w:rPr>
          <w:rFonts w:ascii="Times New Roman" w:eastAsia="宋体" w:hAnsi="Times New Roman" w:cs="Times New Roman" w:hint="eastAsia"/>
          <w:color w:val="000000" w:themeColor="text1"/>
          <w:kern w:val="1"/>
          <w:sz w:val="24"/>
          <w:szCs w:val="24"/>
        </w:rPr>
        <w:t>72</w:t>
      </w:r>
      <w:r>
        <w:rPr>
          <w:rFonts w:ascii="Times New Roman" w:eastAsia="宋体" w:hAnsi="Times New Roman" w:cs="Times New Roman" w:hint="eastAsia"/>
          <w:color w:val="000000" w:themeColor="text1"/>
          <w:kern w:val="1"/>
          <w:sz w:val="24"/>
          <w:szCs w:val="24"/>
        </w:rPr>
        <w:t>人，</w:t>
      </w:r>
      <w:r>
        <w:rPr>
          <w:rFonts w:ascii="Times New Roman" w:eastAsia="宋体" w:hAnsi="Times New Roman" w:cs="Times New Roman"/>
          <w:color w:val="000000" w:themeColor="text1"/>
          <w:kern w:val="1"/>
          <w:sz w:val="24"/>
          <w:szCs w:val="24"/>
        </w:rPr>
        <w:t>生活</w:t>
      </w:r>
      <w:r>
        <w:rPr>
          <w:rFonts w:ascii="Times New Roman" w:eastAsia="宋体" w:hAnsi="Times New Roman" w:cs="Times New Roman" w:hint="eastAsia"/>
          <w:color w:val="000000" w:themeColor="text1"/>
          <w:kern w:val="1"/>
          <w:sz w:val="24"/>
          <w:szCs w:val="24"/>
        </w:rPr>
        <w:t>垃圾</w:t>
      </w:r>
      <w:r>
        <w:rPr>
          <w:rFonts w:ascii="Times New Roman" w:eastAsia="宋体" w:hAnsi="Times New Roman" w:cs="Times New Roman"/>
          <w:color w:val="000000" w:themeColor="text1"/>
          <w:kern w:val="1"/>
          <w:sz w:val="24"/>
          <w:szCs w:val="24"/>
        </w:rPr>
        <w:t>产生量约为</w:t>
      </w:r>
      <w:r>
        <w:rPr>
          <w:rFonts w:ascii="Times New Roman" w:eastAsia="宋体" w:hAnsi="Times New Roman" w:cs="Times New Roman" w:hint="eastAsia"/>
          <w:color w:val="000000" w:themeColor="text1"/>
          <w:kern w:val="1"/>
          <w:sz w:val="24"/>
          <w:szCs w:val="24"/>
        </w:rPr>
        <w:t>36t/a</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color w:val="000000" w:themeColor="text1"/>
          <w:kern w:val="1"/>
          <w:sz w:val="24"/>
          <w:szCs w:val="24"/>
        </w:rPr>
        <w:t xml:space="preserve"> </w:t>
      </w:r>
      <w:r>
        <w:rPr>
          <w:rFonts w:ascii="Times New Roman" w:eastAsia="宋体" w:hAnsi="Times New Roman" w:cs="Times New Roman" w:hint="eastAsia"/>
          <w:color w:val="000000" w:themeColor="text1"/>
          <w:kern w:val="1"/>
          <w:sz w:val="24"/>
          <w:szCs w:val="24"/>
        </w:rPr>
        <w:t>集中收集，委托</w:t>
      </w:r>
      <w:r>
        <w:rPr>
          <w:rFonts w:ascii="Times New Roman" w:eastAsia="宋体" w:hAnsi="Times New Roman" w:cs="Times New Roman"/>
          <w:color w:val="000000" w:themeColor="text1"/>
          <w:kern w:val="1"/>
          <w:sz w:val="24"/>
          <w:szCs w:val="24"/>
        </w:rPr>
        <w:t>环卫部门统一</w:t>
      </w:r>
      <w:r>
        <w:rPr>
          <w:rFonts w:ascii="Times New Roman" w:eastAsia="宋体" w:hAnsi="Times New Roman" w:cs="Times New Roman" w:hint="eastAsia"/>
          <w:color w:val="000000" w:themeColor="text1"/>
          <w:kern w:val="1"/>
          <w:sz w:val="24"/>
          <w:szCs w:val="24"/>
        </w:rPr>
        <w:t>清运</w:t>
      </w:r>
      <w:r>
        <w:rPr>
          <w:rFonts w:ascii="Times New Roman" w:eastAsia="宋体" w:hAnsi="Times New Roman" w:cs="Times New Roman"/>
          <w:color w:val="000000" w:themeColor="text1"/>
          <w:kern w:val="1"/>
          <w:sz w:val="24"/>
          <w:szCs w:val="24"/>
        </w:rPr>
        <w:t>处理。</w:t>
      </w:r>
    </w:p>
    <w:p w:rsidR="00C861DA" w:rsidRDefault="0044752E">
      <w:pPr>
        <w:pStyle w:val="22"/>
        <w:rPr>
          <w:rFonts w:ascii="Times New Roman" w:eastAsia="宋体" w:hAnsi="Times New Roman"/>
          <w:bCs w:val="0"/>
          <w:color w:val="000000" w:themeColor="text1"/>
          <w:sz w:val="28"/>
          <w:szCs w:val="28"/>
        </w:rPr>
      </w:pPr>
      <w:bookmarkStart w:id="243" w:name="_Toc6826807"/>
      <w:r>
        <w:rPr>
          <w:rFonts w:ascii="Times New Roman" w:eastAsia="宋体" w:hAnsi="Times New Roman" w:hint="eastAsia"/>
          <w:bCs w:val="0"/>
          <w:color w:val="000000" w:themeColor="text1"/>
          <w:sz w:val="28"/>
          <w:szCs w:val="28"/>
        </w:rPr>
        <w:t>4.5</w:t>
      </w:r>
      <w:r>
        <w:rPr>
          <w:rFonts w:ascii="Times New Roman" w:eastAsia="宋体" w:hAnsi="Times New Roman" w:hint="eastAsia"/>
          <w:bCs w:val="0"/>
          <w:color w:val="000000" w:themeColor="text1"/>
          <w:sz w:val="28"/>
          <w:szCs w:val="28"/>
        </w:rPr>
        <w:t>小结</w:t>
      </w:r>
      <w:bookmarkEnd w:id="243"/>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本项目</w:t>
      </w:r>
      <w:r>
        <w:rPr>
          <w:rFonts w:ascii="Times New Roman" w:eastAsia="宋体" w:hAnsi="Times New Roman" w:cs="Times New Roman"/>
          <w:color w:val="000000" w:themeColor="text1"/>
          <w:kern w:val="0"/>
          <w:sz w:val="24"/>
          <w:szCs w:val="24"/>
        </w:rPr>
        <w:t>以云南祥丰金麦公司已建</w:t>
      </w:r>
      <w:r>
        <w:rPr>
          <w:rFonts w:ascii="Times New Roman" w:eastAsia="宋体" w:hAnsi="Times New Roman" w:cs="Times New Roman" w:hint="eastAsia"/>
          <w:color w:val="000000" w:themeColor="text1"/>
          <w:kern w:val="0"/>
          <w:sz w:val="24"/>
          <w:szCs w:val="24"/>
        </w:rPr>
        <w:t>合成氨</w:t>
      </w:r>
      <w:r>
        <w:rPr>
          <w:rFonts w:ascii="Times New Roman" w:eastAsia="宋体" w:hAnsi="Times New Roman" w:cs="Times New Roman"/>
          <w:color w:val="000000" w:themeColor="text1"/>
          <w:kern w:val="0"/>
          <w:sz w:val="24"/>
          <w:szCs w:val="24"/>
        </w:rPr>
        <w:t>装置为主要原料，生产稀硝酸、硝铵、尿素等中间产品，并按照适当的比例加入有机质、硫酸一铵、硫酸钾、添加剂等原料后，分别生产硝基复合肥和尿基复合肥产品。项目年产</w:t>
      </w:r>
      <w:r>
        <w:rPr>
          <w:rFonts w:ascii="Times New Roman" w:eastAsia="宋体" w:hAnsi="Times New Roman" w:cs="Times New Roman"/>
          <w:color w:val="000000" w:themeColor="text1"/>
          <w:kern w:val="0"/>
          <w:sz w:val="24"/>
          <w:szCs w:val="24"/>
        </w:rPr>
        <w:t>80</w:t>
      </w:r>
      <w:r>
        <w:rPr>
          <w:rFonts w:ascii="Times New Roman" w:eastAsia="宋体" w:hAnsi="Times New Roman" w:cs="Times New Roman"/>
          <w:color w:val="000000" w:themeColor="text1"/>
          <w:kern w:val="0"/>
          <w:sz w:val="24"/>
          <w:szCs w:val="24"/>
        </w:rPr>
        <w:t>万吨绿色有机肥产品，其中硝基复合肥年产</w:t>
      </w:r>
      <w:r>
        <w:rPr>
          <w:rFonts w:ascii="Times New Roman" w:eastAsia="宋体" w:hAnsi="Times New Roman" w:cs="Times New Roman"/>
          <w:color w:val="000000" w:themeColor="text1"/>
          <w:kern w:val="0"/>
          <w:sz w:val="24"/>
          <w:szCs w:val="24"/>
        </w:rPr>
        <w:t>30</w:t>
      </w:r>
      <w:r>
        <w:rPr>
          <w:rFonts w:ascii="Times New Roman" w:eastAsia="宋体" w:hAnsi="Times New Roman" w:cs="Times New Roman"/>
          <w:color w:val="000000" w:themeColor="text1"/>
          <w:kern w:val="0"/>
          <w:sz w:val="24"/>
          <w:szCs w:val="24"/>
        </w:rPr>
        <w:t>万吨，绿色有机尿基复合肥产品年产</w:t>
      </w:r>
      <w:r>
        <w:rPr>
          <w:rFonts w:ascii="Times New Roman" w:eastAsia="宋体" w:hAnsi="Times New Roman" w:cs="Times New Roman"/>
          <w:color w:val="000000" w:themeColor="text1"/>
          <w:kern w:val="0"/>
          <w:sz w:val="24"/>
          <w:szCs w:val="24"/>
        </w:rPr>
        <w:t>50</w:t>
      </w:r>
      <w:r>
        <w:rPr>
          <w:rFonts w:ascii="Times New Roman" w:eastAsia="宋体" w:hAnsi="Times New Roman" w:cs="Times New Roman"/>
          <w:color w:val="000000" w:themeColor="text1"/>
          <w:kern w:val="0"/>
          <w:sz w:val="24"/>
          <w:szCs w:val="24"/>
        </w:rPr>
        <w:t>万吨。</w:t>
      </w:r>
    </w:p>
    <w:p w:rsidR="00C861DA" w:rsidRDefault="0044752E">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hint="eastAsia"/>
          <w:color w:val="000000" w:themeColor="text1"/>
          <w:kern w:val="0"/>
          <w:sz w:val="24"/>
          <w:szCs w:val="24"/>
        </w:rPr>
        <w:t>根据项目生产工艺流程和产污环节，项目设计采取了相应的污染防治措施，废气经处理后均能达标排放，生产废水进入生产废水收集池，经收集后送祥丰金麦公司磷铵生产装置球磨工段作为生产补充水，生活污水依托合成氨装置生活污水处理站处理，固体废物得到有效处置。</w:t>
      </w:r>
    </w:p>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1"/>
          <w:sz w:val="24"/>
          <w:szCs w:val="24"/>
        </w:rPr>
      </w:pPr>
    </w:p>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p>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p>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p>
    <w:p w:rsidR="00C861DA" w:rsidRDefault="00C861DA">
      <w:pPr>
        <w:widowControl/>
        <w:autoSpaceDE/>
        <w:autoSpaceDN/>
        <w:snapToGrid w:val="0"/>
        <w:spacing w:line="360" w:lineRule="auto"/>
        <w:ind w:firstLineChars="200" w:firstLine="480"/>
        <w:rPr>
          <w:rFonts w:ascii="Times New Roman" w:eastAsia="宋体" w:hAnsi="Times New Roman" w:cs="Times New Roman"/>
          <w:color w:val="000000" w:themeColor="text1"/>
          <w:kern w:val="0"/>
          <w:sz w:val="24"/>
          <w:szCs w:val="24"/>
        </w:rPr>
      </w:pPr>
    </w:p>
    <w:p w:rsidR="00C861DA" w:rsidRDefault="00C861DA">
      <w:pPr>
        <w:widowControl/>
        <w:autoSpaceDE/>
        <w:autoSpaceDN/>
        <w:snapToGrid w:val="0"/>
        <w:spacing w:line="360" w:lineRule="auto"/>
        <w:ind w:firstLineChars="200" w:firstLine="480"/>
        <w:rPr>
          <w:b/>
          <w:color w:val="000000" w:themeColor="text1"/>
          <w:sz w:val="24"/>
        </w:rPr>
        <w:sectPr w:rsidR="00C861DA">
          <w:pgSz w:w="11906" w:h="16838"/>
          <w:pgMar w:top="1440" w:right="1800" w:bottom="1440" w:left="1800" w:header="851" w:footer="992" w:gutter="0"/>
          <w:cols w:space="425"/>
          <w:docGrid w:type="lines" w:linePitch="312"/>
        </w:sectPr>
      </w:pPr>
    </w:p>
    <w:p w:rsidR="00C861DA" w:rsidRDefault="0044752E">
      <w:pPr>
        <w:pStyle w:val="12"/>
        <w:jc w:val="center"/>
        <w:rPr>
          <w:rFonts w:ascii="Times New Roman" w:eastAsia="宋体"/>
          <w:b/>
          <w:color w:val="000000" w:themeColor="text1"/>
          <w:sz w:val="28"/>
          <w:szCs w:val="24"/>
        </w:rPr>
      </w:pPr>
      <w:bookmarkStart w:id="244" w:name="_Toc495153781"/>
      <w:bookmarkStart w:id="245" w:name="_Toc495054435"/>
      <w:bookmarkStart w:id="246" w:name="_Toc496088676"/>
      <w:bookmarkStart w:id="247" w:name="_Toc421179358"/>
      <w:bookmarkStart w:id="248" w:name="_Toc330222520"/>
      <w:bookmarkStart w:id="249" w:name="_Toc510564978"/>
      <w:bookmarkStart w:id="250" w:name="_Toc511895774"/>
      <w:bookmarkStart w:id="251" w:name="_Toc481761394"/>
      <w:bookmarkStart w:id="252" w:name="_Toc5682"/>
      <w:bookmarkStart w:id="253" w:name="_Toc31145"/>
      <w:bookmarkStart w:id="254" w:name="_Toc6158"/>
      <w:bookmarkStart w:id="255" w:name="_Toc6826808"/>
      <w:bookmarkStart w:id="256" w:name="_Toc23790"/>
      <w:r>
        <w:rPr>
          <w:rFonts w:ascii="Times New Roman" w:eastAsia="宋体" w:hint="eastAsia"/>
          <w:b/>
          <w:color w:val="000000" w:themeColor="text1"/>
          <w:sz w:val="28"/>
          <w:szCs w:val="24"/>
        </w:rPr>
        <w:t>5</w:t>
      </w:r>
      <w:r>
        <w:rPr>
          <w:rFonts w:ascii="Times New Roman" w:eastAsia="宋体" w:hint="eastAsia"/>
          <w:b/>
          <w:color w:val="000000" w:themeColor="text1"/>
          <w:sz w:val="28"/>
          <w:szCs w:val="24"/>
        </w:rPr>
        <w:t>、</w:t>
      </w:r>
      <w:bookmarkEnd w:id="244"/>
      <w:bookmarkEnd w:id="245"/>
      <w:bookmarkEnd w:id="246"/>
      <w:bookmarkEnd w:id="247"/>
      <w:bookmarkEnd w:id="248"/>
      <w:bookmarkEnd w:id="249"/>
      <w:bookmarkEnd w:id="250"/>
      <w:bookmarkEnd w:id="251"/>
      <w:r>
        <w:rPr>
          <w:rFonts w:ascii="Times New Roman" w:eastAsia="宋体" w:hint="eastAsia"/>
          <w:b/>
          <w:color w:val="000000" w:themeColor="text1"/>
          <w:sz w:val="28"/>
          <w:szCs w:val="24"/>
        </w:rPr>
        <w:t>环境现状调查与评价</w:t>
      </w:r>
      <w:bookmarkEnd w:id="252"/>
      <w:bookmarkEnd w:id="253"/>
      <w:bookmarkEnd w:id="254"/>
      <w:bookmarkEnd w:id="255"/>
      <w:bookmarkEnd w:id="256"/>
    </w:p>
    <w:p w:rsidR="00C861DA" w:rsidRDefault="0044752E">
      <w:pPr>
        <w:pStyle w:val="22"/>
        <w:rPr>
          <w:rFonts w:ascii="Times New Roman" w:eastAsia="宋体" w:hAnsi="Times New Roman"/>
          <w:bCs w:val="0"/>
          <w:color w:val="000000" w:themeColor="text1"/>
          <w:sz w:val="28"/>
          <w:szCs w:val="28"/>
        </w:rPr>
      </w:pPr>
      <w:bookmarkStart w:id="257" w:name="_Toc7757"/>
      <w:bookmarkStart w:id="258" w:name="_Toc29028"/>
      <w:bookmarkStart w:id="259" w:name="_Toc17251"/>
      <w:bookmarkStart w:id="260" w:name="_Toc6826809"/>
      <w:bookmarkStart w:id="261" w:name="_Toc5124"/>
      <w:r>
        <w:rPr>
          <w:rFonts w:ascii="Times New Roman" w:eastAsia="宋体" w:hAnsi="Times New Roman" w:hint="eastAsia"/>
          <w:bCs w:val="0"/>
          <w:color w:val="000000" w:themeColor="text1"/>
          <w:sz w:val="28"/>
          <w:szCs w:val="28"/>
        </w:rPr>
        <w:t>5</w:t>
      </w:r>
      <w:r>
        <w:rPr>
          <w:rFonts w:ascii="Times New Roman" w:eastAsia="宋体" w:hAnsi="Times New Roman"/>
          <w:bCs w:val="0"/>
          <w:color w:val="000000" w:themeColor="text1"/>
          <w:sz w:val="28"/>
          <w:szCs w:val="28"/>
        </w:rPr>
        <w:t>.1</w:t>
      </w:r>
      <w:r>
        <w:rPr>
          <w:rFonts w:ascii="Times New Roman" w:eastAsia="宋体" w:hAnsi="Times New Roman" w:hint="eastAsia"/>
          <w:bCs w:val="0"/>
          <w:color w:val="000000" w:themeColor="text1"/>
          <w:sz w:val="28"/>
          <w:szCs w:val="28"/>
        </w:rPr>
        <w:t>区域污染源调查与评价</w:t>
      </w:r>
      <w:bookmarkEnd w:id="257"/>
      <w:bookmarkEnd w:id="258"/>
      <w:bookmarkEnd w:id="259"/>
      <w:bookmarkEnd w:id="260"/>
      <w:bookmarkEnd w:id="261"/>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本项目位于昆明安宁市工业园区禄脿街道安丰营村委会，根据现场调查，周边已建成企业有：祥丰金麦有限公司</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高浓度磷酸复合肥项目</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“30</w:t>
      </w:r>
      <w:r>
        <w:rPr>
          <w:rFonts w:ascii="Times New Roman" w:eastAsia="宋体" w:hAnsi="Times New Roman" w:cs="Times New Roman"/>
          <w:color w:val="000000" w:themeColor="text1"/>
          <w:sz w:val="24"/>
        </w:rPr>
        <w:t>万吨液氨生产装置项目</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规划中项目有：</w:t>
      </w:r>
      <w:r>
        <w:rPr>
          <w:rFonts w:ascii="Times New Roman" w:eastAsia="宋体" w:hAnsi="Times New Roman" w:cs="Times New Roman"/>
          <w:color w:val="000000" w:themeColor="text1"/>
          <w:sz w:val="24"/>
        </w:rPr>
        <w:t>祥丰石化有限公司</w:t>
      </w:r>
      <w:r>
        <w:rPr>
          <w:rFonts w:ascii="Times New Roman" w:eastAsia="宋体" w:hAnsi="Times New Roman" w:cs="Times New Roman"/>
          <w:color w:val="000000" w:themeColor="text1"/>
          <w:sz w:val="24"/>
        </w:rPr>
        <w:t>“30</w:t>
      </w:r>
      <w:r>
        <w:rPr>
          <w:rFonts w:ascii="Times New Roman" w:eastAsia="宋体" w:hAnsi="Times New Roman" w:cs="Times New Roman"/>
          <w:color w:val="000000" w:themeColor="text1"/>
          <w:sz w:val="24"/>
        </w:rPr>
        <w:t>万吨液氨生产装置配套存储及输送项目</w:t>
      </w:r>
      <w:r>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w:t>
      </w:r>
    </w:p>
    <w:p w:rsidR="00C861DA" w:rsidRDefault="0044752E">
      <w:pPr>
        <w:pStyle w:val="32"/>
        <w:rPr>
          <w:rFonts w:ascii="Times New Roman" w:eastAsia="宋体"/>
          <w:bCs w:val="0"/>
          <w:color w:val="000000" w:themeColor="text1"/>
          <w:sz w:val="24"/>
          <w:szCs w:val="24"/>
        </w:rPr>
      </w:pPr>
      <w:bookmarkStart w:id="262" w:name="_Toc6826810"/>
      <w:r>
        <w:rPr>
          <w:rFonts w:ascii="Times New Roman" w:eastAsia="宋体" w:hint="eastAsia"/>
          <w:bCs w:val="0"/>
          <w:color w:val="000000" w:themeColor="text1"/>
          <w:sz w:val="24"/>
          <w:szCs w:val="24"/>
        </w:rPr>
        <w:t>5</w:t>
      </w:r>
      <w:r>
        <w:rPr>
          <w:rFonts w:ascii="Times New Roman" w:eastAsia="宋体"/>
          <w:bCs w:val="0"/>
          <w:color w:val="000000" w:themeColor="text1"/>
          <w:sz w:val="24"/>
          <w:szCs w:val="24"/>
        </w:rPr>
        <w:t>.1.1</w:t>
      </w:r>
      <w:r>
        <w:rPr>
          <w:rFonts w:ascii="Times New Roman" w:eastAsia="宋体" w:hint="eastAsia"/>
          <w:bCs w:val="0"/>
          <w:color w:val="000000" w:themeColor="text1"/>
          <w:sz w:val="24"/>
          <w:szCs w:val="24"/>
        </w:rPr>
        <w:t>周边项目基本情况</w:t>
      </w:r>
      <w:bookmarkEnd w:id="262"/>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）祥丰金麦有限公司</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高浓度磷酸复合肥项目</w:t>
      </w:r>
      <w:r>
        <w:rPr>
          <w:rFonts w:ascii="Times New Roman" w:eastAsia="宋体" w:hAnsi="Times New Roman" w:cs="Times New Roman"/>
          <w:color w:val="000000" w:themeColor="text1"/>
          <w:sz w:val="24"/>
        </w:rPr>
        <w:t>”</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成立于</w:t>
      </w:r>
      <w:r>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988</w:t>
      </w:r>
      <w:r>
        <w:rPr>
          <w:rFonts w:ascii="Times New Roman" w:eastAsia="宋体" w:hAnsi="Times New Roman" w:cs="Times New Roman" w:hint="eastAsia"/>
          <w:color w:val="000000" w:themeColor="text1"/>
          <w:sz w:val="24"/>
        </w:rPr>
        <w:t>年，主要进行高浓度磷酸复合肥的生产，排放的主要污染因子为</w:t>
      </w:r>
      <w:r>
        <w:rPr>
          <w:rFonts w:ascii="Times New Roman" w:eastAsia="宋体" w:hAnsi="Times New Roman" w:cs="Times New Roman" w:hint="eastAsia"/>
          <w:color w:val="000000" w:themeColor="text1"/>
          <w:sz w:val="24"/>
        </w:rPr>
        <w:t>SO</w:t>
      </w:r>
      <w:r>
        <w:rPr>
          <w:rFonts w:ascii="Times New Roman" w:eastAsia="宋体" w:hAnsi="Times New Roman" w:cs="Times New Roman"/>
          <w:color w:val="000000" w:themeColor="text1"/>
          <w:sz w:val="24"/>
          <w:vertAlign w:val="subscript"/>
        </w:rPr>
        <w:t>2</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TSP</w:t>
      </w:r>
      <w:r>
        <w:rPr>
          <w:rFonts w:ascii="Times New Roman" w:eastAsia="宋体" w:hAnsi="Times New Roman" w:cs="Times New Roman" w:hint="eastAsia"/>
          <w:color w:val="000000" w:themeColor="text1"/>
          <w:sz w:val="24"/>
        </w:rPr>
        <w:t>、硫酸雾、氟化物和氨。</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“30</w:t>
      </w:r>
      <w:r>
        <w:rPr>
          <w:rFonts w:ascii="Times New Roman" w:eastAsia="宋体" w:hAnsi="Times New Roman" w:cs="Times New Roman"/>
          <w:color w:val="000000" w:themeColor="text1"/>
          <w:sz w:val="24"/>
        </w:rPr>
        <w:t>万吨液氨生产装置项目</w:t>
      </w:r>
      <w:r>
        <w:rPr>
          <w:rFonts w:ascii="Times New Roman" w:eastAsia="宋体" w:hAnsi="Times New Roman" w:cs="Times New Roman"/>
          <w:color w:val="000000" w:themeColor="text1"/>
          <w:sz w:val="24"/>
        </w:rPr>
        <w:t>”</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为祥丰金麦有限公司附属项目，现交由祥丰石化有限公司单独管理，截止项目现场勘查（</w:t>
      </w:r>
      <w:r>
        <w:rPr>
          <w:rFonts w:ascii="Times New Roman" w:eastAsia="宋体" w:hAnsi="Times New Roman" w:cs="Times New Roman" w:hint="eastAsia"/>
          <w:color w:val="000000" w:themeColor="text1"/>
          <w:sz w:val="24"/>
        </w:rPr>
        <w:t>2</w:t>
      </w:r>
      <w:r>
        <w:rPr>
          <w:rFonts w:ascii="Times New Roman" w:eastAsia="宋体" w:hAnsi="Times New Roman" w:cs="Times New Roman"/>
          <w:color w:val="000000" w:themeColor="text1"/>
          <w:sz w:val="24"/>
        </w:rPr>
        <w:t>019</w:t>
      </w:r>
      <w:r>
        <w:rPr>
          <w:rFonts w:ascii="Times New Roman" w:eastAsia="宋体" w:hAnsi="Times New Roman" w:cs="Times New Roman" w:hint="eastAsia"/>
          <w:color w:val="000000" w:themeColor="text1"/>
          <w:sz w:val="24"/>
        </w:rPr>
        <w:t>年</w:t>
      </w:r>
      <w:r>
        <w:rPr>
          <w:rFonts w:ascii="Times New Roman" w:eastAsia="宋体" w:hAnsi="Times New Roman" w:cs="Times New Roman" w:hint="eastAsia"/>
          <w:color w:val="000000" w:themeColor="text1"/>
          <w:sz w:val="24"/>
        </w:rPr>
        <w:t>1</w:t>
      </w:r>
      <w:r>
        <w:rPr>
          <w:rFonts w:ascii="Times New Roman" w:eastAsia="宋体" w:hAnsi="Times New Roman" w:cs="Times New Roman" w:hint="eastAsia"/>
          <w:color w:val="000000" w:themeColor="text1"/>
          <w:sz w:val="24"/>
        </w:rPr>
        <w:t>月</w:t>
      </w:r>
      <w:r>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5</w:t>
      </w:r>
      <w:r>
        <w:rPr>
          <w:rFonts w:ascii="Times New Roman" w:eastAsia="宋体" w:hAnsi="Times New Roman" w:cs="Times New Roman" w:hint="eastAsia"/>
          <w:color w:val="000000" w:themeColor="text1"/>
          <w:sz w:val="24"/>
        </w:rPr>
        <w:t>日），工程尚未竣工，建成后主要利用天然气合成氨，主要污染因子为氨。</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）祥丰石化有限公司</w:t>
      </w:r>
      <w:r>
        <w:rPr>
          <w:rFonts w:ascii="Times New Roman" w:eastAsia="宋体" w:hAnsi="Times New Roman" w:cs="Times New Roman"/>
          <w:color w:val="000000" w:themeColor="text1"/>
          <w:sz w:val="24"/>
        </w:rPr>
        <w:t>“30</w:t>
      </w:r>
      <w:r>
        <w:rPr>
          <w:rFonts w:ascii="Times New Roman" w:eastAsia="宋体" w:hAnsi="Times New Roman" w:cs="Times New Roman"/>
          <w:color w:val="000000" w:themeColor="text1"/>
          <w:sz w:val="24"/>
        </w:rPr>
        <w:t>万吨液氨生产装置配套存储及输送项目</w:t>
      </w:r>
      <w:r>
        <w:rPr>
          <w:rFonts w:ascii="Times New Roman" w:eastAsia="宋体" w:hAnsi="Times New Roman" w:cs="Times New Roman"/>
          <w:color w:val="000000" w:themeColor="text1"/>
          <w:sz w:val="24"/>
        </w:rPr>
        <w:t>”</w:t>
      </w:r>
    </w:p>
    <w:bookmarkEnd w:id="220"/>
    <w:bookmarkEnd w:id="221"/>
    <w:bookmarkEnd w:id="222"/>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为本项目建设方投资建设的另一项目，截止项目现场勘查（</w:t>
      </w:r>
      <w:r>
        <w:rPr>
          <w:rFonts w:ascii="Times New Roman" w:eastAsia="宋体" w:hAnsi="Times New Roman" w:cs="Times New Roman" w:hint="eastAsia"/>
          <w:color w:val="000000" w:themeColor="text1"/>
          <w:sz w:val="24"/>
        </w:rPr>
        <w:t>2</w:t>
      </w:r>
      <w:r>
        <w:rPr>
          <w:rFonts w:ascii="Times New Roman" w:eastAsia="宋体" w:hAnsi="Times New Roman" w:cs="Times New Roman"/>
          <w:color w:val="000000" w:themeColor="text1"/>
          <w:sz w:val="24"/>
        </w:rPr>
        <w:t>019</w:t>
      </w:r>
      <w:r>
        <w:rPr>
          <w:rFonts w:ascii="Times New Roman" w:eastAsia="宋体" w:hAnsi="Times New Roman" w:cs="Times New Roman" w:hint="eastAsia"/>
          <w:color w:val="000000" w:themeColor="text1"/>
          <w:sz w:val="24"/>
        </w:rPr>
        <w:t>年</w:t>
      </w:r>
      <w:r>
        <w:rPr>
          <w:rFonts w:ascii="Times New Roman" w:eastAsia="宋体" w:hAnsi="Times New Roman" w:cs="Times New Roman" w:hint="eastAsia"/>
          <w:color w:val="000000" w:themeColor="text1"/>
          <w:sz w:val="24"/>
        </w:rPr>
        <w:t>1</w:t>
      </w:r>
      <w:r>
        <w:rPr>
          <w:rFonts w:ascii="Times New Roman" w:eastAsia="宋体" w:hAnsi="Times New Roman" w:cs="Times New Roman" w:hint="eastAsia"/>
          <w:color w:val="000000" w:themeColor="text1"/>
          <w:sz w:val="24"/>
        </w:rPr>
        <w:t>月</w:t>
      </w:r>
      <w:r>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5</w:t>
      </w:r>
      <w:r>
        <w:rPr>
          <w:rFonts w:ascii="Times New Roman" w:eastAsia="宋体" w:hAnsi="Times New Roman" w:cs="Times New Roman" w:hint="eastAsia"/>
          <w:color w:val="000000" w:themeColor="text1"/>
          <w:sz w:val="24"/>
        </w:rPr>
        <w:t>日），工程尚未开始施工，预计于</w:t>
      </w:r>
      <w:r>
        <w:rPr>
          <w:rFonts w:ascii="Times New Roman" w:eastAsia="宋体" w:hAnsi="Times New Roman" w:cs="Times New Roman" w:hint="eastAsia"/>
          <w:color w:val="000000" w:themeColor="text1"/>
          <w:sz w:val="24"/>
        </w:rPr>
        <w:t>2</w:t>
      </w:r>
      <w:r>
        <w:rPr>
          <w:rFonts w:ascii="Times New Roman" w:eastAsia="宋体" w:hAnsi="Times New Roman" w:cs="Times New Roman"/>
          <w:color w:val="000000" w:themeColor="text1"/>
          <w:sz w:val="24"/>
        </w:rPr>
        <w:t>019</w:t>
      </w:r>
      <w:r>
        <w:rPr>
          <w:rFonts w:ascii="Times New Roman" w:eastAsia="宋体" w:hAnsi="Times New Roman" w:cs="Times New Roman" w:hint="eastAsia"/>
          <w:color w:val="000000" w:themeColor="text1"/>
          <w:sz w:val="24"/>
        </w:rPr>
        <w:t>年</w:t>
      </w:r>
      <w:r>
        <w:rPr>
          <w:rFonts w:ascii="Times New Roman" w:eastAsia="宋体" w:hAnsi="Times New Roman" w:cs="Times New Roman" w:hint="eastAsia"/>
          <w:color w:val="000000" w:themeColor="text1"/>
          <w:sz w:val="24"/>
        </w:rPr>
        <w:t>8</w:t>
      </w:r>
      <w:r>
        <w:rPr>
          <w:rFonts w:ascii="Times New Roman" w:eastAsia="宋体" w:hAnsi="Times New Roman" w:cs="Times New Roman" w:hint="eastAsia"/>
          <w:color w:val="000000" w:themeColor="text1"/>
          <w:sz w:val="24"/>
        </w:rPr>
        <w:t>月竣工，建成后主要用于合成氨的存储，主要污染因子为氨。</w:t>
      </w:r>
    </w:p>
    <w:p w:rsidR="00C861DA" w:rsidRDefault="0044752E">
      <w:pPr>
        <w:pStyle w:val="32"/>
        <w:rPr>
          <w:rFonts w:ascii="Times New Roman" w:eastAsia="宋体"/>
          <w:bCs w:val="0"/>
          <w:color w:val="000000" w:themeColor="text1"/>
          <w:sz w:val="24"/>
          <w:szCs w:val="24"/>
        </w:rPr>
      </w:pPr>
      <w:bookmarkStart w:id="263" w:name="_Toc510565002"/>
      <w:bookmarkStart w:id="264" w:name="_Toc511895798"/>
      <w:bookmarkStart w:id="265" w:name="_Toc6826811"/>
      <w:r>
        <w:rPr>
          <w:rFonts w:ascii="Times New Roman" w:eastAsia="宋体" w:hint="eastAsia"/>
          <w:bCs w:val="0"/>
          <w:color w:val="000000" w:themeColor="text1"/>
          <w:sz w:val="24"/>
          <w:szCs w:val="24"/>
        </w:rPr>
        <w:t>5</w:t>
      </w:r>
      <w:r>
        <w:rPr>
          <w:rFonts w:ascii="Times New Roman" w:eastAsia="宋体"/>
          <w:bCs w:val="0"/>
          <w:color w:val="000000" w:themeColor="text1"/>
          <w:sz w:val="24"/>
          <w:szCs w:val="24"/>
        </w:rPr>
        <w:t>.1.2</w:t>
      </w:r>
      <w:r>
        <w:rPr>
          <w:rFonts w:ascii="Times New Roman" w:eastAsia="宋体" w:hint="eastAsia"/>
          <w:bCs w:val="0"/>
          <w:color w:val="000000" w:themeColor="text1"/>
          <w:sz w:val="24"/>
          <w:szCs w:val="24"/>
        </w:rPr>
        <w:t>区域主要环境问题分析</w:t>
      </w:r>
      <w:bookmarkEnd w:id="263"/>
      <w:bookmarkEnd w:id="264"/>
      <w:bookmarkEnd w:id="265"/>
    </w:p>
    <w:p w:rsidR="00C861DA" w:rsidRDefault="0044752E">
      <w:pPr>
        <w:spacing w:line="360" w:lineRule="auto"/>
        <w:ind w:firstLineChars="200" w:firstLine="480"/>
        <w:rPr>
          <w:rFonts w:ascii="Times New Roman" w:eastAsia="宋体"/>
          <w:color w:val="000000" w:themeColor="text1"/>
          <w:sz w:val="24"/>
          <w:szCs w:val="22"/>
          <w:lang w:val="zh-CN"/>
        </w:rPr>
      </w:pPr>
      <w:r>
        <w:rPr>
          <w:rFonts w:ascii="Times New Roman" w:eastAsia="宋体" w:hint="eastAsia"/>
          <w:color w:val="000000" w:themeColor="text1"/>
          <w:sz w:val="24"/>
          <w:szCs w:val="22"/>
          <w:lang w:val="zh-CN"/>
        </w:rPr>
        <w:t>项目所在区域目前仅有少量工业类项目入驻，周边居民聚居地距离项目区厂界较远，区域主要环境问题：</w:t>
      </w:r>
    </w:p>
    <w:p w:rsidR="00C861DA" w:rsidRDefault="0044752E">
      <w:pPr>
        <w:spacing w:line="360" w:lineRule="auto"/>
        <w:ind w:firstLineChars="200" w:firstLine="480"/>
        <w:rPr>
          <w:rFonts w:ascii="Times New Roman" w:eastAsia="宋体"/>
          <w:color w:val="000000" w:themeColor="text1"/>
          <w:sz w:val="24"/>
          <w:szCs w:val="22"/>
          <w:lang w:val="zh-CN"/>
        </w:rPr>
      </w:pPr>
      <w:r>
        <w:rPr>
          <w:rFonts w:ascii="Times New Roman" w:eastAsia="宋体" w:hint="eastAsia"/>
          <w:color w:val="000000" w:themeColor="text1"/>
          <w:sz w:val="24"/>
          <w:szCs w:val="22"/>
          <w:lang w:val="zh-CN"/>
        </w:rPr>
        <w:t>区域在建道路及各类施工地块的施工扬尘、噪声等；</w:t>
      </w:r>
    </w:p>
    <w:p w:rsidR="00C861DA" w:rsidRDefault="0044752E">
      <w:pPr>
        <w:spacing w:line="360" w:lineRule="auto"/>
        <w:ind w:firstLineChars="200" w:firstLine="480"/>
        <w:rPr>
          <w:rFonts w:ascii="Times New Roman" w:eastAsia="宋体"/>
          <w:color w:val="000000" w:themeColor="text1"/>
          <w:sz w:val="24"/>
          <w:szCs w:val="22"/>
          <w:lang w:val="zh-CN"/>
        </w:rPr>
      </w:pPr>
      <w:r>
        <w:rPr>
          <w:rFonts w:ascii="Times New Roman" w:eastAsia="宋体" w:hint="eastAsia"/>
          <w:color w:val="000000" w:themeColor="text1"/>
          <w:sz w:val="24"/>
          <w:szCs w:val="22"/>
          <w:lang w:val="zh-CN"/>
        </w:rPr>
        <w:t>施工区域对现状地形地貌产生了较大的破坏，水土流失严重；</w:t>
      </w:r>
    </w:p>
    <w:p w:rsidR="00C861DA" w:rsidRDefault="0044752E">
      <w:pPr>
        <w:spacing w:line="360" w:lineRule="auto"/>
        <w:ind w:firstLineChars="200" w:firstLine="480"/>
        <w:rPr>
          <w:rFonts w:ascii="Times New Roman" w:eastAsia="宋体"/>
          <w:color w:val="000000" w:themeColor="text1"/>
          <w:sz w:val="24"/>
          <w:szCs w:val="22"/>
          <w:lang w:val="zh-CN"/>
        </w:rPr>
      </w:pPr>
      <w:r>
        <w:rPr>
          <w:rFonts w:ascii="Times New Roman" w:eastAsia="宋体" w:hint="eastAsia"/>
          <w:color w:val="000000" w:themeColor="text1"/>
          <w:sz w:val="24"/>
          <w:szCs w:val="22"/>
          <w:lang w:val="zh-CN"/>
        </w:rPr>
        <w:t>现状施工噪声较大。</w:t>
      </w:r>
    </w:p>
    <w:p w:rsidR="00C861DA" w:rsidRDefault="0044752E">
      <w:pPr>
        <w:pStyle w:val="22"/>
        <w:rPr>
          <w:rFonts w:ascii="Times New Roman" w:eastAsia="宋体" w:hAnsi="Times New Roman"/>
          <w:bCs w:val="0"/>
          <w:color w:val="000000" w:themeColor="text1"/>
          <w:sz w:val="28"/>
          <w:szCs w:val="28"/>
        </w:rPr>
      </w:pPr>
      <w:bookmarkStart w:id="266" w:name="_Toc22825"/>
      <w:bookmarkStart w:id="267" w:name="_Toc6826812"/>
      <w:bookmarkStart w:id="268" w:name="_Toc17423"/>
      <w:bookmarkStart w:id="269" w:name="_Toc1576"/>
      <w:bookmarkStart w:id="270" w:name="_Toc12537"/>
      <w:r>
        <w:rPr>
          <w:rFonts w:ascii="Times New Roman" w:eastAsia="宋体" w:hAnsi="Times New Roman" w:hint="eastAsia"/>
          <w:bCs w:val="0"/>
          <w:color w:val="000000" w:themeColor="text1"/>
          <w:sz w:val="28"/>
          <w:szCs w:val="28"/>
        </w:rPr>
        <w:t>5</w:t>
      </w:r>
      <w:r>
        <w:rPr>
          <w:rFonts w:ascii="Times New Roman" w:eastAsia="宋体" w:hAnsi="Times New Roman"/>
          <w:bCs w:val="0"/>
          <w:color w:val="000000" w:themeColor="text1"/>
          <w:sz w:val="28"/>
          <w:szCs w:val="28"/>
        </w:rPr>
        <w:t>.</w:t>
      </w:r>
      <w:r>
        <w:rPr>
          <w:rFonts w:ascii="Times New Roman" w:eastAsia="宋体" w:hAnsi="Times New Roman" w:hint="eastAsia"/>
          <w:bCs w:val="0"/>
          <w:color w:val="000000" w:themeColor="text1"/>
          <w:sz w:val="28"/>
          <w:szCs w:val="28"/>
        </w:rPr>
        <w:t>2</w:t>
      </w:r>
      <w:r>
        <w:rPr>
          <w:rFonts w:ascii="Times New Roman" w:eastAsia="宋体" w:hAnsi="Times New Roman"/>
          <w:bCs w:val="0"/>
          <w:color w:val="000000" w:themeColor="text1"/>
          <w:sz w:val="28"/>
          <w:szCs w:val="28"/>
        </w:rPr>
        <w:t>自然环境概况</w:t>
      </w:r>
      <w:bookmarkEnd w:id="266"/>
      <w:bookmarkEnd w:id="267"/>
      <w:bookmarkEnd w:id="268"/>
      <w:bookmarkEnd w:id="269"/>
      <w:bookmarkEnd w:id="270"/>
    </w:p>
    <w:p w:rsidR="00C861DA" w:rsidRDefault="0044752E">
      <w:pPr>
        <w:pStyle w:val="32"/>
        <w:rPr>
          <w:rFonts w:ascii="Times New Roman" w:eastAsia="宋体"/>
          <w:bCs w:val="0"/>
          <w:color w:val="000000" w:themeColor="text1"/>
          <w:sz w:val="24"/>
          <w:szCs w:val="24"/>
        </w:rPr>
      </w:pPr>
      <w:bookmarkStart w:id="271" w:name="_Toc6826813"/>
      <w:bookmarkStart w:id="272" w:name="_Toc510564980"/>
      <w:bookmarkStart w:id="273" w:name="_Toc511895776"/>
      <w:bookmarkStart w:id="274" w:name="_Toc194807616"/>
      <w:bookmarkStart w:id="275" w:name="_Toc6204"/>
      <w:bookmarkStart w:id="276" w:name="_Toc8685"/>
      <w:bookmarkStart w:id="277" w:name="_Toc210291304"/>
      <w:bookmarkStart w:id="278" w:name="_Toc421179360"/>
      <w:bookmarkStart w:id="279" w:name="_Toc330222522"/>
      <w:bookmarkStart w:id="280" w:name="_Toc9261"/>
      <w:bookmarkStart w:id="281" w:name="_Toc14696"/>
      <w:bookmarkStart w:id="282" w:name="_Toc495054437"/>
      <w:bookmarkStart w:id="283" w:name="_Toc481761396"/>
      <w:bookmarkStart w:id="284" w:name="_Toc496088678"/>
      <w:bookmarkStart w:id="285" w:name="_Toc495153783"/>
      <w:r>
        <w:rPr>
          <w:rFonts w:ascii="Times New Roman" w:eastAsia="宋体" w:hint="eastAsia"/>
          <w:bCs w:val="0"/>
          <w:color w:val="000000" w:themeColor="text1"/>
          <w:sz w:val="24"/>
          <w:szCs w:val="24"/>
        </w:rPr>
        <w:t>5</w:t>
      </w:r>
      <w:r>
        <w:rPr>
          <w:rFonts w:ascii="Times New Roman" w:eastAsia="宋体"/>
          <w:bCs w:val="0"/>
          <w:color w:val="000000" w:themeColor="text1"/>
          <w:sz w:val="24"/>
          <w:szCs w:val="24"/>
        </w:rPr>
        <w:t>.</w:t>
      </w:r>
      <w:r>
        <w:rPr>
          <w:rFonts w:ascii="Times New Roman" w:eastAsia="宋体" w:hint="eastAsia"/>
          <w:bCs w:val="0"/>
          <w:color w:val="000000" w:themeColor="text1"/>
          <w:sz w:val="24"/>
          <w:szCs w:val="24"/>
        </w:rPr>
        <w:t>2.</w:t>
      </w:r>
      <w:r>
        <w:rPr>
          <w:rFonts w:ascii="Times New Roman" w:eastAsia="宋体"/>
          <w:bCs w:val="0"/>
          <w:color w:val="000000" w:themeColor="text1"/>
          <w:sz w:val="24"/>
          <w:szCs w:val="24"/>
        </w:rPr>
        <w:t>1</w:t>
      </w:r>
      <w:r>
        <w:rPr>
          <w:rFonts w:ascii="Times New Roman" w:eastAsia="宋体"/>
          <w:bCs w:val="0"/>
          <w:color w:val="000000" w:themeColor="text1"/>
          <w:sz w:val="24"/>
          <w:szCs w:val="24"/>
        </w:rPr>
        <w:t>地理位置</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安宁市位于昆明市西南</w:t>
      </w:r>
      <w:r>
        <w:rPr>
          <w:rFonts w:ascii="Times New Roman" w:eastAsia="宋体" w:hAnsi="Times New Roman" w:cs="Times New Roman"/>
          <w:color w:val="000000" w:themeColor="text1"/>
          <w:sz w:val="24"/>
        </w:rPr>
        <w:t>32km</w:t>
      </w:r>
      <w:r>
        <w:rPr>
          <w:rFonts w:ascii="Times New Roman" w:eastAsia="宋体" w:hAnsi="Times New Roman" w:cs="Times New Roman"/>
          <w:color w:val="000000" w:themeColor="text1"/>
          <w:sz w:val="24"/>
        </w:rPr>
        <w:t>处，是通往滇西</w:t>
      </w:r>
      <w:r>
        <w:rPr>
          <w:rFonts w:ascii="Times New Roman" w:eastAsia="宋体" w:hAnsi="Times New Roman" w:cs="Times New Roman"/>
          <w:color w:val="000000" w:themeColor="text1"/>
          <w:sz w:val="24"/>
        </w:rPr>
        <w:t>8</w:t>
      </w:r>
      <w:r>
        <w:rPr>
          <w:rFonts w:ascii="Times New Roman" w:eastAsia="宋体" w:hAnsi="Times New Roman" w:cs="Times New Roman"/>
          <w:color w:val="000000" w:themeColor="text1"/>
          <w:sz w:val="24"/>
        </w:rPr>
        <w:t>个地州，并经畹町直接与缅甸相连的交通重镇。东北与西山区相连，东南接晋宁县，西邻易门、禄丰县，总面积</w:t>
      </w:r>
      <w:r>
        <w:rPr>
          <w:rFonts w:ascii="Times New Roman" w:eastAsia="宋体" w:hAnsi="Times New Roman" w:cs="Times New Roman"/>
          <w:color w:val="000000" w:themeColor="text1"/>
          <w:sz w:val="24"/>
        </w:rPr>
        <w:t>1321km</w:t>
      </w:r>
      <w:r>
        <w:rPr>
          <w:rFonts w:ascii="Times New Roman" w:eastAsia="宋体" w:hAnsi="Times New Roman" w:cs="Times New Roman"/>
          <w:color w:val="000000" w:themeColor="text1"/>
          <w:sz w:val="24"/>
          <w:vertAlign w:val="superscript"/>
        </w:rPr>
        <w:t>2</w:t>
      </w:r>
      <w:r>
        <w:rPr>
          <w:rFonts w:ascii="Times New Roman" w:eastAsia="宋体" w:hAnsi="Times New Roman" w:cs="Times New Roman"/>
          <w:color w:val="000000" w:themeColor="text1"/>
          <w:sz w:val="24"/>
        </w:rPr>
        <w:t>，平均海拔</w:t>
      </w:r>
      <w:r>
        <w:rPr>
          <w:rFonts w:ascii="Times New Roman" w:eastAsia="宋体" w:hAnsi="Times New Roman" w:cs="Times New Roman"/>
          <w:color w:val="000000" w:themeColor="text1"/>
          <w:sz w:val="24"/>
        </w:rPr>
        <w:t>1800m</w:t>
      </w:r>
      <w:r>
        <w:rPr>
          <w:rFonts w:ascii="Times New Roman" w:eastAsia="宋体" w:hAnsi="Times New Roman" w:cs="Times New Roman"/>
          <w:color w:val="000000" w:themeColor="text1"/>
          <w:sz w:val="24"/>
        </w:rPr>
        <w:t>。</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安宁工业园区规划区位于安宁主城区西部，是昆楚发展轴线的组成部分，是通往滇西八州、经滇西进入东南亚的必经之地，地理区位优越涵盖草铺、青龙和禄脿三镇的行政辖区范围。规划区东与安宁主城区、温泉镇相接，南与易门六街镇、县街乡接壤，西与陆丰县土官乡、腰站乡、勤丰镇接壤，北与昆明西山区团结镇及禄丰县勤丰镇接壤。规划区总面积为</w:t>
      </w:r>
      <w:r>
        <w:rPr>
          <w:rFonts w:ascii="Times New Roman" w:eastAsia="宋体" w:hAnsi="Times New Roman" w:cs="Times New Roman"/>
          <w:color w:val="000000" w:themeColor="text1"/>
          <w:sz w:val="24"/>
        </w:rPr>
        <w:t>395.26</w:t>
      </w:r>
      <w:r>
        <w:rPr>
          <w:rFonts w:ascii="Times New Roman" w:eastAsia="宋体" w:hAnsi="Times New Roman" w:cs="Times New Roman"/>
          <w:color w:val="000000" w:themeColor="text1"/>
          <w:sz w:val="24"/>
        </w:rPr>
        <w:t>平方公里，其中工业园区重点建设区域为</w:t>
      </w:r>
      <w:r>
        <w:rPr>
          <w:rFonts w:ascii="Times New Roman" w:eastAsia="宋体" w:hAnsi="Times New Roman" w:cs="Times New Roman"/>
          <w:color w:val="000000" w:themeColor="text1"/>
          <w:sz w:val="24"/>
        </w:rPr>
        <w:t>192.63</w:t>
      </w:r>
      <w:r>
        <w:rPr>
          <w:rFonts w:ascii="Times New Roman" w:eastAsia="宋体" w:hAnsi="Times New Roman" w:cs="Times New Roman"/>
          <w:color w:val="000000" w:themeColor="text1"/>
          <w:sz w:val="24"/>
        </w:rPr>
        <w:t>平方公里。</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本项目位于安宁工业园区内，</w:t>
      </w:r>
      <w:r>
        <w:rPr>
          <w:rFonts w:ascii="Times New Roman" w:eastAsia="宋体" w:hAnsi="Times New Roman" w:cs="Times New Roman"/>
          <w:color w:val="000000" w:themeColor="text1"/>
          <w:sz w:val="24"/>
          <w:szCs w:val="28"/>
        </w:rPr>
        <w:t>厂址内现有交通条件良好，周边规模企业仅祥丰金麦有限公司，环境保护目标较少，且最近的村庄距离项目区边界</w:t>
      </w:r>
      <w:r>
        <w:rPr>
          <w:rFonts w:ascii="Times New Roman" w:eastAsia="宋体" w:hAnsi="Times New Roman" w:cs="Times New Roman"/>
          <w:color w:val="000000" w:themeColor="text1"/>
          <w:sz w:val="24"/>
          <w:szCs w:val="28"/>
        </w:rPr>
        <w:t>1100m</w:t>
      </w:r>
      <w:r>
        <w:rPr>
          <w:rFonts w:ascii="Times New Roman" w:eastAsia="宋体" w:hAnsi="Times New Roman" w:cs="Times New Roman"/>
          <w:color w:val="000000" w:themeColor="text1"/>
          <w:sz w:val="24"/>
          <w:szCs w:val="28"/>
        </w:rPr>
        <w:t>，具体位置</w:t>
      </w:r>
      <w:r>
        <w:rPr>
          <w:rFonts w:ascii="Times New Roman" w:eastAsia="宋体" w:hAnsi="Times New Roman" w:cs="Times New Roman"/>
          <w:color w:val="000000" w:themeColor="text1"/>
          <w:sz w:val="24"/>
        </w:rPr>
        <w:t>见地理位置图。</w:t>
      </w:r>
    </w:p>
    <w:p w:rsidR="00C861DA" w:rsidRDefault="0044752E">
      <w:pPr>
        <w:pStyle w:val="32"/>
        <w:rPr>
          <w:rFonts w:ascii="Times New Roman" w:eastAsia="宋体"/>
          <w:bCs w:val="0"/>
          <w:color w:val="000000" w:themeColor="text1"/>
          <w:sz w:val="24"/>
          <w:szCs w:val="24"/>
        </w:rPr>
      </w:pPr>
      <w:bookmarkStart w:id="286" w:name="_Toc23880"/>
      <w:bookmarkStart w:id="287" w:name="_Toc1111"/>
      <w:bookmarkStart w:id="288" w:name="_Toc1205"/>
      <w:bookmarkStart w:id="289" w:name="_Toc510564981"/>
      <w:bookmarkStart w:id="290" w:name="_Toc501014141"/>
      <w:bookmarkStart w:id="291" w:name="_Toc571"/>
      <w:bookmarkStart w:id="292" w:name="_Toc6826814"/>
      <w:bookmarkStart w:id="293" w:name="_Toc511895777"/>
      <w:r>
        <w:rPr>
          <w:rFonts w:ascii="Times New Roman" w:eastAsia="宋体" w:hint="eastAsia"/>
          <w:bCs w:val="0"/>
          <w:color w:val="000000" w:themeColor="text1"/>
          <w:sz w:val="24"/>
          <w:szCs w:val="24"/>
        </w:rPr>
        <w:t>5</w:t>
      </w:r>
      <w:r>
        <w:rPr>
          <w:rFonts w:ascii="Times New Roman" w:eastAsia="宋体"/>
          <w:bCs w:val="0"/>
          <w:color w:val="000000" w:themeColor="text1"/>
          <w:sz w:val="24"/>
          <w:szCs w:val="24"/>
        </w:rPr>
        <w:t>.</w:t>
      </w:r>
      <w:r>
        <w:rPr>
          <w:rFonts w:ascii="Times New Roman" w:eastAsia="宋体" w:hint="eastAsia"/>
          <w:bCs w:val="0"/>
          <w:color w:val="000000" w:themeColor="text1"/>
          <w:sz w:val="24"/>
          <w:szCs w:val="24"/>
        </w:rPr>
        <w:t>2</w:t>
      </w:r>
      <w:r>
        <w:rPr>
          <w:rFonts w:ascii="Times New Roman" w:eastAsia="宋体"/>
          <w:bCs w:val="0"/>
          <w:color w:val="000000" w:themeColor="text1"/>
          <w:sz w:val="24"/>
          <w:szCs w:val="24"/>
        </w:rPr>
        <w:t>.</w:t>
      </w:r>
      <w:r>
        <w:rPr>
          <w:rFonts w:ascii="Times New Roman" w:eastAsia="宋体" w:hint="eastAsia"/>
          <w:bCs w:val="0"/>
          <w:color w:val="000000" w:themeColor="text1"/>
          <w:sz w:val="24"/>
          <w:szCs w:val="24"/>
        </w:rPr>
        <w:t>2</w:t>
      </w:r>
      <w:r>
        <w:rPr>
          <w:rFonts w:ascii="Times New Roman" w:eastAsia="宋体"/>
          <w:bCs w:val="0"/>
          <w:color w:val="000000" w:themeColor="text1"/>
          <w:sz w:val="24"/>
          <w:szCs w:val="24"/>
        </w:rPr>
        <w:t>地形</w:t>
      </w:r>
      <w:r>
        <w:rPr>
          <w:rFonts w:ascii="Times New Roman" w:eastAsia="宋体" w:hint="eastAsia"/>
          <w:bCs w:val="0"/>
          <w:color w:val="000000" w:themeColor="text1"/>
          <w:sz w:val="24"/>
          <w:szCs w:val="24"/>
        </w:rPr>
        <w:t>、</w:t>
      </w:r>
      <w:r>
        <w:rPr>
          <w:rFonts w:ascii="Times New Roman" w:eastAsia="宋体"/>
          <w:bCs w:val="0"/>
          <w:color w:val="000000" w:themeColor="text1"/>
          <w:sz w:val="24"/>
          <w:szCs w:val="24"/>
        </w:rPr>
        <w:t>地貌</w:t>
      </w:r>
      <w:r>
        <w:rPr>
          <w:rFonts w:ascii="Times New Roman" w:eastAsia="宋体" w:hint="eastAsia"/>
          <w:bCs w:val="0"/>
          <w:color w:val="000000" w:themeColor="text1"/>
          <w:sz w:val="24"/>
          <w:szCs w:val="24"/>
        </w:rPr>
        <w:t>、地质</w:t>
      </w:r>
      <w:bookmarkEnd w:id="286"/>
      <w:bookmarkEnd w:id="287"/>
      <w:bookmarkEnd w:id="288"/>
      <w:bookmarkEnd w:id="289"/>
      <w:bookmarkEnd w:id="290"/>
      <w:bookmarkEnd w:id="291"/>
      <w:bookmarkEnd w:id="292"/>
      <w:bookmarkEnd w:id="293"/>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安宁市地形北宽南窄如锥形，北部最宽为</w:t>
      </w:r>
      <w:r>
        <w:rPr>
          <w:rFonts w:ascii="Times New Roman" w:eastAsia="宋体" w:hAnsi="Times New Roman" w:cs="Times New Roman"/>
          <w:color w:val="000000" w:themeColor="text1"/>
          <w:sz w:val="24"/>
        </w:rPr>
        <w:t>39.2km</w:t>
      </w:r>
      <w:r>
        <w:rPr>
          <w:rFonts w:ascii="Times New Roman" w:eastAsia="宋体" w:hAnsi="Times New Roman" w:cs="Times New Roman"/>
          <w:color w:val="000000" w:themeColor="text1"/>
          <w:sz w:val="24"/>
        </w:rPr>
        <w:t>，南部横距</w:t>
      </w:r>
      <w:r>
        <w:rPr>
          <w:rFonts w:ascii="Times New Roman" w:eastAsia="宋体" w:hAnsi="Times New Roman" w:cs="Times New Roman"/>
          <w:color w:val="000000" w:themeColor="text1"/>
          <w:sz w:val="24"/>
        </w:rPr>
        <w:t>18km</w:t>
      </w:r>
      <w:r>
        <w:rPr>
          <w:rFonts w:ascii="Times New Roman" w:eastAsia="宋体" w:hAnsi="Times New Roman" w:cs="Times New Roman"/>
          <w:color w:val="000000" w:themeColor="text1"/>
          <w:sz w:val="24"/>
        </w:rPr>
        <w:t>；自青龙街道办事处以北官山场至一六乡街磨南德以南白龙山北面，最大纵距</w:t>
      </w:r>
      <w:r>
        <w:rPr>
          <w:rFonts w:ascii="Times New Roman" w:eastAsia="宋体" w:hAnsi="Times New Roman" w:cs="Times New Roman"/>
          <w:color w:val="000000" w:themeColor="text1"/>
          <w:sz w:val="24"/>
        </w:rPr>
        <w:t>62.5km</w:t>
      </w:r>
      <w:r>
        <w:rPr>
          <w:rFonts w:ascii="Times New Roman" w:eastAsia="宋体" w:hAnsi="Times New Roman" w:cs="Times New Roman"/>
          <w:color w:val="000000" w:themeColor="text1"/>
          <w:sz w:val="24"/>
        </w:rPr>
        <w:t>。地势南高北低，但起伏不大，高差较小。由于经历了</w:t>
      </w:r>
      <w:r>
        <w:rPr>
          <w:rFonts w:ascii="Times New Roman" w:eastAsia="宋体" w:hAnsi="Times New Roman" w:cs="Times New Roman"/>
          <w:color w:val="000000" w:themeColor="text1"/>
          <w:sz w:val="24"/>
        </w:rPr>
        <w:t>8</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rPr>
        <w:t>亿年前的晋宁和澄江褶皱造山运动到新生代的喜马拉雅造山运动，形成了两类地貌：</w:t>
      </w:r>
      <w:r>
        <w:rPr>
          <w:rFonts w:ascii="宋体" w:eastAsia="宋体" w:hAnsi="宋体" w:cs="宋体" w:hint="eastAsia"/>
          <w:color w:val="000000" w:themeColor="text1"/>
          <w:sz w:val="24"/>
        </w:rPr>
        <w:t>①</w:t>
      </w:r>
      <w:r>
        <w:rPr>
          <w:rFonts w:ascii="Times New Roman" w:eastAsia="宋体" w:hAnsi="Times New Roman" w:cs="Times New Roman"/>
          <w:color w:val="000000" w:themeColor="text1"/>
          <w:sz w:val="24"/>
        </w:rPr>
        <w:t>安宁市境内西部、南部、东部及中部部分地区形成构造山地地貌。由于基地断裂影响，盖层褶皱隆起成山，大部分山态舒缓、宽展，背斜为山，向斜为谷。在长期的剥蚀作用下，形成谷地和高山山地，山脉之间有断裂古、纵谷、横谷；</w:t>
      </w:r>
      <w:r>
        <w:rPr>
          <w:rFonts w:ascii="宋体" w:eastAsia="宋体" w:hAnsi="宋体" w:cs="宋体" w:hint="eastAsia"/>
          <w:color w:val="000000" w:themeColor="text1"/>
          <w:sz w:val="24"/>
        </w:rPr>
        <w:t>②</w:t>
      </w:r>
      <w:r>
        <w:rPr>
          <w:rFonts w:ascii="Times New Roman" w:eastAsia="宋体" w:hAnsi="Times New Roman" w:cs="Times New Roman"/>
          <w:color w:val="000000" w:themeColor="text1"/>
          <w:sz w:val="24"/>
        </w:rPr>
        <w:t>连然盆地、八街一鸣矣河盆地及禄裱盆地均属于断陷盆地，是由于一些平行断裂带断陷形成。盆地中深积地层多为中生代</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新生代第四系。安宁境内最大的断陷盆地连然盆地以县城为中心，东到太平镇、西至草铺镇，北到温泉镇，南到通仙桥。</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草铺片区一带属于低山丘陵缓坡地带，地势开阔，相对高差小。地势总体西北、东南低，中部、东部</w:t>
      </w:r>
      <w:r>
        <w:rPr>
          <w:rFonts w:ascii="Times New Roman" w:eastAsia="宋体" w:hAnsi="Times New Roman" w:cs="Times New Roman"/>
          <w:color w:val="000000" w:themeColor="text1"/>
          <w:sz w:val="24"/>
        </w:rPr>
        <w:t>及西部地带高。区域地质为第四系统冲积层，第四系湖积层，侏罗系禄丰组甸尾段，侏罗系禄丰组小海口段，三叠系舍资组砂页岩断，三叠系舍资组砂砾岩断，二叠系梁山组，震旦系灯影组含磷段，震旦系灯影组白云岩段以及柳坝唐组。</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青龙片区地处云南高原中部，属中山河谷盆地地貌，海拔</w:t>
      </w:r>
      <w:r>
        <w:rPr>
          <w:rFonts w:ascii="Times New Roman" w:eastAsia="宋体" w:hAnsi="Times New Roman" w:cs="Times New Roman"/>
          <w:color w:val="000000" w:themeColor="text1"/>
          <w:sz w:val="24"/>
        </w:rPr>
        <w:t>1779m</w:t>
      </w:r>
      <w:r>
        <w:rPr>
          <w:rFonts w:ascii="Times New Roman" w:eastAsia="宋体" w:hAnsi="Times New Roman" w:cs="Times New Roman"/>
          <w:color w:val="000000" w:themeColor="text1"/>
          <w:sz w:val="24"/>
        </w:rPr>
        <w:t>至</w:t>
      </w:r>
      <w:r>
        <w:rPr>
          <w:rFonts w:ascii="Times New Roman" w:eastAsia="宋体" w:hAnsi="Times New Roman" w:cs="Times New Roman"/>
          <w:color w:val="000000" w:themeColor="text1"/>
          <w:sz w:val="24"/>
        </w:rPr>
        <w:t>2415m</w:t>
      </w:r>
      <w:r>
        <w:rPr>
          <w:rFonts w:ascii="Times New Roman" w:eastAsia="宋体" w:hAnsi="Times New Roman" w:cs="Times New Roman"/>
          <w:color w:val="000000" w:themeColor="text1"/>
          <w:sz w:val="24"/>
        </w:rPr>
        <w:t>，地形地貌较为明显。主要山丘为：东面小格箐尖山，海拔</w:t>
      </w:r>
      <w:r>
        <w:rPr>
          <w:rFonts w:ascii="Times New Roman" w:eastAsia="宋体" w:hAnsi="Times New Roman" w:cs="Times New Roman"/>
          <w:color w:val="000000" w:themeColor="text1"/>
          <w:sz w:val="24"/>
        </w:rPr>
        <w:t>2046m</w:t>
      </w:r>
      <w:r>
        <w:rPr>
          <w:rFonts w:ascii="Times New Roman" w:eastAsia="宋体" w:hAnsi="Times New Roman" w:cs="Times New Roman"/>
          <w:color w:val="000000" w:themeColor="text1"/>
          <w:sz w:val="24"/>
        </w:rPr>
        <w:t>；老尖山，海拔</w:t>
      </w:r>
      <w:r>
        <w:rPr>
          <w:rFonts w:ascii="Times New Roman" w:eastAsia="宋体" w:hAnsi="Times New Roman" w:cs="Times New Roman"/>
          <w:color w:val="000000" w:themeColor="text1"/>
          <w:sz w:val="24"/>
        </w:rPr>
        <w:t>2102m</w:t>
      </w:r>
      <w:r>
        <w:rPr>
          <w:rFonts w:ascii="Times New Roman" w:eastAsia="宋体" w:hAnsi="Times New Roman" w:cs="Times New Roman"/>
          <w:color w:val="000000" w:themeColor="text1"/>
          <w:sz w:val="24"/>
        </w:rPr>
        <w:t>；红石头箐头山，海拔</w:t>
      </w:r>
      <w:r>
        <w:rPr>
          <w:rFonts w:ascii="Times New Roman" w:eastAsia="宋体" w:hAnsi="Times New Roman" w:cs="Times New Roman"/>
          <w:color w:val="000000" w:themeColor="text1"/>
          <w:sz w:val="24"/>
        </w:rPr>
        <w:t>2167m</w:t>
      </w:r>
      <w:r>
        <w:rPr>
          <w:rFonts w:ascii="Times New Roman" w:eastAsia="宋体" w:hAnsi="Times New Roman" w:cs="Times New Roman"/>
          <w:color w:val="000000" w:themeColor="text1"/>
          <w:sz w:val="24"/>
        </w:rPr>
        <w:t>；西面红李子坡山，海拔</w:t>
      </w:r>
      <w:r>
        <w:rPr>
          <w:rFonts w:ascii="Times New Roman" w:eastAsia="宋体" w:hAnsi="Times New Roman" w:cs="Times New Roman"/>
          <w:color w:val="000000" w:themeColor="text1"/>
          <w:sz w:val="24"/>
        </w:rPr>
        <w:t>2201m</w:t>
      </w:r>
      <w:r>
        <w:rPr>
          <w:rFonts w:ascii="Times New Roman" w:eastAsia="宋体" w:hAnsi="Times New Roman" w:cs="Times New Roman"/>
          <w:color w:val="000000" w:themeColor="text1"/>
          <w:sz w:val="24"/>
        </w:rPr>
        <w:t>；分水岭山，海拔</w:t>
      </w:r>
      <w:r>
        <w:rPr>
          <w:rFonts w:ascii="Times New Roman" w:eastAsia="宋体" w:hAnsi="Times New Roman" w:cs="Times New Roman"/>
          <w:color w:val="000000" w:themeColor="text1"/>
          <w:sz w:val="24"/>
        </w:rPr>
        <w:t>2275m</w:t>
      </w:r>
      <w:r>
        <w:rPr>
          <w:rFonts w:ascii="Times New Roman" w:eastAsia="宋体" w:hAnsi="Times New Roman" w:cs="Times New Roman"/>
          <w:color w:val="000000" w:themeColor="text1"/>
          <w:sz w:val="24"/>
        </w:rPr>
        <w:t>；簸箕山，海拔</w:t>
      </w:r>
      <w:r>
        <w:rPr>
          <w:rFonts w:ascii="Times New Roman" w:eastAsia="宋体" w:hAnsi="Times New Roman" w:cs="Times New Roman"/>
          <w:color w:val="000000" w:themeColor="text1"/>
          <w:sz w:val="24"/>
        </w:rPr>
        <w:t>2046m</w:t>
      </w:r>
      <w:r>
        <w:rPr>
          <w:rFonts w:ascii="Times New Roman" w:eastAsia="宋体" w:hAnsi="Times New Roman" w:cs="Times New Roman"/>
          <w:color w:val="000000" w:themeColor="text1"/>
          <w:sz w:val="24"/>
        </w:rPr>
        <w:t>；西南面高尖山，海拔</w:t>
      </w:r>
      <w:r>
        <w:rPr>
          <w:rFonts w:ascii="Times New Roman" w:eastAsia="宋体" w:hAnsi="Times New Roman" w:cs="Times New Roman"/>
          <w:color w:val="000000" w:themeColor="text1"/>
          <w:sz w:val="24"/>
        </w:rPr>
        <w:t>1994m</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甸头山，海拔</w:t>
      </w:r>
      <w:r>
        <w:rPr>
          <w:rFonts w:ascii="Times New Roman" w:eastAsia="宋体" w:hAnsi="Times New Roman" w:cs="Times New Roman"/>
          <w:color w:val="000000" w:themeColor="text1"/>
          <w:sz w:val="24"/>
        </w:rPr>
        <w:t>2089m</w:t>
      </w:r>
      <w:r>
        <w:rPr>
          <w:rFonts w:ascii="Times New Roman" w:eastAsia="宋体" w:hAnsi="Times New Roman" w:cs="Times New Roman"/>
          <w:color w:val="000000" w:themeColor="text1"/>
          <w:sz w:val="24"/>
        </w:rPr>
        <w:t>；象鼻子山，海拔</w:t>
      </w:r>
      <w:r>
        <w:rPr>
          <w:rFonts w:ascii="Times New Roman" w:eastAsia="宋体" w:hAnsi="Times New Roman" w:cs="Times New Roman"/>
          <w:color w:val="000000" w:themeColor="text1"/>
          <w:sz w:val="24"/>
        </w:rPr>
        <w:t>1990m</w:t>
      </w:r>
      <w:r>
        <w:rPr>
          <w:rFonts w:ascii="Times New Roman" w:eastAsia="宋体" w:hAnsi="Times New Roman" w:cs="Times New Roman"/>
          <w:color w:val="000000" w:themeColor="text1"/>
          <w:sz w:val="24"/>
        </w:rPr>
        <w:t>；叫魂山，海拔</w:t>
      </w:r>
      <w:r>
        <w:rPr>
          <w:rFonts w:ascii="Times New Roman" w:eastAsia="宋体" w:hAnsi="Times New Roman" w:cs="Times New Roman"/>
          <w:color w:val="000000" w:themeColor="text1"/>
          <w:sz w:val="24"/>
        </w:rPr>
        <w:t>1962m</w:t>
      </w:r>
      <w:r>
        <w:rPr>
          <w:rFonts w:ascii="Times New Roman" w:eastAsia="宋体" w:hAnsi="Times New Roman" w:cs="Times New Roman"/>
          <w:color w:val="000000" w:themeColor="text1"/>
          <w:sz w:val="24"/>
        </w:rPr>
        <w:t>；西北面怕马眷山，海拔</w:t>
      </w:r>
      <w:r>
        <w:rPr>
          <w:rFonts w:ascii="Times New Roman" w:eastAsia="宋体" w:hAnsi="Times New Roman" w:cs="Times New Roman"/>
          <w:color w:val="000000" w:themeColor="text1"/>
          <w:sz w:val="24"/>
        </w:rPr>
        <w:t>2001m</w:t>
      </w:r>
      <w:r>
        <w:rPr>
          <w:rFonts w:ascii="Times New Roman" w:eastAsia="宋体" w:hAnsi="Times New Roman" w:cs="Times New Roman"/>
          <w:color w:val="000000" w:themeColor="text1"/>
          <w:sz w:val="24"/>
        </w:rPr>
        <w:t>。</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禄脿片区处整个地形南北狭长，东西较窄，境内中部较为平缓，南北多为山区和半山区。地层：古生代前，安宁地区被海水淹没。在中生代侏罗纪、白垩纪时期，地壳升降频繁，海水在地壳长期上升中，逐渐退去。出露的地层，有老至</w:t>
      </w:r>
      <w:r>
        <w:rPr>
          <w:rFonts w:ascii="Times New Roman" w:eastAsia="宋体" w:hAnsi="Times New Roman" w:cs="Times New Roman"/>
          <w:color w:val="000000" w:themeColor="text1"/>
          <w:sz w:val="24"/>
        </w:rPr>
        <w:t>20</w:t>
      </w:r>
      <w:r>
        <w:rPr>
          <w:rFonts w:ascii="Times New Roman" w:eastAsia="宋体" w:hAnsi="Times New Roman" w:cs="Times New Roman"/>
          <w:color w:val="000000" w:themeColor="text1"/>
          <w:sz w:val="24"/>
        </w:rPr>
        <w:t>亿年的中元古界昆阳群，新至近万年的第四系全新统。构造：安宁位于杨子准地台（</w:t>
      </w:r>
      <w:r>
        <w:rPr>
          <w:rFonts w:ascii="宋体" w:eastAsia="宋体" w:hAnsi="宋体" w:cs="宋体" w:hint="eastAsia"/>
          <w:color w:val="000000" w:themeColor="text1"/>
          <w:sz w:val="24"/>
        </w:rPr>
        <w:t>Ⅰ</w:t>
      </w:r>
      <w:r>
        <w:rPr>
          <w:rFonts w:ascii="Times New Roman" w:eastAsia="宋体" w:hAnsi="Times New Roman" w:cs="Times New Roman"/>
          <w:color w:val="000000" w:themeColor="text1"/>
          <w:sz w:val="24"/>
        </w:rPr>
        <w:t>级构造）西缘，属康滇地轴（</w:t>
      </w:r>
      <w:r>
        <w:rPr>
          <w:rFonts w:ascii="宋体" w:eastAsia="宋体" w:hAnsi="宋体" w:cs="宋体" w:hint="eastAsia"/>
          <w:color w:val="000000" w:themeColor="text1"/>
          <w:sz w:val="24"/>
        </w:rPr>
        <w:t>Ⅱ</w:t>
      </w:r>
      <w:r>
        <w:rPr>
          <w:rFonts w:ascii="Times New Roman" w:eastAsia="宋体" w:hAnsi="Times New Roman" w:cs="Times New Roman"/>
          <w:color w:val="000000" w:themeColor="text1"/>
          <w:sz w:val="24"/>
        </w:rPr>
        <w:t>级构造）中南段。禄脿</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温泉断裂，走向东西，倾向南，为一高角度冲断层。</w:t>
      </w:r>
    </w:p>
    <w:p w:rsidR="00C861DA" w:rsidRDefault="0044752E">
      <w:pPr>
        <w:spacing w:line="360" w:lineRule="auto"/>
        <w:ind w:firstLineChars="200" w:firstLine="480"/>
        <w:jc w:val="both"/>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t>本项目位于禄脿片区，根据现场勘查，调查区地处康滇古陆地轴东缘，大地构造位于扬子地台西南缘，属滇东台褶皱区。经多期构造活动影响，使区内褶皱及断裂十分发育，构造较为复杂。受东西两侧南北向一级构造普渡河断裂和罗茨</w:t>
      </w:r>
      <w:r>
        <w:rPr>
          <w:rFonts w:ascii="Times New Roman" w:eastAsia="宋体" w:hAnsi="Times New Roman" w:cs="Times New Roman"/>
          <w:bCs/>
          <w:color w:val="000000" w:themeColor="text1"/>
          <w:sz w:val="24"/>
        </w:rPr>
        <w:t>—</w:t>
      </w:r>
      <w:r>
        <w:rPr>
          <w:rFonts w:ascii="Times New Roman" w:eastAsia="宋体" w:hAnsi="Times New Roman" w:cs="Times New Roman"/>
          <w:bCs/>
          <w:color w:val="000000" w:themeColor="text1"/>
          <w:sz w:val="24"/>
        </w:rPr>
        <w:t>易门断裂两大断裂夹持，区内南北两端受东西向和北东向断裂控制，使区内断陷盆地发育，断裂构造线主要呈北东向及东西向展布。区内一级断裂为罗茨</w:t>
      </w:r>
      <w:r>
        <w:rPr>
          <w:rFonts w:ascii="Times New Roman" w:eastAsia="宋体" w:hAnsi="Times New Roman" w:cs="Times New Roman"/>
          <w:bCs/>
          <w:color w:val="000000" w:themeColor="text1"/>
          <w:sz w:val="24"/>
        </w:rPr>
        <w:t>—</w:t>
      </w:r>
      <w:r>
        <w:rPr>
          <w:rFonts w:ascii="Times New Roman" w:eastAsia="宋体" w:hAnsi="Times New Roman" w:cs="Times New Roman"/>
          <w:bCs/>
          <w:color w:val="000000" w:themeColor="text1"/>
          <w:sz w:val="24"/>
        </w:rPr>
        <w:t>易门断裂</w:t>
      </w:r>
      <w:r>
        <w:rPr>
          <w:rFonts w:ascii="Times New Roman" w:eastAsia="宋体" w:hAnsi="Times New Roman" w:cs="Times New Roman"/>
          <w:bCs/>
          <w:color w:val="000000" w:themeColor="text1"/>
          <w:sz w:val="24"/>
        </w:rPr>
        <w:t>(F1)</w:t>
      </w:r>
      <w:r>
        <w:rPr>
          <w:rFonts w:ascii="Times New Roman" w:eastAsia="宋体" w:hAnsi="Times New Roman" w:cs="Times New Roman"/>
          <w:bCs/>
          <w:color w:val="000000" w:themeColor="text1"/>
          <w:sz w:val="24"/>
        </w:rPr>
        <w:t>，其它均为二级或次级断裂。</w:t>
      </w:r>
    </w:p>
    <w:p w:rsidR="00C861DA" w:rsidRDefault="0044752E">
      <w:pPr>
        <w:spacing w:line="360" w:lineRule="auto"/>
        <w:ind w:firstLineChars="200" w:firstLine="480"/>
        <w:jc w:val="both"/>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t>罗茨</w:t>
      </w:r>
      <w:r>
        <w:rPr>
          <w:rFonts w:ascii="Times New Roman" w:eastAsia="宋体" w:hAnsi="Times New Roman" w:cs="Times New Roman"/>
          <w:bCs/>
          <w:color w:val="000000" w:themeColor="text1"/>
          <w:sz w:val="24"/>
        </w:rPr>
        <w:t>--</w:t>
      </w:r>
      <w:r>
        <w:rPr>
          <w:rFonts w:ascii="Times New Roman" w:eastAsia="宋体" w:hAnsi="Times New Roman" w:cs="Times New Roman"/>
          <w:bCs/>
          <w:color w:val="000000" w:themeColor="text1"/>
          <w:sz w:val="24"/>
        </w:rPr>
        <w:t>易门断裂</w:t>
      </w:r>
      <w:r>
        <w:rPr>
          <w:rFonts w:ascii="Times New Roman" w:eastAsia="宋体" w:hAnsi="Times New Roman" w:cs="Times New Roman"/>
          <w:bCs/>
          <w:color w:val="000000" w:themeColor="text1"/>
          <w:sz w:val="24"/>
        </w:rPr>
        <w:t>(F1)</w:t>
      </w:r>
      <w:r>
        <w:rPr>
          <w:rFonts w:ascii="Times New Roman" w:eastAsia="宋体" w:hAnsi="Times New Roman" w:cs="Times New Roman"/>
          <w:bCs/>
          <w:color w:val="000000" w:themeColor="text1"/>
          <w:sz w:val="24"/>
        </w:rPr>
        <w:t>呈近南北向展布，由区内西北部入境经禄脿岀境至易门。该断裂全长</w:t>
      </w:r>
      <w:r>
        <w:rPr>
          <w:rFonts w:ascii="Times New Roman" w:eastAsia="宋体" w:hAnsi="Times New Roman" w:cs="Times New Roman"/>
          <w:bCs/>
          <w:color w:val="000000" w:themeColor="text1"/>
          <w:sz w:val="24"/>
        </w:rPr>
        <w:t>180km</w:t>
      </w:r>
      <w:r>
        <w:rPr>
          <w:rFonts w:ascii="Times New Roman" w:eastAsia="宋体" w:hAnsi="Times New Roman" w:cs="Times New Roman"/>
          <w:bCs/>
          <w:color w:val="000000" w:themeColor="text1"/>
          <w:sz w:val="24"/>
        </w:rPr>
        <w:t>，是一条多期活动的断裂，新构造</w:t>
      </w:r>
      <w:r>
        <w:rPr>
          <w:rFonts w:ascii="Times New Roman" w:eastAsia="宋体" w:hAnsi="Times New Roman" w:cs="Times New Roman"/>
          <w:bCs/>
          <w:color w:val="000000" w:themeColor="text1"/>
          <w:sz w:val="24"/>
        </w:rPr>
        <w:t>活动具继承性，控制罗茨、禄脿和易门等盆地及槽谷的发育，沿构造线有温泉岀露。断裂总体呈单一结构特征，罗茨以北平直延伸，左旋张扭特征表现明显，以南转为北北东向，在罗茨盆地附近与多条北东向断层交切，断裂中南段新构造活动显示左旋压扭性特征，南端于易门北被北西向断裂所交截。该断裂由北部进入区内禄脿，南延至易门北部，区内长约</w:t>
      </w:r>
      <w:r>
        <w:rPr>
          <w:rFonts w:ascii="Times New Roman" w:eastAsia="宋体" w:hAnsi="Times New Roman" w:cs="Times New Roman"/>
          <w:bCs/>
          <w:color w:val="000000" w:themeColor="text1"/>
          <w:sz w:val="24"/>
        </w:rPr>
        <w:t>8.0km</w:t>
      </w:r>
      <w:r>
        <w:rPr>
          <w:rFonts w:ascii="Times New Roman" w:eastAsia="宋体" w:hAnsi="Times New Roman" w:cs="Times New Roman"/>
          <w:bCs/>
          <w:color w:val="000000" w:themeColor="text1"/>
          <w:sz w:val="24"/>
        </w:rPr>
        <w:t>，断层带岩石破碎，角砾岩、糜棱岩发育，沿断层有辉长岩侵入及温泉岀露，断层受多期活动明显，晋宁期断层东盘下降，沉积厚约千余米震旦系澄江组砂岩。寒武世后期西盘再次上升</w:t>
      </w:r>
      <w:r>
        <w:rPr>
          <w:rFonts w:ascii="Times New Roman" w:eastAsia="宋体" w:hAnsi="Times New Roman" w:cs="Times New Roman"/>
          <w:bCs/>
          <w:color w:val="000000" w:themeColor="text1"/>
          <w:sz w:val="24"/>
        </w:rPr>
        <w:t>,</w:t>
      </w:r>
      <w:r>
        <w:rPr>
          <w:rFonts w:ascii="Times New Roman" w:eastAsia="宋体" w:hAnsi="Times New Roman" w:cs="Times New Roman"/>
          <w:bCs/>
          <w:color w:val="000000" w:themeColor="text1"/>
          <w:sz w:val="24"/>
        </w:rPr>
        <w:t>古生代沉积仅限于断层以东</w:t>
      </w:r>
      <w:r>
        <w:rPr>
          <w:rFonts w:ascii="Times New Roman" w:eastAsia="宋体" w:hAnsi="Times New Roman" w:cs="Times New Roman"/>
          <w:bCs/>
          <w:color w:val="000000" w:themeColor="text1"/>
          <w:sz w:val="24"/>
        </w:rPr>
        <w:t>，挽近期该断层与早期作反向运动，形成东高西低的构造剥蚀地形。区内次级构造十分发育，主要有北部禄脿帚状构造及禄脿</w:t>
      </w:r>
      <w:r>
        <w:rPr>
          <w:rFonts w:ascii="Times New Roman" w:eastAsia="宋体" w:hAnsi="Times New Roman" w:cs="Times New Roman"/>
          <w:bCs/>
          <w:color w:val="000000" w:themeColor="text1"/>
          <w:sz w:val="24"/>
        </w:rPr>
        <w:t>—</w:t>
      </w:r>
      <w:r>
        <w:rPr>
          <w:rFonts w:ascii="Times New Roman" w:eastAsia="宋体" w:hAnsi="Times New Roman" w:cs="Times New Roman"/>
          <w:bCs/>
          <w:color w:val="000000" w:themeColor="text1"/>
          <w:sz w:val="24"/>
        </w:rPr>
        <w:t>温泉逆掩断层和南部温水营平移断层等。</w:t>
      </w:r>
    </w:p>
    <w:p w:rsidR="00C861DA" w:rsidRDefault="0044752E">
      <w:pPr>
        <w:spacing w:line="360" w:lineRule="auto"/>
        <w:ind w:firstLineChars="200" w:firstLine="480"/>
        <w:jc w:val="both"/>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t>禄脿帚状构造</w:t>
      </w:r>
      <w:r>
        <w:rPr>
          <w:rFonts w:ascii="Times New Roman" w:eastAsia="宋体" w:hAnsi="Times New Roman" w:cs="Times New Roman"/>
          <w:bCs/>
          <w:color w:val="000000" w:themeColor="text1"/>
          <w:sz w:val="24"/>
        </w:rPr>
        <w:t>(F2)</w:t>
      </w:r>
      <w:r>
        <w:rPr>
          <w:rFonts w:ascii="Times New Roman" w:eastAsia="宋体" w:hAnsi="Times New Roman" w:cs="Times New Roman"/>
          <w:bCs/>
          <w:color w:val="000000" w:themeColor="text1"/>
          <w:sz w:val="24"/>
        </w:rPr>
        <w:t>，在南北向及东西向联合应力作用下，安宁盆形向斜围绕西部昆阳群地层按顺时针方向扭动，旋扭面多沿地层界线发生或微斜交地层界线，如邵光屯</w:t>
      </w:r>
      <w:r>
        <w:rPr>
          <w:rFonts w:ascii="Times New Roman" w:eastAsia="宋体" w:hAnsi="Times New Roman" w:cs="Times New Roman"/>
          <w:bCs/>
          <w:color w:val="000000" w:themeColor="text1"/>
          <w:sz w:val="24"/>
        </w:rPr>
        <w:t>~</w:t>
      </w:r>
      <w:r>
        <w:rPr>
          <w:rFonts w:ascii="Times New Roman" w:eastAsia="宋体" w:hAnsi="Times New Roman" w:cs="Times New Roman"/>
          <w:bCs/>
          <w:color w:val="000000" w:themeColor="text1"/>
          <w:sz w:val="24"/>
        </w:rPr>
        <w:t>昆格大坡，青龙哨</w:t>
      </w:r>
      <w:r>
        <w:rPr>
          <w:rFonts w:ascii="Times New Roman" w:eastAsia="宋体" w:hAnsi="Times New Roman" w:cs="Times New Roman"/>
          <w:bCs/>
          <w:color w:val="000000" w:themeColor="text1"/>
          <w:sz w:val="24"/>
        </w:rPr>
        <w:t>~</w:t>
      </w:r>
      <w:r>
        <w:rPr>
          <w:rFonts w:ascii="Times New Roman" w:eastAsia="宋体" w:hAnsi="Times New Roman" w:cs="Times New Roman"/>
          <w:bCs/>
          <w:color w:val="000000" w:themeColor="text1"/>
          <w:sz w:val="24"/>
        </w:rPr>
        <w:t>上权甫，庙子顶</w:t>
      </w:r>
      <w:r>
        <w:rPr>
          <w:rFonts w:ascii="Times New Roman" w:eastAsia="宋体" w:hAnsi="Times New Roman" w:cs="Times New Roman"/>
          <w:bCs/>
          <w:color w:val="000000" w:themeColor="text1"/>
          <w:sz w:val="24"/>
        </w:rPr>
        <w:t>~</w:t>
      </w:r>
      <w:r>
        <w:rPr>
          <w:rFonts w:ascii="Times New Roman" w:eastAsia="宋体" w:hAnsi="Times New Roman" w:cs="Times New Roman"/>
          <w:bCs/>
          <w:color w:val="000000" w:themeColor="text1"/>
          <w:sz w:val="24"/>
        </w:rPr>
        <w:t>瓦耳坡，安丰营</w:t>
      </w:r>
      <w:r>
        <w:rPr>
          <w:rFonts w:ascii="Times New Roman" w:eastAsia="宋体" w:hAnsi="Times New Roman" w:cs="Times New Roman"/>
          <w:bCs/>
          <w:color w:val="000000" w:themeColor="text1"/>
          <w:sz w:val="24"/>
        </w:rPr>
        <w:t>~</w:t>
      </w:r>
      <w:r>
        <w:rPr>
          <w:rFonts w:ascii="Times New Roman" w:eastAsia="宋体" w:hAnsi="Times New Roman" w:cs="Times New Roman"/>
          <w:bCs/>
          <w:color w:val="000000" w:themeColor="text1"/>
          <w:sz w:val="24"/>
        </w:rPr>
        <w:t>大龙山等旋扭面，构造线具一定规律向东南撒开，向北西收敛，收敛区大肚子山一带有一系列向北突岀的弧形断层，构造挤压强烈，震旦系灯影组白云岩极为破碎，局部呈糜棱状。构造向东与安宁盆形向斜复合。</w:t>
      </w:r>
    </w:p>
    <w:p w:rsidR="00C861DA" w:rsidRDefault="0044752E">
      <w:pPr>
        <w:spacing w:line="360" w:lineRule="auto"/>
        <w:ind w:firstLineChars="200" w:firstLine="480"/>
        <w:jc w:val="both"/>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t>禄脿</w:t>
      </w:r>
      <w:r>
        <w:rPr>
          <w:rFonts w:ascii="Times New Roman" w:eastAsia="宋体" w:hAnsi="Times New Roman" w:cs="Times New Roman"/>
          <w:bCs/>
          <w:color w:val="000000" w:themeColor="text1"/>
          <w:sz w:val="24"/>
        </w:rPr>
        <w:t>~</w:t>
      </w:r>
      <w:r>
        <w:rPr>
          <w:rFonts w:ascii="Times New Roman" w:eastAsia="宋体" w:hAnsi="Times New Roman" w:cs="Times New Roman"/>
          <w:bCs/>
          <w:color w:val="000000" w:themeColor="text1"/>
          <w:sz w:val="24"/>
        </w:rPr>
        <w:t>温泉逆掩断层</w:t>
      </w:r>
      <w:r>
        <w:rPr>
          <w:rFonts w:ascii="Times New Roman" w:eastAsia="宋体" w:hAnsi="Times New Roman" w:cs="Times New Roman"/>
          <w:bCs/>
          <w:color w:val="000000" w:themeColor="text1"/>
          <w:sz w:val="24"/>
        </w:rPr>
        <w:t>(F3)</w:t>
      </w:r>
      <w:r>
        <w:rPr>
          <w:rFonts w:ascii="Times New Roman" w:eastAsia="宋体" w:hAnsi="Times New Roman" w:cs="Times New Roman"/>
          <w:bCs/>
          <w:color w:val="000000" w:themeColor="text1"/>
          <w:sz w:val="24"/>
        </w:rPr>
        <w:t>由</w:t>
      </w:r>
      <w:r>
        <w:rPr>
          <w:rFonts w:ascii="Times New Roman" w:eastAsia="宋体" w:hAnsi="Times New Roman" w:cs="Times New Roman"/>
          <w:bCs/>
          <w:color w:val="000000" w:themeColor="text1"/>
          <w:sz w:val="24"/>
        </w:rPr>
        <w:t>1~3</w:t>
      </w:r>
      <w:r>
        <w:rPr>
          <w:rFonts w:ascii="Times New Roman" w:eastAsia="宋体" w:hAnsi="Times New Roman" w:cs="Times New Roman"/>
          <w:bCs/>
          <w:color w:val="000000" w:themeColor="text1"/>
          <w:sz w:val="24"/>
        </w:rPr>
        <w:t>条平行断层组成，走向近东西，中部向南突岀，为温泉南北向断层错断，断层两端较陡，中部平缓。</w:t>
      </w:r>
      <w:r>
        <w:rPr>
          <w:rFonts w:ascii="Times New Roman" w:eastAsia="宋体" w:hAnsi="Times New Roman" w:cs="Times New Roman"/>
          <w:bCs/>
          <w:color w:val="000000" w:themeColor="text1"/>
          <w:sz w:val="24"/>
        </w:rPr>
        <w:t>断层带呈挤压状，北部昆阳群逆复于中生代地层之上，中部震旦系地层逆复于二叠之上，南部二叠系逆复于中生代红层之上，经后期剥蚀作用在七孔山一带形成飞来峰。侏罗系地层发生倒转，并显千枚状构造。</w:t>
      </w:r>
    </w:p>
    <w:p w:rsidR="00C861DA" w:rsidRDefault="0044752E">
      <w:pPr>
        <w:spacing w:line="360" w:lineRule="auto"/>
        <w:ind w:firstLineChars="200" w:firstLine="480"/>
        <w:jc w:val="both"/>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t>温水营平移断层</w:t>
      </w:r>
      <w:r>
        <w:rPr>
          <w:rFonts w:ascii="Times New Roman" w:eastAsia="宋体" w:hAnsi="Times New Roman" w:cs="Times New Roman"/>
          <w:bCs/>
          <w:color w:val="000000" w:themeColor="text1"/>
          <w:sz w:val="24"/>
        </w:rPr>
        <w:t>(F4)</w:t>
      </w:r>
      <w:r>
        <w:rPr>
          <w:rFonts w:ascii="Times New Roman" w:eastAsia="宋体" w:hAnsi="Times New Roman" w:cs="Times New Roman"/>
          <w:bCs/>
          <w:color w:val="000000" w:themeColor="text1"/>
          <w:sz w:val="24"/>
        </w:rPr>
        <w:t>，呈东西向展布于南部温水营一带，断裂西起德滋断坳盆地以北小营村，经南东温水营出调查区，在地形上形成一宽阔沟谷，但多被第四系覆盖。断层穿切昆阳群及震旦系，并使温水营附近的震旦系澄江组水平错动约</w:t>
      </w:r>
      <w:r>
        <w:rPr>
          <w:rFonts w:ascii="Times New Roman" w:eastAsia="宋体" w:hAnsi="Times New Roman" w:cs="Times New Roman"/>
          <w:bCs/>
          <w:color w:val="000000" w:themeColor="text1"/>
          <w:sz w:val="24"/>
        </w:rPr>
        <w:t>6.0km</w:t>
      </w:r>
      <w:r>
        <w:rPr>
          <w:rFonts w:ascii="Times New Roman" w:eastAsia="宋体" w:hAnsi="Times New Roman" w:cs="Times New Roman"/>
          <w:bCs/>
          <w:color w:val="000000" w:themeColor="text1"/>
          <w:sz w:val="24"/>
        </w:rPr>
        <w:t>，其错动方向为北盘向西位移，南盘相对向东位移。温水营西北主断层南侧发育北西向支断层，与主断层斜交，根据支</w:t>
      </w:r>
      <w:r>
        <w:rPr>
          <w:rFonts w:ascii="Times New Roman" w:eastAsia="宋体" w:hAnsi="Times New Roman" w:cs="Times New Roman"/>
          <w:bCs/>
          <w:color w:val="000000" w:themeColor="text1"/>
          <w:sz w:val="24"/>
        </w:rPr>
        <w:t>断层切穿中生代德滋构造盆地，说明温水营断层可能形成于燕山期。温水营村附近有温泉出露，此断层近期仍在活动。</w:t>
      </w:r>
    </w:p>
    <w:p w:rsidR="00C861DA" w:rsidRDefault="0044752E">
      <w:pPr>
        <w:spacing w:line="360" w:lineRule="auto"/>
        <w:ind w:firstLineChars="200" w:firstLine="480"/>
        <w:jc w:val="both"/>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t>区域褶皱构造主要有安宁盆形向斜、窝铺母向斜和大龙洞复式褶皱等。安宁盆形向斜长轴近东西向，向斜西南翼宽缓，北东翼略陡，向斜轴由中生代红层组成，其形成与北东向及北西向断层活动挤压有关。窝铺母向斜位于南部温水营北东附近，轴向北北东，由震旦系陡山沱组所构成对称开阔向斜。大龙洞复式褶皱位于德滋盆地及甸中盆地之间的大龙洞一带，包括两个向斜和两个背斜，褶雏轴向呈北西向平行排列，由昆阳群大龙口组和美党组构成。褶皱翼部倾</w:t>
      </w:r>
      <w:r>
        <w:rPr>
          <w:rFonts w:ascii="Times New Roman" w:eastAsia="宋体" w:hAnsi="Times New Roman" w:cs="Times New Roman"/>
          <w:bCs/>
          <w:color w:val="000000" w:themeColor="text1"/>
          <w:sz w:val="24"/>
        </w:rPr>
        <w:t>角变化较大，垂直复式褶皱轴向发育数条横向断层。</w:t>
      </w:r>
    </w:p>
    <w:p w:rsidR="00C861DA" w:rsidRDefault="0044752E">
      <w:pPr>
        <w:pStyle w:val="32"/>
        <w:rPr>
          <w:rFonts w:ascii="Times New Roman" w:eastAsia="宋体"/>
          <w:bCs w:val="0"/>
          <w:color w:val="000000" w:themeColor="text1"/>
          <w:sz w:val="24"/>
          <w:szCs w:val="24"/>
        </w:rPr>
      </w:pPr>
      <w:bookmarkStart w:id="294" w:name="_Toc510564982"/>
      <w:bookmarkStart w:id="295" w:name="_Toc6826815"/>
      <w:bookmarkStart w:id="296" w:name="_Toc7568"/>
      <w:bookmarkStart w:id="297" w:name="_Toc511895778"/>
      <w:bookmarkStart w:id="298" w:name="_Toc31366"/>
      <w:bookmarkStart w:id="299" w:name="_Toc5723"/>
      <w:bookmarkStart w:id="300" w:name="_Toc9382"/>
      <w:r>
        <w:rPr>
          <w:rFonts w:ascii="Times New Roman" w:eastAsia="宋体" w:hint="eastAsia"/>
          <w:bCs w:val="0"/>
          <w:color w:val="000000" w:themeColor="text1"/>
          <w:sz w:val="24"/>
          <w:szCs w:val="24"/>
        </w:rPr>
        <w:t>5</w:t>
      </w:r>
      <w:r>
        <w:rPr>
          <w:rFonts w:ascii="Times New Roman" w:eastAsia="宋体"/>
          <w:bCs w:val="0"/>
          <w:color w:val="000000" w:themeColor="text1"/>
          <w:sz w:val="24"/>
          <w:szCs w:val="24"/>
        </w:rPr>
        <w:t>.</w:t>
      </w:r>
      <w:r>
        <w:rPr>
          <w:rFonts w:ascii="Times New Roman" w:eastAsia="宋体" w:hint="eastAsia"/>
          <w:bCs w:val="0"/>
          <w:color w:val="000000" w:themeColor="text1"/>
          <w:sz w:val="24"/>
          <w:szCs w:val="24"/>
        </w:rPr>
        <w:t>2</w:t>
      </w:r>
      <w:r>
        <w:rPr>
          <w:rFonts w:ascii="Times New Roman" w:eastAsia="宋体"/>
          <w:bCs w:val="0"/>
          <w:color w:val="000000" w:themeColor="text1"/>
          <w:sz w:val="24"/>
          <w:szCs w:val="24"/>
        </w:rPr>
        <w:t>.</w:t>
      </w:r>
      <w:r>
        <w:rPr>
          <w:rFonts w:ascii="Times New Roman" w:eastAsia="宋体" w:hint="eastAsia"/>
          <w:bCs w:val="0"/>
          <w:color w:val="000000" w:themeColor="text1"/>
          <w:sz w:val="24"/>
          <w:szCs w:val="24"/>
        </w:rPr>
        <w:t>3</w:t>
      </w:r>
      <w:r>
        <w:rPr>
          <w:rFonts w:ascii="Times New Roman" w:eastAsia="宋体"/>
          <w:bCs w:val="0"/>
          <w:color w:val="000000" w:themeColor="text1"/>
          <w:sz w:val="24"/>
          <w:szCs w:val="24"/>
        </w:rPr>
        <w:t>气候气象</w:t>
      </w:r>
      <w:bookmarkEnd w:id="294"/>
      <w:bookmarkEnd w:id="295"/>
      <w:bookmarkEnd w:id="296"/>
      <w:bookmarkEnd w:id="297"/>
      <w:bookmarkEnd w:id="298"/>
      <w:bookmarkEnd w:id="299"/>
      <w:bookmarkEnd w:id="300"/>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安宁市地处云南高原腹地，是一个低纬度高海拔地区，属亚热带高原季风温凉气候。每年</w:t>
      </w:r>
      <w:r>
        <w:rPr>
          <w:rFonts w:ascii="Times New Roman" w:eastAsia="宋体" w:hAnsi="Times New Roman" w:cs="Times New Roman"/>
          <w:color w:val="000000" w:themeColor="text1"/>
          <w:sz w:val="24"/>
        </w:rPr>
        <w:t xml:space="preserve">5 </w:t>
      </w:r>
      <w:r>
        <w:rPr>
          <w:rFonts w:ascii="Times New Roman" w:eastAsia="宋体" w:hAnsi="Times New Roman" w:cs="Times New Roman"/>
          <w:color w:val="000000" w:themeColor="text1"/>
          <w:sz w:val="24"/>
        </w:rPr>
        <w:t>月至</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rPr>
        <w:t>月，热带大陆气团和海洋季风在安宁市境内交替，形成全市的海洋性气候，</w:t>
      </w:r>
      <w:r>
        <w:rPr>
          <w:rFonts w:ascii="Times New Roman" w:eastAsia="宋体" w:hAnsi="Times New Roman" w:cs="Times New Roman"/>
          <w:color w:val="000000" w:themeColor="text1"/>
          <w:sz w:val="24"/>
        </w:rPr>
        <w:t>11</w:t>
      </w:r>
      <w:r>
        <w:rPr>
          <w:rFonts w:ascii="Times New Roman" w:eastAsia="宋体" w:hAnsi="Times New Roman" w:cs="Times New Roman"/>
          <w:color w:val="000000" w:themeColor="text1"/>
          <w:sz w:val="24"/>
        </w:rPr>
        <w:t>月至次年</w:t>
      </w:r>
      <w:r>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月是大陆性气候。同时安宁境内地区海拔相差近千米，盆岭相间的地形和起伏的地貌等自然地理因素，使气候在同一环流形势的影响下，存在着明显的空间差异和地形小气候特征。</w:t>
      </w:r>
    </w:p>
    <w:p w:rsidR="00C861DA" w:rsidRDefault="0044752E">
      <w:pPr>
        <w:pStyle w:val="32"/>
        <w:rPr>
          <w:rFonts w:ascii="Times New Roman" w:eastAsia="宋体"/>
          <w:bCs w:val="0"/>
          <w:color w:val="000000" w:themeColor="text1"/>
          <w:sz w:val="24"/>
          <w:szCs w:val="24"/>
        </w:rPr>
      </w:pPr>
      <w:bookmarkStart w:id="301" w:name="_Toc28941"/>
      <w:bookmarkStart w:id="302" w:name="_Toc6826816"/>
      <w:bookmarkStart w:id="303" w:name="_Toc511895779"/>
      <w:bookmarkStart w:id="304" w:name="_Toc510564983"/>
      <w:bookmarkStart w:id="305" w:name="_Toc12780"/>
      <w:bookmarkStart w:id="306" w:name="_Toc27162"/>
      <w:bookmarkStart w:id="307" w:name="_Toc4750"/>
      <w:r>
        <w:rPr>
          <w:rFonts w:ascii="Times New Roman" w:eastAsia="宋体" w:hint="eastAsia"/>
          <w:bCs w:val="0"/>
          <w:color w:val="000000" w:themeColor="text1"/>
          <w:sz w:val="24"/>
          <w:szCs w:val="24"/>
        </w:rPr>
        <w:t>5</w:t>
      </w:r>
      <w:r>
        <w:rPr>
          <w:rFonts w:ascii="Times New Roman" w:eastAsia="宋体"/>
          <w:bCs w:val="0"/>
          <w:color w:val="000000" w:themeColor="text1"/>
          <w:sz w:val="24"/>
          <w:szCs w:val="24"/>
        </w:rPr>
        <w:t>.</w:t>
      </w:r>
      <w:r>
        <w:rPr>
          <w:rFonts w:ascii="Times New Roman" w:eastAsia="宋体" w:hint="eastAsia"/>
          <w:bCs w:val="0"/>
          <w:color w:val="000000" w:themeColor="text1"/>
          <w:sz w:val="24"/>
          <w:szCs w:val="24"/>
        </w:rPr>
        <w:t>2</w:t>
      </w:r>
      <w:r>
        <w:rPr>
          <w:rFonts w:ascii="Times New Roman" w:eastAsia="宋体"/>
          <w:bCs w:val="0"/>
          <w:color w:val="000000" w:themeColor="text1"/>
          <w:sz w:val="24"/>
          <w:szCs w:val="24"/>
        </w:rPr>
        <w:t>.</w:t>
      </w:r>
      <w:r>
        <w:rPr>
          <w:rFonts w:ascii="Times New Roman" w:eastAsia="宋体" w:hint="eastAsia"/>
          <w:bCs w:val="0"/>
          <w:color w:val="000000" w:themeColor="text1"/>
          <w:sz w:val="24"/>
          <w:szCs w:val="24"/>
        </w:rPr>
        <w:t>4</w:t>
      </w:r>
      <w:r>
        <w:rPr>
          <w:rFonts w:ascii="Times New Roman" w:eastAsia="宋体" w:hint="eastAsia"/>
          <w:bCs w:val="0"/>
          <w:color w:val="000000" w:themeColor="text1"/>
          <w:sz w:val="24"/>
          <w:szCs w:val="24"/>
        </w:rPr>
        <w:t>水文、水系</w:t>
      </w:r>
      <w:bookmarkEnd w:id="301"/>
      <w:bookmarkEnd w:id="302"/>
      <w:bookmarkEnd w:id="303"/>
      <w:bookmarkEnd w:id="304"/>
      <w:bookmarkEnd w:id="305"/>
      <w:bookmarkEnd w:id="306"/>
      <w:bookmarkEnd w:id="307"/>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）河流</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安宁市境内河流有螳螂川、鸣矣河、禄脿河、九龙河、沙河、马料河、县街河、九渡河。除九渡河属红河水系外，其余均为长江水系。</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规划区主要地表水系为鸣矣河和螳螂川，鸣矣河系螳螂川的一级支流，在连然镇通仙桥汇入螳螂川。</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螳螂川曾经是滇池的唯一出口河，</w:t>
      </w:r>
      <w:r>
        <w:rPr>
          <w:rFonts w:ascii="Times New Roman" w:eastAsia="宋体" w:hAnsi="Times New Roman" w:cs="Times New Roman"/>
          <w:color w:val="000000" w:themeColor="text1"/>
          <w:sz w:val="24"/>
        </w:rPr>
        <w:t>1998</w:t>
      </w:r>
      <w:r>
        <w:rPr>
          <w:rFonts w:ascii="Times New Roman" w:eastAsia="宋体" w:hAnsi="Times New Roman" w:cs="Times New Roman"/>
          <w:color w:val="000000" w:themeColor="text1"/>
          <w:sz w:val="24"/>
        </w:rPr>
        <w:t>年滇池的西苑隧洞打通，滇池外草海的湖水可以通过西苑隧洞流入沙河，再进入螳螂川。螳螂川的主要支流还有马料河、鸣矣河、前山莨河、禄裱河等。螳螂川流量的大小主要受滇池海口中滩闸和西苑隧洞闸门人为控制的影响。在非汛期，西苑隧洞闸门不放水，沙河流量很小，中滩闸人为控制泄放维</w:t>
      </w:r>
      <w:r>
        <w:rPr>
          <w:rFonts w:ascii="Times New Roman" w:eastAsia="宋体" w:hAnsi="Times New Roman" w:cs="Times New Roman"/>
          <w:color w:val="000000" w:themeColor="text1"/>
          <w:sz w:val="24"/>
        </w:rPr>
        <w:t>持下游用水要求的流量，螳螂川流量不大；在汛期，视滇池水位和降雨情况，西苑隧洞闸门和中滩闸门打开泄放洪水，螳螂川流量很大，甚至洪水成灾。</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螳螂川在安宁市境内流经连然镇、太平镇、温泉镇、草铺镇、青龙镇，河面宽</w:t>
      </w:r>
      <w:r>
        <w:rPr>
          <w:rFonts w:ascii="Times New Roman" w:eastAsia="宋体" w:hAnsi="Times New Roman" w:cs="Times New Roman"/>
          <w:color w:val="000000" w:themeColor="text1"/>
          <w:sz w:val="24"/>
        </w:rPr>
        <w:t>18</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35m</w:t>
      </w:r>
      <w:r>
        <w:rPr>
          <w:rFonts w:ascii="Times New Roman" w:eastAsia="宋体" w:hAnsi="Times New Roman" w:cs="Times New Roman"/>
          <w:color w:val="000000" w:themeColor="text1"/>
          <w:sz w:val="24"/>
        </w:rPr>
        <w:t>，年平均径流量</w:t>
      </w:r>
      <w:r>
        <w:rPr>
          <w:rFonts w:ascii="Times New Roman" w:eastAsia="宋体" w:hAnsi="Times New Roman" w:cs="Times New Roman"/>
          <w:color w:val="000000" w:themeColor="text1"/>
          <w:sz w:val="24"/>
        </w:rPr>
        <w:t>0.555</w:t>
      </w:r>
      <w:r>
        <w:rPr>
          <w:rFonts w:ascii="Times New Roman" w:eastAsia="宋体" w:hAnsi="Times New Roman" w:cs="Times New Roman"/>
          <w:color w:val="000000" w:themeColor="text1"/>
          <w:sz w:val="24"/>
        </w:rPr>
        <w:t>亿</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95%</w:t>
      </w:r>
      <w:r>
        <w:rPr>
          <w:rFonts w:ascii="Times New Roman" w:eastAsia="宋体" w:hAnsi="Times New Roman" w:cs="Times New Roman"/>
          <w:color w:val="000000" w:themeColor="text1"/>
          <w:sz w:val="24"/>
        </w:rPr>
        <w:t>保证率月平均枯水流量</w:t>
      </w:r>
      <w:r>
        <w:rPr>
          <w:rFonts w:ascii="Times New Roman" w:eastAsia="宋体" w:hAnsi="Times New Roman" w:cs="Times New Roman"/>
          <w:color w:val="000000" w:themeColor="text1"/>
          <w:sz w:val="24"/>
        </w:rPr>
        <w:t>1.02m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/s</w:t>
      </w:r>
      <w:r>
        <w:rPr>
          <w:rFonts w:ascii="Times New Roman" w:eastAsia="宋体" w:hAnsi="Times New Roman" w:cs="Times New Roman"/>
          <w:color w:val="000000" w:themeColor="text1"/>
          <w:sz w:val="24"/>
        </w:rPr>
        <w:t>，河床平均坡降</w:t>
      </w:r>
      <w:r>
        <w:rPr>
          <w:rFonts w:ascii="Times New Roman" w:eastAsia="宋体" w:hAnsi="Times New Roman" w:cs="Times New Roman"/>
          <w:color w:val="000000" w:themeColor="text1"/>
          <w:sz w:val="24"/>
        </w:rPr>
        <w:t>1.5%</w:t>
      </w:r>
      <w:r>
        <w:rPr>
          <w:rFonts w:ascii="Times New Roman" w:eastAsia="宋体" w:hAnsi="Times New Roman" w:cs="Times New Roman"/>
          <w:color w:val="000000" w:themeColor="text1"/>
          <w:sz w:val="24"/>
        </w:rPr>
        <w:t>，流域面积</w:t>
      </w:r>
      <w:r>
        <w:rPr>
          <w:rFonts w:ascii="Times New Roman" w:eastAsia="宋体" w:hAnsi="Times New Roman" w:cs="Times New Roman"/>
          <w:color w:val="000000" w:themeColor="text1"/>
          <w:sz w:val="24"/>
        </w:rPr>
        <w:t>222.05km</w:t>
      </w:r>
      <w:r>
        <w:rPr>
          <w:rFonts w:ascii="Times New Roman" w:eastAsia="宋体" w:hAnsi="Times New Roman" w:cs="Times New Roman"/>
          <w:color w:val="000000" w:themeColor="text1"/>
          <w:sz w:val="24"/>
          <w:vertAlign w:val="superscript"/>
        </w:rPr>
        <w:t>2</w:t>
      </w:r>
      <w:r>
        <w:rPr>
          <w:rFonts w:ascii="Times New Roman" w:eastAsia="宋体" w:hAnsi="Times New Roman" w:cs="Times New Roman"/>
          <w:color w:val="000000" w:themeColor="text1"/>
          <w:sz w:val="24"/>
        </w:rPr>
        <w:t>。螳螂川执行地表水环境质量</w:t>
      </w:r>
      <w:r>
        <w:rPr>
          <w:rFonts w:ascii="宋体" w:eastAsia="宋体" w:hAnsi="宋体" w:cs="宋体" w:hint="eastAsia"/>
          <w:color w:val="000000" w:themeColor="text1"/>
          <w:sz w:val="24"/>
        </w:rPr>
        <w:t>Ⅳ</w:t>
      </w:r>
      <w:r>
        <w:rPr>
          <w:rFonts w:ascii="Times New Roman" w:eastAsia="宋体" w:hAnsi="Times New Roman" w:cs="Times New Roman"/>
          <w:color w:val="000000" w:themeColor="text1"/>
          <w:sz w:val="24"/>
        </w:rPr>
        <w:t>类标准，适用于一般工业用水及人体非直接接触的观赏及娱乐用水，纳污排洪为其主要功能。螳螂川水质现已为劣</w:t>
      </w:r>
      <w:r>
        <w:rPr>
          <w:rFonts w:ascii="宋体" w:eastAsia="宋体" w:hAnsi="宋体" w:cs="宋体" w:hint="eastAsia"/>
          <w:color w:val="000000" w:themeColor="text1"/>
          <w:sz w:val="24"/>
        </w:rPr>
        <w:t>Ⅴ</w:t>
      </w:r>
      <w:r>
        <w:rPr>
          <w:rFonts w:ascii="Times New Roman" w:eastAsia="宋体" w:hAnsi="Times New Roman" w:cs="Times New Roman"/>
          <w:color w:val="000000" w:themeColor="text1"/>
          <w:sz w:val="24"/>
        </w:rPr>
        <w:t>类。</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鸣矣河发源于晋宁县双河乡，流域面积</w:t>
      </w:r>
      <w:r>
        <w:rPr>
          <w:rFonts w:ascii="Times New Roman" w:eastAsia="宋体" w:hAnsi="Times New Roman" w:cs="Times New Roman"/>
          <w:color w:val="000000" w:themeColor="text1"/>
          <w:sz w:val="24"/>
        </w:rPr>
        <w:t>581.75km</w:t>
      </w:r>
      <w:r>
        <w:rPr>
          <w:rFonts w:ascii="Times New Roman" w:eastAsia="宋体" w:hAnsi="Times New Roman" w:cs="Times New Roman"/>
          <w:color w:val="000000" w:themeColor="text1"/>
          <w:sz w:val="24"/>
          <w:vertAlign w:val="superscript"/>
        </w:rPr>
        <w:t>2</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流程</w:t>
      </w:r>
      <w:r>
        <w:rPr>
          <w:rFonts w:ascii="Times New Roman" w:eastAsia="宋体" w:hAnsi="Times New Roman" w:cs="Times New Roman"/>
          <w:color w:val="000000" w:themeColor="text1"/>
          <w:sz w:val="24"/>
        </w:rPr>
        <w:t>71km</w:t>
      </w:r>
      <w:r>
        <w:rPr>
          <w:rFonts w:ascii="Times New Roman" w:eastAsia="宋体" w:hAnsi="Times New Roman" w:cs="Times New Roman"/>
          <w:color w:val="000000" w:themeColor="text1"/>
          <w:sz w:val="24"/>
        </w:rPr>
        <w:t>，多年平均径流量</w:t>
      </w:r>
      <w:r>
        <w:rPr>
          <w:rFonts w:ascii="Times New Roman" w:eastAsia="宋体" w:hAnsi="Times New Roman" w:cs="Times New Roman"/>
          <w:color w:val="000000" w:themeColor="text1"/>
          <w:sz w:val="24"/>
        </w:rPr>
        <w:t>0.89</w:t>
      </w:r>
      <w:r>
        <w:rPr>
          <w:rFonts w:ascii="Times New Roman" w:eastAsia="宋体" w:hAnsi="Times New Roman" w:cs="Times New Roman"/>
          <w:color w:val="000000" w:themeColor="text1"/>
          <w:sz w:val="24"/>
        </w:rPr>
        <w:t>亿</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，鸣矣河下石江设有城市集中式饮用水源取水口，河道环境功能为地表水</w:t>
      </w:r>
      <w:r>
        <w:rPr>
          <w:rFonts w:ascii="宋体" w:eastAsia="宋体" w:hAnsi="宋体" w:cs="宋体" w:hint="eastAsia"/>
          <w:color w:val="000000" w:themeColor="text1"/>
          <w:sz w:val="24"/>
        </w:rPr>
        <w:t>Ⅲ</w:t>
      </w:r>
      <w:r>
        <w:rPr>
          <w:rFonts w:ascii="Times New Roman" w:eastAsia="宋体" w:hAnsi="Times New Roman" w:cs="Times New Roman"/>
          <w:color w:val="000000" w:themeColor="text1"/>
          <w:sz w:val="24"/>
        </w:rPr>
        <w:t>类，现状水质为</w:t>
      </w:r>
      <w:r>
        <w:rPr>
          <w:rFonts w:ascii="宋体" w:eastAsia="宋体" w:hAnsi="宋体" w:cs="宋体" w:hint="eastAsia"/>
          <w:color w:val="000000" w:themeColor="text1"/>
          <w:sz w:val="24"/>
        </w:rPr>
        <w:t>Ⅳ</w:t>
      </w:r>
      <w:r>
        <w:rPr>
          <w:rFonts w:ascii="Times New Roman" w:eastAsia="宋体" w:hAnsi="Times New Roman" w:cs="Times New Roman"/>
          <w:color w:val="000000" w:themeColor="text1"/>
          <w:sz w:val="24"/>
        </w:rPr>
        <w:t>类。</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）水库</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安宁市目前已建成中型水库</w:t>
      </w:r>
      <w:r>
        <w:rPr>
          <w:rFonts w:ascii="Times New Roman" w:eastAsia="宋体" w:hAnsi="Times New Roman" w:cs="Times New Roman"/>
          <w:color w:val="000000" w:themeColor="text1"/>
          <w:sz w:val="24"/>
        </w:rPr>
        <w:t xml:space="preserve">2 </w:t>
      </w:r>
      <w:r>
        <w:rPr>
          <w:rFonts w:ascii="Times New Roman" w:eastAsia="宋体" w:hAnsi="Times New Roman" w:cs="Times New Roman"/>
          <w:color w:val="000000" w:themeColor="text1"/>
          <w:sz w:val="24"/>
        </w:rPr>
        <w:t>座、小型水库</w:t>
      </w:r>
      <w:r>
        <w:rPr>
          <w:rFonts w:ascii="Times New Roman" w:eastAsia="宋体" w:hAnsi="Times New Roman" w:cs="Times New Roman"/>
          <w:color w:val="000000" w:themeColor="text1"/>
          <w:sz w:val="24"/>
        </w:rPr>
        <w:t xml:space="preserve">124 </w:t>
      </w:r>
      <w:r>
        <w:rPr>
          <w:rFonts w:ascii="Times New Roman" w:eastAsia="宋体" w:hAnsi="Times New Roman" w:cs="Times New Roman"/>
          <w:color w:val="000000" w:themeColor="text1"/>
          <w:sz w:val="24"/>
        </w:rPr>
        <w:t>座。中型水库包括车木河水库和张家坝水库。</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车木河水库：属中型水库，位于安宁市西南八街镇南部，距安宁市区约</w:t>
      </w:r>
      <w:r>
        <w:rPr>
          <w:rFonts w:ascii="Times New Roman" w:eastAsia="宋体" w:hAnsi="Times New Roman" w:cs="Times New Roman"/>
          <w:color w:val="000000" w:themeColor="text1"/>
          <w:sz w:val="24"/>
        </w:rPr>
        <w:t>42km</w:t>
      </w:r>
      <w:r>
        <w:rPr>
          <w:rFonts w:ascii="Times New Roman" w:eastAsia="宋体" w:hAnsi="Times New Roman" w:cs="Times New Roman"/>
          <w:color w:val="000000" w:themeColor="text1"/>
          <w:sz w:val="24"/>
        </w:rPr>
        <w:t>，总库容为</w:t>
      </w:r>
      <w:r>
        <w:rPr>
          <w:rFonts w:ascii="Times New Roman" w:eastAsia="宋体" w:hAnsi="Times New Roman" w:cs="Times New Roman"/>
          <w:color w:val="000000" w:themeColor="text1"/>
          <w:sz w:val="24"/>
        </w:rPr>
        <w:t>4840</w:t>
      </w:r>
      <w:r>
        <w:rPr>
          <w:rFonts w:ascii="Times New Roman" w:eastAsia="宋体" w:hAnsi="Times New Roman" w:cs="Times New Roman"/>
          <w:color w:val="000000" w:themeColor="text1"/>
          <w:sz w:val="24"/>
        </w:rPr>
        <w:t>万</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，兴利库容为</w:t>
      </w:r>
      <w:r>
        <w:rPr>
          <w:rFonts w:ascii="Times New Roman" w:eastAsia="宋体" w:hAnsi="Times New Roman" w:cs="Times New Roman"/>
          <w:color w:val="000000" w:themeColor="text1"/>
          <w:sz w:val="24"/>
        </w:rPr>
        <w:t>3590</w:t>
      </w:r>
      <w:r>
        <w:rPr>
          <w:rFonts w:ascii="Times New Roman" w:eastAsia="宋体" w:hAnsi="Times New Roman" w:cs="Times New Roman"/>
          <w:color w:val="000000" w:themeColor="text1"/>
          <w:sz w:val="24"/>
        </w:rPr>
        <w:t>万</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，径流面积为</w:t>
      </w:r>
      <w:r>
        <w:rPr>
          <w:rFonts w:ascii="Times New Roman" w:eastAsia="宋体" w:hAnsi="Times New Roman" w:cs="Times New Roman"/>
          <w:color w:val="000000" w:themeColor="text1"/>
          <w:sz w:val="24"/>
        </w:rPr>
        <w:t>253km</w:t>
      </w:r>
      <w:r>
        <w:rPr>
          <w:rFonts w:ascii="Times New Roman" w:eastAsia="宋体" w:hAnsi="Times New Roman" w:cs="Times New Roman"/>
          <w:color w:val="000000" w:themeColor="text1"/>
          <w:sz w:val="24"/>
          <w:vertAlign w:val="superscript"/>
        </w:rPr>
        <w:t>2</w:t>
      </w:r>
      <w:r>
        <w:rPr>
          <w:rFonts w:ascii="Times New Roman" w:eastAsia="宋体" w:hAnsi="Times New Roman" w:cs="Times New Roman"/>
          <w:color w:val="000000" w:themeColor="text1"/>
          <w:sz w:val="24"/>
        </w:rPr>
        <w:t>，多年平均径流量为</w:t>
      </w:r>
      <w:r>
        <w:rPr>
          <w:rFonts w:ascii="Times New Roman" w:eastAsia="宋体" w:hAnsi="Times New Roman" w:cs="Times New Roman"/>
          <w:color w:val="000000" w:themeColor="text1"/>
          <w:sz w:val="24"/>
        </w:rPr>
        <w:t>4380</w:t>
      </w:r>
      <w:r>
        <w:rPr>
          <w:rFonts w:ascii="Times New Roman" w:eastAsia="宋体" w:hAnsi="Times New Roman" w:cs="Times New Roman"/>
          <w:color w:val="000000" w:themeColor="text1"/>
          <w:sz w:val="24"/>
        </w:rPr>
        <w:t>万</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，多年平均供水量为</w:t>
      </w:r>
      <w:r>
        <w:rPr>
          <w:rFonts w:ascii="Times New Roman" w:eastAsia="宋体" w:hAnsi="Times New Roman" w:cs="Times New Roman"/>
          <w:color w:val="000000" w:themeColor="text1"/>
          <w:sz w:val="24"/>
        </w:rPr>
        <w:t>2780</w:t>
      </w:r>
      <w:r>
        <w:rPr>
          <w:rFonts w:ascii="Times New Roman" w:eastAsia="宋体" w:hAnsi="Times New Roman" w:cs="Times New Roman"/>
          <w:color w:val="000000" w:themeColor="text1"/>
          <w:sz w:val="24"/>
        </w:rPr>
        <w:t>万</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车木河水库具有</w:t>
      </w:r>
      <w:r>
        <w:rPr>
          <w:rFonts w:ascii="Times New Roman" w:eastAsia="宋体" w:hAnsi="Times New Roman" w:cs="Times New Roman"/>
          <w:color w:val="000000" w:themeColor="text1"/>
          <w:sz w:val="24"/>
        </w:rPr>
        <w:t>城镇供水、防洪、农灌功能。农灌面积为</w:t>
      </w:r>
      <w:r>
        <w:rPr>
          <w:rFonts w:ascii="Times New Roman" w:eastAsia="宋体" w:hAnsi="Times New Roman" w:cs="Times New Roman"/>
          <w:color w:val="000000" w:themeColor="text1"/>
          <w:sz w:val="24"/>
        </w:rPr>
        <w:t>2.8</w:t>
      </w:r>
      <w:r>
        <w:rPr>
          <w:rFonts w:ascii="Times New Roman" w:eastAsia="宋体" w:hAnsi="Times New Roman" w:cs="Times New Roman"/>
          <w:color w:val="000000" w:themeColor="text1"/>
          <w:sz w:val="24"/>
        </w:rPr>
        <w:t>万</w:t>
      </w:r>
      <w:r>
        <w:rPr>
          <w:rFonts w:ascii="Times New Roman" w:eastAsia="宋体" w:hAnsi="Times New Roman" w:cs="Times New Roman"/>
          <w:color w:val="000000" w:themeColor="text1"/>
          <w:sz w:val="24"/>
        </w:rPr>
        <w:t>ha</w:t>
      </w:r>
      <w:r>
        <w:rPr>
          <w:rFonts w:ascii="Times New Roman" w:eastAsia="宋体" w:hAnsi="Times New Roman" w:cs="Times New Roman"/>
          <w:color w:val="000000" w:themeColor="text1"/>
          <w:sz w:val="24"/>
        </w:rPr>
        <w:t>。目前，已计划将车木河水库作为安宁市的主要城镇供水水源，输水管道工程建设已近完工，规划城镇供水量为</w:t>
      </w:r>
      <w:r>
        <w:rPr>
          <w:rFonts w:ascii="Times New Roman" w:eastAsia="宋体" w:hAnsi="Times New Roman" w:cs="Times New Roman"/>
          <w:color w:val="000000" w:themeColor="text1"/>
          <w:sz w:val="24"/>
        </w:rPr>
        <w:t>1113</w:t>
      </w:r>
      <w:r>
        <w:rPr>
          <w:rFonts w:ascii="Times New Roman" w:eastAsia="宋体" w:hAnsi="Times New Roman" w:cs="Times New Roman"/>
          <w:color w:val="000000" w:themeColor="text1"/>
          <w:sz w:val="24"/>
        </w:rPr>
        <w:t>万</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/a</w:t>
      </w:r>
      <w:r>
        <w:rPr>
          <w:rFonts w:ascii="Times New Roman" w:eastAsia="宋体" w:hAnsi="Times New Roman" w:cs="Times New Roman"/>
          <w:color w:val="000000" w:themeColor="text1"/>
          <w:sz w:val="24"/>
        </w:rPr>
        <w:t>。</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张家坝水库：属中型水库，位于安宁市草铺镇，在大黄磷项目上马时兴建，为大黄磷的配套供水工程。水库总库容</w:t>
      </w:r>
      <w:r>
        <w:rPr>
          <w:rFonts w:ascii="Times New Roman" w:eastAsia="宋体" w:hAnsi="Times New Roman" w:cs="Times New Roman"/>
          <w:color w:val="000000" w:themeColor="text1"/>
          <w:sz w:val="24"/>
        </w:rPr>
        <w:t xml:space="preserve">1349 </w:t>
      </w:r>
      <w:r>
        <w:rPr>
          <w:rFonts w:ascii="Times New Roman" w:eastAsia="宋体" w:hAnsi="Times New Roman" w:cs="Times New Roman"/>
          <w:color w:val="000000" w:themeColor="text1"/>
          <w:sz w:val="24"/>
        </w:rPr>
        <w:t>万</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，兴利库容</w:t>
      </w:r>
      <w:r>
        <w:rPr>
          <w:rFonts w:ascii="Times New Roman" w:eastAsia="宋体" w:hAnsi="Times New Roman" w:cs="Times New Roman"/>
          <w:color w:val="000000" w:themeColor="text1"/>
          <w:sz w:val="24"/>
        </w:rPr>
        <w:t xml:space="preserve">1291 </w:t>
      </w:r>
      <w:r>
        <w:rPr>
          <w:rFonts w:ascii="Times New Roman" w:eastAsia="宋体" w:hAnsi="Times New Roman" w:cs="Times New Roman"/>
          <w:color w:val="000000" w:themeColor="text1"/>
          <w:sz w:val="24"/>
        </w:rPr>
        <w:t>万</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，死库容</w:t>
      </w:r>
      <w:r>
        <w:rPr>
          <w:rFonts w:ascii="Times New Roman" w:eastAsia="宋体" w:hAnsi="Times New Roman" w:cs="Times New Roman"/>
          <w:color w:val="000000" w:themeColor="text1"/>
          <w:sz w:val="24"/>
        </w:rPr>
        <w:t>60m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区域水系见图</w:t>
      </w:r>
      <w:r>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）地下水</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安宁市地下水处在滇康台脊东缘地带，褶纹、断裂发育，是一过渡带，本区岩石吸水性强烈，物理风化作用明显，所以靠近山脉处的地下水较为丰富，其出露形式为泉水和暗河。最大出露点为温泉珍珠泉及天下第一汤，草铺青龙哨九龙潭，八街镇大龙洞，县街铜车坝村龙潭等蕴藏于土体和岩性空间的特性，以及各种土壤、岩石的富水程度，主要划分为孔隙水、裂隙水和岩溶水三大类。</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安宁市地下水埋深达</w:t>
      </w:r>
      <w:r>
        <w:rPr>
          <w:rFonts w:ascii="Times New Roman" w:eastAsia="宋体" w:hAnsi="Times New Roman" w:cs="Times New Roman"/>
          <w:color w:val="000000" w:themeColor="text1"/>
          <w:sz w:val="24"/>
        </w:rPr>
        <w:t>70</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160m</w:t>
      </w:r>
      <w:r>
        <w:rPr>
          <w:rFonts w:ascii="Times New Roman" w:eastAsia="宋体" w:hAnsi="Times New Roman" w:cs="Times New Roman"/>
          <w:color w:val="000000" w:themeColor="text1"/>
          <w:sz w:val="24"/>
        </w:rPr>
        <w:t>。市内泉水点较多。有龙潭、堰塘、井等水源。有泉水点</w:t>
      </w:r>
      <w:r>
        <w:rPr>
          <w:rFonts w:ascii="Times New Roman" w:eastAsia="宋体" w:hAnsi="Times New Roman" w:cs="Times New Roman"/>
          <w:color w:val="000000" w:themeColor="text1"/>
          <w:sz w:val="24"/>
        </w:rPr>
        <w:t>55</w:t>
      </w:r>
      <w:r>
        <w:rPr>
          <w:rFonts w:ascii="Times New Roman" w:eastAsia="宋体" w:hAnsi="Times New Roman" w:cs="Times New Roman"/>
          <w:color w:val="000000" w:themeColor="text1"/>
          <w:sz w:val="24"/>
        </w:rPr>
        <w:t>个，主要分布在温泉、八街龙洞龙潭等地。年地下水资源量为</w:t>
      </w:r>
      <w:r>
        <w:rPr>
          <w:rFonts w:ascii="Times New Roman" w:eastAsia="宋体" w:hAnsi="Times New Roman" w:cs="Times New Roman"/>
          <w:color w:val="000000" w:themeColor="text1"/>
          <w:sz w:val="24"/>
        </w:rPr>
        <w:t>0.56</w:t>
      </w:r>
      <w:r>
        <w:rPr>
          <w:rFonts w:ascii="Times New Roman" w:eastAsia="宋体" w:hAnsi="Times New Roman" w:cs="Times New Roman"/>
          <w:color w:val="000000" w:themeColor="text1"/>
          <w:sz w:val="24"/>
        </w:rPr>
        <w:t>亿</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，现有开采量</w:t>
      </w:r>
      <w:r>
        <w:rPr>
          <w:rFonts w:ascii="Times New Roman" w:eastAsia="宋体" w:hAnsi="Times New Roman" w:cs="Times New Roman"/>
          <w:color w:val="000000" w:themeColor="text1"/>
          <w:sz w:val="24"/>
        </w:rPr>
        <w:t>0.</w:t>
      </w:r>
      <w:r>
        <w:rPr>
          <w:rFonts w:ascii="Times New Roman" w:eastAsia="宋体" w:hAnsi="Times New Roman" w:cs="Times New Roman"/>
          <w:color w:val="000000" w:themeColor="text1"/>
          <w:sz w:val="24"/>
        </w:rPr>
        <w:t>22</w:t>
      </w:r>
      <w:r>
        <w:rPr>
          <w:rFonts w:ascii="Times New Roman" w:eastAsia="宋体" w:hAnsi="Times New Roman" w:cs="Times New Roman"/>
          <w:color w:val="000000" w:themeColor="text1"/>
          <w:sz w:val="24"/>
        </w:rPr>
        <w:t>亿</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。出水流量为</w:t>
      </w:r>
      <w:r>
        <w:rPr>
          <w:rFonts w:ascii="Times New Roman" w:eastAsia="宋体" w:hAnsi="Times New Roman" w:cs="Times New Roman"/>
          <w:color w:val="000000" w:themeColor="text1"/>
          <w:sz w:val="24"/>
        </w:rPr>
        <w:t>0.53m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/s</w:t>
      </w:r>
      <w:r>
        <w:rPr>
          <w:rFonts w:ascii="Times New Roman" w:eastAsia="宋体" w:hAnsi="Times New Roman" w:cs="Times New Roman"/>
          <w:color w:val="000000" w:themeColor="text1"/>
          <w:sz w:val="24"/>
        </w:rPr>
        <w:t>，日出水</w:t>
      </w:r>
      <w:r>
        <w:rPr>
          <w:rFonts w:ascii="Times New Roman" w:eastAsia="宋体" w:hAnsi="Times New Roman" w:cs="Times New Roman"/>
          <w:color w:val="000000" w:themeColor="text1"/>
          <w:sz w:val="24"/>
        </w:rPr>
        <w:t>4.58</w:t>
      </w:r>
      <w:r>
        <w:rPr>
          <w:rFonts w:ascii="Times New Roman" w:eastAsia="宋体" w:hAnsi="Times New Roman" w:cs="Times New Roman"/>
          <w:color w:val="000000" w:themeColor="text1"/>
          <w:sz w:val="24"/>
        </w:rPr>
        <w:t>万</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，年出水总量为</w:t>
      </w:r>
      <w:r>
        <w:rPr>
          <w:rFonts w:ascii="Times New Roman" w:eastAsia="宋体" w:hAnsi="Times New Roman" w:cs="Times New Roman"/>
          <w:color w:val="000000" w:themeColor="text1"/>
          <w:sz w:val="24"/>
        </w:rPr>
        <w:t>0.17</w:t>
      </w:r>
      <w:r>
        <w:rPr>
          <w:rFonts w:ascii="Times New Roman" w:eastAsia="宋体" w:hAnsi="Times New Roman" w:cs="Times New Roman"/>
          <w:color w:val="000000" w:themeColor="text1"/>
          <w:sz w:val="24"/>
        </w:rPr>
        <w:t>亿</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安宁市地热泉的走向与南北向断裂展布一致，在平面分布上似一纺锤状，南北长</w:t>
      </w:r>
      <w:r>
        <w:rPr>
          <w:rFonts w:ascii="Times New Roman" w:eastAsia="宋体" w:hAnsi="Times New Roman" w:cs="Times New Roman"/>
          <w:color w:val="000000" w:themeColor="text1"/>
          <w:sz w:val="24"/>
        </w:rPr>
        <w:t>1300m</w:t>
      </w:r>
      <w:r>
        <w:rPr>
          <w:rFonts w:ascii="Times New Roman" w:eastAsia="宋体" w:hAnsi="Times New Roman" w:cs="Times New Roman"/>
          <w:color w:val="000000" w:themeColor="text1"/>
          <w:sz w:val="24"/>
        </w:rPr>
        <w:t>，东西宽</w:t>
      </w:r>
      <w:r>
        <w:rPr>
          <w:rFonts w:ascii="Times New Roman" w:eastAsia="宋体" w:hAnsi="Times New Roman" w:cs="Times New Roman"/>
          <w:color w:val="000000" w:themeColor="text1"/>
          <w:sz w:val="24"/>
        </w:rPr>
        <w:t>320m</w:t>
      </w:r>
      <w:r>
        <w:rPr>
          <w:rFonts w:ascii="Times New Roman" w:eastAsia="宋体" w:hAnsi="Times New Roman" w:cs="Times New Roman"/>
          <w:color w:val="000000" w:themeColor="text1"/>
          <w:sz w:val="24"/>
        </w:rPr>
        <w:t>。以</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天下第一汤</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为中心构成相对高温区，水温为</w:t>
      </w:r>
      <w:r>
        <w:rPr>
          <w:rFonts w:ascii="Times New Roman" w:eastAsia="宋体" w:hAnsi="Times New Roman" w:cs="Times New Roman"/>
          <w:color w:val="000000" w:themeColor="text1"/>
          <w:sz w:val="24"/>
        </w:rPr>
        <w:t>41</w:t>
      </w:r>
      <w:r>
        <w:rPr>
          <w:rFonts w:ascii="宋体" w:eastAsia="宋体" w:hAnsi="宋体" w:cs="宋体" w:hint="eastAsia"/>
          <w:color w:val="000000" w:themeColor="text1"/>
          <w:sz w:val="24"/>
        </w:rPr>
        <w:t>℃</w:t>
      </w:r>
      <w:r>
        <w:rPr>
          <w:rFonts w:ascii="Times New Roman" w:eastAsia="宋体" w:hAnsi="Times New Roman" w:cs="Times New Roman"/>
          <w:color w:val="000000" w:themeColor="text1"/>
          <w:sz w:val="24"/>
        </w:rPr>
        <w:t>至</w:t>
      </w:r>
      <w:r>
        <w:rPr>
          <w:rFonts w:ascii="Times New Roman" w:eastAsia="宋体" w:hAnsi="Times New Roman" w:cs="Times New Roman"/>
          <w:color w:val="000000" w:themeColor="text1"/>
          <w:sz w:val="24"/>
        </w:rPr>
        <w:t>45</w:t>
      </w:r>
      <w:r>
        <w:rPr>
          <w:rFonts w:ascii="宋体" w:eastAsia="宋体" w:hAnsi="宋体" w:cs="宋体" w:hint="eastAsia"/>
          <w:color w:val="000000" w:themeColor="text1"/>
          <w:sz w:val="24"/>
        </w:rPr>
        <w:t>℃</w:t>
      </w:r>
      <w:r>
        <w:rPr>
          <w:rFonts w:ascii="Times New Roman" w:eastAsia="宋体" w:hAnsi="Times New Roman" w:cs="Times New Roman"/>
          <w:color w:val="000000" w:themeColor="text1"/>
          <w:sz w:val="24"/>
        </w:rPr>
        <w:t>。安宁市温泉镇总热水资源为</w:t>
      </w:r>
      <w:r>
        <w:rPr>
          <w:rFonts w:ascii="Times New Roman" w:eastAsia="宋体" w:hAnsi="Times New Roman" w:cs="Times New Roman"/>
          <w:color w:val="000000" w:themeColor="text1"/>
          <w:sz w:val="24"/>
        </w:rPr>
        <w:t>1.28</w:t>
      </w:r>
      <w:r>
        <w:rPr>
          <w:rFonts w:ascii="Times New Roman" w:eastAsia="宋体" w:hAnsi="Times New Roman" w:cs="Times New Roman"/>
          <w:color w:val="000000" w:themeColor="text1"/>
          <w:sz w:val="24"/>
        </w:rPr>
        <w:t>万</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/d</w:t>
      </w:r>
      <w:r>
        <w:rPr>
          <w:rFonts w:ascii="Times New Roman" w:eastAsia="宋体" w:hAnsi="Times New Roman" w:cs="Times New Roman"/>
          <w:color w:val="000000" w:themeColor="text1"/>
          <w:sz w:val="24"/>
        </w:rPr>
        <w:t>，有</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天下第一汤</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等明泉，目前日开采量近</w:t>
      </w:r>
      <w:r>
        <w:rPr>
          <w:rFonts w:ascii="Times New Roman" w:eastAsia="宋体" w:hAnsi="Times New Roman" w:cs="Times New Roman"/>
          <w:color w:val="000000" w:themeColor="text1"/>
          <w:sz w:val="24"/>
        </w:rPr>
        <w:t>1.1</w:t>
      </w:r>
      <w:r>
        <w:rPr>
          <w:rFonts w:ascii="Times New Roman" w:eastAsia="宋体" w:hAnsi="Times New Roman" w:cs="Times New Roman"/>
          <w:color w:val="000000" w:themeColor="text1"/>
          <w:sz w:val="24"/>
        </w:rPr>
        <w:t>万</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，开采集中在短时段内，日间水位变化显著，珍珠泉等出现断流。</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市内地下水开采量大，连然镇的供水也是以地下水为主，市自来水公司在石江供水水源地最高年取水量为</w:t>
      </w:r>
      <w:r>
        <w:rPr>
          <w:rFonts w:ascii="Times New Roman" w:eastAsia="宋体" w:hAnsi="Times New Roman" w:cs="Times New Roman"/>
          <w:color w:val="000000" w:themeColor="text1"/>
          <w:sz w:val="24"/>
        </w:rPr>
        <w:t>730</w:t>
      </w:r>
      <w:r>
        <w:rPr>
          <w:rFonts w:ascii="Times New Roman" w:eastAsia="宋体" w:hAnsi="Times New Roman" w:cs="Times New Roman"/>
          <w:color w:val="000000" w:themeColor="text1"/>
          <w:sz w:val="24"/>
        </w:rPr>
        <w:t>万</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地下水主要来源靠大气降水在地表入渗补给。安宁市有</w:t>
      </w:r>
      <w:r>
        <w:rPr>
          <w:rFonts w:ascii="Times New Roman" w:eastAsia="宋体" w:hAnsi="Times New Roman" w:cs="Times New Roman"/>
          <w:color w:val="000000" w:themeColor="text1"/>
          <w:sz w:val="24"/>
        </w:rPr>
        <w:t>12</w:t>
      </w:r>
      <w:r>
        <w:rPr>
          <w:rFonts w:ascii="Times New Roman" w:eastAsia="宋体" w:hAnsi="Times New Roman" w:cs="Times New Roman"/>
          <w:color w:val="000000" w:themeColor="text1"/>
          <w:sz w:val="24"/>
        </w:rPr>
        <w:t>个富水块段，潜水和承压埋藏较浅，深度一般在</w:t>
      </w:r>
      <w:r>
        <w:rPr>
          <w:rFonts w:ascii="Times New Roman" w:eastAsia="宋体" w:hAnsi="Times New Roman" w:cs="Times New Roman"/>
          <w:color w:val="000000" w:themeColor="text1"/>
          <w:sz w:val="24"/>
        </w:rPr>
        <w:t>70</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100m</w:t>
      </w:r>
      <w:r>
        <w:rPr>
          <w:rFonts w:ascii="Times New Roman" w:eastAsia="宋体" w:hAnsi="Times New Roman" w:cs="Times New Roman"/>
          <w:color w:val="000000" w:themeColor="text1"/>
          <w:sz w:val="24"/>
        </w:rPr>
        <w:t>，补给条件好，容易更新，具有较好的恢复条件。</w:t>
      </w:r>
    </w:p>
    <w:p w:rsidR="00C861DA" w:rsidRDefault="0044752E">
      <w:pPr>
        <w:pStyle w:val="32"/>
        <w:rPr>
          <w:rFonts w:ascii="Times New Roman" w:eastAsia="宋体"/>
          <w:bCs w:val="0"/>
          <w:color w:val="000000" w:themeColor="text1"/>
          <w:sz w:val="24"/>
          <w:szCs w:val="24"/>
        </w:rPr>
      </w:pPr>
      <w:bookmarkStart w:id="308" w:name="_Toc511895780"/>
      <w:bookmarkStart w:id="309" w:name="_Toc315937648"/>
      <w:bookmarkStart w:id="310" w:name="_Toc510564984"/>
      <w:bookmarkStart w:id="311" w:name="_Toc23082"/>
      <w:bookmarkStart w:id="312" w:name="_Toc12524"/>
      <w:bookmarkStart w:id="313" w:name="_Toc10092"/>
      <w:bookmarkStart w:id="314" w:name="_Toc3942"/>
      <w:bookmarkStart w:id="315" w:name="_Toc6826817"/>
      <w:r>
        <w:rPr>
          <w:rFonts w:ascii="Times New Roman" w:eastAsia="宋体" w:hint="eastAsia"/>
          <w:bCs w:val="0"/>
          <w:color w:val="000000" w:themeColor="text1"/>
          <w:sz w:val="24"/>
          <w:szCs w:val="24"/>
        </w:rPr>
        <w:t>5.2.5</w:t>
      </w:r>
      <w:bookmarkEnd w:id="308"/>
      <w:bookmarkEnd w:id="309"/>
      <w:bookmarkEnd w:id="310"/>
      <w:bookmarkEnd w:id="311"/>
      <w:bookmarkEnd w:id="312"/>
      <w:bookmarkEnd w:id="313"/>
      <w:bookmarkEnd w:id="314"/>
      <w:r>
        <w:rPr>
          <w:rFonts w:ascii="Times New Roman" w:eastAsia="宋体"/>
          <w:bCs w:val="0"/>
          <w:color w:val="000000" w:themeColor="text1"/>
          <w:sz w:val="24"/>
          <w:szCs w:val="24"/>
        </w:rPr>
        <w:t>植被、生物多样性</w:t>
      </w:r>
      <w:bookmarkEnd w:id="315"/>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安宁市森林覆盖率为</w:t>
      </w:r>
      <w:r>
        <w:rPr>
          <w:rFonts w:ascii="Times New Roman" w:eastAsia="宋体" w:hAnsi="Times New Roman" w:cs="Times New Roman"/>
          <w:color w:val="000000" w:themeColor="text1"/>
          <w:sz w:val="24"/>
        </w:rPr>
        <w:t>38.6%</w:t>
      </w:r>
      <w:r>
        <w:rPr>
          <w:rFonts w:ascii="Times New Roman" w:eastAsia="宋体" w:hAnsi="Times New Roman" w:cs="Times New Roman"/>
          <w:color w:val="000000" w:themeColor="text1"/>
          <w:sz w:val="24"/>
        </w:rPr>
        <w:t>，现有林地面积</w:t>
      </w:r>
      <w:r>
        <w:rPr>
          <w:rFonts w:ascii="Times New Roman" w:eastAsia="宋体" w:hAnsi="Times New Roman" w:cs="Times New Roman"/>
          <w:color w:val="000000" w:themeColor="text1"/>
          <w:sz w:val="24"/>
        </w:rPr>
        <w:t>819.71km</w:t>
      </w:r>
      <w:r>
        <w:rPr>
          <w:rFonts w:ascii="Times New Roman" w:eastAsia="宋体" w:hAnsi="Times New Roman" w:cs="Times New Roman"/>
          <w:color w:val="000000" w:themeColor="text1"/>
          <w:sz w:val="24"/>
          <w:vertAlign w:val="superscript"/>
        </w:rPr>
        <w:t>2</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占全市总面积的</w:t>
      </w:r>
      <w:r>
        <w:rPr>
          <w:rFonts w:ascii="Times New Roman" w:eastAsia="宋体" w:hAnsi="Times New Roman" w:cs="Times New Roman"/>
          <w:color w:val="000000" w:themeColor="text1"/>
          <w:sz w:val="24"/>
        </w:rPr>
        <w:t>61.95%</w:t>
      </w:r>
      <w:r>
        <w:rPr>
          <w:rFonts w:ascii="Times New Roman" w:eastAsia="宋体" w:hAnsi="Times New Roman" w:cs="Times New Roman"/>
          <w:color w:val="000000" w:themeColor="text1"/>
          <w:sz w:val="24"/>
        </w:rPr>
        <w:t>，但现存的原生森林分布不多。森林类型主要有六种：云南松林、分布于迎春季风的干坡、阳坡，土壤养分差的缓山脊和陡坡，多于麻栎、旱冬瓜混生；灌木林，多为喜热耐旱的南烛、白花杜鹃、水红木滇白梅、厚皮香等；华山松林，多为人工林，与云南松林呈小块混交，多</w:t>
      </w:r>
      <w:r>
        <w:rPr>
          <w:rFonts w:ascii="Times New Roman" w:eastAsia="宋体" w:hAnsi="Times New Roman" w:cs="Times New Roman"/>
          <w:color w:val="000000" w:themeColor="text1"/>
          <w:sz w:val="24"/>
        </w:rPr>
        <w:t>分布于阴坡、半阴坡；油杉木，呈小块状分布，面积次于云南松林，多与小铁仔、山茶、尖叶木等混生；常绿阔叶林，主要有高山栎、滇青冈，混生的有厚皮香、梁王茶等，多分布于迎夏季风的湿坡，土壤湿润的箐谷。</w:t>
      </w:r>
    </w:p>
    <w:p w:rsidR="00C861DA" w:rsidRDefault="0044752E">
      <w:pPr>
        <w:pStyle w:val="22"/>
        <w:rPr>
          <w:rFonts w:ascii="Times New Roman" w:eastAsia="宋体" w:hAnsi="Times New Roman"/>
          <w:bCs w:val="0"/>
          <w:color w:val="000000" w:themeColor="text1"/>
          <w:sz w:val="28"/>
          <w:szCs w:val="28"/>
        </w:rPr>
      </w:pPr>
      <w:bookmarkStart w:id="316" w:name="_Toc26298"/>
      <w:bookmarkStart w:id="317" w:name="_Toc511895785"/>
      <w:bookmarkStart w:id="318" w:name="_Toc6551"/>
      <w:bookmarkStart w:id="319" w:name="_Toc22213"/>
      <w:bookmarkStart w:id="320" w:name="_Toc16056"/>
      <w:bookmarkStart w:id="321" w:name="_Toc6826818"/>
      <w:bookmarkStart w:id="322" w:name="_Toc510564989"/>
      <w:r>
        <w:rPr>
          <w:rFonts w:ascii="Times New Roman" w:eastAsia="宋体" w:hAnsi="Times New Roman" w:hint="eastAsia"/>
          <w:bCs w:val="0"/>
          <w:color w:val="000000" w:themeColor="text1"/>
          <w:sz w:val="28"/>
          <w:szCs w:val="28"/>
        </w:rPr>
        <w:t>5.3</w:t>
      </w:r>
      <w:r>
        <w:rPr>
          <w:rFonts w:ascii="Times New Roman" w:eastAsia="宋体" w:hAnsi="Times New Roman"/>
          <w:bCs w:val="0"/>
          <w:color w:val="000000" w:themeColor="text1"/>
          <w:sz w:val="28"/>
          <w:szCs w:val="28"/>
        </w:rPr>
        <w:t>环境质量状况</w:t>
      </w:r>
      <w:bookmarkStart w:id="323" w:name="_Toc510564990"/>
      <w:bookmarkStart w:id="324" w:name="_Toc511895786"/>
      <w:bookmarkEnd w:id="316"/>
      <w:bookmarkEnd w:id="317"/>
      <w:bookmarkEnd w:id="318"/>
      <w:bookmarkEnd w:id="319"/>
      <w:bookmarkEnd w:id="320"/>
      <w:bookmarkEnd w:id="321"/>
      <w:bookmarkEnd w:id="322"/>
    </w:p>
    <w:p w:rsidR="00C861DA" w:rsidRDefault="0044752E">
      <w:pPr>
        <w:pStyle w:val="32"/>
        <w:rPr>
          <w:rFonts w:ascii="Times New Roman" w:eastAsia="宋体"/>
          <w:bCs w:val="0"/>
          <w:color w:val="000000" w:themeColor="text1"/>
          <w:sz w:val="24"/>
          <w:szCs w:val="24"/>
        </w:rPr>
      </w:pPr>
      <w:bookmarkStart w:id="325" w:name="_Toc31092"/>
      <w:bookmarkStart w:id="326" w:name="_Toc6826819"/>
      <w:bookmarkStart w:id="327" w:name="_Toc5658"/>
      <w:bookmarkStart w:id="328" w:name="_Toc24766"/>
      <w:bookmarkStart w:id="329" w:name="_Toc14259"/>
      <w:r>
        <w:rPr>
          <w:rFonts w:ascii="Times New Roman" w:eastAsia="宋体" w:hint="eastAsia"/>
          <w:bCs w:val="0"/>
          <w:color w:val="000000" w:themeColor="text1"/>
          <w:sz w:val="24"/>
          <w:szCs w:val="24"/>
        </w:rPr>
        <w:t>5.3.1</w:t>
      </w:r>
      <w:r>
        <w:rPr>
          <w:rFonts w:ascii="Times New Roman" w:eastAsia="宋体" w:hint="eastAsia"/>
          <w:bCs w:val="0"/>
          <w:color w:val="000000" w:themeColor="text1"/>
          <w:sz w:val="24"/>
          <w:szCs w:val="24"/>
        </w:rPr>
        <w:t>大气环境质量现状</w:t>
      </w:r>
      <w:bookmarkEnd w:id="323"/>
      <w:bookmarkEnd w:id="324"/>
      <w:bookmarkEnd w:id="325"/>
      <w:bookmarkEnd w:id="326"/>
      <w:bookmarkEnd w:id="327"/>
      <w:bookmarkEnd w:id="328"/>
      <w:bookmarkEnd w:id="329"/>
    </w:p>
    <w:p w:rsidR="00C861DA" w:rsidRDefault="0044752E">
      <w:pPr>
        <w:spacing w:line="360" w:lineRule="auto"/>
        <w:outlineLvl w:val="3"/>
        <w:rPr>
          <w:rFonts w:ascii="Times New Roman" w:eastAsia="宋体"/>
          <w:b/>
          <w:color w:val="000000" w:themeColor="text1"/>
          <w:sz w:val="24"/>
        </w:rPr>
      </w:pPr>
      <w:r>
        <w:rPr>
          <w:rFonts w:ascii="Times New Roman" w:eastAsia="宋体" w:hint="eastAsia"/>
          <w:b/>
          <w:color w:val="000000" w:themeColor="text1"/>
          <w:sz w:val="24"/>
        </w:rPr>
        <w:t>（</w:t>
      </w:r>
      <w:r>
        <w:rPr>
          <w:rFonts w:ascii="Times New Roman" w:eastAsia="宋体" w:hint="eastAsia"/>
          <w:b/>
          <w:color w:val="000000" w:themeColor="text1"/>
          <w:sz w:val="24"/>
        </w:rPr>
        <w:t>1</w:t>
      </w:r>
      <w:r>
        <w:rPr>
          <w:rFonts w:ascii="Times New Roman" w:eastAsia="宋体" w:hint="eastAsia"/>
          <w:b/>
          <w:color w:val="000000" w:themeColor="text1"/>
          <w:sz w:val="24"/>
        </w:rPr>
        <w:t>）大气</w:t>
      </w:r>
      <w:r>
        <w:rPr>
          <w:rFonts w:ascii="Times New Roman" w:eastAsia="宋体"/>
          <w:b/>
          <w:color w:val="000000" w:themeColor="text1"/>
          <w:sz w:val="24"/>
        </w:rPr>
        <w:t>环境现状调查</w:t>
      </w:r>
    </w:p>
    <w:p w:rsidR="00C861DA" w:rsidRDefault="0044752E">
      <w:pPr>
        <w:tabs>
          <w:tab w:val="left" w:pos="540"/>
        </w:tabs>
        <w:spacing w:line="360" w:lineRule="auto"/>
        <w:ind w:firstLineChars="200" w:firstLine="480"/>
        <w:rPr>
          <w:rFonts w:ascii="Times New Roman" w:eastAsia="宋体"/>
          <w:color w:val="000000" w:themeColor="text1"/>
          <w:sz w:val="24"/>
        </w:rPr>
      </w:pPr>
      <w:r>
        <w:rPr>
          <w:rFonts w:ascii="Times New Roman" w:eastAsia="宋体" w:hint="eastAsia"/>
          <w:color w:val="000000" w:themeColor="text1"/>
          <w:sz w:val="24"/>
        </w:rPr>
        <w:t>根据现场踏勘（</w:t>
      </w:r>
      <w:r>
        <w:rPr>
          <w:rFonts w:ascii="Times New Roman" w:eastAsia="宋体" w:hint="eastAsia"/>
          <w:color w:val="000000" w:themeColor="text1"/>
          <w:sz w:val="24"/>
        </w:rPr>
        <w:t>2</w:t>
      </w:r>
      <w:r>
        <w:rPr>
          <w:rFonts w:ascii="Times New Roman" w:eastAsia="宋体"/>
          <w:color w:val="000000" w:themeColor="text1"/>
          <w:sz w:val="24"/>
        </w:rPr>
        <w:t>019</w:t>
      </w:r>
      <w:r>
        <w:rPr>
          <w:rFonts w:ascii="Times New Roman" w:eastAsia="宋体" w:hint="eastAsia"/>
          <w:color w:val="000000" w:themeColor="text1"/>
          <w:sz w:val="24"/>
        </w:rPr>
        <w:t>年</w:t>
      </w:r>
      <w:r>
        <w:rPr>
          <w:rFonts w:ascii="Times New Roman" w:eastAsia="宋体" w:hint="eastAsia"/>
          <w:color w:val="000000" w:themeColor="text1"/>
          <w:sz w:val="24"/>
        </w:rPr>
        <w:t>1</w:t>
      </w:r>
      <w:r>
        <w:rPr>
          <w:rFonts w:ascii="Times New Roman" w:eastAsia="宋体" w:hint="eastAsia"/>
          <w:color w:val="000000" w:themeColor="text1"/>
          <w:sz w:val="24"/>
        </w:rPr>
        <w:t>月</w:t>
      </w:r>
      <w:r>
        <w:rPr>
          <w:rFonts w:ascii="Times New Roman" w:eastAsia="宋体" w:hint="eastAsia"/>
          <w:color w:val="000000" w:themeColor="text1"/>
          <w:sz w:val="24"/>
        </w:rPr>
        <w:t>1</w:t>
      </w:r>
      <w:r>
        <w:rPr>
          <w:rFonts w:ascii="Times New Roman" w:eastAsia="宋体"/>
          <w:color w:val="000000" w:themeColor="text1"/>
          <w:sz w:val="24"/>
        </w:rPr>
        <w:t>5</w:t>
      </w:r>
      <w:r>
        <w:rPr>
          <w:rFonts w:ascii="Times New Roman" w:eastAsia="宋体" w:hint="eastAsia"/>
          <w:color w:val="000000" w:themeColor="text1"/>
          <w:sz w:val="24"/>
        </w:rPr>
        <w:t>日），区域内现状空气污染源主要为各类施工地块的施工扬尘、云南祥丰金麦有限公司高浓度磷酸复合肥项目产生的废气，主要污染因子为氨、硫酸雾、</w:t>
      </w:r>
      <w:r>
        <w:rPr>
          <w:rFonts w:ascii="Times New Roman" w:eastAsia="宋体" w:hint="eastAsia"/>
          <w:color w:val="000000" w:themeColor="text1"/>
          <w:sz w:val="24"/>
        </w:rPr>
        <w:t>TSP</w:t>
      </w:r>
      <w:r>
        <w:rPr>
          <w:rFonts w:ascii="Times New Roman" w:eastAsia="宋体" w:hint="eastAsia"/>
          <w:color w:val="000000" w:themeColor="text1"/>
          <w:sz w:val="24"/>
        </w:rPr>
        <w:t>、</w:t>
      </w:r>
      <w:r>
        <w:rPr>
          <w:rFonts w:ascii="Times New Roman" w:eastAsia="宋体" w:hint="eastAsia"/>
          <w:color w:val="000000" w:themeColor="text1"/>
          <w:sz w:val="24"/>
        </w:rPr>
        <w:t>SO</w:t>
      </w:r>
      <w:r>
        <w:rPr>
          <w:rFonts w:ascii="Times New Roman" w:eastAsia="宋体"/>
          <w:color w:val="000000" w:themeColor="text1"/>
          <w:sz w:val="24"/>
          <w:vertAlign w:val="subscript"/>
        </w:rPr>
        <w:t>2</w:t>
      </w:r>
      <w:r>
        <w:rPr>
          <w:rFonts w:ascii="Times New Roman" w:eastAsia="宋体" w:hint="eastAsia"/>
          <w:color w:val="000000" w:themeColor="text1"/>
          <w:sz w:val="24"/>
        </w:rPr>
        <w:t>。</w:t>
      </w:r>
    </w:p>
    <w:p w:rsidR="00C861DA" w:rsidRDefault="0044752E">
      <w:pPr>
        <w:spacing w:line="360" w:lineRule="auto"/>
        <w:outlineLvl w:val="3"/>
        <w:rPr>
          <w:b/>
          <w:color w:val="000000" w:themeColor="text1"/>
          <w:sz w:val="24"/>
        </w:rPr>
      </w:pPr>
      <w:r>
        <w:rPr>
          <w:rFonts w:ascii="Times New Roman" w:eastAsia="宋体" w:hint="eastAsia"/>
          <w:b/>
          <w:color w:val="000000" w:themeColor="text1"/>
          <w:sz w:val="24"/>
        </w:rPr>
        <w:t>（</w:t>
      </w:r>
      <w:r>
        <w:rPr>
          <w:rFonts w:ascii="Times New Roman" w:eastAsia="宋体" w:hint="eastAsia"/>
          <w:b/>
          <w:color w:val="000000" w:themeColor="text1"/>
          <w:sz w:val="24"/>
        </w:rPr>
        <w:t>2</w:t>
      </w:r>
      <w:r>
        <w:rPr>
          <w:rFonts w:ascii="Times New Roman" w:eastAsia="宋体" w:hint="eastAsia"/>
          <w:b/>
          <w:color w:val="000000" w:themeColor="text1"/>
          <w:sz w:val="24"/>
        </w:rPr>
        <w:t>）区域环境空气达标判断</w:t>
      </w:r>
    </w:p>
    <w:p w:rsidR="00C861DA" w:rsidRDefault="0044752E">
      <w:pPr>
        <w:spacing w:line="360" w:lineRule="auto"/>
        <w:ind w:firstLineChars="200" w:firstLine="480"/>
        <w:jc w:val="both"/>
        <w:rPr>
          <w:rFonts w:ascii="Times New Roman" w:eastAsia="宋体"/>
          <w:color w:val="000000" w:themeColor="text1"/>
          <w:sz w:val="24"/>
        </w:rPr>
      </w:pPr>
      <w:r>
        <w:rPr>
          <w:rFonts w:ascii="Times New Roman" w:eastAsia="宋体"/>
          <w:color w:val="000000" w:themeColor="text1"/>
          <w:sz w:val="24"/>
        </w:rPr>
        <w:t>本项目位于安宁市，</w:t>
      </w:r>
      <w:r>
        <w:rPr>
          <w:rFonts w:ascii="Times New Roman" w:eastAsia="宋体" w:hint="eastAsia"/>
          <w:color w:val="000000" w:themeColor="text1"/>
          <w:sz w:val="24"/>
        </w:rPr>
        <w:t>根据</w:t>
      </w:r>
      <w:r>
        <w:rPr>
          <w:rFonts w:ascii="Times New Roman" w:eastAsia="宋体"/>
          <w:color w:val="000000" w:themeColor="text1"/>
          <w:sz w:val="24"/>
        </w:rPr>
        <w:t>安宁市环保局公布的《安宁市</w:t>
      </w:r>
      <w:r>
        <w:rPr>
          <w:rFonts w:ascii="Times New Roman" w:eastAsia="宋体"/>
          <w:color w:val="000000" w:themeColor="text1"/>
          <w:sz w:val="24"/>
        </w:rPr>
        <w:t>2017</w:t>
      </w:r>
      <w:r>
        <w:rPr>
          <w:rFonts w:ascii="Times New Roman" w:eastAsia="宋体"/>
          <w:color w:val="000000" w:themeColor="text1"/>
          <w:sz w:val="24"/>
        </w:rPr>
        <w:t>年度环境空气质量情况》</w:t>
      </w:r>
      <w:r>
        <w:rPr>
          <w:rFonts w:ascii="Times New Roman" w:eastAsia="宋体" w:hint="eastAsia"/>
          <w:color w:val="000000" w:themeColor="text1"/>
          <w:sz w:val="24"/>
        </w:rPr>
        <w:t>：</w:t>
      </w:r>
    </w:p>
    <w:p w:rsidR="00C861DA" w:rsidRDefault="0044752E">
      <w:pPr>
        <w:spacing w:line="360" w:lineRule="auto"/>
        <w:ind w:firstLineChars="200" w:firstLine="480"/>
        <w:jc w:val="both"/>
        <w:rPr>
          <w:rFonts w:ascii="Times New Roman" w:eastAsia="宋体"/>
          <w:color w:val="000000" w:themeColor="text1"/>
          <w:sz w:val="24"/>
        </w:rPr>
      </w:pPr>
      <w:r>
        <w:rPr>
          <w:rFonts w:ascii="Times New Roman" w:eastAsia="宋体"/>
          <w:color w:val="000000" w:themeColor="text1"/>
          <w:sz w:val="24"/>
        </w:rPr>
        <w:t>2017</w:t>
      </w:r>
      <w:r>
        <w:rPr>
          <w:rFonts w:ascii="Times New Roman" w:eastAsia="宋体"/>
          <w:color w:val="000000" w:themeColor="text1"/>
          <w:sz w:val="24"/>
        </w:rPr>
        <w:t>年安宁市建成区全年有效监测</w:t>
      </w:r>
      <w:r>
        <w:rPr>
          <w:rFonts w:ascii="Times New Roman" w:eastAsia="宋体"/>
          <w:color w:val="000000" w:themeColor="text1"/>
          <w:sz w:val="24"/>
        </w:rPr>
        <w:t>365</w:t>
      </w:r>
      <w:r>
        <w:rPr>
          <w:rFonts w:ascii="Times New Roman" w:eastAsia="宋体"/>
          <w:color w:val="000000" w:themeColor="text1"/>
          <w:sz w:val="24"/>
        </w:rPr>
        <w:t>天，空气质量为优的</w:t>
      </w:r>
      <w:r>
        <w:rPr>
          <w:rFonts w:ascii="Times New Roman" w:eastAsia="宋体"/>
          <w:color w:val="000000" w:themeColor="text1"/>
          <w:sz w:val="24"/>
        </w:rPr>
        <w:t>177</w:t>
      </w:r>
      <w:r>
        <w:rPr>
          <w:rFonts w:ascii="Times New Roman" w:eastAsia="宋体"/>
          <w:color w:val="000000" w:themeColor="text1"/>
          <w:sz w:val="24"/>
        </w:rPr>
        <w:t>天，占监测天数的</w:t>
      </w:r>
      <w:r>
        <w:rPr>
          <w:rFonts w:ascii="Times New Roman" w:eastAsia="宋体"/>
          <w:color w:val="000000" w:themeColor="text1"/>
          <w:sz w:val="24"/>
        </w:rPr>
        <w:t>48.5%</w:t>
      </w:r>
      <w:r>
        <w:rPr>
          <w:rFonts w:ascii="Times New Roman" w:eastAsia="宋体"/>
          <w:color w:val="000000" w:themeColor="text1"/>
          <w:sz w:val="24"/>
        </w:rPr>
        <w:t>；空气质量为良的</w:t>
      </w:r>
      <w:r>
        <w:rPr>
          <w:rFonts w:ascii="Times New Roman" w:eastAsia="宋体"/>
          <w:color w:val="000000" w:themeColor="text1"/>
          <w:sz w:val="24"/>
        </w:rPr>
        <w:t>184</w:t>
      </w:r>
      <w:r>
        <w:rPr>
          <w:rFonts w:ascii="Times New Roman" w:eastAsia="宋体"/>
          <w:color w:val="000000" w:themeColor="text1"/>
          <w:sz w:val="24"/>
        </w:rPr>
        <w:t>天，占监测天数的</w:t>
      </w:r>
      <w:r>
        <w:rPr>
          <w:rFonts w:ascii="Times New Roman" w:eastAsia="宋体"/>
          <w:color w:val="000000" w:themeColor="text1"/>
          <w:sz w:val="24"/>
        </w:rPr>
        <w:t>50.4%</w:t>
      </w:r>
      <w:r>
        <w:rPr>
          <w:rFonts w:ascii="Times New Roman" w:eastAsia="宋体"/>
          <w:color w:val="000000" w:themeColor="text1"/>
          <w:sz w:val="24"/>
        </w:rPr>
        <w:t>；空气质量为轻度污染的</w:t>
      </w:r>
      <w:r>
        <w:rPr>
          <w:rFonts w:ascii="Times New Roman" w:eastAsia="宋体"/>
          <w:color w:val="000000" w:themeColor="text1"/>
          <w:sz w:val="24"/>
        </w:rPr>
        <w:t>4</w:t>
      </w:r>
      <w:r>
        <w:rPr>
          <w:rFonts w:ascii="Times New Roman" w:eastAsia="宋体"/>
          <w:color w:val="000000" w:themeColor="text1"/>
          <w:sz w:val="24"/>
        </w:rPr>
        <w:t>天（细颗粒物</w:t>
      </w:r>
      <w:r>
        <w:rPr>
          <w:rFonts w:ascii="Times New Roman" w:eastAsia="宋体"/>
          <w:color w:val="000000" w:themeColor="text1"/>
          <w:sz w:val="24"/>
        </w:rPr>
        <w:t>2</w:t>
      </w:r>
      <w:r>
        <w:rPr>
          <w:rFonts w:ascii="Times New Roman" w:eastAsia="宋体"/>
          <w:color w:val="000000" w:themeColor="text1"/>
          <w:sz w:val="24"/>
        </w:rPr>
        <w:t>天、臭氧</w:t>
      </w:r>
      <w:r>
        <w:rPr>
          <w:rFonts w:ascii="Times New Roman" w:eastAsia="宋体"/>
          <w:color w:val="000000" w:themeColor="text1"/>
          <w:sz w:val="24"/>
        </w:rPr>
        <w:t>2</w:t>
      </w:r>
      <w:r>
        <w:rPr>
          <w:rFonts w:ascii="Times New Roman" w:eastAsia="宋体"/>
          <w:color w:val="000000" w:themeColor="text1"/>
          <w:sz w:val="24"/>
        </w:rPr>
        <w:t>天），占监测天数的</w:t>
      </w:r>
      <w:r>
        <w:rPr>
          <w:rFonts w:ascii="Times New Roman" w:eastAsia="宋体"/>
          <w:color w:val="000000" w:themeColor="text1"/>
          <w:sz w:val="24"/>
        </w:rPr>
        <w:t>1.1%</w:t>
      </w:r>
      <w:r>
        <w:rPr>
          <w:rFonts w:ascii="Times New Roman" w:eastAsia="宋体"/>
          <w:color w:val="000000" w:themeColor="text1"/>
          <w:sz w:val="24"/>
        </w:rPr>
        <w:t>。全年空气质量优良率为</w:t>
      </w:r>
      <w:r>
        <w:rPr>
          <w:rFonts w:ascii="Times New Roman" w:eastAsia="宋体"/>
          <w:color w:val="000000" w:themeColor="text1"/>
          <w:sz w:val="24"/>
        </w:rPr>
        <w:t>98.9%</w:t>
      </w:r>
      <w:r>
        <w:rPr>
          <w:rFonts w:ascii="Times New Roman" w:eastAsia="宋体"/>
          <w:color w:val="000000" w:themeColor="text1"/>
          <w:sz w:val="24"/>
        </w:rPr>
        <w:t>。</w:t>
      </w:r>
    </w:p>
    <w:p w:rsidR="00C861DA" w:rsidRDefault="0044752E">
      <w:pPr>
        <w:spacing w:line="360" w:lineRule="auto"/>
        <w:ind w:firstLineChars="200" w:firstLine="480"/>
        <w:jc w:val="both"/>
        <w:rPr>
          <w:rFonts w:ascii="Times New Roman" w:eastAsia="宋体"/>
          <w:color w:val="000000" w:themeColor="text1"/>
          <w:sz w:val="24"/>
        </w:rPr>
      </w:pPr>
      <w:r>
        <w:rPr>
          <w:rFonts w:ascii="Times New Roman" w:eastAsia="宋体"/>
          <w:color w:val="000000" w:themeColor="text1"/>
          <w:sz w:val="24"/>
        </w:rPr>
        <w:t>各监测点位的监测情况分别如下：</w:t>
      </w:r>
    </w:p>
    <w:p w:rsidR="00C861DA" w:rsidRDefault="0044752E">
      <w:pPr>
        <w:spacing w:line="360" w:lineRule="auto"/>
        <w:ind w:firstLineChars="200" w:firstLine="480"/>
        <w:jc w:val="both"/>
        <w:rPr>
          <w:rFonts w:ascii="Times New Roman" w:eastAsia="宋体"/>
          <w:color w:val="000000" w:themeColor="text1"/>
          <w:sz w:val="24"/>
        </w:rPr>
      </w:pPr>
      <w:r>
        <w:rPr>
          <w:rFonts w:ascii="Times New Roman" w:eastAsia="宋体"/>
          <w:color w:val="000000" w:themeColor="text1"/>
          <w:sz w:val="24"/>
        </w:rPr>
        <w:t>连然街道办测点：有效监测</w:t>
      </w:r>
      <w:r>
        <w:rPr>
          <w:rFonts w:ascii="Times New Roman" w:eastAsia="宋体"/>
          <w:color w:val="000000" w:themeColor="text1"/>
          <w:sz w:val="24"/>
        </w:rPr>
        <w:t>361</w:t>
      </w:r>
      <w:r>
        <w:rPr>
          <w:rFonts w:ascii="Times New Roman" w:eastAsia="宋体"/>
          <w:color w:val="000000" w:themeColor="text1"/>
          <w:sz w:val="24"/>
        </w:rPr>
        <w:t>天，其中空气质量为优的</w:t>
      </w:r>
      <w:r>
        <w:rPr>
          <w:rFonts w:ascii="Times New Roman" w:eastAsia="宋体"/>
          <w:color w:val="000000" w:themeColor="text1"/>
          <w:sz w:val="24"/>
        </w:rPr>
        <w:t>179</w:t>
      </w:r>
      <w:r>
        <w:rPr>
          <w:rFonts w:ascii="Times New Roman" w:eastAsia="宋体"/>
          <w:color w:val="000000" w:themeColor="text1"/>
          <w:sz w:val="24"/>
        </w:rPr>
        <w:t>天，空气质量为良的</w:t>
      </w:r>
      <w:r>
        <w:rPr>
          <w:rFonts w:ascii="Times New Roman" w:eastAsia="宋体"/>
          <w:color w:val="000000" w:themeColor="text1"/>
          <w:sz w:val="24"/>
        </w:rPr>
        <w:t>181</w:t>
      </w:r>
      <w:r>
        <w:rPr>
          <w:rFonts w:ascii="Times New Roman" w:eastAsia="宋体"/>
          <w:color w:val="000000" w:themeColor="text1"/>
          <w:sz w:val="24"/>
        </w:rPr>
        <w:t>天，空气质量为轻度污染的</w:t>
      </w:r>
      <w:r>
        <w:rPr>
          <w:rFonts w:ascii="Times New Roman" w:eastAsia="宋体"/>
          <w:color w:val="000000" w:themeColor="text1"/>
          <w:sz w:val="24"/>
        </w:rPr>
        <w:t>1</w:t>
      </w:r>
      <w:r>
        <w:rPr>
          <w:rFonts w:ascii="Times New Roman" w:eastAsia="宋体"/>
          <w:color w:val="000000" w:themeColor="text1"/>
          <w:sz w:val="24"/>
        </w:rPr>
        <w:t>天（二氧化硫），全年空气质量优良率为</w:t>
      </w:r>
      <w:r>
        <w:rPr>
          <w:rFonts w:ascii="Times New Roman" w:eastAsia="宋体"/>
          <w:color w:val="000000" w:themeColor="text1"/>
          <w:sz w:val="24"/>
        </w:rPr>
        <w:t>99.7%</w:t>
      </w:r>
      <w:r>
        <w:rPr>
          <w:rFonts w:ascii="Times New Roman" w:eastAsia="宋体"/>
          <w:color w:val="000000" w:themeColor="text1"/>
          <w:sz w:val="24"/>
        </w:rPr>
        <w:t>。</w:t>
      </w:r>
    </w:p>
    <w:p w:rsidR="00C861DA" w:rsidRDefault="0044752E">
      <w:pPr>
        <w:spacing w:line="360" w:lineRule="auto"/>
        <w:ind w:firstLineChars="200" w:firstLine="480"/>
        <w:jc w:val="both"/>
        <w:rPr>
          <w:rFonts w:ascii="Times New Roman" w:eastAsia="宋体"/>
          <w:color w:val="000000" w:themeColor="text1"/>
          <w:sz w:val="24"/>
        </w:rPr>
      </w:pPr>
      <w:r>
        <w:rPr>
          <w:rFonts w:ascii="Times New Roman" w:eastAsia="宋体"/>
          <w:color w:val="000000" w:themeColor="text1"/>
          <w:sz w:val="24"/>
        </w:rPr>
        <w:t>昆钢一中测点：</w:t>
      </w:r>
      <w:r>
        <w:rPr>
          <w:rFonts w:ascii="Times New Roman" w:eastAsia="宋体"/>
          <w:color w:val="000000" w:themeColor="text1"/>
          <w:sz w:val="24"/>
        </w:rPr>
        <w:t>有效监测</w:t>
      </w:r>
      <w:r>
        <w:rPr>
          <w:rFonts w:ascii="Times New Roman" w:eastAsia="宋体"/>
          <w:color w:val="000000" w:themeColor="text1"/>
          <w:sz w:val="24"/>
        </w:rPr>
        <w:t>364</w:t>
      </w:r>
      <w:r>
        <w:rPr>
          <w:rFonts w:ascii="Times New Roman" w:eastAsia="宋体"/>
          <w:color w:val="000000" w:themeColor="text1"/>
          <w:sz w:val="24"/>
        </w:rPr>
        <w:t>天，其中空气质量为优的</w:t>
      </w:r>
      <w:r>
        <w:rPr>
          <w:rFonts w:ascii="Times New Roman" w:eastAsia="宋体"/>
          <w:color w:val="000000" w:themeColor="text1"/>
          <w:sz w:val="24"/>
        </w:rPr>
        <w:t>181</w:t>
      </w:r>
      <w:r>
        <w:rPr>
          <w:rFonts w:ascii="Times New Roman" w:eastAsia="宋体"/>
          <w:color w:val="000000" w:themeColor="text1"/>
          <w:sz w:val="24"/>
        </w:rPr>
        <w:t>天，空气质量为良的</w:t>
      </w:r>
      <w:r>
        <w:rPr>
          <w:rFonts w:ascii="Times New Roman" w:eastAsia="宋体"/>
          <w:color w:val="000000" w:themeColor="text1"/>
          <w:sz w:val="24"/>
        </w:rPr>
        <w:t>177</w:t>
      </w:r>
      <w:r>
        <w:rPr>
          <w:rFonts w:ascii="Times New Roman" w:eastAsia="宋体"/>
          <w:color w:val="000000" w:themeColor="text1"/>
          <w:sz w:val="24"/>
        </w:rPr>
        <w:t>天，空气质量为轻度污染的</w:t>
      </w:r>
      <w:r>
        <w:rPr>
          <w:rFonts w:ascii="Times New Roman" w:eastAsia="宋体"/>
          <w:color w:val="000000" w:themeColor="text1"/>
          <w:sz w:val="24"/>
        </w:rPr>
        <w:t>6</w:t>
      </w:r>
      <w:r>
        <w:rPr>
          <w:rFonts w:ascii="Times New Roman" w:eastAsia="宋体"/>
          <w:color w:val="000000" w:themeColor="text1"/>
          <w:sz w:val="24"/>
        </w:rPr>
        <w:t>天（细颗粒物、臭氧各</w:t>
      </w:r>
      <w:r>
        <w:rPr>
          <w:rFonts w:ascii="Times New Roman" w:eastAsia="宋体"/>
          <w:color w:val="000000" w:themeColor="text1"/>
          <w:sz w:val="24"/>
        </w:rPr>
        <w:t>3</w:t>
      </w:r>
      <w:r>
        <w:rPr>
          <w:rFonts w:ascii="Times New Roman" w:eastAsia="宋体"/>
          <w:color w:val="000000" w:themeColor="text1"/>
          <w:sz w:val="24"/>
        </w:rPr>
        <w:t>天），全年空气质量优良率为</w:t>
      </w:r>
      <w:r>
        <w:rPr>
          <w:rFonts w:ascii="Times New Roman" w:eastAsia="宋体"/>
          <w:color w:val="000000" w:themeColor="text1"/>
          <w:sz w:val="24"/>
        </w:rPr>
        <w:t>98.3%</w:t>
      </w:r>
      <w:r>
        <w:rPr>
          <w:rFonts w:ascii="Times New Roman" w:eastAsia="宋体"/>
          <w:color w:val="000000" w:themeColor="text1"/>
          <w:sz w:val="24"/>
        </w:rPr>
        <w:t>。</w:t>
      </w:r>
    </w:p>
    <w:p w:rsidR="00C861DA" w:rsidRDefault="0044752E">
      <w:pPr>
        <w:spacing w:line="360" w:lineRule="auto"/>
        <w:ind w:firstLineChars="200" w:firstLine="480"/>
        <w:jc w:val="both"/>
        <w:rPr>
          <w:rFonts w:ascii="Times New Roman" w:eastAsia="宋体"/>
          <w:color w:val="000000" w:themeColor="text1"/>
          <w:sz w:val="24"/>
        </w:rPr>
      </w:pPr>
      <w:r>
        <w:rPr>
          <w:rFonts w:ascii="Times New Roman" w:eastAsia="宋体"/>
          <w:color w:val="000000" w:themeColor="text1"/>
          <w:sz w:val="24"/>
        </w:rPr>
        <w:t>温泉监测站测点：有效监测</w:t>
      </w:r>
      <w:r>
        <w:rPr>
          <w:rFonts w:ascii="Times New Roman" w:eastAsia="宋体"/>
          <w:color w:val="000000" w:themeColor="text1"/>
          <w:sz w:val="24"/>
        </w:rPr>
        <w:t>348</w:t>
      </w:r>
      <w:r>
        <w:rPr>
          <w:rFonts w:ascii="Times New Roman" w:eastAsia="宋体"/>
          <w:color w:val="000000" w:themeColor="text1"/>
          <w:sz w:val="24"/>
        </w:rPr>
        <w:t>天，其中空气质量为优的</w:t>
      </w:r>
      <w:r>
        <w:rPr>
          <w:rFonts w:ascii="Times New Roman" w:eastAsia="宋体"/>
          <w:color w:val="000000" w:themeColor="text1"/>
          <w:sz w:val="24"/>
        </w:rPr>
        <w:t>131</w:t>
      </w:r>
      <w:r>
        <w:rPr>
          <w:rFonts w:ascii="Times New Roman" w:eastAsia="宋体"/>
          <w:color w:val="000000" w:themeColor="text1"/>
          <w:sz w:val="24"/>
        </w:rPr>
        <w:t>天，空气质量为良的</w:t>
      </w:r>
      <w:r>
        <w:rPr>
          <w:rFonts w:ascii="Times New Roman" w:eastAsia="宋体"/>
          <w:color w:val="000000" w:themeColor="text1"/>
          <w:sz w:val="24"/>
        </w:rPr>
        <w:t>206</w:t>
      </w:r>
      <w:r>
        <w:rPr>
          <w:rFonts w:ascii="Times New Roman" w:eastAsia="宋体"/>
          <w:color w:val="000000" w:themeColor="text1"/>
          <w:sz w:val="24"/>
        </w:rPr>
        <w:t>天，空气质量为轻度污染的</w:t>
      </w:r>
      <w:r>
        <w:rPr>
          <w:rFonts w:ascii="Times New Roman" w:eastAsia="宋体"/>
          <w:color w:val="000000" w:themeColor="text1"/>
          <w:sz w:val="24"/>
        </w:rPr>
        <w:t>11</w:t>
      </w:r>
      <w:r>
        <w:rPr>
          <w:rFonts w:ascii="Times New Roman" w:eastAsia="宋体"/>
          <w:color w:val="000000" w:themeColor="text1"/>
          <w:sz w:val="24"/>
        </w:rPr>
        <w:t>天（细颗粒物</w:t>
      </w:r>
      <w:r>
        <w:rPr>
          <w:rFonts w:ascii="Times New Roman" w:eastAsia="宋体"/>
          <w:color w:val="000000" w:themeColor="text1"/>
          <w:sz w:val="24"/>
        </w:rPr>
        <w:t>1</w:t>
      </w:r>
      <w:r>
        <w:rPr>
          <w:rFonts w:ascii="Times New Roman" w:eastAsia="宋体"/>
          <w:color w:val="000000" w:themeColor="text1"/>
          <w:sz w:val="24"/>
        </w:rPr>
        <w:t>天、臭氧</w:t>
      </w:r>
      <w:r>
        <w:rPr>
          <w:rFonts w:ascii="Times New Roman" w:eastAsia="宋体"/>
          <w:color w:val="000000" w:themeColor="text1"/>
          <w:sz w:val="24"/>
        </w:rPr>
        <w:t>10</w:t>
      </w:r>
      <w:r>
        <w:rPr>
          <w:rFonts w:ascii="Times New Roman" w:eastAsia="宋体"/>
          <w:color w:val="000000" w:themeColor="text1"/>
          <w:sz w:val="24"/>
        </w:rPr>
        <w:t>天），全年空气质量优良率为</w:t>
      </w:r>
      <w:r>
        <w:rPr>
          <w:rFonts w:ascii="Times New Roman" w:eastAsia="宋体"/>
          <w:color w:val="000000" w:themeColor="text1"/>
          <w:sz w:val="24"/>
        </w:rPr>
        <w:t>96.8%</w:t>
      </w:r>
      <w:r>
        <w:rPr>
          <w:rFonts w:ascii="Times New Roman" w:eastAsia="宋体"/>
          <w:color w:val="000000" w:themeColor="text1"/>
          <w:sz w:val="24"/>
        </w:rPr>
        <w:t>。</w:t>
      </w:r>
    </w:p>
    <w:p w:rsidR="00C861DA" w:rsidRDefault="0044752E">
      <w:pPr>
        <w:spacing w:line="360" w:lineRule="auto"/>
        <w:ind w:firstLineChars="200" w:firstLine="480"/>
        <w:jc w:val="both"/>
        <w:rPr>
          <w:rFonts w:ascii="Times New Roman" w:eastAsia="宋体"/>
          <w:color w:val="000000" w:themeColor="text1"/>
          <w:sz w:val="24"/>
        </w:rPr>
      </w:pPr>
      <w:r>
        <w:rPr>
          <w:rFonts w:ascii="Times New Roman" w:eastAsia="宋体"/>
          <w:color w:val="000000" w:themeColor="text1"/>
          <w:sz w:val="24"/>
        </w:rPr>
        <w:t>县街职教园测点：有效监测</w:t>
      </w:r>
      <w:r>
        <w:rPr>
          <w:rFonts w:ascii="Times New Roman" w:eastAsia="宋体"/>
          <w:color w:val="000000" w:themeColor="text1"/>
          <w:sz w:val="24"/>
        </w:rPr>
        <w:t>351</w:t>
      </w:r>
      <w:r>
        <w:rPr>
          <w:rFonts w:ascii="Times New Roman" w:eastAsia="宋体"/>
          <w:color w:val="000000" w:themeColor="text1"/>
          <w:sz w:val="24"/>
        </w:rPr>
        <w:t>天，其中空气质量为优的</w:t>
      </w:r>
      <w:r>
        <w:rPr>
          <w:rFonts w:ascii="Times New Roman" w:eastAsia="宋体"/>
          <w:color w:val="000000" w:themeColor="text1"/>
          <w:sz w:val="24"/>
        </w:rPr>
        <w:t>156</w:t>
      </w:r>
      <w:r>
        <w:rPr>
          <w:rFonts w:ascii="Times New Roman" w:eastAsia="宋体"/>
          <w:color w:val="000000" w:themeColor="text1"/>
          <w:sz w:val="24"/>
        </w:rPr>
        <w:t>天，空气质量为良的</w:t>
      </w:r>
      <w:r>
        <w:rPr>
          <w:rFonts w:ascii="Times New Roman" w:eastAsia="宋体"/>
          <w:color w:val="000000" w:themeColor="text1"/>
          <w:sz w:val="24"/>
        </w:rPr>
        <w:t>184</w:t>
      </w:r>
      <w:r>
        <w:rPr>
          <w:rFonts w:ascii="Times New Roman" w:eastAsia="宋体"/>
          <w:color w:val="000000" w:themeColor="text1"/>
          <w:sz w:val="24"/>
        </w:rPr>
        <w:t>天，空气质量为轻度污染的</w:t>
      </w:r>
      <w:r>
        <w:rPr>
          <w:rFonts w:ascii="Times New Roman" w:eastAsia="宋体"/>
          <w:color w:val="000000" w:themeColor="text1"/>
          <w:sz w:val="24"/>
        </w:rPr>
        <w:t>11</w:t>
      </w:r>
      <w:r>
        <w:rPr>
          <w:rFonts w:ascii="Times New Roman" w:eastAsia="宋体"/>
          <w:color w:val="000000" w:themeColor="text1"/>
          <w:sz w:val="24"/>
        </w:rPr>
        <w:t>天（细颗粒物</w:t>
      </w:r>
      <w:r>
        <w:rPr>
          <w:rFonts w:ascii="Times New Roman" w:eastAsia="宋体"/>
          <w:color w:val="000000" w:themeColor="text1"/>
          <w:sz w:val="24"/>
        </w:rPr>
        <w:t>10</w:t>
      </w:r>
      <w:r>
        <w:rPr>
          <w:rFonts w:ascii="Times New Roman" w:eastAsia="宋体"/>
          <w:color w:val="000000" w:themeColor="text1"/>
          <w:sz w:val="24"/>
        </w:rPr>
        <w:t>天、臭氧</w:t>
      </w:r>
      <w:r>
        <w:rPr>
          <w:rFonts w:ascii="Times New Roman" w:eastAsia="宋体"/>
          <w:color w:val="000000" w:themeColor="text1"/>
          <w:sz w:val="24"/>
        </w:rPr>
        <w:t>1</w:t>
      </w:r>
      <w:r>
        <w:rPr>
          <w:rFonts w:ascii="Times New Roman" w:eastAsia="宋体"/>
          <w:color w:val="000000" w:themeColor="text1"/>
          <w:sz w:val="24"/>
        </w:rPr>
        <w:t>天），全年空气质量优良率为</w:t>
      </w:r>
      <w:r>
        <w:rPr>
          <w:rFonts w:ascii="Times New Roman" w:eastAsia="宋体"/>
          <w:color w:val="000000" w:themeColor="text1"/>
          <w:sz w:val="24"/>
        </w:rPr>
        <w:t>96.9%</w:t>
      </w:r>
      <w:r>
        <w:rPr>
          <w:rFonts w:ascii="Times New Roman" w:eastAsia="宋体"/>
          <w:color w:val="000000" w:themeColor="text1"/>
          <w:sz w:val="24"/>
        </w:rPr>
        <w:t>。</w:t>
      </w:r>
    </w:p>
    <w:p w:rsidR="00C861DA" w:rsidRDefault="0044752E">
      <w:pPr>
        <w:spacing w:line="360" w:lineRule="auto"/>
        <w:ind w:firstLine="200"/>
        <w:jc w:val="both"/>
        <w:rPr>
          <w:rFonts w:ascii="Times New Roman" w:eastAsia="宋体"/>
          <w:color w:val="000000" w:themeColor="text1"/>
          <w:sz w:val="24"/>
        </w:rPr>
      </w:pPr>
      <w:r>
        <w:rPr>
          <w:rFonts w:ascii="Times New Roman" w:eastAsia="宋体"/>
          <w:color w:val="000000" w:themeColor="text1"/>
          <w:sz w:val="24"/>
        </w:rPr>
        <w:t>根据安</w:t>
      </w:r>
      <w:r>
        <w:rPr>
          <w:rFonts w:ascii="Times New Roman" w:eastAsia="宋体"/>
          <w:color w:val="000000" w:themeColor="text1"/>
          <w:sz w:val="24"/>
        </w:rPr>
        <w:t>宁市</w:t>
      </w:r>
      <w:r>
        <w:rPr>
          <w:rFonts w:ascii="Times New Roman" w:eastAsia="宋体"/>
          <w:color w:val="000000" w:themeColor="text1"/>
          <w:sz w:val="24"/>
        </w:rPr>
        <w:t>2017</w:t>
      </w:r>
      <w:r>
        <w:rPr>
          <w:rFonts w:ascii="Times New Roman" w:eastAsia="宋体"/>
          <w:color w:val="000000" w:themeColor="text1"/>
          <w:sz w:val="24"/>
        </w:rPr>
        <w:t>年环境空气质量</w:t>
      </w:r>
      <w:r>
        <w:rPr>
          <w:rFonts w:ascii="Times New Roman" w:eastAsia="宋体" w:hint="eastAsia"/>
          <w:color w:val="000000" w:themeColor="text1"/>
          <w:sz w:val="24"/>
        </w:rPr>
        <w:t>通报</w:t>
      </w:r>
      <w:r>
        <w:rPr>
          <w:rFonts w:ascii="Times New Roman" w:eastAsia="宋体"/>
          <w:color w:val="000000" w:themeColor="text1"/>
          <w:sz w:val="24"/>
        </w:rPr>
        <w:t>，</w:t>
      </w:r>
      <w:r>
        <w:rPr>
          <w:rFonts w:ascii="Times New Roman" w:eastAsia="宋体" w:hint="eastAsia"/>
          <w:color w:val="000000" w:themeColor="text1"/>
          <w:sz w:val="24"/>
        </w:rPr>
        <w:t>环境空气</w:t>
      </w:r>
      <w:r>
        <w:rPr>
          <w:rFonts w:ascii="Times New Roman" w:eastAsia="宋体" w:hint="eastAsia"/>
          <w:color w:val="000000" w:themeColor="text1"/>
          <w:sz w:val="24"/>
        </w:rPr>
        <w:t>6</w:t>
      </w:r>
      <w:r>
        <w:rPr>
          <w:rFonts w:ascii="Times New Roman" w:eastAsia="宋体" w:hint="eastAsia"/>
          <w:color w:val="000000" w:themeColor="text1"/>
          <w:sz w:val="24"/>
        </w:rPr>
        <w:t>项基本因子均能够满足</w:t>
      </w:r>
      <w:r>
        <w:rPr>
          <w:rFonts w:ascii="Times New Roman" w:eastAsia="宋体" w:hint="eastAsia"/>
          <w:color w:val="000000" w:themeColor="text1"/>
          <w:sz w:val="24"/>
        </w:rPr>
        <w:t>HJ 663-2013</w:t>
      </w:r>
      <w:r>
        <w:rPr>
          <w:rFonts w:ascii="Times New Roman" w:eastAsia="宋体" w:hint="eastAsia"/>
          <w:color w:val="000000" w:themeColor="text1"/>
          <w:sz w:val="24"/>
        </w:rPr>
        <w:t>《环境空气质量评价技术规范（试行）》及</w:t>
      </w:r>
      <w:r>
        <w:rPr>
          <w:rFonts w:ascii="Times New Roman" w:eastAsia="宋体" w:hint="eastAsia"/>
          <w:color w:val="000000" w:themeColor="text1"/>
          <w:sz w:val="24"/>
        </w:rPr>
        <w:t>HJ</w:t>
      </w:r>
      <w:r>
        <w:rPr>
          <w:rFonts w:ascii="Times New Roman" w:eastAsia="宋体"/>
          <w:color w:val="000000" w:themeColor="text1"/>
          <w:sz w:val="24"/>
        </w:rPr>
        <w:t>2.2-2018</w:t>
      </w:r>
      <w:r>
        <w:rPr>
          <w:rFonts w:ascii="Times New Roman" w:eastAsia="宋体" w:hint="eastAsia"/>
          <w:color w:val="000000" w:themeColor="text1"/>
          <w:sz w:val="24"/>
        </w:rPr>
        <w:t>《环境影响评价技术导则</w:t>
      </w:r>
      <w:r>
        <w:rPr>
          <w:rFonts w:ascii="Times New Roman" w:eastAsia="宋体" w:hint="eastAsia"/>
          <w:color w:val="000000" w:themeColor="text1"/>
          <w:sz w:val="24"/>
        </w:rPr>
        <w:t xml:space="preserve"> </w:t>
      </w:r>
      <w:r>
        <w:rPr>
          <w:rFonts w:ascii="Times New Roman" w:eastAsia="宋体" w:hint="eastAsia"/>
          <w:color w:val="000000" w:themeColor="text1"/>
          <w:sz w:val="24"/>
        </w:rPr>
        <w:t>大气环境》中有关环境空气质量达标区的要求，</w:t>
      </w:r>
      <w:r>
        <w:rPr>
          <w:rFonts w:ascii="Times New Roman" w:eastAsia="宋体"/>
          <w:color w:val="000000" w:themeColor="text1"/>
          <w:sz w:val="24"/>
        </w:rPr>
        <w:t>安宁市属于环境空气质量达标区域</w:t>
      </w:r>
      <w:r>
        <w:rPr>
          <w:rFonts w:ascii="Times New Roman" w:eastAsia="宋体" w:hint="eastAsia"/>
          <w:color w:val="000000" w:themeColor="text1"/>
          <w:sz w:val="24"/>
        </w:rPr>
        <w:t>。</w:t>
      </w:r>
    </w:p>
    <w:p w:rsidR="00C861DA" w:rsidRDefault="0044752E">
      <w:pPr>
        <w:spacing w:line="360" w:lineRule="auto"/>
        <w:outlineLvl w:val="3"/>
        <w:rPr>
          <w:rFonts w:ascii="Times New Roman" w:eastAsia="宋体"/>
          <w:b/>
          <w:color w:val="000000" w:themeColor="text1"/>
          <w:sz w:val="24"/>
        </w:rPr>
      </w:pPr>
      <w:r>
        <w:rPr>
          <w:rFonts w:ascii="Times New Roman" w:eastAsia="宋体" w:hint="eastAsia"/>
          <w:b/>
          <w:color w:val="000000" w:themeColor="text1"/>
          <w:sz w:val="24"/>
        </w:rPr>
        <w:t>（</w:t>
      </w:r>
      <w:r>
        <w:rPr>
          <w:rFonts w:ascii="Times New Roman" w:eastAsia="宋体" w:hint="eastAsia"/>
          <w:b/>
          <w:color w:val="000000" w:themeColor="text1"/>
          <w:sz w:val="24"/>
        </w:rPr>
        <w:t>3</w:t>
      </w:r>
      <w:r>
        <w:rPr>
          <w:rFonts w:ascii="Times New Roman" w:eastAsia="宋体" w:hint="eastAsia"/>
          <w:b/>
          <w:color w:val="000000" w:themeColor="text1"/>
          <w:sz w:val="24"/>
        </w:rPr>
        <w:t>）环境空气现状监测</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本项目特征污染因子为氨，区域特征污染因子为氟化物，为了解项目区周边氨和氟化物的空气质量情况，本次环评引用云南绿色环境科技开发有限公司于</w:t>
      </w:r>
      <w:r>
        <w:rPr>
          <w:rFonts w:ascii="Times New Roman" w:eastAsia="宋体" w:hAnsi="Times New Roman" w:cs="Times New Roman"/>
          <w:color w:val="000000" w:themeColor="text1"/>
          <w:sz w:val="24"/>
        </w:rPr>
        <w:t>2018</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12</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18</w:t>
      </w:r>
      <w:r>
        <w:rPr>
          <w:rFonts w:ascii="Times New Roman" w:eastAsia="宋体" w:hAnsi="Times New Roman" w:cs="Times New Roman"/>
          <w:color w:val="000000" w:themeColor="text1"/>
          <w:sz w:val="24"/>
        </w:rPr>
        <w:t>日委托云南科城环境监测有限公司做的</w:t>
      </w:r>
      <w:r>
        <w:rPr>
          <w:rFonts w:ascii="Times New Roman" w:eastAsia="宋体" w:hAnsi="Times New Roman" w:cs="Times New Roman"/>
          <w:color w:val="000000" w:themeColor="text1"/>
          <w:sz w:val="24"/>
        </w:rPr>
        <w:t>“30</w:t>
      </w:r>
      <w:r>
        <w:rPr>
          <w:rFonts w:ascii="Times New Roman" w:eastAsia="宋体" w:hAnsi="Times New Roman" w:cs="Times New Roman"/>
          <w:color w:val="000000" w:themeColor="text1"/>
          <w:sz w:val="24"/>
        </w:rPr>
        <w:t>万吨</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年合成氨装置配套氨储存及输送（运输）项目环境现</w:t>
      </w:r>
      <w:r>
        <w:rPr>
          <w:rFonts w:ascii="Times New Roman" w:eastAsia="宋体" w:hAnsi="Times New Roman" w:cs="Times New Roman"/>
          <w:color w:val="000000" w:themeColor="text1"/>
          <w:sz w:val="24"/>
        </w:rPr>
        <w:t>状监测</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报告，该报告监测点位与本项目距离较近，且监测时间节点较近，监测后项目区所在地氨、氟化物两项因子污染源未发生较大变化，故引用监测报告可信度较高</w:t>
      </w:r>
      <w:r>
        <w:rPr>
          <w:rFonts w:ascii="Times New Roman" w:eastAsia="宋体" w:hAnsi="Times New Roman" w:cs="Times New Roman" w:hint="eastAsia"/>
          <w:color w:val="000000" w:themeColor="text1"/>
          <w:sz w:val="24"/>
        </w:rPr>
        <w:t>，其监测情况如下：</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云南绿色环境科技开发有限公司委托云南科诚环境监测有限公司于</w:t>
      </w:r>
      <w:r>
        <w:rPr>
          <w:rFonts w:ascii="Times New Roman" w:eastAsia="宋体" w:hAnsi="Times New Roman" w:cs="Times New Roman"/>
          <w:color w:val="000000" w:themeColor="text1"/>
          <w:sz w:val="24"/>
        </w:rPr>
        <w:t>2018</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11</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26</w:t>
      </w:r>
      <w:r>
        <w:rPr>
          <w:rFonts w:ascii="Times New Roman" w:eastAsia="宋体" w:hAnsi="Times New Roman" w:cs="Times New Roman"/>
          <w:color w:val="000000" w:themeColor="text1"/>
          <w:sz w:val="24"/>
        </w:rPr>
        <w:t>日至</w:t>
      </w:r>
      <w:r>
        <w:rPr>
          <w:rFonts w:ascii="Times New Roman" w:eastAsia="宋体" w:hAnsi="Times New Roman" w:cs="Times New Roman"/>
          <w:color w:val="000000" w:themeColor="text1"/>
          <w:sz w:val="24"/>
        </w:rPr>
        <w:t>12</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日对项目区周边</w:t>
      </w:r>
      <w:r>
        <w:rPr>
          <w:rFonts w:ascii="Times New Roman" w:eastAsia="宋体" w:hAnsi="Times New Roman" w:cs="Times New Roman"/>
          <w:color w:val="000000" w:themeColor="text1"/>
          <w:sz w:val="24"/>
        </w:rPr>
        <w:t>6</w:t>
      </w:r>
      <w:r>
        <w:rPr>
          <w:rFonts w:ascii="Times New Roman" w:eastAsia="宋体" w:hAnsi="Times New Roman" w:cs="Times New Roman"/>
          <w:color w:val="000000" w:themeColor="text1"/>
          <w:sz w:val="24"/>
        </w:rPr>
        <w:t>个点位进行监测，并以</w:t>
      </w:r>
      <w:r>
        <w:rPr>
          <w:rFonts w:ascii="Times New Roman" w:eastAsia="宋体" w:hAnsi="Times New Roman" w:cs="Times New Roman" w:hint="eastAsia"/>
          <w:color w:val="000000" w:themeColor="text1"/>
          <w:sz w:val="24"/>
        </w:rPr>
        <w:t>主要排放口（</w:t>
      </w:r>
      <w:r>
        <w:rPr>
          <w:rFonts w:ascii="Times New Roman" w:eastAsia="宋体" w:hAnsi="Times New Roman" w:cs="Times New Roman" w:hint="eastAsia"/>
          <w:color w:val="000000" w:themeColor="text1"/>
          <w:sz w:val="24"/>
        </w:rPr>
        <w:t>6</w:t>
      </w:r>
      <w:r>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排气筒）</w:t>
      </w:r>
      <w:r>
        <w:rPr>
          <w:rFonts w:ascii="Times New Roman" w:eastAsia="宋体" w:hAnsi="Times New Roman" w:cs="Times New Roman"/>
          <w:color w:val="000000" w:themeColor="text1"/>
          <w:sz w:val="24"/>
        </w:rPr>
        <w:t>为坐标原点（</w:t>
      </w:r>
      <w:r>
        <w:rPr>
          <w:rFonts w:ascii="Times New Roman" w:eastAsia="宋体" w:hAnsi="Times New Roman" w:cs="Times New Roman"/>
          <w:color w:val="000000" w:themeColor="text1"/>
          <w:sz w:val="24"/>
        </w:rPr>
        <w:t>0,0</w:t>
      </w:r>
      <w:r>
        <w:rPr>
          <w:rFonts w:ascii="Times New Roman" w:eastAsia="宋体" w:hAnsi="Times New Roman" w:cs="Times New Roman"/>
          <w:color w:val="000000" w:themeColor="text1"/>
          <w:sz w:val="24"/>
        </w:rPr>
        <w:t>）建立坐标系对监测点位布设情况进行描述。</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监测点位和检测因子见下表和附图所示：</w:t>
      </w:r>
    </w:p>
    <w:p w:rsidR="00C861DA" w:rsidRDefault="0044752E">
      <w:pPr>
        <w:jc w:val="center"/>
        <w:rPr>
          <w:rFonts w:ascii="Times New Roman" w:eastAsia="宋体" w:hAnsi="Times New Roman" w:cs="Times New Roman"/>
          <w:b/>
          <w:bCs/>
          <w:color w:val="000000" w:themeColor="text1"/>
          <w:kern w:val="0"/>
          <w:sz w:val="24"/>
        </w:rPr>
      </w:pPr>
      <w:r>
        <w:rPr>
          <w:rFonts w:ascii="Times New Roman" w:eastAsia="宋体" w:hAnsi="Times New Roman" w:cs="Times New Roman"/>
          <w:b/>
          <w:color w:val="000000" w:themeColor="text1"/>
          <w:kern w:val="0"/>
          <w:sz w:val="24"/>
        </w:rPr>
        <w:t>表</w:t>
      </w:r>
      <w:r>
        <w:rPr>
          <w:rFonts w:ascii="Times New Roman" w:eastAsia="宋体" w:hAnsi="Times New Roman" w:cs="Times New Roman" w:hint="eastAsia"/>
          <w:b/>
          <w:color w:val="000000" w:themeColor="text1"/>
          <w:kern w:val="0"/>
          <w:sz w:val="24"/>
        </w:rPr>
        <w:t>5</w:t>
      </w:r>
      <w:r>
        <w:rPr>
          <w:rFonts w:ascii="Times New Roman" w:eastAsia="宋体" w:hAnsi="Times New Roman" w:cs="Times New Roman"/>
          <w:b/>
          <w:color w:val="000000" w:themeColor="text1"/>
          <w:kern w:val="0"/>
          <w:sz w:val="24"/>
        </w:rPr>
        <w:t>.3-1</w:t>
      </w:r>
      <w:r>
        <w:rPr>
          <w:rFonts w:ascii="Times New Roman" w:eastAsia="宋体" w:hAnsi="Times New Roman" w:cs="Times New Roman"/>
          <w:b/>
          <w:bCs/>
          <w:color w:val="000000" w:themeColor="text1"/>
          <w:kern w:val="0"/>
          <w:sz w:val="24"/>
        </w:rPr>
        <w:t xml:space="preserve">  </w:t>
      </w:r>
      <w:r>
        <w:rPr>
          <w:rFonts w:ascii="Times New Roman" w:eastAsia="宋体" w:hAnsi="Times New Roman" w:cs="Times New Roman"/>
          <w:b/>
          <w:bCs/>
          <w:color w:val="000000" w:themeColor="text1"/>
          <w:kern w:val="0"/>
          <w:sz w:val="24"/>
        </w:rPr>
        <w:t>大气监测布点情况</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218"/>
        <w:gridCol w:w="866"/>
        <w:gridCol w:w="868"/>
        <w:gridCol w:w="3154"/>
        <w:gridCol w:w="1457"/>
      </w:tblGrid>
      <w:tr w:rsidR="00C861DA">
        <w:trPr>
          <w:trHeight w:val="369"/>
          <w:jc w:val="center"/>
        </w:trPr>
        <w:tc>
          <w:tcPr>
            <w:tcW w:w="733" w:type="dxa"/>
            <w:vMerge w:val="restart"/>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序号</w:t>
            </w:r>
          </w:p>
        </w:tc>
        <w:tc>
          <w:tcPr>
            <w:tcW w:w="1218" w:type="dxa"/>
            <w:vMerge w:val="restart"/>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点位名称</w:t>
            </w:r>
          </w:p>
        </w:tc>
        <w:tc>
          <w:tcPr>
            <w:tcW w:w="1734" w:type="dxa"/>
            <w:gridSpan w:val="2"/>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监测点坐标</w:t>
            </w:r>
            <w:r>
              <w:rPr>
                <w:rFonts w:ascii="Times New Roman" w:eastAsia="宋体" w:hAnsi="Times New Roman" w:cs="Times New Roman"/>
                <w:b/>
                <w:color w:val="000000" w:themeColor="text1"/>
              </w:rPr>
              <w:t>/m</w:t>
            </w:r>
          </w:p>
        </w:tc>
        <w:tc>
          <w:tcPr>
            <w:tcW w:w="3154" w:type="dxa"/>
            <w:vMerge w:val="restart"/>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相对方位</w:t>
            </w:r>
          </w:p>
        </w:tc>
        <w:tc>
          <w:tcPr>
            <w:tcW w:w="1457" w:type="dxa"/>
            <w:vMerge w:val="restart"/>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监测因子</w:t>
            </w:r>
          </w:p>
        </w:tc>
      </w:tr>
      <w:tr w:rsidR="00C861DA">
        <w:trPr>
          <w:trHeight w:val="369"/>
          <w:jc w:val="center"/>
        </w:trPr>
        <w:tc>
          <w:tcPr>
            <w:tcW w:w="733" w:type="dxa"/>
            <w:vMerge/>
            <w:vAlign w:val="center"/>
          </w:tcPr>
          <w:p w:rsidR="00C861DA" w:rsidRDefault="00C861DA">
            <w:pPr>
              <w:jc w:val="center"/>
              <w:rPr>
                <w:rFonts w:ascii="Times New Roman" w:eastAsia="宋体" w:hAnsi="Times New Roman" w:cs="Times New Roman"/>
                <w:color w:val="000000" w:themeColor="text1"/>
              </w:rPr>
            </w:pPr>
          </w:p>
        </w:tc>
        <w:tc>
          <w:tcPr>
            <w:tcW w:w="1218" w:type="dxa"/>
            <w:vMerge/>
            <w:vAlign w:val="center"/>
          </w:tcPr>
          <w:p w:rsidR="00C861DA" w:rsidRDefault="00C861DA">
            <w:pPr>
              <w:jc w:val="center"/>
              <w:rPr>
                <w:rFonts w:ascii="Times New Roman" w:eastAsia="宋体" w:hAnsi="Times New Roman" w:cs="Times New Roman"/>
                <w:color w:val="000000" w:themeColor="text1"/>
              </w:rPr>
            </w:pPr>
          </w:p>
        </w:tc>
        <w:tc>
          <w:tcPr>
            <w:tcW w:w="866" w:type="dxa"/>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X</w:t>
            </w:r>
          </w:p>
        </w:tc>
        <w:tc>
          <w:tcPr>
            <w:tcW w:w="868" w:type="dxa"/>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Y</w:t>
            </w:r>
          </w:p>
        </w:tc>
        <w:tc>
          <w:tcPr>
            <w:tcW w:w="3154" w:type="dxa"/>
            <w:vMerge/>
            <w:vAlign w:val="center"/>
          </w:tcPr>
          <w:p w:rsidR="00C861DA" w:rsidRDefault="00C861DA">
            <w:pPr>
              <w:jc w:val="center"/>
              <w:rPr>
                <w:rFonts w:ascii="Times New Roman" w:eastAsia="宋体" w:hAnsi="Times New Roman" w:cs="Times New Roman"/>
                <w:color w:val="000000" w:themeColor="text1"/>
              </w:rPr>
            </w:pPr>
          </w:p>
        </w:tc>
        <w:tc>
          <w:tcPr>
            <w:tcW w:w="1457" w:type="dxa"/>
            <w:vMerge/>
            <w:vAlign w:val="center"/>
          </w:tcPr>
          <w:p w:rsidR="00C861DA" w:rsidRDefault="00C861DA">
            <w:pPr>
              <w:jc w:val="center"/>
              <w:rPr>
                <w:rFonts w:ascii="Times New Roman" w:eastAsia="宋体" w:hAnsi="Times New Roman" w:cs="Times New Roman"/>
                <w:color w:val="000000" w:themeColor="text1"/>
              </w:rPr>
            </w:pPr>
          </w:p>
        </w:tc>
      </w:tr>
      <w:tr w:rsidR="00C861DA">
        <w:trPr>
          <w:trHeight w:val="369"/>
          <w:jc w:val="center"/>
        </w:trPr>
        <w:tc>
          <w:tcPr>
            <w:tcW w:w="733"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121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下禄脿村</w:t>
            </w:r>
          </w:p>
        </w:tc>
        <w:tc>
          <w:tcPr>
            <w:tcW w:w="86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-1931</w:t>
            </w:r>
          </w:p>
        </w:tc>
        <w:tc>
          <w:tcPr>
            <w:tcW w:w="86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-1097</w:t>
            </w:r>
          </w:p>
        </w:tc>
        <w:tc>
          <w:tcPr>
            <w:tcW w:w="3154"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厂区西南面</w:t>
            </w:r>
          </w:p>
        </w:tc>
        <w:tc>
          <w:tcPr>
            <w:tcW w:w="1457"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氨、氟化物</w:t>
            </w:r>
          </w:p>
        </w:tc>
      </w:tr>
      <w:tr w:rsidR="00C861DA">
        <w:trPr>
          <w:trHeight w:val="369"/>
          <w:jc w:val="center"/>
        </w:trPr>
        <w:tc>
          <w:tcPr>
            <w:tcW w:w="733"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121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大哨村</w:t>
            </w:r>
          </w:p>
        </w:tc>
        <w:tc>
          <w:tcPr>
            <w:tcW w:w="86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109</w:t>
            </w:r>
          </w:p>
        </w:tc>
        <w:tc>
          <w:tcPr>
            <w:tcW w:w="86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-1450</w:t>
            </w:r>
          </w:p>
        </w:tc>
        <w:tc>
          <w:tcPr>
            <w:tcW w:w="3154"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厂区南面</w:t>
            </w:r>
          </w:p>
        </w:tc>
        <w:tc>
          <w:tcPr>
            <w:tcW w:w="1457"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氨、氟化物</w:t>
            </w:r>
          </w:p>
        </w:tc>
      </w:tr>
      <w:tr w:rsidR="00C861DA">
        <w:trPr>
          <w:trHeight w:val="369"/>
          <w:jc w:val="center"/>
        </w:trPr>
        <w:tc>
          <w:tcPr>
            <w:tcW w:w="733"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p>
        </w:tc>
        <w:tc>
          <w:tcPr>
            <w:tcW w:w="121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多依树村</w:t>
            </w:r>
          </w:p>
        </w:tc>
        <w:tc>
          <w:tcPr>
            <w:tcW w:w="86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-1733</w:t>
            </w:r>
          </w:p>
        </w:tc>
        <w:tc>
          <w:tcPr>
            <w:tcW w:w="86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1749</w:t>
            </w:r>
          </w:p>
        </w:tc>
        <w:tc>
          <w:tcPr>
            <w:tcW w:w="3154"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厂区东北面</w:t>
            </w:r>
          </w:p>
        </w:tc>
        <w:tc>
          <w:tcPr>
            <w:tcW w:w="1457"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氨、氟化物</w:t>
            </w:r>
          </w:p>
        </w:tc>
      </w:tr>
      <w:tr w:rsidR="00C861DA">
        <w:trPr>
          <w:trHeight w:val="369"/>
          <w:jc w:val="center"/>
        </w:trPr>
        <w:tc>
          <w:tcPr>
            <w:tcW w:w="733"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w:t>
            </w:r>
          </w:p>
        </w:tc>
        <w:tc>
          <w:tcPr>
            <w:tcW w:w="121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白塔村</w:t>
            </w:r>
          </w:p>
        </w:tc>
        <w:tc>
          <w:tcPr>
            <w:tcW w:w="86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3296</w:t>
            </w:r>
          </w:p>
        </w:tc>
        <w:tc>
          <w:tcPr>
            <w:tcW w:w="86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657</w:t>
            </w:r>
          </w:p>
        </w:tc>
        <w:tc>
          <w:tcPr>
            <w:tcW w:w="3154"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东侧（工业场地下风向）</w:t>
            </w:r>
          </w:p>
        </w:tc>
        <w:tc>
          <w:tcPr>
            <w:tcW w:w="1457"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氨、氟化物</w:t>
            </w:r>
          </w:p>
        </w:tc>
      </w:tr>
      <w:tr w:rsidR="00C861DA">
        <w:trPr>
          <w:trHeight w:val="369"/>
          <w:jc w:val="center"/>
        </w:trPr>
        <w:tc>
          <w:tcPr>
            <w:tcW w:w="733"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w:t>
            </w:r>
          </w:p>
        </w:tc>
        <w:tc>
          <w:tcPr>
            <w:tcW w:w="121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李白村</w:t>
            </w:r>
          </w:p>
        </w:tc>
        <w:tc>
          <w:tcPr>
            <w:tcW w:w="86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1807</w:t>
            </w:r>
          </w:p>
        </w:tc>
        <w:tc>
          <w:tcPr>
            <w:tcW w:w="86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2808</w:t>
            </w:r>
          </w:p>
        </w:tc>
        <w:tc>
          <w:tcPr>
            <w:tcW w:w="3154"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东北侧（工业场地下风向）</w:t>
            </w:r>
          </w:p>
        </w:tc>
        <w:tc>
          <w:tcPr>
            <w:tcW w:w="1457"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氨、氟化物</w:t>
            </w:r>
          </w:p>
        </w:tc>
      </w:tr>
      <w:tr w:rsidR="00C861DA">
        <w:trPr>
          <w:trHeight w:val="369"/>
          <w:jc w:val="center"/>
        </w:trPr>
        <w:tc>
          <w:tcPr>
            <w:tcW w:w="733"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p>
        </w:tc>
        <w:tc>
          <w:tcPr>
            <w:tcW w:w="121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河上庄</w:t>
            </w:r>
          </w:p>
        </w:tc>
        <w:tc>
          <w:tcPr>
            <w:tcW w:w="86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-205</w:t>
            </w:r>
          </w:p>
        </w:tc>
        <w:tc>
          <w:tcPr>
            <w:tcW w:w="86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3885</w:t>
            </w:r>
          </w:p>
        </w:tc>
        <w:tc>
          <w:tcPr>
            <w:tcW w:w="3154"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北侧（工业场地下风向）</w:t>
            </w:r>
          </w:p>
        </w:tc>
        <w:tc>
          <w:tcPr>
            <w:tcW w:w="1457"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氨、氟化物</w:t>
            </w:r>
          </w:p>
        </w:tc>
      </w:tr>
    </w:tbl>
    <w:p w:rsidR="00C861DA" w:rsidRDefault="0044752E">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监测频次：连续七天。</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监测结果如下：</w:t>
      </w:r>
    </w:p>
    <w:p w:rsidR="00C861DA" w:rsidRDefault="0044752E">
      <w:pPr>
        <w:spacing w:line="360" w:lineRule="auto"/>
        <w:ind w:leftChars="50" w:left="105" w:rightChars="50" w:right="105" w:firstLineChars="200" w:firstLine="482"/>
        <w:jc w:val="center"/>
        <w:rPr>
          <w:rFonts w:ascii="Times New Roman" w:eastAsia="宋体" w:hAnsi="Times New Roman" w:cs="Times New Roman"/>
          <w:color w:val="000000" w:themeColor="text1"/>
          <w:sz w:val="32"/>
        </w:rPr>
      </w:pPr>
      <w:r>
        <w:rPr>
          <w:rFonts w:ascii="Times New Roman" w:eastAsia="宋体" w:hAnsi="Times New Roman" w:cs="Times New Roman"/>
          <w:b/>
          <w:color w:val="000000" w:themeColor="text1"/>
          <w:sz w:val="24"/>
        </w:rPr>
        <w:t>表</w:t>
      </w:r>
      <w:r>
        <w:rPr>
          <w:rFonts w:ascii="Times New Roman" w:eastAsia="宋体" w:hAnsi="Times New Roman" w:cs="Times New Roman" w:hint="eastAsia"/>
          <w:b/>
          <w:color w:val="000000" w:themeColor="text1"/>
          <w:sz w:val="24"/>
        </w:rPr>
        <w:t>5</w:t>
      </w:r>
      <w:r>
        <w:rPr>
          <w:rFonts w:ascii="Times New Roman" w:eastAsia="宋体" w:hAnsi="Times New Roman" w:cs="Times New Roman"/>
          <w:b/>
          <w:color w:val="000000" w:themeColor="text1"/>
          <w:sz w:val="24"/>
        </w:rPr>
        <w:t xml:space="preserve">.3-2  </w:t>
      </w:r>
      <w:r>
        <w:rPr>
          <w:rFonts w:ascii="Times New Roman" w:eastAsia="宋体" w:hAnsi="Times New Roman" w:cs="Times New Roman"/>
          <w:b/>
          <w:color w:val="000000" w:themeColor="text1"/>
          <w:sz w:val="24"/>
        </w:rPr>
        <w:t>环境空气质量现状监测结果</w:t>
      </w:r>
      <w:r>
        <w:rPr>
          <w:rFonts w:ascii="Times New Roman" w:eastAsia="宋体" w:hAnsi="Times New Roman" w:cs="Times New Roman"/>
          <w:b/>
          <w:color w:val="000000" w:themeColor="text1"/>
          <w:sz w:val="24"/>
        </w:rPr>
        <w:t xml:space="preserve"> </w:t>
      </w:r>
      <w:r>
        <w:rPr>
          <w:rFonts w:ascii="Times New Roman" w:eastAsia="宋体" w:hAnsi="Times New Roman" w:cs="Times New Roman"/>
          <w:b/>
          <w:color w:val="000000" w:themeColor="text1"/>
          <w:sz w:val="24"/>
        </w:rPr>
        <w:t>（日均值）</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36"/>
        <w:gridCol w:w="699"/>
        <w:gridCol w:w="1090"/>
        <w:gridCol w:w="1165"/>
        <w:gridCol w:w="1547"/>
        <w:gridCol w:w="1017"/>
        <w:gridCol w:w="688"/>
        <w:gridCol w:w="758"/>
      </w:tblGrid>
      <w:tr w:rsidR="00C861DA">
        <w:trPr>
          <w:trHeight w:val="369"/>
          <w:jc w:val="center"/>
        </w:trPr>
        <w:tc>
          <w:tcPr>
            <w:tcW w:w="696" w:type="dxa"/>
            <w:vMerge w:val="restart"/>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点位名称</w:t>
            </w:r>
          </w:p>
        </w:tc>
        <w:tc>
          <w:tcPr>
            <w:tcW w:w="1335" w:type="dxa"/>
            <w:gridSpan w:val="2"/>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监测点坐标</w:t>
            </w:r>
            <w:r>
              <w:rPr>
                <w:rFonts w:ascii="Times New Roman" w:eastAsia="宋体" w:hAnsi="Times New Roman" w:cs="Times New Roman"/>
                <w:b/>
                <w:color w:val="000000" w:themeColor="text1"/>
              </w:rPr>
              <w:t>/m</w:t>
            </w:r>
          </w:p>
        </w:tc>
        <w:tc>
          <w:tcPr>
            <w:tcW w:w="1090" w:type="dxa"/>
            <w:vMerge w:val="restart"/>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污染物</w:t>
            </w:r>
          </w:p>
        </w:tc>
        <w:tc>
          <w:tcPr>
            <w:tcW w:w="1165" w:type="dxa"/>
            <w:vMerge w:val="restart"/>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评价标准</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μg/m</w:t>
            </w:r>
            <w:r>
              <w:rPr>
                <w:rFonts w:ascii="Times New Roman" w:eastAsia="宋体" w:hAnsi="Times New Roman" w:cs="Times New Roman"/>
                <w:b/>
                <w:color w:val="000000" w:themeColor="text1"/>
                <w:vertAlign w:val="superscript"/>
              </w:rPr>
              <w:t>3</w:t>
            </w:r>
            <w:r>
              <w:rPr>
                <w:rFonts w:ascii="Times New Roman" w:eastAsia="宋体" w:hAnsi="Times New Roman" w:cs="Times New Roman"/>
                <w:b/>
                <w:color w:val="000000" w:themeColor="text1"/>
              </w:rPr>
              <w:t>）</w:t>
            </w:r>
          </w:p>
        </w:tc>
        <w:tc>
          <w:tcPr>
            <w:tcW w:w="1547" w:type="dxa"/>
            <w:vMerge w:val="restart"/>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现状浓度</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μg/m</w:t>
            </w:r>
            <w:r>
              <w:rPr>
                <w:rFonts w:ascii="Times New Roman" w:eastAsia="宋体" w:hAnsi="Times New Roman" w:cs="Times New Roman"/>
                <w:b/>
                <w:color w:val="000000" w:themeColor="text1"/>
                <w:vertAlign w:val="superscript"/>
              </w:rPr>
              <w:t>3</w:t>
            </w:r>
            <w:r>
              <w:rPr>
                <w:rFonts w:ascii="Times New Roman" w:eastAsia="宋体" w:hAnsi="Times New Roman" w:cs="Times New Roman"/>
                <w:b/>
                <w:color w:val="000000" w:themeColor="text1"/>
              </w:rPr>
              <w:t>）</w:t>
            </w:r>
          </w:p>
        </w:tc>
        <w:tc>
          <w:tcPr>
            <w:tcW w:w="1017" w:type="dxa"/>
            <w:vMerge w:val="restart"/>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最大浓度占标率</w:t>
            </w:r>
            <w:r>
              <w:rPr>
                <w:rFonts w:ascii="Times New Roman" w:eastAsia="宋体" w:hAnsi="Times New Roman" w:cs="Times New Roman"/>
                <w:b/>
                <w:color w:val="000000" w:themeColor="text1"/>
              </w:rPr>
              <w:t>/%</w:t>
            </w:r>
          </w:p>
        </w:tc>
        <w:tc>
          <w:tcPr>
            <w:tcW w:w="688" w:type="dxa"/>
            <w:vMerge w:val="restart"/>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超标频率</w:t>
            </w:r>
            <w:r>
              <w:rPr>
                <w:rFonts w:ascii="Times New Roman" w:eastAsia="宋体" w:hAnsi="Times New Roman" w:cs="Times New Roman"/>
                <w:b/>
                <w:color w:val="000000" w:themeColor="text1"/>
              </w:rPr>
              <w:t>/%</w:t>
            </w:r>
          </w:p>
        </w:tc>
        <w:tc>
          <w:tcPr>
            <w:tcW w:w="758" w:type="dxa"/>
            <w:vMerge w:val="restart"/>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达标情况</w:t>
            </w:r>
          </w:p>
        </w:tc>
      </w:tr>
      <w:tr w:rsidR="00C861DA">
        <w:trPr>
          <w:trHeight w:val="369"/>
          <w:jc w:val="center"/>
        </w:trPr>
        <w:tc>
          <w:tcPr>
            <w:tcW w:w="69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36" w:type="dxa"/>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X</w:t>
            </w:r>
          </w:p>
        </w:tc>
        <w:tc>
          <w:tcPr>
            <w:tcW w:w="699" w:type="dxa"/>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Y</w:t>
            </w:r>
          </w:p>
        </w:tc>
        <w:tc>
          <w:tcPr>
            <w:tcW w:w="1090"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165"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547"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017"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88"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758"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69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b/>
                <w:color w:val="000000" w:themeColor="text1"/>
              </w:rPr>
              <w:t>1#</w:t>
            </w:r>
            <w:r>
              <w:rPr>
                <w:rFonts w:ascii="Times New Roman" w:eastAsia="宋体" w:hAnsi="Times New Roman" w:cs="Times New Roman"/>
                <w:b/>
                <w:color w:val="000000" w:themeColor="text1"/>
              </w:rPr>
              <w:t>下禄脿</w:t>
            </w:r>
          </w:p>
        </w:tc>
        <w:tc>
          <w:tcPr>
            <w:tcW w:w="63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-1931</w:t>
            </w:r>
          </w:p>
        </w:tc>
        <w:tc>
          <w:tcPr>
            <w:tcW w:w="699"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-1097</w:t>
            </w:r>
          </w:p>
        </w:tc>
        <w:tc>
          <w:tcPr>
            <w:tcW w:w="1090"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154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36~40</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trHeight w:val="369"/>
          <w:jc w:val="center"/>
        </w:trPr>
        <w:tc>
          <w:tcPr>
            <w:tcW w:w="69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3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99"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090"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氟化物</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w:t>
            </w:r>
          </w:p>
        </w:tc>
        <w:tc>
          <w:tcPr>
            <w:tcW w:w="154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2.7~4.4</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62.8571</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69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b/>
                <w:color w:val="000000" w:themeColor="text1"/>
              </w:rPr>
              <w:t>2#</w:t>
            </w:r>
            <w:r>
              <w:rPr>
                <w:rFonts w:ascii="Times New Roman" w:eastAsia="宋体" w:hAnsi="Times New Roman" w:cs="Times New Roman"/>
                <w:b/>
                <w:color w:val="000000" w:themeColor="text1"/>
              </w:rPr>
              <w:t>大哨村</w:t>
            </w:r>
          </w:p>
        </w:tc>
        <w:tc>
          <w:tcPr>
            <w:tcW w:w="63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109</w:t>
            </w:r>
          </w:p>
        </w:tc>
        <w:tc>
          <w:tcPr>
            <w:tcW w:w="699"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-1450</w:t>
            </w:r>
          </w:p>
        </w:tc>
        <w:tc>
          <w:tcPr>
            <w:tcW w:w="1090"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154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32~41</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trHeight w:val="369"/>
          <w:jc w:val="center"/>
        </w:trPr>
        <w:tc>
          <w:tcPr>
            <w:tcW w:w="69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3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99"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090"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氟化物</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w:t>
            </w:r>
          </w:p>
        </w:tc>
        <w:tc>
          <w:tcPr>
            <w:tcW w:w="154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1.2~3.6</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51.4286</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69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b/>
                <w:color w:val="000000" w:themeColor="text1"/>
              </w:rPr>
              <w:t>3#</w:t>
            </w:r>
            <w:r>
              <w:rPr>
                <w:rFonts w:ascii="Times New Roman" w:eastAsia="宋体" w:hAnsi="Times New Roman" w:cs="Times New Roman"/>
                <w:b/>
                <w:color w:val="000000" w:themeColor="text1"/>
              </w:rPr>
              <w:t>多依树村</w:t>
            </w:r>
          </w:p>
        </w:tc>
        <w:tc>
          <w:tcPr>
            <w:tcW w:w="63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-1733</w:t>
            </w:r>
          </w:p>
        </w:tc>
        <w:tc>
          <w:tcPr>
            <w:tcW w:w="699"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1749</w:t>
            </w:r>
          </w:p>
        </w:tc>
        <w:tc>
          <w:tcPr>
            <w:tcW w:w="1090"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154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25~39</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trHeight w:val="369"/>
          <w:jc w:val="center"/>
        </w:trPr>
        <w:tc>
          <w:tcPr>
            <w:tcW w:w="69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3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99"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090"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氟化物</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w:t>
            </w:r>
          </w:p>
        </w:tc>
        <w:tc>
          <w:tcPr>
            <w:tcW w:w="154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1.3~2.5</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35.7143</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69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b/>
                <w:color w:val="000000" w:themeColor="text1"/>
              </w:rPr>
              <w:t>4#</w:t>
            </w:r>
            <w:r>
              <w:rPr>
                <w:rFonts w:ascii="Times New Roman" w:eastAsia="宋体" w:hAnsi="Times New Roman" w:cs="Times New Roman"/>
                <w:b/>
                <w:color w:val="000000" w:themeColor="text1"/>
              </w:rPr>
              <w:t>白塔村</w:t>
            </w:r>
          </w:p>
        </w:tc>
        <w:tc>
          <w:tcPr>
            <w:tcW w:w="63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3296</w:t>
            </w:r>
          </w:p>
        </w:tc>
        <w:tc>
          <w:tcPr>
            <w:tcW w:w="699"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657</w:t>
            </w:r>
          </w:p>
        </w:tc>
        <w:tc>
          <w:tcPr>
            <w:tcW w:w="1090"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154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31~44</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trHeight w:val="369"/>
          <w:jc w:val="center"/>
        </w:trPr>
        <w:tc>
          <w:tcPr>
            <w:tcW w:w="69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3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99"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090"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氟化物</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w:t>
            </w:r>
          </w:p>
        </w:tc>
        <w:tc>
          <w:tcPr>
            <w:tcW w:w="154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0.9~2.3</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32.8571</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69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b/>
                <w:color w:val="000000" w:themeColor="text1"/>
              </w:rPr>
              <w:t>5#</w:t>
            </w:r>
            <w:r>
              <w:rPr>
                <w:rFonts w:ascii="Times New Roman" w:eastAsia="宋体" w:hAnsi="Times New Roman" w:cs="Times New Roman"/>
                <w:b/>
                <w:color w:val="000000" w:themeColor="text1"/>
              </w:rPr>
              <w:t>李白村</w:t>
            </w:r>
          </w:p>
          <w:p w:rsidR="00C861DA" w:rsidRDefault="00C861DA">
            <w:pPr>
              <w:snapToGrid w:val="0"/>
              <w:jc w:val="center"/>
              <w:rPr>
                <w:rFonts w:ascii="Times New Roman" w:eastAsia="宋体" w:hAnsi="Times New Roman" w:cs="Times New Roman"/>
                <w:color w:val="000000" w:themeColor="text1"/>
              </w:rPr>
            </w:pPr>
          </w:p>
        </w:tc>
        <w:tc>
          <w:tcPr>
            <w:tcW w:w="63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1807</w:t>
            </w:r>
          </w:p>
        </w:tc>
        <w:tc>
          <w:tcPr>
            <w:tcW w:w="699"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2808</w:t>
            </w:r>
          </w:p>
        </w:tc>
        <w:tc>
          <w:tcPr>
            <w:tcW w:w="1090"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154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29~43</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trHeight w:val="369"/>
          <w:jc w:val="center"/>
        </w:trPr>
        <w:tc>
          <w:tcPr>
            <w:tcW w:w="69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3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99"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090"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氟化物</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w:t>
            </w:r>
          </w:p>
        </w:tc>
        <w:tc>
          <w:tcPr>
            <w:tcW w:w="154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1.0~1.7</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24.2857</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69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b/>
                <w:color w:val="000000" w:themeColor="text1"/>
              </w:rPr>
              <w:t>6#</w:t>
            </w:r>
            <w:r>
              <w:rPr>
                <w:rFonts w:ascii="Times New Roman" w:eastAsia="宋体" w:hAnsi="Times New Roman" w:cs="Times New Roman"/>
                <w:b/>
                <w:color w:val="000000" w:themeColor="text1"/>
              </w:rPr>
              <w:t>河上庄</w:t>
            </w:r>
          </w:p>
        </w:tc>
        <w:tc>
          <w:tcPr>
            <w:tcW w:w="63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-205</w:t>
            </w:r>
          </w:p>
        </w:tc>
        <w:tc>
          <w:tcPr>
            <w:tcW w:w="699"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3885</w:t>
            </w:r>
          </w:p>
        </w:tc>
        <w:tc>
          <w:tcPr>
            <w:tcW w:w="1090"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154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35~44</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trHeight w:val="369"/>
          <w:jc w:val="center"/>
        </w:trPr>
        <w:tc>
          <w:tcPr>
            <w:tcW w:w="69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3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99"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090"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氟化物</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w:t>
            </w:r>
          </w:p>
        </w:tc>
        <w:tc>
          <w:tcPr>
            <w:tcW w:w="154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1.0~1.5</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21.4286</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bl>
    <w:p w:rsidR="00C861DA" w:rsidRDefault="0044752E">
      <w:pPr>
        <w:spacing w:beforeLines="50" w:before="156" w:line="360" w:lineRule="auto"/>
        <w:ind w:leftChars="50" w:left="105" w:rightChars="50" w:right="105" w:firstLineChars="200" w:firstLine="482"/>
        <w:jc w:val="center"/>
        <w:rPr>
          <w:rFonts w:ascii="Times New Roman" w:eastAsia="宋体" w:hAnsi="Times New Roman" w:cs="Times New Roman"/>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5.3-3  </w:t>
      </w:r>
      <w:r>
        <w:rPr>
          <w:rFonts w:ascii="Times New Roman" w:eastAsia="宋体" w:hAnsi="Times New Roman" w:cs="Times New Roman"/>
          <w:b/>
          <w:color w:val="000000" w:themeColor="text1"/>
          <w:sz w:val="24"/>
        </w:rPr>
        <w:t>环境空气质量现状监测结果</w:t>
      </w:r>
      <w:r>
        <w:rPr>
          <w:rFonts w:ascii="Times New Roman" w:eastAsia="宋体" w:hAnsi="Times New Roman" w:cs="Times New Roman"/>
          <w:b/>
          <w:color w:val="000000" w:themeColor="text1"/>
          <w:sz w:val="24"/>
        </w:rPr>
        <w:t xml:space="preserve"> </w:t>
      </w:r>
      <w:r>
        <w:rPr>
          <w:rFonts w:ascii="Times New Roman" w:eastAsia="宋体" w:hAnsi="Times New Roman" w:cs="Times New Roman"/>
          <w:b/>
          <w:color w:val="000000" w:themeColor="text1"/>
          <w:sz w:val="24"/>
        </w:rPr>
        <w:t>（小时值）</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36"/>
        <w:gridCol w:w="699"/>
        <w:gridCol w:w="1091"/>
        <w:gridCol w:w="1165"/>
        <w:gridCol w:w="1548"/>
        <w:gridCol w:w="1017"/>
        <w:gridCol w:w="688"/>
        <w:gridCol w:w="756"/>
      </w:tblGrid>
      <w:tr w:rsidR="00C861DA">
        <w:trPr>
          <w:trHeight w:val="369"/>
          <w:jc w:val="center"/>
        </w:trPr>
        <w:tc>
          <w:tcPr>
            <w:tcW w:w="696" w:type="dxa"/>
            <w:vMerge w:val="restart"/>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点位名称</w:t>
            </w:r>
          </w:p>
        </w:tc>
        <w:tc>
          <w:tcPr>
            <w:tcW w:w="1335" w:type="dxa"/>
            <w:gridSpan w:val="2"/>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监测点坐标</w:t>
            </w:r>
            <w:r>
              <w:rPr>
                <w:rFonts w:ascii="Times New Roman" w:eastAsia="宋体" w:hAnsi="Times New Roman" w:cs="Times New Roman"/>
                <w:b/>
                <w:color w:val="000000" w:themeColor="text1"/>
              </w:rPr>
              <w:t>/m</w:t>
            </w:r>
          </w:p>
        </w:tc>
        <w:tc>
          <w:tcPr>
            <w:tcW w:w="1091" w:type="dxa"/>
            <w:vMerge w:val="restart"/>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污染物</w:t>
            </w:r>
          </w:p>
        </w:tc>
        <w:tc>
          <w:tcPr>
            <w:tcW w:w="1165" w:type="dxa"/>
            <w:vMerge w:val="restart"/>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评价标准</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μg/m</w:t>
            </w:r>
            <w:r>
              <w:rPr>
                <w:rFonts w:ascii="Times New Roman" w:eastAsia="宋体" w:hAnsi="Times New Roman" w:cs="Times New Roman"/>
                <w:b/>
                <w:color w:val="000000" w:themeColor="text1"/>
                <w:vertAlign w:val="superscript"/>
              </w:rPr>
              <w:t>3</w:t>
            </w:r>
            <w:r>
              <w:rPr>
                <w:rFonts w:ascii="Times New Roman" w:eastAsia="宋体" w:hAnsi="Times New Roman" w:cs="Times New Roman"/>
                <w:b/>
                <w:color w:val="000000" w:themeColor="text1"/>
              </w:rPr>
              <w:t>）</w:t>
            </w:r>
          </w:p>
        </w:tc>
        <w:tc>
          <w:tcPr>
            <w:tcW w:w="1548" w:type="dxa"/>
            <w:vMerge w:val="restart"/>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现状浓度</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μg/m</w:t>
            </w:r>
            <w:r>
              <w:rPr>
                <w:rFonts w:ascii="Times New Roman" w:eastAsia="宋体" w:hAnsi="Times New Roman" w:cs="Times New Roman"/>
                <w:b/>
                <w:color w:val="000000" w:themeColor="text1"/>
                <w:vertAlign w:val="superscript"/>
              </w:rPr>
              <w:t>3</w:t>
            </w:r>
            <w:r>
              <w:rPr>
                <w:rFonts w:ascii="Times New Roman" w:eastAsia="宋体" w:hAnsi="Times New Roman" w:cs="Times New Roman"/>
                <w:b/>
                <w:color w:val="000000" w:themeColor="text1"/>
              </w:rPr>
              <w:t>）</w:t>
            </w:r>
          </w:p>
        </w:tc>
        <w:tc>
          <w:tcPr>
            <w:tcW w:w="1017" w:type="dxa"/>
            <w:vMerge w:val="restart"/>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最大浓度占标率</w:t>
            </w:r>
            <w:r>
              <w:rPr>
                <w:rFonts w:ascii="Times New Roman" w:eastAsia="宋体" w:hAnsi="Times New Roman" w:cs="Times New Roman"/>
                <w:b/>
                <w:color w:val="000000" w:themeColor="text1"/>
              </w:rPr>
              <w:t>/%</w:t>
            </w:r>
          </w:p>
        </w:tc>
        <w:tc>
          <w:tcPr>
            <w:tcW w:w="688" w:type="dxa"/>
            <w:vMerge w:val="restart"/>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超标频率</w:t>
            </w:r>
            <w:r>
              <w:rPr>
                <w:rFonts w:ascii="Times New Roman" w:eastAsia="宋体" w:hAnsi="Times New Roman" w:cs="Times New Roman"/>
                <w:b/>
                <w:color w:val="000000" w:themeColor="text1"/>
              </w:rPr>
              <w:t>/%</w:t>
            </w:r>
          </w:p>
        </w:tc>
        <w:tc>
          <w:tcPr>
            <w:tcW w:w="756" w:type="dxa"/>
            <w:vMerge w:val="restart"/>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达标情况</w:t>
            </w:r>
          </w:p>
        </w:tc>
      </w:tr>
      <w:tr w:rsidR="00C861DA">
        <w:trPr>
          <w:trHeight w:val="369"/>
          <w:jc w:val="center"/>
        </w:trPr>
        <w:tc>
          <w:tcPr>
            <w:tcW w:w="69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36" w:type="dxa"/>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X</w:t>
            </w:r>
          </w:p>
        </w:tc>
        <w:tc>
          <w:tcPr>
            <w:tcW w:w="699" w:type="dxa"/>
            <w:shd w:val="clear" w:color="auto" w:fill="auto"/>
            <w:vAlign w:val="center"/>
          </w:tcPr>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Y</w:t>
            </w:r>
          </w:p>
        </w:tc>
        <w:tc>
          <w:tcPr>
            <w:tcW w:w="1091"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165"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548"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017"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88"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75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69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b/>
                <w:color w:val="000000" w:themeColor="text1"/>
              </w:rPr>
              <w:t>1#</w:t>
            </w:r>
            <w:r>
              <w:rPr>
                <w:rFonts w:ascii="Times New Roman" w:eastAsia="宋体" w:hAnsi="Times New Roman" w:cs="Times New Roman"/>
                <w:b/>
                <w:color w:val="000000" w:themeColor="text1"/>
              </w:rPr>
              <w:t>下禄脿</w:t>
            </w:r>
          </w:p>
        </w:tc>
        <w:tc>
          <w:tcPr>
            <w:tcW w:w="63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-1931</w:t>
            </w:r>
          </w:p>
        </w:tc>
        <w:tc>
          <w:tcPr>
            <w:tcW w:w="699"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-1097</w:t>
            </w:r>
          </w:p>
        </w:tc>
        <w:tc>
          <w:tcPr>
            <w:tcW w:w="1091"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w:t>
            </w:r>
          </w:p>
        </w:tc>
        <w:tc>
          <w:tcPr>
            <w:tcW w:w="154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31~48</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6"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69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3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99"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091"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氟化物</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154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2.1~8.6</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43</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6"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69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b/>
                <w:color w:val="000000" w:themeColor="text1"/>
              </w:rPr>
              <w:t>2#</w:t>
            </w:r>
            <w:r>
              <w:rPr>
                <w:rFonts w:ascii="Times New Roman" w:eastAsia="宋体" w:hAnsi="Times New Roman" w:cs="Times New Roman"/>
                <w:b/>
                <w:color w:val="000000" w:themeColor="text1"/>
              </w:rPr>
              <w:t>大哨村</w:t>
            </w:r>
          </w:p>
        </w:tc>
        <w:tc>
          <w:tcPr>
            <w:tcW w:w="63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109</w:t>
            </w:r>
          </w:p>
        </w:tc>
        <w:tc>
          <w:tcPr>
            <w:tcW w:w="699"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-1450</w:t>
            </w:r>
          </w:p>
        </w:tc>
        <w:tc>
          <w:tcPr>
            <w:tcW w:w="1091"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w:t>
            </w:r>
          </w:p>
        </w:tc>
        <w:tc>
          <w:tcPr>
            <w:tcW w:w="154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24~47</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23.5</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6"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69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3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99"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091"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氟化物</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154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1.3~5.7</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28.5</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6"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69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b/>
                <w:color w:val="000000" w:themeColor="text1"/>
              </w:rPr>
              <w:t>3#</w:t>
            </w:r>
            <w:r>
              <w:rPr>
                <w:rFonts w:ascii="Times New Roman" w:eastAsia="宋体" w:hAnsi="Times New Roman" w:cs="Times New Roman"/>
                <w:b/>
                <w:color w:val="000000" w:themeColor="text1"/>
              </w:rPr>
              <w:t>多依树</w:t>
            </w:r>
          </w:p>
        </w:tc>
        <w:tc>
          <w:tcPr>
            <w:tcW w:w="63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-1733</w:t>
            </w:r>
          </w:p>
        </w:tc>
        <w:tc>
          <w:tcPr>
            <w:tcW w:w="699"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1749</w:t>
            </w:r>
          </w:p>
        </w:tc>
        <w:tc>
          <w:tcPr>
            <w:tcW w:w="1091"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w:t>
            </w:r>
          </w:p>
        </w:tc>
        <w:tc>
          <w:tcPr>
            <w:tcW w:w="154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20~41</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20.5</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6"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69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3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99"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091"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氟化物</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154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1.2~3.6</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18</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6"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69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b/>
                <w:color w:val="000000" w:themeColor="text1"/>
              </w:rPr>
              <w:t>4#</w:t>
            </w:r>
            <w:r>
              <w:rPr>
                <w:rFonts w:ascii="Times New Roman" w:eastAsia="宋体" w:hAnsi="Times New Roman" w:cs="Times New Roman"/>
                <w:b/>
                <w:color w:val="000000" w:themeColor="text1"/>
              </w:rPr>
              <w:t>白塔村</w:t>
            </w:r>
          </w:p>
        </w:tc>
        <w:tc>
          <w:tcPr>
            <w:tcW w:w="63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3296</w:t>
            </w:r>
          </w:p>
        </w:tc>
        <w:tc>
          <w:tcPr>
            <w:tcW w:w="699"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657</w:t>
            </w:r>
          </w:p>
        </w:tc>
        <w:tc>
          <w:tcPr>
            <w:tcW w:w="1091"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w:t>
            </w:r>
          </w:p>
        </w:tc>
        <w:tc>
          <w:tcPr>
            <w:tcW w:w="154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25~41</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20.5</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6"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69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3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99"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091"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氟化物</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154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0.9~8.0</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6"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69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b/>
                <w:color w:val="000000" w:themeColor="text1"/>
              </w:rPr>
              <w:t>5#</w:t>
            </w:r>
            <w:r>
              <w:rPr>
                <w:rFonts w:ascii="Times New Roman" w:eastAsia="宋体" w:hAnsi="Times New Roman" w:cs="Times New Roman"/>
                <w:b/>
                <w:color w:val="000000" w:themeColor="text1"/>
              </w:rPr>
              <w:t>李白村</w:t>
            </w:r>
          </w:p>
        </w:tc>
        <w:tc>
          <w:tcPr>
            <w:tcW w:w="63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1807</w:t>
            </w:r>
          </w:p>
        </w:tc>
        <w:tc>
          <w:tcPr>
            <w:tcW w:w="699"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2808</w:t>
            </w:r>
          </w:p>
        </w:tc>
        <w:tc>
          <w:tcPr>
            <w:tcW w:w="1091"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w:t>
            </w:r>
          </w:p>
        </w:tc>
        <w:tc>
          <w:tcPr>
            <w:tcW w:w="154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27~55</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27.5</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6"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69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3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99"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091"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氟化物</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154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0.9~7.6</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38</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6"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69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b/>
                <w:color w:val="000000" w:themeColor="text1"/>
              </w:rPr>
              <w:t>6#</w:t>
            </w:r>
            <w:r>
              <w:rPr>
                <w:rFonts w:ascii="Times New Roman" w:eastAsia="宋体" w:hAnsi="Times New Roman" w:cs="Times New Roman"/>
                <w:b/>
                <w:color w:val="000000" w:themeColor="text1"/>
              </w:rPr>
              <w:t>河上庄</w:t>
            </w:r>
          </w:p>
        </w:tc>
        <w:tc>
          <w:tcPr>
            <w:tcW w:w="636"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-205</w:t>
            </w:r>
          </w:p>
        </w:tc>
        <w:tc>
          <w:tcPr>
            <w:tcW w:w="699" w:type="dxa"/>
            <w:vMerge w:val="restart"/>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3885</w:t>
            </w:r>
          </w:p>
        </w:tc>
        <w:tc>
          <w:tcPr>
            <w:tcW w:w="1091"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w:t>
            </w:r>
          </w:p>
        </w:tc>
        <w:tc>
          <w:tcPr>
            <w:tcW w:w="154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32~47</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23.5</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6"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69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36"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699" w:type="dxa"/>
            <w:vMerge/>
            <w:shd w:val="clear" w:color="auto" w:fill="auto"/>
            <w:vAlign w:val="center"/>
          </w:tcPr>
          <w:p w:rsidR="00C861DA" w:rsidRDefault="00C861DA">
            <w:pPr>
              <w:snapToGrid w:val="0"/>
              <w:jc w:val="center"/>
              <w:rPr>
                <w:rFonts w:ascii="Times New Roman" w:eastAsia="宋体" w:hAnsi="Times New Roman" w:cs="Times New Roman"/>
                <w:color w:val="000000" w:themeColor="text1"/>
              </w:rPr>
            </w:pPr>
          </w:p>
        </w:tc>
        <w:tc>
          <w:tcPr>
            <w:tcW w:w="1091"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氟化物</w:t>
            </w:r>
          </w:p>
        </w:tc>
        <w:tc>
          <w:tcPr>
            <w:tcW w:w="1165"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154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0.9~6.2</w:t>
            </w:r>
          </w:p>
        </w:tc>
        <w:tc>
          <w:tcPr>
            <w:tcW w:w="1017"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31</w:t>
            </w:r>
          </w:p>
        </w:tc>
        <w:tc>
          <w:tcPr>
            <w:tcW w:w="688"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p>
        </w:tc>
        <w:tc>
          <w:tcPr>
            <w:tcW w:w="756" w:type="dxa"/>
            <w:shd w:val="clear" w:color="auto" w:fill="auto"/>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bl>
    <w:p w:rsidR="00C861DA" w:rsidRDefault="0044752E">
      <w:pPr>
        <w:pStyle w:val="41"/>
        <w:spacing w:beforeLines="0" w:before="0"/>
        <w:ind w:leftChars="0" w:left="0" w:rightChars="0" w:right="0"/>
        <w:rPr>
          <w:rFonts w:ascii="Times New Roman" w:eastAsia="宋体"/>
          <w:b/>
          <w:bCs w:val="0"/>
          <w:color w:val="000000" w:themeColor="text1"/>
          <w:sz w:val="24"/>
        </w:rPr>
      </w:pPr>
      <w:r>
        <w:rPr>
          <w:rFonts w:ascii="Times New Roman" w:eastAsia="宋体" w:hint="eastAsia"/>
          <w:b/>
          <w:bCs w:val="0"/>
          <w:color w:val="000000" w:themeColor="text1"/>
          <w:sz w:val="24"/>
        </w:rPr>
        <w:t>（</w:t>
      </w:r>
      <w:r>
        <w:rPr>
          <w:rFonts w:ascii="Times New Roman" w:eastAsia="宋体" w:hint="eastAsia"/>
          <w:b/>
          <w:bCs w:val="0"/>
          <w:color w:val="000000" w:themeColor="text1"/>
          <w:sz w:val="24"/>
        </w:rPr>
        <w:t>4</w:t>
      </w:r>
      <w:r>
        <w:rPr>
          <w:rFonts w:ascii="Times New Roman" w:eastAsia="宋体" w:hint="eastAsia"/>
          <w:b/>
          <w:bCs w:val="0"/>
          <w:color w:val="000000" w:themeColor="text1"/>
          <w:sz w:val="24"/>
        </w:rPr>
        <w:t>）小结</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根据上表</w:t>
      </w:r>
      <w:r>
        <w:rPr>
          <w:rFonts w:ascii="Times New Roman" w:eastAsia="宋体" w:hAnsi="Times New Roman" w:cs="Times New Roman"/>
          <w:color w:val="000000" w:themeColor="text1"/>
          <w:sz w:val="24"/>
        </w:rPr>
        <w:t>5.3-2</w:t>
      </w:r>
      <w:r>
        <w:rPr>
          <w:rFonts w:ascii="Times New Roman" w:eastAsia="宋体" w:hAnsi="Times New Roman" w:cs="Times New Roman"/>
          <w:color w:val="000000" w:themeColor="text1"/>
          <w:sz w:val="24"/>
        </w:rPr>
        <w:t>和</w:t>
      </w:r>
      <w:r>
        <w:rPr>
          <w:rFonts w:ascii="Times New Roman" w:eastAsia="宋体" w:hAnsi="Times New Roman" w:cs="Times New Roman"/>
          <w:color w:val="000000" w:themeColor="text1"/>
          <w:sz w:val="24"/>
        </w:rPr>
        <w:t>5.3-3</w:t>
      </w:r>
      <w:r>
        <w:rPr>
          <w:rFonts w:ascii="Times New Roman" w:eastAsia="宋体" w:hAnsi="Times New Roman" w:cs="Times New Roman"/>
          <w:color w:val="000000" w:themeColor="text1"/>
          <w:sz w:val="24"/>
        </w:rPr>
        <w:t>可知，项目区周边环境空气中，本项目特征因子氨、区域特征污染因子氟化物均能够满足</w:t>
      </w:r>
      <w:r>
        <w:rPr>
          <w:rFonts w:ascii="Times New Roman" w:eastAsia="宋体" w:hAnsi="Times New Roman" w:cs="Times New Roman"/>
          <w:color w:val="000000" w:themeColor="text1"/>
          <w:sz w:val="24"/>
        </w:rPr>
        <w:t>HJ2.2-2018</w:t>
      </w:r>
      <w:r>
        <w:rPr>
          <w:rFonts w:ascii="Times New Roman" w:eastAsia="宋体" w:hAnsi="Times New Roman" w:cs="Times New Roman"/>
          <w:color w:val="000000" w:themeColor="text1"/>
          <w:sz w:val="24"/>
        </w:rPr>
        <w:t>《环境影响评价技术导则</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大气环境》附录</w:t>
      </w:r>
      <w:r>
        <w:rPr>
          <w:rFonts w:ascii="Times New Roman" w:eastAsia="宋体" w:hAnsi="Times New Roman" w:cs="Times New Roman"/>
          <w:color w:val="000000" w:themeColor="text1"/>
          <w:sz w:val="24"/>
        </w:rPr>
        <w:t>D</w:t>
      </w:r>
      <w:r>
        <w:rPr>
          <w:rFonts w:ascii="Times New Roman" w:eastAsia="宋体" w:hAnsi="Times New Roman" w:cs="Times New Roman"/>
          <w:color w:val="000000" w:themeColor="text1"/>
          <w:sz w:val="24"/>
        </w:rPr>
        <w:t>中氨的一次值浓度要求及</w:t>
      </w:r>
      <w:r>
        <w:rPr>
          <w:rFonts w:ascii="Times New Roman" w:eastAsia="宋体" w:hAnsi="Times New Roman" w:cs="Times New Roman"/>
          <w:color w:val="000000" w:themeColor="text1"/>
          <w:sz w:val="24"/>
        </w:rPr>
        <w:t>GB3095-2012</w:t>
      </w:r>
      <w:r>
        <w:rPr>
          <w:rFonts w:ascii="Times New Roman" w:eastAsia="宋体" w:hAnsi="Times New Roman" w:cs="Times New Roman"/>
          <w:color w:val="000000" w:themeColor="text1"/>
          <w:sz w:val="24"/>
        </w:rPr>
        <w:t>《环境空气质量标准》中表</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二级标准浓度限值。</w:t>
      </w:r>
    </w:p>
    <w:p w:rsidR="00C861DA" w:rsidRDefault="0044752E">
      <w:pPr>
        <w:pStyle w:val="32"/>
        <w:rPr>
          <w:rFonts w:ascii="Times New Roman" w:eastAsia="宋体"/>
          <w:bCs w:val="0"/>
          <w:color w:val="000000" w:themeColor="text1"/>
          <w:sz w:val="24"/>
          <w:szCs w:val="24"/>
        </w:rPr>
      </w:pPr>
      <w:bookmarkStart w:id="330" w:name="_Toc13083"/>
      <w:bookmarkStart w:id="331" w:name="_Toc511895787"/>
      <w:bookmarkStart w:id="332" w:name="_Toc510564991"/>
      <w:bookmarkStart w:id="333" w:name="_Toc6826820"/>
      <w:r>
        <w:rPr>
          <w:rFonts w:ascii="Times New Roman" w:eastAsia="宋体" w:hint="eastAsia"/>
          <w:bCs w:val="0"/>
          <w:color w:val="000000" w:themeColor="text1"/>
          <w:sz w:val="24"/>
          <w:szCs w:val="24"/>
        </w:rPr>
        <w:t>5.3.2</w:t>
      </w:r>
      <w:r>
        <w:rPr>
          <w:rFonts w:ascii="Times New Roman" w:eastAsia="宋体" w:hint="eastAsia"/>
          <w:bCs w:val="0"/>
          <w:color w:val="000000" w:themeColor="text1"/>
          <w:sz w:val="24"/>
          <w:szCs w:val="24"/>
        </w:rPr>
        <w:t>地表水环境质量现状</w:t>
      </w:r>
      <w:bookmarkEnd w:id="330"/>
      <w:bookmarkEnd w:id="331"/>
      <w:bookmarkEnd w:id="332"/>
      <w:bookmarkEnd w:id="333"/>
    </w:p>
    <w:p w:rsidR="00C861DA" w:rsidRDefault="0044752E">
      <w:pPr>
        <w:pStyle w:val="41"/>
        <w:spacing w:beforeLines="0" w:before="0"/>
        <w:ind w:leftChars="0" w:left="0" w:rightChars="0" w:right="0"/>
        <w:rPr>
          <w:rFonts w:ascii="Times New Roman" w:eastAsia="宋体"/>
          <w:b/>
          <w:bCs w:val="0"/>
          <w:color w:val="000000" w:themeColor="text1"/>
          <w:sz w:val="24"/>
        </w:rPr>
      </w:pPr>
      <w:r>
        <w:rPr>
          <w:rFonts w:ascii="Times New Roman" w:eastAsia="宋体" w:hint="eastAsia"/>
          <w:b/>
          <w:bCs w:val="0"/>
          <w:color w:val="000000" w:themeColor="text1"/>
          <w:sz w:val="24"/>
        </w:rPr>
        <w:t>（</w:t>
      </w:r>
      <w:r>
        <w:rPr>
          <w:rFonts w:ascii="Times New Roman" w:eastAsia="宋体" w:hint="eastAsia"/>
          <w:b/>
          <w:bCs w:val="0"/>
          <w:color w:val="000000" w:themeColor="text1"/>
          <w:sz w:val="24"/>
        </w:rPr>
        <w:t>1</w:t>
      </w:r>
      <w:r>
        <w:rPr>
          <w:rFonts w:ascii="Times New Roman" w:eastAsia="宋体" w:hint="eastAsia"/>
          <w:b/>
          <w:bCs w:val="0"/>
          <w:color w:val="000000" w:themeColor="text1"/>
          <w:sz w:val="24"/>
        </w:rPr>
        <w:t>）</w:t>
      </w:r>
      <w:r>
        <w:rPr>
          <w:rFonts w:ascii="Times New Roman" w:eastAsia="宋体"/>
          <w:b/>
          <w:bCs w:val="0"/>
          <w:color w:val="000000" w:themeColor="text1"/>
          <w:sz w:val="24"/>
        </w:rPr>
        <w:t>水环境现状调查</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距离项目区最近的相关地表水系为项目区西南侧</w:t>
      </w:r>
      <w:r>
        <w:rPr>
          <w:rFonts w:ascii="Times New Roman" w:eastAsia="宋体" w:hAnsi="Times New Roman" w:cs="Times New Roman"/>
          <w:color w:val="000000" w:themeColor="text1"/>
          <w:sz w:val="24"/>
        </w:rPr>
        <w:t>10m</w:t>
      </w:r>
      <w:r>
        <w:rPr>
          <w:rFonts w:ascii="Times New Roman" w:eastAsia="宋体" w:hAnsi="Times New Roman" w:cs="Times New Roman"/>
          <w:color w:val="000000" w:themeColor="text1"/>
          <w:sz w:val="24"/>
        </w:rPr>
        <w:t>的螃蟹河水库，最近的地表河流为项目区西侧</w:t>
      </w:r>
      <w:r>
        <w:rPr>
          <w:rFonts w:ascii="Times New Roman" w:eastAsia="宋体" w:hAnsi="Times New Roman" w:cs="Times New Roman"/>
          <w:color w:val="000000" w:themeColor="text1"/>
          <w:sz w:val="24"/>
        </w:rPr>
        <w:t>1.49km</w:t>
      </w:r>
      <w:r>
        <w:rPr>
          <w:rFonts w:ascii="Times New Roman" w:eastAsia="宋体" w:hAnsi="Times New Roman" w:cs="Times New Roman"/>
          <w:color w:val="000000" w:themeColor="text1"/>
          <w:sz w:val="24"/>
        </w:rPr>
        <w:t>的禄脿河，据《云南省地表水经功能区划（</w:t>
      </w:r>
      <w:r>
        <w:rPr>
          <w:rFonts w:ascii="Times New Roman" w:eastAsia="宋体" w:hAnsi="Times New Roman" w:cs="Times New Roman"/>
          <w:color w:val="000000" w:themeColor="text1"/>
          <w:sz w:val="24"/>
        </w:rPr>
        <w:t>2010-2020</w:t>
      </w:r>
      <w:r>
        <w:rPr>
          <w:rFonts w:ascii="Times New Roman" w:eastAsia="宋体" w:hAnsi="Times New Roman" w:cs="Times New Roman"/>
          <w:color w:val="000000" w:themeColor="text1"/>
          <w:sz w:val="24"/>
        </w:rPr>
        <w:t>年）》，禄脿河水质为</w:t>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3 \* ROMAN </w:instrText>
      </w:r>
      <w:r>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t>III</w:t>
      </w:r>
      <w:r>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t>类，其水环境功能为饮用二级、农业用水、工业用水，区划水质类别为</w:t>
      </w:r>
      <w:r>
        <w:rPr>
          <w:rFonts w:ascii="宋体" w:eastAsia="宋体" w:hAnsi="宋体" w:cs="宋体" w:hint="eastAsia"/>
          <w:color w:val="000000" w:themeColor="text1"/>
          <w:sz w:val="24"/>
        </w:rPr>
        <w:t>Ⅲ</w:t>
      </w:r>
      <w:r>
        <w:rPr>
          <w:rFonts w:ascii="Times New Roman" w:eastAsia="宋体" w:hAnsi="Times New Roman" w:cs="Times New Roman"/>
          <w:color w:val="000000" w:themeColor="text1"/>
          <w:sz w:val="24"/>
        </w:rPr>
        <w:t>类，现状水环境功能主要为农业用水和工业用水，执行《地表水环境质量标准》（</w:t>
      </w:r>
      <w:r>
        <w:rPr>
          <w:rFonts w:ascii="Times New Roman" w:eastAsia="宋体" w:hAnsi="Times New Roman" w:cs="Times New Roman"/>
          <w:color w:val="000000" w:themeColor="text1"/>
          <w:sz w:val="24"/>
        </w:rPr>
        <w:t>GB3838-2002</w:t>
      </w:r>
      <w:r>
        <w:rPr>
          <w:rFonts w:ascii="Times New Roman" w:eastAsia="宋体" w:hAnsi="Times New Roman" w:cs="Times New Roman"/>
          <w:color w:val="000000" w:themeColor="text1"/>
          <w:sz w:val="24"/>
        </w:rPr>
        <w:t>）</w:t>
      </w:r>
      <w:r>
        <w:rPr>
          <w:rFonts w:ascii="宋体" w:eastAsia="宋体" w:hAnsi="宋体" w:cs="宋体" w:hint="eastAsia"/>
          <w:color w:val="000000" w:themeColor="text1"/>
          <w:sz w:val="24"/>
        </w:rPr>
        <w:t>Ⅲ</w:t>
      </w:r>
      <w:r>
        <w:rPr>
          <w:rFonts w:ascii="Times New Roman" w:eastAsia="宋体" w:hAnsi="Times New Roman" w:cs="Times New Roman"/>
          <w:color w:val="000000" w:themeColor="text1"/>
          <w:sz w:val="24"/>
        </w:rPr>
        <w:t>类标准；</w:t>
      </w:r>
      <w:r>
        <w:rPr>
          <w:rFonts w:ascii="Times New Roman" w:eastAsia="宋体" w:hAnsi="Times New Roman" w:cs="Times New Roman" w:hint="eastAsia"/>
          <w:color w:val="000000" w:themeColor="text1"/>
          <w:sz w:val="24"/>
        </w:rPr>
        <w:t>根据安宁市水务局出具的螃蟹河水库功能定义说明，螃蟹河水库作为安宁祥丰金麦有限公司生产使用，</w:t>
      </w:r>
      <w:r>
        <w:rPr>
          <w:rFonts w:ascii="Times New Roman" w:eastAsia="宋体" w:hAnsi="Times New Roman" w:cs="Times New Roman"/>
          <w:color w:val="000000" w:themeColor="text1"/>
          <w:sz w:val="24"/>
        </w:rPr>
        <w:t>根据现场调查（</w:t>
      </w:r>
      <w:r>
        <w:rPr>
          <w:rFonts w:ascii="Times New Roman" w:eastAsia="宋体" w:hAnsi="Times New Roman" w:cs="Times New Roman"/>
          <w:color w:val="000000" w:themeColor="text1"/>
          <w:sz w:val="24"/>
        </w:rPr>
        <w:t>2019</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15</w:t>
      </w:r>
      <w:r>
        <w:rPr>
          <w:rFonts w:ascii="Times New Roman" w:eastAsia="宋体" w:hAnsi="Times New Roman" w:cs="Times New Roman"/>
          <w:color w:val="000000" w:themeColor="text1"/>
          <w:sz w:val="24"/>
        </w:rPr>
        <w:t>日），本项目周边无较大水环境污染源。</w:t>
      </w:r>
    </w:p>
    <w:p w:rsidR="00C861DA" w:rsidRDefault="0044752E">
      <w:pPr>
        <w:pStyle w:val="41"/>
        <w:spacing w:beforeLines="0" w:before="0"/>
        <w:ind w:leftChars="0" w:left="0" w:rightChars="0" w:right="0"/>
        <w:rPr>
          <w:rFonts w:ascii="Times New Roman" w:eastAsia="宋体"/>
          <w:b/>
          <w:bCs w:val="0"/>
          <w:color w:val="000000" w:themeColor="text1"/>
          <w:sz w:val="24"/>
        </w:rPr>
      </w:pPr>
      <w:r>
        <w:rPr>
          <w:rFonts w:ascii="Times New Roman" w:eastAsia="宋体" w:hint="eastAsia"/>
          <w:b/>
          <w:bCs w:val="0"/>
          <w:color w:val="000000" w:themeColor="text1"/>
          <w:sz w:val="24"/>
        </w:rPr>
        <w:t>（</w:t>
      </w:r>
      <w:r>
        <w:rPr>
          <w:rFonts w:ascii="Times New Roman" w:eastAsia="宋体" w:hint="eastAsia"/>
          <w:b/>
          <w:bCs w:val="0"/>
          <w:color w:val="000000" w:themeColor="text1"/>
          <w:sz w:val="24"/>
        </w:rPr>
        <w:t>2</w:t>
      </w:r>
      <w:r>
        <w:rPr>
          <w:rFonts w:ascii="Times New Roman" w:eastAsia="宋体" w:hint="eastAsia"/>
          <w:b/>
          <w:bCs w:val="0"/>
          <w:color w:val="000000" w:themeColor="text1"/>
          <w:sz w:val="24"/>
        </w:rPr>
        <w:t>）水环境质量现状监测</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本次环评引用云南绿色环境科技开发有限公司委托云南科诚环境监测有限公司于</w:t>
      </w:r>
      <w:r>
        <w:rPr>
          <w:rFonts w:ascii="Times New Roman" w:eastAsia="宋体" w:hAnsi="Times New Roman" w:cs="Times New Roman"/>
          <w:color w:val="000000" w:themeColor="text1"/>
          <w:sz w:val="24"/>
        </w:rPr>
        <w:t>2018</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11</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26</w:t>
      </w:r>
      <w:r>
        <w:rPr>
          <w:rFonts w:ascii="Times New Roman" w:eastAsia="宋体" w:hAnsi="Times New Roman" w:cs="Times New Roman"/>
          <w:color w:val="000000" w:themeColor="text1"/>
          <w:sz w:val="24"/>
        </w:rPr>
        <w:t>日至</w:t>
      </w:r>
      <w:r>
        <w:rPr>
          <w:rFonts w:ascii="Times New Roman" w:eastAsia="宋体" w:hAnsi="Times New Roman" w:cs="Times New Roman"/>
          <w:color w:val="000000" w:themeColor="text1"/>
          <w:sz w:val="24"/>
        </w:rPr>
        <w:t>11</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28</w:t>
      </w:r>
      <w:r>
        <w:rPr>
          <w:rFonts w:ascii="Times New Roman" w:eastAsia="宋体" w:hAnsi="Times New Roman" w:cs="Times New Roman"/>
          <w:color w:val="000000" w:themeColor="text1"/>
          <w:sz w:val="24"/>
        </w:rPr>
        <w:t>日对禄脿河上游断面（</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）进行监测的结果、云南金氟化工材料有限公司委托云南省环境科学研究院环境分析测试中心于</w:t>
      </w:r>
      <w:r>
        <w:rPr>
          <w:rFonts w:ascii="Times New Roman" w:eastAsia="宋体" w:hAnsi="Times New Roman" w:cs="Times New Roman"/>
          <w:color w:val="000000" w:themeColor="text1"/>
          <w:sz w:val="24"/>
        </w:rPr>
        <w:t>2017</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8</w:t>
      </w:r>
      <w:r>
        <w:rPr>
          <w:rFonts w:ascii="Times New Roman" w:eastAsia="宋体" w:hAnsi="Times New Roman" w:cs="Times New Roman"/>
          <w:color w:val="000000" w:themeColor="text1"/>
          <w:sz w:val="24"/>
        </w:rPr>
        <w:t>日</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rPr>
        <w:t>日对禄脿河双湄河附近（</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）、螃蟹河水库（</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）水质现状进行监测的数据。根据调查，监测至今周边并未增加污染源，所以引用是可行性的</w:t>
      </w:r>
      <w:r>
        <w:rPr>
          <w:rFonts w:ascii="Times New Roman" w:eastAsia="宋体" w:hAnsi="Times New Roman" w:cs="Times New Roman" w:hint="eastAsia"/>
          <w:color w:val="000000" w:themeColor="text1"/>
          <w:sz w:val="24"/>
        </w:rPr>
        <w:t>，监测结果如下表</w:t>
      </w:r>
      <w:r>
        <w:rPr>
          <w:rFonts w:ascii="Times New Roman" w:eastAsia="宋体" w:hAnsi="Times New Roman" w:cs="Times New Roman" w:hint="eastAsia"/>
          <w:color w:val="000000" w:themeColor="text1"/>
          <w:sz w:val="24"/>
        </w:rPr>
        <w:t>5</w:t>
      </w:r>
      <w:r>
        <w:rPr>
          <w:rFonts w:ascii="Times New Roman" w:eastAsia="宋体" w:hAnsi="Times New Roman" w:cs="Times New Roman"/>
          <w:color w:val="000000" w:themeColor="text1"/>
          <w:sz w:val="24"/>
        </w:rPr>
        <w:t>.3-4</w:t>
      </w:r>
      <w:r>
        <w:rPr>
          <w:rFonts w:ascii="Times New Roman" w:eastAsia="宋体" w:hAnsi="Times New Roman" w:cs="Times New Roman" w:hint="eastAsia"/>
          <w:color w:val="000000" w:themeColor="text1"/>
          <w:sz w:val="24"/>
        </w:rPr>
        <w:t>所示</w:t>
      </w:r>
      <w:r>
        <w:rPr>
          <w:rFonts w:ascii="Times New Roman" w:eastAsia="宋体" w:hAnsi="Times New Roman" w:cs="Times New Roman"/>
          <w:color w:val="000000" w:themeColor="text1"/>
          <w:sz w:val="24"/>
        </w:rPr>
        <w:t>。</w:t>
      </w:r>
    </w:p>
    <w:p w:rsidR="00C861DA" w:rsidRDefault="0044752E">
      <w:pPr>
        <w:pStyle w:val="21"/>
        <w:spacing w:line="240" w:lineRule="auto"/>
        <w:ind w:firstLine="0"/>
        <w:jc w:val="center"/>
        <w:rPr>
          <w:rFonts w:ascii="Times New Roman" w:eastAsia="宋体" w:hAnsi="Times New Roman" w:cs="Times New Roman"/>
          <w:color w:val="000000" w:themeColor="text1"/>
        </w:rPr>
      </w:pPr>
      <w:r>
        <w:rPr>
          <w:rFonts w:ascii="Times New Roman" w:eastAsia="宋体" w:hAnsi="Times New Roman" w:cs="Times New Roman"/>
          <w:b/>
          <w:color w:val="000000" w:themeColor="text1"/>
          <w:sz w:val="24"/>
          <w:lang w:bidi="en-US"/>
        </w:rPr>
        <w:t>表</w:t>
      </w:r>
      <w:r>
        <w:rPr>
          <w:rFonts w:ascii="Times New Roman" w:eastAsia="宋体" w:hAnsi="Times New Roman" w:cs="Times New Roman"/>
          <w:b/>
          <w:color w:val="000000" w:themeColor="text1"/>
          <w:sz w:val="24"/>
          <w:lang w:bidi="en-US"/>
        </w:rPr>
        <w:t xml:space="preserve">5.3-4  </w:t>
      </w:r>
      <w:r>
        <w:rPr>
          <w:rFonts w:ascii="Times New Roman" w:eastAsia="宋体" w:hAnsi="Times New Roman" w:cs="Times New Roman"/>
          <w:b/>
          <w:color w:val="000000" w:themeColor="text1"/>
          <w:sz w:val="24"/>
          <w:lang w:bidi="en-US"/>
        </w:rPr>
        <w:t>地表水环境质量现状监测结果（禄脿河上游断面（</w:t>
      </w:r>
      <w:r>
        <w:rPr>
          <w:rFonts w:ascii="Times New Roman" w:eastAsia="宋体" w:hAnsi="Times New Roman" w:cs="Times New Roman"/>
          <w:b/>
          <w:color w:val="000000" w:themeColor="text1"/>
          <w:sz w:val="24"/>
          <w:lang w:bidi="en-US"/>
        </w:rPr>
        <w:t>1#</w:t>
      </w:r>
      <w:r>
        <w:rPr>
          <w:rFonts w:ascii="Times New Roman" w:eastAsia="宋体" w:hAnsi="Times New Roman" w:cs="Times New Roman"/>
          <w:b/>
          <w:color w:val="000000" w:themeColor="text1"/>
          <w:sz w:val="24"/>
          <w:lang w:bidi="en-US"/>
        </w:rPr>
        <w:t>））</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975"/>
        <w:gridCol w:w="2021"/>
        <w:gridCol w:w="2347"/>
        <w:gridCol w:w="1418"/>
      </w:tblGrid>
      <w:tr w:rsidR="00C861DA">
        <w:trPr>
          <w:trHeight w:val="340"/>
          <w:jc w:val="center"/>
        </w:trPr>
        <w:tc>
          <w:tcPr>
            <w:tcW w:w="1535" w:type="dxa"/>
            <w:shd w:val="clear" w:color="auto" w:fill="auto"/>
            <w:noWrap/>
            <w:vAlign w:val="center"/>
          </w:tcPr>
          <w:p w:rsidR="00C861DA" w:rsidRDefault="0044752E">
            <w:pPr>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分析项目</w:t>
            </w:r>
          </w:p>
        </w:tc>
        <w:tc>
          <w:tcPr>
            <w:tcW w:w="975" w:type="dxa"/>
            <w:shd w:val="clear" w:color="auto" w:fill="auto"/>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标准值</w:t>
            </w:r>
          </w:p>
        </w:tc>
        <w:tc>
          <w:tcPr>
            <w:tcW w:w="2021" w:type="dxa"/>
            <w:shd w:val="clear" w:color="auto" w:fill="auto"/>
            <w:noWrap/>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采样时间</w:t>
            </w:r>
          </w:p>
        </w:tc>
        <w:tc>
          <w:tcPr>
            <w:tcW w:w="2347" w:type="dxa"/>
            <w:shd w:val="clear" w:color="auto" w:fill="auto"/>
            <w:noWrap/>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禄脿河上游断面（</w:t>
            </w:r>
            <w:r>
              <w:rPr>
                <w:rFonts w:ascii="Times New Roman" w:eastAsia="宋体" w:hAnsi="Times New Roman" w:cs="Times New Roman"/>
                <w:b/>
                <w:color w:val="000000" w:themeColor="text1"/>
                <w:kern w:val="0"/>
              </w:rPr>
              <w:t>1#</w:t>
            </w:r>
            <w:r>
              <w:rPr>
                <w:rFonts w:ascii="Times New Roman" w:eastAsia="宋体" w:hAnsi="Times New Roman" w:cs="Times New Roman"/>
                <w:b/>
                <w:color w:val="000000" w:themeColor="text1"/>
                <w:kern w:val="0"/>
              </w:rPr>
              <w:t>）</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达标分析</w:t>
            </w:r>
          </w:p>
        </w:tc>
      </w:tr>
      <w:tr w:rsidR="00C861DA">
        <w:trPr>
          <w:trHeight w:val="340"/>
          <w:jc w:val="center"/>
        </w:trPr>
        <w:tc>
          <w:tcPr>
            <w:tcW w:w="1535"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PH</w:t>
            </w:r>
            <w:r>
              <w:rPr>
                <w:rFonts w:ascii="Times New Roman" w:eastAsia="宋体" w:hAnsi="Times New Roman" w:cs="Times New Roman"/>
                <w:color w:val="000000" w:themeColor="text1"/>
                <w:kern w:val="0"/>
              </w:rPr>
              <w:t>（无量纲）</w:t>
            </w:r>
          </w:p>
        </w:tc>
        <w:tc>
          <w:tcPr>
            <w:tcW w:w="975"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6~9</w:t>
            </w: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2018.11.26</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8.11</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2018.11.27</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8.14</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2018.11.28</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8.07</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氨氮</w:t>
            </w:r>
          </w:p>
        </w:tc>
        <w:tc>
          <w:tcPr>
            <w:tcW w:w="975"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w:t>
            </w: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2018.11.26</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0.179</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2018.11.27</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0.158</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2018.11.28</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0.143</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COD</w:t>
            </w:r>
            <w:r>
              <w:rPr>
                <w:rFonts w:ascii="Times New Roman" w:eastAsia="宋体" w:hAnsi="Times New Roman" w:cs="Times New Roman"/>
                <w:color w:val="000000" w:themeColor="text1"/>
                <w:kern w:val="0"/>
                <w:vertAlign w:val="subscript"/>
              </w:rPr>
              <w:t>Cr</w:t>
            </w:r>
          </w:p>
        </w:tc>
        <w:tc>
          <w:tcPr>
            <w:tcW w:w="975"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w:t>
            </w: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2018.11.26</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15</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2018.11.27</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14</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2018.11.28</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15</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BOD</w:t>
            </w:r>
            <w:r>
              <w:rPr>
                <w:rFonts w:ascii="Times New Roman" w:eastAsia="宋体" w:hAnsi="Times New Roman" w:cs="Times New Roman"/>
                <w:color w:val="000000" w:themeColor="text1"/>
                <w:kern w:val="0"/>
                <w:vertAlign w:val="subscript"/>
              </w:rPr>
              <w:t>5</w:t>
            </w:r>
          </w:p>
        </w:tc>
        <w:tc>
          <w:tcPr>
            <w:tcW w:w="975"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w:t>
            </w: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2018.11.26</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2018.11.27</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3.4</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2018.11.28</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硫化物</w:t>
            </w:r>
          </w:p>
        </w:tc>
        <w:tc>
          <w:tcPr>
            <w:tcW w:w="975"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0.2</w:t>
            </w: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2018.11.26</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0.005L</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2018.11.27</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0.005L</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2018.11.28</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0.005L</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挥发酚</w:t>
            </w:r>
          </w:p>
        </w:tc>
        <w:tc>
          <w:tcPr>
            <w:tcW w:w="975"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0.005</w:t>
            </w: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2018.11.26</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0.0003L</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2018.11.27</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0.0003L</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2018.11.28</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0.0003L</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氰化物</w:t>
            </w:r>
          </w:p>
        </w:tc>
        <w:tc>
          <w:tcPr>
            <w:tcW w:w="975"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0.2</w:t>
            </w: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2018.11.26</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2018.11.27</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2018.11.28</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砷（</w:t>
            </w:r>
            <w:r>
              <w:rPr>
                <w:rFonts w:ascii="Times New Roman" w:eastAsia="宋体" w:hAnsi="Times New Roman" w:cs="Times New Roman"/>
                <w:color w:val="000000" w:themeColor="text1"/>
                <w:kern w:val="0"/>
              </w:rPr>
              <w:t>µg/L</w:t>
            </w:r>
            <w:r>
              <w:rPr>
                <w:rFonts w:ascii="Times New Roman" w:eastAsia="宋体" w:hAnsi="Times New Roman" w:cs="Times New Roman"/>
                <w:color w:val="000000" w:themeColor="text1"/>
                <w:kern w:val="0"/>
              </w:rPr>
              <w:t>）</w:t>
            </w:r>
          </w:p>
        </w:tc>
        <w:tc>
          <w:tcPr>
            <w:tcW w:w="975"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0.05</w:t>
            </w: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2018.11.26</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0.3L</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2018.11.27</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0.3L</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2018.11.28</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0.3L</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氟化物</w:t>
            </w:r>
          </w:p>
        </w:tc>
        <w:tc>
          <w:tcPr>
            <w:tcW w:w="975"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w:t>
            </w: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2018.11.26</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0.82</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2018.11.27</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0.77</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7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202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2018.11.28</w:t>
            </w:r>
          </w:p>
        </w:tc>
        <w:tc>
          <w:tcPr>
            <w:tcW w:w="234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0.73</w:t>
            </w:r>
          </w:p>
        </w:tc>
        <w:tc>
          <w:tcPr>
            <w:tcW w:w="1418"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bl>
    <w:p w:rsidR="00C861DA" w:rsidRDefault="0044752E">
      <w:pPr>
        <w:snapToGrid w:val="0"/>
        <w:spacing w:line="360" w:lineRule="auto"/>
        <w:ind w:firstLine="482"/>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rPr>
        <w:t>备注：</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检出限</w:t>
      </w:r>
      <w:r>
        <w:rPr>
          <w:rFonts w:ascii="Times New Roman" w:eastAsia="宋体" w:hAnsi="Times New Roman" w:cs="Times New Roman"/>
          <w:color w:val="000000" w:themeColor="text1"/>
        </w:rPr>
        <w:t>”+“L”</w:t>
      </w:r>
      <w:r>
        <w:rPr>
          <w:rFonts w:ascii="Times New Roman" w:eastAsia="宋体" w:hAnsi="Times New Roman" w:cs="Times New Roman"/>
          <w:color w:val="000000" w:themeColor="text1"/>
        </w:rPr>
        <w:t>表示样品浓度值低于方法检出限</w:t>
      </w:r>
    </w:p>
    <w:p w:rsidR="00C861DA" w:rsidRDefault="0044752E">
      <w:pPr>
        <w:snapToGrid w:val="0"/>
        <w:spacing w:beforeLines="50" w:before="156"/>
        <w:jc w:val="center"/>
        <w:rPr>
          <w:rFonts w:ascii="Times New Roman" w:eastAsia="宋体" w:hAnsi="Times New Roman" w:cs="Times New Roman"/>
          <w:b/>
          <w:color w:val="000000" w:themeColor="text1"/>
          <w:sz w:val="24"/>
          <w:lang w:bidi="en-US"/>
        </w:rPr>
      </w:pPr>
      <w:r>
        <w:rPr>
          <w:rFonts w:ascii="Times New Roman" w:eastAsia="宋体" w:hAnsi="Times New Roman" w:cs="Times New Roman"/>
          <w:b/>
          <w:color w:val="000000" w:themeColor="text1"/>
          <w:sz w:val="24"/>
          <w:lang w:bidi="en-US"/>
        </w:rPr>
        <w:t>表</w:t>
      </w:r>
      <w:r>
        <w:rPr>
          <w:rFonts w:ascii="Times New Roman" w:eastAsia="宋体" w:hAnsi="Times New Roman" w:cs="Times New Roman"/>
          <w:b/>
          <w:color w:val="000000" w:themeColor="text1"/>
          <w:sz w:val="24"/>
          <w:lang w:bidi="en-US"/>
        </w:rPr>
        <w:t xml:space="preserve">5.3-5  </w:t>
      </w:r>
      <w:r>
        <w:rPr>
          <w:rFonts w:ascii="Times New Roman" w:eastAsia="宋体" w:hAnsi="Times New Roman" w:cs="Times New Roman"/>
          <w:b/>
          <w:color w:val="000000" w:themeColor="text1"/>
          <w:sz w:val="24"/>
          <w:lang w:bidi="en-US"/>
        </w:rPr>
        <w:t>地表水环境质量现状监测结果（禄脿河双湄河附近（</w:t>
      </w:r>
      <w:r>
        <w:rPr>
          <w:rFonts w:ascii="Times New Roman" w:eastAsia="宋体" w:hAnsi="Times New Roman" w:cs="Times New Roman"/>
          <w:b/>
          <w:color w:val="000000" w:themeColor="text1"/>
          <w:sz w:val="24"/>
          <w:lang w:bidi="en-US"/>
        </w:rPr>
        <w:t>2#</w:t>
      </w:r>
      <w:r>
        <w:rPr>
          <w:rFonts w:ascii="Times New Roman" w:eastAsia="宋体" w:hAnsi="Times New Roman" w:cs="Times New Roman"/>
          <w:b/>
          <w:color w:val="000000" w:themeColor="text1"/>
          <w:sz w:val="24"/>
          <w:lang w:bidi="en-US"/>
        </w:rPr>
        <w:t>））</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906"/>
        <w:gridCol w:w="1971"/>
        <w:gridCol w:w="1292"/>
        <w:gridCol w:w="1296"/>
        <w:gridCol w:w="1296"/>
      </w:tblGrid>
      <w:tr w:rsidR="00C861DA">
        <w:trPr>
          <w:trHeight w:val="340"/>
          <w:jc w:val="center"/>
        </w:trPr>
        <w:tc>
          <w:tcPr>
            <w:tcW w:w="1535" w:type="dxa"/>
            <w:shd w:val="clear" w:color="auto" w:fill="auto"/>
            <w:noWrap/>
            <w:vAlign w:val="center"/>
          </w:tcPr>
          <w:p w:rsidR="00C861DA" w:rsidRDefault="0044752E">
            <w:pPr>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分析项目</w:t>
            </w:r>
          </w:p>
        </w:tc>
        <w:tc>
          <w:tcPr>
            <w:tcW w:w="906" w:type="dxa"/>
            <w:shd w:val="clear" w:color="auto" w:fill="auto"/>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标准值</w:t>
            </w:r>
          </w:p>
        </w:tc>
        <w:tc>
          <w:tcPr>
            <w:tcW w:w="1971" w:type="dxa"/>
            <w:shd w:val="clear" w:color="auto" w:fill="auto"/>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采样时间</w:t>
            </w:r>
          </w:p>
        </w:tc>
        <w:tc>
          <w:tcPr>
            <w:tcW w:w="1292" w:type="dxa"/>
            <w:shd w:val="clear" w:color="auto" w:fill="auto"/>
            <w:noWrap/>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2#</w:t>
            </w:r>
            <w:r>
              <w:rPr>
                <w:rFonts w:ascii="Times New Roman" w:eastAsia="宋体" w:hAnsi="Times New Roman" w:cs="Times New Roman"/>
                <w:b/>
                <w:color w:val="000000" w:themeColor="text1"/>
                <w:kern w:val="0"/>
              </w:rPr>
              <w:t>禄脿河</w:t>
            </w:r>
          </w:p>
        </w:tc>
        <w:tc>
          <w:tcPr>
            <w:tcW w:w="1296" w:type="dxa"/>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占标率</w:t>
            </w:r>
          </w:p>
        </w:tc>
        <w:tc>
          <w:tcPr>
            <w:tcW w:w="1296" w:type="dxa"/>
            <w:shd w:val="clear" w:color="auto" w:fill="auto"/>
            <w:noWrap/>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达标分析</w:t>
            </w:r>
          </w:p>
        </w:tc>
      </w:tr>
      <w:tr w:rsidR="00C861DA">
        <w:trPr>
          <w:trHeight w:val="340"/>
          <w:jc w:val="center"/>
        </w:trPr>
        <w:tc>
          <w:tcPr>
            <w:tcW w:w="1535"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PH</w:t>
            </w:r>
            <w:r>
              <w:rPr>
                <w:rFonts w:ascii="Times New Roman" w:eastAsia="宋体" w:hAnsi="Times New Roman" w:cs="Times New Roman"/>
                <w:color w:val="000000" w:themeColor="text1"/>
                <w:kern w:val="0"/>
              </w:rPr>
              <w:t>（无量纲）</w:t>
            </w:r>
          </w:p>
        </w:tc>
        <w:tc>
          <w:tcPr>
            <w:tcW w:w="906"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6~9</w:t>
            </w:r>
          </w:p>
        </w:tc>
        <w:tc>
          <w:tcPr>
            <w:tcW w:w="197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2017.02.08</w:t>
            </w:r>
          </w:p>
        </w:tc>
        <w:tc>
          <w:tcPr>
            <w:tcW w:w="12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7.8</w:t>
            </w:r>
          </w:p>
        </w:tc>
        <w:tc>
          <w:tcPr>
            <w:tcW w:w="1296" w:type="dxa"/>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96"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06"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97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2017.02.09</w:t>
            </w:r>
          </w:p>
        </w:tc>
        <w:tc>
          <w:tcPr>
            <w:tcW w:w="12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7.97</w:t>
            </w:r>
          </w:p>
        </w:tc>
        <w:tc>
          <w:tcPr>
            <w:tcW w:w="1296" w:type="dxa"/>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96"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06"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97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2017.02.10</w:t>
            </w:r>
          </w:p>
        </w:tc>
        <w:tc>
          <w:tcPr>
            <w:tcW w:w="12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7.88</w:t>
            </w:r>
          </w:p>
        </w:tc>
        <w:tc>
          <w:tcPr>
            <w:tcW w:w="1296" w:type="dxa"/>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96"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40"/>
          <w:jc w:val="center"/>
        </w:trPr>
        <w:tc>
          <w:tcPr>
            <w:tcW w:w="1535"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氨氮</w:t>
            </w:r>
          </w:p>
        </w:tc>
        <w:tc>
          <w:tcPr>
            <w:tcW w:w="906"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w:t>
            </w:r>
          </w:p>
        </w:tc>
        <w:tc>
          <w:tcPr>
            <w:tcW w:w="197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2017.02.08</w:t>
            </w:r>
          </w:p>
        </w:tc>
        <w:tc>
          <w:tcPr>
            <w:tcW w:w="12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1.58</w:t>
            </w:r>
          </w:p>
        </w:tc>
        <w:tc>
          <w:tcPr>
            <w:tcW w:w="1296"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1.58</w:t>
            </w:r>
          </w:p>
        </w:tc>
        <w:tc>
          <w:tcPr>
            <w:tcW w:w="1296" w:type="dxa"/>
            <w:shd w:val="clear" w:color="auto" w:fill="auto"/>
            <w:noWrap/>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超标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06"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97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2017.02.09</w:t>
            </w:r>
          </w:p>
        </w:tc>
        <w:tc>
          <w:tcPr>
            <w:tcW w:w="12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1.33</w:t>
            </w:r>
          </w:p>
        </w:tc>
        <w:tc>
          <w:tcPr>
            <w:tcW w:w="1296"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1.33</w:t>
            </w:r>
          </w:p>
        </w:tc>
        <w:tc>
          <w:tcPr>
            <w:tcW w:w="1296" w:type="dxa"/>
            <w:shd w:val="clear" w:color="auto" w:fill="auto"/>
            <w:noWrap/>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超标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06"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97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2017.02.10</w:t>
            </w:r>
          </w:p>
        </w:tc>
        <w:tc>
          <w:tcPr>
            <w:tcW w:w="12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1.95</w:t>
            </w:r>
          </w:p>
        </w:tc>
        <w:tc>
          <w:tcPr>
            <w:tcW w:w="1296"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1.95</w:t>
            </w:r>
          </w:p>
        </w:tc>
        <w:tc>
          <w:tcPr>
            <w:tcW w:w="1296" w:type="dxa"/>
            <w:shd w:val="clear" w:color="auto" w:fill="auto"/>
            <w:noWrap/>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超标</w:t>
            </w:r>
          </w:p>
        </w:tc>
      </w:tr>
      <w:tr w:rsidR="00C861DA">
        <w:trPr>
          <w:trHeight w:val="340"/>
          <w:jc w:val="center"/>
        </w:trPr>
        <w:tc>
          <w:tcPr>
            <w:tcW w:w="1535"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COD</w:t>
            </w:r>
            <w:r>
              <w:rPr>
                <w:rFonts w:ascii="Times New Roman" w:eastAsia="宋体" w:hAnsi="Times New Roman" w:cs="Times New Roman"/>
                <w:color w:val="000000" w:themeColor="text1"/>
                <w:kern w:val="0"/>
                <w:vertAlign w:val="subscript"/>
              </w:rPr>
              <w:t>Cr</w:t>
            </w:r>
          </w:p>
        </w:tc>
        <w:tc>
          <w:tcPr>
            <w:tcW w:w="906"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w:t>
            </w:r>
          </w:p>
        </w:tc>
        <w:tc>
          <w:tcPr>
            <w:tcW w:w="197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2017.02.08</w:t>
            </w:r>
          </w:p>
        </w:tc>
        <w:tc>
          <w:tcPr>
            <w:tcW w:w="12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23</w:t>
            </w:r>
          </w:p>
        </w:tc>
        <w:tc>
          <w:tcPr>
            <w:tcW w:w="1296"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1.15</w:t>
            </w:r>
          </w:p>
        </w:tc>
        <w:tc>
          <w:tcPr>
            <w:tcW w:w="1296" w:type="dxa"/>
            <w:shd w:val="clear" w:color="auto" w:fill="auto"/>
            <w:noWrap/>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超标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06"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97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2017.02.09</w:t>
            </w:r>
          </w:p>
        </w:tc>
        <w:tc>
          <w:tcPr>
            <w:tcW w:w="12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21</w:t>
            </w:r>
          </w:p>
        </w:tc>
        <w:tc>
          <w:tcPr>
            <w:tcW w:w="1296"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1.05</w:t>
            </w:r>
          </w:p>
        </w:tc>
        <w:tc>
          <w:tcPr>
            <w:tcW w:w="1296" w:type="dxa"/>
            <w:shd w:val="clear" w:color="auto" w:fill="auto"/>
            <w:noWrap/>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超标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06"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97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2017.02.10</w:t>
            </w:r>
          </w:p>
        </w:tc>
        <w:tc>
          <w:tcPr>
            <w:tcW w:w="12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22</w:t>
            </w:r>
          </w:p>
        </w:tc>
        <w:tc>
          <w:tcPr>
            <w:tcW w:w="1296"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1.1</w:t>
            </w:r>
          </w:p>
        </w:tc>
        <w:tc>
          <w:tcPr>
            <w:tcW w:w="1296" w:type="dxa"/>
            <w:shd w:val="clear" w:color="auto" w:fill="auto"/>
            <w:noWrap/>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超标</w:t>
            </w:r>
          </w:p>
        </w:tc>
      </w:tr>
      <w:tr w:rsidR="00C861DA">
        <w:trPr>
          <w:trHeight w:val="340"/>
          <w:jc w:val="center"/>
        </w:trPr>
        <w:tc>
          <w:tcPr>
            <w:tcW w:w="1535"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BOD</w:t>
            </w:r>
            <w:r>
              <w:rPr>
                <w:rFonts w:ascii="Times New Roman" w:eastAsia="宋体" w:hAnsi="Times New Roman" w:cs="Times New Roman"/>
                <w:color w:val="000000" w:themeColor="text1"/>
                <w:kern w:val="0"/>
                <w:vertAlign w:val="subscript"/>
              </w:rPr>
              <w:t>5</w:t>
            </w:r>
          </w:p>
        </w:tc>
        <w:tc>
          <w:tcPr>
            <w:tcW w:w="906"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w:t>
            </w:r>
          </w:p>
        </w:tc>
        <w:tc>
          <w:tcPr>
            <w:tcW w:w="197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2017.02.08</w:t>
            </w:r>
          </w:p>
        </w:tc>
        <w:tc>
          <w:tcPr>
            <w:tcW w:w="12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4.4</w:t>
            </w:r>
          </w:p>
        </w:tc>
        <w:tc>
          <w:tcPr>
            <w:tcW w:w="1296"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1.1</w:t>
            </w:r>
          </w:p>
        </w:tc>
        <w:tc>
          <w:tcPr>
            <w:tcW w:w="1296" w:type="dxa"/>
            <w:shd w:val="clear" w:color="auto" w:fill="auto"/>
            <w:noWrap/>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超标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06"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97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2017.02.09</w:t>
            </w:r>
          </w:p>
        </w:tc>
        <w:tc>
          <w:tcPr>
            <w:tcW w:w="12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4.1</w:t>
            </w:r>
          </w:p>
        </w:tc>
        <w:tc>
          <w:tcPr>
            <w:tcW w:w="1296"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1.025</w:t>
            </w:r>
          </w:p>
        </w:tc>
        <w:tc>
          <w:tcPr>
            <w:tcW w:w="1296" w:type="dxa"/>
            <w:shd w:val="clear" w:color="auto" w:fill="auto"/>
            <w:noWrap/>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超标</w:t>
            </w:r>
          </w:p>
        </w:tc>
      </w:tr>
      <w:tr w:rsidR="00C861DA">
        <w:trPr>
          <w:trHeight w:val="340"/>
          <w:jc w:val="center"/>
        </w:trPr>
        <w:tc>
          <w:tcPr>
            <w:tcW w:w="1535" w:type="dxa"/>
            <w:vMerge/>
            <w:vAlign w:val="center"/>
          </w:tcPr>
          <w:p w:rsidR="00C861DA" w:rsidRDefault="00C861DA">
            <w:pPr>
              <w:jc w:val="center"/>
              <w:rPr>
                <w:rFonts w:ascii="Times New Roman" w:eastAsia="宋体" w:hAnsi="Times New Roman" w:cs="Times New Roman"/>
                <w:color w:val="000000" w:themeColor="text1"/>
                <w:kern w:val="0"/>
              </w:rPr>
            </w:pPr>
          </w:p>
        </w:tc>
        <w:tc>
          <w:tcPr>
            <w:tcW w:w="906"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971"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2017.02.10</w:t>
            </w:r>
          </w:p>
        </w:tc>
        <w:tc>
          <w:tcPr>
            <w:tcW w:w="12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4.5</w:t>
            </w:r>
          </w:p>
        </w:tc>
        <w:tc>
          <w:tcPr>
            <w:tcW w:w="1296"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1.125</w:t>
            </w:r>
          </w:p>
        </w:tc>
        <w:tc>
          <w:tcPr>
            <w:tcW w:w="1296" w:type="dxa"/>
            <w:shd w:val="clear" w:color="auto" w:fill="auto"/>
            <w:noWrap/>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超标</w:t>
            </w:r>
          </w:p>
        </w:tc>
      </w:tr>
    </w:tbl>
    <w:p w:rsidR="00C861DA" w:rsidRDefault="0044752E">
      <w:pPr>
        <w:snapToGrid w:val="0"/>
        <w:spacing w:line="360" w:lineRule="auto"/>
        <w:ind w:firstLine="482"/>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rPr>
        <w:t>备注：</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检出限</w:t>
      </w:r>
      <w:r>
        <w:rPr>
          <w:rFonts w:ascii="Times New Roman" w:eastAsia="宋体" w:hAnsi="Times New Roman" w:cs="Times New Roman"/>
          <w:color w:val="000000" w:themeColor="text1"/>
        </w:rPr>
        <w:t>”+“L”</w:t>
      </w:r>
      <w:r>
        <w:rPr>
          <w:rFonts w:ascii="Times New Roman" w:eastAsia="宋体" w:hAnsi="Times New Roman" w:cs="Times New Roman"/>
          <w:color w:val="000000" w:themeColor="text1"/>
        </w:rPr>
        <w:t>表示样品浓度值低于方法检出限</w:t>
      </w:r>
    </w:p>
    <w:p w:rsidR="00C861DA" w:rsidRDefault="0044752E">
      <w:pPr>
        <w:snapToGrid w:val="0"/>
        <w:spacing w:beforeLines="50" w:before="156"/>
        <w:jc w:val="center"/>
        <w:rPr>
          <w:rFonts w:ascii="Times New Roman" w:eastAsia="宋体" w:hAnsi="Times New Roman" w:cs="Times New Roman"/>
          <w:b/>
          <w:color w:val="000000" w:themeColor="text1"/>
          <w:sz w:val="24"/>
          <w:lang w:bidi="en-US"/>
        </w:rPr>
      </w:pPr>
      <w:r>
        <w:rPr>
          <w:rFonts w:ascii="Times New Roman" w:eastAsia="宋体" w:hAnsi="Times New Roman" w:cs="Times New Roman"/>
          <w:b/>
          <w:color w:val="000000" w:themeColor="text1"/>
          <w:sz w:val="24"/>
          <w:lang w:bidi="en-US"/>
        </w:rPr>
        <w:t>表</w:t>
      </w:r>
      <w:r>
        <w:rPr>
          <w:rFonts w:ascii="Times New Roman" w:eastAsia="宋体" w:hAnsi="Times New Roman" w:cs="Times New Roman"/>
          <w:b/>
          <w:color w:val="000000" w:themeColor="text1"/>
          <w:sz w:val="24"/>
          <w:lang w:bidi="en-US"/>
        </w:rPr>
        <w:t xml:space="preserve">5.3-6   </w:t>
      </w:r>
      <w:r>
        <w:rPr>
          <w:rFonts w:ascii="Times New Roman" w:eastAsia="宋体" w:hAnsi="Times New Roman" w:cs="Times New Roman"/>
          <w:b/>
          <w:color w:val="000000" w:themeColor="text1"/>
          <w:sz w:val="24"/>
          <w:lang w:bidi="en-US"/>
        </w:rPr>
        <w:t>地表水环境质量现状监测结果（</w:t>
      </w:r>
      <w:r>
        <w:rPr>
          <w:rFonts w:ascii="Times New Roman" w:eastAsia="宋体" w:hAnsi="Times New Roman" w:cs="Times New Roman"/>
          <w:b/>
          <w:color w:val="000000" w:themeColor="text1"/>
          <w:sz w:val="24"/>
          <w:lang w:bidi="en-US"/>
        </w:rPr>
        <w:t>3#</w:t>
      </w:r>
      <w:r>
        <w:rPr>
          <w:rFonts w:ascii="Times New Roman" w:eastAsia="宋体" w:hAnsi="Times New Roman" w:cs="Times New Roman"/>
          <w:b/>
          <w:color w:val="000000" w:themeColor="text1"/>
          <w:sz w:val="24"/>
          <w:lang w:bidi="en-US"/>
        </w:rPr>
        <w:t>螃蟹河水库）</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005"/>
        <w:gridCol w:w="1420"/>
        <w:gridCol w:w="1792"/>
        <w:gridCol w:w="1005"/>
        <w:gridCol w:w="1256"/>
      </w:tblGrid>
      <w:tr w:rsidR="00C861DA">
        <w:trPr>
          <w:trHeight w:val="369"/>
          <w:jc w:val="center"/>
        </w:trPr>
        <w:tc>
          <w:tcPr>
            <w:tcW w:w="1818" w:type="dxa"/>
            <w:shd w:val="clear" w:color="auto" w:fill="auto"/>
            <w:noWrap/>
            <w:vAlign w:val="center"/>
          </w:tcPr>
          <w:p w:rsidR="00C861DA" w:rsidRDefault="0044752E">
            <w:pPr>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分析项目</w:t>
            </w:r>
          </w:p>
        </w:tc>
        <w:tc>
          <w:tcPr>
            <w:tcW w:w="1005" w:type="dxa"/>
            <w:shd w:val="clear" w:color="auto" w:fill="auto"/>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标准值</w:t>
            </w:r>
          </w:p>
        </w:tc>
        <w:tc>
          <w:tcPr>
            <w:tcW w:w="1420" w:type="dxa"/>
            <w:shd w:val="clear" w:color="auto" w:fill="auto"/>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采样时间</w:t>
            </w:r>
          </w:p>
        </w:tc>
        <w:tc>
          <w:tcPr>
            <w:tcW w:w="1792" w:type="dxa"/>
            <w:shd w:val="clear" w:color="auto" w:fill="auto"/>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3#</w:t>
            </w:r>
            <w:r>
              <w:rPr>
                <w:rFonts w:ascii="Times New Roman" w:eastAsia="宋体" w:hAnsi="Times New Roman" w:cs="Times New Roman"/>
                <w:b/>
                <w:color w:val="000000" w:themeColor="text1"/>
                <w:kern w:val="0"/>
              </w:rPr>
              <w:t>螃蟹河水库</w:t>
            </w:r>
          </w:p>
        </w:tc>
        <w:tc>
          <w:tcPr>
            <w:tcW w:w="1005" w:type="dxa"/>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占标率</w:t>
            </w:r>
          </w:p>
        </w:tc>
        <w:tc>
          <w:tcPr>
            <w:tcW w:w="1256" w:type="dxa"/>
            <w:shd w:val="clear" w:color="auto" w:fill="auto"/>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达标分析</w:t>
            </w:r>
          </w:p>
        </w:tc>
      </w:tr>
      <w:tr w:rsidR="00C861DA">
        <w:trPr>
          <w:trHeight w:val="369"/>
          <w:jc w:val="center"/>
        </w:trPr>
        <w:tc>
          <w:tcPr>
            <w:tcW w:w="1818"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PH</w:t>
            </w:r>
            <w:r>
              <w:rPr>
                <w:rFonts w:ascii="Times New Roman" w:eastAsia="宋体" w:hAnsi="Times New Roman" w:cs="Times New Roman"/>
                <w:color w:val="000000" w:themeColor="text1"/>
                <w:kern w:val="0"/>
              </w:rPr>
              <w:t>（无量纲）</w:t>
            </w:r>
          </w:p>
        </w:tc>
        <w:tc>
          <w:tcPr>
            <w:tcW w:w="1005"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6~9</w:t>
            </w:r>
          </w:p>
        </w:tc>
        <w:tc>
          <w:tcPr>
            <w:tcW w:w="1420"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2017.02.08</w:t>
            </w:r>
          </w:p>
        </w:tc>
        <w:tc>
          <w:tcPr>
            <w:tcW w:w="17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8.23</w:t>
            </w:r>
          </w:p>
        </w:tc>
        <w:tc>
          <w:tcPr>
            <w:tcW w:w="1005"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56"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369"/>
          <w:jc w:val="center"/>
        </w:trPr>
        <w:tc>
          <w:tcPr>
            <w:tcW w:w="1818" w:type="dxa"/>
            <w:vMerge/>
            <w:vAlign w:val="center"/>
          </w:tcPr>
          <w:p w:rsidR="00C861DA" w:rsidRDefault="00C861DA">
            <w:pPr>
              <w:jc w:val="center"/>
              <w:rPr>
                <w:rFonts w:ascii="Times New Roman" w:eastAsia="宋体" w:hAnsi="Times New Roman" w:cs="Times New Roman"/>
                <w:color w:val="000000" w:themeColor="text1"/>
                <w:kern w:val="0"/>
              </w:rPr>
            </w:pPr>
          </w:p>
        </w:tc>
        <w:tc>
          <w:tcPr>
            <w:tcW w:w="100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420"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2017.02.09</w:t>
            </w:r>
          </w:p>
        </w:tc>
        <w:tc>
          <w:tcPr>
            <w:tcW w:w="17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8.22</w:t>
            </w:r>
          </w:p>
        </w:tc>
        <w:tc>
          <w:tcPr>
            <w:tcW w:w="1005"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56"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369"/>
          <w:jc w:val="center"/>
        </w:trPr>
        <w:tc>
          <w:tcPr>
            <w:tcW w:w="1818" w:type="dxa"/>
            <w:vMerge/>
            <w:vAlign w:val="center"/>
          </w:tcPr>
          <w:p w:rsidR="00C861DA" w:rsidRDefault="00C861DA">
            <w:pPr>
              <w:jc w:val="center"/>
              <w:rPr>
                <w:rFonts w:ascii="Times New Roman" w:eastAsia="宋体" w:hAnsi="Times New Roman" w:cs="Times New Roman"/>
                <w:color w:val="000000" w:themeColor="text1"/>
                <w:kern w:val="0"/>
              </w:rPr>
            </w:pPr>
          </w:p>
        </w:tc>
        <w:tc>
          <w:tcPr>
            <w:tcW w:w="100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420"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2017.02.10</w:t>
            </w:r>
          </w:p>
        </w:tc>
        <w:tc>
          <w:tcPr>
            <w:tcW w:w="17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8.25</w:t>
            </w:r>
          </w:p>
        </w:tc>
        <w:tc>
          <w:tcPr>
            <w:tcW w:w="1005"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56"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369"/>
          <w:jc w:val="center"/>
        </w:trPr>
        <w:tc>
          <w:tcPr>
            <w:tcW w:w="1818"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氨氮</w:t>
            </w:r>
          </w:p>
        </w:tc>
        <w:tc>
          <w:tcPr>
            <w:tcW w:w="1005"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w:t>
            </w:r>
          </w:p>
        </w:tc>
        <w:tc>
          <w:tcPr>
            <w:tcW w:w="1420"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2017.02.08</w:t>
            </w:r>
          </w:p>
        </w:tc>
        <w:tc>
          <w:tcPr>
            <w:tcW w:w="17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0.7</w:t>
            </w:r>
          </w:p>
        </w:tc>
        <w:tc>
          <w:tcPr>
            <w:tcW w:w="1005"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0.7</w:t>
            </w:r>
          </w:p>
        </w:tc>
        <w:tc>
          <w:tcPr>
            <w:tcW w:w="1256"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69"/>
          <w:jc w:val="center"/>
        </w:trPr>
        <w:tc>
          <w:tcPr>
            <w:tcW w:w="1818" w:type="dxa"/>
            <w:vMerge/>
            <w:vAlign w:val="center"/>
          </w:tcPr>
          <w:p w:rsidR="00C861DA" w:rsidRDefault="00C861DA">
            <w:pPr>
              <w:jc w:val="center"/>
              <w:rPr>
                <w:rFonts w:ascii="Times New Roman" w:eastAsia="宋体" w:hAnsi="Times New Roman" w:cs="Times New Roman"/>
                <w:color w:val="000000" w:themeColor="text1"/>
                <w:kern w:val="0"/>
              </w:rPr>
            </w:pPr>
          </w:p>
        </w:tc>
        <w:tc>
          <w:tcPr>
            <w:tcW w:w="100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420"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2017.02.09</w:t>
            </w:r>
          </w:p>
        </w:tc>
        <w:tc>
          <w:tcPr>
            <w:tcW w:w="17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0.67</w:t>
            </w:r>
          </w:p>
        </w:tc>
        <w:tc>
          <w:tcPr>
            <w:tcW w:w="1005"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0.67</w:t>
            </w:r>
          </w:p>
        </w:tc>
        <w:tc>
          <w:tcPr>
            <w:tcW w:w="1256"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69"/>
          <w:jc w:val="center"/>
        </w:trPr>
        <w:tc>
          <w:tcPr>
            <w:tcW w:w="1818" w:type="dxa"/>
            <w:vMerge/>
            <w:vAlign w:val="center"/>
          </w:tcPr>
          <w:p w:rsidR="00C861DA" w:rsidRDefault="00C861DA">
            <w:pPr>
              <w:jc w:val="center"/>
              <w:rPr>
                <w:rFonts w:ascii="Times New Roman" w:eastAsia="宋体" w:hAnsi="Times New Roman" w:cs="Times New Roman"/>
                <w:color w:val="000000" w:themeColor="text1"/>
                <w:kern w:val="0"/>
              </w:rPr>
            </w:pPr>
          </w:p>
        </w:tc>
        <w:tc>
          <w:tcPr>
            <w:tcW w:w="100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420"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2017.02.10</w:t>
            </w:r>
          </w:p>
        </w:tc>
        <w:tc>
          <w:tcPr>
            <w:tcW w:w="17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0.69</w:t>
            </w:r>
          </w:p>
        </w:tc>
        <w:tc>
          <w:tcPr>
            <w:tcW w:w="1005"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0.69</w:t>
            </w:r>
          </w:p>
        </w:tc>
        <w:tc>
          <w:tcPr>
            <w:tcW w:w="1256"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69"/>
          <w:jc w:val="center"/>
        </w:trPr>
        <w:tc>
          <w:tcPr>
            <w:tcW w:w="1818"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COD</w:t>
            </w:r>
            <w:r>
              <w:rPr>
                <w:rFonts w:ascii="Times New Roman" w:eastAsia="宋体" w:hAnsi="Times New Roman" w:cs="Times New Roman"/>
                <w:color w:val="000000" w:themeColor="text1"/>
                <w:kern w:val="0"/>
                <w:vertAlign w:val="subscript"/>
              </w:rPr>
              <w:t>Cr</w:t>
            </w:r>
          </w:p>
        </w:tc>
        <w:tc>
          <w:tcPr>
            <w:tcW w:w="1005"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w:t>
            </w:r>
          </w:p>
        </w:tc>
        <w:tc>
          <w:tcPr>
            <w:tcW w:w="1420"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2017.02.08</w:t>
            </w:r>
          </w:p>
        </w:tc>
        <w:tc>
          <w:tcPr>
            <w:tcW w:w="17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&lt;10</w:t>
            </w:r>
          </w:p>
        </w:tc>
        <w:tc>
          <w:tcPr>
            <w:tcW w:w="1005"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56"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369"/>
          <w:jc w:val="center"/>
        </w:trPr>
        <w:tc>
          <w:tcPr>
            <w:tcW w:w="1818" w:type="dxa"/>
            <w:vMerge/>
            <w:vAlign w:val="center"/>
          </w:tcPr>
          <w:p w:rsidR="00C861DA" w:rsidRDefault="00C861DA">
            <w:pPr>
              <w:jc w:val="center"/>
              <w:rPr>
                <w:rFonts w:ascii="Times New Roman" w:eastAsia="宋体" w:hAnsi="Times New Roman" w:cs="Times New Roman"/>
                <w:color w:val="000000" w:themeColor="text1"/>
                <w:kern w:val="0"/>
              </w:rPr>
            </w:pPr>
          </w:p>
        </w:tc>
        <w:tc>
          <w:tcPr>
            <w:tcW w:w="100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420"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2017.02.09</w:t>
            </w:r>
          </w:p>
        </w:tc>
        <w:tc>
          <w:tcPr>
            <w:tcW w:w="17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&lt;10</w:t>
            </w:r>
          </w:p>
        </w:tc>
        <w:tc>
          <w:tcPr>
            <w:tcW w:w="1005"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56"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369"/>
          <w:jc w:val="center"/>
        </w:trPr>
        <w:tc>
          <w:tcPr>
            <w:tcW w:w="1818" w:type="dxa"/>
            <w:vMerge/>
            <w:vAlign w:val="center"/>
          </w:tcPr>
          <w:p w:rsidR="00C861DA" w:rsidRDefault="00C861DA">
            <w:pPr>
              <w:jc w:val="center"/>
              <w:rPr>
                <w:rFonts w:ascii="Times New Roman" w:eastAsia="宋体" w:hAnsi="Times New Roman" w:cs="Times New Roman"/>
                <w:color w:val="000000" w:themeColor="text1"/>
                <w:kern w:val="0"/>
              </w:rPr>
            </w:pPr>
          </w:p>
        </w:tc>
        <w:tc>
          <w:tcPr>
            <w:tcW w:w="100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420"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2017.02.10</w:t>
            </w:r>
          </w:p>
        </w:tc>
        <w:tc>
          <w:tcPr>
            <w:tcW w:w="17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&lt;10</w:t>
            </w:r>
          </w:p>
        </w:tc>
        <w:tc>
          <w:tcPr>
            <w:tcW w:w="1005"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56"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369"/>
          <w:jc w:val="center"/>
        </w:trPr>
        <w:tc>
          <w:tcPr>
            <w:tcW w:w="1818" w:type="dxa"/>
            <w:vMerge w:val="restart"/>
            <w:shd w:val="clear" w:color="auto" w:fill="auto"/>
            <w:noWrap/>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BOD</w:t>
            </w:r>
            <w:r>
              <w:rPr>
                <w:rFonts w:ascii="Times New Roman" w:eastAsia="宋体" w:hAnsi="Times New Roman" w:cs="Times New Roman"/>
                <w:color w:val="000000" w:themeColor="text1"/>
                <w:kern w:val="0"/>
                <w:vertAlign w:val="subscript"/>
              </w:rPr>
              <w:t>5</w:t>
            </w:r>
          </w:p>
        </w:tc>
        <w:tc>
          <w:tcPr>
            <w:tcW w:w="1005"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w:t>
            </w:r>
          </w:p>
        </w:tc>
        <w:tc>
          <w:tcPr>
            <w:tcW w:w="1420"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2017.02.08</w:t>
            </w:r>
          </w:p>
        </w:tc>
        <w:tc>
          <w:tcPr>
            <w:tcW w:w="17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1.3</w:t>
            </w:r>
          </w:p>
        </w:tc>
        <w:tc>
          <w:tcPr>
            <w:tcW w:w="1005"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0.325</w:t>
            </w:r>
          </w:p>
        </w:tc>
        <w:tc>
          <w:tcPr>
            <w:tcW w:w="1256"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69"/>
          <w:jc w:val="center"/>
        </w:trPr>
        <w:tc>
          <w:tcPr>
            <w:tcW w:w="1818" w:type="dxa"/>
            <w:vMerge/>
            <w:vAlign w:val="center"/>
          </w:tcPr>
          <w:p w:rsidR="00C861DA" w:rsidRDefault="00C861DA">
            <w:pPr>
              <w:jc w:val="center"/>
              <w:rPr>
                <w:rFonts w:ascii="Times New Roman" w:eastAsia="宋体" w:hAnsi="Times New Roman" w:cs="Times New Roman"/>
                <w:color w:val="000000" w:themeColor="text1"/>
                <w:kern w:val="0"/>
              </w:rPr>
            </w:pPr>
          </w:p>
        </w:tc>
        <w:tc>
          <w:tcPr>
            <w:tcW w:w="100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420"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2017.02.09</w:t>
            </w:r>
          </w:p>
        </w:tc>
        <w:tc>
          <w:tcPr>
            <w:tcW w:w="17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1.1</w:t>
            </w:r>
          </w:p>
        </w:tc>
        <w:tc>
          <w:tcPr>
            <w:tcW w:w="1005"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0.275</w:t>
            </w:r>
          </w:p>
        </w:tc>
        <w:tc>
          <w:tcPr>
            <w:tcW w:w="1256"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369"/>
          <w:jc w:val="center"/>
        </w:trPr>
        <w:tc>
          <w:tcPr>
            <w:tcW w:w="1818" w:type="dxa"/>
            <w:vMerge/>
            <w:vAlign w:val="center"/>
          </w:tcPr>
          <w:p w:rsidR="00C861DA" w:rsidRDefault="00C861DA">
            <w:pPr>
              <w:jc w:val="center"/>
              <w:rPr>
                <w:rFonts w:ascii="Times New Roman" w:eastAsia="宋体" w:hAnsi="Times New Roman" w:cs="Times New Roman"/>
                <w:color w:val="000000" w:themeColor="text1"/>
                <w:kern w:val="0"/>
              </w:rPr>
            </w:pPr>
          </w:p>
        </w:tc>
        <w:tc>
          <w:tcPr>
            <w:tcW w:w="1005"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420"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2017.02.10</w:t>
            </w:r>
          </w:p>
        </w:tc>
        <w:tc>
          <w:tcPr>
            <w:tcW w:w="179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1.2</w:t>
            </w:r>
          </w:p>
        </w:tc>
        <w:tc>
          <w:tcPr>
            <w:tcW w:w="1005" w:type="dxa"/>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0.3</w:t>
            </w:r>
          </w:p>
        </w:tc>
        <w:tc>
          <w:tcPr>
            <w:tcW w:w="1256"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bl>
    <w:p w:rsidR="00C861DA" w:rsidRDefault="0044752E">
      <w:pPr>
        <w:snapToGrid w:val="0"/>
        <w:spacing w:line="360" w:lineRule="auto"/>
        <w:ind w:firstLine="482"/>
        <w:rPr>
          <w:rFonts w:ascii="Times New Roman" w:eastAsia="宋体" w:hAnsi="Times New Roman" w:cs="Times New Roman"/>
          <w:color w:val="000000" w:themeColor="text1"/>
          <w:lang w:bidi="en-US"/>
        </w:rPr>
      </w:pPr>
      <w:r>
        <w:rPr>
          <w:rFonts w:ascii="Times New Roman" w:eastAsia="宋体" w:hAnsi="Times New Roman" w:cs="Times New Roman"/>
          <w:color w:val="000000" w:themeColor="text1"/>
        </w:rPr>
        <w:t>备注：</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检出限</w:t>
      </w:r>
      <w:r>
        <w:rPr>
          <w:rFonts w:ascii="Times New Roman" w:eastAsia="宋体" w:hAnsi="Times New Roman" w:cs="Times New Roman"/>
          <w:color w:val="000000" w:themeColor="text1"/>
        </w:rPr>
        <w:t>”+“L”</w:t>
      </w:r>
      <w:r>
        <w:rPr>
          <w:rFonts w:ascii="Times New Roman" w:eastAsia="宋体" w:hAnsi="Times New Roman" w:cs="Times New Roman"/>
          <w:color w:val="000000" w:themeColor="text1"/>
        </w:rPr>
        <w:t>表示样品浓度值低于方法检出限</w:t>
      </w:r>
    </w:p>
    <w:p w:rsidR="00C861DA" w:rsidRDefault="0044752E">
      <w:pPr>
        <w:spacing w:line="360" w:lineRule="auto"/>
        <w:outlineLvl w:val="3"/>
        <w:rPr>
          <w:rFonts w:ascii="Times New Roman" w:eastAsia="宋体"/>
          <w:b/>
          <w:color w:val="000000" w:themeColor="text1"/>
          <w:sz w:val="24"/>
        </w:rPr>
      </w:pPr>
      <w:r>
        <w:rPr>
          <w:rFonts w:ascii="Times New Roman" w:eastAsia="宋体" w:hint="eastAsia"/>
          <w:b/>
          <w:color w:val="000000" w:themeColor="text1"/>
          <w:sz w:val="24"/>
        </w:rPr>
        <w:t>（</w:t>
      </w:r>
      <w:r>
        <w:rPr>
          <w:rFonts w:ascii="Times New Roman" w:eastAsia="宋体" w:hint="eastAsia"/>
          <w:b/>
          <w:color w:val="000000" w:themeColor="text1"/>
          <w:sz w:val="24"/>
        </w:rPr>
        <w:t>3</w:t>
      </w:r>
      <w:r>
        <w:rPr>
          <w:rFonts w:ascii="Times New Roman" w:eastAsia="宋体" w:hint="eastAsia"/>
          <w:b/>
          <w:color w:val="000000" w:themeColor="text1"/>
          <w:sz w:val="24"/>
        </w:rPr>
        <w:t>）小结</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由表</w:t>
      </w:r>
      <w:r>
        <w:rPr>
          <w:rFonts w:ascii="Times New Roman" w:eastAsia="宋体" w:hAnsi="Times New Roman" w:cs="Times New Roman"/>
          <w:color w:val="000000" w:themeColor="text1"/>
          <w:sz w:val="24"/>
        </w:rPr>
        <w:t>5.3-4</w:t>
      </w:r>
      <w:r>
        <w:rPr>
          <w:rFonts w:ascii="Times New Roman" w:eastAsia="宋体" w:hAnsi="Times New Roman" w:cs="Times New Roman"/>
          <w:color w:val="000000" w:themeColor="text1"/>
          <w:sz w:val="24"/>
        </w:rPr>
        <w:t>至表</w:t>
      </w:r>
      <w:r>
        <w:rPr>
          <w:rFonts w:ascii="Times New Roman" w:eastAsia="宋体" w:hAnsi="Times New Roman" w:cs="Times New Roman"/>
          <w:color w:val="000000" w:themeColor="text1"/>
          <w:sz w:val="24"/>
        </w:rPr>
        <w:t>5.3-6</w:t>
      </w:r>
      <w:r>
        <w:rPr>
          <w:rFonts w:ascii="Times New Roman" w:eastAsia="宋体" w:hAnsi="Times New Roman" w:cs="Times New Roman"/>
          <w:color w:val="000000" w:themeColor="text1"/>
          <w:sz w:val="24"/>
        </w:rPr>
        <w:t>可以看出，本项目周边地表水螃蟹河水库各项指标均能满足《地表水环境质量标准》（</w:t>
      </w:r>
      <w:r>
        <w:rPr>
          <w:rFonts w:ascii="Times New Roman" w:eastAsia="宋体" w:hAnsi="Times New Roman" w:cs="Times New Roman"/>
          <w:color w:val="000000" w:themeColor="text1"/>
          <w:sz w:val="24"/>
        </w:rPr>
        <w:t>GB3838-2002</w:t>
      </w:r>
      <w:r>
        <w:rPr>
          <w:rFonts w:ascii="Times New Roman" w:eastAsia="宋体" w:hAnsi="Times New Roman" w:cs="Times New Roman"/>
          <w:color w:val="000000" w:themeColor="text1"/>
          <w:sz w:val="24"/>
        </w:rPr>
        <w:t>）</w:t>
      </w:r>
      <w:r>
        <w:rPr>
          <w:rFonts w:ascii="宋体" w:eastAsia="宋体" w:hAnsi="宋体" w:cs="宋体" w:hint="eastAsia"/>
          <w:color w:val="000000" w:themeColor="text1"/>
          <w:sz w:val="24"/>
        </w:rPr>
        <w:t>Ⅲ</w:t>
      </w:r>
      <w:r>
        <w:rPr>
          <w:rFonts w:ascii="Times New Roman" w:eastAsia="宋体" w:hAnsi="Times New Roman" w:cs="Times New Roman"/>
          <w:color w:val="000000" w:themeColor="text1"/>
          <w:sz w:val="24"/>
        </w:rPr>
        <w:t>类标准，禄脿河氨氮、</w:t>
      </w:r>
      <w:r>
        <w:rPr>
          <w:rFonts w:ascii="Times New Roman" w:eastAsia="宋体" w:hAnsi="Times New Roman" w:cs="Times New Roman"/>
          <w:color w:val="000000" w:themeColor="text1"/>
          <w:sz w:val="24"/>
        </w:rPr>
        <w:t>COD</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BOD</w:t>
      </w:r>
      <w:r>
        <w:rPr>
          <w:rFonts w:ascii="Times New Roman" w:eastAsia="宋体" w:hAnsi="Times New Roman" w:cs="Times New Roman"/>
          <w:color w:val="000000" w:themeColor="text1"/>
          <w:sz w:val="24"/>
          <w:vertAlign w:val="subscript"/>
        </w:rPr>
        <w:t>5</w:t>
      </w:r>
      <w:r>
        <w:rPr>
          <w:rFonts w:ascii="Times New Roman" w:eastAsia="宋体" w:hAnsi="Times New Roman" w:cs="Times New Roman"/>
          <w:color w:val="000000" w:themeColor="text1"/>
          <w:sz w:val="24"/>
        </w:rPr>
        <w:t>均出现超标情况，推测超标原因是禄脿河接纳周边村庄生活废水。</w:t>
      </w:r>
    </w:p>
    <w:p w:rsidR="00C861DA" w:rsidRDefault="0044752E">
      <w:pPr>
        <w:pStyle w:val="32"/>
        <w:rPr>
          <w:rFonts w:ascii="Times New Roman" w:eastAsia="宋体"/>
          <w:b w:val="0"/>
          <w:color w:val="000000" w:themeColor="text1"/>
          <w:sz w:val="24"/>
          <w:szCs w:val="22"/>
        </w:rPr>
      </w:pPr>
      <w:bookmarkStart w:id="334" w:name="_Toc6826821"/>
      <w:r>
        <w:rPr>
          <w:rFonts w:ascii="Times New Roman" w:eastAsia="宋体"/>
          <w:bCs w:val="0"/>
          <w:color w:val="000000" w:themeColor="text1"/>
          <w:sz w:val="24"/>
          <w:szCs w:val="24"/>
        </w:rPr>
        <w:t>5.</w:t>
      </w:r>
      <w:r>
        <w:rPr>
          <w:rFonts w:ascii="Times New Roman" w:eastAsia="宋体" w:hint="eastAsia"/>
          <w:bCs w:val="0"/>
          <w:color w:val="000000" w:themeColor="text1"/>
          <w:sz w:val="24"/>
          <w:szCs w:val="24"/>
        </w:rPr>
        <w:t>3</w:t>
      </w:r>
      <w:r>
        <w:rPr>
          <w:rFonts w:ascii="Times New Roman" w:eastAsia="宋体"/>
          <w:bCs w:val="0"/>
          <w:color w:val="000000" w:themeColor="text1"/>
          <w:sz w:val="24"/>
          <w:szCs w:val="24"/>
        </w:rPr>
        <w:t>.3</w:t>
      </w:r>
      <w:r>
        <w:rPr>
          <w:rFonts w:ascii="Times New Roman" w:eastAsia="宋体" w:hint="eastAsia"/>
          <w:bCs w:val="0"/>
          <w:color w:val="000000" w:themeColor="text1"/>
          <w:sz w:val="24"/>
          <w:szCs w:val="24"/>
        </w:rPr>
        <w:t>地下水环境质量现状</w:t>
      </w:r>
      <w:bookmarkEnd w:id="334"/>
    </w:p>
    <w:p w:rsidR="00C861DA" w:rsidRDefault="0044752E">
      <w:pPr>
        <w:spacing w:line="360" w:lineRule="auto"/>
        <w:outlineLvl w:val="3"/>
        <w:rPr>
          <w:rFonts w:ascii="Times New Roman" w:eastAsia="宋体"/>
          <w:b/>
          <w:color w:val="000000" w:themeColor="text1"/>
          <w:sz w:val="24"/>
        </w:rPr>
      </w:pPr>
      <w:r>
        <w:rPr>
          <w:rFonts w:ascii="Times New Roman" w:eastAsia="宋体" w:hint="eastAsia"/>
          <w:b/>
          <w:color w:val="000000" w:themeColor="text1"/>
          <w:sz w:val="24"/>
        </w:rPr>
        <w:t>（</w:t>
      </w:r>
      <w:r>
        <w:rPr>
          <w:rFonts w:ascii="Times New Roman" w:eastAsia="宋体" w:hint="eastAsia"/>
          <w:b/>
          <w:color w:val="000000" w:themeColor="text1"/>
          <w:sz w:val="24"/>
        </w:rPr>
        <w:t>1</w:t>
      </w:r>
      <w:r>
        <w:rPr>
          <w:rFonts w:ascii="Times New Roman" w:eastAsia="宋体" w:hint="eastAsia"/>
          <w:b/>
          <w:color w:val="000000" w:themeColor="text1"/>
          <w:sz w:val="24"/>
        </w:rPr>
        <w:t>）地下水环境现状调查</w:t>
      </w:r>
    </w:p>
    <w:p w:rsidR="00C861DA" w:rsidRDefault="0044752E">
      <w:pPr>
        <w:spacing w:beforeLines="50" w:before="156"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不在集中式饮用水水源和未划定准保护区的集中水式饮用水水源的准保护区、补给径流区；也不在除集中式饮用水水源以外的国家或地方政府设定的与地下水环境相关的其它保护区、分散式饮用水水源地以及特殊地下水资源保护区以外的分布区等其他未列入上述敏感分级的环境敏感区，因此建设项目地下水敏感程度为</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较敏感</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类别，周边村庄有水井，但均已不具备饮用功能。</w:t>
      </w:r>
    </w:p>
    <w:p w:rsidR="00C861DA" w:rsidRDefault="0044752E">
      <w:pPr>
        <w:spacing w:line="360" w:lineRule="auto"/>
        <w:outlineLvl w:val="3"/>
        <w:rPr>
          <w:rFonts w:ascii="Times New Roman" w:eastAsia="宋体"/>
          <w:b/>
          <w:color w:val="000000" w:themeColor="text1"/>
          <w:sz w:val="24"/>
        </w:rPr>
      </w:pPr>
      <w:bookmarkStart w:id="335" w:name="_Toc10971"/>
      <w:bookmarkStart w:id="336" w:name="_Toc13065"/>
      <w:bookmarkStart w:id="337" w:name="_Toc19835"/>
      <w:r>
        <w:rPr>
          <w:rFonts w:ascii="Times New Roman" w:eastAsia="宋体" w:hint="eastAsia"/>
          <w:b/>
          <w:color w:val="000000" w:themeColor="text1"/>
          <w:sz w:val="24"/>
        </w:rPr>
        <w:t>（</w:t>
      </w:r>
      <w:r>
        <w:rPr>
          <w:rFonts w:ascii="Times New Roman" w:eastAsia="宋体" w:hint="eastAsia"/>
          <w:b/>
          <w:color w:val="000000" w:themeColor="text1"/>
          <w:sz w:val="24"/>
        </w:rPr>
        <w:t>2</w:t>
      </w:r>
      <w:r>
        <w:rPr>
          <w:rFonts w:ascii="Times New Roman" w:eastAsia="宋体" w:hint="eastAsia"/>
          <w:b/>
          <w:color w:val="000000" w:themeColor="text1"/>
          <w:sz w:val="24"/>
        </w:rPr>
        <w:t>）地下水环境质量现状监测</w:t>
      </w:r>
      <w:bookmarkEnd w:id="335"/>
      <w:bookmarkEnd w:id="336"/>
      <w:bookmarkEnd w:id="337"/>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为了解本项目所在区域地下水环境质量现状，本次环评</w:t>
      </w:r>
      <w:r>
        <w:rPr>
          <w:rFonts w:ascii="Times New Roman" w:eastAsia="宋体" w:hAnsi="Times New Roman" w:cs="Times New Roman" w:hint="eastAsia"/>
          <w:color w:val="000000" w:themeColor="text1"/>
          <w:sz w:val="24"/>
        </w:rPr>
        <w:t>引用云南绿色环境科技开发有限公司</w:t>
      </w:r>
      <w:r>
        <w:rPr>
          <w:rFonts w:ascii="Times New Roman" w:eastAsia="宋体" w:hAnsi="Times New Roman" w:cs="Times New Roman"/>
          <w:color w:val="000000" w:themeColor="text1"/>
          <w:sz w:val="24"/>
        </w:rPr>
        <w:t>委托云南科诚环境监测有限公司于</w:t>
      </w:r>
      <w:r>
        <w:rPr>
          <w:rFonts w:ascii="Times New Roman" w:eastAsia="宋体" w:hAnsi="Times New Roman" w:cs="Times New Roman"/>
          <w:color w:val="000000" w:themeColor="text1"/>
          <w:sz w:val="24"/>
        </w:rPr>
        <w:t>2018</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12</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日至</w:t>
      </w:r>
      <w:r>
        <w:rPr>
          <w:rFonts w:ascii="Times New Roman" w:eastAsia="宋体" w:hAnsi="Times New Roman" w:cs="Times New Roman"/>
          <w:color w:val="000000" w:themeColor="text1"/>
          <w:sz w:val="24"/>
        </w:rPr>
        <w:t>12</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5</w:t>
      </w:r>
      <w:r>
        <w:rPr>
          <w:rFonts w:ascii="Times New Roman" w:eastAsia="宋体" w:hAnsi="Times New Roman" w:cs="Times New Roman"/>
          <w:color w:val="000000" w:themeColor="text1"/>
          <w:sz w:val="24"/>
        </w:rPr>
        <w:t>日对</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3</w:t>
      </w:r>
      <w:r>
        <w:rPr>
          <w:rFonts w:ascii="Times New Roman" w:eastAsia="宋体" w:hAnsi="Times New Roman" w:cs="Times New Roman"/>
          <w:color w:val="000000" w:themeColor="text1"/>
          <w:sz w:val="24"/>
        </w:rPr>
        <w:t>0</w:t>
      </w:r>
      <w:r>
        <w:rPr>
          <w:rFonts w:ascii="Times New Roman" w:eastAsia="宋体" w:hAnsi="Times New Roman" w:cs="Times New Roman" w:hint="eastAsia"/>
          <w:color w:val="000000" w:themeColor="text1"/>
          <w:sz w:val="24"/>
        </w:rPr>
        <w:t>万吨</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年合成氨装置配套氨储存及输送（运输）</w:t>
      </w:r>
      <w:r>
        <w:rPr>
          <w:rFonts w:ascii="Times New Roman" w:eastAsia="宋体" w:hAnsi="Times New Roman" w:cs="Times New Roman"/>
          <w:color w:val="000000" w:themeColor="text1"/>
          <w:sz w:val="24"/>
        </w:rPr>
        <w:t>项目</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周边地下水进行监测</w:t>
      </w:r>
      <w:r>
        <w:rPr>
          <w:rFonts w:ascii="Times New Roman" w:eastAsia="宋体" w:hAnsi="Times New Roman" w:cs="Times New Roman" w:hint="eastAsia"/>
          <w:color w:val="000000" w:themeColor="text1"/>
          <w:sz w:val="24"/>
        </w:rPr>
        <w:t>的结果</w:t>
      </w:r>
      <w:r>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该项目与本项目厂界距离</w:t>
      </w:r>
      <w:r>
        <w:rPr>
          <w:rFonts w:ascii="Times New Roman" w:eastAsia="宋体" w:hAnsi="Times New Roman" w:cs="Times New Roman" w:hint="eastAsia"/>
          <w:color w:val="000000" w:themeColor="text1"/>
          <w:sz w:val="24"/>
        </w:rPr>
        <w:t>3</w:t>
      </w:r>
      <w:r>
        <w:rPr>
          <w:rFonts w:ascii="Times New Roman" w:eastAsia="宋体" w:hAnsi="Times New Roman" w:cs="Times New Roman"/>
          <w:color w:val="000000" w:themeColor="text1"/>
          <w:sz w:val="24"/>
        </w:rPr>
        <w:t>40m</w:t>
      </w:r>
      <w:r>
        <w:rPr>
          <w:rFonts w:ascii="Times New Roman" w:eastAsia="宋体" w:hAnsi="Times New Roman" w:cs="Times New Roman" w:hint="eastAsia"/>
          <w:color w:val="000000" w:themeColor="text1"/>
          <w:sz w:val="24"/>
        </w:rPr>
        <w:t>，在同一水文地质单元，且监测时间节点较为接近，故监测结果引用可行，其</w:t>
      </w:r>
      <w:r>
        <w:rPr>
          <w:rFonts w:ascii="Times New Roman" w:eastAsia="宋体" w:hAnsi="Times New Roman" w:cs="Times New Roman"/>
          <w:color w:val="000000" w:themeColor="text1"/>
          <w:sz w:val="24"/>
        </w:rPr>
        <w:t>监测情况如下：</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监测点位：</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合成氨厂界内、</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多依树、</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安丰营、</w:t>
      </w:r>
      <w:r>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大哨、</w:t>
      </w:r>
      <w:r>
        <w:rPr>
          <w:rFonts w:ascii="Times New Roman" w:eastAsia="宋体" w:hAnsi="Times New Roman" w:cs="Times New Roman"/>
          <w:color w:val="000000" w:themeColor="text1"/>
          <w:sz w:val="24"/>
        </w:rPr>
        <w:t>5#</w:t>
      </w:r>
      <w:r>
        <w:rPr>
          <w:rFonts w:ascii="Times New Roman" w:eastAsia="宋体" w:hAnsi="Times New Roman" w:cs="Times New Roman"/>
          <w:color w:val="000000" w:themeColor="text1"/>
          <w:sz w:val="24"/>
        </w:rPr>
        <w:t>水井湾、。</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监测因子：</w:t>
      </w:r>
      <w:r>
        <w:rPr>
          <w:rFonts w:ascii="Times New Roman" w:eastAsia="宋体" w:hAnsi="Times New Roman" w:cs="Times New Roman"/>
          <w:color w:val="000000" w:themeColor="text1"/>
          <w:sz w:val="24"/>
          <w:lang w:bidi="en-US"/>
        </w:rPr>
        <w:t>pH</w:t>
      </w:r>
      <w:r>
        <w:rPr>
          <w:rFonts w:ascii="Times New Roman" w:eastAsia="宋体" w:hAnsi="Times New Roman" w:cs="Times New Roman"/>
          <w:color w:val="000000" w:themeColor="text1"/>
          <w:sz w:val="24"/>
          <w:lang w:bidi="en-US"/>
        </w:rPr>
        <w:t>、六价铬、氨氮、硝酸盐氮、亚硝酸盐氮、挥发酚、氰化物、硫酸盐、氟化物、高锰酸盐指数、阴离子表面活性剂、砷、汞、硒、锌、总硬度、铅、氟化物、硫化物、镉、铁、锰、铜、</w:t>
      </w:r>
      <w:r>
        <w:rPr>
          <w:rFonts w:ascii="Times New Roman" w:eastAsia="宋体" w:hAnsi="Times New Roman" w:cs="Times New Roman"/>
          <w:color w:val="000000" w:themeColor="text1"/>
          <w:sz w:val="24"/>
          <w:lang w:bidi="en-US"/>
        </w:rPr>
        <w:t>溶解性总固溶体、硫酸盐、锡、钙、镁、钠、钾、碳酸根、重碳酸根</w:t>
      </w:r>
      <w:r>
        <w:rPr>
          <w:rFonts w:ascii="Times New Roman" w:eastAsia="宋体" w:hAnsi="Times New Roman" w:cs="Times New Roman"/>
          <w:color w:val="000000" w:themeColor="text1"/>
          <w:sz w:val="24"/>
        </w:rPr>
        <w:t>共</w:t>
      </w:r>
      <w:r>
        <w:rPr>
          <w:rFonts w:ascii="Times New Roman" w:eastAsia="宋体" w:hAnsi="Times New Roman" w:cs="Times New Roman"/>
          <w:color w:val="000000" w:themeColor="text1"/>
          <w:sz w:val="24"/>
        </w:rPr>
        <w:t>29</w:t>
      </w:r>
      <w:r>
        <w:rPr>
          <w:rFonts w:ascii="Times New Roman" w:eastAsia="宋体" w:hAnsi="Times New Roman" w:cs="Times New Roman"/>
          <w:color w:val="000000" w:themeColor="text1"/>
          <w:sz w:val="24"/>
        </w:rPr>
        <w:t>项。</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监测时间：</w:t>
      </w:r>
      <w:r>
        <w:rPr>
          <w:rFonts w:ascii="Times New Roman" w:eastAsia="宋体" w:hAnsi="Times New Roman" w:cs="Times New Roman"/>
          <w:color w:val="000000" w:themeColor="text1"/>
          <w:sz w:val="24"/>
        </w:rPr>
        <w:t>2018</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12</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日至</w:t>
      </w:r>
      <w:r>
        <w:rPr>
          <w:rFonts w:ascii="Times New Roman" w:eastAsia="宋体" w:hAnsi="Times New Roman" w:cs="Times New Roman"/>
          <w:color w:val="000000" w:themeColor="text1"/>
          <w:sz w:val="24"/>
        </w:rPr>
        <w:t>2018</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12</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5</w:t>
      </w:r>
      <w:r>
        <w:rPr>
          <w:rFonts w:ascii="Times New Roman" w:eastAsia="宋体" w:hAnsi="Times New Roman" w:cs="Times New Roman"/>
          <w:color w:val="000000" w:themeColor="text1"/>
          <w:sz w:val="24"/>
        </w:rPr>
        <w:t>日。</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监测频次：连续两天，每天一个混合样。</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根据国家地下水功能与水质标准的有关规定，对项目区域可能受项目实施影响的地下水执行《地下水质量标准》（</w:t>
      </w:r>
      <w:r>
        <w:rPr>
          <w:rFonts w:ascii="Times New Roman" w:eastAsia="宋体" w:hAnsi="Times New Roman" w:cs="Times New Roman"/>
          <w:color w:val="000000" w:themeColor="text1"/>
          <w:sz w:val="24"/>
        </w:rPr>
        <w:t>GB/T14848-2017</w:t>
      </w:r>
      <w:r>
        <w:rPr>
          <w:rFonts w:ascii="Times New Roman" w:eastAsia="宋体" w:hAnsi="Times New Roman" w:cs="Times New Roman"/>
          <w:color w:val="000000" w:themeColor="text1"/>
          <w:sz w:val="24"/>
        </w:rPr>
        <w:t>）中的</w:t>
      </w:r>
      <w:r>
        <w:rPr>
          <w:rFonts w:ascii="宋体" w:eastAsia="宋体" w:hAnsi="宋体" w:cs="宋体" w:hint="eastAsia"/>
          <w:color w:val="000000" w:themeColor="text1"/>
          <w:sz w:val="24"/>
        </w:rPr>
        <w:t>Ⅲ</w:t>
      </w:r>
      <w:r>
        <w:rPr>
          <w:rFonts w:ascii="Times New Roman" w:eastAsia="宋体" w:hAnsi="Times New Roman" w:cs="Times New Roman"/>
          <w:color w:val="000000" w:themeColor="text1"/>
          <w:sz w:val="24"/>
        </w:rPr>
        <w:t>类标准（部分），监测结果如下表</w:t>
      </w:r>
      <w:r>
        <w:rPr>
          <w:rFonts w:ascii="Times New Roman" w:eastAsia="宋体" w:hAnsi="Times New Roman" w:cs="Times New Roman" w:hint="eastAsia"/>
          <w:color w:val="000000" w:themeColor="text1"/>
          <w:sz w:val="24"/>
        </w:rPr>
        <w:t>5</w:t>
      </w:r>
      <w:r>
        <w:rPr>
          <w:rFonts w:ascii="Times New Roman" w:eastAsia="宋体" w:hAnsi="Times New Roman" w:cs="Times New Roman"/>
          <w:color w:val="000000" w:themeColor="text1"/>
          <w:sz w:val="24"/>
        </w:rPr>
        <w:t>.3-7</w:t>
      </w:r>
      <w:r>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5</w:t>
      </w:r>
      <w:r>
        <w:rPr>
          <w:rFonts w:ascii="Times New Roman" w:eastAsia="宋体" w:hAnsi="Times New Roman" w:cs="Times New Roman"/>
          <w:color w:val="000000" w:themeColor="text1"/>
          <w:sz w:val="24"/>
        </w:rPr>
        <w:t>.3-8</w:t>
      </w:r>
      <w:r>
        <w:rPr>
          <w:rFonts w:ascii="Times New Roman" w:eastAsia="宋体" w:hAnsi="Times New Roman" w:cs="Times New Roman"/>
          <w:color w:val="000000" w:themeColor="text1"/>
          <w:sz w:val="24"/>
        </w:rPr>
        <w:t>所示。</w:t>
      </w:r>
    </w:p>
    <w:p w:rsidR="00C861DA" w:rsidRDefault="0044752E">
      <w:pPr>
        <w:snapToGrid w:val="0"/>
        <w:jc w:val="center"/>
        <w:rPr>
          <w:rFonts w:ascii="Times New Roman" w:eastAsia="宋体" w:hAnsi="Times New Roman" w:cs="Times New Roman"/>
          <w:b/>
          <w:color w:val="000000" w:themeColor="text1"/>
          <w:sz w:val="24"/>
          <w:lang w:bidi="en-US"/>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5.3-7  </w:t>
      </w:r>
      <w:r>
        <w:rPr>
          <w:rFonts w:ascii="Times New Roman" w:eastAsia="宋体" w:hAnsi="Times New Roman" w:cs="Times New Roman"/>
          <w:b/>
          <w:color w:val="000000" w:themeColor="text1"/>
          <w:sz w:val="24"/>
          <w:lang w:bidi="en-US"/>
        </w:rPr>
        <w:t>地下水环境质量现状监测一览表（</w:t>
      </w:r>
      <w:r>
        <w:rPr>
          <w:rFonts w:ascii="Times New Roman" w:eastAsia="宋体" w:hAnsi="Times New Roman" w:cs="Times New Roman"/>
          <w:b/>
          <w:color w:val="000000" w:themeColor="text1"/>
          <w:sz w:val="24"/>
          <w:lang w:bidi="en-US"/>
        </w:rPr>
        <w:t>1</w:t>
      </w:r>
      <w:r>
        <w:rPr>
          <w:rFonts w:ascii="Times New Roman" w:eastAsia="宋体" w:hAnsi="Times New Roman" w:cs="Times New Roman"/>
          <w:b/>
          <w:color w:val="000000" w:themeColor="text1"/>
          <w:sz w:val="24"/>
          <w:lang w:bidi="en-US"/>
        </w:rPr>
        <w:t>）</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068"/>
        <w:gridCol w:w="832"/>
        <w:gridCol w:w="963"/>
        <w:gridCol w:w="832"/>
        <w:gridCol w:w="922"/>
        <w:gridCol w:w="717"/>
        <w:gridCol w:w="922"/>
        <w:gridCol w:w="727"/>
      </w:tblGrid>
      <w:tr w:rsidR="00C861DA">
        <w:trPr>
          <w:trHeight w:val="284"/>
          <w:tblHeader/>
          <w:jc w:val="center"/>
        </w:trPr>
        <w:tc>
          <w:tcPr>
            <w:tcW w:w="1313" w:type="dxa"/>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检测项（</w:t>
            </w:r>
            <w:r>
              <w:rPr>
                <w:rFonts w:ascii="Times New Roman" w:eastAsia="宋体" w:hAnsi="Times New Roman" w:cs="Times New Roman"/>
                <w:b/>
                <w:bCs/>
                <w:color w:val="000000" w:themeColor="text1"/>
                <w:kern w:val="0"/>
              </w:rPr>
              <w:t>mg/L</w:t>
            </w:r>
            <w:r>
              <w:rPr>
                <w:rFonts w:ascii="Times New Roman" w:eastAsia="宋体" w:hAnsi="Times New Roman" w:cs="Times New Roman"/>
                <w:b/>
                <w:bCs/>
                <w:color w:val="000000" w:themeColor="text1"/>
                <w:kern w:val="0"/>
              </w:rPr>
              <w:t>）</w:t>
            </w:r>
          </w:p>
        </w:tc>
        <w:tc>
          <w:tcPr>
            <w:tcW w:w="1068" w:type="dxa"/>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采样时间</w:t>
            </w:r>
          </w:p>
        </w:tc>
        <w:tc>
          <w:tcPr>
            <w:tcW w:w="832" w:type="dxa"/>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标准值</w:t>
            </w:r>
          </w:p>
        </w:tc>
        <w:tc>
          <w:tcPr>
            <w:tcW w:w="963" w:type="dxa"/>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1#</w:t>
            </w:r>
            <w:r>
              <w:rPr>
                <w:rFonts w:ascii="Times New Roman" w:eastAsia="宋体" w:hAnsi="Times New Roman" w:cs="Times New Roman"/>
                <w:b/>
                <w:bCs/>
                <w:color w:val="000000" w:themeColor="text1"/>
                <w:kern w:val="0"/>
              </w:rPr>
              <w:t>合成氨厂内</w:t>
            </w:r>
          </w:p>
        </w:tc>
        <w:tc>
          <w:tcPr>
            <w:tcW w:w="832" w:type="dxa"/>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达标分析</w:t>
            </w:r>
          </w:p>
        </w:tc>
        <w:tc>
          <w:tcPr>
            <w:tcW w:w="922" w:type="dxa"/>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2#</w:t>
            </w:r>
            <w:r>
              <w:rPr>
                <w:rFonts w:ascii="Times New Roman" w:eastAsia="宋体" w:hAnsi="Times New Roman" w:cs="Times New Roman"/>
                <w:b/>
                <w:bCs/>
                <w:color w:val="000000" w:themeColor="text1"/>
                <w:kern w:val="0"/>
              </w:rPr>
              <w:t>多依树</w:t>
            </w:r>
          </w:p>
        </w:tc>
        <w:tc>
          <w:tcPr>
            <w:tcW w:w="717" w:type="dxa"/>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达标分析</w:t>
            </w:r>
          </w:p>
        </w:tc>
        <w:tc>
          <w:tcPr>
            <w:tcW w:w="922" w:type="dxa"/>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3#</w:t>
            </w:r>
            <w:r>
              <w:rPr>
                <w:rFonts w:ascii="Times New Roman" w:eastAsia="宋体" w:hAnsi="Times New Roman" w:cs="Times New Roman"/>
                <w:b/>
                <w:bCs/>
                <w:color w:val="000000" w:themeColor="text1"/>
                <w:kern w:val="0"/>
              </w:rPr>
              <w:t>安丰营</w:t>
            </w:r>
          </w:p>
        </w:tc>
        <w:tc>
          <w:tcPr>
            <w:tcW w:w="727" w:type="dxa"/>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达标分析</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pH</w:t>
            </w:r>
            <w:r>
              <w:rPr>
                <w:rFonts w:ascii="Times New Roman" w:eastAsia="宋体" w:hAnsi="Times New Roman" w:cs="Times New Roman"/>
                <w:color w:val="000000" w:themeColor="text1"/>
                <w:kern w:val="0"/>
              </w:rPr>
              <w:t>（无量纲）</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6.5</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8.5</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8.17</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7.63</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7.96</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8.26</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7.58</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7.92</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六价铬</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≤0.05</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氨氮</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≤0.50</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0.025L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0.025L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0.481</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0.025L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0.025L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0.494</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硝酸根</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0.46</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0.39</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0.08L</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0.48</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0.41</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0.08L</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亚硝酸根</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≤1.0</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0.003L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0.003L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0.01</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0.003L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0.003L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0.01</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挥发酚</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≤0.002</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0.0003L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0.0003L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0.0003L</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0.0003L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0.0003L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0.0003L</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氰化物</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≤0.05</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氯化物</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≤250</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高锰酸盐指数（耗氧量）</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≤3.0</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0.5</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0.5L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0.5</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0.6</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0.5L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0.6</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砷（</w:t>
            </w:r>
            <w:r>
              <w:rPr>
                <w:rFonts w:ascii="Times New Roman" w:eastAsia="宋体" w:hAnsi="Times New Roman" w:cs="Times New Roman"/>
                <w:color w:val="000000" w:themeColor="text1"/>
                <w:kern w:val="0"/>
              </w:rPr>
              <w:t>µg/L</w:t>
            </w:r>
            <w:r>
              <w:rPr>
                <w:rFonts w:ascii="Times New Roman" w:eastAsia="宋体" w:hAnsi="Times New Roman" w:cs="Times New Roman"/>
                <w:color w:val="000000" w:themeColor="text1"/>
                <w:kern w:val="0"/>
              </w:rPr>
              <w:t>）</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≤0.01</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0.3L</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0.3L</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汞（</w:t>
            </w:r>
            <w:r>
              <w:rPr>
                <w:rFonts w:ascii="Times New Roman" w:eastAsia="宋体" w:hAnsi="Times New Roman" w:cs="Times New Roman"/>
                <w:color w:val="000000" w:themeColor="text1"/>
                <w:kern w:val="0"/>
              </w:rPr>
              <w:t>µg/L</w:t>
            </w:r>
            <w:r>
              <w:rPr>
                <w:rFonts w:ascii="Times New Roman" w:eastAsia="宋体" w:hAnsi="Times New Roman" w:cs="Times New Roman"/>
                <w:color w:val="000000" w:themeColor="text1"/>
                <w:kern w:val="0"/>
              </w:rPr>
              <w:t>）</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≤0.001</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0.04L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0.04L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0.04L</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0.04L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0.04L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0.04L</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总硬度（</w:t>
            </w:r>
            <w:r>
              <w:rPr>
                <w:rFonts w:ascii="Times New Roman" w:eastAsia="宋体" w:hAnsi="Times New Roman" w:cs="Times New Roman"/>
                <w:color w:val="000000" w:themeColor="text1"/>
                <w:kern w:val="0"/>
              </w:rPr>
              <w:t>mmol/L</w:t>
            </w:r>
            <w:r>
              <w:rPr>
                <w:rFonts w:ascii="Times New Roman" w:eastAsia="宋体" w:hAnsi="Times New Roman" w:cs="Times New Roman"/>
                <w:color w:val="000000" w:themeColor="text1"/>
                <w:kern w:val="0"/>
              </w:rPr>
              <w:t>）</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≤450</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300</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202</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302</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204</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铅</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≤0.01</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0.0003</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0.00008</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0.00014</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0.00035</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0.00009</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0.00011</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氟化物</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≤1.0</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0.25</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0.19</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0.37</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0.24</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0.18</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0.35</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镉</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≤0.005</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0.00003</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0.00009</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0.00016</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0.00004</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0.00027</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0.00009</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铁</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0.22</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0.03L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0.11</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0.21</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0.03L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0.11</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锰</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≤0.1</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0.01L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0.01L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0.02</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0.01L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0.01L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0.02</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溶解性总固体</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≤1000</w:t>
            </w:r>
          </w:p>
        </w:tc>
        <w:tc>
          <w:tcPr>
            <w:tcW w:w="963" w:type="dxa"/>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1410</w:t>
            </w:r>
          </w:p>
        </w:tc>
        <w:tc>
          <w:tcPr>
            <w:tcW w:w="832" w:type="dxa"/>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超标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60</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278</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1324</w:t>
            </w:r>
          </w:p>
        </w:tc>
        <w:tc>
          <w:tcPr>
            <w:tcW w:w="832" w:type="dxa"/>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超标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54</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312</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硫酸盐</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≤250</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1L</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1L</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钙</w:t>
            </w:r>
            <w:r>
              <w:rPr>
                <w:rFonts w:ascii="Times New Roman" w:eastAsia="宋体" w:hAnsi="Times New Roman" w:cs="Times New Roman"/>
                <w:color w:val="000000" w:themeColor="text1"/>
                <w:kern w:val="0"/>
              </w:rPr>
              <w:t>*</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7.444</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0.281</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7.322</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8.128</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0.424</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7.565</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镁</w:t>
            </w:r>
            <w:r>
              <w:rPr>
                <w:rFonts w:ascii="Times New Roman" w:eastAsia="宋体" w:hAnsi="Times New Roman" w:cs="Times New Roman"/>
                <w:color w:val="000000" w:themeColor="text1"/>
                <w:kern w:val="0"/>
              </w:rPr>
              <w:t>*</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18.375</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0.912</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21.647</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17.822</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0.913</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24.309</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钠</w:t>
            </w:r>
            <w:r>
              <w:rPr>
                <w:rFonts w:ascii="Times New Roman" w:eastAsia="宋体" w:hAnsi="Times New Roman" w:cs="Times New Roman"/>
                <w:color w:val="000000" w:themeColor="text1"/>
                <w:kern w:val="0"/>
              </w:rPr>
              <w:t>*</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5.846</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0.308</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1.533</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5.593</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0.381</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1.534</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钾</w:t>
            </w:r>
            <w:r>
              <w:rPr>
                <w:rFonts w:ascii="Times New Roman" w:eastAsia="宋体" w:hAnsi="Times New Roman" w:cs="Times New Roman"/>
                <w:color w:val="000000" w:themeColor="text1"/>
                <w:kern w:val="0"/>
              </w:rPr>
              <w:t>*</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0.756</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0.16</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0.33</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0.723</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0.185</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0.331</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碳酸根</w:t>
            </w:r>
            <w:r>
              <w:rPr>
                <w:rFonts w:ascii="Times New Roman" w:eastAsia="宋体" w:hAnsi="Times New Roman" w:cs="Times New Roman"/>
                <w:color w:val="000000" w:themeColor="text1"/>
                <w:kern w:val="0"/>
              </w:rPr>
              <w:t>*</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5L</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5L</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5L</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5L</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重碳酸根</w:t>
            </w:r>
            <w:r>
              <w:rPr>
                <w:rFonts w:ascii="Times New Roman" w:eastAsia="宋体" w:hAnsi="Times New Roman" w:cs="Times New Roman"/>
                <w:color w:val="000000" w:themeColor="text1"/>
                <w:kern w:val="0"/>
              </w:rPr>
              <w:t>*</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276.4</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15</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252.4</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273.4</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18</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252.4</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总大肠杆菌数</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w:t>
            </w:r>
          </w:p>
        </w:tc>
        <w:tc>
          <w:tcPr>
            <w:tcW w:w="963"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未检出</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未检出</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细菌总数</w:t>
            </w: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32" w:type="dxa"/>
            <w:vMerge w:val="restart"/>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100</w:t>
            </w:r>
          </w:p>
        </w:tc>
        <w:tc>
          <w:tcPr>
            <w:tcW w:w="963"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40</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40</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80</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jc w:val="center"/>
        </w:trPr>
        <w:tc>
          <w:tcPr>
            <w:tcW w:w="1313"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1068"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32" w:type="dxa"/>
            <w:vMerge/>
            <w:vAlign w:val="center"/>
          </w:tcPr>
          <w:p w:rsidR="00C861DA" w:rsidRDefault="00C861DA">
            <w:pPr>
              <w:widowControl/>
              <w:jc w:val="center"/>
              <w:rPr>
                <w:rFonts w:ascii="Times New Roman" w:eastAsia="宋体" w:hAnsi="Times New Roman" w:cs="Times New Roman"/>
                <w:color w:val="000000" w:themeColor="text1"/>
                <w:kern w:val="0"/>
              </w:rPr>
            </w:pPr>
          </w:p>
        </w:tc>
        <w:tc>
          <w:tcPr>
            <w:tcW w:w="963" w:type="dxa"/>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30</w:t>
            </w:r>
          </w:p>
        </w:tc>
        <w:tc>
          <w:tcPr>
            <w:tcW w:w="83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60</w:t>
            </w:r>
          </w:p>
        </w:tc>
        <w:tc>
          <w:tcPr>
            <w:tcW w:w="71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22"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70</w:t>
            </w:r>
          </w:p>
        </w:tc>
        <w:tc>
          <w:tcPr>
            <w:tcW w:w="727" w:type="dxa"/>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bl>
    <w:p w:rsidR="00C861DA" w:rsidRDefault="0044752E">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备注：</w:t>
      </w:r>
      <w:r>
        <w:rPr>
          <w:rFonts w:ascii="Times New Roman" w:eastAsia="宋体" w:hAnsi="Times New Roman" w:cs="Times New Roman"/>
          <w:color w:val="000000" w:themeColor="text1"/>
        </w:rPr>
        <w:t xml:space="preserve"> “L”</w:t>
      </w:r>
      <w:r>
        <w:rPr>
          <w:rFonts w:ascii="Times New Roman" w:eastAsia="宋体" w:hAnsi="Times New Roman" w:cs="Times New Roman"/>
          <w:color w:val="000000" w:themeColor="text1"/>
        </w:rPr>
        <w:t>表示样品浓度值低于方法检出限</w:t>
      </w:r>
    </w:p>
    <w:p w:rsidR="00C861DA" w:rsidRDefault="0044752E">
      <w:pPr>
        <w:snapToGrid w:val="0"/>
        <w:spacing w:beforeLines="50" w:before="156"/>
        <w:jc w:val="center"/>
        <w:rPr>
          <w:rFonts w:ascii="Times New Roman" w:eastAsia="宋体" w:hAnsi="Times New Roman" w:cs="Times New Roman"/>
          <w:b/>
          <w:color w:val="000000" w:themeColor="text1"/>
          <w:sz w:val="24"/>
          <w:lang w:bidi="en-US"/>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5.3-8  </w:t>
      </w:r>
      <w:r>
        <w:rPr>
          <w:rFonts w:ascii="Times New Roman" w:eastAsia="宋体" w:hAnsi="Times New Roman" w:cs="Times New Roman"/>
          <w:b/>
          <w:color w:val="000000" w:themeColor="text1"/>
          <w:sz w:val="24"/>
          <w:lang w:bidi="en-US"/>
        </w:rPr>
        <w:t>地下水环境质量现状监测一览表（</w:t>
      </w:r>
      <w:r>
        <w:rPr>
          <w:rFonts w:ascii="Times New Roman" w:eastAsia="宋体" w:hAnsi="Times New Roman" w:cs="Times New Roman"/>
          <w:b/>
          <w:color w:val="000000" w:themeColor="text1"/>
          <w:sz w:val="24"/>
          <w:lang w:bidi="en-US"/>
        </w:rPr>
        <w:t>2</w:t>
      </w:r>
      <w:r>
        <w:rPr>
          <w:rFonts w:ascii="Times New Roman" w:eastAsia="宋体" w:hAnsi="Times New Roman" w:cs="Times New Roman"/>
          <w:b/>
          <w:color w:val="000000" w:themeColor="text1"/>
          <w:sz w:val="24"/>
          <w:lang w:bidi="en-US"/>
        </w:rPr>
        <w:t>）</w:t>
      </w:r>
    </w:p>
    <w:tbl>
      <w:tblPr>
        <w:tblW w:w="8296" w:type="dxa"/>
        <w:tblLayout w:type="fixed"/>
        <w:tblLook w:val="04A0" w:firstRow="1" w:lastRow="0" w:firstColumn="1" w:lastColumn="0" w:noHBand="0" w:noVBand="1"/>
      </w:tblPr>
      <w:tblGrid>
        <w:gridCol w:w="1932"/>
        <w:gridCol w:w="1516"/>
        <w:gridCol w:w="889"/>
        <w:gridCol w:w="991"/>
        <w:gridCol w:w="991"/>
        <w:gridCol w:w="991"/>
        <w:gridCol w:w="986"/>
      </w:tblGrid>
      <w:tr w:rsidR="00C861DA">
        <w:trPr>
          <w:trHeight w:val="284"/>
        </w:trPr>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检测项（</w:t>
            </w:r>
            <w:r>
              <w:rPr>
                <w:rFonts w:ascii="Times New Roman" w:eastAsia="宋体" w:hAnsi="Times New Roman" w:cs="Times New Roman"/>
                <w:b/>
                <w:bCs/>
                <w:color w:val="000000" w:themeColor="text1"/>
                <w:kern w:val="0"/>
              </w:rPr>
              <w:t>mg/L</w:t>
            </w:r>
            <w:r>
              <w:rPr>
                <w:rFonts w:ascii="Times New Roman" w:eastAsia="宋体" w:hAnsi="Times New Roman" w:cs="Times New Roman"/>
                <w:b/>
                <w:bCs/>
                <w:color w:val="000000" w:themeColor="text1"/>
                <w:kern w:val="0"/>
              </w:rPr>
              <w:t>）</w:t>
            </w:r>
          </w:p>
        </w:tc>
        <w:tc>
          <w:tcPr>
            <w:tcW w:w="1516" w:type="dxa"/>
            <w:tcBorders>
              <w:top w:val="single" w:sz="4" w:space="0" w:color="auto"/>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采样时间</w:t>
            </w:r>
          </w:p>
        </w:tc>
        <w:tc>
          <w:tcPr>
            <w:tcW w:w="889" w:type="dxa"/>
            <w:tcBorders>
              <w:top w:val="single" w:sz="4" w:space="0" w:color="auto"/>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标准值</w:t>
            </w:r>
          </w:p>
        </w:tc>
        <w:tc>
          <w:tcPr>
            <w:tcW w:w="991" w:type="dxa"/>
            <w:tcBorders>
              <w:top w:val="single" w:sz="4" w:space="0" w:color="auto"/>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4#</w:t>
            </w:r>
            <w:r>
              <w:rPr>
                <w:rFonts w:ascii="Times New Roman" w:eastAsia="宋体" w:hAnsi="Times New Roman" w:cs="Times New Roman"/>
                <w:b/>
                <w:bCs/>
                <w:color w:val="000000" w:themeColor="text1"/>
                <w:kern w:val="0"/>
              </w:rPr>
              <w:t>大哨村</w:t>
            </w:r>
          </w:p>
        </w:tc>
        <w:tc>
          <w:tcPr>
            <w:tcW w:w="991" w:type="dxa"/>
            <w:tcBorders>
              <w:top w:val="single" w:sz="4" w:space="0" w:color="auto"/>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达标分析</w:t>
            </w:r>
          </w:p>
        </w:tc>
        <w:tc>
          <w:tcPr>
            <w:tcW w:w="991" w:type="dxa"/>
            <w:tcBorders>
              <w:top w:val="single" w:sz="4" w:space="0" w:color="auto"/>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5#</w:t>
            </w:r>
            <w:r>
              <w:rPr>
                <w:rFonts w:ascii="Times New Roman" w:eastAsia="宋体" w:hAnsi="Times New Roman" w:cs="Times New Roman"/>
                <w:b/>
                <w:bCs/>
                <w:color w:val="000000" w:themeColor="text1"/>
                <w:kern w:val="0"/>
              </w:rPr>
              <w:t>水井湾</w:t>
            </w:r>
          </w:p>
        </w:tc>
        <w:tc>
          <w:tcPr>
            <w:tcW w:w="986" w:type="dxa"/>
            <w:tcBorders>
              <w:top w:val="single" w:sz="4" w:space="0" w:color="auto"/>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达标分析</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pH</w:t>
            </w:r>
            <w:r>
              <w:rPr>
                <w:rFonts w:ascii="Times New Roman" w:eastAsia="宋体" w:hAnsi="Times New Roman" w:cs="Times New Roman"/>
                <w:color w:val="000000" w:themeColor="text1"/>
                <w:kern w:val="0"/>
              </w:rPr>
              <w:t>（无量纲）</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6.5</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8.5</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7.81</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8.03</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7.76</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8.01</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六价铬</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≤0.05</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氨氮</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≤0.50</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0.029</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0.114</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0.038</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0.105</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硝酸根</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8.91</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0.25</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8.95</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0.27</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亚硝酸根</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≤1.0</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0.003L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0.01</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0.003L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0.012</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挥发酚</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≤0.002</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0.0003L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0.0003L</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0.0003L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0.0003L</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氰化物</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≤0.05</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0.004L</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氯化物</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≤250</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56</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19</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55</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高锰酸盐指数（耗氧量）</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≤3.0</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0.5L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0.6</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0.5L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0.7</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砷（</w:t>
            </w:r>
            <w:r>
              <w:rPr>
                <w:rFonts w:ascii="Times New Roman" w:eastAsia="宋体" w:hAnsi="Times New Roman" w:cs="Times New Roman"/>
                <w:color w:val="000000" w:themeColor="text1"/>
                <w:kern w:val="0"/>
              </w:rPr>
              <w:t>µg/L</w:t>
            </w:r>
            <w:r>
              <w:rPr>
                <w:rFonts w:ascii="Times New Roman" w:eastAsia="宋体" w:hAnsi="Times New Roman" w:cs="Times New Roman"/>
                <w:color w:val="000000" w:themeColor="text1"/>
                <w:kern w:val="0"/>
              </w:rPr>
              <w:t>）</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≤0.01</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0.3L</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0.3L</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汞（</w:t>
            </w:r>
            <w:r>
              <w:rPr>
                <w:rFonts w:ascii="Times New Roman" w:eastAsia="宋体" w:hAnsi="Times New Roman" w:cs="Times New Roman"/>
                <w:color w:val="000000" w:themeColor="text1"/>
                <w:kern w:val="0"/>
              </w:rPr>
              <w:t>µg/L</w:t>
            </w:r>
            <w:r>
              <w:rPr>
                <w:rFonts w:ascii="Times New Roman" w:eastAsia="宋体" w:hAnsi="Times New Roman" w:cs="Times New Roman"/>
                <w:color w:val="000000" w:themeColor="text1"/>
                <w:kern w:val="0"/>
              </w:rPr>
              <w:t>）</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≤0.001</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0.04L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0.04L</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0.04L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0.04L</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总硬度（</w:t>
            </w:r>
            <w:r>
              <w:rPr>
                <w:rFonts w:ascii="Times New Roman" w:eastAsia="宋体" w:hAnsi="Times New Roman" w:cs="Times New Roman"/>
                <w:color w:val="000000" w:themeColor="text1"/>
                <w:kern w:val="0"/>
              </w:rPr>
              <w:t>mmol/L</w:t>
            </w:r>
            <w:r>
              <w:rPr>
                <w:rFonts w:ascii="Times New Roman" w:eastAsia="宋体" w:hAnsi="Times New Roman" w:cs="Times New Roman"/>
                <w:color w:val="000000" w:themeColor="text1"/>
                <w:kern w:val="0"/>
              </w:rPr>
              <w:t>）</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≤450</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524</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132</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522</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134</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铅</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≤0.01</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0.00014</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0.00017</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0.00015</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0.00133</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氟化物</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≤1.0</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0.51</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0.71</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0.51</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0.73</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镉</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≤0.005</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0.00011</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0.00005</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0.0001</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0.00004</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铁</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≤0.3</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0.11</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0.05</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0.04</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0.06</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锰</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≤0.1</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0.01L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0.01L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0.04</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溶解性总固体</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≤1000</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682</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474</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641</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508</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硫酸盐</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≤250</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108</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108</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钙</w:t>
            </w:r>
            <w:r>
              <w:rPr>
                <w:rFonts w:ascii="Times New Roman" w:eastAsia="宋体" w:hAnsi="Times New Roman" w:cs="Times New Roman"/>
                <w:color w:val="000000" w:themeColor="text1"/>
                <w:kern w:val="0"/>
              </w:rPr>
              <w:t>*</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25.704</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9.019</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27.625</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5.356</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镁</w:t>
            </w:r>
            <w:r>
              <w:rPr>
                <w:rFonts w:ascii="Times New Roman" w:eastAsia="宋体" w:hAnsi="Times New Roman" w:cs="Times New Roman"/>
                <w:color w:val="000000" w:themeColor="text1"/>
                <w:kern w:val="0"/>
              </w:rPr>
              <w:t>*</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28.682</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13.163</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30.241</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12.748</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钠</w:t>
            </w:r>
            <w:r>
              <w:rPr>
                <w:rFonts w:ascii="Times New Roman" w:eastAsia="宋体" w:hAnsi="Times New Roman" w:cs="Times New Roman"/>
                <w:color w:val="000000" w:themeColor="text1"/>
                <w:kern w:val="0"/>
              </w:rPr>
              <w:t>*</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26.075</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6.483</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26.112</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5.863</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钾</w:t>
            </w:r>
            <w:r>
              <w:rPr>
                <w:rFonts w:ascii="Times New Roman" w:eastAsia="宋体" w:hAnsi="Times New Roman" w:cs="Times New Roman"/>
                <w:color w:val="000000" w:themeColor="text1"/>
                <w:kern w:val="0"/>
              </w:rPr>
              <w:t>*</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7.347</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5.304</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7.799</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5.041</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碳酸根</w:t>
            </w:r>
            <w:r>
              <w:rPr>
                <w:rFonts w:ascii="Times New Roman" w:eastAsia="宋体" w:hAnsi="Times New Roman" w:cs="Times New Roman"/>
                <w:color w:val="000000" w:themeColor="text1"/>
                <w:kern w:val="0"/>
              </w:rPr>
              <w:t>*</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5L</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5L</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5L</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重碳酸根</w:t>
            </w:r>
            <w:r>
              <w:rPr>
                <w:rFonts w:ascii="Times New Roman" w:eastAsia="宋体" w:hAnsi="Times New Roman" w:cs="Times New Roman"/>
                <w:color w:val="000000" w:themeColor="text1"/>
                <w:kern w:val="0"/>
              </w:rPr>
              <w:t>*</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447.7</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156.2</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450.7</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156.2</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总大肠杆菌数</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未检出</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noWrap/>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20</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超标</w:t>
            </w:r>
          </w:p>
        </w:tc>
      </w:tr>
      <w:tr w:rsidR="00C861DA">
        <w:trPr>
          <w:trHeight w:val="284"/>
        </w:trPr>
        <w:tc>
          <w:tcPr>
            <w:tcW w:w="1932"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细菌总数</w:t>
            </w: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100</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50</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80</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r w:rsidR="00C861DA">
        <w:trPr>
          <w:trHeight w:val="284"/>
        </w:trPr>
        <w:tc>
          <w:tcPr>
            <w:tcW w:w="1932"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151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2018.12.5</w:t>
            </w:r>
          </w:p>
        </w:tc>
        <w:tc>
          <w:tcPr>
            <w:tcW w:w="889" w:type="dxa"/>
            <w:vMerge/>
            <w:tcBorders>
              <w:top w:val="nil"/>
              <w:left w:val="single" w:sz="4" w:space="0" w:color="auto"/>
              <w:bottom w:val="single" w:sz="4" w:space="0" w:color="auto"/>
              <w:right w:val="single" w:sz="4" w:space="0" w:color="auto"/>
            </w:tcBorders>
            <w:vAlign w:val="center"/>
          </w:tcPr>
          <w:p w:rsidR="00C861DA" w:rsidRDefault="00C861DA">
            <w:pPr>
              <w:widowControl/>
              <w:rPr>
                <w:rFonts w:ascii="Times New Roman" w:eastAsia="宋体" w:hAnsi="Times New Roman" w:cs="Times New Roman"/>
                <w:color w:val="000000" w:themeColor="text1"/>
                <w:kern w:val="0"/>
              </w:rPr>
            </w:pP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60</w:t>
            </w:r>
          </w:p>
        </w:tc>
        <w:tc>
          <w:tcPr>
            <w:tcW w:w="991"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c>
          <w:tcPr>
            <w:tcW w:w="991" w:type="dxa"/>
            <w:tcBorders>
              <w:top w:val="nil"/>
              <w:left w:val="nil"/>
              <w:bottom w:val="single" w:sz="4" w:space="0" w:color="auto"/>
              <w:right w:val="single" w:sz="4" w:space="0" w:color="auto"/>
            </w:tcBorders>
            <w:shd w:val="clear" w:color="auto" w:fill="auto"/>
            <w:noWrap/>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70</w:t>
            </w:r>
          </w:p>
        </w:tc>
        <w:tc>
          <w:tcPr>
            <w:tcW w:w="986" w:type="dxa"/>
            <w:tcBorders>
              <w:top w:val="nil"/>
              <w:left w:val="nil"/>
              <w:bottom w:val="single" w:sz="4" w:space="0" w:color="auto"/>
              <w:right w:val="single" w:sz="4" w:space="0" w:color="auto"/>
            </w:tcBorders>
            <w:shd w:val="clear" w:color="auto" w:fill="auto"/>
            <w:vAlign w:val="center"/>
          </w:tcPr>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达标</w:t>
            </w:r>
          </w:p>
        </w:tc>
      </w:tr>
    </w:tbl>
    <w:p w:rsidR="00C861DA" w:rsidRDefault="0044752E">
      <w:pPr>
        <w:snapToGrid w:val="0"/>
        <w:spacing w:line="360" w:lineRule="auto"/>
        <w:ind w:firstLine="482"/>
        <w:rPr>
          <w:rFonts w:ascii="Times New Roman" w:eastAsia="宋体" w:hAnsi="Times New Roman" w:cs="Times New Roman"/>
          <w:color w:val="000000" w:themeColor="text1"/>
        </w:rPr>
      </w:pPr>
      <w:r>
        <w:rPr>
          <w:rFonts w:ascii="Times New Roman" w:eastAsia="宋体" w:hAnsi="Times New Roman" w:cs="Times New Roman"/>
          <w:color w:val="000000" w:themeColor="text1"/>
        </w:rPr>
        <w:t>备注：</w:t>
      </w:r>
      <w:r>
        <w:rPr>
          <w:rFonts w:ascii="Times New Roman" w:eastAsia="宋体" w:hAnsi="Times New Roman" w:cs="Times New Roman"/>
          <w:color w:val="000000" w:themeColor="text1"/>
        </w:rPr>
        <w:t xml:space="preserve"> “L”</w:t>
      </w:r>
      <w:r>
        <w:rPr>
          <w:rFonts w:ascii="Times New Roman" w:eastAsia="宋体" w:hAnsi="Times New Roman" w:cs="Times New Roman"/>
          <w:color w:val="000000" w:themeColor="text1"/>
        </w:rPr>
        <w:t>表示样品浓度值低于方法检出限</w:t>
      </w:r>
    </w:p>
    <w:p w:rsidR="00C861DA" w:rsidRDefault="0044752E">
      <w:pPr>
        <w:spacing w:line="360" w:lineRule="auto"/>
        <w:outlineLvl w:val="3"/>
        <w:rPr>
          <w:rFonts w:ascii="Times New Roman" w:eastAsia="宋体"/>
          <w:b/>
          <w:color w:val="000000" w:themeColor="text1"/>
          <w:sz w:val="24"/>
        </w:rPr>
      </w:pPr>
      <w:r>
        <w:rPr>
          <w:rFonts w:ascii="Times New Roman" w:eastAsia="宋体" w:hint="eastAsia"/>
          <w:b/>
          <w:color w:val="000000" w:themeColor="text1"/>
          <w:sz w:val="24"/>
        </w:rPr>
        <w:t>（</w:t>
      </w:r>
      <w:r>
        <w:rPr>
          <w:rFonts w:ascii="Times New Roman" w:eastAsia="宋体" w:hint="eastAsia"/>
          <w:b/>
          <w:color w:val="000000" w:themeColor="text1"/>
          <w:sz w:val="24"/>
        </w:rPr>
        <w:t>3</w:t>
      </w:r>
      <w:r>
        <w:rPr>
          <w:rFonts w:ascii="Times New Roman" w:eastAsia="宋体" w:hint="eastAsia"/>
          <w:b/>
          <w:color w:val="000000" w:themeColor="text1"/>
          <w:sz w:val="24"/>
        </w:rPr>
        <w:t>）小结</w:t>
      </w:r>
    </w:p>
    <w:p w:rsidR="00C861DA" w:rsidRDefault="0044752E">
      <w:pPr>
        <w:snapToGrid w:val="0"/>
        <w:spacing w:line="360" w:lineRule="auto"/>
        <w:ind w:firstLine="482"/>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由表</w:t>
      </w:r>
      <w:r>
        <w:rPr>
          <w:rFonts w:ascii="Times New Roman" w:eastAsia="宋体" w:hAnsi="Times New Roman" w:cs="Times New Roman" w:hint="eastAsia"/>
          <w:color w:val="000000" w:themeColor="text1"/>
          <w:sz w:val="24"/>
        </w:rPr>
        <w:t>5</w:t>
      </w:r>
      <w:r>
        <w:rPr>
          <w:rFonts w:ascii="Times New Roman" w:eastAsia="宋体" w:hAnsi="Times New Roman" w:cs="Times New Roman"/>
          <w:color w:val="000000" w:themeColor="text1"/>
          <w:sz w:val="24"/>
        </w:rPr>
        <w:t>.3-7</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5</w:t>
      </w:r>
      <w:r>
        <w:rPr>
          <w:rFonts w:ascii="Times New Roman" w:eastAsia="宋体" w:hAnsi="Times New Roman" w:cs="Times New Roman"/>
          <w:color w:val="000000" w:themeColor="text1"/>
          <w:sz w:val="24"/>
        </w:rPr>
        <w:t>.3-8</w:t>
      </w:r>
      <w:r>
        <w:rPr>
          <w:rFonts w:ascii="Times New Roman" w:eastAsia="宋体" w:hAnsi="Times New Roman" w:cs="Times New Roman"/>
          <w:color w:val="000000" w:themeColor="text1"/>
          <w:sz w:val="24"/>
        </w:rPr>
        <w:t>可知</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本项目所在区域内地下水除</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合成氨厂界内溶解性总固体及</w:t>
      </w:r>
      <w:r>
        <w:rPr>
          <w:rFonts w:ascii="Times New Roman" w:eastAsia="宋体" w:hAnsi="Times New Roman" w:cs="Times New Roman"/>
          <w:color w:val="000000" w:themeColor="text1"/>
          <w:sz w:val="24"/>
        </w:rPr>
        <w:t>5#</w:t>
      </w:r>
      <w:r>
        <w:rPr>
          <w:rFonts w:ascii="Times New Roman" w:eastAsia="宋体" w:hAnsi="Times New Roman" w:cs="Times New Roman"/>
          <w:color w:val="000000" w:themeColor="text1"/>
          <w:sz w:val="24"/>
        </w:rPr>
        <w:t>水井湾总大肠杆菌两项指标外，各项指标均能满足《地下水质量标准》（</w:t>
      </w:r>
      <w:r>
        <w:rPr>
          <w:rFonts w:ascii="Times New Roman" w:eastAsia="宋体" w:hAnsi="Times New Roman" w:cs="Times New Roman"/>
          <w:color w:val="000000" w:themeColor="text1"/>
          <w:sz w:val="24"/>
        </w:rPr>
        <w:t>GB/T14848-2017</w:t>
      </w:r>
      <w:r>
        <w:rPr>
          <w:rFonts w:ascii="Times New Roman" w:eastAsia="宋体" w:hAnsi="Times New Roman" w:cs="Times New Roman"/>
          <w:color w:val="000000" w:themeColor="text1"/>
          <w:sz w:val="24"/>
        </w:rPr>
        <w:t>）中的</w:t>
      </w:r>
      <w:r>
        <w:rPr>
          <w:rFonts w:ascii="宋体" w:eastAsia="宋体" w:hAnsi="宋体" w:cs="宋体" w:hint="eastAsia"/>
          <w:color w:val="000000" w:themeColor="text1"/>
          <w:sz w:val="24"/>
        </w:rPr>
        <w:t>Ⅲ</w:t>
      </w:r>
      <w:r>
        <w:rPr>
          <w:rFonts w:ascii="Times New Roman" w:eastAsia="宋体" w:hAnsi="Times New Roman" w:cs="Times New Roman"/>
          <w:color w:val="000000" w:themeColor="text1"/>
          <w:sz w:val="24"/>
        </w:rPr>
        <w:t>类标准的各项要求</w:t>
      </w:r>
      <w:r>
        <w:rPr>
          <w:rFonts w:ascii="Times New Roman" w:eastAsia="宋体" w:hAnsi="Times New Roman" w:cs="Times New Roman" w:hint="eastAsia"/>
          <w:color w:val="000000" w:themeColor="text1"/>
          <w:sz w:val="24"/>
        </w:rPr>
        <w:t>，</w:t>
      </w:r>
      <w:r>
        <w:rPr>
          <w:rFonts w:ascii="Times New Roman" w:eastAsia="宋体" w:hint="eastAsia"/>
          <w:color w:val="000000" w:themeColor="text1"/>
          <w:sz w:val="24"/>
        </w:rPr>
        <w:t>总大肠菌群超标原因可能与现有村庄利用化粪池废水浇灌农作物有关，溶解性总固体超标原因可能与采样地区正在施工有关。</w:t>
      </w:r>
    </w:p>
    <w:p w:rsidR="00C861DA" w:rsidRDefault="0044752E">
      <w:pPr>
        <w:pStyle w:val="32"/>
        <w:rPr>
          <w:rFonts w:ascii="Times New Roman" w:eastAsia="宋体"/>
          <w:bCs w:val="0"/>
          <w:color w:val="000000" w:themeColor="text1"/>
          <w:sz w:val="24"/>
          <w:szCs w:val="24"/>
        </w:rPr>
      </w:pPr>
      <w:bookmarkStart w:id="338" w:name="_Toc6826822"/>
      <w:bookmarkStart w:id="339" w:name="_Toc21142"/>
      <w:bookmarkStart w:id="340" w:name="_Toc510564993"/>
      <w:bookmarkStart w:id="341" w:name="_Toc19413"/>
      <w:bookmarkStart w:id="342" w:name="_Toc32548"/>
      <w:bookmarkStart w:id="343" w:name="_Toc28726"/>
      <w:bookmarkStart w:id="344" w:name="_Toc511895789"/>
      <w:r>
        <w:rPr>
          <w:rFonts w:ascii="Times New Roman" w:eastAsia="宋体" w:hint="eastAsia"/>
          <w:bCs w:val="0"/>
          <w:color w:val="000000" w:themeColor="text1"/>
          <w:sz w:val="24"/>
          <w:szCs w:val="24"/>
        </w:rPr>
        <w:t>5.3.4</w:t>
      </w:r>
      <w:r>
        <w:rPr>
          <w:rFonts w:ascii="Times New Roman" w:eastAsia="宋体" w:hint="eastAsia"/>
          <w:bCs w:val="0"/>
          <w:color w:val="000000" w:themeColor="text1"/>
          <w:sz w:val="24"/>
          <w:szCs w:val="24"/>
        </w:rPr>
        <w:t>声环境质量现状</w:t>
      </w:r>
      <w:bookmarkEnd w:id="338"/>
      <w:bookmarkEnd w:id="339"/>
      <w:bookmarkEnd w:id="340"/>
      <w:bookmarkEnd w:id="341"/>
      <w:bookmarkEnd w:id="342"/>
      <w:bookmarkEnd w:id="343"/>
      <w:bookmarkEnd w:id="344"/>
    </w:p>
    <w:p w:rsidR="00C861DA" w:rsidRDefault="0044752E">
      <w:pPr>
        <w:pStyle w:val="41"/>
        <w:tabs>
          <w:tab w:val="left" w:pos="4860"/>
          <w:tab w:val="left" w:pos="5040"/>
        </w:tabs>
        <w:spacing w:beforeLines="0" w:before="0"/>
        <w:ind w:leftChars="0" w:left="0" w:rightChars="0" w:right="0"/>
        <w:rPr>
          <w:rFonts w:ascii="Times New Roman" w:eastAsia="宋体"/>
          <w:b/>
          <w:bCs w:val="0"/>
          <w:color w:val="000000" w:themeColor="text1"/>
          <w:sz w:val="24"/>
        </w:rPr>
      </w:pPr>
      <w:r>
        <w:rPr>
          <w:rFonts w:ascii="Times New Roman" w:eastAsia="宋体" w:hint="eastAsia"/>
          <w:b/>
          <w:bCs w:val="0"/>
          <w:color w:val="000000" w:themeColor="text1"/>
          <w:sz w:val="24"/>
        </w:rPr>
        <w:t>（</w:t>
      </w:r>
      <w:r>
        <w:rPr>
          <w:rFonts w:ascii="Times New Roman" w:eastAsia="宋体" w:hint="eastAsia"/>
          <w:b/>
          <w:bCs w:val="0"/>
          <w:color w:val="000000" w:themeColor="text1"/>
          <w:sz w:val="24"/>
        </w:rPr>
        <w:t>1</w:t>
      </w:r>
      <w:r>
        <w:rPr>
          <w:rFonts w:ascii="Times New Roman" w:eastAsia="宋体" w:hint="eastAsia"/>
          <w:b/>
          <w:bCs w:val="0"/>
          <w:color w:val="000000" w:themeColor="text1"/>
          <w:sz w:val="24"/>
        </w:rPr>
        <w:t>）声环境现状调查</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w:t>
      </w:r>
      <w:r>
        <w:rPr>
          <w:rFonts w:ascii="Times New Roman" w:eastAsia="宋体" w:hAnsi="Times New Roman" w:cs="Times New Roman"/>
          <w:color w:val="000000" w:themeColor="text1"/>
          <w:sz w:val="24"/>
        </w:rPr>
        <w:t>GB3096-2008</w:t>
      </w:r>
      <w:r>
        <w:rPr>
          <w:rFonts w:ascii="Times New Roman" w:eastAsia="宋体" w:hAnsi="Times New Roman" w:cs="Times New Roman"/>
          <w:color w:val="000000" w:themeColor="text1"/>
          <w:sz w:val="24"/>
        </w:rPr>
        <w:t>《声环境质量标准》中功能区划分的要求，确定本项目所在地为</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类声功能区，执行</w:t>
      </w:r>
      <w:r>
        <w:rPr>
          <w:rFonts w:ascii="Times New Roman" w:eastAsia="宋体" w:hAnsi="Times New Roman" w:cs="Times New Roman"/>
          <w:color w:val="000000" w:themeColor="text1"/>
          <w:sz w:val="24"/>
        </w:rPr>
        <w:t>GB3096-2008</w:t>
      </w:r>
      <w:r>
        <w:rPr>
          <w:rFonts w:ascii="Times New Roman" w:eastAsia="宋体" w:hAnsi="Times New Roman" w:cs="Times New Roman"/>
          <w:color w:val="000000" w:themeColor="text1"/>
          <w:sz w:val="24"/>
        </w:rPr>
        <w:t>《声环境质量标准》中</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类标准，距离项目区最近的村庄为项目区东南侧</w:t>
      </w:r>
      <w:r>
        <w:rPr>
          <w:rFonts w:ascii="Times New Roman" w:eastAsia="宋体" w:hAnsi="Times New Roman" w:cs="Times New Roman"/>
          <w:color w:val="000000" w:themeColor="text1"/>
          <w:sz w:val="24"/>
        </w:rPr>
        <w:t>1100m</w:t>
      </w:r>
      <w:r>
        <w:rPr>
          <w:rFonts w:ascii="Times New Roman" w:eastAsia="宋体" w:hAnsi="Times New Roman" w:cs="Times New Roman"/>
          <w:color w:val="000000" w:themeColor="text1"/>
          <w:sz w:val="24"/>
        </w:rPr>
        <w:t>的大哨村，声环境评价范围内无环境敏感目标。</w:t>
      </w:r>
    </w:p>
    <w:p w:rsidR="00C861DA" w:rsidRDefault="0044752E">
      <w:pPr>
        <w:pStyle w:val="41"/>
        <w:tabs>
          <w:tab w:val="left" w:pos="4860"/>
          <w:tab w:val="left" w:pos="5040"/>
        </w:tabs>
        <w:spacing w:beforeLines="0" w:before="0"/>
        <w:ind w:leftChars="0" w:left="0" w:rightChars="0" w:right="0"/>
        <w:rPr>
          <w:rFonts w:ascii="Times New Roman" w:eastAsia="宋体"/>
          <w:b/>
          <w:bCs w:val="0"/>
          <w:color w:val="000000" w:themeColor="text1"/>
          <w:sz w:val="24"/>
        </w:rPr>
      </w:pPr>
      <w:r>
        <w:rPr>
          <w:rFonts w:ascii="Times New Roman" w:eastAsia="宋体" w:hint="eastAsia"/>
          <w:b/>
          <w:bCs w:val="0"/>
          <w:color w:val="000000" w:themeColor="text1"/>
          <w:sz w:val="24"/>
        </w:rPr>
        <w:t>（</w:t>
      </w:r>
      <w:r>
        <w:rPr>
          <w:rFonts w:ascii="Times New Roman" w:eastAsia="宋体" w:hint="eastAsia"/>
          <w:b/>
          <w:bCs w:val="0"/>
          <w:color w:val="000000" w:themeColor="text1"/>
          <w:sz w:val="24"/>
        </w:rPr>
        <w:t>2</w:t>
      </w:r>
      <w:r>
        <w:rPr>
          <w:rFonts w:ascii="Times New Roman" w:eastAsia="宋体" w:hint="eastAsia"/>
          <w:b/>
          <w:bCs w:val="0"/>
          <w:color w:val="000000" w:themeColor="text1"/>
          <w:sz w:val="24"/>
        </w:rPr>
        <w:t>）声环境质量现状监测</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本次环评委托云南科诚环境监测有限公司于</w:t>
      </w:r>
      <w:r>
        <w:rPr>
          <w:rFonts w:ascii="Times New Roman" w:eastAsia="宋体" w:hAnsi="Times New Roman" w:cs="Times New Roman"/>
          <w:color w:val="000000" w:themeColor="text1"/>
          <w:sz w:val="24"/>
        </w:rPr>
        <w:t>2018</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11</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6</w:t>
      </w:r>
      <w:r>
        <w:rPr>
          <w:rFonts w:ascii="Times New Roman" w:eastAsia="宋体" w:hAnsi="Times New Roman" w:cs="Times New Roman"/>
          <w:color w:val="000000" w:themeColor="text1"/>
          <w:sz w:val="24"/>
        </w:rPr>
        <w:t>日至</w:t>
      </w:r>
      <w:r>
        <w:rPr>
          <w:rFonts w:ascii="Times New Roman" w:eastAsia="宋体" w:hAnsi="Times New Roman" w:cs="Times New Roman"/>
          <w:color w:val="000000" w:themeColor="text1"/>
          <w:sz w:val="24"/>
        </w:rPr>
        <w:t>11</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7</w:t>
      </w:r>
      <w:r>
        <w:rPr>
          <w:rFonts w:ascii="Times New Roman" w:eastAsia="宋体" w:hAnsi="Times New Roman" w:cs="Times New Roman"/>
          <w:color w:val="000000" w:themeColor="text1"/>
          <w:sz w:val="24"/>
        </w:rPr>
        <w:t>日对项目区厂界四周进行噪声监测，监测情况如下：</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监测点位：厂界外。</w:t>
      </w:r>
    </w:p>
    <w:p w:rsidR="00C861DA" w:rsidRDefault="0044752E">
      <w:pPr>
        <w:spacing w:line="360" w:lineRule="auto"/>
        <w:ind w:firstLineChars="200" w:firstLine="480"/>
        <w:jc w:val="both"/>
        <w:rPr>
          <w:rFonts w:ascii="Times New Roman" w:eastAsia="宋体" w:hAnsi="Times New Roman" w:cs="Times New Roman"/>
          <w:caps/>
          <w:color w:val="000000" w:themeColor="text1"/>
          <w:sz w:val="24"/>
        </w:rPr>
      </w:pPr>
      <w:r>
        <w:rPr>
          <w:rFonts w:ascii="Times New Roman" w:eastAsia="宋体" w:hAnsi="Times New Roman" w:cs="Times New Roman"/>
          <w:color w:val="000000" w:themeColor="text1"/>
          <w:sz w:val="24"/>
        </w:rPr>
        <w:t>监测因子：</w:t>
      </w:r>
      <w:r>
        <w:rPr>
          <w:rFonts w:ascii="Times New Roman" w:eastAsia="宋体" w:hAnsi="Times New Roman" w:cs="Times New Roman"/>
          <w:color w:val="000000" w:themeColor="text1"/>
          <w:sz w:val="24"/>
          <w:lang w:bidi="en-US"/>
        </w:rPr>
        <w:t>等效</w:t>
      </w:r>
      <w:r>
        <w:rPr>
          <w:rFonts w:ascii="Times New Roman" w:eastAsia="宋体" w:hAnsi="Times New Roman" w:cs="Times New Roman"/>
          <w:color w:val="000000" w:themeColor="text1"/>
          <w:sz w:val="24"/>
          <w:lang w:bidi="en-US"/>
        </w:rPr>
        <w:t>A</w:t>
      </w:r>
      <w:r>
        <w:rPr>
          <w:rFonts w:ascii="Times New Roman" w:eastAsia="宋体" w:hAnsi="Times New Roman" w:cs="Times New Roman"/>
          <w:color w:val="000000" w:themeColor="text1"/>
          <w:sz w:val="24"/>
          <w:lang w:bidi="en-US"/>
        </w:rPr>
        <w:t>声级</w:t>
      </w:r>
      <w:r>
        <w:rPr>
          <w:rFonts w:ascii="Times New Roman" w:eastAsia="宋体" w:hAnsi="Times New Roman" w:cs="Times New Roman"/>
          <w:caps/>
          <w:color w:val="000000" w:themeColor="text1"/>
          <w:sz w:val="24"/>
        </w:rPr>
        <w:t>。</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监测时间：</w:t>
      </w:r>
      <w:r>
        <w:rPr>
          <w:rFonts w:ascii="Times New Roman" w:eastAsia="宋体" w:hAnsi="Times New Roman" w:cs="Times New Roman"/>
          <w:color w:val="000000" w:themeColor="text1"/>
          <w:sz w:val="24"/>
        </w:rPr>
        <w:t>2018</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11</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6</w:t>
      </w:r>
      <w:r>
        <w:rPr>
          <w:rFonts w:ascii="Times New Roman" w:eastAsia="宋体" w:hAnsi="Times New Roman" w:cs="Times New Roman"/>
          <w:color w:val="000000" w:themeColor="text1"/>
          <w:sz w:val="24"/>
        </w:rPr>
        <w:t>日至</w:t>
      </w:r>
      <w:r>
        <w:rPr>
          <w:rFonts w:ascii="Times New Roman" w:eastAsia="宋体" w:hAnsi="Times New Roman" w:cs="Times New Roman"/>
          <w:color w:val="000000" w:themeColor="text1"/>
          <w:sz w:val="24"/>
        </w:rPr>
        <w:t>2018</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11</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7</w:t>
      </w:r>
      <w:r>
        <w:rPr>
          <w:rFonts w:ascii="Times New Roman" w:eastAsia="宋体" w:hAnsi="Times New Roman" w:cs="Times New Roman"/>
          <w:color w:val="000000" w:themeColor="text1"/>
          <w:sz w:val="24"/>
        </w:rPr>
        <w:t>日。</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监测频次：连续</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天，昼夜各监测</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次。</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评价标准：厂界执行</w:t>
      </w:r>
      <w:r>
        <w:rPr>
          <w:rFonts w:ascii="Times New Roman" w:eastAsia="宋体" w:hAnsi="Times New Roman" w:cs="Times New Roman"/>
          <w:color w:val="000000" w:themeColor="text1"/>
          <w:sz w:val="24"/>
        </w:rPr>
        <w:t>GB3096-2008</w:t>
      </w:r>
      <w:r>
        <w:rPr>
          <w:rFonts w:ascii="Times New Roman" w:eastAsia="宋体" w:hAnsi="Times New Roman" w:cs="Times New Roman"/>
          <w:color w:val="000000" w:themeColor="text1"/>
          <w:sz w:val="24"/>
        </w:rPr>
        <w:t>《声环境质量标准》</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类标准，关心点执行</w:t>
      </w:r>
      <w:r>
        <w:rPr>
          <w:rFonts w:ascii="Times New Roman" w:eastAsia="宋体" w:hAnsi="Times New Roman" w:cs="Times New Roman"/>
          <w:color w:val="000000" w:themeColor="text1"/>
          <w:sz w:val="24"/>
        </w:rPr>
        <w:t>GB3096-2008</w:t>
      </w:r>
      <w:r>
        <w:rPr>
          <w:rFonts w:ascii="Times New Roman" w:eastAsia="宋体" w:hAnsi="Times New Roman" w:cs="Times New Roman"/>
          <w:color w:val="000000" w:themeColor="text1"/>
          <w:sz w:val="24"/>
        </w:rPr>
        <w:t>《声环境质量标准》</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类标准。监测结果见表</w:t>
      </w:r>
      <w:r>
        <w:rPr>
          <w:rFonts w:ascii="Times New Roman" w:eastAsia="宋体" w:hAnsi="Times New Roman" w:cs="Times New Roman" w:hint="eastAsia"/>
          <w:color w:val="000000" w:themeColor="text1"/>
          <w:sz w:val="24"/>
        </w:rPr>
        <w:t>5</w:t>
      </w:r>
      <w:r>
        <w:rPr>
          <w:rFonts w:ascii="Times New Roman" w:eastAsia="宋体" w:hAnsi="Times New Roman" w:cs="Times New Roman"/>
          <w:color w:val="000000" w:themeColor="text1"/>
          <w:sz w:val="24"/>
        </w:rPr>
        <w:t>.3-9</w:t>
      </w:r>
      <w:r>
        <w:rPr>
          <w:rFonts w:ascii="Times New Roman" w:eastAsia="宋体" w:hAnsi="Times New Roman" w:cs="Times New Roman"/>
          <w:color w:val="000000" w:themeColor="text1"/>
          <w:sz w:val="24"/>
        </w:rPr>
        <w:t>。</w:t>
      </w:r>
    </w:p>
    <w:p w:rsidR="00C861DA" w:rsidRDefault="0044752E">
      <w:pPr>
        <w:spacing w:beforeLines="50" w:before="156"/>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5.3-9   </w:t>
      </w:r>
      <w:r>
        <w:rPr>
          <w:rFonts w:ascii="Times New Roman" w:eastAsia="宋体" w:hAnsi="Times New Roman" w:cs="Times New Roman"/>
          <w:b/>
          <w:color w:val="000000" w:themeColor="text1"/>
          <w:sz w:val="24"/>
        </w:rPr>
        <w:t>噪声监测结果</w:t>
      </w:r>
      <w:r>
        <w:rPr>
          <w:rFonts w:ascii="Times New Roman" w:eastAsia="宋体" w:hAnsi="Times New Roman" w:cs="Times New Roman"/>
          <w:b/>
          <w:color w:val="000000" w:themeColor="text1"/>
          <w:sz w:val="24"/>
        </w:rPr>
        <w:t xml:space="preserve">  </w:t>
      </w:r>
      <w:r>
        <w:rPr>
          <w:rFonts w:ascii="Times New Roman" w:eastAsia="宋体" w:hAnsi="Times New Roman" w:cs="Times New Roman"/>
          <w:b/>
          <w:color w:val="000000" w:themeColor="text1"/>
          <w:sz w:val="24"/>
        </w:rPr>
        <w:t>单位：</w:t>
      </w:r>
      <w:r>
        <w:rPr>
          <w:rFonts w:ascii="Times New Roman" w:eastAsia="宋体" w:hAnsi="Times New Roman" w:cs="Times New Roman"/>
          <w:b/>
          <w:color w:val="000000" w:themeColor="text1"/>
          <w:sz w:val="24"/>
        </w:rPr>
        <w:t>dB</w:t>
      </w:r>
      <w:r>
        <w:rPr>
          <w:rFonts w:ascii="Times New Roman" w:eastAsia="宋体" w:hAnsi="Times New Roman" w:cs="Times New Roman"/>
          <w:b/>
          <w:color w:val="000000" w:themeColor="text1"/>
          <w:sz w:val="24"/>
        </w:rPr>
        <w:t>（</w:t>
      </w:r>
      <w:r>
        <w:rPr>
          <w:rFonts w:ascii="Times New Roman" w:eastAsia="宋体" w:hAnsi="Times New Roman" w:cs="Times New Roman"/>
          <w:b/>
          <w:color w:val="000000" w:themeColor="text1"/>
          <w:sz w:val="24"/>
        </w:rPr>
        <w:t>A</w:t>
      </w:r>
      <w:r>
        <w:rPr>
          <w:rFonts w:ascii="Times New Roman" w:eastAsia="宋体" w:hAnsi="Times New Roman" w:cs="Times New Roman"/>
          <w:b/>
          <w:color w:val="000000" w:themeColor="text1"/>
          <w:sz w:val="24"/>
        </w:rPr>
        <w:t>）</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709"/>
        <w:gridCol w:w="710"/>
        <w:gridCol w:w="708"/>
        <w:gridCol w:w="708"/>
        <w:gridCol w:w="707"/>
        <w:gridCol w:w="712"/>
        <w:gridCol w:w="710"/>
        <w:gridCol w:w="1069"/>
      </w:tblGrid>
      <w:tr w:rsidR="00C861DA">
        <w:trPr>
          <w:trHeight w:val="369"/>
          <w:tblHeader/>
          <w:jc w:val="center"/>
        </w:trPr>
        <w:tc>
          <w:tcPr>
            <w:tcW w:w="988"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监测地点</w:t>
            </w:r>
          </w:p>
        </w:tc>
        <w:tc>
          <w:tcPr>
            <w:tcW w:w="1275"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监测时间</w:t>
            </w:r>
          </w:p>
        </w:tc>
        <w:tc>
          <w:tcPr>
            <w:tcW w:w="709"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监测点位编号</w:t>
            </w:r>
          </w:p>
        </w:tc>
        <w:tc>
          <w:tcPr>
            <w:tcW w:w="4255" w:type="dxa"/>
            <w:gridSpan w:val="6"/>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监测值</w:t>
            </w:r>
            <w:r>
              <w:rPr>
                <w:rFonts w:ascii="Times New Roman" w:eastAsia="宋体" w:hAnsi="Times New Roman" w:cs="Times New Roman"/>
                <w:color w:val="000000" w:themeColor="text1"/>
              </w:rPr>
              <w:t>Leq</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dB(A)</w:t>
            </w:r>
            <w:r>
              <w:rPr>
                <w:rFonts w:ascii="Times New Roman" w:eastAsia="宋体" w:hAnsi="Times New Roman" w:cs="Times New Roman"/>
                <w:color w:val="000000" w:themeColor="text1"/>
              </w:rPr>
              <w:t>）</w:t>
            </w:r>
          </w:p>
        </w:tc>
        <w:tc>
          <w:tcPr>
            <w:tcW w:w="1069"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声源</w:t>
            </w:r>
          </w:p>
        </w:tc>
      </w:tr>
      <w:tr w:rsidR="00C861DA">
        <w:trPr>
          <w:trHeight w:val="369"/>
          <w:tblHeader/>
          <w:jc w:val="center"/>
        </w:trPr>
        <w:tc>
          <w:tcPr>
            <w:tcW w:w="988" w:type="dxa"/>
            <w:vMerge/>
            <w:vAlign w:val="center"/>
          </w:tcPr>
          <w:p w:rsidR="00C861DA" w:rsidRDefault="00C861DA">
            <w:pPr>
              <w:jc w:val="center"/>
              <w:rPr>
                <w:rFonts w:ascii="Times New Roman" w:eastAsia="宋体" w:hAnsi="Times New Roman" w:cs="Times New Roman"/>
                <w:color w:val="000000" w:themeColor="text1"/>
              </w:rPr>
            </w:pPr>
          </w:p>
        </w:tc>
        <w:tc>
          <w:tcPr>
            <w:tcW w:w="1275" w:type="dxa"/>
            <w:vMerge/>
            <w:vAlign w:val="center"/>
          </w:tcPr>
          <w:p w:rsidR="00C861DA" w:rsidRDefault="00C861DA">
            <w:pPr>
              <w:jc w:val="center"/>
              <w:rPr>
                <w:rFonts w:ascii="Times New Roman" w:eastAsia="宋体" w:hAnsi="Times New Roman" w:cs="Times New Roman"/>
                <w:color w:val="000000" w:themeColor="text1"/>
              </w:rPr>
            </w:pPr>
          </w:p>
        </w:tc>
        <w:tc>
          <w:tcPr>
            <w:tcW w:w="709" w:type="dxa"/>
            <w:vMerge/>
            <w:vAlign w:val="center"/>
          </w:tcPr>
          <w:p w:rsidR="00C861DA" w:rsidRDefault="00C861DA">
            <w:pPr>
              <w:jc w:val="center"/>
              <w:rPr>
                <w:rFonts w:ascii="Times New Roman" w:eastAsia="宋体" w:hAnsi="Times New Roman" w:cs="Times New Roman"/>
                <w:color w:val="000000" w:themeColor="text1"/>
              </w:rPr>
            </w:pP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昼间</w:t>
            </w:r>
          </w:p>
        </w:tc>
        <w:tc>
          <w:tcPr>
            <w:tcW w:w="7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标准值</w:t>
            </w:r>
          </w:p>
        </w:tc>
        <w:tc>
          <w:tcPr>
            <w:tcW w:w="7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达标情况</w:t>
            </w:r>
          </w:p>
        </w:tc>
        <w:tc>
          <w:tcPr>
            <w:tcW w:w="707"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夜间</w:t>
            </w:r>
          </w:p>
        </w:tc>
        <w:tc>
          <w:tcPr>
            <w:tcW w:w="712"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标准值</w:t>
            </w: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达标情况</w:t>
            </w:r>
          </w:p>
        </w:tc>
        <w:tc>
          <w:tcPr>
            <w:tcW w:w="1069" w:type="dxa"/>
            <w:vMerge/>
            <w:vAlign w:val="center"/>
          </w:tcPr>
          <w:p w:rsidR="00C861DA" w:rsidRDefault="00C861DA">
            <w:pPr>
              <w:jc w:val="center"/>
              <w:rPr>
                <w:rFonts w:ascii="Times New Roman" w:eastAsia="宋体" w:hAnsi="Times New Roman" w:cs="Times New Roman"/>
                <w:color w:val="000000" w:themeColor="text1"/>
              </w:rPr>
            </w:pPr>
          </w:p>
        </w:tc>
      </w:tr>
      <w:tr w:rsidR="00C861DA">
        <w:trPr>
          <w:trHeight w:val="369"/>
          <w:jc w:val="center"/>
        </w:trPr>
        <w:tc>
          <w:tcPr>
            <w:tcW w:w="988"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厂界东面</w:t>
            </w:r>
          </w:p>
        </w:tc>
        <w:tc>
          <w:tcPr>
            <w:tcW w:w="127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2018.11.28</w:t>
            </w:r>
          </w:p>
        </w:tc>
        <w:tc>
          <w:tcPr>
            <w:tcW w:w="70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1Z01</w:t>
            </w: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53.0</w:t>
            </w:r>
          </w:p>
        </w:tc>
        <w:tc>
          <w:tcPr>
            <w:tcW w:w="708"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65</w:t>
            </w:r>
          </w:p>
        </w:tc>
        <w:tc>
          <w:tcPr>
            <w:tcW w:w="7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707"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45.4</w:t>
            </w:r>
          </w:p>
        </w:tc>
        <w:tc>
          <w:tcPr>
            <w:tcW w:w="712"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55</w:t>
            </w: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106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生活噪声</w:t>
            </w:r>
          </w:p>
        </w:tc>
      </w:tr>
      <w:tr w:rsidR="00C861DA">
        <w:trPr>
          <w:trHeight w:val="369"/>
          <w:jc w:val="center"/>
        </w:trPr>
        <w:tc>
          <w:tcPr>
            <w:tcW w:w="988" w:type="dxa"/>
            <w:vMerge/>
            <w:vAlign w:val="center"/>
          </w:tcPr>
          <w:p w:rsidR="00C861DA" w:rsidRDefault="00C861DA">
            <w:pPr>
              <w:jc w:val="center"/>
              <w:rPr>
                <w:rFonts w:ascii="Times New Roman" w:eastAsia="宋体" w:hAnsi="Times New Roman" w:cs="Times New Roman"/>
                <w:color w:val="000000" w:themeColor="text1"/>
              </w:rPr>
            </w:pPr>
          </w:p>
        </w:tc>
        <w:tc>
          <w:tcPr>
            <w:tcW w:w="127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2018.11.29</w:t>
            </w:r>
          </w:p>
        </w:tc>
        <w:tc>
          <w:tcPr>
            <w:tcW w:w="70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2Z01</w:t>
            </w: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52.2</w:t>
            </w:r>
          </w:p>
        </w:tc>
        <w:tc>
          <w:tcPr>
            <w:tcW w:w="708" w:type="dxa"/>
            <w:vMerge/>
            <w:vAlign w:val="center"/>
          </w:tcPr>
          <w:p w:rsidR="00C861DA" w:rsidRDefault="00C861DA">
            <w:pPr>
              <w:jc w:val="center"/>
              <w:rPr>
                <w:rFonts w:ascii="Times New Roman" w:eastAsia="宋体" w:hAnsi="Times New Roman" w:cs="Times New Roman"/>
                <w:color w:val="000000" w:themeColor="text1"/>
              </w:rPr>
            </w:pPr>
          </w:p>
        </w:tc>
        <w:tc>
          <w:tcPr>
            <w:tcW w:w="7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707"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45.5</w:t>
            </w:r>
          </w:p>
        </w:tc>
        <w:tc>
          <w:tcPr>
            <w:tcW w:w="712" w:type="dxa"/>
            <w:vMerge/>
            <w:vAlign w:val="center"/>
          </w:tcPr>
          <w:p w:rsidR="00C861DA" w:rsidRDefault="00C861DA">
            <w:pPr>
              <w:jc w:val="center"/>
              <w:rPr>
                <w:rFonts w:ascii="Times New Roman" w:eastAsia="宋体" w:hAnsi="Times New Roman" w:cs="Times New Roman"/>
                <w:color w:val="000000" w:themeColor="text1"/>
              </w:rPr>
            </w:pP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106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生活噪声</w:t>
            </w:r>
          </w:p>
        </w:tc>
      </w:tr>
      <w:tr w:rsidR="00C861DA">
        <w:trPr>
          <w:trHeight w:val="369"/>
          <w:jc w:val="center"/>
        </w:trPr>
        <w:tc>
          <w:tcPr>
            <w:tcW w:w="988"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2#</w:t>
            </w:r>
            <w:r>
              <w:rPr>
                <w:rFonts w:ascii="Times New Roman" w:eastAsia="宋体" w:hAnsi="Times New Roman" w:cs="Times New Roman"/>
                <w:color w:val="000000" w:themeColor="text1"/>
              </w:rPr>
              <w:t>厂界南面</w:t>
            </w:r>
          </w:p>
        </w:tc>
        <w:tc>
          <w:tcPr>
            <w:tcW w:w="127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2018.11.28</w:t>
            </w:r>
          </w:p>
        </w:tc>
        <w:tc>
          <w:tcPr>
            <w:tcW w:w="70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1Z02</w:t>
            </w: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52.7</w:t>
            </w:r>
          </w:p>
        </w:tc>
        <w:tc>
          <w:tcPr>
            <w:tcW w:w="708" w:type="dxa"/>
            <w:vMerge/>
            <w:vAlign w:val="center"/>
          </w:tcPr>
          <w:p w:rsidR="00C861DA" w:rsidRDefault="00C861DA">
            <w:pPr>
              <w:jc w:val="center"/>
              <w:rPr>
                <w:rFonts w:ascii="Times New Roman" w:eastAsia="宋体" w:hAnsi="Times New Roman" w:cs="Times New Roman"/>
                <w:color w:val="000000" w:themeColor="text1"/>
              </w:rPr>
            </w:pPr>
          </w:p>
        </w:tc>
        <w:tc>
          <w:tcPr>
            <w:tcW w:w="7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707"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44.3</w:t>
            </w:r>
          </w:p>
        </w:tc>
        <w:tc>
          <w:tcPr>
            <w:tcW w:w="712" w:type="dxa"/>
            <w:vMerge/>
            <w:vAlign w:val="center"/>
          </w:tcPr>
          <w:p w:rsidR="00C861DA" w:rsidRDefault="00C861DA">
            <w:pPr>
              <w:jc w:val="center"/>
              <w:rPr>
                <w:rFonts w:ascii="Times New Roman" w:eastAsia="宋体" w:hAnsi="Times New Roman" w:cs="Times New Roman"/>
                <w:color w:val="000000" w:themeColor="text1"/>
              </w:rPr>
            </w:pP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106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生活噪声</w:t>
            </w:r>
          </w:p>
        </w:tc>
      </w:tr>
      <w:tr w:rsidR="00C861DA">
        <w:trPr>
          <w:trHeight w:val="369"/>
          <w:jc w:val="center"/>
        </w:trPr>
        <w:tc>
          <w:tcPr>
            <w:tcW w:w="988" w:type="dxa"/>
            <w:vMerge/>
            <w:vAlign w:val="center"/>
          </w:tcPr>
          <w:p w:rsidR="00C861DA" w:rsidRDefault="00C861DA">
            <w:pPr>
              <w:jc w:val="center"/>
              <w:rPr>
                <w:rFonts w:ascii="Times New Roman" w:eastAsia="宋体" w:hAnsi="Times New Roman" w:cs="Times New Roman"/>
                <w:color w:val="000000" w:themeColor="text1"/>
              </w:rPr>
            </w:pPr>
          </w:p>
        </w:tc>
        <w:tc>
          <w:tcPr>
            <w:tcW w:w="127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2018.11.29</w:t>
            </w:r>
          </w:p>
        </w:tc>
        <w:tc>
          <w:tcPr>
            <w:tcW w:w="70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2Z02</w:t>
            </w: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53.7</w:t>
            </w:r>
          </w:p>
        </w:tc>
        <w:tc>
          <w:tcPr>
            <w:tcW w:w="708" w:type="dxa"/>
            <w:vMerge/>
            <w:vAlign w:val="center"/>
          </w:tcPr>
          <w:p w:rsidR="00C861DA" w:rsidRDefault="00C861DA">
            <w:pPr>
              <w:jc w:val="center"/>
              <w:rPr>
                <w:rFonts w:ascii="Times New Roman" w:eastAsia="宋体" w:hAnsi="Times New Roman" w:cs="Times New Roman"/>
                <w:color w:val="000000" w:themeColor="text1"/>
              </w:rPr>
            </w:pPr>
          </w:p>
        </w:tc>
        <w:tc>
          <w:tcPr>
            <w:tcW w:w="7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707"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45.3</w:t>
            </w:r>
          </w:p>
        </w:tc>
        <w:tc>
          <w:tcPr>
            <w:tcW w:w="712" w:type="dxa"/>
            <w:vMerge/>
            <w:vAlign w:val="center"/>
          </w:tcPr>
          <w:p w:rsidR="00C861DA" w:rsidRDefault="00C861DA">
            <w:pPr>
              <w:jc w:val="center"/>
              <w:rPr>
                <w:rFonts w:ascii="Times New Roman" w:eastAsia="宋体" w:hAnsi="Times New Roman" w:cs="Times New Roman"/>
                <w:color w:val="000000" w:themeColor="text1"/>
              </w:rPr>
            </w:pP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106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生活噪声</w:t>
            </w:r>
          </w:p>
        </w:tc>
      </w:tr>
      <w:tr w:rsidR="00C861DA">
        <w:trPr>
          <w:trHeight w:val="369"/>
          <w:jc w:val="center"/>
        </w:trPr>
        <w:tc>
          <w:tcPr>
            <w:tcW w:w="988"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厂界西面</w:t>
            </w:r>
          </w:p>
        </w:tc>
        <w:tc>
          <w:tcPr>
            <w:tcW w:w="127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2018.11.28</w:t>
            </w:r>
          </w:p>
        </w:tc>
        <w:tc>
          <w:tcPr>
            <w:tcW w:w="70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1Z03</w:t>
            </w: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52.3</w:t>
            </w:r>
          </w:p>
        </w:tc>
        <w:tc>
          <w:tcPr>
            <w:tcW w:w="708" w:type="dxa"/>
            <w:vMerge/>
            <w:vAlign w:val="center"/>
          </w:tcPr>
          <w:p w:rsidR="00C861DA" w:rsidRDefault="00C861DA">
            <w:pPr>
              <w:jc w:val="center"/>
              <w:rPr>
                <w:rFonts w:ascii="Times New Roman" w:eastAsia="宋体" w:hAnsi="Times New Roman" w:cs="Times New Roman"/>
                <w:color w:val="000000" w:themeColor="text1"/>
              </w:rPr>
            </w:pPr>
          </w:p>
        </w:tc>
        <w:tc>
          <w:tcPr>
            <w:tcW w:w="7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707"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44.2</w:t>
            </w:r>
          </w:p>
        </w:tc>
        <w:tc>
          <w:tcPr>
            <w:tcW w:w="712" w:type="dxa"/>
            <w:vMerge/>
            <w:vAlign w:val="center"/>
          </w:tcPr>
          <w:p w:rsidR="00C861DA" w:rsidRDefault="00C861DA">
            <w:pPr>
              <w:jc w:val="center"/>
              <w:rPr>
                <w:rFonts w:ascii="Times New Roman" w:eastAsia="宋体" w:hAnsi="Times New Roman" w:cs="Times New Roman"/>
                <w:color w:val="000000" w:themeColor="text1"/>
              </w:rPr>
            </w:pP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106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生活噪声</w:t>
            </w:r>
          </w:p>
        </w:tc>
      </w:tr>
      <w:tr w:rsidR="00C861DA">
        <w:trPr>
          <w:trHeight w:val="369"/>
          <w:jc w:val="center"/>
        </w:trPr>
        <w:tc>
          <w:tcPr>
            <w:tcW w:w="988" w:type="dxa"/>
            <w:vMerge/>
            <w:vAlign w:val="center"/>
          </w:tcPr>
          <w:p w:rsidR="00C861DA" w:rsidRDefault="00C861DA">
            <w:pPr>
              <w:jc w:val="center"/>
              <w:rPr>
                <w:rFonts w:ascii="Times New Roman" w:eastAsia="宋体" w:hAnsi="Times New Roman" w:cs="Times New Roman"/>
                <w:color w:val="000000" w:themeColor="text1"/>
              </w:rPr>
            </w:pPr>
          </w:p>
        </w:tc>
        <w:tc>
          <w:tcPr>
            <w:tcW w:w="127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2018.11.29</w:t>
            </w:r>
          </w:p>
        </w:tc>
        <w:tc>
          <w:tcPr>
            <w:tcW w:w="70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2Z03</w:t>
            </w: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52.4</w:t>
            </w:r>
          </w:p>
        </w:tc>
        <w:tc>
          <w:tcPr>
            <w:tcW w:w="708" w:type="dxa"/>
            <w:vMerge/>
            <w:vAlign w:val="center"/>
          </w:tcPr>
          <w:p w:rsidR="00C861DA" w:rsidRDefault="00C861DA">
            <w:pPr>
              <w:jc w:val="center"/>
              <w:rPr>
                <w:rFonts w:ascii="Times New Roman" w:eastAsia="宋体" w:hAnsi="Times New Roman" w:cs="Times New Roman"/>
                <w:color w:val="000000" w:themeColor="text1"/>
              </w:rPr>
            </w:pPr>
          </w:p>
        </w:tc>
        <w:tc>
          <w:tcPr>
            <w:tcW w:w="7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707"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45.1</w:t>
            </w:r>
          </w:p>
        </w:tc>
        <w:tc>
          <w:tcPr>
            <w:tcW w:w="712" w:type="dxa"/>
            <w:vMerge/>
            <w:vAlign w:val="center"/>
          </w:tcPr>
          <w:p w:rsidR="00C861DA" w:rsidRDefault="00C861DA">
            <w:pPr>
              <w:jc w:val="center"/>
              <w:rPr>
                <w:rFonts w:ascii="Times New Roman" w:eastAsia="宋体" w:hAnsi="Times New Roman" w:cs="Times New Roman"/>
                <w:color w:val="000000" w:themeColor="text1"/>
              </w:rPr>
            </w:pP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106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生活噪声</w:t>
            </w:r>
          </w:p>
        </w:tc>
      </w:tr>
      <w:tr w:rsidR="00C861DA">
        <w:trPr>
          <w:trHeight w:val="369"/>
          <w:jc w:val="center"/>
        </w:trPr>
        <w:tc>
          <w:tcPr>
            <w:tcW w:w="988"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4#</w:t>
            </w:r>
            <w:r>
              <w:rPr>
                <w:rFonts w:ascii="Times New Roman" w:eastAsia="宋体" w:hAnsi="Times New Roman" w:cs="Times New Roman"/>
                <w:color w:val="000000" w:themeColor="text1"/>
              </w:rPr>
              <w:t>厂界北面</w:t>
            </w:r>
          </w:p>
        </w:tc>
        <w:tc>
          <w:tcPr>
            <w:tcW w:w="127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2018.11.28</w:t>
            </w:r>
          </w:p>
        </w:tc>
        <w:tc>
          <w:tcPr>
            <w:tcW w:w="70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1Z04</w:t>
            </w: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52.6</w:t>
            </w:r>
          </w:p>
        </w:tc>
        <w:tc>
          <w:tcPr>
            <w:tcW w:w="708" w:type="dxa"/>
            <w:vMerge/>
            <w:vAlign w:val="center"/>
          </w:tcPr>
          <w:p w:rsidR="00C861DA" w:rsidRDefault="00C861DA">
            <w:pPr>
              <w:jc w:val="center"/>
              <w:rPr>
                <w:rFonts w:ascii="Times New Roman" w:eastAsia="宋体" w:hAnsi="Times New Roman" w:cs="Times New Roman"/>
                <w:color w:val="000000" w:themeColor="text1"/>
              </w:rPr>
            </w:pPr>
          </w:p>
        </w:tc>
        <w:tc>
          <w:tcPr>
            <w:tcW w:w="7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707"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44.4</w:t>
            </w:r>
          </w:p>
        </w:tc>
        <w:tc>
          <w:tcPr>
            <w:tcW w:w="712" w:type="dxa"/>
            <w:vMerge/>
            <w:vAlign w:val="center"/>
          </w:tcPr>
          <w:p w:rsidR="00C861DA" w:rsidRDefault="00C861DA">
            <w:pPr>
              <w:jc w:val="center"/>
              <w:rPr>
                <w:rFonts w:ascii="Times New Roman" w:eastAsia="宋体" w:hAnsi="Times New Roman" w:cs="Times New Roman"/>
                <w:color w:val="000000" w:themeColor="text1"/>
              </w:rPr>
            </w:pP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106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生活噪声</w:t>
            </w:r>
          </w:p>
        </w:tc>
      </w:tr>
      <w:tr w:rsidR="00C861DA">
        <w:trPr>
          <w:trHeight w:val="369"/>
          <w:jc w:val="center"/>
        </w:trPr>
        <w:tc>
          <w:tcPr>
            <w:tcW w:w="988" w:type="dxa"/>
            <w:vMerge/>
            <w:vAlign w:val="center"/>
          </w:tcPr>
          <w:p w:rsidR="00C861DA" w:rsidRDefault="00C861DA">
            <w:pPr>
              <w:jc w:val="center"/>
              <w:rPr>
                <w:rFonts w:ascii="Times New Roman" w:eastAsia="宋体" w:hAnsi="Times New Roman" w:cs="Times New Roman"/>
                <w:color w:val="000000" w:themeColor="text1"/>
              </w:rPr>
            </w:pPr>
          </w:p>
        </w:tc>
        <w:tc>
          <w:tcPr>
            <w:tcW w:w="127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2018.11.29</w:t>
            </w:r>
          </w:p>
        </w:tc>
        <w:tc>
          <w:tcPr>
            <w:tcW w:w="70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2Z04</w:t>
            </w: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52.1</w:t>
            </w:r>
          </w:p>
        </w:tc>
        <w:tc>
          <w:tcPr>
            <w:tcW w:w="708" w:type="dxa"/>
            <w:vMerge/>
            <w:vAlign w:val="center"/>
          </w:tcPr>
          <w:p w:rsidR="00C861DA" w:rsidRDefault="00C861DA">
            <w:pPr>
              <w:jc w:val="center"/>
              <w:rPr>
                <w:rFonts w:ascii="Times New Roman" w:eastAsia="宋体" w:hAnsi="Times New Roman" w:cs="Times New Roman"/>
                <w:color w:val="000000" w:themeColor="text1"/>
              </w:rPr>
            </w:pPr>
          </w:p>
        </w:tc>
        <w:tc>
          <w:tcPr>
            <w:tcW w:w="70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707"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44.5</w:t>
            </w:r>
          </w:p>
        </w:tc>
        <w:tc>
          <w:tcPr>
            <w:tcW w:w="712" w:type="dxa"/>
            <w:vMerge/>
            <w:vAlign w:val="center"/>
          </w:tcPr>
          <w:p w:rsidR="00C861DA" w:rsidRDefault="00C861DA">
            <w:pPr>
              <w:jc w:val="center"/>
              <w:rPr>
                <w:rFonts w:ascii="Times New Roman" w:eastAsia="宋体" w:hAnsi="Times New Roman" w:cs="Times New Roman"/>
                <w:color w:val="000000" w:themeColor="text1"/>
              </w:rPr>
            </w:pPr>
          </w:p>
        </w:tc>
        <w:tc>
          <w:tcPr>
            <w:tcW w:w="71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106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生活噪声</w:t>
            </w:r>
          </w:p>
        </w:tc>
      </w:tr>
    </w:tbl>
    <w:p w:rsidR="00C861DA" w:rsidRDefault="0044752E">
      <w:pPr>
        <w:pStyle w:val="41"/>
        <w:tabs>
          <w:tab w:val="left" w:pos="4860"/>
          <w:tab w:val="left" w:pos="5040"/>
        </w:tabs>
        <w:spacing w:beforeLines="0" w:before="0"/>
        <w:ind w:leftChars="0" w:left="0" w:rightChars="0" w:right="0"/>
        <w:rPr>
          <w:rFonts w:ascii="Times New Roman" w:eastAsia="宋体"/>
          <w:b/>
          <w:bCs w:val="0"/>
          <w:color w:val="000000" w:themeColor="text1"/>
          <w:sz w:val="24"/>
        </w:rPr>
      </w:pPr>
      <w:r>
        <w:rPr>
          <w:rFonts w:ascii="Times New Roman" w:eastAsia="宋体" w:hint="eastAsia"/>
          <w:b/>
          <w:bCs w:val="0"/>
          <w:color w:val="000000" w:themeColor="text1"/>
          <w:sz w:val="24"/>
        </w:rPr>
        <w:t>（</w:t>
      </w:r>
      <w:r>
        <w:rPr>
          <w:rFonts w:ascii="Times New Roman" w:eastAsia="宋体" w:hint="eastAsia"/>
          <w:b/>
          <w:bCs w:val="0"/>
          <w:color w:val="000000" w:themeColor="text1"/>
          <w:sz w:val="24"/>
        </w:rPr>
        <w:t>3</w:t>
      </w:r>
      <w:r>
        <w:rPr>
          <w:rFonts w:ascii="Times New Roman" w:eastAsia="宋体" w:hint="eastAsia"/>
          <w:b/>
          <w:bCs w:val="0"/>
          <w:color w:val="000000" w:themeColor="text1"/>
          <w:sz w:val="24"/>
        </w:rPr>
        <w:t>）小结</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从监测结果看，厂界外背景声环境质量较好，能满足</w:t>
      </w:r>
      <w:r>
        <w:rPr>
          <w:rFonts w:ascii="Times New Roman" w:eastAsia="宋体" w:hAnsi="Times New Roman" w:cs="Times New Roman"/>
          <w:color w:val="000000" w:themeColor="text1"/>
          <w:sz w:val="24"/>
        </w:rPr>
        <w:t>GB3096-2008</w:t>
      </w:r>
      <w:r>
        <w:rPr>
          <w:rFonts w:ascii="Times New Roman" w:eastAsia="宋体" w:hAnsi="Times New Roman" w:cs="Times New Roman"/>
          <w:color w:val="000000" w:themeColor="text1"/>
          <w:sz w:val="24"/>
        </w:rPr>
        <w:t>《声环境质量标准》</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类标准的要求。</w:t>
      </w:r>
    </w:p>
    <w:p w:rsidR="00C861DA" w:rsidRDefault="0044752E">
      <w:pPr>
        <w:pStyle w:val="32"/>
        <w:rPr>
          <w:rFonts w:ascii="Times New Roman" w:eastAsia="宋体"/>
          <w:bCs w:val="0"/>
          <w:color w:val="000000" w:themeColor="text1"/>
          <w:sz w:val="24"/>
          <w:szCs w:val="24"/>
        </w:rPr>
      </w:pPr>
      <w:bookmarkStart w:id="345" w:name="_Toc6826823"/>
      <w:bookmarkStart w:id="346" w:name="_Toc511895790"/>
      <w:bookmarkStart w:id="347" w:name="_Toc12085"/>
      <w:bookmarkStart w:id="348" w:name="_Toc6752"/>
      <w:bookmarkStart w:id="349" w:name="_Toc30006"/>
      <w:bookmarkStart w:id="350" w:name="_Toc50"/>
      <w:bookmarkStart w:id="351" w:name="_Toc510564994"/>
      <w:r>
        <w:rPr>
          <w:rFonts w:ascii="Times New Roman" w:eastAsia="宋体" w:hint="eastAsia"/>
          <w:bCs w:val="0"/>
          <w:color w:val="000000" w:themeColor="text1"/>
          <w:sz w:val="24"/>
          <w:szCs w:val="24"/>
        </w:rPr>
        <w:t>5.3.5</w:t>
      </w:r>
      <w:r>
        <w:rPr>
          <w:rFonts w:ascii="Times New Roman" w:eastAsia="宋体" w:hint="eastAsia"/>
          <w:bCs w:val="0"/>
          <w:color w:val="000000" w:themeColor="text1"/>
          <w:sz w:val="24"/>
          <w:szCs w:val="24"/>
        </w:rPr>
        <w:t>土壤环境质量现状</w:t>
      </w:r>
      <w:bookmarkEnd w:id="345"/>
      <w:bookmarkEnd w:id="346"/>
      <w:bookmarkEnd w:id="347"/>
      <w:bookmarkEnd w:id="348"/>
      <w:bookmarkEnd w:id="349"/>
      <w:bookmarkEnd w:id="350"/>
      <w:bookmarkEnd w:id="351"/>
    </w:p>
    <w:p w:rsidR="00C861DA" w:rsidRDefault="0044752E">
      <w:pPr>
        <w:pStyle w:val="41"/>
        <w:tabs>
          <w:tab w:val="left" w:pos="4860"/>
          <w:tab w:val="left" w:pos="5040"/>
        </w:tabs>
        <w:spacing w:beforeLines="0" w:before="0"/>
        <w:ind w:leftChars="0" w:left="0" w:rightChars="0" w:right="0"/>
        <w:rPr>
          <w:rFonts w:ascii="Times New Roman" w:eastAsia="宋体"/>
          <w:b/>
          <w:bCs w:val="0"/>
          <w:color w:val="000000" w:themeColor="text1"/>
          <w:sz w:val="24"/>
        </w:rPr>
      </w:pPr>
      <w:r>
        <w:rPr>
          <w:rFonts w:ascii="Times New Roman" w:eastAsia="宋体" w:hint="eastAsia"/>
          <w:b/>
          <w:bCs w:val="0"/>
          <w:color w:val="000000" w:themeColor="text1"/>
          <w:sz w:val="24"/>
        </w:rPr>
        <w:t>（</w:t>
      </w:r>
      <w:r>
        <w:rPr>
          <w:rFonts w:ascii="Times New Roman" w:eastAsia="宋体" w:hint="eastAsia"/>
          <w:b/>
          <w:bCs w:val="0"/>
          <w:color w:val="000000" w:themeColor="text1"/>
          <w:sz w:val="24"/>
        </w:rPr>
        <w:t>1</w:t>
      </w:r>
      <w:r>
        <w:rPr>
          <w:rFonts w:ascii="Times New Roman" w:eastAsia="宋体" w:hint="eastAsia"/>
          <w:b/>
          <w:bCs w:val="0"/>
          <w:color w:val="000000" w:themeColor="text1"/>
          <w:sz w:val="24"/>
        </w:rPr>
        <w:t>）土壤环境现状调查</w:t>
      </w:r>
    </w:p>
    <w:p w:rsidR="00C861DA" w:rsidRDefault="0044752E">
      <w:pPr>
        <w:spacing w:line="360" w:lineRule="auto"/>
        <w:ind w:firstLineChars="200" w:firstLine="480"/>
        <w:jc w:val="both"/>
        <w:rPr>
          <w:rFonts w:ascii="Times New Roman" w:eastAsia="宋体" w:hAnsi="Times New Roman" w:cs="Times New Roman"/>
          <w:color w:val="000000" w:themeColor="text1"/>
          <w:sz w:val="24"/>
          <w:lang w:val="zh-CN"/>
        </w:rPr>
      </w:pPr>
      <w:r>
        <w:rPr>
          <w:rFonts w:ascii="Times New Roman" w:eastAsia="宋体" w:hAnsi="Times New Roman" w:cs="Times New Roman"/>
          <w:color w:val="000000" w:themeColor="text1"/>
          <w:sz w:val="24"/>
        </w:rPr>
        <w:t>本项目为新建项目，</w:t>
      </w:r>
      <w:r>
        <w:rPr>
          <w:rFonts w:ascii="Times New Roman" w:eastAsia="宋体" w:hAnsi="Times New Roman" w:cs="Times New Roman"/>
          <w:color w:val="000000" w:themeColor="text1"/>
          <w:sz w:val="24"/>
          <w:lang w:val="zh-CN"/>
        </w:rPr>
        <w:t>所在地土壤类型复杂多样，主要有红壤、水稻土、紫色土、棕壤、冲积土，其中红壤面积最大，红壤和紫色土是丘陵和高山地区典型的天然土壤类型，棕壤常见于高海拔地区，而水稻土则常见于平原台地。</w:t>
      </w:r>
      <w:r>
        <w:rPr>
          <w:rFonts w:ascii="Times New Roman" w:eastAsia="宋体" w:hAnsi="Times New Roman" w:cs="Times New Roman"/>
          <w:color w:val="000000" w:themeColor="text1"/>
          <w:sz w:val="24"/>
          <w:szCs w:val="22"/>
        </w:rPr>
        <w:t>经现场踏勘，项目用地主要为</w:t>
      </w:r>
      <w:r>
        <w:rPr>
          <w:rFonts w:ascii="Times New Roman" w:eastAsia="宋体" w:hAnsi="Times New Roman" w:cs="Times New Roman"/>
          <w:color w:val="000000" w:themeColor="text1"/>
          <w:sz w:val="24"/>
          <w:lang w:val="zh-CN"/>
        </w:rPr>
        <w:t>红壤。</w:t>
      </w:r>
    </w:p>
    <w:p w:rsidR="00C861DA" w:rsidRDefault="0044752E">
      <w:pPr>
        <w:pStyle w:val="41"/>
        <w:tabs>
          <w:tab w:val="left" w:pos="4860"/>
          <w:tab w:val="left" w:pos="5040"/>
        </w:tabs>
        <w:spacing w:beforeLines="0" w:before="0"/>
        <w:ind w:leftChars="0" w:left="0" w:rightChars="0" w:right="0"/>
        <w:rPr>
          <w:rFonts w:ascii="Times New Roman" w:eastAsia="宋体"/>
          <w:b/>
          <w:bCs w:val="0"/>
          <w:color w:val="000000" w:themeColor="text1"/>
          <w:sz w:val="24"/>
          <w:lang w:val="zh-CN"/>
        </w:rPr>
      </w:pPr>
      <w:r>
        <w:rPr>
          <w:rFonts w:ascii="Times New Roman" w:eastAsia="宋体" w:hint="eastAsia"/>
          <w:b/>
          <w:bCs w:val="0"/>
          <w:color w:val="000000" w:themeColor="text1"/>
          <w:sz w:val="24"/>
        </w:rPr>
        <w:t>（</w:t>
      </w:r>
      <w:r>
        <w:rPr>
          <w:rFonts w:ascii="Times New Roman" w:eastAsia="宋体" w:hint="eastAsia"/>
          <w:b/>
          <w:bCs w:val="0"/>
          <w:color w:val="000000" w:themeColor="text1"/>
          <w:sz w:val="24"/>
        </w:rPr>
        <w:t>2</w:t>
      </w:r>
      <w:r>
        <w:rPr>
          <w:rFonts w:ascii="Times New Roman" w:eastAsia="宋体" w:hint="eastAsia"/>
          <w:b/>
          <w:bCs w:val="0"/>
          <w:color w:val="000000" w:themeColor="text1"/>
          <w:sz w:val="24"/>
        </w:rPr>
        <w:t>）土壤环境质量现状监测</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为了解项目区周边土壤环境质量情况，本次环评引用《安宁工业园区规划环评报告》（报批稿）中对禄脿片区土壤环境的监测数据及土壤环境质量的评价结果，监测数据如下：</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采样时间：</w:t>
      </w:r>
      <w:r>
        <w:rPr>
          <w:rFonts w:ascii="Times New Roman" w:eastAsia="宋体" w:hAnsi="Times New Roman" w:cs="Times New Roman"/>
          <w:color w:val="000000" w:themeColor="text1"/>
          <w:sz w:val="24"/>
        </w:rPr>
        <w:t>2017</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月</w:t>
      </w:r>
      <w:r>
        <w:rPr>
          <w:rFonts w:ascii="Times New Roman" w:eastAsia="宋体" w:hAnsi="Times New Roman" w:cs="Times New Roman"/>
          <w:color w:val="000000" w:themeColor="text1"/>
          <w:sz w:val="24"/>
        </w:rPr>
        <w:t>7</w:t>
      </w:r>
      <w:r>
        <w:rPr>
          <w:rFonts w:ascii="Times New Roman" w:eastAsia="宋体" w:hAnsi="Times New Roman" w:cs="Times New Roman"/>
          <w:color w:val="000000" w:themeColor="text1"/>
          <w:sz w:val="24"/>
        </w:rPr>
        <w:t>日；</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采样地点：禄脿村代表点耕地；</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监测因子：</w:t>
      </w:r>
      <w:r>
        <w:rPr>
          <w:rFonts w:ascii="Times New Roman" w:eastAsia="宋体" w:hAnsi="Times New Roman" w:cs="Times New Roman"/>
          <w:color w:val="000000" w:themeColor="text1"/>
          <w:sz w:val="24"/>
        </w:rPr>
        <w:t>PH</w:t>
      </w:r>
      <w:r>
        <w:rPr>
          <w:rFonts w:ascii="Times New Roman" w:eastAsia="宋体" w:hAnsi="Times New Roman" w:cs="Times New Roman"/>
          <w:color w:val="000000" w:themeColor="text1"/>
          <w:sz w:val="24"/>
        </w:rPr>
        <w:t>、砷、汞、铜、锌、镉、铬、镍、铅；</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采样类别：表层</w:t>
      </w:r>
      <w:r>
        <w:rPr>
          <w:rFonts w:ascii="Times New Roman" w:eastAsia="宋体" w:hAnsi="Times New Roman" w:cs="Times New Roman"/>
          <w:color w:val="000000" w:themeColor="text1"/>
          <w:sz w:val="24"/>
        </w:rPr>
        <w:t>-20cm</w:t>
      </w:r>
      <w:r>
        <w:rPr>
          <w:rFonts w:ascii="Times New Roman" w:eastAsia="宋体" w:hAnsi="Times New Roman" w:cs="Times New Roman"/>
          <w:color w:val="000000" w:themeColor="text1"/>
          <w:sz w:val="24"/>
        </w:rPr>
        <w:t>一次混合采样分析；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《土壤环境质量</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农用地土壤污染风险管控标准（试行）》（</w:t>
      </w:r>
      <w:r>
        <w:rPr>
          <w:rFonts w:ascii="Times New Roman" w:eastAsia="宋体" w:hAnsi="Times New Roman" w:cs="Times New Roman"/>
          <w:color w:val="000000" w:themeColor="text1"/>
          <w:sz w:val="24"/>
        </w:rPr>
        <w:t>GB15618-2018</w:t>
      </w:r>
      <w:r>
        <w:rPr>
          <w:rFonts w:ascii="Times New Roman" w:eastAsia="宋体" w:hAnsi="Times New Roman" w:cs="Times New Roman"/>
          <w:color w:val="000000" w:themeColor="text1"/>
          <w:sz w:val="24"/>
        </w:rPr>
        <w:t>）中土壤污染风险筛选值和风险管制值。</w:t>
      </w:r>
    </w:p>
    <w:p w:rsidR="00C861DA" w:rsidRDefault="0044752E">
      <w:pPr>
        <w:snapToGrid w:val="0"/>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hint="eastAsia"/>
          <w:b/>
          <w:color w:val="000000" w:themeColor="text1"/>
          <w:sz w:val="24"/>
        </w:rPr>
        <w:t>5</w:t>
      </w:r>
      <w:r>
        <w:rPr>
          <w:rFonts w:ascii="Times New Roman" w:eastAsia="宋体" w:hAnsi="Times New Roman" w:cs="Times New Roman"/>
          <w:b/>
          <w:color w:val="000000" w:themeColor="text1"/>
          <w:sz w:val="24"/>
        </w:rPr>
        <w:t xml:space="preserve">.3-10  </w:t>
      </w:r>
      <w:r>
        <w:rPr>
          <w:rFonts w:ascii="Times New Roman" w:eastAsia="宋体" w:hAnsi="Times New Roman" w:cs="Times New Roman"/>
          <w:b/>
          <w:color w:val="000000" w:themeColor="text1"/>
          <w:sz w:val="24"/>
        </w:rPr>
        <w:t>土壤环境质量现状监测结果单位：</w:t>
      </w:r>
      <w:r>
        <w:rPr>
          <w:rFonts w:ascii="Times New Roman" w:eastAsia="宋体" w:hAnsi="Times New Roman" w:cs="Times New Roman"/>
          <w:b/>
          <w:color w:val="000000" w:themeColor="text1"/>
          <w:sz w:val="24"/>
        </w:rPr>
        <w:t>mg/kg</w:t>
      </w:r>
      <w:r>
        <w:rPr>
          <w:rFonts w:ascii="Times New Roman" w:eastAsia="宋体" w:hAnsi="Times New Roman" w:cs="Times New Roman"/>
          <w:b/>
          <w:color w:val="000000" w:themeColor="text1"/>
          <w:sz w:val="24"/>
        </w:rPr>
        <w:t>（</w:t>
      </w:r>
      <w:r>
        <w:rPr>
          <w:rFonts w:ascii="Times New Roman" w:eastAsia="宋体" w:hAnsi="Times New Roman" w:cs="Times New Roman"/>
          <w:b/>
          <w:color w:val="000000" w:themeColor="text1"/>
          <w:sz w:val="24"/>
        </w:rPr>
        <w:t>pH</w:t>
      </w:r>
      <w:r>
        <w:rPr>
          <w:rFonts w:ascii="Times New Roman" w:eastAsia="宋体" w:hAnsi="Times New Roman" w:cs="Times New Roman"/>
          <w:b/>
          <w:color w:val="000000" w:themeColor="text1"/>
          <w:sz w:val="24"/>
        </w:rPr>
        <w:t>除外）</w:t>
      </w:r>
    </w:p>
    <w:tbl>
      <w:tblPr>
        <w:tblW w:w="8296" w:type="dxa"/>
        <w:jc w:val="center"/>
        <w:tblLayout w:type="fixed"/>
        <w:tblLook w:val="04A0" w:firstRow="1" w:lastRow="0" w:firstColumn="1" w:lastColumn="0" w:noHBand="0" w:noVBand="1"/>
      </w:tblPr>
      <w:tblGrid>
        <w:gridCol w:w="789"/>
        <w:gridCol w:w="1159"/>
        <w:gridCol w:w="712"/>
        <w:gridCol w:w="699"/>
        <w:gridCol w:w="757"/>
        <w:gridCol w:w="697"/>
        <w:gridCol w:w="697"/>
        <w:gridCol w:w="697"/>
        <w:gridCol w:w="697"/>
        <w:gridCol w:w="697"/>
        <w:gridCol w:w="695"/>
      </w:tblGrid>
      <w:tr w:rsidR="00C861DA">
        <w:trPr>
          <w:trHeight w:val="369"/>
          <w:tblHeader/>
          <w:jc w:val="center"/>
        </w:trPr>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序号</w:t>
            </w:r>
          </w:p>
        </w:tc>
        <w:tc>
          <w:tcPr>
            <w:tcW w:w="1159"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采样地点</w:t>
            </w:r>
          </w:p>
        </w:tc>
        <w:tc>
          <w:tcPr>
            <w:tcW w:w="712"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pH</w:t>
            </w:r>
          </w:p>
        </w:tc>
        <w:tc>
          <w:tcPr>
            <w:tcW w:w="699"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砷</w:t>
            </w:r>
          </w:p>
        </w:tc>
        <w:tc>
          <w:tcPr>
            <w:tcW w:w="757"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汞</w:t>
            </w:r>
          </w:p>
        </w:tc>
        <w:tc>
          <w:tcPr>
            <w:tcW w:w="697"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铜</w:t>
            </w:r>
          </w:p>
        </w:tc>
        <w:tc>
          <w:tcPr>
            <w:tcW w:w="697"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锌</w:t>
            </w:r>
          </w:p>
        </w:tc>
        <w:tc>
          <w:tcPr>
            <w:tcW w:w="697"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镉</w:t>
            </w:r>
          </w:p>
        </w:tc>
        <w:tc>
          <w:tcPr>
            <w:tcW w:w="697"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铬</w:t>
            </w:r>
          </w:p>
        </w:tc>
        <w:tc>
          <w:tcPr>
            <w:tcW w:w="697"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镍</w:t>
            </w:r>
          </w:p>
        </w:tc>
        <w:tc>
          <w:tcPr>
            <w:tcW w:w="695"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铅</w:t>
            </w:r>
          </w:p>
        </w:tc>
      </w:tr>
      <w:tr w:rsidR="00C861DA">
        <w:trPr>
          <w:trHeight w:val="369"/>
          <w:tblHeader/>
          <w:jc w:val="center"/>
        </w:trPr>
        <w:tc>
          <w:tcPr>
            <w:tcW w:w="26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pH≤5.5</w:t>
            </w:r>
            <w:r>
              <w:rPr>
                <w:rFonts w:ascii="Times New Roman" w:eastAsia="宋体" w:hAnsi="Times New Roman" w:cs="Times New Roman"/>
                <w:color w:val="000000" w:themeColor="text1"/>
              </w:rPr>
              <w:t>适用标准</w:t>
            </w:r>
          </w:p>
        </w:tc>
        <w:tc>
          <w:tcPr>
            <w:tcW w:w="699"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40</w:t>
            </w:r>
          </w:p>
        </w:tc>
        <w:tc>
          <w:tcPr>
            <w:tcW w:w="757"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1.3</w:t>
            </w:r>
          </w:p>
        </w:tc>
        <w:tc>
          <w:tcPr>
            <w:tcW w:w="697"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70</w:t>
            </w:r>
          </w:p>
        </w:tc>
        <w:tc>
          <w:tcPr>
            <w:tcW w:w="697"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w:t>
            </w:r>
          </w:p>
        </w:tc>
        <w:tc>
          <w:tcPr>
            <w:tcW w:w="697"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0.3</w:t>
            </w:r>
          </w:p>
        </w:tc>
        <w:tc>
          <w:tcPr>
            <w:tcW w:w="697"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50</w:t>
            </w:r>
          </w:p>
        </w:tc>
        <w:tc>
          <w:tcPr>
            <w:tcW w:w="697"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60</w:t>
            </w:r>
          </w:p>
        </w:tc>
        <w:tc>
          <w:tcPr>
            <w:tcW w:w="695" w:type="dxa"/>
            <w:tcBorders>
              <w:top w:val="single" w:sz="4" w:space="0" w:color="auto"/>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150</w:t>
            </w:r>
          </w:p>
        </w:tc>
      </w:tr>
      <w:tr w:rsidR="00C861DA">
        <w:trPr>
          <w:trHeight w:val="369"/>
          <w:jc w:val="center"/>
        </w:trPr>
        <w:tc>
          <w:tcPr>
            <w:tcW w:w="789" w:type="dxa"/>
            <w:tcBorders>
              <w:top w:val="nil"/>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1159"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禄脿</w:t>
            </w:r>
          </w:p>
        </w:tc>
        <w:tc>
          <w:tcPr>
            <w:tcW w:w="712"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5.2</w:t>
            </w:r>
          </w:p>
        </w:tc>
        <w:tc>
          <w:tcPr>
            <w:tcW w:w="699"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8.03</w:t>
            </w:r>
          </w:p>
        </w:tc>
        <w:tc>
          <w:tcPr>
            <w:tcW w:w="757"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0.292</w:t>
            </w:r>
          </w:p>
        </w:tc>
        <w:tc>
          <w:tcPr>
            <w:tcW w:w="697"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31</w:t>
            </w:r>
          </w:p>
        </w:tc>
        <w:tc>
          <w:tcPr>
            <w:tcW w:w="697"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68.6</w:t>
            </w:r>
          </w:p>
        </w:tc>
        <w:tc>
          <w:tcPr>
            <w:tcW w:w="697"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0.07</w:t>
            </w:r>
          </w:p>
        </w:tc>
        <w:tc>
          <w:tcPr>
            <w:tcW w:w="697"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37</w:t>
            </w:r>
          </w:p>
        </w:tc>
        <w:tc>
          <w:tcPr>
            <w:tcW w:w="697"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695"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68.6</w:t>
            </w:r>
          </w:p>
        </w:tc>
      </w:tr>
      <w:tr w:rsidR="00C861DA">
        <w:trPr>
          <w:trHeight w:val="369"/>
          <w:jc w:val="center"/>
        </w:trPr>
        <w:tc>
          <w:tcPr>
            <w:tcW w:w="2660" w:type="dxa"/>
            <w:gridSpan w:val="3"/>
            <w:tcBorders>
              <w:top w:val="nil"/>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占标率（</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w:t>
            </w:r>
          </w:p>
        </w:tc>
        <w:tc>
          <w:tcPr>
            <w:tcW w:w="699" w:type="dxa"/>
            <w:tcBorders>
              <w:top w:val="nil"/>
              <w:left w:val="nil"/>
              <w:bottom w:val="single" w:sz="4" w:space="0" w:color="auto"/>
              <w:right w:val="single" w:sz="4" w:space="0" w:color="auto"/>
            </w:tcBorders>
            <w:shd w:val="clear" w:color="auto" w:fill="auto"/>
            <w:vAlign w:val="bottom"/>
          </w:tcPr>
          <w:p w:rsidR="00C861DA" w:rsidRDefault="0044752E">
            <w:pPr>
              <w:widowControl/>
              <w:jc w:val="right"/>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 xml:space="preserve">20.08 </w:t>
            </w:r>
          </w:p>
        </w:tc>
        <w:tc>
          <w:tcPr>
            <w:tcW w:w="757" w:type="dxa"/>
            <w:tcBorders>
              <w:top w:val="nil"/>
              <w:left w:val="nil"/>
              <w:bottom w:val="single" w:sz="4" w:space="0" w:color="auto"/>
              <w:right w:val="single" w:sz="4" w:space="0" w:color="auto"/>
            </w:tcBorders>
            <w:shd w:val="clear" w:color="auto" w:fill="auto"/>
            <w:vAlign w:val="bottom"/>
          </w:tcPr>
          <w:p w:rsidR="00C861DA" w:rsidRDefault="0044752E">
            <w:pPr>
              <w:jc w:val="right"/>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22.46 </w:t>
            </w:r>
          </w:p>
        </w:tc>
        <w:tc>
          <w:tcPr>
            <w:tcW w:w="697" w:type="dxa"/>
            <w:tcBorders>
              <w:top w:val="nil"/>
              <w:left w:val="nil"/>
              <w:bottom w:val="single" w:sz="4" w:space="0" w:color="auto"/>
              <w:right w:val="single" w:sz="4" w:space="0" w:color="auto"/>
            </w:tcBorders>
            <w:shd w:val="clear" w:color="auto" w:fill="auto"/>
            <w:vAlign w:val="bottom"/>
          </w:tcPr>
          <w:p w:rsidR="00C861DA" w:rsidRDefault="0044752E">
            <w:pPr>
              <w:jc w:val="right"/>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44.29 </w:t>
            </w:r>
          </w:p>
        </w:tc>
        <w:tc>
          <w:tcPr>
            <w:tcW w:w="697" w:type="dxa"/>
            <w:tcBorders>
              <w:top w:val="nil"/>
              <w:left w:val="nil"/>
              <w:bottom w:val="single" w:sz="4" w:space="0" w:color="auto"/>
              <w:right w:val="single" w:sz="4" w:space="0" w:color="auto"/>
            </w:tcBorders>
            <w:shd w:val="clear" w:color="auto" w:fill="auto"/>
            <w:vAlign w:val="bottom"/>
          </w:tcPr>
          <w:p w:rsidR="00C861DA" w:rsidRDefault="0044752E">
            <w:pPr>
              <w:jc w:val="right"/>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34.30 </w:t>
            </w:r>
          </w:p>
        </w:tc>
        <w:tc>
          <w:tcPr>
            <w:tcW w:w="697" w:type="dxa"/>
            <w:tcBorders>
              <w:top w:val="nil"/>
              <w:left w:val="nil"/>
              <w:bottom w:val="single" w:sz="4" w:space="0" w:color="auto"/>
              <w:right w:val="single" w:sz="4" w:space="0" w:color="auto"/>
            </w:tcBorders>
            <w:shd w:val="clear" w:color="auto" w:fill="auto"/>
            <w:vAlign w:val="bottom"/>
          </w:tcPr>
          <w:p w:rsidR="00C861DA" w:rsidRDefault="0044752E">
            <w:pPr>
              <w:jc w:val="right"/>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23.33 </w:t>
            </w:r>
          </w:p>
        </w:tc>
        <w:tc>
          <w:tcPr>
            <w:tcW w:w="697" w:type="dxa"/>
            <w:tcBorders>
              <w:top w:val="nil"/>
              <w:left w:val="nil"/>
              <w:bottom w:val="single" w:sz="4" w:space="0" w:color="auto"/>
              <w:right w:val="single" w:sz="4" w:space="0" w:color="auto"/>
            </w:tcBorders>
            <w:shd w:val="clear" w:color="auto" w:fill="auto"/>
            <w:vAlign w:val="bottom"/>
          </w:tcPr>
          <w:p w:rsidR="00C861DA" w:rsidRDefault="0044752E">
            <w:pPr>
              <w:jc w:val="right"/>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74.00 </w:t>
            </w:r>
          </w:p>
        </w:tc>
        <w:tc>
          <w:tcPr>
            <w:tcW w:w="697" w:type="dxa"/>
            <w:tcBorders>
              <w:top w:val="nil"/>
              <w:left w:val="nil"/>
              <w:bottom w:val="single" w:sz="4" w:space="0" w:color="auto"/>
              <w:right w:val="single" w:sz="4" w:space="0" w:color="auto"/>
            </w:tcBorders>
            <w:shd w:val="clear" w:color="auto" w:fill="auto"/>
            <w:vAlign w:val="bottom"/>
          </w:tcPr>
          <w:p w:rsidR="00C861DA" w:rsidRDefault="0044752E">
            <w:pPr>
              <w:jc w:val="right"/>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16.67 </w:t>
            </w:r>
          </w:p>
        </w:tc>
        <w:tc>
          <w:tcPr>
            <w:tcW w:w="695" w:type="dxa"/>
            <w:tcBorders>
              <w:top w:val="nil"/>
              <w:left w:val="nil"/>
              <w:bottom w:val="single" w:sz="4" w:space="0" w:color="auto"/>
              <w:right w:val="single" w:sz="4" w:space="0" w:color="auto"/>
            </w:tcBorders>
            <w:shd w:val="clear" w:color="auto" w:fill="auto"/>
            <w:vAlign w:val="bottom"/>
          </w:tcPr>
          <w:p w:rsidR="00C861DA" w:rsidRDefault="0044752E">
            <w:pPr>
              <w:jc w:val="right"/>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45.73 </w:t>
            </w:r>
          </w:p>
        </w:tc>
      </w:tr>
      <w:tr w:rsidR="00C861DA">
        <w:trPr>
          <w:trHeight w:val="369"/>
          <w:jc w:val="center"/>
        </w:trPr>
        <w:tc>
          <w:tcPr>
            <w:tcW w:w="266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判别</w:t>
            </w:r>
          </w:p>
        </w:tc>
        <w:tc>
          <w:tcPr>
            <w:tcW w:w="699"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757"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697"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697"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697"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697"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697"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c>
          <w:tcPr>
            <w:tcW w:w="695" w:type="dxa"/>
            <w:tcBorders>
              <w:top w:val="nil"/>
              <w:left w:val="nil"/>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bl>
    <w:p w:rsidR="00C861DA" w:rsidRDefault="0044752E">
      <w:pPr>
        <w:pStyle w:val="41"/>
        <w:tabs>
          <w:tab w:val="left" w:pos="4860"/>
          <w:tab w:val="left" w:pos="5040"/>
        </w:tabs>
        <w:spacing w:beforeLines="0" w:before="0"/>
        <w:ind w:leftChars="0" w:left="0" w:rightChars="0" w:right="0"/>
        <w:rPr>
          <w:rFonts w:ascii="Times New Roman" w:eastAsia="宋体"/>
          <w:b/>
          <w:bCs w:val="0"/>
          <w:color w:val="000000" w:themeColor="text1"/>
          <w:sz w:val="24"/>
        </w:rPr>
      </w:pPr>
      <w:r>
        <w:rPr>
          <w:rFonts w:ascii="Times New Roman" w:eastAsia="宋体" w:hint="eastAsia"/>
          <w:b/>
          <w:bCs w:val="0"/>
          <w:color w:val="000000" w:themeColor="text1"/>
          <w:sz w:val="24"/>
        </w:rPr>
        <w:t>（</w:t>
      </w:r>
      <w:r>
        <w:rPr>
          <w:rFonts w:ascii="Times New Roman" w:eastAsia="宋体"/>
          <w:b/>
          <w:bCs w:val="0"/>
          <w:color w:val="000000" w:themeColor="text1"/>
          <w:sz w:val="24"/>
        </w:rPr>
        <w:t>3</w:t>
      </w:r>
      <w:r>
        <w:rPr>
          <w:rFonts w:ascii="Times New Roman" w:eastAsia="宋体" w:hint="eastAsia"/>
          <w:b/>
          <w:bCs w:val="0"/>
          <w:color w:val="000000" w:themeColor="text1"/>
          <w:sz w:val="24"/>
        </w:rPr>
        <w:t>）小结</w:t>
      </w:r>
    </w:p>
    <w:p w:rsidR="00C861DA" w:rsidRDefault="0044752E">
      <w:pPr>
        <w:spacing w:line="360" w:lineRule="auto"/>
        <w:ind w:firstLineChars="200" w:firstLine="480"/>
        <w:jc w:val="both"/>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rPr>
        <w:t>根据上表</w:t>
      </w:r>
      <w:r>
        <w:rPr>
          <w:rFonts w:ascii="Times New Roman" w:eastAsia="宋体" w:hAnsi="Times New Roman" w:cs="Times New Roman"/>
          <w:color w:val="000000" w:themeColor="text1"/>
          <w:kern w:val="0"/>
          <w:sz w:val="24"/>
        </w:rPr>
        <w:t>5.3-10</w:t>
      </w:r>
      <w:r>
        <w:rPr>
          <w:rFonts w:ascii="Times New Roman" w:eastAsia="宋体" w:hAnsi="Times New Roman" w:cs="Times New Roman"/>
          <w:color w:val="000000" w:themeColor="text1"/>
          <w:kern w:val="0"/>
          <w:sz w:val="24"/>
        </w:rPr>
        <w:t>可知，禄脿片区土壤环境能满足</w:t>
      </w:r>
      <w:r>
        <w:rPr>
          <w:rFonts w:ascii="Times New Roman" w:eastAsia="宋体" w:hAnsi="Times New Roman" w:cs="Times New Roman"/>
          <w:color w:val="000000" w:themeColor="text1"/>
          <w:sz w:val="24"/>
        </w:rPr>
        <w:t>《土壤环境质量</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农用地土壤污染风险管控标准（试行）》（</w:t>
      </w:r>
      <w:r>
        <w:rPr>
          <w:rFonts w:ascii="Times New Roman" w:eastAsia="宋体" w:hAnsi="Times New Roman" w:cs="Times New Roman"/>
          <w:color w:val="000000" w:themeColor="text1"/>
          <w:sz w:val="24"/>
        </w:rPr>
        <w:t>GB15618-2018</w:t>
      </w:r>
      <w:r>
        <w:rPr>
          <w:rFonts w:ascii="Times New Roman" w:eastAsia="宋体" w:hAnsi="Times New Roman" w:cs="Times New Roman"/>
          <w:color w:val="000000" w:themeColor="text1"/>
          <w:sz w:val="24"/>
        </w:rPr>
        <w:t>）中土壤污染风险筛选值和风险管制值</w:t>
      </w:r>
      <w:r>
        <w:rPr>
          <w:rFonts w:ascii="Times New Roman" w:eastAsia="宋体" w:hAnsi="Times New Roman" w:cs="Times New Roman"/>
          <w:color w:val="000000" w:themeColor="text1"/>
          <w:kern w:val="0"/>
          <w:sz w:val="24"/>
        </w:rPr>
        <w:t>，铬含量接近标准。</w:t>
      </w:r>
    </w:p>
    <w:p w:rsidR="00C861DA" w:rsidRDefault="0044752E">
      <w:pPr>
        <w:pStyle w:val="32"/>
        <w:rPr>
          <w:rFonts w:ascii="Times New Roman" w:eastAsia="宋体"/>
          <w:bCs w:val="0"/>
          <w:color w:val="000000" w:themeColor="text1"/>
          <w:sz w:val="24"/>
          <w:szCs w:val="24"/>
        </w:rPr>
      </w:pPr>
      <w:bookmarkStart w:id="352" w:name="_Toc7929"/>
      <w:bookmarkStart w:id="353" w:name="_Toc29797"/>
      <w:bookmarkStart w:id="354" w:name="_Toc9"/>
      <w:bookmarkStart w:id="355" w:name="_Toc510564995"/>
      <w:bookmarkStart w:id="356" w:name="_Toc315937656"/>
      <w:bookmarkStart w:id="357" w:name="_Toc9889"/>
      <w:bookmarkStart w:id="358" w:name="_Toc6826824"/>
      <w:bookmarkStart w:id="359" w:name="_Toc511895791"/>
      <w:r>
        <w:rPr>
          <w:rFonts w:ascii="Times New Roman" w:eastAsia="宋体"/>
          <w:bCs w:val="0"/>
          <w:color w:val="000000" w:themeColor="text1"/>
          <w:sz w:val="24"/>
          <w:szCs w:val="24"/>
        </w:rPr>
        <w:t>5.3.6</w:t>
      </w:r>
      <w:r>
        <w:rPr>
          <w:rFonts w:ascii="Times New Roman" w:eastAsia="宋体"/>
          <w:bCs w:val="0"/>
          <w:color w:val="000000" w:themeColor="text1"/>
          <w:sz w:val="24"/>
          <w:szCs w:val="24"/>
        </w:rPr>
        <w:t>区域生态环境现状分析评价</w:t>
      </w:r>
      <w:bookmarkEnd w:id="352"/>
      <w:bookmarkEnd w:id="353"/>
      <w:bookmarkEnd w:id="354"/>
      <w:bookmarkEnd w:id="355"/>
      <w:bookmarkEnd w:id="356"/>
      <w:bookmarkEnd w:id="357"/>
      <w:bookmarkEnd w:id="358"/>
      <w:bookmarkEnd w:id="359"/>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评价区内因长期受到人类活动影响，植被退化，植被结构单一，现状多为次生的荒草地，根据现场勘查，项目区境内无国家及省级重点保护动植物，项目区内仅有少量杂草及小型啮齿类动物和鸟类。</w:t>
      </w:r>
    </w:p>
    <w:p w:rsidR="00C861DA" w:rsidRDefault="0044752E">
      <w:pPr>
        <w:spacing w:line="360" w:lineRule="auto"/>
        <w:ind w:firstLineChars="200" w:firstLine="480"/>
        <w:jc w:val="both"/>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rPr>
        <w:t>项目区内无国家重点保护动植物，也无珍稀动植物。本项目对周围生态环境影响很小。</w:t>
      </w: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sectPr w:rsidR="00C861DA">
          <w:pgSz w:w="11906" w:h="16838"/>
          <w:pgMar w:top="1440" w:right="1800" w:bottom="1440" w:left="1800" w:header="851" w:footer="992" w:gutter="0"/>
          <w:cols w:space="425"/>
          <w:docGrid w:type="lines" w:linePitch="312"/>
        </w:sectPr>
      </w:pPr>
    </w:p>
    <w:p w:rsidR="00C861DA" w:rsidRDefault="0044752E">
      <w:pPr>
        <w:pStyle w:val="12"/>
        <w:jc w:val="center"/>
        <w:rPr>
          <w:rFonts w:ascii="Times New Roman" w:eastAsia="宋体"/>
          <w:b/>
          <w:color w:val="000000" w:themeColor="text1"/>
          <w:sz w:val="28"/>
          <w:szCs w:val="24"/>
        </w:rPr>
      </w:pPr>
      <w:bookmarkStart w:id="360" w:name="_Toc28171"/>
      <w:bookmarkStart w:id="361" w:name="_Toc1126"/>
      <w:bookmarkStart w:id="362" w:name="_Toc7157"/>
      <w:bookmarkStart w:id="363" w:name="_Toc14168"/>
      <w:bookmarkStart w:id="364" w:name="_Toc6826825"/>
      <w:r>
        <w:rPr>
          <w:rFonts w:ascii="Times New Roman" w:eastAsia="宋体" w:hint="eastAsia"/>
          <w:b/>
          <w:color w:val="000000" w:themeColor="text1"/>
          <w:sz w:val="28"/>
          <w:szCs w:val="24"/>
        </w:rPr>
        <w:t>6</w:t>
      </w:r>
      <w:r>
        <w:rPr>
          <w:rFonts w:ascii="Times New Roman" w:eastAsia="宋体" w:hint="eastAsia"/>
          <w:b/>
          <w:color w:val="000000" w:themeColor="text1"/>
          <w:sz w:val="28"/>
          <w:szCs w:val="24"/>
        </w:rPr>
        <w:t>、施工期环境影响分析</w:t>
      </w:r>
      <w:bookmarkEnd w:id="360"/>
      <w:bookmarkEnd w:id="361"/>
      <w:bookmarkEnd w:id="362"/>
      <w:bookmarkEnd w:id="363"/>
      <w:bookmarkEnd w:id="364"/>
    </w:p>
    <w:p w:rsidR="00C861DA" w:rsidRDefault="0044752E">
      <w:pPr>
        <w:pStyle w:val="22"/>
        <w:rPr>
          <w:rFonts w:ascii="Times New Roman" w:eastAsia="宋体" w:hAnsi="Times New Roman"/>
          <w:bCs w:val="0"/>
          <w:color w:val="000000" w:themeColor="text1"/>
          <w:sz w:val="28"/>
          <w:szCs w:val="28"/>
        </w:rPr>
      </w:pPr>
      <w:bookmarkStart w:id="365" w:name="_Toc7580"/>
      <w:bookmarkStart w:id="366" w:name="_Toc6826826"/>
      <w:r>
        <w:rPr>
          <w:rFonts w:ascii="Times New Roman" w:eastAsia="宋体" w:hAnsi="Times New Roman" w:hint="eastAsia"/>
          <w:bCs w:val="0"/>
          <w:color w:val="000000" w:themeColor="text1"/>
          <w:sz w:val="28"/>
          <w:szCs w:val="28"/>
        </w:rPr>
        <w:t>6.1</w:t>
      </w:r>
      <w:r>
        <w:rPr>
          <w:rFonts w:ascii="Times New Roman" w:eastAsia="宋体" w:hAnsi="Times New Roman" w:hint="eastAsia"/>
          <w:bCs w:val="0"/>
          <w:color w:val="000000" w:themeColor="text1"/>
          <w:sz w:val="28"/>
          <w:szCs w:val="28"/>
        </w:rPr>
        <w:t>施工期对环境空气影响分析</w:t>
      </w:r>
      <w:bookmarkEnd w:id="365"/>
      <w:bookmarkEnd w:id="366"/>
    </w:p>
    <w:p w:rsidR="00C861DA" w:rsidRDefault="0044752E">
      <w:pPr>
        <w:pStyle w:val="32"/>
        <w:rPr>
          <w:rFonts w:ascii="Times New Roman" w:eastAsia="宋体"/>
          <w:bCs w:val="0"/>
          <w:color w:val="000000" w:themeColor="text1"/>
          <w:sz w:val="24"/>
          <w:szCs w:val="24"/>
        </w:rPr>
      </w:pPr>
      <w:bookmarkStart w:id="367" w:name="_Toc6826827"/>
      <w:r>
        <w:rPr>
          <w:rFonts w:ascii="Times New Roman" w:eastAsia="宋体" w:hint="eastAsia"/>
          <w:bCs w:val="0"/>
          <w:color w:val="000000" w:themeColor="text1"/>
          <w:sz w:val="24"/>
          <w:szCs w:val="24"/>
        </w:rPr>
        <w:t>6.1.1</w:t>
      </w:r>
      <w:r>
        <w:rPr>
          <w:rFonts w:ascii="Times New Roman" w:eastAsia="宋体"/>
          <w:bCs w:val="0"/>
          <w:color w:val="000000" w:themeColor="text1"/>
          <w:sz w:val="24"/>
          <w:szCs w:val="24"/>
        </w:rPr>
        <w:t>污染源及污染物</w:t>
      </w:r>
      <w:bookmarkEnd w:id="367"/>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w:t>
      </w:r>
      <w:r>
        <w:rPr>
          <w:rFonts w:ascii="Times New Roman" w:eastAsia="宋体" w:hint="eastAsia"/>
          <w:color w:val="000000" w:themeColor="text1"/>
          <w:sz w:val="24"/>
          <w:szCs w:val="24"/>
        </w:rPr>
        <w:t>1</w:t>
      </w:r>
      <w:r>
        <w:rPr>
          <w:rFonts w:ascii="Times New Roman" w:eastAsia="宋体" w:hint="eastAsia"/>
          <w:color w:val="000000" w:themeColor="text1"/>
          <w:sz w:val="24"/>
          <w:szCs w:val="24"/>
        </w:rPr>
        <w:t>）施工扬尘</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施工扬尘的来源主要来源于土方挖掘、回填，建筑材料运输机堆放，施工垃圾清理及堆放和现场道路扬尘等。</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施工扬尘产生量最大的时间出现在土方阶段，由于这个阶段废弃的建筑材料和裸露浮土较多，扬尘的产生量较大，尤其是施工场地周围及下风向的部分地区。</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w:t>
      </w:r>
      <w:r>
        <w:rPr>
          <w:rFonts w:ascii="Times New Roman" w:eastAsia="宋体" w:hint="eastAsia"/>
          <w:color w:val="000000" w:themeColor="text1"/>
          <w:sz w:val="24"/>
          <w:szCs w:val="24"/>
        </w:rPr>
        <w:t>2</w:t>
      </w:r>
      <w:r>
        <w:rPr>
          <w:rFonts w:ascii="Times New Roman" w:eastAsia="宋体" w:hint="eastAsia"/>
          <w:color w:val="000000" w:themeColor="text1"/>
          <w:sz w:val="24"/>
          <w:szCs w:val="24"/>
        </w:rPr>
        <w:t>）施工机械产生的尾气</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工程机械中推土机、挖掘机、吊车和运输车辆等均以燃油为动力，在作业时发动机会产生燃油废气。</w:t>
      </w:r>
    </w:p>
    <w:p w:rsidR="00C861DA" w:rsidRDefault="0044752E">
      <w:pPr>
        <w:pStyle w:val="32"/>
        <w:rPr>
          <w:rFonts w:ascii="Times New Roman" w:eastAsia="宋体"/>
          <w:bCs w:val="0"/>
          <w:color w:val="000000" w:themeColor="text1"/>
          <w:sz w:val="24"/>
          <w:szCs w:val="24"/>
        </w:rPr>
      </w:pPr>
      <w:bookmarkStart w:id="368" w:name="_Toc6826828"/>
      <w:r>
        <w:rPr>
          <w:rFonts w:ascii="Times New Roman" w:eastAsia="宋体" w:hint="eastAsia"/>
          <w:bCs w:val="0"/>
          <w:color w:val="000000" w:themeColor="text1"/>
          <w:sz w:val="24"/>
          <w:szCs w:val="24"/>
        </w:rPr>
        <w:t>6.1.2</w:t>
      </w:r>
      <w:r>
        <w:rPr>
          <w:rFonts w:ascii="Times New Roman" w:eastAsia="宋体" w:hint="eastAsia"/>
          <w:bCs w:val="0"/>
          <w:color w:val="000000" w:themeColor="text1"/>
          <w:sz w:val="24"/>
          <w:szCs w:val="24"/>
        </w:rPr>
        <w:t>影响分析</w:t>
      </w:r>
      <w:bookmarkEnd w:id="368"/>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）施工扬尘影响分析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施工扬尘量的大小与施工现场条件、管理水平、机械化程度、施工季节、土质及天气等诸多因素有关，其中现场管理是最重要的因素。</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宋体" w:eastAsia="宋体" w:hAnsi="宋体" w:cs="宋体" w:hint="eastAsia"/>
          <w:color w:val="000000" w:themeColor="text1"/>
          <w:sz w:val="24"/>
        </w:rPr>
        <w:t>①</w:t>
      </w:r>
      <w:r>
        <w:rPr>
          <w:rFonts w:ascii="Times New Roman" w:eastAsia="宋体" w:hAnsi="Times New Roman" w:cs="Times New Roman"/>
          <w:color w:val="000000" w:themeColor="text1"/>
          <w:sz w:val="24"/>
        </w:rPr>
        <w:t>土石方阶段扬尘对环境的影响分析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根据北京市环境保护科学院对施工扬尘的专题研究结果，在风速为</w:t>
      </w:r>
      <w:r>
        <w:rPr>
          <w:rFonts w:ascii="Times New Roman" w:eastAsia="宋体" w:hAnsi="Times New Roman" w:cs="Times New Roman"/>
          <w:color w:val="000000" w:themeColor="text1"/>
          <w:sz w:val="24"/>
        </w:rPr>
        <w:t>2.4m/s</w:t>
      </w:r>
      <w:r>
        <w:rPr>
          <w:rFonts w:ascii="Times New Roman" w:eastAsia="宋体" w:hAnsi="Times New Roman" w:cs="Times New Roman"/>
          <w:color w:val="000000" w:themeColor="text1"/>
          <w:sz w:val="24"/>
        </w:rPr>
        <w:t>时，施工区</w:t>
      </w:r>
      <w:r>
        <w:rPr>
          <w:rFonts w:ascii="Times New Roman" w:eastAsia="宋体" w:hAnsi="Times New Roman" w:cs="Times New Roman"/>
          <w:color w:val="000000" w:themeColor="text1"/>
          <w:sz w:val="24"/>
        </w:rPr>
        <w:t>TSP</w:t>
      </w:r>
      <w:r>
        <w:rPr>
          <w:rFonts w:ascii="Times New Roman" w:eastAsia="宋体" w:hAnsi="Times New Roman" w:cs="Times New Roman"/>
          <w:color w:val="000000" w:themeColor="text1"/>
          <w:sz w:val="24"/>
        </w:rPr>
        <w:t>浓度为上方向对照点的</w:t>
      </w:r>
      <w:r>
        <w:rPr>
          <w:rFonts w:ascii="Times New Roman" w:eastAsia="宋体" w:hAnsi="Times New Roman" w:cs="Times New Roman"/>
          <w:color w:val="000000" w:themeColor="text1"/>
          <w:sz w:val="24"/>
        </w:rPr>
        <w:t>1.5~2.3</w:t>
      </w:r>
      <w:r>
        <w:rPr>
          <w:rFonts w:ascii="Times New Roman" w:eastAsia="宋体" w:hAnsi="Times New Roman" w:cs="Times New Roman"/>
          <w:color w:val="000000" w:themeColor="text1"/>
          <w:sz w:val="24"/>
        </w:rPr>
        <w:t>倍，平均为</w:t>
      </w:r>
      <w:r>
        <w:rPr>
          <w:rFonts w:ascii="Times New Roman" w:eastAsia="宋体" w:hAnsi="Times New Roman" w:cs="Times New Roman"/>
          <w:color w:val="000000" w:themeColor="text1"/>
          <w:sz w:val="24"/>
        </w:rPr>
        <w:t>1.88</w:t>
      </w:r>
      <w:r>
        <w:rPr>
          <w:rFonts w:ascii="Times New Roman" w:eastAsia="宋体" w:hAnsi="Times New Roman" w:cs="Times New Roman"/>
          <w:color w:val="000000" w:themeColor="text1"/>
          <w:sz w:val="24"/>
        </w:rPr>
        <w:t>倍，相当于大气环境标准的</w:t>
      </w:r>
      <w:r>
        <w:rPr>
          <w:rFonts w:ascii="Times New Roman" w:eastAsia="宋体" w:hAnsi="Times New Roman" w:cs="Times New Roman"/>
          <w:color w:val="000000" w:themeColor="text1"/>
          <w:sz w:val="24"/>
        </w:rPr>
        <w:t>1.4~2.5</w:t>
      </w:r>
      <w:r>
        <w:rPr>
          <w:rFonts w:ascii="Times New Roman" w:eastAsia="宋体" w:hAnsi="Times New Roman" w:cs="Times New Roman"/>
          <w:color w:val="000000" w:themeColor="text1"/>
          <w:sz w:val="24"/>
        </w:rPr>
        <w:t>倍，平均</w:t>
      </w:r>
      <w:r>
        <w:rPr>
          <w:rFonts w:ascii="Times New Roman" w:eastAsia="宋体" w:hAnsi="Times New Roman" w:cs="Times New Roman"/>
          <w:color w:val="000000" w:themeColor="text1"/>
          <w:sz w:val="24"/>
        </w:rPr>
        <w:t>1.98</w:t>
      </w:r>
      <w:r>
        <w:rPr>
          <w:rFonts w:ascii="Times New Roman" w:eastAsia="宋体" w:hAnsi="Times New Roman" w:cs="Times New Roman"/>
          <w:color w:val="000000" w:themeColor="text1"/>
          <w:sz w:val="24"/>
        </w:rPr>
        <w:t>倍。建筑施工场地影响范围为其下风向</w:t>
      </w:r>
      <w:r>
        <w:rPr>
          <w:rFonts w:ascii="Times New Roman" w:eastAsia="宋体" w:hAnsi="Times New Roman" w:cs="Times New Roman"/>
          <w:color w:val="000000" w:themeColor="text1"/>
          <w:sz w:val="24"/>
        </w:rPr>
        <w:t>150m</w:t>
      </w:r>
      <w:r>
        <w:rPr>
          <w:rFonts w:ascii="Times New Roman" w:eastAsia="宋体" w:hAnsi="Times New Roman" w:cs="Times New Roman"/>
          <w:color w:val="000000" w:themeColor="text1"/>
          <w:sz w:val="24"/>
        </w:rPr>
        <w:t>范围内，被影响地区</w:t>
      </w:r>
      <w:r>
        <w:rPr>
          <w:rFonts w:ascii="Times New Roman" w:eastAsia="宋体" w:hAnsi="Times New Roman" w:cs="Times New Roman"/>
          <w:color w:val="000000" w:themeColor="text1"/>
          <w:sz w:val="24"/>
        </w:rPr>
        <w:t>TSP</w:t>
      </w:r>
      <w:r>
        <w:rPr>
          <w:rFonts w:ascii="Times New Roman" w:eastAsia="宋体" w:hAnsi="Times New Roman" w:cs="Times New Roman"/>
          <w:color w:val="000000" w:themeColor="text1"/>
          <w:sz w:val="24"/>
        </w:rPr>
        <w:t>浓度平均为</w:t>
      </w:r>
      <w:r>
        <w:rPr>
          <w:rFonts w:ascii="Times New Roman" w:eastAsia="宋体" w:hAnsi="Times New Roman" w:cs="Times New Roman"/>
          <w:color w:val="000000" w:themeColor="text1"/>
          <w:sz w:val="24"/>
        </w:rPr>
        <w:t>0.491mg/m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，为上风向对照点的</w:t>
      </w:r>
      <w:r>
        <w:rPr>
          <w:rFonts w:ascii="Times New Roman" w:eastAsia="宋体" w:hAnsi="Times New Roman" w:cs="Times New Roman"/>
          <w:color w:val="000000" w:themeColor="text1"/>
          <w:sz w:val="24"/>
        </w:rPr>
        <w:t>1.5</w:t>
      </w:r>
      <w:r>
        <w:rPr>
          <w:rFonts w:ascii="Times New Roman" w:eastAsia="宋体" w:hAnsi="Times New Roman" w:cs="Times New Roman"/>
          <w:color w:val="000000" w:themeColor="text1"/>
          <w:sz w:val="24"/>
        </w:rPr>
        <w:t>倍，相当于大气环境质量的</w:t>
      </w:r>
      <w:r>
        <w:rPr>
          <w:rFonts w:ascii="Times New Roman" w:eastAsia="宋体" w:hAnsi="Times New Roman" w:cs="Times New Roman"/>
          <w:color w:val="000000" w:themeColor="text1"/>
          <w:sz w:val="24"/>
        </w:rPr>
        <w:t>1.6</w:t>
      </w:r>
      <w:r>
        <w:rPr>
          <w:rFonts w:ascii="Times New Roman" w:eastAsia="宋体" w:hAnsi="Times New Roman" w:cs="Times New Roman"/>
          <w:color w:val="000000" w:themeColor="text1"/>
          <w:sz w:val="24"/>
        </w:rPr>
        <w:t>倍，施工场地</w:t>
      </w:r>
      <w:r>
        <w:rPr>
          <w:rFonts w:ascii="Times New Roman" w:eastAsia="宋体" w:hAnsi="Times New Roman" w:cs="Times New Roman"/>
          <w:color w:val="000000" w:themeColor="text1"/>
          <w:sz w:val="24"/>
        </w:rPr>
        <w:t>20</w:t>
      </w:r>
      <w:r>
        <w:rPr>
          <w:rFonts w:ascii="Times New Roman" w:eastAsia="宋体" w:hAnsi="Times New Roman" w:cs="Times New Roman"/>
          <w:color w:val="000000" w:themeColor="text1"/>
          <w:sz w:val="24"/>
        </w:rPr>
        <w:t>0m</w:t>
      </w:r>
      <w:r>
        <w:rPr>
          <w:rFonts w:ascii="Times New Roman" w:eastAsia="宋体" w:hAnsi="Times New Roman" w:cs="Times New Roman"/>
          <w:color w:val="000000" w:themeColor="text1"/>
          <w:sz w:val="24"/>
        </w:rPr>
        <w:t>外，大气环境</w:t>
      </w:r>
      <w:r>
        <w:rPr>
          <w:rFonts w:ascii="Times New Roman" w:eastAsia="宋体" w:hAnsi="Times New Roman" w:cs="Times New Roman"/>
          <w:color w:val="000000" w:themeColor="text1"/>
          <w:sz w:val="24"/>
        </w:rPr>
        <w:t>TSP</w:t>
      </w:r>
      <w:r>
        <w:rPr>
          <w:rFonts w:ascii="Times New Roman" w:eastAsia="宋体" w:hAnsi="Times New Roman" w:cs="Times New Roman"/>
          <w:color w:val="000000" w:themeColor="text1"/>
          <w:sz w:val="24"/>
        </w:rPr>
        <w:t>浓度可达《环境空气质量标准》（</w:t>
      </w:r>
      <w:r>
        <w:rPr>
          <w:rFonts w:ascii="Times New Roman" w:eastAsia="宋体" w:hAnsi="Times New Roman" w:cs="Times New Roman"/>
          <w:color w:val="000000" w:themeColor="text1"/>
          <w:sz w:val="24"/>
        </w:rPr>
        <w:t>GB3095-2012</w:t>
      </w:r>
      <w:r>
        <w:rPr>
          <w:rFonts w:ascii="Times New Roman" w:eastAsia="宋体" w:hAnsi="Times New Roman" w:cs="Times New Roman"/>
          <w:color w:val="000000" w:themeColor="text1"/>
          <w:sz w:val="24"/>
        </w:rPr>
        <w:t>）二级标准。</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宋体" w:eastAsia="宋体" w:hAnsi="宋体" w:cs="宋体" w:hint="eastAsia"/>
          <w:color w:val="000000" w:themeColor="text1"/>
          <w:sz w:val="24"/>
        </w:rPr>
        <w:t>②</w:t>
      </w:r>
      <w:r>
        <w:rPr>
          <w:rFonts w:ascii="Times New Roman" w:eastAsia="宋体" w:hAnsi="Times New Roman" w:cs="Times New Roman"/>
          <w:color w:val="000000" w:themeColor="text1"/>
          <w:sz w:val="24"/>
        </w:rPr>
        <w:t>车辆运输扬尘对环境的影响分析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车辆运输扬尘在完全干燥情况下，按下列经验公式计算：</w:t>
      </w:r>
    </w:p>
    <w:p w:rsidR="00C861DA" w:rsidRDefault="0044752E">
      <w:pPr>
        <w:spacing w:line="360"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Q=0.123</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V/5</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W/6.8</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vertAlign w:val="superscript"/>
        </w:rPr>
        <w:t>0.85</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P/0.5</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vertAlign w:val="superscript"/>
        </w:rPr>
        <w:t>0.75</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式中：</w:t>
      </w:r>
      <w:r>
        <w:rPr>
          <w:rFonts w:ascii="Times New Roman" w:eastAsia="宋体" w:hAnsi="Times New Roman" w:cs="Times New Roman"/>
          <w:color w:val="000000" w:themeColor="text1"/>
          <w:sz w:val="24"/>
          <w:szCs w:val="24"/>
        </w:rPr>
        <w:t>Q——</w:t>
      </w:r>
      <w:r>
        <w:rPr>
          <w:rFonts w:ascii="Times New Roman" w:eastAsia="宋体" w:hAnsi="Times New Roman" w:cs="Times New Roman"/>
          <w:color w:val="000000" w:themeColor="text1"/>
          <w:sz w:val="24"/>
          <w:szCs w:val="24"/>
        </w:rPr>
        <w:t>汽车行驶的扬尘，</w:t>
      </w:r>
      <w:r>
        <w:rPr>
          <w:rFonts w:ascii="Times New Roman" w:eastAsia="宋体" w:hAnsi="Times New Roman" w:cs="Times New Roman"/>
          <w:color w:val="000000" w:themeColor="text1"/>
          <w:sz w:val="24"/>
          <w:szCs w:val="24"/>
        </w:rPr>
        <w:t>kg/km·</w:t>
      </w:r>
      <w:r>
        <w:rPr>
          <w:rFonts w:ascii="Times New Roman" w:eastAsia="宋体" w:hAnsi="Times New Roman" w:cs="Times New Roman"/>
          <w:color w:val="000000" w:themeColor="text1"/>
          <w:sz w:val="24"/>
          <w:szCs w:val="24"/>
        </w:rPr>
        <w:t>辆；</w:t>
      </w:r>
    </w:p>
    <w:p w:rsidR="00C861DA" w:rsidRDefault="0044752E">
      <w:pPr>
        <w:pStyle w:val="af4"/>
        <w:spacing w:after="0" w:line="360" w:lineRule="auto"/>
        <w:ind w:firstLineChars="500" w:firstLine="120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V——</w:t>
      </w:r>
      <w:r>
        <w:rPr>
          <w:rFonts w:ascii="Times New Roman" w:eastAsia="宋体" w:hAnsi="Times New Roman" w:cs="Times New Roman"/>
          <w:color w:val="000000" w:themeColor="text1"/>
          <w:sz w:val="24"/>
          <w:szCs w:val="24"/>
        </w:rPr>
        <w:t>汽车速度，</w:t>
      </w:r>
      <w:r>
        <w:rPr>
          <w:rFonts w:ascii="Times New Roman" w:eastAsia="宋体" w:hAnsi="Times New Roman" w:cs="Times New Roman"/>
          <w:color w:val="000000" w:themeColor="text1"/>
          <w:sz w:val="24"/>
          <w:szCs w:val="24"/>
        </w:rPr>
        <w:t>km/h</w:t>
      </w:r>
      <w:r>
        <w:rPr>
          <w:rFonts w:ascii="Times New Roman" w:eastAsia="宋体" w:hAnsi="Times New Roman" w:cs="Times New Roman"/>
          <w:color w:val="000000" w:themeColor="text1"/>
          <w:sz w:val="24"/>
          <w:szCs w:val="24"/>
        </w:rPr>
        <w:t>；</w:t>
      </w:r>
    </w:p>
    <w:p w:rsidR="00C861DA" w:rsidRDefault="0044752E">
      <w:pPr>
        <w:pStyle w:val="af4"/>
        <w:spacing w:after="0" w:line="360" w:lineRule="auto"/>
        <w:ind w:firstLineChars="500" w:firstLine="120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w:t>
      </w:r>
      <w:r>
        <w:rPr>
          <w:rFonts w:ascii="Times New Roman" w:eastAsia="宋体" w:hAnsi="Times New Roman" w:cs="Times New Roman"/>
          <w:color w:val="000000" w:themeColor="text1"/>
          <w:sz w:val="24"/>
          <w:szCs w:val="24"/>
        </w:rPr>
        <w:t>汽车载重量，</w:t>
      </w:r>
      <w:r>
        <w:rPr>
          <w:rFonts w:ascii="Times New Roman" w:eastAsia="宋体" w:hAnsi="Times New Roman" w:cs="Times New Roman"/>
          <w:color w:val="000000" w:themeColor="text1"/>
          <w:sz w:val="24"/>
          <w:szCs w:val="24"/>
        </w:rPr>
        <w:t>t</w:t>
      </w:r>
      <w:r>
        <w:rPr>
          <w:rFonts w:ascii="Times New Roman" w:eastAsia="宋体" w:hAnsi="Times New Roman" w:cs="Times New Roman"/>
          <w:color w:val="000000" w:themeColor="text1"/>
          <w:sz w:val="24"/>
          <w:szCs w:val="24"/>
        </w:rPr>
        <w:t>；</w:t>
      </w:r>
    </w:p>
    <w:p w:rsidR="00C861DA" w:rsidRDefault="0044752E">
      <w:pPr>
        <w:pStyle w:val="af4"/>
        <w:spacing w:after="0" w:line="360" w:lineRule="auto"/>
        <w:ind w:firstLineChars="500" w:firstLine="120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P——</w:t>
      </w:r>
      <w:r>
        <w:rPr>
          <w:rFonts w:ascii="Times New Roman" w:eastAsia="宋体" w:hAnsi="Times New Roman" w:cs="Times New Roman"/>
          <w:color w:val="000000" w:themeColor="text1"/>
          <w:sz w:val="24"/>
          <w:szCs w:val="24"/>
        </w:rPr>
        <w:t>道路表面粉尘量，</w:t>
      </w:r>
      <w:r>
        <w:rPr>
          <w:rFonts w:ascii="Times New Roman" w:eastAsia="宋体" w:hAnsi="Times New Roman" w:cs="Times New Roman"/>
          <w:color w:val="000000" w:themeColor="text1"/>
          <w:sz w:val="24"/>
          <w:szCs w:val="24"/>
        </w:rPr>
        <w:t>kg/m</w:t>
      </w:r>
      <w:r>
        <w:rPr>
          <w:rFonts w:ascii="Times New Roman" w:eastAsia="宋体" w:hAnsi="Times New Roman" w:cs="Times New Roman"/>
          <w:color w:val="000000" w:themeColor="text1"/>
          <w:sz w:val="24"/>
          <w:szCs w:val="24"/>
          <w:vertAlign w:val="superscript"/>
        </w:rPr>
        <w:t>2</w:t>
      </w:r>
      <w:r>
        <w:rPr>
          <w:rFonts w:ascii="Times New Roman" w:eastAsia="宋体" w:hAnsi="Times New Roman" w:cs="Times New Roman"/>
          <w:color w:val="000000" w:themeColor="text1"/>
          <w:sz w:val="24"/>
          <w:szCs w:val="24"/>
        </w:rPr>
        <w:t>。</w:t>
      </w:r>
    </w:p>
    <w:p w:rsidR="00C861DA" w:rsidRDefault="0044752E">
      <w:pPr>
        <w:pStyle w:val="af4"/>
        <w:spacing w:before="14" w:after="0" w:line="360" w:lineRule="auto"/>
        <w:ind w:firstLine="47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表</w:t>
      </w:r>
      <w:r>
        <w:rPr>
          <w:rFonts w:ascii="Times New Roman" w:hAnsi="Times New Roman" w:cs="Times New Roman"/>
          <w:color w:val="000000" w:themeColor="text1"/>
          <w:sz w:val="24"/>
          <w:szCs w:val="24"/>
        </w:rPr>
        <w:t>6.1-1</w:t>
      </w:r>
      <w:r>
        <w:rPr>
          <w:rFonts w:ascii="Times New Roman" w:hAnsi="Times New Roman" w:cs="Times New Roman"/>
          <w:color w:val="000000" w:themeColor="text1"/>
          <w:sz w:val="24"/>
          <w:szCs w:val="24"/>
        </w:rPr>
        <w:t>为一辆载重</w:t>
      </w:r>
      <w:r>
        <w:rPr>
          <w:rFonts w:ascii="Times New Roman" w:hAnsi="Times New Roman" w:cs="Times New Roman"/>
          <w:color w:val="000000" w:themeColor="text1"/>
          <w:sz w:val="24"/>
          <w:szCs w:val="24"/>
        </w:rPr>
        <w:t>5t</w:t>
      </w:r>
      <w:r>
        <w:rPr>
          <w:rFonts w:ascii="Times New Roman" w:hAnsi="Times New Roman" w:cs="Times New Roman"/>
          <w:color w:val="000000" w:themeColor="text1"/>
          <w:sz w:val="24"/>
          <w:szCs w:val="24"/>
        </w:rPr>
        <w:t>的卡车，通过一段长度为</w:t>
      </w:r>
      <w:r>
        <w:rPr>
          <w:rFonts w:ascii="Times New Roman" w:hAnsi="Times New Roman" w:cs="Times New Roman"/>
          <w:color w:val="000000" w:themeColor="text1"/>
          <w:sz w:val="24"/>
          <w:szCs w:val="24"/>
        </w:rPr>
        <w:t>500m</w:t>
      </w:r>
      <w:r>
        <w:rPr>
          <w:rFonts w:ascii="Times New Roman" w:hAnsi="Times New Roman" w:cs="Times New Roman"/>
          <w:color w:val="000000" w:themeColor="text1"/>
          <w:sz w:val="24"/>
          <w:szCs w:val="24"/>
        </w:rPr>
        <w:t>的路面时，不同路面清洁程度、不同行驶速度情况下产生的扬尘量。</w:t>
      </w:r>
    </w:p>
    <w:p w:rsidR="00C861DA" w:rsidRDefault="0044752E">
      <w:pPr>
        <w:tabs>
          <w:tab w:val="left" w:pos="1485"/>
          <w:tab w:val="left" w:pos="5943"/>
        </w:tabs>
        <w:spacing w:line="360" w:lineRule="auto"/>
        <w:jc w:val="center"/>
        <w:rPr>
          <w:rFonts w:ascii="Times New Roman" w:eastAsia="宋体" w:cs="微软雅黑"/>
          <w:b/>
          <w:bCs/>
          <w:color w:val="000000" w:themeColor="text1"/>
          <w:sz w:val="24"/>
          <w:szCs w:val="24"/>
        </w:rPr>
      </w:pPr>
      <w:r>
        <w:rPr>
          <w:rFonts w:ascii="Times New Roman" w:eastAsia="宋体" w:cs="微软雅黑"/>
          <w:b/>
          <w:bCs/>
          <w:color w:val="000000" w:themeColor="text1"/>
          <w:sz w:val="24"/>
          <w:szCs w:val="24"/>
        </w:rPr>
        <w:t>表</w:t>
      </w:r>
      <w:r>
        <w:rPr>
          <w:rFonts w:ascii="Times New Roman" w:eastAsia="宋体" w:hint="eastAsia"/>
          <w:b/>
          <w:bCs/>
          <w:color w:val="000000" w:themeColor="text1"/>
          <w:sz w:val="24"/>
          <w:szCs w:val="24"/>
        </w:rPr>
        <w:t>6.1</w:t>
      </w:r>
      <w:r>
        <w:rPr>
          <w:rFonts w:ascii="Times New Roman" w:eastAsia="宋体"/>
          <w:b/>
          <w:bCs/>
          <w:color w:val="000000" w:themeColor="text1"/>
          <w:sz w:val="24"/>
          <w:szCs w:val="24"/>
        </w:rPr>
        <w:t>-</w:t>
      </w:r>
      <w:r>
        <w:rPr>
          <w:rFonts w:ascii="Times New Roman" w:eastAsia="宋体" w:hint="eastAsia"/>
          <w:b/>
          <w:bCs/>
          <w:color w:val="000000" w:themeColor="text1"/>
          <w:sz w:val="24"/>
          <w:szCs w:val="24"/>
        </w:rPr>
        <w:t xml:space="preserve">1  </w:t>
      </w:r>
      <w:r>
        <w:rPr>
          <w:rFonts w:ascii="Times New Roman" w:eastAsia="宋体" w:cs="微软雅黑"/>
          <w:b/>
          <w:bCs/>
          <w:color w:val="000000" w:themeColor="text1"/>
          <w:sz w:val="24"/>
          <w:szCs w:val="24"/>
        </w:rPr>
        <w:t>不同车速和地面清洁程度时的汽车扬尘</w:t>
      </w:r>
      <w:r>
        <w:rPr>
          <w:rFonts w:ascii="Times New Roman" w:eastAsia="宋体" w:cs="微软雅黑" w:hint="eastAsia"/>
          <w:b/>
          <w:bCs/>
          <w:color w:val="000000" w:themeColor="text1"/>
          <w:sz w:val="24"/>
          <w:szCs w:val="24"/>
        </w:rPr>
        <w:t xml:space="preserve">  </w:t>
      </w:r>
      <w:r>
        <w:rPr>
          <w:rFonts w:ascii="Times New Roman" w:eastAsia="宋体" w:cs="微软雅黑"/>
          <w:b/>
          <w:bCs/>
          <w:color w:val="000000" w:themeColor="text1"/>
          <w:sz w:val="24"/>
          <w:szCs w:val="24"/>
        </w:rPr>
        <w:t>单位：</w:t>
      </w:r>
      <w:r>
        <w:rPr>
          <w:rFonts w:ascii="Times New Roman" w:eastAsia="宋体"/>
          <w:b/>
          <w:bCs/>
          <w:color w:val="000000" w:themeColor="text1"/>
          <w:sz w:val="24"/>
          <w:szCs w:val="24"/>
        </w:rPr>
        <w:t>kg/km</w:t>
      </w:r>
      <w:r>
        <w:rPr>
          <w:rFonts w:ascii="Times New Roman" w:eastAsia="宋体"/>
          <w:b/>
          <w:bCs/>
          <w:color w:val="000000" w:themeColor="text1"/>
          <w:sz w:val="24"/>
          <w:szCs w:val="24"/>
        </w:rPr>
        <w:t>·</w:t>
      </w:r>
      <w:r>
        <w:rPr>
          <w:rFonts w:ascii="Times New Roman" w:eastAsia="宋体" w:cs="微软雅黑"/>
          <w:b/>
          <w:bCs/>
          <w:color w:val="000000" w:themeColor="text1"/>
          <w:sz w:val="24"/>
          <w:szCs w:val="24"/>
        </w:rPr>
        <w:t>辆</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0"/>
        <w:gridCol w:w="1199"/>
        <w:gridCol w:w="1199"/>
        <w:gridCol w:w="1197"/>
        <w:gridCol w:w="1199"/>
        <w:gridCol w:w="1197"/>
        <w:gridCol w:w="1199"/>
      </w:tblGrid>
      <w:tr w:rsidR="00C861DA">
        <w:trPr>
          <w:trHeight w:val="369"/>
          <w:jc w:val="center"/>
        </w:trPr>
        <w:tc>
          <w:tcPr>
            <w:tcW w:w="1140" w:type="dxa"/>
            <w:tcBorders>
              <w:tl2br w:val="single" w:sz="4" w:space="0" w:color="auto"/>
            </w:tcBorders>
            <w:vAlign w:val="center"/>
          </w:tcPr>
          <w:p w:rsidR="00C861DA" w:rsidRDefault="0044752E">
            <w:pPr>
              <w:pStyle w:val="TableParagraph"/>
              <w:ind w:right="105"/>
              <w:jc w:val="right"/>
              <w:rPr>
                <w:b/>
                <w:bCs/>
                <w:color w:val="000000" w:themeColor="text1"/>
              </w:rPr>
            </w:pPr>
            <w:r>
              <w:rPr>
                <w:rFonts w:hint="eastAsia"/>
                <w:b/>
                <w:bCs/>
                <w:color w:val="000000" w:themeColor="text1"/>
              </w:rPr>
              <w:t>P</w:t>
            </w:r>
          </w:p>
          <w:p w:rsidR="00C861DA" w:rsidRDefault="0044752E">
            <w:pPr>
              <w:pStyle w:val="TableParagraph"/>
              <w:rPr>
                <w:rFonts w:cs="宋体"/>
                <w:b/>
                <w:bCs/>
                <w:color w:val="000000" w:themeColor="text1"/>
              </w:rPr>
            </w:pPr>
            <w:r>
              <w:rPr>
                <w:rFonts w:cs="宋体"/>
                <w:b/>
                <w:bCs/>
                <w:color w:val="000000" w:themeColor="text1"/>
              </w:rPr>
              <w:t>车速</w:t>
            </w:r>
          </w:p>
        </w:tc>
        <w:tc>
          <w:tcPr>
            <w:tcW w:w="1199" w:type="dxa"/>
            <w:vAlign w:val="center"/>
          </w:tcPr>
          <w:p w:rsidR="00C861DA" w:rsidRDefault="0044752E">
            <w:pPr>
              <w:pStyle w:val="TableParagraph"/>
              <w:jc w:val="center"/>
              <w:rPr>
                <w:rFonts w:cs="宋体"/>
                <w:b/>
                <w:bCs/>
                <w:color w:val="000000" w:themeColor="text1"/>
              </w:rPr>
            </w:pPr>
            <w:r>
              <w:rPr>
                <w:b/>
                <w:bCs/>
                <w:color w:val="000000" w:themeColor="text1"/>
              </w:rPr>
              <w:t>0.1</w:t>
            </w:r>
            <w:r>
              <w:rPr>
                <w:rFonts w:cs="宋体"/>
                <w:b/>
                <w:bCs/>
                <w:color w:val="000000" w:themeColor="text1"/>
              </w:rPr>
              <w:t>（</w:t>
            </w:r>
            <w:r>
              <w:rPr>
                <w:b/>
                <w:bCs/>
                <w:color w:val="000000" w:themeColor="text1"/>
              </w:rPr>
              <w:t>kg/m</w:t>
            </w:r>
            <w:r>
              <w:rPr>
                <w:rFonts w:cs="宋体" w:hint="eastAsia"/>
                <w:b/>
                <w:bCs/>
                <w:color w:val="000000" w:themeColor="text1"/>
                <w:vertAlign w:val="superscript"/>
              </w:rPr>
              <w:t>2</w:t>
            </w:r>
            <w:r>
              <w:rPr>
                <w:rFonts w:cs="宋体"/>
                <w:b/>
                <w:bCs/>
                <w:color w:val="000000" w:themeColor="text1"/>
              </w:rPr>
              <w:t>）</w:t>
            </w:r>
          </w:p>
        </w:tc>
        <w:tc>
          <w:tcPr>
            <w:tcW w:w="1199" w:type="dxa"/>
            <w:vAlign w:val="center"/>
          </w:tcPr>
          <w:p w:rsidR="00C861DA" w:rsidRDefault="0044752E">
            <w:pPr>
              <w:pStyle w:val="TableParagraph"/>
              <w:jc w:val="center"/>
              <w:rPr>
                <w:rFonts w:cs="宋体"/>
                <w:b/>
                <w:bCs/>
                <w:color w:val="000000" w:themeColor="text1"/>
              </w:rPr>
            </w:pPr>
            <w:r>
              <w:rPr>
                <w:b/>
                <w:bCs/>
                <w:color w:val="000000" w:themeColor="text1"/>
              </w:rPr>
              <w:t>0.2</w:t>
            </w:r>
            <w:r>
              <w:rPr>
                <w:rFonts w:cs="宋体"/>
                <w:b/>
                <w:bCs/>
                <w:color w:val="000000" w:themeColor="text1"/>
              </w:rPr>
              <w:t>（</w:t>
            </w:r>
            <w:r>
              <w:rPr>
                <w:b/>
                <w:bCs/>
                <w:color w:val="000000" w:themeColor="text1"/>
              </w:rPr>
              <w:t>kg/m</w:t>
            </w:r>
            <w:r>
              <w:rPr>
                <w:rFonts w:cs="宋体" w:hint="eastAsia"/>
                <w:b/>
                <w:bCs/>
                <w:color w:val="000000" w:themeColor="text1"/>
                <w:vertAlign w:val="superscript"/>
              </w:rPr>
              <w:t>2</w:t>
            </w:r>
            <w:r>
              <w:rPr>
                <w:rFonts w:cs="宋体"/>
                <w:b/>
                <w:bCs/>
                <w:color w:val="000000" w:themeColor="text1"/>
              </w:rPr>
              <w:t>）</w:t>
            </w:r>
          </w:p>
        </w:tc>
        <w:tc>
          <w:tcPr>
            <w:tcW w:w="1197" w:type="dxa"/>
            <w:vAlign w:val="center"/>
          </w:tcPr>
          <w:p w:rsidR="00C861DA" w:rsidRDefault="0044752E">
            <w:pPr>
              <w:pStyle w:val="TableParagraph"/>
              <w:jc w:val="center"/>
              <w:rPr>
                <w:rFonts w:cs="宋体"/>
                <w:b/>
                <w:bCs/>
                <w:color w:val="000000" w:themeColor="text1"/>
              </w:rPr>
            </w:pPr>
            <w:r>
              <w:rPr>
                <w:b/>
                <w:bCs/>
                <w:color w:val="000000" w:themeColor="text1"/>
              </w:rPr>
              <w:t>0.3</w:t>
            </w:r>
            <w:r>
              <w:rPr>
                <w:rFonts w:cs="宋体"/>
                <w:b/>
                <w:bCs/>
                <w:color w:val="000000" w:themeColor="text1"/>
              </w:rPr>
              <w:t>（</w:t>
            </w:r>
            <w:r>
              <w:rPr>
                <w:b/>
                <w:bCs/>
                <w:color w:val="000000" w:themeColor="text1"/>
              </w:rPr>
              <w:t>kg/m</w:t>
            </w:r>
            <w:r>
              <w:rPr>
                <w:rFonts w:cs="宋体" w:hint="eastAsia"/>
                <w:b/>
                <w:bCs/>
                <w:color w:val="000000" w:themeColor="text1"/>
                <w:vertAlign w:val="superscript"/>
              </w:rPr>
              <w:t>2</w:t>
            </w:r>
            <w:r>
              <w:rPr>
                <w:rFonts w:cs="宋体"/>
                <w:b/>
                <w:bCs/>
                <w:color w:val="000000" w:themeColor="text1"/>
              </w:rPr>
              <w:t>）</w:t>
            </w:r>
          </w:p>
        </w:tc>
        <w:tc>
          <w:tcPr>
            <w:tcW w:w="1199" w:type="dxa"/>
            <w:vAlign w:val="center"/>
          </w:tcPr>
          <w:p w:rsidR="00C861DA" w:rsidRDefault="0044752E">
            <w:pPr>
              <w:pStyle w:val="TableParagraph"/>
              <w:jc w:val="center"/>
              <w:rPr>
                <w:rFonts w:cs="宋体"/>
                <w:b/>
                <w:bCs/>
                <w:color w:val="000000" w:themeColor="text1"/>
              </w:rPr>
            </w:pPr>
            <w:r>
              <w:rPr>
                <w:b/>
                <w:bCs/>
                <w:color w:val="000000" w:themeColor="text1"/>
              </w:rPr>
              <w:t>0.4</w:t>
            </w:r>
            <w:r>
              <w:rPr>
                <w:rFonts w:cs="宋体"/>
                <w:b/>
                <w:bCs/>
                <w:color w:val="000000" w:themeColor="text1"/>
              </w:rPr>
              <w:t>（</w:t>
            </w:r>
            <w:r>
              <w:rPr>
                <w:b/>
                <w:bCs/>
                <w:color w:val="000000" w:themeColor="text1"/>
              </w:rPr>
              <w:t>kg/m</w:t>
            </w:r>
            <w:r>
              <w:rPr>
                <w:rFonts w:cs="宋体" w:hint="eastAsia"/>
                <w:b/>
                <w:bCs/>
                <w:color w:val="000000" w:themeColor="text1"/>
                <w:vertAlign w:val="superscript"/>
              </w:rPr>
              <w:t>2</w:t>
            </w:r>
            <w:r>
              <w:rPr>
                <w:rFonts w:cs="宋体"/>
                <w:b/>
                <w:bCs/>
                <w:color w:val="000000" w:themeColor="text1"/>
              </w:rPr>
              <w:t>）</w:t>
            </w:r>
          </w:p>
        </w:tc>
        <w:tc>
          <w:tcPr>
            <w:tcW w:w="1197" w:type="dxa"/>
            <w:vAlign w:val="center"/>
          </w:tcPr>
          <w:p w:rsidR="00C861DA" w:rsidRDefault="0044752E">
            <w:pPr>
              <w:pStyle w:val="TableParagraph"/>
              <w:jc w:val="center"/>
              <w:rPr>
                <w:rFonts w:cs="宋体"/>
                <w:b/>
                <w:bCs/>
                <w:color w:val="000000" w:themeColor="text1"/>
              </w:rPr>
            </w:pPr>
            <w:r>
              <w:rPr>
                <w:b/>
                <w:bCs/>
                <w:color w:val="000000" w:themeColor="text1"/>
              </w:rPr>
              <w:t>0.5</w:t>
            </w:r>
            <w:r>
              <w:rPr>
                <w:rFonts w:cs="宋体"/>
                <w:b/>
                <w:bCs/>
                <w:color w:val="000000" w:themeColor="text1"/>
              </w:rPr>
              <w:t>（</w:t>
            </w:r>
            <w:r>
              <w:rPr>
                <w:b/>
                <w:bCs/>
                <w:color w:val="000000" w:themeColor="text1"/>
              </w:rPr>
              <w:t>kg/m</w:t>
            </w:r>
            <w:r>
              <w:rPr>
                <w:rFonts w:cs="宋体" w:hint="eastAsia"/>
                <w:b/>
                <w:bCs/>
                <w:color w:val="000000" w:themeColor="text1"/>
                <w:vertAlign w:val="superscript"/>
              </w:rPr>
              <w:t>2</w:t>
            </w:r>
            <w:r>
              <w:rPr>
                <w:rFonts w:cs="宋体"/>
                <w:b/>
                <w:bCs/>
                <w:color w:val="000000" w:themeColor="text1"/>
              </w:rPr>
              <w:t>）</w:t>
            </w:r>
          </w:p>
        </w:tc>
        <w:tc>
          <w:tcPr>
            <w:tcW w:w="1199" w:type="dxa"/>
            <w:vAlign w:val="center"/>
          </w:tcPr>
          <w:p w:rsidR="00C861DA" w:rsidRDefault="0044752E">
            <w:pPr>
              <w:pStyle w:val="TableParagraph"/>
              <w:jc w:val="center"/>
              <w:rPr>
                <w:rFonts w:cs="宋体"/>
                <w:b/>
                <w:bCs/>
                <w:color w:val="000000" w:themeColor="text1"/>
              </w:rPr>
            </w:pPr>
            <w:r>
              <w:rPr>
                <w:b/>
                <w:bCs/>
                <w:color w:val="000000" w:themeColor="text1"/>
              </w:rPr>
              <w:t>1.0</w:t>
            </w:r>
            <w:r>
              <w:rPr>
                <w:rFonts w:cs="宋体"/>
                <w:b/>
                <w:bCs/>
                <w:color w:val="000000" w:themeColor="text1"/>
              </w:rPr>
              <w:t>（</w:t>
            </w:r>
            <w:r>
              <w:rPr>
                <w:b/>
                <w:bCs/>
                <w:color w:val="000000" w:themeColor="text1"/>
              </w:rPr>
              <w:t>kg/m</w:t>
            </w:r>
            <w:r>
              <w:rPr>
                <w:rFonts w:cs="宋体" w:hint="eastAsia"/>
                <w:b/>
                <w:bCs/>
                <w:color w:val="000000" w:themeColor="text1"/>
                <w:vertAlign w:val="superscript"/>
              </w:rPr>
              <w:t>2</w:t>
            </w:r>
            <w:r>
              <w:rPr>
                <w:rFonts w:cs="宋体"/>
                <w:b/>
                <w:bCs/>
                <w:color w:val="000000" w:themeColor="text1"/>
              </w:rPr>
              <w:t>）</w:t>
            </w:r>
          </w:p>
        </w:tc>
      </w:tr>
      <w:tr w:rsidR="00C861DA">
        <w:trPr>
          <w:trHeight w:val="369"/>
          <w:jc w:val="center"/>
        </w:trPr>
        <w:tc>
          <w:tcPr>
            <w:tcW w:w="1140" w:type="dxa"/>
            <w:vAlign w:val="center"/>
          </w:tcPr>
          <w:p w:rsidR="00C861DA" w:rsidRDefault="0044752E">
            <w:pPr>
              <w:pStyle w:val="TableParagraph"/>
              <w:jc w:val="center"/>
              <w:rPr>
                <w:color w:val="000000" w:themeColor="text1"/>
              </w:rPr>
            </w:pPr>
            <w:r>
              <w:rPr>
                <w:color w:val="000000" w:themeColor="text1"/>
              </w:rPr>
              <w:t>5</w:t>
            </w:r>
            <w:r>
              <w:rPr>
                <w:rFonts w:hint="eastAsia"/>
                <w:color w:val="000000" w:themeColor="text1"/>
              </w:rPr>
              <w:t>（</w:t>
            </w:r>
            <w:r>
              <w:rPr>
                <w:color w:val="000000" w:themeColor="text1"/>
              </w:rPr>
              <w:t>km/h</w:t>
            </w:r>
            <w:r>
              <w:rPr>
                <w:rFonts w:hint="eastAsia"/>
                <w:color w:val="000000" w:themeColor="text1"/>
              </w:rPr>
              <w:t>）</w:t>
            </w:r>
          </w:p>
        </w:tc>
        <w:tc>
          <w:tcPr>
            <w:tcW w:w="1199" w:type="dxa"/>
            <w:vAlign w:val="center"/>
          </w:tcPr>
          <w:p w:rsidR="00C861DA" w:rsidRDefault="0044752E">
            <w:pPr>
              <w:pStyle w:val="TableParagraph"/>
              <w:jc w:val="center"/>
              <w:rPr>
                <w:color w:val="000000" w:themeColor="text1"/>
              </w:rPr>
            </w:pPr>
            <w:r>
              <w:rPr>
                <w:color w:val="000000" w:themeColor="text1"/>
              </w:rPr>
              <w:t>0.0283</w:t>
            </w:r>
          </w:p>
        </w:tc>
        <w:tc>
          <w:tcPr>
            <w:tcW w:w="1199" w:type="dxa"/>
            <w:vAlign w:val="center"/>
          </w:tcPr>
          <w:p w:rsidR="00C861DA" w:rsidRDefault="0044752E">
            <w:pPr>
              <w:pStyle w:val="TableParagraph"/>
              <w:jc w:val="center"/>
              <w:rPr>
                <w:color w:val="000000" w:themeColor="text1"/>
              </w:rPr>
            </w:pPr>
            <w:r>
              <w:rPr>
                <w:color w:val="000000" w:themeColor="text1"/>
              </w:rPr>
              <w:t>0.0476</w:t>
            </w:r>
          </w:p>
        </w:tc>
        <w:tc>
          <w:tcPr>
            <w:tcW w:w="1197" w:type="dxa"/>
            <w:vAlign w:val="center"/>
          </w:tcPr>
          <w:p w:rsidR="00C861DA" w:rsidRDefault="0044752E">
            <w:pPr>
              <w:pStyle w:val="TableParagraph"/>
              <w:jc w:val="center"/>
              <w:rPr>
                <w:color w:val="000000" w:themeColor="text1"/>
              </w:rPr>
            </w:pPr>
            <w:r>
              <w:rPr>
                <w:color w:val="000000" w:themeColor="text1"/>
              </w:rPr>
              <w:t>0.0646</w:t>
            </w:r>
          </w:p>
        </w:tc>
        <w:tc>
          <w:tcPr>
            <w:tcW w:w="1199" w:type="dxa"/>
            <w:vAlign w:val="center"/>
          </w:tcPr>
          <w:p w:rsidR="00C861DA" w:rsidRDefault="0044752E">
            <w:pPr>
              <w:pStyle w:val="TableParagraph"/>
              <w:jc w:val="center"/>
              <w:rPr>
                <w:color w:val="000000" w:themeColor="text1"/>
              </w:rPr>
            </w:pPr>
            <w:r>
              <w:rPr>
                <w:color w:val="000000" w:themeColor="text1"/>
              </w:rPr>
              <w:t>0.0801</w:t>
            </w:r>
          </w:p>
        </w:tc>
        <w:tc>
          <w:tcPr>
            <w:tcW w:w="1197" w:type="dxa"/>
            <w:vAlign w:val="center"/>
          </w:tcPr>
          <w:p w:rsidR="00C861DA" w:rsidRDefault="0044752E">
            <w:pPr>
              <w:pStyle w:val="TableParagraph"/>
              <w:jc w:val="center"/>
              <w:rPr>
                <w:color w:val="000000" w:themeColor="text1"/>
              </w:rPr>
            </w:pPr>
            <w:r>
              <w:rPr>
                <w:color w:val="000000" w:themeColor="text1"/>
              </w:rPr>
              <w:t>0.0947</w:t>
            </w:r>
          </w:p>
        </w:tc>
        <w:tc>
          <w:tcPr>
            <w:tcW w:w="1199" w:type="dxa"/>
            <w:vAlign w:val="center"/>
          </w:tcPr>
          <w:p w:rsidR="00C861DA" w:rsidRDefault="0044752E">
            <w:pPr>
              <w:pStyle w:val="TableParagraph"/>
              <w:jc w:val="center"/>
              <w:rPr>
                <w:color w:val="000000" w:themeColor="text1"/>
              </w:rPr>
            </w:pPr>
            <w:r>
              <w:rPr>
                <w:color w:val="000000" w:themeColor="text1"/>
              </w:rPr>
              <w:t>0.1593</w:t>
            </w:r>
          </w:p>
        </w:tc>
      </w:tr>
      <w:tr w:rsidR="00C861DA">
        <w:trPr>
          <w:trHeight w:val="369"/>
          <w:jc w:val="center"/>
        </w:trPr>
        <w:tc>
          <w:tcPr>
            <w:tcW w:w="1140" w:type="dxa"/>
            <w:vAlign w:val="center"/>
          </w:tcPr>
          <w:p w:rsidR="00C861DA" w:rsidRDefault="0044752E">
            <w:pPr>
              <w:pStyle w:val="TableParagraph"/>
              <w:jc w:val="center"/>
              <w:rPr>
                <w:color w:val="000000" w:themeColor="text1"/>
              </w:rPr>
            </w:pPr>
            <w:r>
              <w:rPr>
                <w:color w:val="000000" w:themeColor="text1"/>
              </w:rPr>
              <w:t>10</w:t>
            </w:r>
            <w:r>
              <w:rPr>
                <w:rFonts w:hint="eastAsia"/>
                <w:color w:val="000000" w:themeColor="text1"/>
              </w:rPr>
              <w:t>（</w:t>
            </w:r>
            <w:r>
              <w:rPr>
                <w:color w:val="000000" w:themeColor="text1"/>
              </w:rPr>
              <w:t>km/h</w:t>
            </w:r>
            <w:r>
              <w:rPr>
                <w:rFonts w:hint="eastAsia"/>
                <w:color w:val="000000" w:themeColor="text1"/>
              </w:rPr>
              <w:t>）</w:t>
            </w:r>
          </w:p>
        </w:tc>
        <w:tc>
          <w:tcPr>
            <w:tcW w:w="1199" w:type="dxa"/>
            <w:vAlign w:val="center"/>
          </w:tcPr>
          <w:p w:rsidR="00C861DA" w:rsidRDefault="0044752E">
            <w:pPr>
              <w:pStyle w:val="TableParagraph"/>
              <w:jc w:val="center"/>
              <w:rPr>
                <w:color w:val="000000" w:themeColor="text1"/>
              </w:rPr>
            </w:pPr>
            <w:r>
              <w:rPr>
                <w:color w:val="000000" w:themeColor="text1"/>
              </w:rPr>
              <w:t>0.0566</w:t>
            </w:r>
          </w:p>
        </w:tc>
        <w:tc>
          <w:tcPr>
            <w:tcW w:w="1199" w:type="dxa"/>
            <w:vAlign w:val="center"/>
          </w:tcPr>
          <w:p w:rsidR="00C861DA" w:rsidRDefault="0044752E">
            <w:pPr>
              <w:pStyle w:val="TableParagraph"/>
              <w:jc w:val="center"/>
              <w:rPr>
                <w:color w:val="000000" w:themeColor="text1"/>
              </w:rPr>
            </w:pPr>
            <w:r>
              <w:rPr>
                <w:color w:val="000000" w:themeColor="text1"/>
              </w:rPr>
              <w:t>0.0953</w:t>
            </w:r>
          </w:p>
        </w:tc>
        <w:tc>
          <w:tcPr>
            <w:tcW w:w="1197" w:type="dxa"/>
            <w:vAlign w:val="center"/>
          </w:tcPr>
          <w:p w:rsidR="00C861DA" w:rsidRDefault="0044752E">
            <w:pPr>
              <w:pStyle w:val="TableParagraph"/>
              <w:jc w:val="center"/>
              <w:rPr>
                <w:color w:val="000000" w:themeColor="text1"/>
              </w:rPr>
            </w:pPr>
            <w:r>
              <w:rPr>
                <w:color w:val="000000" w:themeColor="text1"/>
              </w:rPr>
              <w:t>0.1291</w:t>
            </w:r>
          </w:p>
        </w:tc>
        <w:tc>
          <w:tcPr>
            <w:tcW w:w="1199" w:type="dxa"/>
            <w:vAlign w:val="center"/>
          </w:tcPr>
          <w:p w:rsidR="00C861DA" w:rsidRDefault="0044752E">
            <w:pPr>
              <w:pStyle w:val="TableParagraph"/>
              <w:jc w:val="center"/>
              <w:rPr>
                <w:color w:val="000000" w:themeColor="text1"/>
              </w:rPr>
            </w:pPr>
            <w:r>
              <w:rPr>
                <w:color w:val="000000" w:themeColor="text1"/>
              </w:rPr>
              <w:t>0.1602</w:t>
            </w:r>
          </w:p>
        </w:tc>
        <w:tc>
          <w:tcPr>
            <w:tcW w:w="1197" w:type="dxa"/>
            <w:vAlign w:val="center"/>
          </w:tcPr>
          <w:p w:rsidR="00C861DA" w:rsidRDefault="0044752E">
            <w:pPr>
              <w:pStyle w:val="TableParagraph"/>
              <w:jc w:val="center"/>
              <w:rPr>
                <w:color w:val="000000" w:themeColor="text1"/>
              </w:rPr>
            </w:pPr>
            <w:r>
              <w:rPr>
                <w:color w:val="000000" w:themeColor="text1"/>
              </w:rPr>
              <w:t>0.1894</w:t>
            </w:r>
          </w:p>
        </w:tc>
        <w:tc>
          <w:tcPr>
            <w:tcW w:w="1199" w:type="dxa"/>
            <w:vAlign w:val="center"/>
          </w:tcPr>
          <w:p w:rsidR="00C861DA" w:rsidRDefault="0044752E">
            <w:pPr>
              <w:pStyle w:val="TableParagraph"/>
              <w:jc w:val="center"/>
              <w:rPr>
                <w:color w:val="000000" w:themeColor="text1"/>
              </w:rPr>
            </w:pPr>
            <w:r>
              <w:rPr>
                <w:color w:val="000000" w:themeColor="text1"/>
              </w:rPr>
              <w:t>0.3186</w:t>
            </w:r>
          </w:p>
        </w:tc>
      </w:tr>
      <w:tr w:rsidR="00C861DA">
        <w:trPr>
          <w:trHeight w:val="369"/>
          <w:jc w:val="center"/>
        </w:trPr>
        <w:tc>
          <w:tcPr>
            <w:tcW w:w="1140" w:type="dxa"/>
            <w:vAlign w:val="center"/>
          </w:tcPr>
          <w:p w:rsidR="00C861DA" w:rsidRDefault="0044752E">
            <w:pPr>
              <w:pStyle w:val="TableParagraph"/>
              <w:jc w:val="center"/>
              <w:rPr>
                <w:color w:val="000000" w:themeColor="text1"/>
              </w:rPr>
            </w:pPr>
            <w:r>
              <w:rPr>
                <w:color w:val="000000" w:themeColor="text1"/>
              </w:rPr>
              <w:t>15</w:t>
            </w:r>
            <w:r>
              <w:rPr>
                <w:rFonts w:hint="eastAsia"/>
                <w:color w:val="000000" w:themeColor="text1"/>
              </w:rPr>
              <w:t>（</w:t>
            </w:r>
            <w:r>
              <w:rPr>
                <w:color w:val="000000" w:themeColor="text1"/>
              </w:rPr>
              <w:t>km/h</w:t>
            </w:r>
            <w:r>
              <w:rPr>
                <w:rFonts w:hint="eastAsia"/>
                <w:color w:val="000000" w:themeColor="text1"/>
              </w:rPr>
              <w:t>）</w:t>
            </w:r>
          </w:p>
        </w:tc>
        <w:tc>
          <w:tcPr>
            <w:tcW w:w="1199" w:type="dxa"/>
            <w:vAlign w:val="center"/>
          </w:tcPr>
          <w:p w:rsidR="00C861DA" w:rsidRDefault="0044752E">
            <w:pPr>
              <w:pStyle w:val="TableParagraph"/>
              <w:jc w:val="center"/>
              <w:rPr>
                <w:color w:val="000000" w:themeColor="text1"/>
              </w:rPr>
            </w:pPr>
            <w:r>
              <w:rPr>
                <w:color w:val="000000" w:themeColor="text1"/>
              </w:rPr>
              <w:t>0.0850</w:t>
            </w:r>
          </w:p>
        </w:tc>
        <w:tc>
          <w:tcPr>
            <w:tcW w:w="1199" w:type="dxa"/>
            <w:vAlign w:val="center"/>
          </w:tcPr>
          <w:p w:rsidR="00C861DA" w:rsidRDefault="0044752E">
            <w:pPr>
              <w:pStyle w:val="TableParagraph"/>
              <w:jc w:val="center"/>
              <w:rPr>
                <w:color w:val="000000" w:themeColor="text1"/>
              </w:rPr>
            </w:pPr>
            <w:r>
              <w:rPr>
                <w:color w:val="000000" w:themeColor="text1"/>
              </w:rPr>
              <w:t>0.1429</w:t>
            </w:r>
          </w:p>
        </w:tc>
        <w:tc>
          <w:tcPr>
            <w:tcW w:w="1197" w:type="dxa"/>
            <w:vAlign w:val="center"/>
          </w:tcPr>
          <w:p w:rsidR="00C861DA" w:rsidRDefault="0044752E">
            <w:pPr>
              <w:pStyle w:val="TableParagraph"/>
              <w:jc w:val="center"/>
              <w:rPr>
                <w:color w:val="000000" w:themeColor="text1"/>
              </w:rPr>
            </w:pPr>
            <w:r>
              <w:rPr>
                <w:color w:val="000000" w:themeColor="text1"/>
              </w:rPr>
              <w:t>0.1937</w:t>
            </w:r>
          </w:p>
        </w:tc>
        <w:tc>
          <w:tcPr>
            <w:tcW w:w="1199" w:type="dxa"/>
            <w:vAlign w:val="center"/>
          </w:tcPr>
          <w:p w:rsidR="00C861DA" w:rsidRDefault="0044752E">
            <w:pPr>
              <w:pStyle w:val="TableParagraph"/>
              <w:jc w:val="center"/>
              <w:rPr>
                <w:color w:val="000000" w:themeColor="text1"/>
              </w:rPr>
            </w:pPr>
            <w:r>
              <w:rPr>
                <w:color w:val="000000" w:themeColor="text1"/>
              </w:rPr>
              <w:t>0.2403</w:t>
            </w:r>
          </w:p>
        </w:tc>
        <w:tc>
          <w:tcPr>
            <w:tcW w:w="1197" w:type="dxa"/>
            <w:vAlign w:val="center"/>
          </w:tcPr>
          <w:p w:rsidR="00C861DA" w:rsidRDefault="0044752E">
            <w:pPr>
              <w:pStyle w:val="TableParagraph"/>
              <w:jc w:val="center"/>
              <w:rPr>
                <w:color w:val="000000" w:themeColor="text1"/>
              </w:rPr>
            </w:pPr>
            <w:r>
              <w:rPr>
                <w:color w:val="000000" w:themeColor="text1"/>
              </w:rPr>
              <w:t>0.2841</w:t>
            </w:r>
          </w:p>
        </w:tc>
        <w:tc>
          <w:tcPr>
            <w:tcW w:w="1199" w:type="dxa"/>
            <w:vAlign w:val="center"/>
          </w:tcPr>
          <w:p w:rsidR="00C861DA" w:rsidRDefault="0044752E">
            <w:pPr>
              <w:pStyle w:val="TableParagraph"/>
              <w:jc w:val="center"/>
              <w:rPr>
                <w:color w:val="000000" w:themeColor="text1"/>
              </w:rPr>
            </w:pPr>
            <w:r>
              <w:rPr>
                <w:color w:val="000000" w:themeColor="text1"/>
              </w:rPr>
              <w:t>0.4778</w:t>
            </w:r>
          </w:p>
        </w:tc>
      </w:tr>
      <w:tr w:rsidR="00C861DA">
        <w:trPr>
          <w:trHeight w:val="369"/>
          <w:jc w:val="center"/>
        </w:trPr>
        <w:tc>
          <w:tcPr>
            <w:tcW w:w="1140" w:type="dxa"/>
            <w:vAlign w:val="center"/>
          </w:tcPr>
          <w:p w:rsidR="00C861DA" w:rsidRDefault="0044752E">
            <w:pPr>
              <w:pStyle w:val="TableParagraph"/>
              <w:jc w:val="center"/>
              <w:rPr>
                <w:color w:val="000000" w:themeColor="text1"/>
              </w:rPr>
            </w:pPr>
            <w:r>
              <w:rPr>
                <w:color w:val="000000" w:themeColor="text1"/>
              </w:rPr>
              <w:t>20</w:t>
            </w:r>
            <w:r>
              <w:rPr>
                <w:rFonts w:hint="eastAsia"/>
                <w:color w:val="000000" w:themeColor="text1"/>
              </w:rPr>
              <w:t>（</w:t>
            </w:r>
            <w:r>
              <w:rPr>
                <w:color w:val="000000" w:themeColor="text1"/>
              </w:rPr>
              <w:t>km/h</w:t>
            </w:r>
            <w:r>
              <w:rPr>
                <w:rFonts w:hint="eastAsia"/>
                <w:color w:val="000000" w:themeColor="text1"/>
              </w:rPr>
              <w:t>）</w:t>
            </w:r>
          </w:p>
        </w:tc>
        <w:tc>
          <w:tcPr>
            <w:tcW w:w="1199" w:type="dxa"/>
            <w:vAlign w:val="center"/>
          </w:tcPr>
          <w:p w:rsidR="00C861DA" w:rsidRDefault="0044752E">
            <w:pPr>
              <w:pStyle w:val="TableParagraph"/>
              <w:jc w:val="center"/>
              <w:rPr>
                <w:color w:val="000000" w:themeColor="text1"/>
              </w:rPr>
            </w:pPr>
            <w:r>
              <w:rPr>
                <w:color w:val="000000" w:themeColor="text1"/>
              </w:rPr>
              <w:t>0.1133</w:t>
            </w:r>
          </w:p>
        </w:tc>
        <w:tc>
          <w:tcPr>
            <w:tcW w:w="1199" w:type="dxa"/>
            <w:vAlign w:val="center"/>
          </w:tcPr>
          <w:p w:rsidR="00C861DA" w:rsidRDefault="0044752E">
            <w:pPr>
              <w:pStyle w:val="TableParagraph"/>
              <w:jc w:val="center"/>
              <w:rPr>
                <w:color w:val="000000" w:themeColor="text1"/>
              </w:rPr>
            </w:pPr>
            <w:r>
              <w:rPr>
                <w:color w:val="000000" w:themeColor="text1"/>
              </w:rPr>
              <w:t>0.1905</w:t>
            </w:r>
          </w:p>
        </w:tc>
        <w:tc>
          <w:tcPr>
            <w:tcW w:w="1197" w:type="dxa"/>
            <w:vAlign w:val="center"/>
          </w:tcPr>
          <w:p w:rsidR="00C861DA" w:rsidRDefault="0044752E">
            <w:pPr>
              <w:pStyle w:val="TableParagraph"/>
              <w:jc w:val="center"/>
              <w:rPr>
                <w:color w:val="000000" w:themeColor="text1"/>
              </w:rPr>
            </w:pPr>
            <w:r>
              <w:rPr>
                <w:color w:val="000000" w:themeColor="text1"/>
              </w:rPr>
              <w:t>0.2583</w:t>
            </w:r>
          </w:p>
        </w:tc>
        <w:tc>
          <w:tcPr>
            <w:tcW w:w="1199" w:type="dxa"/>
            <w:vAlign w:val="center"/>
          </w:tcPr>
          <w:p w:rsidR="00C861DA" w:rsidRDefault="0044752E">
            <w:pPr>
              <w:pStyle w:val="TableParagraph"/>
              <w:jc w:val="center"/>
              <w:rPr>
                <w:color w:val="000000" w:themeColor="text1"/>
              </w:rPr>
            </w:pPr>
            <w:r>
              <w:rPr>
                <w:color w:val="000000" w:themeColor="text1"/>
              </w:rPr>
              <w:t>0.3204</w:t>
            </w:r>
          </w:p>
        </w:tc>
        <w:tc>
          <w:tcPr>
            <w:tcW w:w="1197" w:type="dxa"/>
            <w:vAlign w:val="center"/>
          </w:tcPr>
          <w:p w:rsidR="00C861DA" w:rsidRDefault="0044752E">
            <w:pPr>
              <w:pStyle w:val="TableParagraph"/>
              <w:jc w:val="center"/>
              <w:rPr>
                <w:color w:val="000000" w:themeColor="text1"/>
              </w:rPr>
            </w:pPr>
            <w:r>
              <w:rPr>
                <w:color w:val="000000" w:themeColor="text1"/>
              </w:rPr>
              <w:t>0.3788</w:t>
            </w:r>
          </w:p>
        </w:tc>
        <w:tc>
          <w:tcPr>
            <w:tcW w:w="1199" w:type="dxa"/>
            <w:vAlign w:val="center"/>
          </w:tcPr>
          <w:p w:rsidR="00C861DA" w:rsidRDefault="0044752E">
            <w:pPr>
              <w:pStyle w:val="TableParagraph"/>
              <w:jc w:val="center"/>
              <w:rPr>
                <w:color w:val="000000" w:themeColor="text1"/>
              </w:rPr>
            </w:pPr>
            <w:r>
              <w:rPr>
                <w:color w:val="000000" w:themeColor="text1"/>
              </w:rPr>
              <w:t>0.6371</w:t>
            </w:r>
          </w:p>
        </w:tc>
      </w:tr>
    </w:tbl>
    <w:p w:rsidR="00C861DA" w:rsidRDefault="0044752E">
      <w:pPr>
        <w:pStyle w:val="af4"/>
        <w:spacing w:beforeLines="100" w:before="312"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本项目从事土方及建筑材料运输车辆的载重约为</w:t>
      </w:r>
      <w:r>
        <w:rPr>
          <w:rFonts w:ascii="Times New Roman" w:eastAsia="宋体" w:hAnsi="Times New Roman" w:cs="Times New Roman"/>
          <w:color w:val="000000" w:themeColor="text1"/>
          <w:sz w:val="24"/>
          <w:szCs w:val="24"/>
        </w:rPr>
        <w:t>15t</w:t>
      </w:r>
      <w:r>
        <w:rPr>
          <w:rFonts w:ascii="Times New Roman" w:eastAsia="宋体" w:hAnsi="Times New Roman" w:cs="Times New Roman"/>
          <w:color w:val="000000" w:themeColor="text1"/>
          <w:sz w:val="24"/>
          <w:szCs w:val="24"/>
        </w:rPr>
        <w:t>，车辆在施工现场行驶速度约为</w:t>
      </w:r>
      <w:r>
        <w:rPr>
          <w:rFonts w:ascii="Times New Roman" w:eastAsia="宋体" w:hAnsi="Times New Roman" w:cs="Times New Roman"/>
          <w:color w:val="000000" w:themeColor="text1"/>
          <w:sz w:val="24"/>
          <w:szCs w:val="24"/>
        </w:rPr>
        <w:t>20km/h</w:t>
      </w:r>
      <w:r>
        <w:rPr>
          <w:rFonts w:ascii="Times New Roman" w:eastAsia="宋体" w:hAnsi="Times New Roman" w:cs="Times New Roman"/>
          <w:color w:val="000000" w:themeColor="text1"/>
          <w:sz w:val="24"/>
          <w:szCs w:val="24"/>
        </w:rPr>
        <w:t>，地面清洁程度选择</w:t>
      </w:r>
      <w:r>
        <w:rPr>
          <w:rFonts w:ascii="Times New Roman" w:eastAsia="宋体" w:hAnsi="Times New Roman" w:cs="Times New Roman"/>
          <w:color w:val="000000" w:themeColor="text1"/>
          <w:sz w:val="24"/>
          <w:szCs w:val="24"/>
        </w:rPr>
        <w:t>0.5kg/m</w:t>
      </w:r>
      <w:r>
        <w:rPr>
          <w:rFonts w:ascii="Times New Roman" w:eastAsia="宋体" w:hAnsi="Times New Roman" w:cs="Times New Roman"/>
          <w:color w:val="000000" w:themeColor="text1"/>
          <w:sz w:val="24"/>
          <w:szCs w:val="24"/>
          <w:vertAlign w:val="superscript"/>
        </w:rPr>
        <w:t>2</w:t>
      </w:r>
      <w:r>
        <w:rPr>
          <w:rFonts w:ascii="Times New Roman" w:eastAsia="宋体" w:hAnsi="Times New Roman" w:cs="Times New Roman"/>
          <w:color w:val="000000" w:themeColor="text1"/>
          <w:sz w:val="24"/>
          <w:szCs w:val="24"/>
        </w:rPr>
        <w:t>，则车辆运输产生的扬尘量为</w:t>
      </w:r>
      <w:r>
        <w:rPr>
          <w:rFonts w:ascii="Times New Roman" w:eastAsia="宋体" w:hAnsi="Times New Roman" w:cs="Times New Roman"/>
          <w:color w:val="000000" w:themeColor="text1"/>
          <w:sz w:val="24"/>
          <w:szCs w:val="24"/>
        </w:rPr>
        <w:t>0.964kg/km·</w:t>
      </w:r>
      <w:r>
        <w:rPr>
          <w:rFonts w:ascii="Times New Roman" w:eastAsia="宋体" w:hAnsi="Times New Roman" w:cs="Times New Roman"/>
          <w:color w:val="000000" w:themeColor="text1"/>
          <w:sz w:val="24"/>
          <w:szCs w:val="24"/>
        </w:rPr>
        <w:t>辆，本项目施工期间车辆车次约为</w:t>
      </w:r>
      <w:r>
        <w:rPr>
          <w:rFonts w:ascii="Times New Roman" w:eastAsia="宋体" w:hAnsi="Times New Roman" w:cs="Times New Roman"/>
          <w:color w:val="000000" w:themeColor="text1"/>
          <w:sz w:val="24"/>
          <w:szCs w:val="24"/>
        </w:rPr>
        <w:t>200</w:t>
      </w:r>
      <w:r>
        <w:rPr>
          <w:rFonts w:ascii="Times New Roman" w:eastAsia="宋体" w:hAnsi="Times New Roman" w:cs="Times New Roman"/>
          <w:color w:val="000000" w:themeColor="text1"/>
          <w:sz w:val="24"/>
          <w:szCs w:val="24"/>
        </w:rPr>
        <w:t>辆，平均行驶距离为</w:t>
      </w:r>
      <w:r>
        <w:rPr>
          <w:rFonts w:ascii="Times New Roman" w:eastAsia="宋体" w:hAnsi="Times New Roman" w:cs="Times New Roman"/>
          <w:color w:val="000000" w:themeColor="text1"/>
          <w:sz w:val="24"/>
          <w:szCs w:val="24"/>
        </w:rPr>
        <w:t>1.5km</w:t>
      </w:r>
      <w:r>
        <w:rPr>
          <w:rFonts w:ascii="Times New Roman" w:eastAsia="宋体" w:hAnsi="Times New Roman" w:cs="Times New Roman"/>
          <w:color w:val="000000" w:themeColor="text1"/>
          <w:sz w:val="24"/>
          <w:szCs w:val="24"/>
        </w:rPr>
        <w:t>，则扬尘量为</w:t>
      </w:r>
      <w:r>
        <w:rPr>
          <w:rFonts w:ascii="Times New Roman" w:eastAsia="宋体" w:hAnsi="Times New Roman" w:cs="Times New Roman"/>
          <w:color w:val="000000" w:themeColor="text1"/>
          <w:sz w:val="24"/>
          <w:szCs w:val="24"/>
        </w:rPr>
        <w:t>0.29t/h</w:t>
      </w:r>
      <w:r>
        <w:rPr>
          <w:rFonts w:ascii="Times New Roman" w:eastAsia="宋体" w:hAnsi="Times New Roman" w:cs="Times New Roman"/>
          <w:color w:val="000000" w:themeColor="text1"/>
          <w:sz w:val="24"/>
          <w:szCs w:val="24"/>
        </w:rPr>
        <w:t>。</w:t>
      </w:r>
    </w:p>
    <w:p w:rsidR="00C861DA" w:rsidRDefault="0044752E">
      <w:pPr>
        <w:pStyle w:val="af4"/>
        <w:spacing w:before="21"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如果在施工期间车辆行驶的路面实施洒水抑尘，每天洒水</w:t>
      </w:r>
      <w:r>
        <w:rPr>
          <w:rFonts w:ascii="Times New Roman" w:eastAsia="宋体" w:hAnsi="Times New Roman" w:cs="Times New Roman"/>
          <w:color w:val="000000" w:themeColor="text1"/>
          <w:sz w:val="24"/>
          <w:szCs w:val="24"/>
        </w:rPr>
        <w:t>4~5</w:t>
      </w:r>
      <w:r>
        <w:rPr>
          <w:rFonts w:ascii="Times New Roman" w:eastAsia="宋体" w:hAnsi="Times New Roman" w:cs="Times New Roman"/>
          <w:color w:val="000000" w:themeColor="text1"/>
          <w:sz w:val="24"/>
          <w:szCs w:val="24"/>
        </w:rPr>
        <w:t>次，可使扬尘减少</w:t>
      </w:r>
      <w:r>
        <w:rPr>
          <w:rFonts w:ascii="Times New Roman" w:eastAsia="宋体" w:hAnsi="Times New Roman" w:cs="Times New Roman"/>
          <w:color w:val="000000" w:themeColor="text1"/>
          <w:sz w:val="24"/>
          <w:szCs w:val="24"/>
        </w:rPr>
        <w:t>70%</w:t>
      </w:r>
      <w:r>
        <w:rPr>
          <w:rFonts w:ascii="Times New Roman" w:eastAsia="宋体" w:hAnsi="Times New Roman" w:cs="Times New Roman"/>
          <w:color w:val="000000" w:themeColor="text1"/>
          <w:sz w:val="24"/>
          <w:szCs w:val="24"/>
        </w:rPr>
        <w:t>左右。表</w:t>
      </w:r>
      <w:r>
        <w:rPr>
          <w:rFonts w:ascii="Times New Roman" w:eastAsia="宋体" w:hAnsi="Times New Roman" w:cs="Times New Roman"/>
          <w:color w:val="000000" w:themeColor="text1"/>
          <w:sz w:val="24"/>
          <w:szCs w:val="24"/>
        </w:rPr>
        <w:t>6.1-2</w:t>
      </w:r>
      <w:r>
        <w:rPr>
          <w:rFonts w:ascii="Times New Roman" w:eastAsia="宋体" w:hAnsi="Times New Roman" w:cs="Times New Roman"/>
          <w:color w:val="000000" w:themeColor="text1"/>
          <w:sz w:val="24"/>
          <w:szCs w:val="24"/>
        </w:rPr>
        <w:t>为施工场地洒水抑尘的试验结果，结果表明实施每天洒水</w:t>
      </w:r>
      <w:r>
        <w:rPr>
          <w:rFonts w:ascii="Times New Roman" w:eastAsia="宋体" w:hAnsi="Times New Roman" w:cs="Times New Roman"/>
          <w:color w:val="000000" w:themeColor="text1"/>
          <w:sz w:val="24"/>
          <w:szCs w:val="24"/>
        </w:rPr>
        <w:t>4~5</w:t>
      </w:r>
      <w:r>
        <w:rPr>
          <w:rFonts w:ascii="Times New Roman" w:eastAsia="宋体" w:hAnsi="Times New Roman" w:cs="Times New Roman"/>
          <w:color w:val="000000" w:themeColor="text1"/>
          <w:sz w:val="24"/>
          <w:szCs w:val="24"/>
        </w:rPr>
        <w:t>次进行抑尘，可有效控制施工扬尘，将</w:t>
      </w:r>
      <w:r>
        <w:rPr>
          <w:rFonts w:ascii="Times New Roman" w:eastAsia="宋体" w:hAnsi="Times New Roman" w:cs="Times New Roman"/>
          <w:color w:val="000000" w:themeColor="text1"/>
          <w:sz w:val="24"/>
          <w:szCs w:val="24"/>
        </w:rPr>
        <w:t>TSP</w:t>
      </w:r>
      <w:r>
        <w:rPr>
          <w:rFonts w:ascii="Times New Roman" w:eastAsia="宋体" w:hAnsi="Times New Roman" w:cs="Times New Roman"/>
          <w:color w:val="000000" w:themeColor="text1"/>
          <w:sz w:val="24"/>
          <w:szCs w:val="24"/>
        </w:rPr>
        <w:t>污染距离缩小到</w:t>
      </w:r>
      <w:r>
        <w:rPr>
          <w:rFonts w:ascii="Times New Roman" w:eastAsia="宋体" w:hAnsi="Times New Roman" w:cs="Times New Roman"/>
          <w:color w:val="000000" w:themeColor="text1"/>
          <w:sz w:val="24"/>
          <w:szCs w:val="24"/>
        </w:rPr>
        <w:t>20~50m</w:t>
      </w:r>
      <w:r>
        <w:rPr>
          <w:rFonts w:ascii="Times New Roman" w:eastAsia="宋体" w:hAnsi="Times New Roman" w:cs="Times New Roman"/>
          <w:color w:val="000000" w:themeColor="text1"/>
          <w:sz w:val="24"/>
          <w:szCs w:val="24"/>
        </w:rPr>
        <w:t>范围。因此，限速行驶及保持路面清洁，同时适当洒水是减少汽车扬尘的有效手段。施工期经过洒水抑尘之后，扬尘量为</w:t>
      </w:r>
      <w:r>
        <w:rPr>
          <w:rFonts w:ascii="Times New Roman" w:eastAsia="宋体" w:hAnsi="Times New Roman" w:cs="Times New Roman"/>
          <w:color w:val="000000" w:themeColor="text1"/>
          <w:sz w:val="24"/>
          <w:szCs w:val="24"/>
        </w:rPr>
        <w:t>0.09t</w:t>
      </w:r>
      <w:r>
        <w:rPr>
          <w:rFonts w:ascii="Times New Roman" w:eastAsia="宋体" w:hAnsi="Times New Roman" w:cs="Times New Roman"/>
          <w:color w:val="000000" w:themeColor="text1"/>
          <w:sz w:val="24"/>
          <w:szCs w:val="24"/>
        </w:rPr>
        <w:t>。</w:t>
      </w:r>
    </w:p>
    <w:p w:rsidR="00C861DA" w:rsidRDefault="0044752E">
      <w:pPr>
        <w:tabs>
          <w:tab w:val="left" w:pos="1485"/>
          <w:tab w:val="left" w:pos="5943"/>
        </w:tabs>
        <w:spacing w:line="360" w:lineRule="auto"/>
        <w:jc w:val="center"/>
        <w:rPr>
          <w:rFonts w:ascii="Times New Roman" w:eastAsia="宋体" w:cs="微软雅黑"/>
          <w:b/>
          <w:bCs/>
          <w:color w:val="000000" w:themeColor="text1"/>
          <w:sz w:val="24"/>
          <w:szCs w:val="24"/>
        </w:rPr>
      </w:pPr>
      <w:r>
        <w:rPr>
          <w:rFonts w:ascii="Times New Roman" w:eastAsia="宋体" w:cs="微软雅黑"/>
          <w:b/>
          <w:bCs/>
          <w:color w:val="000000" w:themeColor="text1"/>
          <w:sz w:val="24"/>
          <w:szCs w:val="24"/>
        </w:rPr>
        <w:t>表</w:t>
      </w:r>
      <w:r>
        <w:rPr>
          <w:rFonts w:ascii="Times New Roman" w:eastAsia="宋体" w:hint="eastAsia"/>
          <w:b/>
          <w:bCs/>
          <w:color w:val="000000" w:themeColor="text1"/>
          <w:sz w:val="24"/>
          <w:szCs w:val="24"/>
        </w:rPr>
        <w:t>6.1</w:t>
      </w:r>
      <w:r>
        <w:rPr>
          <w:rFonts w:ascii="Times New Roman" w:eastAsia="宋体"/>
          <w:b/>
          <w:bCs/>
          <w:color w:val="000000" w:themeColor="text1"/>
          <w:sz w:val="24"/>
          <w:szCs w:val="24"/>
        </w:rPr>
        <w:t>-</w:t>
      </w:r>
      <w:r>
        <w:rPr>
          <w:rFonts w:ascii="Times New Roman" w:eastAsia="宋体" w:hint="eastAsia"/>
          <w:b/>
          <w:bCs/>
          <w:color w:val="000000" w:themeColor="text1"/>
          <w:sz w:val="24"/>
          <w:szCs w:val="24"/>
        </w:rPr>
        <w:t xml:space="preserve">2      </w:t>
      </w:r>
      <w:r>
        <w:rPr>
          <w:rFonts w:ascii="Times New Roman" w:eastAsia="宋体" w:cs="微软雅黑"/>
          <w:b/>
          <w:bCs/>
          <w:color w:val="000000" w:themeColor="text1"/>
          <w:sz w:val="24"/>
          <w:szCs w:val="24"/>
        </w:rPr>
        <w:t>施工场地洒水抑尘试验结果</w:t>
      </w:r>
    </w:p>
    <w:tbl>
      <w:tblPr>
        <w:tblW w:w="8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9"/>
        <w:gridCol w:w="1366"/>
        <w:gridCol w:w="1388"/>
        <w:gridCol w:w="1381"/>
        <w:gridCol w:w="1379"/>
        <w:gridCol w:w="1377"/>
      </w:tblGrid>
      <w:tr w:rsidR="00C861DA">
        <w:trPr>
          <w:trHeight w:val="369"/>
          <w:jc w:val="center"/>
        </w:trPr>
        <w:tc>
          <w:tcPr>
            <w:tcW w:w="2805" w:type="dxa"/>
            <w:gridSpan w:val="2"/>
            <w:vAlign w:val="center"/>
          </w:tcPr>
          <w:p w:rsidR="00C861DA" w:rsidRDefault="0044752E">
            <w:pPr>
              <w:pStyle w:val="TableParagraph"/>
              <w:jc w:val="center"/>
              <w:rPr>
                <w:b/>
                <w:bCs/>
                <w:color w:val="000000" w:themeColor="text1"/>
              </w:rPr>
            </w:pPr>
            <w:r>
              <w:rPr>
                <w:b/>
                <w:bCs/>
                <w:color w:val="000000" w:themeColor="text1"/>
              </w:rPr>
              <w:t>距离（</w:t>
            </w:r>
            <w:r>
              <w:rPr>
                <w:b/>
                <w:bCs/>
                <w:color w:val="000000" w:themeColor="text1"/>
              </w:rPr>
              <w:t>m</w:t>
            </w:r>
            <w:r>
              <w:rPr>
                <w:b/>
                <w:bCs/>
                <w:color w:val="000000" w:themeColor="text1"/>
              </w:rPr>
              <w:t>）</w:t>
            </w:r>
          </w:p>
        </w:tc>
        <w:tc>
          <w:tcPr>
            <w:tcW w:w="1388" w:type="dxa"/>
            <w:vAlign w:val="center"/>
          </w:tcPr>
          <w:p w:rsidR="00C861DA" w:rsidRDefault="0044752E">
            <w:pPr>
              <w:pStyle w:val="TableParagraph"/>
              <w:jc w:val="center"/>
              <w:rPr>
                <w:b/>
                <w:bCs/>
                <w:color w:val="000000" w:themeColor="text1"/>
              </w:rPr>
            </w:pPr>
            <w:r>
              <w:rPr>
                <w:b/>
                <w:bCs/>
                <w:color w:val="000000" w:themeColor="text1"/>
              </w:rPr>
              <w:t>5</w:t>
            </w:r>
          </w:p>
        </w:tc>
        <w:tc>
          <w:tcPr>
            <w:tcW w:w="1381" w:type="dxa"/>
            <w:vAlign w:val="center"/>
          </w:tcPr>
          <w:p w:rsidR="00C861DA" w:rsidRDefault="0044752E">
            <w:pPr>
              <w:pStyle w:val="TableParagraph"/>
              <w:jc w:val="center"/>
              <w:rPr>
                <w:b/>
                <w:bCs/>
                <w:color w:val="000000" w:themeColor="text1"/>
              </w:rPr>
            </w:pPr>
            <w:r>
              <w:rPr>
                <w:b/>
                <w:bCs/>
                <w:color w:val="000000" w:themeColor="text1"/>
              </w:rPr>
              <w:t>20</w:t>
            </w:r>
          </w:p>
        </w:tc>
        <w:tc>
          <w:tcPr>
            <w:tcW w:w="1379" w:type="dxa"/>
            <w:vAlign w:val="center"/>
          </w:tcPr>
          <w:p w:rsidR="00C861DA" w:rsidRDefault="0044752E">
            <w:pPr>
              <w:pStyle w:val="TableParagraph"/>
              <w:jc w:val="center"/>
              <w:rPr>
                <w:b/>
                <w:bCs/>
                <w:color w:val="000000" w:themeColor="text1"/>
              </w:rPr>
            </w:pPr>
            <w:r>
              <w:rPr>
                <w:b/>
                <w:bCs/>
                <w:color w:val="000000" w:themeColor="text1"/>
              </w:rPr>
              <w:t>50</w:t>
            </w:r>
          </w:p>
        </w:tc>
        <w:tc>
          <w:tcPr>
            <w:tcW w:w="1377" w:type="dxa"/>
            <w:vAlign w:val="center"/>
          </w:tcPr>
          <w:p w:rsidR="00C861DA" w:rsidRDefault="0044752E">
            <w:pPr>
              <w:pStyle w:val="TableParagraph"/>
              <w:jc w:val="center"/>
              <w:rPr>
                <w:b/>
                <w:bCs/>
                <w:color w:val="000000" w:themeColor="text1"/>
              </w:rPr>
            </w:pPr>
            <w:r>
              <w:rPr>
                <w:b/>
                <w:bCs/>
                <w:color w:val="000000" w:themeColor="text1"/>
              </w:rPr>
              <w:t>100</w:t>
            </w:r>
          </w:p>
        </w:tc>
      </w:tr>
      <w:tr w:rsidR="00C861DA">
        <w:trPr>
          <w:trHeight w:val="369"/>
          <w:jc w:val="center"/>
        </w:trPr>
        <w:tc>
          <w:tcPr>
            <w:tcW w:w="1439" w:type="dxa"/>
            <w:vMerge w:val="restart"/>
            <w:vAlign w:val="center"/>
          </w:tcPr>
          <w:p w:rsidR="00C861DA" w:rsidRDefault="0044752E">
            <w:pPr>
              <w:pStyle w:val="TableParagraph"/>
              <w:spacing w:before="3"/>
              <w:jc w:val="center"/>
              <w:rPr>
                <w:rFonts w:cs="宋体"/>
                <w:color w:val="000000" w:themeColor="text1"/>
              </w:rPr>
            </w:pPr>
            <w:r>
              <w:rPr>
                <w:color w:val="000000" w:themeColor="text1"/>
              </w:rPr>
              <w:t>TSP</w:t>
            </w:r>
            <w:r>
              <w:rPr>
                <w:rFonts w:cs="宋体"/>
                <w:color w:val="000000" w:themeColor="text1"/>
              </w:rPr>
              <w:t>小时平均浓度（</w:t>
            </w:r>
            <w:r>
              <w:rPr>
                <w:color w:val="000000" w:themeColor="text1"/>
              </w:rPr>
              <w:t>mg/m</w:t>
            </w:r>
            <w:r>
              <w:rPr>
                <w:rFonts w:hint="eastAsia"/>
                <w:color w:val="000000" w:themeColor="text1"/>
                <w:vertAlign w:val="superscript"/>
              </w:rPr>
              <w:t>3</w:t>
            </w:r>
            <w:r>
              <w:rPr>
                <w:rFonts w:cs="宋体"/>
                <w:color w:val="000000" w:themeColor="text1"/>
              </w:rPr>
              <w:t>）</w:t>
            </w:r>
          </w:p>
        </w:tc>
        <w:tc>
          <w:tcPr>
            <w:tcW w:w="1366" w:type="dxa"/>
            <w:vAlign w:val="center"/>
          </w:tcPr>
          <w:p w:rsidR="00C861DA" w:rsidRDefault="0044752E">
            <w:pPr>
              <w:pStyle w:val="TableParagraph"/>
              <w:jc w:val="center"/>
              <w:rPr>
                <w:color w:val="000000" w:themeColor="text1"/>
              </w:rPr>
            </w:pPr>
            <w:r>
              <w:rPr>
                <w:color w:val="000000" w:themeColor="text1"/>
              </w:rPr>
              <w:t>不洒水</w:t>
            </w:r>
          </w:p>
        </w:tc>
        <w:tc>
          <w:tcPr>
            <w:tcW w:w="1388" w:type="dxa"/>
            <w:vAlign w:val="center"/>
          </w:tcPr>
          <w:p w:rsidR="00C861DA" w:rsidRDefault="0044752E">
            <w:pPr>
              <w:pStyle w:val="TableParagraph"/>
              <w:jc w:val="center"/>
              <w:rPr>
                <w:color w:val="000000" w:themeColor="text1"/>
              </w:rPr>
            </w:pPr>
            <w:r>
              <w:rPr>
                <w:color w:val="000000" w:themeColor="text1"/>
              </w:rPr>
              <w:t>10.14</w:t>
            </w:r>
          </w:p>
        </w:tc>
        <w:tc>
          <w:tcPr>
            <w:tcW w:w="1381" w:type="dxa"/>
            <w:vAlign w:val="center"/>
          </w:tcPr>
          <w:p w:rsidR="00C861DA" w:rsidRDefault="0044752E">
            <w:pPr>
              <w:pStyle w:val="TableParagraph"/>
              <w:jc w:val="center"/>
              <w:rPr>
                <w:color w:val="000000" w:themeColor="text1"/>
              </w:rPr>
            </w:pPr>
            <w:r>
              <w:rPr>
                <w:color w:val="000000" w:themeColor="text1"/>
              </w:rPr>
              <w:t>2.89</w:t>
            </w:r>
          </w:p>
        </w:tc>
        <w:tc>
          <w:tcPr>
            <w:tcW w:w="1379" w:type="dxa"/>
            <w:vAlign w:val="center"/>
          </w:tcPr>
          <w:p w:rsidR="00C861DA" w:rsidRDefault="0044752E">
            <w:pPr>
              <w:pStyle w:val="TableParagraph"/>
              <w:jc w:val="center"/>
              <w:rPr>
                <w:color w:val="000000" w:themeColor="text1"/>
              </w:rPr>
            </w:pPr>
            <w:r>
              <w:rPr>
                <w:color w:val="000000" w:themeColor="text1"/>
              </w:rPr>
              <w:t>1.15</w:t>
            </w:r>
          </w:p>
        </w:tc>
        <w:tc>
          <w:tcPr>
            <w:tcW w:w="1377" w:type="dxa"/>
            <w:vAlign w:val="center"/>
          </w:tcPr>
          <w:p w:rsidR="00C861DA" w:rsidRDefault="0044752E">
            <w:pPr>
              <w:pStyle w:val="TableParagraph"/>
              <w:jc w:val="center"/>
              <w:rPr>
                <w:color w:val="000000" w:themeColor="text1"/>
              </w:rPr>
            </w:pPr>
            <w:r>
              <w:rPr>
                <w:color w:val="000000" w:themeColor="text1"/>
              </w:rPr>
              <w:t>0.86</w:t>
            </w:r>
          </w:p>
        </w:tc>
      </w:tr>
      <w:tr w:rsidR="00C861DA">
        <w:trPr>
          <w:trHeight w:val="369"/>
          <w:jc w:val="center"/>
        </w:trPr>
        <w:tc>
          <w:tcPr>
            <w:tcW w:w="1439" w:type="dxa"/>
            <w:vMerge/>
            <w:vAlign w:val="center"/>
          </w:tcPr>
          <w:p w:rsidR="00C861DA" w:rsidRDefault="00C861DA">
            <w:pPr>
              <w:jc w:val="center"/>
              <w:rPr>
                <w:rFonts w:ascii="Times New Roman" w:eastAsia="宋体"/>
                <w:color w:val="000000" w:themeColor="text1"/>
              </w:rPr>
            </w:pPr>
          </w:p>
        </w:tc>
        <w:tc>
          <w:tcPr>
            <w:tcW w:w="1366" w:type="dxa"/>
            <w:vAlign w:val="center"/>
          </w:tcPr>
          <w:p w:rsidR="00C861DA" w:rsidRDefault="0044752E">
            <w:pPr>
              <w:pStyle w:val="TableParagraph"/>
              <w:jc w:val="center"/>
              <w:rPr>
                <w:color w:val="000000" w:themeColor="text1"/>
              </w:rPr>
            </w:pPr>
            <w:r>
              <w:rPr>
                <w:color w:val="000000" w:themeColor="text1"/>
              </w:rPr>
              <w:t>洒水</w:t>
            </w:r>
          </w:p>
        </w:tc>
        <w:tc>
          <w:tcPr>
            <w:tcW w:w="1388" w:type="dxa"/>
            <w:vAlign w:val="center"/>
          </w:tcPr>
          <w:p w:rsidR="00C861DA" w:rsidRDefault="0044752E">
            <w:pPr>
              <w:pStyle w:val="TableParagraph"/>
              <w:jc w:val="center"/>
              <w:rPr>
                <w:color w:val="000000" w:themeColor="text1"/>
              </w:rPr>
            </w:pPr>
            <w:r>
              <w:rPr>
                <w:color w:val="000000" w:themeColor="text1"/>
              </w:rPr>
              <w:t>2.01</w:t>
            </w:r>
          </w:p>
        </w:tc>
        <w:tc>
          <w:tcPr>
            <w:tcW w:w="1381" w:type="dxa"/>
            <w:vAlign w:val="center"/>
          </w:tcPr>
          <w:p w:rsidR="00C861DA" w:rsidRDefault="0044752E">
            <w:pPr>
              <w:pStyle w:val="TableParagraph"/>
              <w:jc w:val="center"/>
              <w:rPr>
                <w:color w:val="000000" w:themeColor="text1"/>
              </w:rPr>
            </w:pPr>
            <w:r>
              <w:rPr>
                <w:color w:val="000000" w:themeColor="text1"/>
              </w:rPr>
              <w:t>1.40</w:t>
            </w:r>
          </w:p>
        </w:tc>
        <w:tc>
          <w:tcPr>
            <w:tcW w:w="1379" w:type="dxa"/>
            <w:vAlign w:val="center"/>
          </w:tcPr>
          <w:p w:rsidR="00C861DA" w:rsidRDefault="0044752E">
            <w:pPr>
              <w:pStyle w:val="TableParagraph"/>
              <w:jc w:val="center"/>
              <w:rPr>
                <w:color w:val="000000" w:themeColor="text1"/>
              </w:rPr>
            </w:pPr>
            <w:r>
              <w:rPr>
                <w:color w:val="000000" w:themeColor="text1"/>
              </w:rPr>
              <w:t>0.67</w:t>
            </w:r>
          </w:p>
        </w:tc>
        <w:tc>
          <w:tcPr>
            <w:tcW w:w="1377" w:type="dxa"/>
            <w:vAlign w:val="center"/>
          </w:tcPr>
          <w:p w:rsidR="00C861DA" w:rsidRDefault="0044752E">
            <w:pPr>
              <w:pStyle w:val="TableParagraph"/>
              <w:jc w:val="center"/>
              <w:rPr>
                <w:color w:val="000000" w:themeColor="text1"/>
              </w:rPr>
            </w:pPr>
            <w:r>
              <w:rPr>
                <w:color w:val="000000" w:themeColor="text1"/>
              </w:rPr>
              <w:t>0.60</w:t>
            </w:r>
          </w:p>
        </w:tc>
      </w:tr>
    </w:tbl>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）尾气影响分析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施工机械及各型运输车辆。使用汽油、柴油作为能源，在运行时排放的废气是主要的污染源。在主体施工及装修、安装阶段使用的机械一般都是以电为能源，如输送泵、振捣器、电焊机、电钻、角向磨光机等，一般不会产生废气。</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施工机械废气主要是</w:t>
      </w:r>
      <w:r>
        <w:rPr>
          <w:rFonts w:ascii="Times New Roman" w:eastAsia="宋体" w:hAnsi="Times New Roman" w:cs="Times New Roman"/>
          <w:color w:val="000000" w:themeColor="text1"/>
          <w:sz w:val="24"/>
          <w:szCs w:val="24"/>
        </w:rPr>
        <w:t>CO</w:t>
      </w:r>
      <w:r>
        <w:rPr>
          <w:rFonts w:ascii="Times New Roman" w:eastAsia="宋体" w:hAnsi="Times New Roman" w:cs="Times New Roman"/>
          <w:color w:val="000000" w:themeColor="text1"/>
          <w:sz w:val="24"/>
          <w:szCs w:val="24"/>
        </w:rPr>
        <w:t>、碳氢化合物等，其产生量及废气中污染物浓度视其使用频率及发动机对燃料的燃烧情况而异。施工机械废气属低架点源无组织排放性质，具有间断性产生、产生量较小、产生点相对分散、易被稀释扩散等特点，加之项目区施工范围相对较大，施工场地周围较空旷，大气扩散条件相对较好，故一般情况下，施工机械和运输车辆所产生的尾气在空气中经自然扩散和稀释后，对评价区域的空气环境质量影响不大。</w:t>
      </w:r>
    </w:p>
    <w:p w:rsidR="00C861DA" w:rsidRDefault="0044752E">
      <w:pPr>
        <w:pStyle w:val="32"/>
        <w:rPr>
          <w:rFonts w:ascii="Times New Roman" w:eastAsia="宋体"/>
          <w:bCs w:val="0"/>
          <w:color w:val="000000" w:themeColor="text1"/>
          <w:sz w:val="24"/>
          <w:szCs w:val="24"/>
        </w:rPr>
      </w:pPr>
      <w:bookmarkStart w:id="369" w:name="_Toc6826829"/>
      <w:r>
        <w:rPr>
          <w:rFonts w:ascii="Times New Roman" w:eastAsia="宋体" w:hint="eastAsia"/>
          <w:bCs w:val="0"/>
          <w:color w:val="000000" w:themeColor="text1"/>
          <w:sz w:val="24"/>
          <w:szCs w:val="24"/>
        </w:rPr>
        <w:t>6.1.3</w:t>
      </w:r>
      <w:r>
        <w:rPr>
          <w:rFonts w:ascii="Times New Roman" w:eastAsia="宋体" w:hint="eastAsia"/>
          <w:bCs w:val="0"/>
          <w:color w:val="000000" w:themeColor="text1"/>
          <w:sz w:val="24"/>
          <w:szCs w:val="24"/>
        </w:rPr>
        <w:t>污染防治措施</w:t>
      </w:r>
      <w:bookmarkEnd w:id="369"/>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根据环境空气现状监测结果可知，项目所在区域</w:t>
      </w:r>
      <w:r>
        <w:rPr>
          <w:rFonts w:ascii="Times New Roman" w:eastAsia="宋体" w:hAnsi="Times New Roman" w:cs="Times New Roman"/>
          <w:color w:val="000000" w:themeColor="text1"/>
          <w:sz w:val="24"/>
          <w:szCs w:val="24"/>
        </w:rPr>
        <w:t>PM</w:t>
      </w:r>
      <w:r>
        <w:rPr>
          <w:rFonts w:ascii="Times New Roman" w:eastAsia="宋体" w:hAnsi="Times New Roman" w:cs="Times New Roman"/>
          <w:color w:val="000000" w:themeColor="text1"/>
          <w:sz w:val="24"/>
          <w:szCs w:val="24"/>
          <w:vertAlign w:val="subscript"/>
        </w:rPr>
        <w:t>10</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PM</w:t>
      </w:r>
      <w:r>
        <w:rPr>
          <w:rFonts w:ascii="Times New Roman" w:eastAsia="宋体" w:hAnsi="Times New Roman" w:cs="Times New Roman"/>
          <w:color w:val="000000" w:themeColor="text1"/>
          <w:sz w:val="24"/>
          <w:szCs w:val="24"/>
          <w:vertAlign w:val="subscript"/>
        </w:rPr>
        <w:t>2.5</w:t>
      </w:r>
      <w:r>
        <w:rPr>
          <w:rFonts w:ascii="Times New Roman" w:eastAsia="宋体" w:hAnsi="Times New Roman" w:cs="Times New Roman"/>
          <w:color w:val="000000" w:themeColor="text1"/>
          <w:sz w:val="24"/>
          <w:szCs w:val="24"/>
        </w:rPr>
        <w:t>最大浓度对应的单因子指数最大值均为</w:t>
      </w:r>
      <w:r>
        <w:rPr>
          <w:rFonts w:ascii="Times New Roman" w:eastAsia="宋体" w:hAnsi="Times New Roman" w:cs="Times New Roman"/>
          <w:color w:val="000000" w:themeColor="text1"/>
          <w:sz w:val="24"/>
          <w:szCs w:val="24"/>
        </w:rPr>
        <w:t>0.9</w:t>
      </w:r>
      <w:r>
        <w:rPr>
          <w:rFonts w:ascii="Times New Roman" w:eastAsia="宋体" w:hAnsi="Times New Roman" w:cs="Times New Roman"/>
          <w:color w:val="000000" w:themeColor="text1"/>
          <w:sz w:val="24"/>
          <w:szCs w:val="24"/>
        </w:rPr>
        <w:t>87</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lang w:bidi="en-US"/>
        </w:rPr>
        <w:t>现状监测结果十分接近《环境空气质量标准》（</w:t>
      </w:r>
      <w:r>
        <w:rPr>
          <w:rFonts w:ascii="Times New Roman" w:eastAsia="宋体" w:hAnsi="Times New Roman" w:cs="Times New Roman"/>
          <w:color w:val="000000" w:themeColor="text1"/>
          <w:sz w:val="24"/>
          <w:szCs w:val="24"/>
          <w:lang w:bidi="en-US"/>
        </w:rPr>
        <w:t>GB3095-2012</w:t>
      </w:r>
      <w:r>
        <w:rPr>
          <w:rFonts w:ascii="Times New Roman" w:eastAsia="宋体" w:hAnsi="Times New Roman" w:cs="Times New Roman"/>
          <w:color w:val="000000" w:themeColor="text1"/>
          <w:sz w:val="24"/>
          <w:szCs w:val="24"/>
          <w:lang w:bidi="en-US"/>
        </w:rPr>
        <w:t>）二级标准限值，空气质量现状形势较严峻。根据现场踏勘，</w:t>
      </w:r>
      <w:r>
        <w:rPr>
          <w:rFonts w:ascii="Times New Roman" w:eastAsia="宋体" w:hAnsi="Times New Roman" w:cs="Times New Roman"/>
          <w:iCs/>
          <w:color w:val="000000" w:themeColor="text1"/>
          <w:sz w:val="24"/>
          <w:szCs w:val="24"/>
        </w:rPr>
        <w:t>项目所在区域正在修建呈黄快速路、昆嵩高速公路、片区内部道路以及场地平整，扬尘较大，但随着施工期结束，区域颗粒物浓度将会大幅度降低。本项目施工期间，应加强</w:t>
      </w:r>
      <w:r>
        <w:rPr>
          <w:rFonts w:ascii="Times New Roman" w:eastAsia="宋体" w:hAnsi="Times New Roman" w:cs="Times New Roman"/>
          <w:color w:val="000000" w:themeColor="text1"/>
          <w:sz w:val="24"/>
          <w:szCs w:val="24"/>
        </w:rPr>
        <w:t>扬尘的控制措施，降低扬尘对环境空气的影响。</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）扬尘的控制措施</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为减少施工扬尘影响，应严格执行《昆明市人民政府办公厅关于进一步落实工地扬尘污染防治责任的通知》（昆政办</w:t>
      </w:r>
      <w:r>
        <w:rPr>
          <w:rFonts w:ascii="Times New Roman" w:eastAsia="宋体" w:hAnsi="Times New Roman" w:cs="Times New Roman"/>
          <w:color w:val="000000" w:themeColor="text1"/>
          <w:sz w:val="24"/>
          <w:szCs w:val="24"/>
        </w:rPr>
        <w:t>[2018]27</w:t>
      </w:r>
      <w:r>
        <w:rPr>
          <w:rFonts w:ascii="Times New Roman" w:eastAsia="宋体" w:hAnsi="Times New Roman" w:cs="Times New Roman"/>
          <w:color w:val="000000" w:themeColor="text1"/>
          <w:sz w:val="24"/>
          <w:szCs w:val="24"/>
        </w:rPr>
        <w:t>号）、《建筑工地扬尘污染防治细化规定》等相关规定，并做好以下工作：</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①</w:t>
      </w:r>
      <w:r>
        <w:rPr>
          <w:rFonts w:ascii="Times New Roman" w:eastAsia="宋体" w:hAnsi="Times New Roman" w:cs="Times New Roman"/>
          <w:color w:val="000000" w:themeColor="text1"/>
          <w:sz w:val="24"/>
          <w:szCs w:val="24"/>
        </w:rPr>
        <w:t>设置控制扬尘污染责任标志牌，标明扬尘污染防治措施、主管部门、责任人及环保监督电话等内容。</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②</w:t>
      </w:r>
      <w:r>
        <w:rPr>
          <w:rFonts w:ascii="Times New Roman" w:eastAsia="宋体" w:hAnsi="Times New Roman" w:cs="Times New Roman"/>
          <w:color w:val="000000" w:themeColor="text1"/>
          <w:sz w:val="24"/>
          <w:szCs w:val="24"/>
        </w:rPr>
        <w:t>施工现场应保持整洁，拟建项目大门口及主要道路、加工区必须做成混凝土地面，并满足车辆行驶要求。其他部位可采用不同的硬化措施，但现场地面应平整坚实，不得产生泥土和扬尘。施工现场围挡外地面，也应采取相应的硬化或绿化措施，确保干净、整洁、卫</w:t>
      </w:r>
      <w:r>
        <w:rPr>
          <w:rFonts w:ascii="Times New Roman" w:eastAsia="宋体" w:hAnsi="Times New Roman" w:cs="Times New Roman"/>
          <w:color w:val="000000" w:themeColor="text1"/>
          <w:sz w:val="24"/>
          <w:szCs w:val="24"/>
        </w:rPr>
        <w:t>生、无扬尘。</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③</w:t>
      </w:r>
      <w:r>
        <w:rPr>
          <w:rFonts w:ascii="Times New Roman" w:eastAsia="宋体" w:hAnsi="Times New Roman" w:cs="Times New Roman"/>
          <w:color w:val="000000" w:themeColor="text1"/>
          <w:sz w:val="24"/>
          <w:szCs w:val="24"/>
        </w:rPr>
        <w:t>出入口设置车辆冲洗设施，设置冲洗槽和沉淀池，保持排水通畅，污水未经处理不得外排，运输车辆驶出工地前，应对车轮、车身、车帮等部位进行清理或清洗以确保出场运输车辆清洗率达到</w:t>
      </w:r>
      <w:r>
        <w:rPr>
          <w:rFonts w:ascii="Times New Roman" w:eastAsia="宋体" w:hAnsi="Times New Roman" w:cs="Times New Roman"/>
          <w:color w:val="000000" w:themeColor="text1"/>
          <w:sz w:val="24"/>
          <w:szCs w:val="24"/>
        </w:rPr>
        <w:t>100%</w:t>
      </w:r>
      <w:r>
        <w:rPr>
          <w:rFonts w:ascii="Times New Roman" w:eastAsia="宋体" w:hAnsi="Times New Roman" w:cs="Times New Roman"/>
          <w:color w:val="000000" w:themeColor="text1"/>
          <w:sz w:val="24"/>
          <w:szCs w:val="24"/>
        </w:rPr>
        <w:t>，洗车喷嘴净水压不低于</w:t>
      </w:r>
      <w:r>
        <w:rPr>
          <w:rFonts w:ascii="Times New Roman" w:eastAsia="宋体" w:hAnsi="Times New Roman" w:cs="Times New Roman"/>
          <w:color w:val="000000" w:themeColor="text1"/>
          <w:sz w:val="24"/>
          <w:szCs w:val="24"/>
        </w:rPr>
        <w:t>0.5Mpa</w:t>
      </w:r>
      <w:r>
        <w:rPr>
          <w:rFonts w:ascii="Times New Roman" w:eastAsia="宋体" w:hAnsi="Times New Roman" w:cs="Times New Roman"/>
          <w:color w:val="000000" w:themeColor="text1"/>
          <w:sz w:val="24"/>
          <w:szCs w:val="24"/>
        </w:rPr>
        <w:t>，洗车废水经沉淀池处理后回用于防尘洒水。</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④</w:t>
      </w:r>
      <w:r>
        <w:rPr>
          <w:rFonts w:ascii="Times New Roman" w:eastAsia="宋体" w:hAnsi="Times New Roman" w:cs="Times New Roman"/>
          <w:color w:val="000000" w:themeColor="text1"/>
          <w:sz w:val="24"/>
          <w:szCs w:val="24"/>
        </w:rPr>
        <w:t>施工现场禁止搅拌混凝土、沙浆。水泥、石灰粉等建筑材料应存放在库房或者严密遮盖。沙、石、土方等散体材料应堆放且覆盖。场内装卸、搬运物料应洒水，不能凌空抛撒。</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⑤</w:t>
      </w:r>
      <w:r>
        <w:rPr>
          <w:rFonts w:ascii="Times New Roman" w:eastAsia="宋体" w:hAnsi="Times New Roman" w:cs="Times New Roman"/>
          <w:color w:val="000000" w:themeColor="text1"/>
          <w:sz w:val="24"/>
          <w:szCs w:val="24"/>
        </w:rPr>
        <w:t>施工过程中对施工场地勤洒水，施工厂界设置喷淋洒水装置，增设洒水雾炮车沿施工厂界道路定期喷水雾，保证施工场地湿润，降低扬尘产生。</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⑥</w:t>
      </w:r>
      <w:r>
        <w:rPr>
          <w:rFonts w:ascii="Times New Roman" w:eastAsia="宋体" w:hAnsi="Times New Roman" w:cs="Times New Roman"/>
          <w:color w:val="000000" w:themeColor="text1"/>
          <w:sz w:val="24"/>
          <w:szCs w:val="24"/>
        </w:rPr>
        <w:t>四级以上大风天气或者市政府发布空气质量预警时禁止进行土方开挖、回填等可能产生扬尘的施工，同时作业处覆以防尘网。</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⑦</w:t>
      </w:r>
      <w:r>
        <w:rPr>
          <w:rFonts w:ascii="Times New Roman" w:eastAsia="宋体" w:hAnsi="Times New Roman" w:cs="Times New Roman"/>
          <w:color w:val="000000" w:themeColor="text1"/>
          <w:sz w:val="24"/>
          <w:szCs w:val="24"/>
        </w:rPr>
        <w:t>制定运输扬尘管理办法，运输垃圾、渣土、砂石、土方、灰浆等散装、流体物料车辆要采取密闭或其他措施防止扬尘污染。</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）施工机械尾气控制措施</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通过加强对施工机械的维护和保养，加强对施工机械施工进程的管理，提高使用效率等措施，车辆尾气排放符合环保要求，即可有效减少尾气中污染物的产生及排放。</w:t>
      </w:r>
    </w:p>
    <w:p w:rsidR="00C861DA" w:rsidRDefault="0044752E">
      <w:pPr>
        <w:pStyle w:val="22"/>
        <w:rPr>
          <w:rFonts w:ascii="Times New Roman" w:eastAsia="宋体" w:hAnsi="Times New Roman"/>
          <w:bCs w:val="0"/>
          <w:color w:val="000000" w:themeColor="text1"/>
          <w:sz w:val="28"/>
          <w:szCs w:val="28"/>
        </w:rPr>
      </w:pPr>
      <w:bookmarkStart w:id="370" w:name="_Toc27738"/>
      <w:bookmarkStart w:id="371" w:name="_Toc12835"/>
      <w:bookmarkStart w:id="372" w:name="_Toc2141"/>
      <w:bookmarkStart w:id="373" w:name="_Toc11693"/>
      <w:bookmarkStart w:id="374" w:name="_Toc6826830"/>
      <w:r>
        <w:rPr>
          <w:rFonts w:ascii="Times New Roman" w:eastAsia="宋体" w:hAnsi="Times New Roman" w:hint="eastAsia"/>
          <w:bCs w:val="0"/>
          <w:color w:val="000000" w:themeColor="text1"/>
          <w:sz w:val="28"/>
          <w:szCs w:val="28"/>
        </w:rPr>
        <w:t>6.2</w:t>
      </w:r>
      <w:r>
        <w:rPr>
          <w:rFonts w:ascii="Times New Roman" w:eastAsia="宋体" w:hAnsi="Times New Roman" w:hint="eastAsia"/>
          <w:bCs w:val="0"/>
          <w:color w:val="000000" w:themeColor="text1"/>
          <w:sz w:val="28"/>
          <w:szCs w:val="28"/>
        </w:rPr>
        <w:t>施工期对水环境影响分析</w:t>
      </w:r>
      <w:bookmarkEnd w:id="370"/>
      <w:bookmarkEnd w:id="371"/>
      <w:bookmarkEnd w:id="372"/>
      <w:bookmarkEnd w:id="373"/>
      <w:bookmarkEnd w:id="374"/>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施工期废水污染源主要为施工废水、场地含泥雨水和生活污水。</w:t>
      </w:r>
    </w:p>
    <w:p w:rsidR="00C861DA" w:rsidRDefault="0044752E">
      <w:pPr>
        <w:pStyle w:val="32"/>
        <w:rPr>
          <w:rFonts w:ascii="Times New Roman" w:eastAsia="宋体"/>
          <w:bCs w:val="0"/>
          <w:color w:val="000000" w:themeColor="text1"/>
          <w:sz w:val="24"/>
          <w:szCs w:val="24"/>
        </w:rPr>
      </w:pPr>
      <w:bookmarkStart w:id="375" w:name="_Toc6826831"/>
      <w:r>
        <w:rPr>
          <w:rFonts w:ascii="Times New Roman" w:eastAsia="宋体" w:hint="eastAsia"/>
          <w:bCs w:val="0"/>
          <w:color w:val="000000" w:themeColor="text1"/>
          <w:sz w:val="24"/>
          <w:szCs w:val="24"/>
        </w:rPr>
        <w:t>6</w:t>
      </w:r>
      <w:r>
        <w:rPr>
          <w:rFonts w:ascii="Times New Roman" w:eastAsia="宋体"/>
          <w:bCs w:val="0"/>
          <w:color w:val="000000" w:themeColor="text1"/>
          <w:sz w:val="24"/>
          <w:szCs w:val="24"/>
        </w:rPr>
        <w:t>.2.1</w:t>
      </w:r>
      <w:r>
        <w:rPr>
          <w:rFonts w:ascii="Times New Roman" w:eastAsia="宋体" w:hint="eastAsia"/>
          <w:bCs w:val="0"/>
          <w:color w:val="000000" w:themeColor="text1"/>
          <w:sz w:val="24"/>
          <w:szCs w:val="24"/>
        </w:rPr>
        <w:t>施工废水</w:t>
      </w:r>
      <w:bookmarkEnd w:id="375"/>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施工废水主要为施工场内施工机械清洗废水</w:t>
      </w:r>
      <w:r>
        <w:rPr>
          <w:rFonts w:ascii="Times New Roman" w:eastAsia="宋体" w:hint="eastAsia"/>
          <w:color w:val="000000" w:themeColor="text1"/>
          <w:sz w:val="24"/>
          <w:szCs w:val="24"/>
        </w:rPr>
        <w:t>，类比类似工程，施工机械的清洗用水量约为</w:t>
      </w:r>
      <w:r>
        <w:rPr>
          <w:rFonts w:ascii="Times New Roman" w:eastAsia="宋体" w:hint="eastAsia"/>
          <w:color w:val="000000" w:themeColor="text1"/>
          <w:sz w:val="24"/>
          <w:szCs w:val="24"/>
        </w:rPr>
        <w:t>15m</w:t>
      </w:r>
      <w:r>
        <w:rPr>
          <w:rFonts w:ascii="Times New Roman" w:eastAsia="宋体" w:hint="eastAsia"/>
          <w:color w:val="000000" w:themeColor="text1"/>
          <w:sz w:val="24"/>
          <w:szCs w:val="24"/>
          <w:vertAlign w:val="superscript"/>
        </w:rPr>
        <w:t>3</w:t>
      </w:r>
      <w:r>
        <w:rPr>
          <w:rFonts w:ascii="Times New Roman" w:eastAsia="宋体" w:hint="eastAsia"/>
          <w:color w:val="000000" w:themeColor="text1"/>
          <w:sz w:val="24"/>
          <w:szCs w:val="24"/>
        </w:rPr>
        <w:t>/d</w:t>
      </w:r>
      <w:r>
        <w:rPr>
          <w:rFonts w:ascii="Times New Roman" w:eastAsia="宋体" w:hint="eastAsia"/>
          <w:color w:val="000000" w:themeColor="text1"/>
          <w:sz w:val="24"/>
          <w:szCs w:val="24"/>
        </w:rPr>
        <w:t>，废水产生量为</w:t>
      </w:r>
      <w:r>
        <w:rPr>
          <w:rFonts w:ascii="Times New Roman" w:eastAsia="宋体" w:hint="eastAsia"/>
          <w:color w:val="000000" w:themeColor="text1"/>
          <w:sz w:val="24"/>
          <w:szCs w:val="24"/>
        </w:rPr>
        <w:t>12m</w:t>
      </w:r>
      <w:r>
        <w:rPr>
          <w:rFonts w:ascii="Times New Roman" w:eastAsia="宋体" w:hint="eastAsia"/>
          <w:color w:val="000000" w:themeColor="text1"/>
          <w:sz w:val="24"/>
          <w:szCs w:val="24"/>
          <w:vertAlign w:val="superscript"/>
        </w:rPr>
        <w:t>3</w:t>
      </w:r>
      <w:r>
        <w:rPr>
          <w:rFonts w:ascii="Times New Roman" w:eastAsia="宋体" w:hint="eastAsia"/>
          <w:color w:val="000000" w:themeColor="text1"/>
          <w:sz w:val="24"/>
          <w:szCs w:val="24"/>
        </w:rPr>
        <w:t>/d</w:t>
      </w:r>
      <w:r>
        <w:rPr>
          <w:rFonts w:ascii="Times New Roman" w:eastAsia="宋体" w:hint="eastAsia"/>
          <w:color w:val="000000" w:themeColor="text1"/>
          <w:sz w:val="24"/>
          <w:szCs w:val="24"/>
        </w:rPr>
        <w:t>。</w:t>
      </w:r>
      <w:r>
        <w:rPr>
          <w:rFonts w:ascii="Times New Roman" w:eastAsia="宋体" w:hint="eastAsia"/>
          <w:color w:val="000000" w:themeColor="text1"/>
          <w:sz w:val="24"/>
          <w:szCs w:val="24"/>
        </w:rPr>
        <w:t xml:space="preserve"> </w:t>
      </w:r>
      <w:r>
        <w:rPr>
          <w:rFonts w:ascii="Times New Roman" w:eastAsia="宋体" w:hint="eastAsia"/>
          <w:color w:val="000000" w:themeColor="text1"/>
          <w:sz w:val="24"/>
          <w:szCs w:val="24"/>
        </w:rPr>
        <w:t>与大多数建筑工程一样，该项目施工废水不含有毒物质，主要是泥沙悬浮物含量较大。根据国内外同类工程施工废水监测资料：施工过程中设备、工具清洗及其它等产生的废水量小，主要污染物为悬浮物</w:t>
      </w:r>
      <w:r>
        <w:rPr>
          <w:rFonts w:ascii="Times New Roman" w:eastAsia="宋体"/>
          <w:color w:val="000000" w:themeColor="text1"/>
          <w:sz w:val="24"/>
          <w:szCs w:val="24"/>
        </w:rPr>
        <w:t>和石油类</w:t>
      </w:r>
      <w:r>
        <w:rPr>
          <w:rFonts w:ascii="Times New Roman" w:eastAsia="宋体" w:hint="eastAsia"/>
          <w:color w:val="000000" w:themeColor="text1"/>
          <w:sz w:val="24"/>
          <w:szCs w:val="24"/>
        </w:rPr>
        <w:t>，污水浓度为：</w:t>
      </w:r>
      <w:r>
        <w:rPr>
          <w:rFonts w:ascii="Times New Roman" w:eastAsia="宋体" w:hint="eastAsia"/>
          <w:color w:val="000000" w:themeColor="text1"/>
          <w:sz w:val="24"/>
          <w:szCs w:val="24"/>
        </w:rPr>
        <w:t>COD</w:t>
      </w:r>
      <w:r>
        <w:rPr>
          <w:rFonts w:ascii="Times New Roman" w:eastAsia="宋体"/>
          <w:color w:val="000000" w:themeColor="text1"/>
          <w:sz w:val="24"/>
          <w:szCs w:val="24"/>
          <w:vertAlign w:val="subscript"/>
        </w:rPr>
        <w:t>Cr</w:t>
      </w:r>
      <w:r>
        <w:rPr>
          <w:rFonts w:ascii="Times New Roman" w:eastAsia="宋体" w:hint="eastAsia"/>
          <w:color w:val="000000" w:themeColor="text1"/>
          <w:sz w:val="24"/>
          <w:szCs w:val="24"/>
        </w:rPr>
        <w:t>为</w:t>
      </w:r>
      <w:r>
        <w:rPr>
          <w:rFonts w:ascii="Times New Roman" w:eastAsia="宋体" w:hint="eastAsia"/>
          <w:color w:val="000000" w:themeColor="text1"/>
          <w:sz w:val="24"/>
          <w:szCs w:val="24"/>
        </w:rPr>
        <w:t>80mg/L</w:t>
      </w:r>
      <w:r>
        <w:rPr>
          <w:rFonts w:ascii="Times New Roman" w:eastAsia="宋体" w:hint="eastAsia"/>
          <w:color w:val="000000" w:themeColor="text1"/>
          <w:sz w:val="24"/>
          <w:szCs w:val="24"/>
        </w:rPr>
        <w:t>，</w:t>
      </w:r>
      <w:r>
        <w:rPr>
          <w:rFonts w:ascii="Times New Roman" w:eastAsia="宋体" w:hint="eastAsia"/>
          <w:color w:val="000000" w:themeColor="text1"/>
          <w:sz w:val="24"/>
          <w:szCs w:val="24"/>
        </w:rPr>
        <w:t>BOD</w:t>
      </w:r>
      <w:r>
        <w:rPr>
          <w:rFonts w:ascii="Times New Roman" w:eastAsia="宋体"/>
          <w:color w:val="000000" w:themeColor="text1"/>
          <w:sz w:val="24"/>
          <w:szCs w:val="24"/>
          <w:vertAlign w:val="subscript"/>
        </w:rPr>
        <w:t>5</w:t>
      </w:r>
      <w:r>
        <w:rPr>
          <w:rFonts w:ascii="Times New Roman" w:eastAsia="宋体" w:hint="eastAsia"/>
          <w:color w:val="000000" w:themeColor="text1"/>
          <w:sz w:val="24"/>
          <w:szCs w:val="24"/>
        </w:rPr>
        <w:t>为</w:t>
      </w:r>
      <w:r>
        <w:rPr>
          <w:rFonts w:ascii="Times New Roman" w:eastAsia="宋体" w:hint="eastAsia"/>
          <w:color w:val="000000" w:themeColor="text1"/>
          <w:sz w:val="24"/>
          <w:szCs w:val="24"/>
        </w:rPr>
        <w:t>40mg/L</w:t>
      </w:r>
      <w:r>
        <w:rPr>
          <w:rFonts w:ascii="Times New Roman" w:eastAsia="宋体" w:hint="eastAsia"/>
          <w:color w:val="000000" w:themeColor="text1"/>
          <w:sz w:val="24"/>
          <w:szCs w:val="24"/>
        </w:rPr>
        <w:t>，</w:t>
      </w:r>
      <w:r>
        <w:rPr>
          <w:rFonts w:ascii="Times New Roman" w:eastAsia="宋体" w:hint="eastAsia"/>
          <w:color w:val="000000" w:themeColor="text1"/>
          <w:sz w:val="24"/>
          <w:szCs w:val="24"/>
        </w:rPr>
        <w:t>SS</w:t>
      </w:r>
      <w:r>
        <w:rPr>
          <w:rFonts w:ascii="Times New Roman" w:eastAsia="宋体" w:hint="eastAsia"/>
          <w:color w:val="000000" w:themeColor="text1"/>
          <w:sz w:val="24"/>
          <w:szCs w:val="24"/>
        </w:rPr>
        <w:t>为</w:t>
      </w:r>
      <w:r>
        <w:rPr>
          <w:rFonts w:ascii="Times New Roman" w:eastAsia="宋体" w:hint="eastAsia"/>
          <w:color w:val="000000" w:themeColor="text1"/>
          <w:sz w:val="24"/>
          <w:szCs w:val="24"/>
        </w:rPr>
        <w:t>1500mg/L</w:t>
      </w:r>
      <w:r>
        <w:rPr>
          <w:rFonts w:ascii="Times New Roman" w:eastAsia="宋体" w:hint="eastAsia"/>
          <w:color w:val="000000" w:themeColor="text1"/>
          <w:sz w:val="24"/>
          <w:szCs w:val="24"/>
        </w:rPr>
        <w:t>，石油类</w:t>
      </w:r>
      <w:r>
        <w:rPr>
          <w:rFonts w:ascii="Times New Roman" w:eastAsia="宋体" w:hint="eastAsia"/>
          <w:color w:val="000000" w:themeColor="text1"/>
          <w:sz w:val="24"/>
          <w:szCs w:val="24"/>
        </w:rPr>
        <w:t>10mg/L</w:t>
      </w:r>
      <w:r>
        <w:rPr>
          <w:rFonts w:ascii="Times New Roman" w:eastAsia="宋体" w:hint="eastAsia"/>
          <w:color w:val="000000" w:themeColor="text1"/>
          <w:sz w:val="24"/>
          <w:szCs w:val="24"/>
        </w:rPr>
        <w:t>。</w:t>
      </w:r>
      <w:r>
        <w:rPr>
          <w:rFonts w:ascii="Times New Roman" w:eastAsia="宋体"/>
          <w:color w:val="000000" w:themeColor="text1"/>
          <w:sz w:val="24"/>
          <w:szCs w:val="24"/>
        </w:rPr>
        <w:t>如果施工废水随意排放进入周围农田冲沟内，将直接影响周围地表水体的水质。因此施工场内建立废水沉淀贮水池，施工废水经沉淀处理后回用于场地降尘或者自然蒸发干化，避免施工废水对周围地表水造成影响。从节约用水出发，项目应将施工废</w:t>
      </w:r>
      <w:r>
        <w:rPr>
          <w:rFonts w:ascii="Times New Roman" w:eastAsia="宋体"/>
          <w:color w:val="000000" w:themeColor="text1"/>
          <w:sz w:val="24"/>
          <w:szCs w:val="24"/>
        </w:rPr>
        <w:t>水统一收集于沉淀池进行回用。减少施工废水排放，避免施工废水的对外环境的可能影响，确保每一个施工活动场地建设一个沉淀池。</w:t>
      </w:r>
    </w:p>
    <w:p w:rsidR="00C861DA" w:rsidRDefault="0044752E">
      <w:pPr>
        <w:pStyle w:val="32"/>
        <w:rPr>
          <w:rFonts w:ascii="Times New Roman" w:eastAsia="宋体"/>
          <w:bCs w:val="0"/>
          <w:color w:val="000000" w:themeColor="text1"/>
          <w:sz w:val="24"/>
          <w:szCs w:val="24"/>
        </w:rPr>
      </w:pPr>
      <w:bookmarkStart w:id="376" w:name="_Toc6826832"/>
      <w:r>
        <w:rPr>
          <w:rFonts w:ascii="Times New Roman" w:eastAsia="宋体" w:hint="eastAsia"/>
          <w:bCs w:val="0"/>
          <w:color w:val="000000" w:themeColor="text1"/>
          <w:sz w:val="24"/>
          <w:szCs w:val="24"/>
        </w:rPr>
        <w:t>6</w:t>
      </w:r>
      <w:r>
        <w:rPr>
          <w:rFonts w:ascii="Times New Roman" w:eastAsia="宋体"/>
          <w:bCs w:val="0"/>
          <w:color w:val="000000" w:themeColor="text1"/>
          <w:sz w:val="24"/>
          <w:szCs w:val="24"/>
        </w:rPr>
        <w:t>.2.2</w:t>
      </w:r>
      <w:r>
        <w:rPr>
          <w:rFonts w:ascii="Times New Roman" w:eastAsia="宋体"/>
          <w:bCs w:val="0"/>
          <w:color w:val="000000" w:themeColor="text1"/>
          <w:sz w:val="24"/>
          <w:szCs w:val="24"/>
        </w:rPr>
        <w:t>场地含泥雨水</w:t>
      </w:r>
      <w:bookmarkEnd w:id="376"/>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雨季施工场地上的大气降水必然含有后大量泥沙等悬浮物。在雨季，含泥沙的雨水直接排泄至地表水，会降低地表水水质。进入地下水系统后，降低地下水水质，进而影响</w:t>
      </w:r>
      <w:r>
        <w:rPr>
          <w:rFonts w:ascii="Times New Roman" w:eastAsia="宋体" w:hint="eastAsia"/>
          <w:color w:val="000000" w:themeColor="text1"/>
          <w:sz w:val="24"/>
          <w:szCs w:val="24"/>
        </w:rPr>
        <w:t>马料河</w:t>
      </w:r>
      <w:r>
        <w:rPr>
          <w:rFonts w:ascii="Times New Roman" w:eastAsia="宋体"/>
          <w:color w:val="000000" w:themeColor="text1"/>
          <w:sz w:val="24"/>
          <w:szCs w:val="24"/>
        </w:rPr>
        <w:t>的水质，进而间接的影响牛栏江的水质。根据现场调查可知，项目所在地周围没有泉眼、没有机井等地下水取水设施。也没有发现周围居民饮用深部地下水或直接从</w:t>
      </w:r>
      <w:r>
        <w:rPr>
          <w:rFonts w:ascii="Times New Roman" w:eastAsia="宋体" w:hint="eastAsia"/>
          <w:color w:val="000000" w:themeColor="text1"/>
          <w:sz w:val="24"/>
          <w:szCs w:val="24"/>
        </w:rPr>
        <w:t>马料河</w:t>
      </w:r>
      <w:r>
        <w:rPr>
          <w:rFonts w:ascii="Times New Roman" w:eastAsia="宋体"/>
          <w:color w:val="000000" w:themeColor="text1"/>
          <w:sz w:val="24"/>
          <w:szCs w:val="24"/>
        </w:rPr>
        <w:t>取水。环评要求施工期应在施工场地周围布设临时截排水沟，在排水沟入河处设置临时沉淀池，场地含泥沙雨水经截排水沟汇集至临时沉淀池，场地雨水经沉淀处理后进入周边冲沟。施工期间冲刷的含泥沙雨水经沉淀处理后对地表水的影响较小。</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场址周围无集中的取水点及水源地，附近村庄供水主要</w:t>
      </w:r>
      <w:r>
        <w:rPr>
          <w:rFonts w:ascii="Times New Roman" w:eastAsia="宋体" w:hint="eastAsia"/>
          <w:color w:val="000000" w:themeColor="text1"/>
          <w:sz w:val="24"/>
          <w:szCs w:val="24"/>
        </w:rPr>
        <w:t>由自来水管网供水</w:t>
      </w:r>
      <w:r>
        <w:rPr>
          <w:rFonts w:ascii="Times New Roman" w:eastAsia="宋体"/>
          <w:color w:val="000000" w:themeColor="text1"/>
          <w:sz w:val="24"/>
          <w:szCs w:val="24"/>
        </w:rPr>
        <w:t>，不取用区域地下水。施工期间冲刷的含泥沙雨水经沉淀处理后排放，也不会影响当地居民的饮用水。</w:t>
      </w:r>
    </w:p>
    <w:p w:rsidR="00C861DA" w:rsidRDefault="0044752E">
      <w:pPr>
        <w:pStyle w:val="32"/>
        <w:rPr>
          <w:rFonts w:ascii="Times New Roman" w:eastAsia="宋体"/>
          <w:bCs w:val="0"/>
          <w:color w:val="000000" w:themeColor="text1"/>
          <w:sz w:val="24"/>
          <w:szCs w:val="24"/>
        </w:rPr>
      </w:pPr>
      <w:bookmarkStart w:id="377" w:name="_Toc6826833"/>
      <w:r>
        <w:rPr>
          <w:rFonts w:ascii="Times New Roman" w:eastAsia="宋体" w:hint="eastAsia"/>
          <w:bCs w:val="0"/>
          <w:color w:val="000000" w:themeColor="text1"/>
          <w:sz w:val="24"/>
          <w:szCs w:val="24"/>
        </w:rPr>
        <w:t>6</w:t>
      </w:r>
      <w:r>
        <w:rPr>
          <w:rFonts w:ascii="Times New Roman" w:eastAsia="宋体"/>
          <w:bCs w:val="0"/>
          <w:color w:val="000000" w:themeColor="text1"/>
          <w:sz w:val="24"/>
          <w:szCs w:val="24"/>
        </w:rPr>
        <w:t>.2.3</w:t>
      </w:r>
      <w:r>
        <w:rPr>
          <w:rFonts w:ascii="Times New Roman" w:eastAsia="宋体" w:hint="eastAsia"/>
          <w:bCs w:val="0"/>
          <w:color w:val="000000" w:themeColor="text1"/>
          <w:sz w:val="24"/>
          <w:szCs w:val="24"/>
        </w:rPr>
        <w:t>施工人员生活污水</w:t>
      </w:r>
      <w:bookmarkEnd w:id="377"/>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项目施工期的施工人数约为</w:t>
      </w:r>
      <w:r>
        <w:rPr>
          <w:rFonts w:ascii="Times New Roman" w:eastAsia="宋体"/>
          <w:color w:val="000000" w:themeColor="text1"/>
          <w:sz w:val="24"/>
          <w:szCs w:val="24"/>
        </w:rPr>
        <w:t>200</w:t>
      </w:r>
      <w:r>
        <w:rPr>
          <w:rFonts w:ascii="Times New Roman" w:eastAsia="宋体"/>
          <w:color w:val="000000" w:themeColor="text1"/>
          <w:sz w:val="24"/>
          <w:szCs w:val="24"/>
        </w:rPr>
        <w:t>人，施工人员多为附近村民，住在附近民房，不在项目区内住宿</w:t>
      </w:r>
      <w:r>
        <w:rPr>
          <w:rFonts w:ascii="Times New Roman" w:eastAsia="宋体" w:hint="eastAsia"/>
          <w:color w:val="000000" w:themeColor="text1"/>
          <w:sz w:val="24"/>
          <w:szCs w:val="24"/>
        </w:rPr>
        <w:t>。</w:t>
      </w:r>
      <w:r>
        <w:rPr>
          <w:rFonts w:ascii="Times New Roman" w:eastAsia="宋体"/>
          <w:color w:val="000000" w:themeColor="text1"/>
          <w:sz w:val="24"/>
          <w:szCs w:val="24"/>
        </w:rPr>
        <w:t>施工场地设立临时办公用房，用于施工监管，临时办公用房内不设住宿，施工区域内厕所使用临时旱厕，施工期人员用水量按每人每天用水</w:t>
      </w:r>
      <w:r>
        <w:rPr>
          <w:rFonts w:ascii="Times New Roman" w:eastAsia="宋体"/>
          <w:color w:val="000000" w:themeColor="text1"/>
          <w:sz w:val="24"/>
          <w:szCs w:val="24"/>
        </w:rPr>
        <w:t>30L/d</w:t>
      </w:r>
      <w:r>
        <w:rPr>
          <w:rFonts w:ascii="Times New Roman" w:eastAsia="宋体"/>
          <w:color w:val="000000" w:themeColor="text1"/>
          <w:sz w:val="24"/>
          <w:szCs w:val="24"/>
        </w:rPr>
        <w:t>，每天用水量达</w:t>
      </w:r>
      <w:r>
        <w:rPr>
          <w:rFonts w:ascii="Times New Roman" w:eastAsia="宋体"/>
          <w:color w:val="000000" w:themeColor="text1"/>
          <w:sz w:val="24"/>
          <w:szCs w:val="24"/>
        </w:rPr>
        <w:t>6m</w:t>
      </w:r>
      <w:r>
        <w:rPr>
          <w:rFonts w:ascii="Times New Roman" w:eastAsia="宋体"/>
          <w:color w:val="000000" w:themeColor="text1"/>
          <w:sz w:val="24"/>
          <w:szCs w:val="24"/>
          <w:vertAlign w:val="superscript"/>
        </w:rPr>
        <w:t>3</w:t>
      </w:r>
      <w:r>
        <w:rPr>
          <w:rFonts w:ascii="Times New Roman" w:eastAsia="宋体"/>
          <w:color w:val="000000" w:themeColor="text1"/>
          <w:sz w:val="24"/>
          <w:szCs w:val="24"/>
        </w:rPr>
        <w:t>/d</w:t>
      </w:r>
      <w:r>
        <w:rPr>
          <w:rFonts w:ascii="Times New Roman" w:eastAsia="宋体"/>
          <w:color w:val="000000" w:themeColor="text1"/>
          <w:sz w:val="24"/>
          <w:szCs w:val="24"/>
        </w:rPr>
        <w:t>，污水量为</w:t>
      </w:r>
      <w:r>
        <w:rPr>
          <w:rFonts w:ascii="Times New Roman" w:eastAsia="宋体"/>
          <w:color w:val="000000" w:themeColor="text1"/>
          <w:sz w:val="24"/>
          <w:szCs w:val="24"/>
        </w:rPr>
        <w:t>4.8m</w:t>
      </w:r>
      <w:r>
        <w:rPr>
          <w:rFonts w:ascii="Times New Roman" w:eastAsia="宋体"/>
          <w:color w:val="000000" w:themeColor="text1"/>
          <w:sz w:val="24"/>
          <w:szCs w:val="24"/>
          <w:vertAlign w:val="superscript"/>
        </w:rPr>
        <w:t>3</w:t>
      </w:r>
      <w:r>
        <w:rPr>
          <w:rFonts w:ascii="Times New Roman" w:eastAsia="宋体"/>
          <w:color w:val="000000" w:themeColor="text1"/>
          <w:sz w:val="24"/>
          <w:szCs w:val="24"/>
        </w:rPr>
        <w:t>/d</w:t>
      </w:r>
      <w:r>
        <w:rPr>
          <w:rFonts w:ascii="Times New Roman" w:eastAsia="宋体" w:hint="eastAsia"/>
          <w:color w:val="000000" w:themeColor="text1"/>
          <w:sz w:val="24"/>
          <w:szCs w:val="24"/>
        </w:rPr>
        <w:t>。</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施工人员生活污水排放具有一定的随机性，增加了对这些污废水收集处理的难度。施工期必须严格加强对施工人员的管理，使施工人员用水集中，便于生活污水集中收集处理，修建临时的生活污水沉淀池，沉淀池的数量视施工点数而定，有几个施工集中地点设置几个收集沉淀池，生活污水经沉淀处理后可用于施工现场洒水抑尘。不允许直接排入场地周围农田及冲沟。环评</w:t>
      </w:r>
      <w:r>
        <w:rPr>
          <w:rFonts w:ascii="Times New Roman" w:eastAsia="宋体" w:hint="eastAsia"/>
          <w:color w:val="000000" w:themeColor="text1"/>
          <w:sz w:val="24"/>
          <w:szCs w:val="24"/>
        </w:rPr>
        <w:t>要求各施工集中地必须设置一个生活污水沉淀池，确保没有施工生活污水直排。施工场地厕所采用旱厕，定期对旱厕进行清掏，清掏废物可用作为农家肥，对地表水环境基本不产生影响。</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总之，项目施工期施工废水及生活污水采取沉淀处理后再利用，对地表水环影响不大；雨天的雨水经施工场地周围布设临时截排水沟，在排水沟入河处设置临时沉淀池，场地含泥沙雨水经截排水沟汇集至临时沉淀池，场地雨水经沉淀处理后进入周</w:t>
      </w:r>
      <w:r>
        <w:rPr>
          <w:rFonts w:ascii="Times New Roman" w:eastAsia="宋体"/>
          <w:color w:val="000000" w:themeColor="text1"/>
          <w:sz w:val="24"/>
          <w:szCs w:val="24"/>
        </w:rPr>
        <w:t>边冲沟。施工期间冲刷的含泥沙雨水经沉淀处理后对地表水的影响较小。</w:t>
      </w:r>
    </w:p>
    <w:p w:rsidR="00C861DA" w:rsidRDefault="0044752E">
      <w:pPr>
        <w:pStyle w:val="22"/>
        <w:rPr>
          <w:rFonts w:ascii="Times New Roman" w:eastAsia="宋体" w:hAnsi="Times New Roman"/>
          <w:bCs w:val="0"/>
          <w:color w:val="000000" w:themeColor="text1"/>
          <w:sz w:val="28"/>
          <w:szCs w:val="28"/>
        </w:rPr>
      </w:pPr>
      <w:bookmarkStart w:id="378" w:name="_Toc20635"/>
      <w:bookmarkStart w:id="379" w:name="_Toc6826834"/>
      <w:r>
        <w:rPr>
          <w:rFonts w:ascii="Times New Roman" w:eastAsia="宋体" w:hAnsi="Times New Roman" w:hint="eastAsia"/>
          <w:bCs w:val="0"/>
          <w:color w:val="000000" w:themeColor="text1"/>
          <w:sz w:val="28"/>
          <w:szCs w:val="28"/>
        </w:rPr>
        <w:t>6.3</w:t>
      </w:r>
      <w:r>
        <w:rPr>
          <w:rFonts w:ascii="Times New Roman" w:eastAsia="宋体" w:hAnsi="Times New Roman" w:hint="eastAsia"/>
          <w:bCs w:val="0"/>
          <w:color w:val="000000" w:themeColor="text1"/>
          <w:sz w:val="28"/>
          <w:szCs w:val="28"/>
        </w:rPr>
        <w:t>施工期对地下水环境影响分析</w:t>
      </w:r>
      <w:bookmarkEnd w:id="378"/>
      <w:bookmarkEnd w:id="379"/>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施工过程中产生的废水主要为施工</w:t>
      </w:r>
      <w:r>
        <w:rPr>
          <w:rFonts w:ascii="Times New Roman" w:eastAsia="宋体" w:hint="eastAsia"/>
          <w:color w:val="000000" w:themeColor="text1"/>
          <w:sz w:val="24"/>
          <w:szCs w:val="24"/>
        </w:rPr>
        <w:t>废水、施工人员生活污水。施工废水主要污染物为石油类、悬浮物，生活污水主要污染物为动植物油、有机物等。本工程对施工废水采取设立临时隔油池、沉淀池处理后回用于施工场地降尘的处理措施，施工废水不外排，对地下水的影响很小，基本不会影响到区域地下水水质。</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根据地下水埋藏及补给排泄特征，区内处于地下水补给迳流区，季节变化明显，动态变化大，地下水运移途径短，由高处向低处运移排泄，直接或间接的对下伏裂隙水进行补给。从局部来看，工程占地面积有限，工程的施工不会改变该区域的大气降水对地下水补充途径，在大气降水不减少的情况下，垂直渗透进入补充深部岩溶水的水量也不会有所减少。因此建设期对大气降雨下渗补给地下水水量的影响较小。</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总体来说，工程施工期间，不会对地下水流场造成影响，施工区域所处地质单元的水量影响很小，由于施工场地内的雨水和废水均得到有效收集处理，集中排放，因此在</w:t>
      </w:r>
      <w:r>
        <w:rPr>
          <w:rFonts w:ascii="Times New Roman" w:eastAsia="宋体" w:hint="eastAsia"/>
          <w:color w:val="000000" w:themeColor="text1"/>
          <w:sz w:val="24"/>
          <w:szCs w:val="24"/>
        </w:rPr>
        <w:t>采取了相关设计及环保措施后，工程施工对地下水水质的影响较小。</w:t>
      </w:r>
    </w:p>
    <w:p w:rsidR="00C861DA" w:rsidRDefault="0044752E">
      <w:pPr>
        <w:pStyle w:val="22"/>
        <w:rPr>
          <w:rFonts w:ascii="Times New Roman" w:eastAsia="宋体" w:hAnsi="Times New Roman"/>
          <w:bCs w:val="0"/>
          <w:color w:val="000000" w:themeColor="text1"/>
          <w:sz w:val="28"/>
          <w:szCs w:val="28"/>
        </w:rPr>
      </w:pPr>
      <w:bookmarkStart w:id="380" w:name="_Toc6826835"/>
      <w:bookmarkStart w:id="381" w:name="_Toc13205"/>
      <w:r>
        <w:rPr>
          <w:rFonts w:ascii="Times New Roman" w:eastAsia="宋体" w:hAnsi="Times New Roman" w:hint="eastAsia"/>
          <w:bCs w:val="0"/>
          <w:color w:val="000000" w:themeColor="text1"/>
          <w:sz w:val="28"/>
          <w:szCs w:val="28"/>
        </w:rPr>
        <w:t>6.4</w:t>
      </w:r>
      <w:r>
        <w:rPr>
          <w:rFonts w:ascii="Times New Roman" w:eastAsia="宋体" w:hAnsi="Times New Roman" w:hint="eastAsia"/>
          <w:bCs w:val="0"/>
          <w:color w:val="000000" w:themeColor="text1"/>
          <w:sz w:val="28"/>
          <w:szCs w:val="28"/>
        </w:rPr>
        <w:t>施工期固体废弃物对环境影响分析</w:t>
      </w:r>
      <w:bookmarkEnd w:id="380"/>
      <w:bookmarkEnd w:id="381"/>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项目在施工期所产生的固体废弃物主要为工程施工过程中开挖的土石方、建筑垃圾及生活垃圾。</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根据可研</w:t>
      </w:r>
      <w:r>
        <w:rPr>
          <w:rFonts w:ascii="Times New Roman" w:eastAsia="宋体"/>
          <w:color w:val="000000" w:themeColor="text1"/>
          <w:sz w:val="24"/>
          <w:szCs w:val="24"/>
        </w:rPr>
        <w:t>经计算，</w:t>
      </w:r>
      <w:r>
        <w:rPr>
          <w:rFonts w:ascii="Times New Roman" w:eastAsia="宋体" w:hint="eastAsia"/>
          <w:color w:val="000000" w:themeColor="text1"/>
          <w:sz w:val="24"/>
          <w:szCs w:val="24"/>
        </w:rPr>
        <w:t>项目场地较为平整，开挖土石方能够全部用于场地平整，不会产生废气土石方，对当地环境影响较小。</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施工中所产生的建筑垃圾回收利用部分进行回收利用，不能回收利用部分运至指定的地点进行堆存，对当地环境影响较小。施工期间每天进入施工场地的施工人员及管理人员平均为</w:t>
      </w:r>
      <w:r>
        <w:rPr>
          <w:rFonts w:ascii="Times New Roman" w:eastAsia="宋体" w:hint="eastAsia"/>
          <w:color w:val="000000" w:themeColor="text1"/>
          <w:sz w:val="24"/>
          <w:szCs w:val="24"/>
        </w:rPr>
        <w:t>200</w:t>
      </w:r>
      <w:r>
        <w:rPr>
          <w:rFonts w:ascii="Times New Roman" w:eastAsia="宋体" w:hint="eastAsia"/>
          <w:color w:val="000000" w:themeColor="text1"/>
          <w:sz w:val="24"/>
          <w:szCs w:val="24"/>
        </w:rPr>
        <w:t>人，生活垃圾按照</w:t>
      </w:r>
      <w:r>
        <w:rPr>
          <w:rFonts w:ascii="Times New Roman" w:eastAsia="宋体" w:hint="eastAsia"/>
          <w:color w:val="000000" w:themeColor="text1"/>
          <w:sz w:val="24"/>
          <w:szCs w:val="24"/>
        </w:rPr>
        <w:t>0.5kg/</w:t>
      </w:r>
      <w:r>
        <w:rPr>
          <w:rFonts w:ascii="Times New Roman" w:eastAsia="宋体" w:hint="eastAsia"/>
          <w:color w:val="000000" w:themeColor="text1"/>
          <w:sz w:val="24"/>
          <w:szCs w:val="24"/>
        </w:rPr>
        <w:t>人﹒天计，每天产生的生活垃</w:t>
      </w:r>
      <w:r>
        <w:rPr>
          <w:rFonts w:ascii="Times New Roman" w:eastAsia="宋体" w:hint="eastAsia"/>
          <w:color w:val="000000" w:themeColor="text1"/>
          <w:sz w:val="24"/>
          <w:szCs w:val="24"/>
        </w:rPr>
        <w:t>圾的量约为</w:t>
      </w:r>
      <w:r>
        <w:rPr>
          <w:rFonts w:ascii="Times New Roman" w:eastAsia="宋体" w:hint="eastAsia"/>
          <w:color w:val="000000" w:themeColor="text1"/>
          <w:sz w:val="24"/>
          <w:szCs w:val="24"/>
        </w:rPr>
        <w:t>0.1t</w:t>
      </w:r>
      <w:r>
        <w:rPr>
          <w:rFonts w:ascii="Times New Roman" w:eastAsia="宋体" w:hint="eastAsia"/>
          <w:color w:val="000000" w:themeColor="text1"/>
          <w:sz w:val="24"/>
          <w:szCs w:val="24"/>
        </w:rPr>
        <w:t>，生活垃圾中主要成分为有机物、塑料袋等包装物，在项目区内设垃圾桶对生活垃圾进行统一收集，并定期由环卫部门清运处置，对当地环境产生的影响较小。</w:t>
      </w:r>
    </w:p>
    <w:p w:rsidR="00C861DA" w:rsidRDefault="0044752E">
      <w:pPr>
        <w:pStyle w:val="22"/>
        <w:rPr>
          <w:rFonts w:ascii="Times New Roman" w:eastAsia="宋体" w:hAnsi="Times New Roman"/>
          <w:bCs w:val="0"/>
          <w:color w:val="000000" w:themeColor="text1"/>
          <w:sz w:val="28"/>
          <w:szCs w:val="28"/>
        </w:rPr>
      </w:pPr>
      <w:bookmarkStart w:id="382" w:name="_Toc6826836"/>
      <w:bookmarkStart w:id="383" w:name="_Toc12885"/>
      <w:r>
        <w:rPr>
          <w:rFonts w:ascii="Times New Roman" w:eastAsia="宋体" w:hAnsi="Times New Roman" w:hint="eastAsia"/>
          <w:bCs w:val="0"/>
          <w:color w:val="000000" w:themeColor="text1"/>
          <w:sz w:val="28"/>
          <w:szCs w:val="28"/>
        </w:rPr>
        <w:t>6.5</w:t>
      </w:r>
      <w:r>
        <w:rPr>
          <w:rFonts w:ascii="Times New Roman" w:eastAsia="宋体" w:hAnsi="Times New Roman" w:hint="eastAsia"/>
          <w:bCs w:val="0"/>
          <w:color w:val="000000" w:themeColor="text1"/>
          <w:sz w:val="28"/>
          <w:szCs w:val="28"/>
        </w:rPr>
        <w:t>施工期噪声对环境影响分析</w:t>
      </w:r>
      <w:bookmarkEnd w:id="382"/>
      <w:bookmarkEnd w:id="383"/>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施工期对声环境的影响主要是施工噪声，噪声主要来源于施工机械和运输车辆。施工机械产生的噪声与各施工阶段所使用的机械类型、数量有关，基础施工阶段主要使用推土机、挖掘机、装载机、运输车辆等；主体建筑施工阶段主要使用吊车、升降机、电焊机、振捣机等；初装修阶段主要使用切割机、电钻等。这些机械产生的噪声对环境造成不利影响。各施工阶</w:t>
      </w:r>
      <w:r>
        <w:rPr>
          <w:rFonts w:ascii="Times New Roman" w:eastAsia="宋体" w:hAnsi="Times New Roman" w:cs="Times New Roman"/>
          <w:color w:val="000000" w:themeColor="text1"/>
          <w:sz w:val="24"/>
          <w:szCs w:val="24"/>
        </w:rPr>
        <w:t>段使用不同的施工机械，其数量、地点常发生变化，作业时间也不定，从而导致噪声产生的随机性、无组织性，属不连续产生。运输车辆</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的噪声更具不规律性。</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由于施工设备种类多，不同的设备产生的噪声不同。在多台机械设备同时作业时，产生的噪声还会叠加（根据类比调查，叠加后的噪声增值约为</w:t>
      </w:r>
      <w:r>
        <w:rPr>
          <w:rFonts w:ascii="Times New Roman" w:eastAsia="宋体" w:hAnsi="Times New Roman" w:cs="Times New Roman"/>
          <w:color w:val="000000" w:themeColor="text1"/>
          <w:sz w:val="24"/>
          <w:szCs w:val="24"/>
        </w:rPr>
        <w:t xml:space="preserve"> 3-8dB</w:t>
      </w:r>
      <w:r>
        <w:rPr>
          <w:rFonts w:ascii="Times New Roman" w:eastAsia="宋体" w:hAnsi="Times New Roman" w:cs="Times New Roman"/>
          <w:color w:val="000000" w:themeColor="text1"/>
          <w:sz w:val="24"/>
          <w:szCs w:val="24"/>
        </w:rPr>
        <w:t>）。在吝类施工机械中，噪声较高的为推土机、装载机、挖掘机、电焊机、卡车等，其声级在</w:t>
      </w:r>
      <w:r>
        <w:rPr>
          <w:rFonts w:ascii="Times New Roman" w:eastAsia="宋体" w:hAnsi="Times New Roman" w:cs="Times New Roman"/>
          <w:color w:val="000000" w:themeColor="text1"/>
          <w:sz w:val="24"/>
          <w:szCs w:val="24"/>
        </w:rPr>
        <w:t>80dB</w:t>
      </w:r>
      <w:r>
        <w:rPr>
          <w:rFonts w:ascii="Times New Roman" w:eastAsia="宋体" w:hAnsi="Times New Roman" w:cs="Times New Roman"/>
          <w:color w:val="000000" w:themeColor="text1"/>
          <w:sz w:val="24"/>
          <w:szCs w:val="24"/>
        </w:rPr>
        <w:t>以上，见表</w:t>
      </w:r>
      <w:r>
        <w:rPr>
          <w:rFonts w:ascii="Times New Roman" w:eastAsia="宋体" w:hAnsi="Times New Roman" w:cs="Times New Roman"/>
          <w:color w:val="000000" w:themeColor="text1"/>
          <w:sz w:val="24"/>
          <w:szCs w:val="24"/>
        </w:rPr>
        <w:t>6.5-1</w:t>
      </w:r>
      <w:r>
        <w:rPr>
          <w:rFonts w:ascii="Times New Roman" w:eastAsia="宋体" w:hAnsi="Times New Roman" w:cs="Times New Roman"/>
          <w:color w:val="000000" w:themeColor="text1"/>
          <w:sz w:val="24"/>
          <w:szCs w:val="24"/>
        </w:rPr>
        <w:t>。</w:t>
      </w:r>
    </w:p>
    <w:p w:rsidR="00C861DA" w:rsidRDefault="0044752E">
      <w:pPr>
        <w:tabs>
          <w:tab w:val="left" w:pos="1485"/>
          <w:tab w:val="left" w:pos="5943"/>
        </w:tabs>
        <w:spacing w:line="360" w:lineRule="auto"/>
        <w:jc w:val="center"/>
        <w:rPr>
          <w:rFonts w:ascii="Times New Roman" w:eastAsia="宋体" w:cs="微软雅黑"/>
          <w:b/>
          <w:bCs/>
          <w:color w:val="000000" w:themeColor="text1"/>
          <w:sz w:val="5"/>
          <w:szCs w:val="5"/>
        </w:rPr>
      </w:pPr>
      <w:r>
        <w:rPr>
          <w:rFonts w:ascii="Times New Roman" w:eastAsia="宋体" w:cs="微软雅黑"/>
          <w:b/>
          <w:bCs/>
          <w:color w:val="000000" w:themeColor="text1"/>
          <w:sz w:val="24"/>
          <w:szCs w:val="24"/>
        </w:rPr>
        <w:t>表</w:t>
      </w:r>
      <w:r>
        <w:rPr>
          <w:rFonts w:ascii="Times New Roman" w:eastAsia="宋体" w:cs="微软雅黑" w:hint="eastAsia"/>
          <w:b/>
          <w:bCs/>
          <w:color w:val="000000" w:themeColor="text1"/>
          <w:sz w:val="24"/>
          <w:szCs w:val="24"/>
        </w:rPr>
        <w:t>6.</w:t>
      </w:r>
      <w:r>
        <w:rPr>
          <w:rFonts w:ascii="Times New Roman" w:eastAsia="宋体" w:cs="微软雅黑"/>
          <w:b/>
          <w:bCs/>
          <w:color w:val="000000" w:themeColor="text1"/>
          <w:sz w:val="24"/>
          <w:szCs w:val="24"/>
        </w:rPr>
        <w:t xml:space="preserve">5-1  </w:t>
      </w:r>
      <w:r>
        <w:rPr>
          <w:rFonts w:ascii="Times New Roman" w:eastAsia="宋体" w:cs="微软雅黑"/>
          <w:b/>
          <w:bCs/>
          <w:color w:val="000000" w:themeColor="text1"/>
          <w:sz w:val="24"/>
          <w:szCs w:val="24"/>
        </w:rPr>
        <w:t>主要施工机械设备的噪声声级</w:t>
      </w:r>
    </w:p>
    <w:tbl>
      <w:tblPr>
        <w:tblW w:w="8314" w:type="dxa"/>
        <w:jc w:val="center"/>
        <w:tblLayout w:type="fixed"/>
        <w:tblCellMar>
          <w:left w:w="0" w:type="dxa"/>
          <w:right w:w="0" w:type="dxa"/>
        </w:tblCellMar>
        <w:tblLook w:val="04A0" w:firstRow="1" w:lastRow="0" w:firstColumn="1" w:lastColumn="0" w:noHBand="0" w:noVBand="1"/>
      </w:tblPr>
      <w:tblGrid>
        <w:gridCol w:w="1066"/>
        <w:gridCol w:w="2455"/>
        <w:gridCol w:w="2396"/>
        <w:gridCol w:w="2397"/>
      </w:tblGrid>
      <w:tr w:rsidR="00C861DA">
        <w:trPr>
          <w:trHeight w:val="369"/>
          <w:jc w:val="center"/>
        </w:trPr>
        <w:tc>
          <w:tcPr>
            <w:tcW w:w="10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b/>
                <w:bCs/>
                <w:color w:val="000000" w:themeColor="text1"/>
              </w:rPr>
            </w:pPr>
            <w:r>
              <w:rPr>
                <w:rFonts w:cs="宋体"/>
                <w:b/>
                <w:bCs/>
                <w:color w:val="000000" w:themeColor="text1"/>
              </w:rPr>
              <w:t>序号</w:t>
            </w:r>
          </w:p>
        </w:tc>
        <w:tc>
          <w:tcPr>
            <w:tcW w:w="245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b/>
                <w:bCs/>
                <w:color w:val="000000" w:themeColor="text1"/>
              </w:rPr>
            </w:pPr>
            <w:r>
              <w:rPr>
                <w:rFonts w:cs="宋体"/>
                <w:b/>
                <w:bCs/>
                <w:color w:val="000000" w:themeColor="text1"/>
              </w:rPr>
              <w:t>设备名称</w:t>
            </w:r>
          </w:p>
        </w:tc>
        <w:tc>
          <w:tcPr>
            <w:tcW w:w="239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b/>
                <w:bCs/>
                <w:color w:val="000000" w:themeColor="text1"/>
              </w:rPr>
            </w:pPr>
            <w:r>
              <w:rPr>
                <w:rFonts w:cs="宋体"/>
                <w:b/>
                <w:bCs/>
                <w:color w:val="000000" w:themeColor="text1"/>
              </w:rPr>
              <w:t>测量声级</w:t>
            </w:r>
            <w:r>
              <w:rPr>
                <w:rFonts w:cs="宋体" w:hint="eastAsia"/>
                <w:b/>
                <w:bCs/>
                <w:color w:val="000000" w:themeColor="text1"/>
              </w:rPr>
              <w:t>（</w:t>
            </w:r>
            <w:r>
              <w:rPr>
                <w:rFonts w:cs="宋体"/>
                <w:b/>
                <w:bCs/>
                <w:color w:val="000000" w:themeColor="text1"/>
              </w:rPr>
              <w:t>dB</w:t>
            </w:r>
            <w:r>
              <w:rPr>
                <w:rFonts w:cs="宋体" w:hint="eastAsia"/>
                <w:b/>
                <w:bCs/>
                <w:color w:val="000000" w:themeColor="text1"/>
              </w:rPr>
              <w:t>）</w:t>
            </w:r>
          </w:p>
        </w:tc>
        <w:tc>
          <w:tcPr>
            <w:tcW w:w="239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b/>
                <w:bCs/>
                <w:color w:val="000000" w:themeColor="text1"/>
              </w:rPr>
            </w:pPr>
            <w:r>
              <w:rPr>
                <w:rFonts w:cs="宋体"/>
                <w:b/>
                <w:bCs/>
                <w:color w:val="000000" w:themeColor="text1"/>
              </w:rPr>
              <w:t>测量距离</w:t>
            </w:r>
            <w:r>
              <w:rPr>
                <w:rFonts w:cs="宋体" w:hint="eastAsia"/>
                <w:b/>
                <w:bCs/>
                <w:color w:val="000000" w:themeColor="text1"/>
              </w:rPr>
              <w:t>（</w:t>
            </w:r>
            <w:r>
              <w:rPr>
                <w:rFonts w:cs="宋体"/>
                <w:b/>
                <w:bCs/>
                <w:color w:val="000000" w:themeColor="text1"/>
              </w:rPr>
              <w:t>m</w:t>
            </w:r>
            <w:r>
              <w:rPr>
                <w:rFonts w:cs="宋体" w:hint="eastAsia"/>
                <w:b/>
                <w:bCs/>
                <w:color w:val="000000" w:themeColor="text1"/>
              </w:rPr>
              <w:t>）</w:t>
            </w:r>
          </w:p>
        </w:tc>
      </w:tr>
      <w:tr w:rsidR="00C861DA">
        <w:trPr>
          <w:trHeight w:val="369"/>
          <w:jc w:val="center"/>
        </w:trPr>
        <w:tc>
          <w:tcPr>
            <w:tcW w:w="10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1</w:t>
            </w:r>
          </w:p>
        </w:tc>
        <w:tc>
          <w:tcPr>
            <w:tcW w:w="245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推土机</w:t>
            </w:r>
          </w:p>
        </w:tc>
        <w:tc>
          <w:tcPr>
            <w:tcW w:w="239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86</w:t>
            </w:r>
          </w:p>
        </w:tc>
        <w:tc>
          <w:tcPr>
            <w:tcW w:w="239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1</w:t>
            </w:r>
          </w:p>
        </w:tc>
      </w:tr>
      <w:tr w:rsidR="00C861DA">
        <w:trPr>
          <w:trHeight w:val="369"/>
          <w:jc w:val="center"/>
        </w:trPr>
        <w:tc>
          <w:tcPr>
            <w:tcW w:w="10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2</w:t>
            </w:r>
          </w:p>
        </w:tc>
        <w:tc>
          <w:tcPr>
            <w:tcW w:w="245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装载机</w:t>
            </w:r>
          </w:p>
        </w:tc>
        <w:tc>
          <w:tcPr>
            <w:tcW w:w="239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90</w:t>
            </w:r>
          </w:p>
        </w:tc>
        <w:tc>
          <w:tcPr>
            <w:tcW w:w="239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1</w:t>
            </w:r>
          </w:p>
        </w:tc>
      </w:tr>
      <w:tr w:rsidR="00C861DA">
        <w:trPr>
          <w:trHeight w:val="369"/>
          <w:jc w:val="center"/>
        </w:trPr>
        <w:tc>
          <w:tcPr>
            <w:tcW w:w="10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3</w:t>
            </w:r>
          </w:p>
        </w:tc>
        <w:tc>
          <w:tcPr>
            <w:tcW w:w="245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挖掘机</w:t>
            </w:r>
          </w:p>
        </w:tc>
        <w:tc>
          <w:tcPr>
            <w:tcW w:w="239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84</w:t>
            </w:r>
          </w:p>
        </w:tc>
        <w:tc>
          <w:tcPr>
            <w:tcW w:w="239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1</w:t>
            </w:r>
          </w:p>
        </w:tc>
      </w:tr>
      <w:tr w:rsidR="00C861DA">
        <w:trPr>
          <w:trHeight w:val="369"/>
          <w:jc w:val="center"/>
        </w:trPr>
        <w:tc>
          <w:tcPr>
            <w:tcW w:w="10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4</w:t>
            </w:r>
          </w:p>
        </w:tc>
        <w:tc>
          <w:tcPr>
            <w:tcW w:w="245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电焊机</w:t>
            </w:r>
          </w:p>
        </w:tc>
        <w:tc>
          <w:tcPr>
            <w:tcW w:w="239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85</w:t>
            </w:r>
          </w:p>
        </w:tc>
        <w:tc>
          <w:tcPr>
            <w:tcW w:w="239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1</w:t>
            </w:r>
          </w:p>
        </w:tc>
      </w:tr>
      <w:tr w:rsidR="00C861DA">
        <w:trPr>
          <w:trHeight w:val="369"/>
          <w:jc w:val="center"/>
        </w:trPr>
        <w:tc>
          <w:tcPr>
            <w:tcW w:w="10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5</w:t>
            </w:r>
          </w:p>
        </w:tc>
        <w:tc>
          <w:tcPr>
            <w:tcW w:w="2455"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卡车</w:t>
            </w:r>
          </w:p>
        </w:tc>
        <w:tc>
          <w:tcPr>
            <w:tcW w:w="239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92</w:t>
            </w:r>
          </w:p>
        </w:tc>
        <w:tc>
          <w:tcPr>
            <w:tcW w:w="2397"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rFonts w:cs="宋体"/>
                <w:color w:val="000000" w:themeColor="text1"/>
              </w:rPr>
            </w:pPr>
            <w:r>
              <w:rPr>
                <w:rFonts w:cs="宋体"/>
                <w:color w:val="000000" w:themeColor="text1"/>
              </w:rPr>
              <w:t>1</w:t>
            </w:r>
          </w:p>
        </w:tc>
      </w:tr>
    </w:tbl>
    <w:p w:rsidR="00C861DA" w:rsidRDefault="0044752E">
      <w:pPr>
        <w:pStyle w:val="af4"/>
        <w:spacing w:beforeLines="100" w:before="312"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本项目采用点源衰减模式，预测只计算声源至受声点的几何发散衰减，不考虑声屏障、空气吸收等衰减。预测公式如下：</w:t>
      </w:r>
    </w:p>
    <w:p w:rsidR="00C861DA" w:rsidRDefault="0044752E">
      <w:pPr>
        <w:pStyle w:val="af4"/>
        <w:spacing w:after="0"/>
        <w:ind w:right="91"/>
        <w:jc w:val="center"/>
        <w:rPr>
          <w:rFonts w:ascii="Times New Roman"/>
          <w:color w:val="000000" w:themeColor="text1"/>
          <w:sz w:val="24"/>
          <w:szCs w:val="24"/>
        </w:rPr>
      </w:pPr>
      <w:r>
        <w:rPr>
          <w:rFonts w:ascii="Times New Roman"/>
          <w:color w:val="000000" w:themeColor="text1"/>
          <w:sz w:val="24"/>
          <w:szCs w:val="24"/>
        </w:rPr>
        <w:t>LA</w:t>
      </w:r>
      <w:r>
        <w:rPr>
          <w:rFonts w:ascii="Times New Roman" w:hint="eastAsia"/>
          <w:color w:val="000000" w:themeColor="text1"/>
          <w:sz w:val="24"/>
          <w:szCs w:val="24"/>
        </w:rPr>
        <w:t>（</w:t>
      </w:r>
      <w:r>
        <w:rPr>
          <w:rFonts w:ascii="Times New Roman"/>
          <w:color w:val="000000" w:themeColor="text1"/>
          <w:sz w:val="24"/>
          <w:szCs w:val="24"/>
        </w:rPr>
        <w:t>r</w:t>
      </w:r>
      <w:r>
        <w:rPr>
          <w:rFonts w:ascii="Times New Roman" w:hint="eastAsia"/>
          <w:color w:val="000000" w:themeColor="text1"/>
          <w:sz w:val="24"/>
          <w:szCs w:val="24"/>
        </w:rPr>
        <w:t>）</w:t>
      </w:r>
      <w:r>
        <w:rPr>
          <w:rFonts w:ascii="Times New Roman"/>
          <w:color w:val="000000" w:themeColor="text1"/>
          <w:sz w:val="24"/>
          <w:szCs w:val="24"/>
        </w:rPr>
        <w:t>=LA</w:t>
      </w:r>
      <w:r>
        <w:rPr>
          <w:rFonts w:ascii="Times New Roman" w:hint="eastAsia"/>
          <w:color w:val="000000" w:themeColor="text1"/>
          <w:sz w:val="24"/>
          <w:szCs w:val="24"/>
        </w:rPr>
        <w:t>（</w:t>
      </w:r>
      <w:r>
        <w:rPr>
          <w:rFonts w:ascii="Times New Roman"/>
          <w:color w:val="000000" w:themeColor="text1"/>
          <w:sz w:val="24"/>
          <w:szCs w:val="24"/>
        </w:rPr>
        <w:t>r0</w:t>
      </w:r>
      <w:r>
        <w:rPr>
          <w:rFonts w:ascii="Times New Roman" w:hint="eastAsia"/>
          <w:color w:val="000000" w:themeColor="text1"/>
          <w:sz w:val="24"/>
          <w:szCs w:val="24"/>
        </w:rPr>
        <w:t>）</w:t>
      </w:r>
      <w:r>
        <w:rPr>
          <w:rFonts w:ascii="Times New Roman"/>
          <w:color w:val="000000" w:themeColor="text1"/>
          <w:sz w:val="24"/>
          <w:szCs w:val="24"/>
        </w:rPr>
        <w:t>－</w:t>
      </w:r>
      <w:r>
        <w:rPr>
          <w:rFonts w:ascii="Times New Roman"/>
          <w:color w:val="000000" w:themeColor="text1"/>
          <w:sz w:val="24"/>
          <w:szCs w:val="24"/>
        </w:rPr>
        <w:t>20lg</w:t>
      </w:r>
      <w:r>
        <w:rPr>
          <w:rFonts w:ascii="Times New Roman" w:hint="eastAsia"/>
          <w:color w:val="000000" w:themeColor="text1"/>
          <w:sz w:val="24"/>
          <w:szCs w:val="24"/>
        </w:rPr>
        <w:t>（</w:t>
      </w:r>
      <w:r>
        <w:rPr>
          <w:rFonts w:ascii="Times New Roman"/>
          <w:color w:val="000000" w:themeColor="text1"/>
          <w:sz w:val="24"/>
          <w:szCs w:val="24"/>
        </w:rPr>
        <w:t>r/r0</w:t>
      </w:r>
      <w:r>
        <w:rPr>
          <w:rFonts w:ascii="Times New Roman" w:hint="eastAsia"/>
          <w:color w:val="000000" w:themeColor="text1"/>
          <w:sz w:val="24"/>
          <w:szCs w:val="24"/>
        </w:rPr>
        <w:t>）</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所有声源发出的噪声在同一受声点的影响，其噪声叠加计算模式为：</w:t>
      </w:r>
    </w:p>
    <w:p w:rsidR="00C861DA" w:rsidRDefault="0044752E">
      <w:pPr>
        <w:tabs>
          <w:tab w:val="left" w:pos="2617"/>
        </w:tabs>
        <w:spacing w:line="360" w:lineRule="auto"/>
        <w:ind w:firstLineChars="200" w:firstLine="480"/>
        <w:jc w:val="center"/>
        <w:rPr>
          <w:rFonts w:ascii="Times New Roman" w:eastAsia="宋体" w:cs="Symbol"/>
          <w:color w:val="000000" w:themeColor="text1"/>
          <w:sz w:val="24"/>
        </w:rPr>
      </w:pPr>
      <m:oMath>
        <m:sSub>
          <m:sSubPr>
            <m:ctrlPr>
              <w:rPr>
                <w:rFonts w:ascii="Cambria Math" w:eastAsia="宋体" w:hAnsi="Cambria Math" w:cs="Times New Roman"/>
                <w:i/>
                <w:color w:val="000000" w:themeColor="text1"/>
                <w:sz w:val="24"/>
              </w:rPr>
            </m:ctrlPr>
          </m:sSubPr>
          <m:e>
            <m:r>
              <w:rPr>
                <w:rFonts w:ascii="Cambria Math" w:eastAsia="宋体" w:hAnsi="Cambria Math" w:cs="Times New Roman"/>
                <w:color w:val="000000" w:themeColor="text1"/>
                <w:sz w:val="24"/>
              </w:rPr>
              <m:t>L</m:t>
            </m:r>
          </m:e>
          <m:sub>
            <m:r>
              <w:rPr>
                <w:rFonts w:ascii="Cambria Math" w:eastAsia="宋体" w:hAnsi="Cambria Math" w:cs="Times New Roman"/>
                <w:color w:val="000000" w:themeColor="text1"/>
                <w:sz w:val="24"/>
              </w:rPr>
              <m:t>0</m:t>
            </m:r>
          </m:sub>
        </m:sSub>
        <m:r>
          <w:rPr>
            <w:rFonts w:ascii="Cambria Math" w:eastAsia="宋体" w:hAnsi="Cambria Math" w:cs="Times New Roman"/>
            <w:color w:val="000000" w:themeColor="text1"/>
            <w:sz w:val="24"/>
          </w:rPr>
          <m:t>=10</m:t>
        </m:r>
        <m:func>
          <m:funcPr>
            <m:ctrlPr>
              <w:rPr>
                <w:rFonts w:ascii="Cambria Math" w:eastAsia="宋体" w:hAnsi="Cambria Math" w:cs="Times New Roman"/>
                <w:i/>
                <w:color w:val="000000" w:themeColor="text1"/>
                <w:sz w:val="24"/>
              </w:rPr>
            </m:ctrlPr>
          </m:funcPr>
          <m:fName>
            <m:r>
              <w:rPr>
                <w:rFonts w:ascii="Cambria Math" w:eastAsia="宋体" w:hAnsi="Cambria Math" w:cs="Times New Roman"/>
                <w:color w:val="000000" w:themeColor="text1"/>
                <w:sz w:val="24"/>
              </w:rPr>
              <m:t>lg</m:t>
            </m:r>
          </m:fName>
          <m:e>
            <m:r>
              <w:rPr>
                <w:rFonts w:ascii="Cambria Math" w:eastAsia="宋体" w:hAnsi="Cambria Math" w:cs="Times New Roman"/>
                <w:color w:val="000000" w:themeColor="text1"/>
                <w:sz w:val="24"/>
              </w:rPr>
              <m:t>(</m:t>
            </m:r>
          </m:e>
        </m:func>
        <m:nary>
          <m:naryPr>
            <m:chr m:val="∑"/>
            <m:ctrlPr>
              <w:rPr>
                <w:rFonts w:ascii="Cambria Math" w:eastAsia="宋体" w:hAnsi="Cambria Math" w:cs="Times New Roman"/>
                <w:i/>
                <w:color w:val="000000" w:themeColor="text1"/>
                <w:sz w:val="24"/>
              </w:rPr>
            </m:ctrlPr>
          </m:naryPr>
          <m:sub>
            <m:r>
              <w:rPr>
                <w:rFonts w:ascii="Cambria Math" w:eastAsia="宋体" w:hAnsi="Cambria Math" w:cs="Times New Roman"/>
                <w:color w:val="000000" w:themeColor="text1"/>
                <w:sz w:val="24"/>
              </w:rPr>
              <m:t>i</m:t>
            </m:r>
            <m:r>
              <w:rPr>
                <w:rFonts w:ascii="Cambria Math" w:eastAsia="宋体" w:hAnsi="Cambria Math" w:cs="Times New Roman"/>
                <w:color w:val="000000" w:themeColor="text1"/>
                <w:sz w:val="24"/>
              </w:rPr>
              <m:t>=1</m:t>
            </m:r>
          </m:sub>
          <m:sup>
            <m:r>
              <w:rPr>
                <w:rFonts w:ascii="Cambria Math" w:eastAsia="宋体" w:hAnsi="Cambria Math" w:cs="Times New Roman"/>
                <w:color w:val="000000" w:themeColor="text1"/>
                <w:sz w:val="24"/>
              </w:rPr>
              <m:t>n</m:t>
            </m:r>
          </m:sup>
          <m:e>
            <m:r>
              <w:rPr>
                <w:rFonts w:ascii="Cambria Math" w:eastAsia="宋体" w:hAnsi="Cambria Math" w:cs="Times New Roman"/>
                <w:color w:val="000000" w:themeColor="text1"/>
                <w:sz w:val="24"/>
              </w:rPr>
              <m:t>1</m:t>
            </m:r>
            <m:sSup>
              <m:sSupPr>
                <m:ctrlPr>
                  <w:rPr>
                    <w:rFonts w:ascii="Cambria Math" w:eastAsia="宋体" w:hAnsi="Cambria Math" w:cs="Times New Roman"/>
                    <w:i/>
                    <w:color w:val="000000" w:themeColor="text1"/>
                    <w:sz w:val="24"/>
                  </w:rPr>
                </m:ctrlPr>
              </m:sSupPr>
              <m:e>
                <m:r>
                  <w:rPr>
                    <w:rFonts w:ascii="Cambria Math" w:eastAsia="宋体" w:hAnsi="Cambria Math" w:cs="Times New Roman"/>
                    <w:color w:val="000000" w:themeColor="text1"/>
                    <w:sz w:val="24"/>
                  </w:rPr>
                  <m:t>0</m:t>
                </m:r>
              </m:e>
              <m:sup>
                <m:r>
                  <w:rPr>
                    <w:rFonts w:ascii="Cambria Math" w:eastAsia="宋体" w:hAnsi="Cambria Math" w:cs="Times New Roman"/>
                    <w:color w:val="000000" w:themeColor="text1"/>
                    <w:sz w:val="24"/>
                  </w:rPr>
                  <m:t>Li</m:t>
                </m:r>
                <m:r>
                  <w:rPr>
                    <w:rFonts w:ascii="Cambria Math" w:eastAsia="宋体" w:hAnsi="Cambria Math" w:cs="Times New Roman"/>
                    <w:color w:val="000000" w:themeColor="text1"/>
                    <w:sz w:val="24"/>
                  </w:rPr>
                  <m:t>/10</m:t>
                </m:r>
              </m:sup>
            </m:sSup>
          </m:e>
        </m:nary>
        <m:r>
          <w:rPr>
            <w:rFonts w:ascii="Cambria Math" w:eastAsia="宋体" w:hAnsi="Cambria Math" w:cs="Times New Roman"/>
            <w:color w:val="000000" w:themeColor="text1"/>
            <w:sz w:val="24"/>
          </w:rPr>
          <m:t>)</m:t>
        </m:r>
      </m:oMath>
      <w:r>
        <w:rPr>
          <w:rFonts w:ascii="Times New Roman" w:eastAsia="宋体" w:cs="Symbol"/>
          <w:color w:val="000000" w:themeColor="text1"/>
          <w:sz w:val="24"/>
        </w:rPr>
        <w:t xml:space="preserve"> </w:t>
      </w:r>
      <w:r>
        <w:rPr>
          <w:rFonts w:ascii="Times New Roman" w:eastAsia="宋体" w:cs="Symbol"/>
          <w:color w:val="000000" w:themeColor="text1"/>
          <w:sz w:val="24"/>
        </w:rPr>
        <w:t></w:t>
      </w:r>
      <w:r>
        <w:rPr>
          <w:rFonts w:ascii="Times New Roman" w:eastAsia="宋体" w:cs="Symbol"/>
          <w:color w:val="000000" w:themeColor="text1"/>
          <w:sz w:val="24"/>
        </w:rPr>
        <w:t></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式中：</w:t>
      </w:r>
      <w:r>
        <w:rPr>
          <w:rFonts w:ascii="Times New Roman" w:eastAsia="宋体" w:hAnsi="Times New Roman" w:cs="Times New Roman"/>
          <w:color w:val="000000" w:themeColor="text1"/>
          <w:sz w:val="24"/>
        </w:rPr>
        <w:t>L</w:t>
      </w:r>
      <w:r>
        <w:rPr>
          <w:rFonts w:ascii="Times New Roman" w:eastAsia="宋体" w:hAnsi="Times New Roman" w:cs="Times New Roman"/>
          <w:color w:val="000000" w:themeColor="text1"/>
          <w:sz w:val="24"/>
          <w:szCs w:val="16"/>
        </w:rPr>
        <w:t>A</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r</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距离声源</w:t>
      </w:r>
      <w:r>
        <w:rPr>
          <w:rFonts w:ascii="Times New Roman" w:eastAsia="宋体" w:hAnsi="Times New Roman" w:cs="Times New Roman"/>
          <w:color w:val="000000" w:themeColor="text1"/>
          <w:sz w:val="24"/>
        </w:rPr>
        <w:t xml:space="preserve"> r </w:t>
      </w:r>
      <w:r>
        <w:rPr>
          <w:rFonts w:ascii="Times New Roman" w:eastAsia="宋体" w:hAnsi="Times New Roman" w:cs="Times New Roman"/>
          <w:color w:val="000000" w:themeColor="text1"/>
          <w:sz w:val="24"/>
        </w:rPr>
        <w:t>米处的声压级，</w:t>
      </w:r>
      <w:r>
        <w:rPr>
          <w:rFonts w:ascii="Times New Roman" w:eastAsia="宋体" w:hAnsi="Times New Roman" w:cs="Times New Roman"/>
          <w:color w:val="000000" w:themeColor="text1"/>
          <w:sz w:val="24"/>
        </w:rPr>
        <w:t>dB</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A</w:t>
      </w:r>
      <w:r>
        <w:rPr>
          <w:rFonts w:ascii="Times New Roman" w:eastAsia="宋体" w:hAnsi="Times New Roman" w:cs="Times New Roman"/>
          <w:color w:val="000000" w:themeColor="text1"/>
          <w:sz w:val="24"/>
        </w:rPr>
        <w:t>）；</w:t>
      </w:r>
    </w:p>
    <w:p w:rsidR="00C861DA" w:rsidRDefault="0044752E">
      <w:pPr>
        <w:pStyle w:val="af4"/>
        <w:spacing w:after="0" w:line="360" w:lineRule="auto"/>
        <w:ind w:firstLineChars="500" w:firstLine="120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L</w:t>
      </w:r>
      <w:r>
        <w:rPr>
          <w:rFonts w:ascii="Times New Roman" w:eastAsia="宋体" w:hAnsi="Times New Roman" w:cs="Times New Roman"/>
          <w:color w:val="000000" w:themeColor="text1"/>
          <w:sz w:val="24"/>
          <w:szCs w:val="16"/>
        </w:rPr>
        <w:t>A</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r</w:t>
      </w:r>
      <w:r>
        <w:rPr>
          <w:rFonts w:ascii="Times New Roman" w:eastAsia="宋体" w:hAnsi="Times New Roman" w:cs="Times New Roman"/>
          <w:color w:val="000000" w:themeColor="text1"/>
          <w:sz w:val="24"/>
          <w:szCs w:val="16"/>
        </w:rPr>
        <w:t>0</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距离声源</w:t>
      </w:r>
      <w:r>
        <w:rPr>
          <w:rFonts w:ascii="Times New Roman" w:eastAsia="宋体" w:hAnsi="Times New Roman" w:cs="Times New Roman"/>
          <w:color w:val="000000" w:themeColor="text1"/>
          <w:sz w:val="24"/>
        </w:rPr>
        <w:t xml:space="preserve"> r</w:t>
      </w:r>
      <w:r>
        <w:rPr>
          <w:rFonts w:ascii="Times New Roman" w:eastAsia="宋体" w:hAnsi="Times New Roman" w:cs="Times New Roman"/>
          <w:color w:val="000000" w:themeColor="text1"/>
          <w:sz w:val="24"/>
          <w:szCs w:val="16"/>
        </w:rPr>
        <w:t xml:space="preserve">0 </w:t>
      </w:r>
      <w:r>
        <w:rPr>
          <w:rFonts w:ascii="Times New Roman" w:eastAsia="宋体" w:hAnsi="Times New Roman" w:cs="Times New Roman"/>
          <w:color w:val="000000" w:themeColor="text1"/>
          <w:sz w:val="24"/>
        </w:rPr>
        <w:t>米处的声压级，</w:t>
      </w:r>
      <w:r>
        <w:rPr>
          <w:rFonts w:ascii="Times New Roman" w:eastAsia="宋体" w:hAnsi="Times New Roman" w:cs="Times New Roman"/>
          <w:color w:val="000000" w:themeColor="text1"/>
          <w:sz w:val="24"/>
        </w:rPr>
        <w:t>dB</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A</w:t>
      </w:r>
      <w:r>
        <w:rPr>
          <w:rFonts w:ascii="Times New Roman" w:eastAsia="宋体" w:hAnsi="Times New Roman" w:cs="Times New Roman"/>
          <w:color w:val="000000" w:themeColor="text1"/>
          <w:sz w:val="24"/>
        </w:rPr>
        <w:t>）；</w:t>
      </w:r>
    </w:p>
    <w:p w:rsidR="00C861DA" w:rsidRDefault="0044752E">
      <w:pPr>
        <w:pStyle w:val="af4"/>
        <w:spacing w:after="0" w:line="360" w:lineRule="auto"/>
        <w:ind w:firstLineChars="500" w:firstLine="120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r</w:t>
      </w:r>
      <w:r>
        <w:rPr>
          <w:rFonts w:ascii="Times New Roman" w:eastAsia="宋体" w:hAnsi="Times New Roman" w:cs="Times New Roman"/>
          <w:color w:val="000000" w:themeColor="text1"/>
          <w:sz w:val="24"/>
          <w:szCs w:val="16"/>
        </w:rPr>
        <w:t>0</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参考位置，</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 xml:space="preserve"> </w:t>
      </w:r>
    </w:p>
    <w:p w:rsidR="00C861DA" w:rsidRDefault="0044752E">
      <w:pPr>
        <w:pStyle w:val="af4"/>
        <w:spacing w:after="0" w:line="360" w:lineRule="auto"/>
        <w:ind w:firstLineChars="500" w:firstLine="120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r—</w:t>
      </w:r>
      <w:r>
        <w:rPr>
          <w:rFonts w:ascii="Times New Roman" w:eastAsia="宋体" w:hAnsi="Times New Roman" w:cs="Times New Roman"/>
          <w:color w:val="000000" w:themeColor="text1"/>
          <w:sz w:val="24"/>
        </w:rPr>
        <w:t>预测点到声源的距离，</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 xml:space="preserve"> </w:t>
      </w:r>
    </w:p>
    <w:p w:rsidR="00C861DA" w:rsidRDefault="0044752E">
      <w:pPr>
        <w:pStyle w:val="af4"/>
        <w:spacing w:after="0" w:line="360" w:lineRule="auto"/>
        <w:ind w:firstLineChars="500" w:firstLine="120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L</w:t>
      </w:r>
      <w:r>
        <w:rPr>
          <w:rFonts w:ascii="Times New Roman" w:eastAsia="宋体" w:hAnsi="Times New Roman" w:cs="Times New Roman"/>
          <w:color w:val="000000" w:themeColor="text1"/>
          <w:sz w:val="24"/>
          <w:szCs w:val="16"/>
        </w:rPr>
        <w:t>A</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合成声压级，</w:t>
      </w:r>
      <w:r>
        <w:rPr>
          <w:rFonts w:ascii="Times New Roman" w:eastAsia="宋体" w:hAnsi="Times New Roman" w:cs="Times New Roman"/>
          <w:color w:val="000000" w:themeColor="text1"/>
          <w:sz w:val="24"/>
        </w:rPr>
        <w:t>dB</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A</w:t>
      </w:r>
      <w:r>
        <w:rPr>
          <w:rFonts w:ascii="Times New Roman" w:eastAsia="宋体" w:hAnsi="Times New Roman" w:cs="Times New Roman"/>
          <w:color w:val="000000" w:themeColor="text1"/>
          <w:sz w:val="24"/>
        </w:rPr>
        <w:t>）；</w:t>
      </w:r>
    </w:p>
    <w:p w:rsidR="00C861DA" w:rsidRDefault="0044752E">
      <w:pPr>
        <w:pStyle w:val="af4"/>
        <w:spacing w:after="0" w:line="360" w:lineRule="auto"/>
        <w:ind w:firstLineChars="500" w:firstLine="120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L</w:t>
      </w:r>
      <w:r>
        <w:rPr>
          <w:rFonts w:ascii="Times New Roman" w:eastAsia="宋体" w:hAnsi="Times New Roman" w:cs="Times New Roman"/>
          <w:color w:val="000000" w:themeColor="text1"/>
          <w:sz w:val="24"/>
          <w:szCs w:val="16"/>
        </w:rPr>
        <w:t>Ai</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第</w:t>
      </w:r>
      <w:r>
        <w:rPr>
          <w:rFonts w:ascii="Times New Roman" w:eastAsia="宋体" w:hAnsi="Times New Roman" w:cs="Times New Roman"/>
          <w:color w:val="000000" w:themeColor="text1"/>
          <w:sz w:val="24"/>
        </w:rPr>
        <w:t xml:space="preserve"> i</w:t>
      </w:r>
      <w:r>
        <w:rPr>
          <w:rFonts w:ascii="Times New Roman" w:eastAsia="宋体" w:hAnsi="Times New Roman" w:cs="Times New Roman"/>
          <w:color w:val="000000" w:themeColor="text1"/>
          <w:sz w:val="24"/>
        </w:rPr>
        <w:t>个声源对某个预测点的等效声级，</w:t>
      </w:r>
      <w:r>
        <w:rPr>
          <w:rFonts w:ascii="Times New Roman" w:eastAsia="宋体" w:hAnsi="Times New Roman" w:cs="Times New Roman"/>
          <w:color w:val="000000" w:themeColor="text1"/>
          <w:sz w:val="24"/>
        </w:rPr>
        <w:t>dB</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A</w:t>
      </w:r>
      <w:r>
        <w:rPr>
          <w:rFonts w:ascii="Times New Roman" w:eastAsia="宋体" w:hAnsi="Times New Roman" w:cs="Times New Roman"/>
          <w:color w:val="000000" w:themeColor="text1"/>
          <w:sz w:val="24"/>
        </w:rPr>
        <w:t>）。</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由上公式计算出本评价区域施工场地噪声预测结果见表</w:t>
      </w:r>
      <w:r>
        <w:rPr>
          <w:rFonts w:ascii="Times New Roman" w:eastAsia="宋体" w:hAnsi="Times New Roman" w:cs="Times New Roman"/>
          <w:color w:val="000000" w:themeColor="text1"/>
          <w:sz w:val="24"/>
          <w:szCs w:val="24"/>
        </w:rPr>
        <w:t>6.5-2</w:t>
      </w:r>
      <w:r>
        <w:rPr>
          <w:rFonts w:ascii="Times New Roman" w:eastAsia="宋体" w:hAnsi="Times New Roman" w:cs="Times New Roman"/>
          <w:color w:val="000000" w:themeColor="text1"/>
          <w:sz w:val="24"/>
          <w:szCs w:val="24"/>
        </w:rPr>
        <w:t>。</w:t>
      </w:r>
    </w:p>
    <w:p w:rsidR="00C861DA" w:rsidRDefault="0044752E">
      <w:pPr>
        <w:tabs>
          <w:tab w:val="left" w:pos="3385"/>
        </w:tabs>
        <w:spacing w:line="360" w:lineRule="auto"/>
        <w:jc w:val="center"/>
        <w:rPr>
          <w:rFonts w:ascii="Times New Roman" w:eastAsia="宋体" w:cs="微软雅黑"/>
          <w:b/>
          <w:bCs/>
          <w:color w:val="000000" w:themeColor="text1"/>
          <w:sz w:val="2"/>
          <w:szCs w:val="2"/>
        </w:rPr>
      </w:pPr>
      <w:r>
        <w:rPr>
          <w:rFonts w:ascii="Times New Roman" w:eastAsia="宋体" w:cs="微软雅黑"/>
          <w:b/>
          <w:bCs/>
          <w:color w:val="000000" w:themeColor="text1"/>
          <w:sz w:val="24"/>
          <w:szCs w:val="24"/>
        </w:rPr>
        <w:t>表</w:t>
      </w:r>
      <w:r>
        <w:rPr>
          <w:rFonts w:ascii="Times New Roman" w:eastAsia="宋体" w:cs="微软雅黑" w:hint="eastAsia"/>
          <w:b/>
          <w:bCs/>
          <w:color w:val="000000" w:themeColor="text1"/>
          <w:sz w:val="24"/>
          <w:szCs w:val="24"/>
        </w:rPr>
        <w:t>6.</w:t>
      </w:r>
      <w:r>
        <w:rPr>
          <w:rFonts w:ascii="Times New Roman" w:eastAsia="宋体" w:cs="微软雅黑"/>
          <w:b/>
          <w:bCs/>
          <w:color w:val="000000" w:themeColor="text1"/>
          <w:sz w:val="24"/>
          <w:szCs w:val="24"/>
        </w:rPr>
        <w:t>5-</w:t>
      </w:r>
      <w:r>
        <w:rPr>
          <w:rFonts w:ascii="Times New Roman" w:eastAsia="宋体" w:cs="微软雅黑" w:hint="eastAsia"/>
          <w:b/>
          <w:bCs/>
          <w:color w:val="000000" w:themeColor="text1"/>
          <w:sz w:val="24"/>
          <w:szCs w:val="24"/>
        </w:rPr>
        <w:t>2</w:t>
      </w:r>
      <w:r>
        <w:rPr>
          <w:rFonts w:ascii="Times New Roman" w:eastAsia="宋体" w:hint="eastAsia"/>
          <w:b/>
          <w:bCs/>
          <w:color w:val="000000" w:themeColor="text1"/>
          <w:sz w:val="24"/>
          <w:szCs w:val="24"/>
        </w:rPr>
        <w:t xml:space="preserve">      </w:t>
      </w:r>
      <w:r>
        <w:rPr>
          <w:rFonts w:ascii="Times New Roman" w:eastAsia="宋体" w:cs="微软雅黑"/>
          <w:b/>
          <w:bCs/>
          <w:color w:val="000000" w:themeColor="text1"/>
          <w:sz w:val="24"/>
          <w:szCs w:val="24"/>
        </w:rPr>
        <w:t>距声源不同距离出的噪声值</w:t>
      </w:r>
      <w:r>
        <w:rPr>
          <w:rFonts w:ascii="Times New Roman" w:eastAsia="宋体" w:cs="微软雅黑" w:hint="eastAsia"/>
          <w:b/>
          <w:bCs/>
          <w:color w:val="000000" w:themeColor="text1"/>
          <w:sz w:val="24"/>
          <w:szCs w:val="24"/>
        </w:rPr>
        <w:t xml:space="preserve">      </w:t>
      </w:r>
      <w:r>
        <w:rPr>
          <w:rFonts w:ascii="Times New Roman" w:eastAsia="宋体" w:cs="微软雅黑" w:hint="eastAsia"/>
          <w:b/>
          <w:bCs/>
          <w:color w:val="000000" w:themeColor="text1"/>
          <w:sz w:val="24"/>
          <w:szCs w:val="24"/>
        </w:rPr>
        <w:t>单位：</w:t>
      </w:r>
      <w:r>
        <w:rPr>
          <w:rFonts w:ascii="Times New Roman" w:eastAsia="宋体"/>
          <w:b/>
          <w:bCs/>
          <w:color w:val="000000" w:themeColor="text1"/>
          <w:sz w:val="24"/>
          <w:szCs w:val="24"/>
        </w:rPr>
        <w:t>dB</w:t>
      </w:r>
      <w:r>
        <w:rPr>
          <w:rFonts w:ascii="Times New Roman" w:eastAsia="宋体" w:cs="微软雅黑"/>
          <w:b/>
          <w:bCs/>
          <w:color w:val="000000" w:themeColor="text1"/>
          <w:sz w:val="24"/>
          <w:szCs w:val="24"/>
        </w:rPr>
        <w:t>（</w:t>
      </w:r>
      <w:r>
        <w:rPr>
          <w:rFonts w:ascii="Times New Roman" w:eastAsia="宋体"/>
          <w:b/>
          <w:bCs/>
          <w:color w:val="000000" w:themeColor="text1"/>
          <w:sz w:val="24"/>
          <w:szCs w:val="24"/>
        </w:rPr>
        <w:t>A</w:t>
      </w:r>
      <w:r>
        <w:rPr>
          <w:rFonts w:ascii="Times New Roman" w:eastAsia="宋体" w:cs="微软雅黑"/>
          <w:b/>
          <w:bCs/>
          <w:color w:val="000000" w:themeColor="text1"/>
          <w:sz w:val="24"/>
          <w:szCs w:val="24"/>
        </w:rPr>
        <w:t>）</w:t>
      </w:r>
    </w:p>
    <w:tbl>
      <w:tblPr>
        <w:tblW w:w="8314" w:type="dxa"/>
        <w:jc w:val="center"/>
        <w:tblLayout w:type="fixed"/>
        <w:tblCellMar>
          <w:left w:w="0" w:type="dxa"/>
          <w:right w:w="0" w:type="dxa"/>
        </w:tblCellMar>
        <w:tblLook w:val="04A0" w:firstRow="1" w:lastRow="0" w:firstColumn="1" w:lastColumn="0" w:noHBand="0" w:noVBand="1"/>
      </w:tblPr>
      <w:tblGrid>
        <w:gridCol w:w="1802"/>
        <w:gridCol w:w="792"/>
        <w:gridCol w:w="788"/>
        <w:gridCol w:w="788"/>
        <w:gridCol w:w="788"/>
        <w:gridCol w:w="788"/>
        <w:gridCol w:w="751"/>
        <w:gridCol w:w="934"/>
        <w:gridCol w:w="883"/>
      </w:tblGrid>
      <w:tr w:rsidR="00C861DA">
        <w:trPr>
          <w:trHeight w:val="369"/>
          <w:jc w:val="center"/>
        </w:trPr>
        <w:tc>
          <w:tcPr>
            <w:tcW w:w="1802" w:type="dxa"/>
            <w:tcBorders>
              <w:top w:val="single" w:sz="2" w:space="0" w:color="000000"/>
              <w:left w:val="single" w:sz="2" w:space="0" w:color="000000"/>
              <w:bottom w:val="single" w:sz="2" w:space="0" w:color="000000"/>
              <w:right w:val="single" w:sz="2" w:space="0" w:color="000000"/>
              <w:tl2br w:val="single" w:sz="2" w:space="0" w:color="000000"/>
            </w:tcBorders>
            <w:vAlign w:val="center"/>
          </w:tcPr>
          <w:p w:rsidR="00C861DA" w:rsidRDefault="0044752E">
            <w:pPr>
              <w:pStyle w:val="TableParagraph"/>
              <w:ind w:firstLineChars="600" w:firstLine="1265"/>
              <w:jc w:val="both"/>
              <w:rPr>
                <w:b/>
                <w:bCs/>
                <w:color w:val="000000" w:themeColor="text1"/>
              </w:rPr>
            </w:pPr>
            <w:r>
              <w:rPr>
                <w:rFonts w:hint="eastAsia"/>
                <w:b/>
                <w:bCs/>
                <w:color w:val="000000" w:themeColor="text1"/>
              </w:rPr>
              <w:t>距离</w:t>
            </w:r>
          </w:p>
          <w:p w:rsidR="00C861DA" w:rsidRDefault="0044752E">
            <w:pPr>
              <w:pStyle w:val="TableParagraph"/>
              <w:jc w:val="both"/>
              <w:rPr>
                <w:b/>
                <w:bCs/>
                <w:color w:val="000000" w:themeColor="text1"/>
              </w:rPr>
            </w:pPr>
            <w:r>
              <w:rPr>
                <w:b/>
                <w:bCs/>
                <w:color w:val="000000" w:themeColor="text1"/>
              </w:rPr>
              <w:t>设备名称</w:t>
            </w:r>
          </w:p>
        </w:tc>
        <w:tc>
          <w:tcPr>
            <w:tcW w:w="79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1m</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5m</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10m</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20m</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40m</w:t>
            </w:r>
          </w:p>
        </w:tc>
        <w:tc>
          <w:tcPr>
            <w:tcW w:w="7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50m</w:t>
            </w:r>
          </w:p>
        </w:tc>
        <w:tc>
          <w:tcPr>
            <w:tcW w:w="934"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100m</w:t>
            </w:r>
          </w:p>
        </w:tc>
        <w:tc>
          <w:tcPr>
            <w:tcW w:w="883"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150m</w:t>
            </w:r>
          </w:p>
        </w:tc>
      </w:tr>
      <w:tr w:rsidR="00C861DA">
        <w:trPr>
          <w:trHeight w:val="369"/>
          <w:jc w:val="center"/>
        </w:trPr>
        <w:tc>
          <w:tcPr>
            <w:tcW w:w="180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推土机</w:t>
            </w:r>
          </w:p>
        </w:tc>
        <w:tc>
          <w:tcPr>
            <w:tcW w:w="79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86</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72</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66</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60</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54</w:t>
            </w:r>
          </w:p>
        </w:tc>
        <w:tc>
          <w:tcPr>
            <w:tcW w:w="7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52</w:t>
            </w:r>
          </w:p>
        </w:tc>
        <w:tc>
          <w:tcPr>
            <w:tcW w:w="934"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46</w:t>
            </w:r>
          </w:p>
        </w:tc>
        <w:tc>
          <w:tcPr>
            <w:tcW w:w="883"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42</w:t>
            </w:r>
          </w:p>
        </w:tc>
      </w:tr>
      <w:tr w:rsidR="00C861DA">
        <w:trPr>
          <w:trHeight w:val="369"/>
          <w:jc w:val="center"/>
        </w:trPr>
        <w:tc>
          <w:tcPr>
            <w:tcW w:w="180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装载机</w:t>
            </w:r>
          </w:p>
        </w:tc>
        <w:tc>
          <w:tcPr>
            <w:tcW w:w="79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90</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76</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70</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64</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58</w:t>
            </w:r>
          </w:p>
        </w:tc>
        <w:tc>
          <w:tcPr>
            <w:tcW w:w="7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56</w:t>
            </w:r>
          </w:p>
        </w:tc>
        <w:tc>
          <w:tcPr>
            <w:tcW w:w="934"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50</w:t>
            </w:r>
          </w:p>
        </w:tc>
        <w:tc>
          <w:tcPr>
            <w:tcW w:w="883"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46</w:t>
            </w:r>
          </w:p>
        </w:tc>
      </w:tr>
      <w:tr w:rsidR="00C861DA">
        <w:trPr>
          <w:trHeight w:val="369"/>
          <w:jc w:val="center"/>
        </w:trPr>
        <w:tc>
          <w:tcPr>
            <w:tcW w:w="180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挖掘机</w:t>
            </w:r>
          </w:p>
        </w:tc>
        <w:tc>
          <w:tcPr>
            <w:tcW w:w="79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84</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70</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64</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58</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52</w:t>
            </w:r>
          </w:p>
        </w:tc>
        <w:tc>
          <w:tcPr>
            <w:tcW w:w="7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50</w:t>
            </w:r>
          </w:p>
        </w:tc>
        <w:tc>
          <w:tcPr>
            <w:tcW w:w="934"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44</w:t>
            </w:r>
          </w:p>
        </w:tc>
        <w:tc>
          <w:tcPr>
            <w:tcW w:w="883"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40</w:t>
            </w:r>
          </w:p>
        </w:tc>
      </w:tr>
      <w:tr w:rsidR="00C861DA">
        <w:trPr>
          <w:trHeight w:val="369"/>
          <w:jc w:val="center"/>
        </w:trPr>
        <w:tc>
          <w:tcPr>
            <w:tcW w:w="180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电焊机</w:t>
            </w:r>
          </w:p>
        </w:tc>
        <w:tc>
          <w:tcPr>
            <w:tcW w:w="79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85</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71</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65</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59</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53</w:t>
            </w:r>
          </w:p>
        </w:tc>
        <w:tc>
          <w:tcPr>
            <w:tcW w:w="7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51</w:t>
            </w:r>
          </w:p>
        </w:tc>
        <w:tc>
          <w:tcPr>
            <w:tcW w:w="934"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45</w:t>
            </w:r>
          </w:p>
        </w:tc>
        <w:tc>
          <w:tcPr>
            <w:tcW w:w="883"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41</w:t>
            </w:r>
          </w:p>
        </w:tc>
      </w:tr>
      <w:tr w:rsidR="00C861DA">
        <w:trPr>
          <w:trHeight w:val="369"/>
          <w:jc w:val="center"/>
        </w:trPr>
        <w:tc>
          <w:tcPr>
            <w:tcW w:w="180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卡车</w:t>
            </w:r>
          </w:p>
        </w:tc>
        <w:tc>
          <w:tcPr>
            <w:tcW w:w="79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92</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78</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72</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66</w:t>
            </w:r>
          </w:p>
        </w:tc>
        <w:tc>
          <w:tcPr>
            <w:tcW w:w="788"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60</w:t>
            </w:r>
          </w:p>
        </w:tc>
        <w:tc>
          <w:tcPr>
            <w:tcW w:w="751"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58</w:t>
            </w:r>
          </w:p>
        </w:tc>
        <w:tc>
          <w:tcPr>
            <w:tcW w:w="934"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52</w:t>
            </w:r>
          </w:p>
        </w:tc>
        <w:tc>
          <w:tcPr>
            <w:tcW w:w="883"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rPr>
            </w:pPr>
            <w:r>
              <w:rPr>
                <w:color w:val="000000" w:themeColor="text1"/>
              </w:rPr>
              <w:t>48</w:t>
            </w:r>
          </w:p>
        </w:tc>
      </w:tr>
    </w:tbl>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施工期多台机械设备同时运转噪声预测值，具体预测值见下表。</w:t>
      </w:r>
    </w:p>
    <w:p w:rsidR="00C861DA" w:rsidRDefault="0044752E">
      <w:pPr>
        <w:tabs>
          <w:tab w:val="left" w:pos="3385"/>
        </w:tabs>
        <w:spacing w:line="360" w:lineRule="auto"/>
        <w:jc w:val="center"/>
        <w:rPr>
          <w:rFonts w:ascii="Times New Roman" w:eastAsia="宋体" w:cs="微软雅黑"/>
          <w:b/>
          <w:bCs/>
          <w:color w:val="000000" w:themeColor="text1"/>
          <w:sz w:val="2"/>
          <w:szCs w:val="2"/>
        </w:rPr>
      </w:pPr>
      <w:r>
        <w:rPr>
          <w:rFonts w:ascii="Times New Roman" w:eastAsia="宋体" w:cs="微软雅黑"/>
          <w:b/>
          <w:bCs/>
          <w:color w:val="000000" w:themeColor="text1"/>
          <w:sz w:val="24"/>
          <w:szCs w:val="24"/>
        </w:rPr>
        <w:t>表</w:t>
      </w:r>
      <w:r>
        <w:rPr>
          <w:rFonts w:ascii="Times New Roman" w:eastAsia="宋体" w:cs="微软雅黑" w:hint="eastAsia"/>
          <w:b/>
          <w:bCs/>
          <w:color w:val="000000" w:themeColor="text1"/>
          <w:sz w:val="24"/>
          <w:szCs w:val="24"/>
        </w:rPr>
        <w:t>6.</w:t>
      </w:r>
      <w:r>
        <w:rPr>
          <w:rFonts w:ascii="Times New Roman" w:eastAsia="宋体" w:cs="微软雅黑"/>
          <w:b/>
          <w:bCs/>
          <w:color w:val="000000" w:themeColor="text1"/>
          <w:sz w:val="24"/>
          <w:szCs w:val="24"/>
        </w:rPr>
        <w:t>5-</w:t>
      </w:r>
      <w:r>
        <w:rPr>
          <w:rFonts w:ascii="Times New Roman" w:eastAsia="宋体" w:cs="微软雅黑" w:hint="eastAsia"/>
          <w:b/>
          <w:bCs/>
          <w:color w:val="000000" w:themeColor="text1"/>
          <w:sz w:val="24"/>
          <w:szCs w:val="24"/>
        </w:rPr>
        <w:t>3</w:t>
      </w:r>
      <w:r>
        <w:rPr>
          <w:rFonts w:ascii="Times New Roman" w:eastAsia="宋体" w:hint="eastAsia"/>
          <w:b/>
          <w:bCs/>
          <w:color w:val="000000" w:themeColor="text1"/>
          <w:sz w:val="24"/>
          <w:szCs w:val="24"/>
        </w:rPr>
        <w:t xml:space="preserve">  </w:t>
      </w:r>
      <w:r>
        <w:rPr>
          <w:rFonts w:ascii="Times New Roman" w:eastAsia="宋体" w:cs="微软雅黑"/>
          <w:b/>
          <w:bCs/>
          <w:color w:val="000000" w:themeColor="text1"/>
          <w:sz w:val="24"/>
          <w:szCs w:val="24"/>
        </w:rPr>
        <w:t>多台机械设备同时运转的噪声预测值</w:t>
      </w:r>
      <w:r>
        <w:rPr>
          <w:rFonts w:ascii="Times New Roman" w:eastAsia="宋体" w:cs="微软雅黑" w:hint="eastAsia"/>
          <w:b/>
          <w:bCs/>
          <w:color w:val="000000" w:themeColor="text1"/>
          <w:sz w:val="24"/>
          <w:szCs w:val="24"/>
        </w:rPr>
        <w:t xml:space="preserve">  </w:t>
      </w:r>
      <w:r>
        <w:rPr>
          <w:rFonts w:ascii="Times New Roman" w:eastAsia="宋体" w:cs="微软雅黑" w:hint="eastAsia"/>
          <w:b/>
          <w:bCs/>
          <w:color w:val="000000" w:themeColor="text1"/>
          <w:sz w:val="24"/>
          <w:szCs w:val="24"/>
        </w:rPr>
        <w:t>单位：</w:t>
      </w:r>
      <w:r>
        <w:rPr>
          <w:rFonts w:ascii="Times New Roman" w:eastAsia="宋体"/>
          <w:b/>
          <w:bCs/>
          <w:color w:val="000000" w:themeColor="text1"/>
          <w:sz w:val="24"/>
          <w:szCs w:val="24"/>
        </w:rPr>
        <w:t>dB</w:t>
      </w:r>
      <w:r>
        <w:rPr>
          <w:rFonts w:ascii="Times New Roman" w:eastAsia="宋体" w:cs="微软雅黑"/>
          <w:b/>
          <w:bCs/>
          <w:color w:val="000000" w:themeColor="text1"/>
          <w:sz w:val="24"/>
          <w:szCs w:val="24"/>
        </w:rPr>
        <w:t>（</w:t>
      </w:r>
      <w:r>
        <w:rPr>
          <w:rFonts w:ascii="Times New Roman" w:eastAsia="宋体"/>
          <w:b/>
          <w:bCs/>
          <w:color w:val="000000" w:themeColor="text1"/>
          <w:sz w:val="24"/>
          <w:szCs w:val="24"/>
        </w:rPr>
        <w:t>A</w:t>
      </w:r>
      <w:r>
        <w:rPr>
          <w:rFonts w:ascii="Times New Roman" w:eastAsia="宋体" w:cs="微软雅黑"/>
          <w:b/>
          <w:bCs/>
          <w:color w:val="000000" w:themeColor="text1"/>
          <w:sz w:val="24"/>
          <w:szCs w:val="24"/>
        </w:rPr>
        <w:t>）</w:t>
      </w:r>
    </w:p>
    <w:tbl>
      <w:tblPr>
        <w:tblW w:w="8314" w:type="dxa"/>
        <w:tblInd w:w="1" w:type="dxa"/>
        <w:tblLayout w:type="fixed"/>
        <w:tblCellMar>
          <w:left w:w="0" w:type="dxa"/>
          <w:right w:w="0" w:type="dxa"/>
        </w:tblCellMar>
        <w:tblLook w:val="04A0" w:firstRow="1" w:lastRow="0" w:firstColumn="1" w:lastColumn="0" w:noHBand="0" w:noVBand="1"/>
      </w:tblPr>
      <w:tblGrid>
        <w:gridCol w:w="1430"/>
        <w:gridCol w:w="766"/>
        <w:gridCol w:w="763"/>
        <w:gridCol w:w="766"/>
        <w:gridCol w:w="766"/>
        <w:gridCol w:w="766"/>
        <w:gridCol w:w="762"/>
        <w:gridCol w:w="766"/>
        <w:gridCol w:w="766"/>
        <w:gridCol w:w="763"/>
      </w:tblGrid>
      <w:tr w:rsidR="00C861DA">
        <w:trPr>
          <w:trHeight w:val="454"/>
        </w:trPr>
        <w:tc>
          <w:tcPr>
            <w:tcW w:w="143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距离</w:t>
            </w:r>
          </w:p>
        </w:tc>
        <w:tc>
          <w:tcPr>
            <w:tcW w:w="7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5m</w:t>
            </w:r>
          </w:p>
        </w:tc>
        <w:tc>
          <w:tcPr>
            <w:tcW w:w="763"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10m</w:t>
            </w:r>
          </w:p>
        </w:tc>
        <w:tc>
          <w:tcPr>
            <w:tcW w:w="7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20m</w:t>
            </w:r>
          </w:p>
        </w:tc>
        <w:tc>
          <w:tcPr>
            <w:tcW w:w="7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40m</w:t>
            </w:r>
          </w:p>
        </w:tc>
        <w:tc>
          <w:tcPr>
            <w:tcW w:w="7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50m</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100m</w:t>
            </w:r>
          </w:p>
        </w:tc>
        <w:tc>
          <w:tcPr>
            <w:tcW w:w="7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150m</w:t>
            </w:r>
          </w:p>
        </w:tc>
        <w:tc>
          <w:tcPr>
            <w:tcW w:w="7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200m</w:t>
            </w:r>
          </w:p>
        </w:tc>
        <w:tc>
          <w:tcPr>
            <w:tcW w:w="763"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b/>
                <w:bCs/>
                <w:color w:val="000000" w:themeColor="text1"/>
              </w:rPr>
            </w:pPr>
            <w:r>
              <w:rPr>
                <w:b/>
                <w:bCs/>
                <w:color w:val="000000" w:themeColor="text1"/>
              </w:rPr>
              <w:t>300m</w:t>
            </w:r>
          </w:p>
        </w:tc>
      </w:tr>
      <w:tr w:rsidR="00C861DA">
        <w:trPr>
          <w:trHeight w:val="454"/>
        </w:trPr>
        <w:tc>
          <w:tcPr>
            <w:tcW w:w="1430"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szCs w:val="22"/>
              </w:rPr>
            </w:pPr>
            <w:r>
              <w:rPr>
                <w:color w:val="000000" w:themeColor="text1"/>
                <w:szCs w:val="22"/>
              </w:rPr>
              <w:t>噪声预测值</w:t>
            </w:r>
          </w:p>
        </w:tc>
        <w:tc>
          <w:tcPr>
            <w:tcW w:w="7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szCs w:val="22"/>
              </w:rPr>
            </w:pPr>
            <w:r>
              <w:rPr>
                <w:color w:val="000000" w:themeColor="text1"/>
                <w:szCs w:val="22"/>
              </w:rPr>
              <w:t>93.2</w:t>
            </w:r>
          </w:p>
        </w:tc>
        <w:tc>
          <w:tcPr>
            <w:tcW w:w="763"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szCs w:val="22"/>
              </w:rPr>
            </w:pPr>
            <w:r>
              <w:rPr>
                <w:color w:val="000000" w:themeColor="text1"/>
                <w:szCs w:val="22"/>
              </w:rPr>
              <w:t>85.2</w:t>
            </w:r>
          </w:p>
        </w:tc>
        <w:tc>
          <w:tcPr>
            <w:tcW w:w="7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szCs w:val="22"/>
              </w:rPr>
            </w:pPr>
            <w:r>
              <w:rPr>
                <w:color w:val="000000" w:themeColor="text1"/>
                <w:szCs w:val="22"/>
              </w:rPr>
              <w:t>78.2</w:t>
            </w:r>
          </w:p>
        </w:tc>
        <w:tc>
          <w:tcPr>
            <w:tcW w:w="7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szCs w:val="22"/>
              </w:rPr>
            </w:pPr>
            <w:r>
              <w:rPr>
                <w:color w:val="000000" w:themeColor="text1"/>
                <w:szCs w:val="22"/>
              </w:rPr>
              <w:t>70.2</w:t>
            </w:r>
          </w:p>
        </w:tc>
        <w:tc>
          <w:tcPr>
            <w:tcW w:w="7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szCs w:val="22"/>
              </w:rPr>
            </w:pPr>
            <w:r>
              <w:rPr>
                <w:color w:val="000000" w:themeColor="text1"/>
                <w:szCs w:val="22"/>
              </w:rPr>
              <w:t>68.2</w:t>
            </w:r>
          </w:p>
        </w:tc>
        <w:tc>
          <w:tcPr>
            <w:tcW w:w="762"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szCs w:val="22"/>
              </w:rPr>
            </w:pPr>
            <w:r>
              <w:rPr>
                <w:color w:val="000000" w:themeColor="text1"/>
                <w:szCs w:val="22"/>
              </w:rPr>
              <w:t>62.7</w:t>
            </w:r>
          </w:p>
        </w:tc>
        <w:tc>
          <w:tcPr>
            <w:tcW w:w="7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szCs w:val="22"/>
              </w:rPr>
            </w:pPr>
            <w:r>
              <w:rPr>
                <w:color w:val="000000" w:themeColor="text1"/>
                <w:szCs w:val="22"/>
              </w:rPr>
              <w:t>56.2</w:t>
            </w:r>
          </w:p>
        </w:tc>
        <w:tc>
          <w:tcPr>
            <w:tcW w:w="766"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szCs w:val="22"/>
              </w:rPr>
            </w:pPr>
            <w:r>
              <w:rPr>
                <w:color w:val="000000" w:themeColor="text1"/>
                <w:szCs w:val="22"/>
              </w:rPr>
              <w:t>52.2</w:t>
            </w:r>
          </w:p>
        </w:tc>
        <w:tc>
          <w:tcPr>
            <w:tcW w:w="763" w:type="dxa"/>
            <w:tcBorders>
              <w:top w:val="single" w:sz="2" w:space="0" w:color="000000"/>
              <w:left w:val="single" w:sz="2" w:space="0" w:color="000000"/>
              <w:bottom w:val="single" w:sz="2" w:space="0" w:color="000000"/>
              <w:right w:val="single" w:sz="2" w:space="0" w:color="000000"/>
            </w:tcBorders>
            <w:vAlign w:val="center"/>
          </w:tcPr>
          <w:p w:rsidR="00C861DA" w:rsidRDefault="0044752E">
            <w:pPr>
              <w:pStyle w:val="TableParagraph"/>
              <w:jc w:val="center"/>
              <w:rPr>
                <w:color w:val="000000" w:themeColor="text1"/>
                <w:szCs w:val="22"/>
              </w:rPr>
            </w:pPr>
            <w:r>
              <w:rPr>
                <w:color w:val="000000" w:themeColor="text1"/>
                <w:szCs w:val="22"/>
              </w:rPr>
              <w:t>48.2</w:t>
            </w:r>
          </w:p>
        </w:tc>
      </w:tr>
    </w:tbl>
    <w:p w:rsidR="00C861DA" w:rsidRDefault="00C861DA">
      <w:pPr>
        <w:spacing w:before="12"/>
        <w:rPr>
          <w:rFonts w:ascii="Times New Roman" w:eastAsia="宋体" w:cs="微软雅黑"/>
          <w:b/>
          <w:bCs/>
          <w:color w:val="000000" w:themeColor="text1"/>
          <w:sz w:val="17"/>
          <w:szCs w:val="17"/>
        </w:rPr>
      </w:pP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表</w:t>
      </w:r>
      <w:r>
        <w:rPr>
          <w:rFonts w:ascii="Times New Roman" w:eastAsia="宋体" w:hAnsi="Times New Roman" w:cs="Times New Roman"/>
          <w:color w:val="000000" w:themeColor="text1"/>
          <w:sz w:val="24"/>
        </w:rPr>
        <w:t>6.5-3</w:t>
      </w:r>
      <w:r>
        <w:rPr>
          <w:rFonts w:ascii="Times New Roman" w:eastAsia="宋体" w:hAnsi="Times New Roman" w:cs="Times New Roman"/>
          <w:color w:val="000000" w:themeColor="text1"/>
          <w:sz w:val="24"/>
        </w:rPr>
        <w:t>为主要施工机械多台同时运转时噪声的距离衰减情况，由预测结果可知，这类机械噪声在空旷地带的传播距离较远，单台设备运转时噪声值在</w:t>
      </w:r>
      <w:r>
        <w:rPr>
          <w:rFonts w:ascii="Times New Roman" w:eastAsia="宋体" w:hAnsi="Times New Roman" w:cs="Times New Roman"/>
          <w:color w:val="000000" w:themeColor="text1"/>
          <w:sz w:val="24"/>
        </w:rPr>
        <w:t>20m</w:t>
      </w:r>
      <w:r>
        <w:rPr>
          <w:rFonts w:ascii="Times New Roman" w:eastAsia="宋体" w:hAnsi="Times New Roman" w:cs="Times New Roman"/>
          <w:color w:val="000000" w:themeColor="text1"/>
          <w:sz w:val="24"/>
        </w:rPr>
        <w:t>处可达《建筑施工场界噪声限值》要求，多台设备同时运转时噪声值在</w:t>
      </w:r>
      <w:r>
        <w:rPr>
          <w:rFonts w:ascii="Times New Roman" w:eastAsia="宋体" w:hAnsi="Times New Roman" w:cs="Times New Roman"/>
          <w:color w:val="000000" w:themeColor="text1"/>
          <w:sz w:val="24"/>
        </w:rPr>
        <w:t>40m</w:t>
      </w:r>
      <w:r>
        <w:rPr>
          <w:rFonts w:ascii="Times New Roman" w:eastAsia="宋体" w:hAnsi="Times New Roman" w:cs="Times New Roman"/>
          <w:color w:val="000000" w:themeColor="text1"/>
          <w:sz w:val="24"/>
        </w:rPr>
        <w:t>处达到《建筑施工场界噪声限值》要求。根据施工现场考察，距项目最近的下村</w:t>
      </w:r>
      <w:r>
        <w:rPr>
          <w:rFonts w:ascii="Times New Roman" w:eastAsia="宋体" w:hAnsi="Times New Roman" w:cs="Times New Roman"/>
          <w:color w:val="000000" w:themeColor="text1"/>
          <w:sz w:val="24"/>
        </w:rPr>
        <w:t>215m</w:t>
      </w:r>
      <w:r>
        <w:rPr>
          <w:rFonts w:ascii="Times New Roman" w:eastAsia="宋体" w:hAnsi="Times New Roman" w:cs="Times New Roman"/>
          <w:color w:val="000000" w:themeColor="text1"/>
          <w:sz w:val="24"/>
        </w:rPr>
        <w:t>，当所有施工机械同时作业时施工噪声对周围环境产生一定的影响，因此施工中应高度重视，采取有效措施治理。</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施工噪声成为项目施工期对环境影响的重要污染源，对周围环境产生一定的影响，因此施工中应高度重视，采取有效措施治理。</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项目减少施工噪声扰民对策措施如下：</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）施工单位应当采取有效措施，降低施工噪声污染，应当符合《建筑施工场界噪声限值》要求。</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施工过程中使用机械设备，可能产生环境噪声污染的，施工单位应当在工程开工前向工程所在地的环境保护行政主管部门申报该工程的项目名称、施工场所和期限、可能产生的环境噪声值以及所采取的环境噪声污染防治措施的情况。</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）因连续作业必须进行夜间施工的，施工单位应当在施工前在施工地点以书面形式向附近居民公告，以征得公众的理解和支持。</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）建设单位在与施工单住签订合同时，应要求其使用的主要</w:t>
      </w:r>
      <w:r>
        <w:rPr>
          <w:rFonts w:ascii="Times New Roman" w:eastAsia="宋体" w:hAnsi="Times New Roman" w:cs="Times New Roman"/>
          <w:color w:val="000000" w:themeColor="text1"/>
          <w:sz w:val="24"/>
        </w:rPr>
        <w:t>机械设备为低噪声机械设备，例如选液压机械取代燃油机械。同时在施工过程中施工单位应设专人对设备进行定期保养和维护，并负责对现场工作人员进行培训，严格按操作规范使用各类机械，采用低噪声的先进的工艺。</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5</w:t>
      </w:r>
      <w:r>
        <w:rPr>
          <w:rFonts w:ascii="Times New Roman" w:eastAsia="宋体" w:hAnsi="Times New Roman" w:cs="Times New Roman"/>
          <w:color w:val="000000" w:themeColor="text1"/>
          <w:sz w:val="24"/>
        </w:rPr>
        <w:t>）建材及渣土运输线路选择应避开声环境敏感目标，车辆经过敏感区时尽量减速，禁止鸣笛，减小建筑材料及渣土运输对沿线敏感目标的影响。</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6</w:t>
      </w:r>
      <w:r>
        <w:rPr>
          <w:rFonts w:ascii="Times New Roman" w:eastAsia="宋体" w:hAnsi="Times New Roman" w:cs="Times New Roman"/>
          <w:color w:val="000000" w:themeColor="text1"/>
          <w:sz w:val="24"/>
        </w:rPr>
        <w:t>）建设管理部门应加强对施工场地的噪声严格管理，施工企业也应对施工噪声进行自律，文明施工，避免因施工噪声产生企业与民众的纠分。</w:t>
      </w:r>
    </w:p>
    <w:p w:rsidR="00C861DA" w:rsidRDefault="0044752E">
      <w:pPr>
        <w:pStyle w:val="af4"/>
        <w:spacing w:after="0" w:line="360" w:lineRule="auto"/>
        <w:ind w:firstLineChars="200" w:firstLine="480"/>
        <w:jc w:val="both"/>
        <w:rPr>
          <w:rFonts w:ascii="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7</w:t>
      </w:r>
      <w:r>
        <w:rPr>
          <w:rFonts w:ascii="Times New Roman" w:eastAsia="宋体" w:hAnsi="Times New Roman" w:cs="Times New Roman"/>
          <w:color w:val="000000" w:themeColor="text1"/>
          <w:sz w:val="24"/>
        </w:rPr>
        <w:t>）项目施工期间打桩工序使用静压打桩，采用开挖机进行</w:t>
      </w:r>
      <w:r>
        <w:rPr>
          <w:rFonts w:ascii="Times New Roman" w:eastAsia="宋体" w:hAnsi="Times New Roman" w:cs="Times New Roman"/>
          <w:color w:val="000000" w:themeColor="text1"/>
          <w:sz w:val="24"/>
        </w:rPr>
        <w:t>开挖，再进行施浇灌，设备应选用工艺先进的低噪声设备，从源强上降低噪声。</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8</w:t>
      </w:r>
      <w:r>
        <w:rPr>
          <w:rFonts w:ascii="Times New Roman" w:eastAsia="宋体" w:hAnsi="Times New Roman" w:cs="Times New Roman"/>
          <w:color w:val="000000" w:themeColor="text1"/>
          <w:sz w:val="24"/>
        </w:rPr>
        <w:t>）为减小施工期间施工设备对周边环境敏感点的不利影响，将大型施工设备放置于各个施工场地中远离紧邻保护目标一侧的位置，并在施工区四周设置围墙进行阻隔，采取针对性地强化围拦隔声措施，减少噪声对周边保护目标的影响。</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9</w:t>
      </w:r>
      <w:r>
        <w:rPr>
          <w:rFonts w:ascii="Times New Roman" w:eastAsia="宋体" w:hAnsi="Times New Roman" w:cs="Times New Roman"/>
          <w:color w:val="000000" w:themeColor="text1"/>
          <w:sz w:val="24"/>
        </w:rPr>
        <w:t>）加强施工期的操作规范，避免人为造成诸如高空抛丢重物砸下造成的突发性噪声影响周围居民的情况发生。</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综上所述，施工期间加强管理，合理安排施工时间，采用低噪声设备，并通过在施工场地四周设置围墙，能有效减少噪声对紧邻敏感点的影响。</w:t>
      </w:r>
      <w:r>
        <w:rPr>
          <w:rFonts w:ascii="Times New Roman" w:eastAsia="宋体" w:hAnsi="Times New Roman" w:cs="Times New Roman"/>
          <w:color w:val="000000" w:themeColor="text1"/>
          <w:sz w:val="24"/>
        </w:rPr>
        <w:t>施工中噪声等级较大的施工机械作业时间相对短暂，而且噪声具有的随机性和无规律性，因此随着施工的结束，这些影响也随之消失。</w:t>
      </w:r>
    </w:p>
    <w:p w:rsidR="00C861DA" w:rsidRDefault="0044752E">
      <w:pPr>
        <w:pStyle w:val="22"/>
        <w:rPr>
          <w:rFonts w:ascii="Times New Roman" w:eastAsia="宋体" w:hAnsi="Times New Roman"/>
          <w:bCs w:val="0"/>
          <w:color w:val="000000" w:themeColor="text1"/>
          <w:sz w:val="28"/>
          <w:szCs w:val="28"/>
        </w:rPr>
      </w:pPr>
      <w:bookmarkStart w:id="384" w:name="_Toc6826837"/>
      <w:bookmarkStart w:id="385" w:name="_Toc12310"/>
      <w:r>
        <w:rPr>
          <w:rFonts w:ascii="Times New Roman" w:eastAsia="宋体" w:hAnsi="Times New Roman" w:hint="eastAsia"/>
          <w:bCs w:val="0"/>
          <w:color w:val="000000" w:themeColor="text1"/>
          <w:sz w:val="28"/>
          <w:szCs w:val="28"/>
        </w:rPr>
        <w:t>6.6</w:t>
      </w:r>
      <w:r>
        <w:rPr>
          <w:rFonts w:ascii="Times New Roman" w:eastAsia="宋体" w:hAnsi="Times New Roman" w:hint="eastAsia"/>
          <w:bCs w:val="0"/>
          <w:color w:val="000000" w:themeColor="text1"/>
          <w:sz w:val="28"/>
          <w:szCs w:val="28"/>
        </w:rPr>
        <w:t>施工期对生态环境影响分析</w:t>
      </w:r>
      <w:bookmarkEnd w:id="384"/>
      <w:bookmarkEnd w:id="385"/>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）对土地利用的影响分析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项目净用地面积约</w:t>
      </w:r>
      <w:r>
        <w:rPr>
          <w:rFonts w:ascii="Times New Roman" w:eastAsia="宋体" w:hAnsi="Times New Roman" w:cs="Times New Roman"/>
          <w:color w:val="000000" w:themeColor="text1"/>
          <w:sz w:val="24"/>
        </w:rPr>
        <w:t>130607.31m</w:t>
      </w:r>
      <w:r>
        <w:rPr>
          <w:rFonts w:ascii="Times New Roman" w:eastAsia="宋体" w:hAnsi="Times New Roman" w:cs="Times New Roman"/>
          <w:color w:val="000000" w:themeColor="text1"/>
          <w:sz w:val="24"/>
          <w:vertAlign w:val="superscript"/>
        </w:rPr>
        <w:t>2</w:t>
      </w:r>
      <w:r>
        <w:rPr>
          <w:rFonts w:ascii="Times New Roman" w:eastAsia="宋体" w:hAnsi="Times New Roman" w:cs="Times New Roman"/>
          <w:color w:val="000000" w:themeColor="text1"/>
          <w:sz w:val="24"/>
        </w:rPr>
        <w:t>，所占用土地目前已规划为建设用地。根据调查，项目区内原始地貌以荒地、草地为主，征地手续已由政府相关部门负责办理，与建设单位无关。土地的占用将改变项目区的原有土地利用格局，但项目的建设将进一步提高土地利用价值。</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）对陆生植被及动植物的影响分析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对植被及动植物种类的影响主要为项目施工期间施工开挖导致施工区域内的地表植被和土壤遭到破坏，土地的占用及施工人员的活动，将影响区域内的野生动植物。项目建设不会对区域植被造成破坏，项目建成后随着项目区绿化的建设，将会改善区域植被覆盖率。项目所处区域人为活动较频繁，主要的动物类型为常见的鸟类、鼠类、爬行类动物，没有国家和省级珍稀濒危保护动动物，也没有区域局域分布特有类群。工程施工将对陆生动物的生境造成一定程度的破坏，陆生动物由于有较强的活动能力，施工噪声、频繁的人为活动，使得施工区分布的动物大量迁移到施工区以外以</w:t>
      </w:r>
      <w:r>
        <w:rPr>
          <w:rFonts w:ascii="Times New Roman" w:eastAsia="宋体" w:hAnsi="Times New Roman" w:cs="Times New Roman"/>
          <w:color w:val="000000" w:themeColor="text1"/>
          <w:sz w:val="24"/>
        </w:rPr>
        <w:t>避免项目施工所导致的不良影响和伤害，所以在整个施工期间动物的种类和数量在施工区域内会有所减少，但就整个区域而言，动物数量不会有大的变化。施工期对陆生动物的影响不大。</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）对区域生态服务功能的影响</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项目施工过程中土地利用发生改变，将对区域的生态服务功能产生一定的影响。特别是地表植被的破坏将破坏区域的水源涵养能力、水土保持能力、防风固沙能力、改善大气质量等。</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）水土流失影响分析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）水土流失特点</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水土流失为施工期间挖损破坏及占压地表，使施工区地形地貌、植被、土壤发生变化而引起的，属于人为加速侵蚀，具有流失</w:t>
      </w:r>
      <w:r>
        <w:rPr>
          <w:rFonts w:ascii="Times New Roman" w:eastAsia="宋体" w:hAnsi="Times New Roman" w:cs="Times New Roman"/>
          <w:color w:val="000000" w:themeColor="text1"/>
          <w:sz w:val="24"/>
        </w:rPr>
        <w:t>面积集中、流失形式多样、流失量较大等特点。</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基本建设完成后由于地面硬化或植物绿化可发挥有效控制作用，因此，水土流失主要集中在施工期基础开挖场地。开挖坡度大或地质构造不良地段，开挖面或填方处裸露边坡，施工不当造成松动地层，施工过程中土、石随意堆放等场地区，在雨水冲刷下易造成水土流失。</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）水土流失分析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根据本工程水土流失特点分析，结合水土流失预测原则，本工程建设可能造成的水土流失面积主要是指施工开挖、占压、使用等扰动地表且使该区域产生新的水土流失量的面积。</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施工期间，由于基础开挖，从而加剧扰动地表和土壤侵蚀，造成土质疏松，在雨季受雨水冲刷会导致项目区产生水土流失。</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szCs w:val="24"/>
        </w:rPr>
        <w:t>项目用地的周边市政道路标高相差较大，并</w:t>
      </w:r>
      <w:r>
        <w:rPr>
          <w:rFonts w:ascii="Times New Roman" w:eastAsia="宋体" w:hAnsi="Times New Roman" w:cs="Times New Roman"/>
          <w:color w:val="000000" w:themeColor="text1"/>
          <w:sz w:val="24"/>
        </w:rPr>
        <w:t>且占地面积较大，若不采取相应的防治措施，施工期遇到雨季将会造成严重的水土流失，必须采取严格的水土保持措施，减少水土流失量。</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）对策措施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基础施工期，将形成大面积的表土裸露，增加了土壤侵蚀。雨季时，水土流失现象将更为加重。本项目施工期雨季所产生的地表径流经统一收集后进入各片区所建的沉淀池经沉淀处理后，废水排入项目周围道路旁的雨水管网中，可有效防止场内水土流失。施</w:t>
      </w:r>
      <w:r>
        <w:rPr>
          <w:rFonts w:ascii="Times New Roman" w:eastAsia="宋体" w:hAnsi="Times New Roman" w:cs="Times New Roman"/>
          <w:color w:val="000000" w:themeColor="text1"/>
          <w:sz w:val="24"/>
        </w:rPr>
        <w:t>工期水土流失主要发生在基础施工期，只要避开雨天施工，加强管理，水土流失就能得到有效控制，水土流失对环境影响是轻微的，可以接受的。</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水土流失控制措施：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宋体" w:eastAsia="宋体" w:hAnsi="宋体" w:cs="宋体" w:hint="eastAsia"/>
          <w:color w:val="000000" w:themeColor="text1"/>
          <w:sz w:val="24"/>
        </w:rPr>
        <w:t>①</w:t>
      </w:r>
      <w:r>
        <w:rPr>
          <w:rFonts w:ascii="Times New Roman" w:eastAsia="宋体" w:hAnsi="Times New Roman" w:cs="Times New Roman"/>
          <w:color w:val="000000" w:themeColor="text1"/>
          <w:sz w:val="24"/>
        </w:rPr>
        <w:t>结合工程实际和项目区水土流失现状，因地制宜，因害设防、防治结合、全面布局、科学配置；</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宋体" w:eastAsia="宋体" w:hAnsi="宋体" w:cs="宋体" w:hint="eastAsia"/>
          <w:color w:val="000000" w:themeColor="text1"/>
          <w:sz w:val="24"/>
        </w:rPr>
        <w:t>②</w:t>
      </w:r>
      <w:r>
        <w:rPr>
          <w:rFonts w:ascii="Times New Roman" w:eastAsia="宋体" w:hAnsi="Times New Roman" w:cs="Times New Roman"/>
          <w:color w:val="000000" w:themeColor="text1"/>
          <w:sz w:val="24"/>
        </w:rPr>
        <w:t>减少对原地表和植被的破坏，合理利用地表剥离表土，弃土及时清运；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宋体" w:eastAsia="宋体" w:hAnsi="宋体" w:cs="宋体" w:hint="eastAsia"/>
          <w:color w:val="000000" w:themeColor="text1"/>
          <w:sz w:val="24"/>
        </w:rPr>
        <w:t>③</w:t>
      </w:r>
      <w:r>
        <w:rPr>
          <w:rFonts w:ascii="Times New Roman" w:eastAsia="宋体" w:hAnsi="Times New Roman" w:cs="Times New Roman"/>
          <w:color w:val="000000" w:themeColor="text1"/>
          <w:sz w:val="24"/>
        </w:rPr>
        <w:t>项目建设过程中应注重生态环境的保护，设置临时性防护措施，减少施工过程中造成的人为扰动及产生的弃土；</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宋体" w:eastAsia="宋体" w:hAnsi="宋体" w:cs="宋体" w:hint="eastAsia"/>
          <w:color w:val="000000" w:themeColor="text1"/>
          <w:sz w:val="24"/>
        </w:rPr>
        <w:t>④</w:t>
      </w:r>
      <w:r>
        <w:rPr>
          <w:rFonts w:ascii="Times New Roman" w:eastAsia="宋体" w:hAnsi="Times New Roman" w:cs="Times New Roman"/>
          <w:color w:val="000000" w:themeColor="text1"/>
          <w:sz w:val="24"/>
        </w:rPr>
        <w:t>注重吸收当地水土保持的成功经验，借鉴国内外先进技术；</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宋体" w:eastAsia="宋体" w:hAnsi="宋体" w:cs="宋体" w:hint="eastAsia"/>
          <w:color w:val="000000" w:themeColor="text1"/>
          <w:sz w:val="24"/>
        </w:rPr>
        <w:t>⑤</w:t>
      </w:r>
      <w:r>
        <w:rPr>
          <w:rFonts w:ascii="Times New Roman" w:eastAsia="宋体" w:hAnsi="Times New Roman" w:cs="Times New Roman"/>
          <w:color w:val="000000" w:themeColor="text1"/>
          <w:sz w:val="24"/>
        </w:rPr>
        <w:t>树立人与自然和谐相处的理念，尊重自然规律，注重与周边景观相协调；</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宋体" w:eastAsia="宋体" w:hAnsi="宋体" w:cs="宋体" w:hint="eastAsia"/>
          <w:color w:val="000000" w:themeColor="text1"/>
          <w:sz w:val="24"/>
        </w:rPr>
        <w:t>⑥</w:t>
      </w:r>
      <w:r>
        <w:rPr>
          <w:rFonts w:ascii="Times New Roman" w:eastAsia="宋体" w:hAnsi="Times New Roman" w:cs="Times New Roman"/>
          <w:color w:val="000000" w:themeColor="text1"/>
          <w:sz w:val="24"/>
        </w:rPr>
        <w:t>工程措施、植物措施、临时措施合理配置、统筹兼顾，形成综合防护体系；</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宋体" w:eastAsia="宋体" w:hAnsi="宋体" w:cs="宋体" w:hint="eastAsia"/>
          <w:color w:val="000000" w:themeColor="text1"/>
          <w:sz w:val="24"/>
        </w:rPr>
        <w:t>⑦</w:t>
      </w:r>
      <w:r>
        <w:rPr>
          <w:rFonts w:ascii="Times New Roman" w:eastAsia="宋体" w:hAnsi="Times New Roman" w:cs="Times New Roman"/>
          <w:color w:val="000000" w:themeColor="text1"/>
          <w:sz w:val="24"/>
        </w:rPr>
        <w:t>工程措施要尽量选用当地材料，做到技术上可靠、经济上合理；</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宋体" w:eastAsia="宋体" w:hAnsi="宋体" w:cs="宋体" w:hint="eastAsia"/>
          <w:color w:val="000000" w:themeColor="text1"/>
          <w:sz w:val="24"/>
        </w:rPr>
        <w:t>⑧</w:t>
      </w:r>
      <w:r>
        <w:rPr>
          <w:rFonts w:ascii="Times New Roman" w:eastAsia="宋体" w:hAnsi="Times New Roman" w:cs="Times New Roman"/>
          <w:color w:val="000000" w:themeColor="text1"/>
          <w:sz w:val="24"/>
        </w:rPr>
        <w:t>植物措施要尽量选用适合当地的品种，并考虑绿化美化效果；</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宋体" w:eastAsia="宋体" w:hAnsi="宋体" w:cs="宋体" w:hint="eastAsia"/>
          <w:color w:val="000000" w:themeColor="text1"/>
          <w:sz w:val="24"/>
        </w:rPr>
        <w:t>⑨</w:t>
      </w:r>
      <w:r>
        <w:rPr>
          <w:rFonts w:ascii="Times New Roman" w:eastAsia="宋体" w:hAnsi="Times New Roman" w:cs="Times New Roman"/>
          <w:color w:val="000000" w:themeColor="text1"/>
          <w:sz w:val="24"/>
        </w:rPr>
        <w:t>防治措施布设要与主体工程密切配合，相互协调，形成整体。施工期采取临时水保措施，合理安排工期，合理选择施工工序，避开雨天施工。</w:t>
      </w:r>
    </w:p>
    <w:p w:rsidR="00C861DA" w:rsidRDefault="0044752E">
      <w:pPr>
        <w:spacing w:line="360" w:lineRule="auto"/>
        <w:ind w:firstLineChars="200" w:firstLine="480"/>
        <w:jc w:val="both"/>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sz w:val="24"/>
        </w:rPr>
        <w:t>项目建设竣工后，区域均为建筑物、道路和绿地所覆盖，因施工造成的水土流失将有效得到控制制。</w:t>
      </w:r>
    </w:p>
    <w:p w:rsidR="00C861DA" w:rsidRDefault="00C861DA">
      <w:pPr>
        <w:pStyle w:val="21"/>
        <w:rPr>
          <w:color w:val="000000" w:themeColor="text1"/>
        </w:rPr>
        <w:sectPr w:rsidR="00C861DA">
          <w:pgSz w:w="11906" w:h="16838"/>
          <w:pgMar w:top="1440" w:right="1800" w:bottom="1440" w:left="1800" w:header="851" w:footer="992" w:gutter="0"/>
          <w:cols w:space="425"/>
          <w:docGrid w:type="lines" w:linePitch="312"/>
        </w:sectPr>
      </w:pPr>
    </w:p>
    <w:p w:rsidR="00C861DA" w:rsidRDefault="0044752E">
      <w:pPr>
        <w:pStyle w:val="12"/>
        <w:jc w:val="center"/>
        <w:rPr>
          <w:rFonts w:ascii="Times New Roman" w:eastAsia="宋体"/>
          <w:b/>
          <w:color w:val="000000" w:themeColor="text1"/>
          <w:sz w:val="28"/>
          <w:szCs w:val="24"/>
        </w:rPr>
      </w:pPr>
      <w:bookmarkStart w:id="386" w:name="_Toc9126"/>
      <w:bookmarkStart w:id="387" w:name="_Toc78"/>
      <w:bookmarkStart w:id="388" w:name="_Toc946"/>
      <w:bookmarkStart w:id="389" w:name="_Toc17152"/>
      <w:bookmarkStart w:id="390" w:name="_Toc6826838"/>
      <w:r>
        <w:rPr>
          <w:rFonts w:ascii="Times New Roman" w:eastAsia="宋体" w:hint="eastAsia"/>
          <w:b/>
          <w:color w:val="000000" w:themeColor="text1"/>
          <w:sz w:val="28"/>
          <w:szCs w:val="24"/>
        </w:rPr>
        <w:t>7</w:t>
      </w:r>
      <w:r>
        <w:rPr>
          <w:rFonts w:ascii="Times New Roman" w:eastAsia="宋体" w:hint="eastAsia"/>
          <w:b/>
          <w:color w:val="000000" w:themeColor="text1"/>
          <w:sz w:val="28"/>
          <w:szCs w:val="24"/>
        </w:rPr>
        <w:t>、运营</w:t>
      </w:r>
      <w:r>
        <w:rPr>
          <w:rFonts w:ascii="Times New Roman" w:eastAsia="宋体" w:hint="eastAsia"/>
          <w:b/>
          <w:color w:val="000000" w:themeColor="text1"/>
          <w:sz w:val="28"/>
          <w:szCs w:val="24"/>
        </w:rPr>
        <w:t>期环境影响预测与评价</w:t>
      </w:r>
      <w:bookmarkEnd w:id="386"/>
      <w:bookmarkEnd w:id="387"/>
      <w:bookmarkEnd w:id="388"/>
      <w:bookmarkEnd w:id="389"/>
      <w:bookmarkEnd w:id="390"/>
    </w:p>
    <w:p w:rsidR="00C861DA" w:rsidRDefault="0044752E">
      <w:pPr>
        <w:pStyle w:val="22"/>
        <w:rPr>
          <w:rFonts w:ascii="Times New Roman" w:eastAsia="宋体" w:hAnsi="Times New Roman"/>
          <w:bCs w:val="0"/>
          <w:color w:val="000000" w:themeColor="text1"/>
          <w:sz w:val="28"/>
          <w:szCs w:val="28"/>
        </w:rPr>
      </w:pPr>
      <w:bookmarkStart w:id="391" w:name="_Toc14356"/>
      <w:bookmarkStart w:id="392" w:name="_Toc31558"/>
      <w:bookmarkStart w:id="393" w:name="_Toc10725"/>
      <w:bookmarkStart w:id="394" w:name="_Toc11187"/>
      <w:bookmarkStart w:id="395" w:name="_Toc5491"/>
      <w:bookmarkStart w:id="396" w:name="_Toc6826839"/>
      <w:r>
        <w:rPr>
          <w:rFonts w:ascii="Times New Roman" w:eastAsia="宋体" w:hAnsi="Times New Roman" w:hint="eastAsia"/>
          <w:bCs w:val="0"/>
          <w:color w:val="000000" w:themeColor="text1"/>
          <w:sz w:val="28"/>
          <w:szCs w:val="28"/>
        </w:rPr>
        <w:t>7.1</w:t>
      </w:r>
      <w:r>
        <w:rPr>
          <w:rFonts w:ascii="Times New Roman" w:eastAsia="宋体" w:hAnsi="Times New Roman" w:hint="eastAsia"/>
          <w:bCs w:val="0"/>
          <w:color w:val="000000" w:themeColor="text1"/>
          <w:sz w:val="28"/>
          <w:szCs w:val="28"/>
        </w:rPr>
        <w:t>大气环境影响预测与评价</w:t>
      </w:r>
      <w:bookmarkEnd w:id="391"/>
      <w:bookmarkEnd w:id="392"/>
      <w:bookmarkEnd w:id="393"/>
      <w:bookmarkEnd w:id="394"/>
      <w:bookmarkEnd w:id="395"/>
      <w:bookmarkEnd w:id="396"/>
    </w:p>
    <w:p w:rsidR="00C861DA" w:rsidRDefault="0044752E">
      <w:pPr>
        <w:pStyle w:val="32"/>
        <w:rPr>
          <w:rFonts w:ascii="Times New Roman" w:eastAsia="宋体"/>
          <w:bCs w:val="0"/>
          <w:color w:val="000000" w:themeColor="text1"/>
          <w:sz w:val="24"/>
          <w:szCs w:val="24"/>
        </w:rPr>
      </w:pPr>
      <w:bookmarkStart w:id="397" w:name="_Toc16883"/>
      <w:bookmarkStart w:id="398" w:name="_Toc6826840"/>
      <w:r>
        <w:rPr>
          <w:rFonts w:ascii="Times New Roman" w:eastAsia="宋体" w:hint="eastAsia"/>
          <w:bCs w:val="0"/>
          <w:color w:val="000000" w:themeColor="text1"/>
          <w:sz w:val="24"/>
          <w:szCs w:val="24"/>
        </w:rPr>
        <w:t>7.1.1</w:t>
      </w:r>
      <w:r>
        <w:rPr>
          <w:rFonts w:ascii="Times New Roman" w:eastAsia="宋体" w:hint="eastAsia"/>
          <w:bCs w:val="0"/>
          <w:color w:val="000000" w:themeColor="text1"/>
          <w:sz w:val="24"/>
          <w:szCs w:val="24"/>
        </w:rPr>
        <w:t>污染气象分析</w:t>
      </w:r>
      <w:bookmarkEnd w:id="397"/>
      <w:bookmarkEnd w:id="398"/>
    </w:p>
    <w:p w:rsidR="00C861DA" w:rsidRDefault="0044752E">
      <w:pPr>
        <w:tabs>
          <w:tab w:val="left" w:pos="540"/>
        </w:tabs>
        <w:spacing w:line="360" w:lineRule="auto"/>
        <w:ind w:leftChars="50" w:left="105" w:rightChars="50" w:right="105" w:firstLineChars="200" w:firstLine="482"/>
        <w:rPr>
          <w:rFonts w:ascii="Times New Roman" w:eastAsia="宋体" w:hAnsi="Times New Roman" w:cs="Times New Roman"/>
          <w:b/>
          <w:color w:val="000000" w:themeColor="text1"/>
          <w:sz w:val="24"/>
          <w:szCs w:val="28"/>
        </w:rPr>
      </w:pPr>
      <w:r>
        <w:rPr>
          <w:rFonts w:ascii="Times New Roman" w:eastAsia="宋体" w:hAnsi="Times New Roman" w:cs="Times New Roman"/>
          <w:b/>
          <w:color w:val="000000" w:themeColor="text1"/>
          <w:sz w:val="24"/>
          <w:szCs w:val="28"/>
        </w:rPr>
        <w:t>（</w:t>
      </w:r>
      <w:r>
        <w:rPr>
          <w:rFonts w:ascii="Times New Roman" w:eastAsia="宋体" w:hAnsi="Times New Roman" w:cs="Times New Roman"/>
          <w:b/>
          <w:color w:val="000000" w:themeColor="text1"/>
          <w:sz w:val="24"/>
          <w:szCs w:val="28"/>
        </w:rPr>
        <w:t>1</w:t>
      </w:r>
      <w:r>
        <w:rPr>
          <w:rFonts w:ascii="Times New Roman" w:eastAsia="宋体" w:hAnsi="Times New Roman" w:cs="Times New Roman"/>
          <w:b/>
          <w:color w:val="000000" w:themeColor="text1"/>
          <w:sz w:val="24"/>
          <w:szCs w:val="28"/>
        </w:rPr>
        <w:t>）当地气象特征</w:t>
      </w:r>
    </w:p>
    <w:p w:rsidR="00C861DA" w:rsidRDefault="0044752E">
      <w:pPr>
        <w:snapToGrid w:val="0"/>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安宁市属于中亚热带低纬度高海拔地区，季节温差不大，干湿度分明。安宁市气象站（国家一般气象站，</w:t>
      </w:r>
      <w:r>
        <w:rPr>
          <w:rFonts w:ascii="Times New Roman" w:eastAsia="宋体" w:hAnsi="Times New Roman" w:cs="Times New Roman"/>
          <w:color w:val="000000" w:themeColor="text1"/>
          <w:kern w:val="0"/>
          <w:sz w:val="24"/>
        </w:rPr>
        <w:t>102°29′51.61″E</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24°55′35.16″N</w:t>
      </w:r>
      <w:r>
        <w:rPr>
          <w:rFonts w:ascii="Times New Roman" w:eastAsia="宋体" w:hAnsi="Times New Roman" w:cs="Times New Roman"/>
          <w:color w:val="000000" w:themeColor="text1"/>
          <w:sz w:val="24"/>
        </w:rPr>
        <w:t>）提供的近</w:t>
      </w:r>
      <w:r>
        <w:rPr>
          <w:rFonts w:ascii="Times New Roman" w:eastAsia="宋体" w:hAnsi="Times New Roman" w:cs="Times New Roman"/>
          <w:color w:val="000000" w:themeColor="text1"/>
          <w:sz w:val="24"/>
        </w:rPr>
        <w:t>20</w:t>
      </w:r>
      <w:r>
        <w:rPr>
          <w:rFonts w:ascii="Times New Roman" w:eastAsia="宋体" w:hAnsi="Times New Roman" w:cs="Times New Roman"/>
          <w:color w:val="000000" w:themeColor="text1"/>
          <w:sz w:val="24"/>
        </w:rPr>
        <w:t>年的主要气象资料长期统计数据见表</w:t>
      </w:r>
      <w:r>
        <w:rPr>
          <w:rFonts w:ascii="Times New Roman" w:eastAsia="宋体" w:hAnsi="Times New Roman" w:cs="Times New Roman"/>
          <w:color w:val="000000" w:themeColor="text1"/>
          <w:sz w:val="24"/>
        </w:rPr>
        <w:t>5</w:t>
      </w:r>
      <w:r>
        <w:rPr>
          <w:rFonts w:ascii="Times New Roman" w:eastAsia="宋体" w:hAnsi="Times New Roman" w:cs="Times New Roman"/>
          <w:color w:val="000000" w:themeColor="text1"/>
          <w:sz w:val="24"/>
        </w:rPr>
        <w:t>，风向玫瑰图见图</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w:t>
      </w:r>
    </w:p>
    <w:p w:rsidR="00C861DA" w:rsidRDefault="0044752E">
      <w:pPr>
        <w:snapToGrid w:val="0"/>
        <w:spacing w:line="360" w:lineRule="auto"/>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7.1-1  </w:t>
      </w:r>
      <w:r>
        <w:rPr>
          <w:rFonts w:ascii="Times New Roman" w:eastAsia="宋体" w:hAnsi="Times New Roman" w:cs="Times New Roman"/>
          <w:b/>
          <w:color w:val="000000" w:themeColor="text1"/>
          <w:sz w:val="24"/>
        </w:rPr>
        <w:t>安宁市气象站近</w:t>
      </w:r>
      <w:r>
        <w:rPr>
          <w:rFonts w:ascii="Times New Roman" w:eastAsia="宋体" w:hAnsi="Times New Roman" w:cs="Times New Roman"/>
          <w:b/>
          <w:color w:val="000000" w:themeColor="text1"/>
          <w:sz w:val="24"/>
        </w:rPr>
        <w:t>20</w:t>
      </w:r>
      <w:r>
        <w:rPr>
          <w:rFonts w:ascii="Times New Roman" w:eastAsia="宋体" w:hAnsi="Times New Roman" w:cs="Times New Roman"/>
          <w:b/>
          <w:color w:val="000000" w:themeColor="text1"/>
          <w:sz w:val="24"/>
        </w:rPr>
        <w:t>年气象参数统计结果</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126"/>
        <w:gridCol w:w="2875"/>
        <w:gridCol w:w="1375"/>
        <w:gridCol w:w="2025"/>
      </w:tblGrid>
      <w:tr w:rsidR="00C861DA">
        <w:trPr>
          <w:trHeight w:val="369"/>
          <w:jc w:val="center"/>
        </w:trPr>
        <w:tc>
          <w:tcPr>
            <w:tcW w:w="876"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序号</w:t>
            </w:r>
          </w:p>
        </w:tc>
        <w:tc>
          <w:tcPr>
            <w:tcW w:w="4001" w:type="dxa"/>
            <w:gridSpan w:val="2"/>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气象参数</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单位</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数值</w:t>
            </w:r>
          </w:p>
        </w:tc>
      </w:tr>
      <w:tr w:rsidR="00C861DA">
        <w:trPr>
          <w:trHeight w:val="369"/>
          <w:jc w:val="center"/>
        </w:trPr>
        <w:tc>
          <w:tcPr>
            <w:tcW w:w="876" w:type="dxa"/>
            <w:vMerge w:val="restart"/>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w:t>
            </w:r>
          </w:p>
        </w:tc>
        <w:tc>
          <w:tcPr>
            <w:tcW w:w="1126" w:type="dxa"/>
            <w:vMerge w:val="restart"/>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风速</w:t>
            </w: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年平均风速</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m/s</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1.71</w:t>
            </w:r>
          </w:p>
        </w:tc>
      </w:tr>
      <w:tr w:rsidR="00C861DA">
        <w:trPr>
          <w:trHeight w:val="369"/>
          <w:jc w:val="center"/>
        </w:trPr>
        <w:tc>
          <w:tcPr>
            <w:tcW w:w="87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112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最大风速</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m/s</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19.2</w:t>
            </w:r>
          </w:p>
        </w:tc>
      </w:tr>
      <w:tr w:rsidR="00C861DA">
        <w:trPr>
          <w:trHeight w:val="369"/>
          <w:jc w:val="center"/>
        </w:trPr>
        <w:tc>
          <w:tcPr>
            <w:tcW w:w="876" w:type="dxa"/>
            <w:vMerge w:val="restart"/>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w:t>
            </w:r>
          </w:p>
        </w:tc>
        <w:tc>
          <w:tcPr>
            <w:tcW w:w="1126" w:type="dxa"/>
            <w:vMerge w:val="restart"/>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气温</w:t>
            </w: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年平均气温</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宋体" w:eastAsia="宋体" w:hAnsi="宋体" w:cs="宋体" w:hint="eastAsia"/>
                <w:color w:val="000000" w:themeColor="text1"/>
                <w:kern w:val="0"/>
              </w:rPr>
              <w:t>℃</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15.5</w:t>
            </w:r>
          </w:p>
        </w:tc>
      </w:tr>
      <w:tr w:rsidR="00C861DA">
        <w:trPr>
          <w:trHeight w:val="369"/>
          <w:jc w:val="center"/>
        </w:trPr>
        <w:tc>
          <w:tcPr>
            <w:tcW w:w="87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112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最高气温</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宋体" w:eastAsia="宋体" w:hAnsi="宋体" w:cs="宋体" w:hint="eastAsia"/>
                <w:color w:val="000000" w:themeColor="text1"/>
                <w:kern w:val="0"/>
              </w:rPr>
              <w:t>℃</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33.3</w:t>
            </w:r>
          </w:p>
        </w:tc>
      </w:tr>
      <w:tr w:rsidR="00C861DA">
        <w:trPr>
          <w:trHeight w:val="369"/>
          <w:jc w:val="center"/>
        </w:trPr>
        <w:tc>
          <w:tcPr>
            <w:tcW w:w="87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112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最低气温</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宋体" w:eastAsia="宋体" w:hAnsi="宋体" w:cs="宋体" w:hint="eastAsia"/>
                <w:color w:val="000000" w:themeColor="text1"/>
                <w:kern w:val="0"/>
              </w:rPr>
              <w:t>℃</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-7.0</w:t>
            </w:r>
          </w:p>
        </w:tc>
      </w:tr>
      <w:tr w:rsidR="00C861DA">
        <w:trPr>
          <w:trHeight w:val="369"/>
          <w:jc w:val="center"/>
        </w:trPr>
        <w:tc>
          <w:tcPr>
            <w:tcW w:w="876"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w:t>
            </w:r>
          </w:p>
        </w:tc>
        <w:tc>
          <w:tcPr>
            <w:tcW w:w="4001" w:type="dxa"/>
            <w:gridSpan w:val="2"/>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年平均气压</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hPa</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814.8</w:t>
            </w:r>
          </w:p>
        </w:tc>
      </w:tr>
      <w:tr w:rsidR="00C861DA">
        <w:trPr>
          <w:trHeight w:val="369"/>
          <w:jc w:val="center"/>
        </w:trPr>
        <w:tc>
          <w:tcPr>
            <w:tcW w:w="876"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w:t>
            </w:r>
          </w:p>
        </w:tc>
        <w:tc>
          <w:tcPr>
            <w:tcW w:w="4001" w:type="dxa"/>
            <w:gridSpan w:val="2"/>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年平均相对湿度</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70</w:t>
            </w:r>
          </w:p>
        </w:tc>
      </w:tr>
      <w:tr w:rsidR="00C861DA">
        <w:trPr>
          <w:trHeight w:val="369"/>
          <w:jc w:val="center"/>
        </w:trPr>
        <w:tc>
          <w:tcPr>
            <w:tcW w:w="876" w:type="dxa"/>
            <w:vMerge w:val="restart"/>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w:t>
            </w:r>
          </w:p>
        </w:tc>
        <w:tc>
          <w:tcPr>
            <w:tcW w:w="1126" w:type="dxa"/>
            <w:vMerge w:val="restart"/>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降水量</w:t>
            </w: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年平均降水量</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mm</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898.7</w:t>
            </w:r>
          </w:p>
        </w:tc>
      </w:tr>
      <w:tr w:rsidR="00C861DA">
        <w:trPr>
          <w:trHeight w:val="369"/>
          <w:jc w:val="center"/>
        </w:trPr>
        <w:tc>
          <w:tcPr>
            <w:tcW w:w="87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112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年最大降水量</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mm</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1191.0</w:t>
            </w:r>
          </w:p>
        </w:tc>
      </w:tr>
      <w:tr w:rsidR="00C861DA">
        <w:trPr>
          <w:trHeight w:val="369"/>
          <w:jc w:val="center"/>
        </w:trPr>
        <w:tc>
          <w:tcPr>
            <w:tcW w:w="87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112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年最小降水量</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mm</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621.3</w:t>
            </w:r>
          </w:p>
        </w:tc>
      </w:tr>
      <w:tr w:rsidR="00C861DA">
        <w:trPr>
          <w:trHeight w:val="369"/>
          <w:jc w:val="center"/>
        </w:trPr>
        <w:tc>
          <w:tcPr>
            <w:tcW w:w="87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112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累年一日最大降水量</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mm</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153.3</w:t>
            </w:r>
          </w:p>
        </w:tc>
      </w:tr>
      <w:tr w:rsidR="00C861DA">
        <w:trPr>
          <w:trHeight w:val="369"/>
          <w:jc w:val="center"/>
        </w:trPr>
        <w:tc>
          <w:tcPr>
            <w:tcW w:w="87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112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累年一小时最大降水量</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mm</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63.0</w:t>
            </w:r>
          </w:p>
        </w:tc>
      </w:tr>
      <w:tr w:rsidR="00C861DA">
        <w:trPr>
          <w:trHeight w:val="369"/>
          <w:jc w:val="center"/>
        </w:trPr>
        <w:tc>
          <w:tcPr>
            <w:tcW w:w="87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112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累年最大连续降水日数</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d</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13</w:t>
            </w:r>
          </w:p>
        </w:tc>
      </w:tr>
      <w:tr w:rsidR="00C861DA">
        <w:trPr>
          <w:trHeight w:val="369"/>
          <w:jc w:val="center"/>
        </w:trPr>
        <w:tc>
          <w:tcPr>
            <w:tcW w:w="876" w:type="dxa"/>
            <w:vMerge w:val="restart"/>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w:t>
            </w:r>
          </w:p>
        </w:tc>
        <w:tc>
          <w:tcPr>
            <w:tcW w:w="1126" w:type="dxa"/>
            <w:vMerge w:val="restart"/>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蒸发量</w:t>
            </w: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年最大蒸发量</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mm</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2183.6</w:t>
            </w:r>
          </w:p>
        </w:tc>
      </w:tr>
      <w:tr w:rsidR="00C861DA">
        <w:trPr>
          <w:trHeight w:val="369"/>
          <w:jc w:val="center"/>
        </w:trPr>
        <w:tc>
          <w:tcPr>
            <w:tcW w:w="87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112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年最小蒸发量</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mm</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1626.7</w:t>
            </w:r>
          </w:p>
        </w:tc>
      </w:tr>
      <w:tr w:rsidR="00C861DA">
        <w:trPr>
          <w:trHeight w:val="369"/>
          <w:jc w:val="center"/>
        </w:trPr>
        <w:tc>
          <w:tcPr>
            <w:tcW w:w="876" w:type="dxa"/>
            <w:vMerge w:val="restart"/>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w:t>
            </w:r>
          </w:p>
        </w:tc>
        <w:tc>
          <w:tcPr>
            <w:tcW w:w="1126" w:type="dxa"/>
            <w:vMerge w:val="restart"/>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日照时数</w:t>
            </w: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年平均日照时数</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h</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2051.0</w:t>
            </w:r>
          </w:p>
        </w:tc>
      </w:tr>
      <w:tr w:rsidR="00C861DA">
        <w:trPr>
          <w:trHeight w:val="369"/>
          <w:jc w:val="center"/>
        </w:trPr>
        <w:tc>
          <w:tcPr>
            <w:tcW w:w="87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112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日照百分率</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46</w:t>
            </w:r>
          </w:p>
        </w:tc>
      </w:tr>
      <w:tr w:rsidR="00C861DA">
        <w:trPr>
          <w:trHeight w:val="369"/>
          <w:jc w:val="center"/>
        </w:trPr>
        <w:tc>
          <w:tcPr>
            <w:tcW w:w="87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112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年最大日照时数</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h</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2383.9</w:t>
            </w:r>
          </w:p>
        </w:tc>
      </w:tr>
      <w:tr w:rsidR="00C861DA">
        <w:trPr>
          <w:trHeight w:val="369"/>
          <w:jc w:val="center"/>
        </w:trPr>
        <w:tc>
          <w:tcPr>
            <w:tcW w:w="87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1126" w:type="dxa"/>
            <w:vMerge/>
            <w:vAlign w:val="center"/>
          </w:tcPr>
          <w:p w:rsidR="00C861DA" w:rsidRDefault="00C861DA">
            <w:pPr>
              <w:snapToGrid w:val="0"/>
              <w:jc w:val="center"/>
              <w:rPr>
                <w:rFonts w:ascii="Times New Roman" w:eastAsia="宋体" w:hAnsi="Times New Roman" w:cs="Times New Roman"/>
                <w:color w:val="000000" w:themeColor="text1"/>
                <w:kern w:val="0"/>
              </w:rPr>
            </w:pPr>
          </w:p>
        </w:tc>
        <w:tc>
          <w:tcPr>
            <w:tcW w:w="28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年最小日照时数</w:t>
            </w:r>
          </w:p>
        </w:tc>
        <w:tc>
          <w:tcPr>
            <w:tcW w:w="137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h</w:t>
            </w:r>
          </w:p>
        </w:tc>
        <w:tc>
          <w:tcPr>
            <w:tcW w:w="2025" w:type="dxa"/>
            <w:vAlign w:val="center"/>
          </w:tcPr>
          <w:p w:rsidR="00C861DA" w:rsidRDefault="0044752E">
            <w:pPr>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1678.7</w:t>
            </w:r>
          </w:p>
        </w:tc>
      </w:tr>
    </w:tbl>
    <w:p w:rsidR="00C861DA" w:rsidRDefault="00C861DA">
      <w:pPr>
        <w:snapToGrid w:val="0"/>
        <w:rPr>
          <w:color w:val="000000" w:themeColor="text1"/>
        </w:rPr>
      </w:pPr>
    </w:p>
    <w:p w:rsidR="00C861DA" w:rsidRDefault="0044752E">
      <w:pPr>
        <w:snapToGrid w:val="0"/>
        <w:jc w:val="center"/>
        <w:rPr>
          <w:color w:val="000000" w:themeColor="text1"/>
        </w:rPr>
      </w:pPr>
      <w:r>
        <w:rPr>
          <w:noProof/>
          <w:color w:val="000000" w:themeColor="text1"/>
        </w:rPr>
        <w:drawing>
          <wp:inline distT="0" distB="0" distL="0" distR="0">
            <wp:extent cx="3200400" cy="300990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4" cstate="screen"/>
                    <a:srcRect l="28932" t="8203" r="31104" b="10469"/>
                    <a:stretch>
                      <a:fillRect/>
                    </a:stretch>
                  </pic:blipFill>
                  <pic:spPr>
                    <a:xfrm>
                      <a:off x="0" y="0"/>
                      <a:ext cx="3200400" cy="3009900"/>
                    </a:xfrm>
                    <a:prstGeom prst="rect">
                      <a:avLst/>
                    </a:prstGeom>
                    <a:noFill/>
                    <a:ln w="9525">
                      <a:noFill/>
                      <a:miter lim="800000"/>
                      <a:headEnd/>
                      <a:tailEnd/>
                    </a:ln>
                  </pic:spPr>
                </pic:pic>
              </a:graphicData>
            </a:graphic>
          </wp:inline>
        </w:drawing>
      </w:r>
    </w:p>
    <w:p w:rsidR="00C861DA" w:rsidRDefault="0044752E">
      <w:pPr>
        <w:snapToGrid w:val="0"/>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sz w:val="24"/>
        </w:rPr>
        <w:t>图</w:t>
      </w:r>
      <w:r>
        <w:rPr>
          <w:rFonts w:ascii="Times New Roman" w:eastAsia="宋体" w:hAnsi="Times New Roman" w:cs="Times New Roman"/>
          <w:b/>
          <w:color w:val="000000" w:themeColor="text1"/>
          <w:sz w:val="24"/>
        </w:rPr>
        <w:t xml:space="preserve">7.1-1  </w:t>
      </w:r>
      <w:r>
        <w:rPr>
          <w:rFonts w:ascii="Times New Roman" w:eastAsia="宋体" w:hAnsi="Times New Roman" w:cs="Times New Roman"/>
          <w:b/>
          <w:color w:val="000000" w:themeColor="text1"/>
          <w:sz w:val="24"/>
        </w:rPr>
        <w:t>安宁市气象站近</w:t>
      </w:r>
      <w:r>
        <w:rPr>
          <w:rFonts w:ascii="Times New Roman" w:eastAsia="宋体" w:hAnsi="Times New Roman" w:cs="Times New Roman"/>
          <w:b/>
          <w:color w:val="000000" w:themeColor="text1"/>
          <w:sz w:val="24"/>
        </w:rPr>
        <w:t>20</w:t>
      </w:r>
      <w:r>
        <w:rPr>
          <w:rFonts w:ascii="Times New Roman" w:eastAsia="宋体" w:hAnsi="Times New Roman" w:cs="Times New Roman"/>
          <w:b/>
          <w:color w:val="000000" w:themeColor="text1"/>
          <w:sz w:val="24"/>
        </w:rPr>
        <w:t>年风向玫瑰图（静风频率</w:t>
      </w:r>
      <w:r>
        <w:rPr>
          <w:rFonts w:ascii="Times New Roman" w:eastAsia="宋体" w:hAnsi="Times New Roman" w:cs="Times New Roman"/>
          <w:b/>
          <w:color w:val="000000" w:themeColor="text1"/>
          <w:sz w:val="24"/>
        </w:rPr>
        <w:t xml:space="preserve"> 35.48%</w:t>
      </w:r>
      <w:r>
        <w:rPr>
          <w:rFonts w:ascii="Times New Roman" w:eastAsia="宋体" w:hAnsi="Times New Roman" w:cs="Times New Roman"/>
          <w:b/>
          <w:color w:val="000000" w:themeColor="text1"/>
          <w:sz w:val="24"/>
        </w:rPr>
        <w:t>）</w:t>
      </w:r>
    </w:p>
    <w:bookmarkStart w:id="399" w:name="_Toc333401822"/>
    <w:bookmarkStart w:id="400" w:name="_Toc436047249"/>
    <w:bookmarkStart w:id="401" w:name="_Toc462217672"/>
    <w:p w:rsidR="00C861DA" w:rsidRDefault="0044752E">
      <w:pPr>
        <w:spacing w:line="360" w:lineRule="auto"/>
        <w:ind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1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①</w:t>
      </w:r>
      <w:r>
        <w:rPr>
          <w:rFonts w:ascii="Times New Roman" w:eastAsia="宋体" w:hAnsi="Times New Roman" w:cs="Times New Roman"/>
          <w:b/>
          <w:color w:val="000000" w:themeColor="text1"/>
          <w:sz w:val="24"/>
        </w:rPr>
        <w:fldChar w:fldCharType="end"/>
      </w:r>
      <w:r>
        <w:rPr>
          <w:rFonts w:ascii="Times New Roman" w:eastAsia="宋体" w:hAnsi="Times New Roman" w:cs="Times New Roman"/>
          <w:b/>
          <w:color w:val="000000" w:themeColor="text1"/>
          <w:sz w:val="24"/>
        </w:rPr>
        <w:t>近年气象资料统计</w:t>
      </w:r>
      <w:bookmarkEnd w:id="399"/>
      <w:bookmarkEnd w:id="400"/>
      <w:bookmarkEnd w:id="401"/>
    </w:p>
    <w:p w:rsidR="00C861DA" w:rsidRDefault="0044752E">
      <w:pPr>
        <w:snapToGrid w:val="0"/>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草铺自动监测站（</w:t>
      </w:r>
      <w:r>
        <w:rPr>
          <w:rFonts w:ascii="Times New Roman" w:eastAsia="宋体" w:hAnsi="Times New Roman" w:cs="Times New Roman"/>
          <w:color w:val="000000" w:themeColor="text1"/>
          <w:sz w:val="24"/>
        </w:rPr>
        <w:t>102°22'35.36"E</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24°56'10.34"N</w:t>
      </w:r>
      <w:r>
        <w:rPr>
          <w:rFonts w:ascii="Times New Roman" w:eastAsia="宋体" w:hAnsi="Times New Roman" w:cs="Times New Roman"/>
          <w:color w:val="000000" w:themeColor="text1"/>
          <w:sz w:val="24"/>
        </w:rPr>
        <w:t>）是距离本项目厂址最近的自动监测站，根据提供的近年地面逐时气象数据，包括气温、风向、风速等，平均统计数据如下：</w:t>
      </w:r>
    </w:p>
    <w:p w:rsidR="00C861DA" w:rsidRDefault="0044752E">
      <w:pPr>
        <w:snapToGrid w:val="0"/>
        <w:spacing w:line="360" w:lineRule="auto"/>
        <w:ind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A</w:t>
      </w:r>
      <w:r>
        <w:rPr>
          <w:rFonts w:ascii="Times New Roman" w:eastAsia="宋体" w:hAnsi="Times New Roman" w:cs="Times New Roman"/>
          <w:b/>
          <w:color w:val="000000" w:themeColor="text1"/>
          <w:sz w:val="24"/>
        </w:rPr>
        <w:t>、平均气温</w:t>
      </w:r>
    </w:p>
    <w:p w:rsidR="00C861DA" w:rsidRDefault="0044752E">
      <w:pPr>
        <w:snapToGrid w:val="0"/>
        <w:spacing w:line="360" w:lineRule="auto"/>
        <w:ind w:firstLine="462"/>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项目所在地的月平均气温见表</w:t>
      </w:r>
      <w:r>
        <w:rPr>
          <w:rFonts w:ascii="Times New Roman" w:eastAsia="宋体" w:hAnsi="Times New Roman" w:cs="Times New Roman"/>
          <w:color w:val="000000" w:themeColor="text1"/>
          <w:sz w:val="24"/>
        </w:rPr>
        <w:t>7.1-2</w:t>
      </w:r>
      <w:r>
        <w:rPr>
          <w:rFonts w:ascii="Times New Roman" w:eastAsia="宋体" w:hAnsi="Times New Roman" w:cs="Times New Roman"/>
          <w:color w:val="000000" w:themeColor="text1"/>
          <w:sz w:val="24"/>
        </w:rPr>
        <w:t>和图</w:t>
      </w:r>
      <w:r>
        <w:rPr>
          <w:rFonts w:ascii="Times New Roman" w:eastAsia="宋体" w:hAnsi="Times New Roman" w:cs="Times New Roman"/>
          <w:color w:val="000000" w:themeColor="text1"/>
          <w:sz w:val="24"/>
        </w:rPr>
        <w:t>7.1-2</w:t>
      </w:r>
      <w:r>
        <w:rPr>
          <w:rFonts w:ascii="Times New Roman" w:eastAsia="宋体" w:hAnsi="Times New Roman" w:cs="Times New Roman"/>
          <w:color w:val="000000" w:themeColor="text1"/>
          <w:sz w:val="24"/>
        </w:rPr>
        <w:t>。</w:t>
      </w:r>
    </w:p>
    <w:p w:rsidR="00C861DA" w:rsidRDefault="0044752E">
      <w:pPr>
        <w:snapToGrid w:val="0"/>
        <w:spacing w:line="360" w:lineRule="auto"/>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7.1-2  </w:t>
      </w:r>
      <w:r>
        <w:rPr>
          <w:rFonts w:ascii="Times New Roman" w:eastAsia="宋体" w:hAnsi="Times New Roman" w:cs="Times New Roman"/>
          <w:b/>
          <w:color w:val="000000" w:themeColor="text1"/>
          <w:sz w:val="24"/>
        </w:rPr>
        <w:t>安宁市各月平均气温</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3"/>
        <w:gridCol w:w="1048"/>
        <w:gridCol w:w="1048"/>
        <w:gridCol w:w="1048"/>
        <w:gridCol w:w="1048"/>
        <w:gridCol w:w="1048"/>
        <w:gridCol w:w="1045"/>
      </w:tblGrid>
      <w:tr w:rsidR="00C861DA">
        <w:trPr>
          <w:trHeight w:val="369"/>
          <w:jc w:val="center"/>
        </w:trPr>
        <w:tc>
          <w:tcPr>
            <w:tcW w:w="199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月份</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月</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月</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月</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月</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月</w:t>
            </w:r>
          </w:p>
        </w:tc>
        <w:tc>
          <w:tcPr>
            <w:tcW w:w="104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r>
              <w:rPr>
                <w:rFonts w:ascii="Times New Roman" w:eastAsia="宋体" w:hAnsi="Times New Roman" w:cs="Times New Roman"/>
                <w:color w:val="000000" w:themeColor="text1"/>
              </w:rPr>
              <w:t>月</w:t>
            </w:r>
          </w:p>
        </w:tc>
      </w:tr>
      <w:tr w:rsidR="00C861DA">
        <w:trPr>
          <w:trHeight w:val="369"/>
          <w:jc w:val="center"/>
        </w:trPr>
        <w:tc>
          <w:tcPr>
            <w:tcW w:w="199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平均温度（</w:t>
            </w:r>
            <w:r>
              <w:rPr>
                <w:rFonts w:ascii="宋体" w:eastAsia="宋体" w:hAnsi="宋体" w:cs="宋体" w:hint="eastAsia"/>
                <w:color w:val="000000" w:themeColor="text1"/>
              </w:rPr>
              <w:t>℃</w:t>
            </w:r>
            <w:r>
              <w:rPr>
                <w:rFonts w:ascii="Times New Roman" w:eastAsia="宋体" w:hAnsi="Times New Roman" w:cs="Times New Roman"/>
                <w:color w:val="000000" w:themeColor="text1"/>
              </w:rPr>
              <w:t>）</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9.16</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12.72</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16.09</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20.48</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23.38</w:t>
            </w:r>
          </w:p>
        </w:tc>
        <w:tc>
          <w:tcPr>
            <w:tcW w:w="104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23.54</w:t>
            </w:r>
          </w:p>
        </w:tc>
      </w:tr>
      <w:tr w:rsidR="00C861DA">
        <w:trPr>
          <w:trHeight w:val="369"/>
          <w:jc w:val="center"/>
        </w:trPr>
        <w:tc>
          <w:tcPr>
            <w:tcW w:w="199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月份</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w:t>
            </w:r>
            <w:r>
              <w:rPr>
                <w:rFonts w:ascii="Times New Roman" w:eastAsia="宋体" w:hAnsi="Times New Roman" w:cs="Times New Roman"/>
                <w:color w:val="000000" w:themeColor="text1"/>
              </w:rPr>
              <w:t>月</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r>
              <w:rPr>
                <w:rFonts w:ascii="Times New Roman" w:eastAsia="宋体" w:hAnsi="Times New Roman" w:cs="Times New Roman"/>
                <w:color w:val="000000" w:themeColor="text1"/>
              </w:rPr>
              <w:t>月</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r>
              <w:rPr>
                <w:rFonts w:ascii="Times New Roman" w:eastAsia="宋体" w:hAnsi="Times New Roman" w:cs="Times New Roman"/>
                <w:color w:val="000000" w:themeColor="text1"/>
              </w:rPr>
              <w:t>月</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r>
              <w:rPr>
                <w:rFonts w:ascii="Times New Roman" w:eastAsia="宋体" w:hAnsi="Times New Roman" w:cs="Times New Roman"/>
                <w:color w:val="000000" w:themeColor="text1"/>
              </w:rPr>
              <w:t>月</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月</w:t>
            </w:r>
          </w:p>
        </w:tc>
        <w:tc>
          <w:tcPr>
            <w:tcW w:w="104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12</w:t>
            </w:r>
            <w:r>
              <w:rPr>
                <w:rFonts w:ascii="Times New Roman" w:eastAsia="宋体" w:hAnsi="Times New Roman" w:cs="Times New Roman"/>
                <w:color w:val="000000" w:themeColor="text1"/>
              </w:rPr>
              <w:t>月</w:t>
            </w:r>
          </w:p>
        </w:tc>
      </w:tr>
      <w:tr w:rsidR="00C861DA">
        <w:trPr>
          <w:trHeight w:val="369"/>
          <w:jc w:val="center"/>
        </w:trPr>
        <w:tc>
          <w:tcPr>
            <w:tcW w:w="199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平均温度（</w:t>
            </w:r>
            <w:r>
              <w:rPr>
                <w:rFonts w:ascii="宋体" w:eastAsia="宋体" w:hAnsi="宋体" w:cs="宋体" w:hint="eastAsia"/>
                <w:color w:val="000000" w:themeColor="text1"/>
              </w:rPr>
              <w:t>℃</w:t>
            </w:r>
            <w:r>
              <w:rPr>
                <w:rFonts w:ascii="Times New Roman" w:eastAsia="宋体" w:hAnsi="Times New Roman" w:cs="Times New Roman"/>
                <w:color w:val="000000" w:themeColor="text1"/>
              </w:rPr>
              <w:t>）</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21.84</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21.26</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20.90</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17.32</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14.45</w:t>
            </w:r>
          </w:p>
        </w:tc>
        <w:tc>
          <w:tcPr>
            <w:tcW w:w="104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9.64</w:t>
            </w:r>
          </w:p>
        </w:tc>
      </w:tr>
    </w:tbl>
    <w:p w:rsidR="00C861DA" w:rsidRDefault="00C861DA">
      <w:pPr>
        <w:snapToGrid w:val="0"/>
        <w:spacing w:line="360" w:lineRule="auto"/>
        <w:rPr>
          <w:color w:val="000000" w:themeColor="text1"/>
        </w:rPr>
      </w:pPr>
    </w:p>
    <w:p w:rsidR="00C861DA" w:rsidRDefault="0044752E">
      <w:pPr>
        <w:snapToGrid w:val="0"/>
        <w:spacing w:line="360" w:lineRule="auto"/>
        <w:jc w:val="center"/>
        <w:rPr>
          <w:color w:val="000000" w:themeColor="text1"/>
        </w:rPr>
      </w:pPr>
      <w:r>
        <w:rPr>
          <w:noProof/>
          <w:color w:val="000000" w:themeColor="text1"/>
        </w:rPr>
        <w:drawing>
          <wp:inline distT="0" distB="0" distL="0" distR="0">
            <wp:extent cx="5257800" cy="1809750"/>
            <wp:effectExtent l="19050" t="19050" r="19050" b="190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5" cstate="screen"/>
                    <a:srcRect l="1277" t="11250" r="3786" b="4187"/>
                    <a:stretch>
                      <a:fillRect/>
                    </a:stretch>
                  </pic:blipFill>
                  <pic:spPr>
                    <a:xfrm>
                      <a:off x="0" y="0"/>
                      <a:ext cx="5257800" cy="1809750"/>
                    </a:xfrm>
                    <a:prstGeom prst="rect">
                      <a:avLst/>
                    </a:prstGeom>
                    <a:noFill/>
                    <a:ln w="19050" cmpd="sng">
                      <a:solidFill>
                        <a:srgbClr val="000000"/>
                      </a:solidFill>
                      <a:miter lim="800000"/>
                      <a:headEnd/>
                      <a:tailEnd/>
                    </a:ln>
                    <a:effectLst/>
                  </pic:spPr>
                </pic:pic>
              </a:graphicData>
            </a:graphic>
          </wp:inline>
        </w:drawing>
      </w:r>
    </w:p>
    <w:p w:rsidR="00C861DA" w:rsidRDefault="0044752E">
      <w:pPr>
        <w:snapToGrid w:val="0"/>
        <w:spacing w:line="360" w:lineRule="auto"/>
        <w:ind w:leftChars="5" w:left="10" w:firstLineChars="100" w:firstLine="241"/>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图</w:t>
      </w:r>
      <w:r>
        <w:rPr>
          <w:rFonts w:ascii="Times New Roman" w:eastAsia="宋体" w:hAnsi="Times New Roman" w:cs="Times New Roman"/>
          <w:b/>
          <w:color w:val="000000" w:themeColor="text1"/>
          <w:sz w:val="24"/>
        </w:rPr>
        <w:t xml:space="preserve">7.1-2  </w:t>
      </w:r>
      <w:r>
        <w:rPr>
          <w:rFonts w:ascii="Times New Roman" w:eastAsia="宋体" w:hAnsi="Times New Roman" w:cs="Times New Roman"/>
          <w:b/>
          <w:color w:val="000000" w:themeColor="text1"/>
          <w:sz w:val="24"/>
        </w:rPr>
        <w:t>平均温度的月变化</w:t>
      </w:r>
    </w:p>
    <w:p w:rsidR="00C861DA" w:rsidRDefault="0044752E">
      <w:pPr>
        <w:snapToGrid w:val="0"/>
        <w:spacing w:line="360" w:lineRule="auto"/>
        <w:ind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B</w:t>
      </w:r>
      <w:r>
        <w:rPr>
          <w:rFonts w:ascii="Times New Roman" w:eastAsia="宋体" w:hAnsi="Times New Roman" w:cs="Times New Roman"/>
          <w:b/>
          <w:color w:val="000000" w:themeColor="text1"/>
          <w:sz w:val="24"/>
        </w:rPr>
        <w:t>、风速和风频</w:t>
      </w:r>
    </w:p>
    <w:p w:rsidR="00C861DA" w:rsidRDefault="0044752E">
      <w:pPr>
        <w:snapToGrid w:val="0"/>
        <w:spacing w:line="360" w:lineRule="auto"/>
        <w:ind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a</w:t>
      </w:r>
      <w:r>
        <w:rPr>
          <w:rFonts w:ascii="Times New Roman" w:eastAsia="宋体" w:hAnsi="Times New Roman" w:cs="Times New Roman"/>
          <w:b/>
          <w:color w:val="000000" w:themeColor="text1"/>
          <w:sz w:val="24"/>
        </w:rPr>
        <w:t>、风速</w:t>
      </w:r>
    </w:p>
    <w:p w:rsidR="00C861DA" w:rsidRDefault="0044752E">
      <w:pPr>
        <w:snapToGrid w:val="0"/>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项目所在地的月平均风速见表</w:t>
      </w:r>
      <w:r>
        <w:rPr>
          <w:rFonts w:ascii="Times New Roman" w:eastAsia="宋体" w:hAnsi="Times New Roman" w:cs="Times New Roman"/>
          <w:color w:val="000000" w:themeColor="text1"/>
          <w:sz w:val="24"/>
        </w:rPr>
        <w:t>7.1-3</w:t>
      </w:r>
      <w:r>
        <w:rPr>
          <w:rFonts w:ascii="Times New Roman" w:eastAsia="宋体" w:hAnsi="Times New Roman" w:cs="Times New Roman"/>
          <w:color w:val="000000" w:themeColor="text1"/>
          <w:sz w:val="24"/>
        </w:rPr>
        <w:t>和图</w:t>
      </w:r>
      <w:r>
        <w:rPr>
          <w:rFonts w:ascii="Times New Roman" w:eastAsia="宋体" w:hAnsi="Times New Roman" w:cs="Times New Roman"/>
          <w:color w:val="000000" w:themeColor="text1"/>
          <w:sz w:val="24"/>
        </w:rPr>
        <w:t>7.1-3</w:t>
      </w:r>
      <w:r>
        <w:rPr>
          <w:rFonts w:ascii="Times New Roman" w:eastAsia="宋体" w:hAnsi="Times New Roman" w:cs="Times New Roman"/>
          <w:color w:val="000000" w:themeColor="text1"/>
          <w:sz w:val="24"/>
        </w:rPr>
        <w:t>，季小时平均风速的日变化见表</w:t>
      </w:r>
      <w:r>
        <w:rPr>
          <w:rFonts w:ascii="Times New Roman" w:eastAsia="宋体" w:hAnsi="Times New Roman" w:cs="Times New Roman"/>
          <w:color w:val="000000" w:themeColor="text1"/>
          <w:sz w:val="24"/>
        </w:rPr>
        <w:t>7</w:t>
      </w:r>
      <w:r>
        <w:rPr>
          <w:rFonts w:ascii="Times New Roman" w:eastAsia="宋体" w:hAnsi="Times New Roman" w:cs="Times New Roman"/>
          <w:color w:val="000000" w:themeColor="text1"/>
          <w:sz w:val="24"/>
        </w:rPr>
        <w:t>和图</w:t>
      </w:r>
      <w:r>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w:t>
      </w:r>
    </w:p>
    <w:p w:rsidR="00C861DA" w:rsidRDefault="0044752E">
      <w:pPr>
        <w:snapToGrid w:val="0"/>
        <w:spacing w:line="360" w:lineRule="auto"/>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7.1-3  </w:t>
      </w:r>
      <w:r>
        <w:rPr>
          <w:rFonts w:ascii="Times New Roman" w:eastAsia="宋体" w:hAnsi="Times New Roman" w:cs="Times New Roman"/>
          <w:b/>
          <w:color w:val="000000" w:themeColor="text1"/>
          <w:sz w:val="24"/>
        </w:rPr>
        <w:t>安宁市各月平均风速</w:t>
      </w:r>
    </w:p>
    <w:tbl>
      <w:tblPr>
        <w:tblW w:w="827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993"/>
        <w:gridCol w:w="1048"/>
        <w:gridCol w:w="1048"/>
        <w:gridCol w:w="1048"/>
        <w:gridCol w:w="1048"/>
        <w:gridCol w:w="1048"/>
        <w:gridCol w:w="1045"/>
      </w:tblGrid>
      <w:tr w:rsidR="00C861DA">
        <w:trPr>
          <w:trHeight w:val="340"/>
          <w:jc w:val="center"/>
        </w:trPr>
        <w:tc>
          <w:tcPr>
            <w:tcW w:w="199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月份</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月</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月</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月</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月</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w:t>
            </w:r>
            <w:r>
              <w:rPr>
                <w:rFonts w:ascii="Times New Roman" w:eastAsia="宋体" w:hAnsi="Times New Roman" w:cs="Times New Roman"/>
                <w:color w:val="000000" w:themeColor="text1"/>
              </w:rPr>
              <w:t>月</w:t>
            </w:r>
          </w:p>
        </w:tc>
        <w:tc>
          <w:tcPr>
            <w:tcW w:w="104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r>
              <w:rPr>
                <w:rFonts w:ascii="Times New Roman" w:eastAsia="宋体" w:hAnsi="Times New Roman" w:cs="Times New Roman"/>
                <w:color w:val="000000" w:themeColor="text1"/>
              </w:rPr>
              <w:t>月</w:t>
            </w:r>
          </w:p>
        </w:tc>
      </w:tr>
      <w:tr w:rsidR="00C861DA">
        <w:trPr>
          <w:trHeight w:val="340"/>
          <w:jc w:val="center"/>
        </w:trPr>
        <w:tc>
          <w:tcPr>
            <w:tcW w:w="199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平均风速</w:t>
            </w:r>
            <w:r>
              <w:rPr>
                <w:rFonts w:ascii="Times New Roman" w:eastAsia="宋体" w:hAnsi="Times New Roman" w:cs="Times New Roman"/>
                <w:color w:val="000000" w:themeColor="text1"/>
              </w:rPr>
              <w:t xml:space="preserve"> m/s</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1.78 </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2.84 </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2.93 </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3.15 </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3.58 </w:t>
            </w:r>
          </w:p>
        </w:tc>
        <w:tc>
          <w:tcPr>
            <w:tcW w:w="104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2.87 </w:t>
            </w:r>
          </w:p>
        </w:tc>
      </w:tr>
      <w:tr w:rsidR="00C861DA">
        <w:trPr>
          <w:trHeight w:val="340"/>
          <w:jc w:val="center"/>
        </w:trPr>
        <w:tc>
          <w:tcPr>
            <w:tcW w:w="199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月份</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w:t>
            </w:r>
            <w:r>
              <w:rPr>
                <w:rFonts w:ascii="Times New Roman" w:eastAsia="宋体" w:hAnsi="Times New Roman" w:cs="Times New Roman"/>
                <w:color w:val="000000" w:themeColor="text1"/>
              </w:rPr>
              <w:t>月</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r>
              <w:rPr>
                <w:rFonts w:ascii="Times New Roman" w:eastAsia="宋体" w:hAnsi="Times New Roman" w:cs="Times New Roman"/>
                <w:color w:val="000000" w:themeColor="text1"/>
              </w:rPr>
              <w:t>月</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r>
              <w:rPr>
                <w:rFonts w:ascii="Times New Roman" w:eastAsia="宋体" w:hAnsi="Times New Roman" w:cs="Times New Roman"/>
                <w:color w:val="000000" w:themeColor="text1"/>
              </w:rPr>
              <w:t>月</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r>
              <w:rPr>
                <w:rFonts w:ascii="Times New Roman" w:eastAsia="宋体" w:hAnsi="Times New Roman" w:cs="Times New Roman"/>
                <w:color w:val="000000" w:themeColor="text1"/>
              </w:rPr>
              <w:t>月</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月</w:t>
            </w:r>
          </w:p>
        </w:tc>
        <w:tc>
          <w:tcPr>
            <w:tcW w:w="104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12</w:t>
            </w:r>
            <w:r>
              <w:rPr>
                <w:rFonts w:ascii="Times New Roman" w:eastAsia="宋体" w:hAnsi="Times New Roman" w:cs="Times New Roman"/>
                <w:color w:val="000000" w:themeColor="text1"/>
              </w:rPr>
              <w:t>月</w:t>
            </w:r>
          </w:p>
        </w:tc>
      </w:tr>
      <w:tr w:rsidR="00C861DA">
        <w:trPr>
          <w:trHeight w:val="340"/>
          <w:jc w:val="center"/>
        </w:trPr>
        <w:tc>
          <w:tcPr>
            <w:tcW w:w="199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平均风速</w:t>
            </w:r>
            <w:r>
              <w:rPr>
                <w:rFonts w:ascii="Times New Roman" w:eastAsia="宋体" w:hAnsi="Times New Roman" w:cs="Times New Roman"/>
                <w:color w:val="000000" w:themeColor="text1"/>
              </w:rPr>
              <w:t xml:space="preserve"> m/s</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1.85 </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1.79 </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1.97 </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2.16 </w:t>
            </w:r>
          </w:p>
        </w:tc>
        <w:tc>
          <w:tcPr>
            <w:tcW w:w="104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1.99 </w:t>
            </w:r>
          </w:p>
        </w:tc>
        <w:tc>
          <w:tcPr>
            <w:tcW w:w="104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1.92 </w:t>
            </w:r>
          </w:p>
        </w:tc>
      </w:tr>
    </w:tbl>
    <w:p w:rsidR="00C861DA" w:rsidRDefault="00C861DA">
      <w:pPr>
        <w:snapToGrid w:val="0"/>
        <w:spacing w:line="360" w:lineRule="auto"/>
        <w:rPr>
          <w:color w:val="000000" w:themeColor="text1"/>
        </w:rPr>
      </w:pPr>
    </w:p>
    <w:p w:rsidR="00C861DA" w:rsidRDefault="0044752E">
      <w:pPr>
        <w:snapToGrid w:val="0"/>
        <w:spacing w:line="360" w:lineRule="auto"/>
        <w:rPr>
          <w:color w:val="000000" w:themeColor="text1"/>
        </w:rPr>
      </w:pPr>
      <w:r>
        <w:rPr>
          <w:noProof/>
          <w:color w:val="000000" w:themeColor="text1"/>
        </w:rPr>
        <w:drawing>
          <wp:inline distT="0" distB="0" distL="0" distR="0">
            <wp:extent cx="5257800" cy="1704975"/>
            <wp:effectExtent l="19050" t="19050" r="19050" b="285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6" cstate="screen"/>
                    <a:srcRect l="903" t="14963" r="2530" b="4176"/>
                    <a:stretch>
                      <a:fillRect/>
                    </a:stretch>
                  </pic:blipFill>
                  <pic:spPr>
                    <a:xfrm>
                      <a:off x="0" y="0"/>
                      <a:ext cx="5257800" cy="1704975"/>
                    </a:xfrm>
                    <a:prstGeom prst="rect">
                      <a:avLst/>
                    </a:prstGeom>
                    <a:noFill/>
                    <a:ln w="19050" cmpd="sng">
                      <a:solidFill>
                        <a:srgbClr val="000000"/>
                      </a:solidFill>
                      <a:miter lim="800000"/>
                      <a:headEnd/>
                      <a:tailEnd/>
                    </a:ln>
                    <a:effectLst/>
                  </pic:spPr>
                </pic:pic>
              </a:graphicData>
            </a:graphic>
          </wp:inline>
        </w:drawing>
      </w:r>
    </w:p>
    <w:p w:rsidR="00C861DA" w:rsidRDefault="0044752E">
      <w:pPr>
        <w:snapToGrid w:val="0"/>
        <w:spacing w:line="360" w:lineRule="auto"/>
        <w:ind w:leftChars="6" w:left="13" w:firstLineChars="150" w:firstLine="361"/>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图</w:t>
      </w:r>
      <w:r>
        <w:rPr>
          <w:rFonts w:ascii="Times New Roman" w:eastAsia="宋体" w:hAnsi="Times New Roman" w:cs="Times New Roman"/>
          <w:b/>
          <w:color w:val="000000" w:themeColor="text1"/>
          <w:sz w:val="24"/>
        </w:rPr>
        <w:t xml:space="preserve">7.1-3  </w:t>
      </w:r>
      <w:r>
        <w:rPr>
          <w:rFonts w:ascii="Times New Roman" w:eastAsia="宋体" w:hAnsi="Times New Roman" w:cs="Times New Roman"/>
          <w:b/>
          <w:color w:val="000000" w:themeColor="text1"/>
          <w:sz w:val="24"/>
        </w:rPr>
        <w:t>安宁市年平均风速的月变化</w:t>
      </w:r>
    </w:p>
    <w:p w:rsidR="00C861DA" w:rsidRDefault="0044752E">
      <w:pPr>
        <w:snapToGrid w:val="0"/>
        <w:spacing w:beforeLines="50" w:before="156" w:line="360" w:lineRule="auto"/>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7.1-3  </w:t>
      </w:r>
      <w:r>
        <w:rPr>
          <w:rFonts w:ascii="Times New Roman" w:eastAsia="宋体" w:hAnsi="Times New Roman" w:cs="Times New Roman"/>
          <w:b/>
          <w:color w:val="000000" w:themeColor="text1"/>
          <w:sz w:val="24"/>
        </w:rPr>
        <w:t>季小时平均风速</w:t>
      </w:r>
      <w:r>
        <w:rPr>
          <w:rFonts w:ascii="Times New Roman" w:eastAsia="宋体" w:hAnsi="Times New Roman" w:cs="Times New Roman"/>
          <w:b/>
          <w:color w:val="000000" w:themeColor="text1"/>
          <w:sz w:val="24"/>
        </w:rPr>
        <w:t xml:space="preserve">  m/s</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638"/>
        <w:gridCol w:w="638"/>
        <w:gridCol w:w="638"/>
        <w:gridCol w:w="638"/>
        <w:gridCol w:w="637"/>
        <w:gridCol w:w="637"/>
        <w:gridCol w:w="637"/>
        <w:gridCol w:w="637"/>
        <w:gridCol w:w="637"/>
        <w:gridCol w:w="637"/>
        <w:gridCol w:w="637"/>
        <w:gridCol w:w="629"/>
      </w:tblGrid>
      <w:tr w:rsidR="00C861DA">
        <w:trPr>
          <w:trHeight w:val="369"/>
          <w:jc w:val="center"/>
        </w:trPr>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小时</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10</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11</w:t>
            </w:r>
          </w:p>
        </w:tc>
        <w:tc>
          <w:tcPr>
            <w:tcW w:w="629"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12</w:t>
            </w:r>
          </w:p>
        </w:tc>
      </w:tr>
      <w:tr w:rsidR="00C861DA">
        <w:trPr>
          <w:trHeight w:val="369"/>
          <w:jc w:val="center"/>
        </w:trPr>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春季</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1.59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1.46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1.34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1.25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1.16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1.16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1.02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1.03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1.54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2.85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4.02 </w:t>
            </w:r>
          </w:p>
        </w:tc>
        <w:tc>
          <w:tcPr>
            <w:tcW w:w="629"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5.35 </w:t>
            </w:r>
          </w:p>
        </w:tc>
      </w:tr>
      <w:tr w:rsidR="00C861DA">
        <w:trPr>
          <w:trHeight w:val="369"/>
          <w:jc w:val="center"/>
        </w:trPr>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夏季</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1.65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1.33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1.23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1.16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1.14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0.95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1.03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1.00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1.21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1.93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2.62 </w:t>
            </w:r>
          </w:p>
        </w:tc>
        <w:tc>
          <w:tcPr>
            <w:tcW w:w="629"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2.94 </w:t>
            </w:r>
          </w:p>
        </w:tc>
      </w:tr>
      <w:tr w:rsidR="00C861DA">
        <w:trPr>
          <w:trHeight w:val="369"/>
          <w:jc w:val="center"/>
        </w:trPr>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秋季</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0.97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0.97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1.11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0.88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0.87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0.93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0.86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0.78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0.93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1.62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2.68 </w:t>
            </w:r>
          </w:p>
        </w:tc>
        <w:tc>
          <w:tcPr>
            <w:tcW w:w="629"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3.47 </w:t>
            </w:r>
          </w:p>
        </w:tc>
      </w:tr>
      <w:tr w:rsidR="00C861DA">
        <w:trPr>
          <w:trHeight w:val="369"/>
          <w:jc w:val="center"/>
        </w:trPr>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冬季</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0.90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0.80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0.78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0.71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0.69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0.82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0.83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0.81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0.78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1.02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1.84 </w:t>
            </w:r>
          </w:p>
        </w:tc>
        <w:tc>
          <w:tcPr>
            <w:tcW w:w="629"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3.57 </w:t>
            </w:r>
          </w:p>
        </w:tc>
      </w:tr>
      <w:tr w:rsidR="00C861DA">
        <w:trPr>
          <w:trHeight w:val="369"/>
          <w:jc w:val="center"/>
        </w:trPr>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小时</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13</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14</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15</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16</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17</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18</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19</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20</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21</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22</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23</w:t>
            </w:r>
          </w:p>
        </w:tc>
        <w:tc>
          <w:tcPr>
            <w:tcW w:w="629"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24</w:t>
            </w:r>
          </w:p>
        </w:tc>
      </w:tr>
      <w:tr w:rsidR="00C861DA">
        <w:trPr>
          <w:trHeight w:val="369"/>
          <w:jc w:val="center"/>
        </w:trPr>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春季</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5.98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5.98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5.81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5.94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5.83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5.50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4.59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3.89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3.42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2.64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2.05 </w:t>
            </w:r>
          </w:p>
        </w:tc>
        <w:tc>
          <w:tcPr>
            <w:tcW w:w="629"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1.87 </w:t>
            </w:r>
          </w:p>
        </w:tc>
      </w:tr>
      <w:tr w:rsidR="00C861DA">
        <w:trPr>
          <w:trHeight w:val="369"/>
          <w:jc w:val="center"/>
        </w:trPr>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夏季</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3.01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3.44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3.39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3.54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3.30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3.27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3.07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2.54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2.20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2.19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1.99 </w:t>
            </w:r>
          </w:p>
        </w:tc>
        <w:tc>
          <w:tcPr>
            <w:tcW w:w="629"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1.76 </w:t>
            </w:r>
          </w:p>
        </w:tc>
      </w:tr>
      <w:tr w:rsidR="00C861DA">
        <w:trPr>
          <w:trHeight w:val="369"/>
          <w:jc w:val="center"/>
        </w:trPr>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秋季</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3.77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3.97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4.04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3.91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3.76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3.39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2.89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2.17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1.60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1.24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1.13 </w:t>
            </w:r>
          </w:p>
        </w:tc>
        <w:tc>
          <w:tcPr>
            <w:tcW w:w="629"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1.01 </w:t>
            </w:r>
          </w:p>
        </w:tc>
      </w:tr>
      <w:tr w:rsidR="00C861DA">
        <w:trPr>
          <w:trHeight w:val="369"/>
          <w:jc w:val="center"/>
        </w:trPr>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冬季</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4.25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4.68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4.98 </w:t>
            </w:r>
          </w:p>
        </w:tc>
        <w:tc>
          <w:tcPr>
            <w:tcW w:w="638"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4.77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4.64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3.80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3.20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2.35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1.91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1.51 </w:t>
            </w:r>
          </w:p>
        </w:tc>
        <w:tc>
          <w:tcPr>
            <w:tcW w:w="637"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1.07 </w:t>
            </w:r>
          </w:p>
        </w:tc>
        <w:tc>
          <w:tcPr>
            <w:tcW w:w="629" w:type="dxa"/>
            <w:vAlign w:val="center"/>
          </w:tcPr>
          <w:p w:rsidR="00C861DA" w:rsidRDefault="0044752E">
            <w:pPr>
              <w:widowControl/>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 xml:space="preserve">0.98 </w:t>
            </w:r>
          </w:p>
        </w:tc>
      </w:tr>
    </w:tbl>
    <w:p w:rsidR="00C861DA" w:rsidRDefault="00C861DA">
      <w:pPr>
        <w:snapToGrid w:val="0"/>
        <w:spacing w:line="360" w:lineRule="auto"/>
        <w:rPr>
          <w:color w:val="000000" w:themeColor="text1"/>
        </w:rPr>
      </w:pPr>
    </w:p>
    <w:p w:rsidR="00C861DA" w:rsidRDefault="0044752E">
      <w:pPr>
        <w:snapToGrid w:val="0"/>
        <w:spacing w:line="360" w:lineRule="auto"/>
        <w:rPr>
          <w:color w:val="000000" w:themeColor="text1"/>
        </w:rPr>
      </w:pPr>
      <w:r>
        <w:rPr>
          <w:noProof/>
          <w:color w:val="000000" w:themeColor="text1"/>
        </w:rPr>
        <w:drawing>
          <wp:inline distT="0" distB="0" distL="0" distR="0">
            <wp:extent cx="5257800" cy="1981200"/>
            <wp:effectExtent l="19050" t="19050" r="19050" b="190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7" cstate="screen"/>
                    <a:srcRect l="1277" t="7776" r="723" b="3859"/>
                    <a:stretch>
                      <a:fillRect/>
                    </a:stretch>
                  </pic:blipFill>
                  <pic:spPr>
                    <a:xfrm>
                      <a:off x="0" y="0"/>
                      <a:ext cx="5257800" cy="1981200"/>
                    </a:xfrm>
                    <a:prstGeom prst="rect">
                      <a:avLst/>
                    </a:prstGeom>
                    <a:noFill/>
                    <a:ln w="19050" cmpd="sng">
                      <a:solidFill>
                        <a:srgbClr val="000000"/>
                      </a:solidFill>
                      <a:miter lim="800000"/>
                      <a:headEnd/>
                      <a:tailEnd/>
                    </a:ln>
                    <a:effectLst/>
                  </pic:spPr>
                </pic:pic>
              </a:graphicData>
            </a:graphic>
          </wp:inline>
        </w:drawing>
      </w:r>
    </w:p>
    <w:p w:rsidR="00C861DA" w:rsidRDefault="0044752E">
      <w:pPr>
        <w:snapToGrid w:val="0"/>
        <w:spacing w:line="360" w:lineRule="auto"/>
        <w:ind w:leftChars="6" w:left="13" w:firstLineChars="150" w:firstLine="361"/>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图</w:t>
      </w:r>
      <w:r>
        <w:rPr>
          <w:rFonts w:ascii="Times New Roman" w:eastAsia="宋体" w:hAnsi="Times New Roman" w:cs="Times New Roman"/>
          <w:b/>
          <w:color w:val="000000" w:themeColor="text1"/>
          <w:sz w:val="24"/>
        </w:rPr>
        <w:t xml:space="preserve">7.1-4  </w:t>
      </w:r>
      <w:r>
        <w:rPr>
          <w:rFonts w:ascii="Times New Roman" w:eastAsia="宋体" w:hAnsi="Times New Roman" w:cs="Times New Roman"/>
          <w:b/>
          <w:color w:val="000000" w:themeColor="text1"/>
          <w:sz w:val="24"/>
        </w:rPr>
        <w:t>安宁市年季小时平均风速的日变化</w:t>
      </w:r>
    </w:p>
    <w:p w:rsidR="00C861DA" w:rsidRDefault="0044752E">
      <w:pPr>
        <w:snapToGrid w:val="0"/>
        <w:spacing w:line="360" w:lineRule="auto"/>
        <w:ind w:left="12"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从表</w:t>
      </w:r>
      <w:r>
        <w:rPr>
          <w:rFonts w:ascii="Times New Roman" w:eastAsia="宋体" w:hAnsi="Times New Roman" w:cs="Times New Roman"/>
          <w:color w:val="000000" w:themeColor="text1"/>
          <w:sz w:val="24"/>
        </w:rPr>
        <w:t>7.1-4</w:t>
      </w:r>
      <w:r>
        <w:rPr>
          <w:rFonts w:ascii="Times New Roman" w:eastAsia="宋体" w:hAnsi="Times New Roman" w:cs="Times New Roman"/>
          <w:color w:val="000000" w:themeColor="text1"/>
          <w:sz w:val="24"/>
        </w:rPr>
        <w:t>和图</w:t>
      </w:r>
      <w:r>
        <w:rPr>
          <w:rFonts w:ascii="Times New Roman" w:eastAsia="宋体" w:hAnsi="Times New Roman" w:cs="Times New Roman"/>
          <w:color w:val="000000" w:themeColor="text1"/>
          <w:sz w:val="24"/>
        </w:rPr>
        <w:t>7.1-4</w:t>
      </w:r>
      <w:r>
        <w:rPr>
          <w:rFonts w:ascii="Times New Roman" w:eastAsia="宋体" w:hAnsi="Times New Roman" w:cs="Times New Roman"/>
          <w:color w:val="000000" w:themeColor="text1"/>
          <w:sz w:val="24"/>
        </w:rPr>
        <w:t>可以看出，项目所在地春季的平均风速最大，并且风速变化比较明显。同一天相比，</w:t>
      </w:r>
      <w:r>
        <w:rPr>
          <w:rFonts w:ascii="Times New Roman" w:eastAsia="宋体" w:hAnsi="Times New Roman" w:cs="Times New Roman"/>
          <w:color w:val="000000" w:themeColor="text1"/>
          <w:sz w:val="24"/>
        </w:rPr>
        <w:t>13</w:t>
      </w:r>
      <w:r>
        <w:rPr>
          <w:rFonts w:ascii="Times New Roman" w:eastAsia="宋体" w:hAnsi="Times New Roman" w:cs="Times New Roman"/>
          <w:color w:val="000000" w:themeColor="text1"/>
          <w:sz w:val="24"/>
        </w:rPr>
        <w:t>时</w:t>
      </w:r>
      <w:r>
        <w:rPr>
          <w:rFonts w:ascii="Times New Roman" w:eastAsia="宋体" w:hAnsi="Times New Roman" w:cs="Times New Roman"/>
          <w:color w:val="000000" w:themeColor="text1"/>
          <w:sz w:val="24"/>
        </w:rPr>
        <w:t>~18</w:t>
      </w:r>
      <w:r>
        <w:rPr>
          <w:rFonts w:ascii="Times New Roman" w:eastAsia="宋体" w:hAnsi="Times New Roman" w:cs="Times New Roman"/>
          <w:color w:val="000000" w:themeColor="text1"/>
          <w:sz w:val="24"/>
        </w:rPr>
        <w:t>时的风速相对较大，晚上</w:t>
      </w:r>
      <w:r>
        <w:rPr>
          <w:rFonts w:ascii="Times New Roman" w:eastAsia="宋体" w:hAnsi="Times New Roman" w:cs="Times New Roman"/>
          <w:color w:val="000000" w:themeColor="text1"/>
          <w:sz w:val="24"/>
        </w:rPr>
        <w:t>23</w:t>
      </w:r>
      <w:r>
        <w:rPr>
          <w:rFonts w:ascii="Times New Roman" w:eastAsia="宋体" w:hAnsi="Times New Roman" w:cs="Times New Roman"/>
          <w:color w:val="000000" w:themeColor="text1"/>
          <w:sz w:val="24"/>
        </w:rPr>
        <w:t>时至第二天</w:t>
      </w:r>
      <w:r>
        <w:rPr>
          <w:rFonts w:ascii="Times New Roman" w:eastAsia="宋体" w:hAnsi="Times New Roman" w:cs="Times New Roman"/>
          <w:color w:val="000000" w:themeColor="text1"/>
          <w:sz w:val="24"/>
        </w:rPr>
        <w:t>8</w:t>
      </w:r>
      <w:r>
        <w:rPr>
          <w:rFonts w:ascii="Times New Roman" w:eastAsia="宋体" w:hAnsi="Times New Roman" w:cs="Times New Roman"/>
          <w:color w:val="000000" w:themeColor="text1"/>
          <w:sz w:val="24"/>
        </w:rPr>
        <w:t>时的风速相对较小。</w:t>
      </w:r>
    </w:p>
    <w:p w:rsidR="00C861DA" w:rsidRDefault="0044752E">
      <w:pPr>
        <w:snapToGrid w:val="0"/>
        <w:spacing w:line="360" w:lineRule="auto"/>
        <w:ind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b</w:t>
      </w:r>
      <w:r>
        <w:rPr>
          <w:rFonts w:ascii="Times New Roman" w:eastAsia="宋体" w:hAnsi="Times New Roman" w:cs="Times New Roman"/>
          <w:b/>
          <w:color w:val="000000" w:themeColor="text1"/>
          <w:sz w:val="24"/>
        </w:rPr>
        <w:t>、风频</w:t>
      </w:r>
    </w:p>
    <w:p w:rsidR="00C861DA" w:rsidRDefault="0044752E">
      <w:pPr>
        <w:snapToGrid w:val="0"/>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项目所在地近年年均风频的月变化见表</w:t>
      </w:r>
      <w:r>
        <w:rPr>
          <w:rFonts w:ascii="Times New Roman" w:eastAsia="宋体" w:hAnsi="Times New Roman" w:cs="Times New Roman"/>
          <w:color w:val="000000" w:themeColor="text1"/>
          <w:sz w:val="24"/>
        </w:rPr>
        <w:t>7.1-5</w:t>
      </w:r>
      <w:r>
        <w:rPr>
          <w:rFonts w:ascii="Times New Roman" w:eastAsia="宋体" w:hAnsi="Times New Roman" w:cs="Times New Roman"/>
          <w:color w:val="000000" w:themeColor="text1"/>
          <w:sz w:val="24"/>
        </w:rPr>
        <w:t>，年均风频的季变化及年均风频见表</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rPr>
        <w:t>，每月、四季及全年的风频玫瑰图见图</w:t>
      </w:r>
      <w:r>
        <w:rPr>
          <w:rFonts w:ascii="Times New Roman" w:eastAsia="宋体" w:hAnsi="Times New Roman" w:cs="Times New Roman" w:hint="eastAsia"/>
          <w:color w:val="000000" w:themeColor="text1"/>
          <w:sz w:val="24"/>
        </w:rPr>
        <w:t>7</w:t>
      </w:r>
      <w:r>
        <w:rPr>
          <w:rFonts w:ascii="Times New Roman" w:eastAsia="宋体" w:hAnsi="Times New Roman" w:cs="Times New Roman"/>
          <w:color w:val="000000" w:themeColor="text1"/>
          <w:sz w:val="24"/>
        </w:rPr>
        <w:t>.1-5</w:t>
      </w:r>
      <w:r>
        <w:rPr>
          <w:rFonts w:ascii="Times New Roman" w:eastAsia="宋体" w:hAnsi="Times New Roman" w:cs="Times New Roman"/>
          <w:color w:val="000000" w:themeColor="text1"/>
          <w:sz w:val="24"/>
        </w:rPr>
        <w:t>。</w:t>
      </w:r>
    </w:p>
    <w:p w:rsidR="00C861DA" w:rsidRDefault="0044752E">
      <w:pPr>
        <w:snapToGrid w:val="0"/>
        <w:spacing w:line="360" w:lineRule="auto"/>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7.1-5  </w:t>
      </w:r>
      <w:r>
        <w:rPr>
          <w:rFonts w:ascii="Times New Roman" w:eastAsia="宋体" w:hAnsi="Times New Roman" w:cs="Times New Roman"/>
          <w:b/>
          <w:color w:val="000000" w:themeColor="text1"/>
          <w:sz w:val="24"/>
        </w:rPr>
        <w:t>项目所在地年均风频的月变化</w:t>
      </w:r>
      <w:r>
        <w:rPr>
          <w:rFonts w:ascii="Times New Roman" w:eastAsia="宋体" w:hAnsi="Times New Roman" w:cs="Times New Roman"/>
          <w:b/>
          <w:color w:val="000000" w:themeColor="text1"/>
          <w:sz w:val="24"/>
        </w:rPr>
        <w:t xml:space="preserve">  </w:t>
      </w:r>
      <w:r>
        <w:rPr>
          <w:rFonts w:ascii="Times New Roman" w:eastAsia="宋体" w:hAnsi="Times New Roman" w:cs="Times New Roman"/>
          <w:b/>
          <w:color w:val="000000" w:themeColor="text1"/>
          <w:sz w:val="24"/>
        </w:rPr>
        <w:t>单位：</w:t>
      </w:r>
      <w:r>
        <w:rPr>
          <w:rFonts w:ascii="Times New Roman" w:eastAsia="宋体" w:hAnsi="Times New Roman" w:cs="Times New Roman"/>
          <w:b/>
          <w:color w:val="000000" w:themeColor="text1"/>
          <w:sz w:val="24"/>
        </w:rPr>
        <w:t>%</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795"/>
        <w:gridCol w:w="750"/>
        <w:gridCol w:w="705"/>
        <w:gridCol w:w="795"/>
        <w:gridCol w:w="637"/>
        <w:gridCol w:w="810"/>
        <w:gridCol w:w="615"/>
        <w:gridCol w:w="720"/>
        <w:gridCol w:w="690"/>
        <w:gridCol w:w="741"/>
      </w:tblGrid>
      <w:tr w:rsidR="00C861DA">
        <w:trPr>
          <w:trHeight w:val="369"/>
          <w:jc w:val="center"/>
        </w:trPr>
        <w:tc>
          <w:tcPr>
            <w:tcW w:w="1019"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一月</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1.88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2.02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3.90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4.03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4.57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6.32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5.38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8.20 </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12.90 </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13.17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7.80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2.55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2.15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4.57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3.76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3.23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13.58 </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二月</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4.61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2.23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3.72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1.93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3.13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2.53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2.98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6.85 </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13.39 </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17.71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12.05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10.86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4.61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3.27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3.57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2.08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4.46 </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三月</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2.55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1.61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3.23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1.88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2.55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2.96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5.11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7.39 </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9.41 </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14.78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15.99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11.29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5.65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5.11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2.15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3.09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5.24 </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四月</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3.61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2.50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2.64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4.03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2.50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3.06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3.19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9.44 </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12.78 </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14.31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15.69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10.83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3.19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3.75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2.64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2.08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3.75 </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五月</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2.15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1.88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2.55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1.34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2.15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1.48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4.17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9.81 </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21.24 </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16.40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13.17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10.62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4.70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2.02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1.75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1.61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2.96 </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六月</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1.67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2.36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2.78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2.36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3.06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4.17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4.72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11.53 </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30.00 </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15.56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6.25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2.50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1.67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1.67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1.25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2.64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5.83 </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七月</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1.88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2.82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3.36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2.82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3.23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3.49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5.24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11.69 </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24.60 </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10.35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3.63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1.75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2.28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3.23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2.69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2.42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14.52 </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八月</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2.15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2.69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2.28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2.42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2.55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2.69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5.65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12.23 </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23.39 </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13.98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3.09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1.34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2.15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2.69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2.96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1.88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15.86 </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九月</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8.33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1.67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2.22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1.53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1.94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2.22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6.25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15.69 </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19.44 </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13.47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5.83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2.08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1.67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1.53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2.64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2.50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10.97 </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十月</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7.93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1.48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1.88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2.02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2.55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1.88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4.57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14.92 </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27.55 </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12.23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3.36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2.42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1.21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1.48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1.88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2.69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9.95 </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十一月</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9.17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2.36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1.53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1.25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2.22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2.64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4.72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8.61 </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14.17 </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17.22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9.44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6.67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1.67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1.67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3.19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1.25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12.22 </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十二月</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10.08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2.69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2.96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4.03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4.44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4.44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4.57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9.68 </w:t>
            </w:r>
          </w:p>
        </w:tc>
        <w:tc>
          <w:tcPr>
            <w:tcW w:w="74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16.13 </w:t>
            </w: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69"/>
          <w:jc w:val="center"/>
        </w:trPr>
        <w:tc>
          <w:tcPr>
            <w:tcW w:w="1019"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75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14.65 </w:t>
            </w:r>
          </w:p>
        </w:tc>
        <w:tc>
          <w:tcPr>
            <w:tcW w:w="70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5.91 </w:t>
            </w:r>
          </w:p>
        </w:tc>
        <w:tc>
          <w:tcPr>
            <w:tcW w:w="79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0.94 </w:t>
            </w:r>
          </w:p>
        </w:tc>
        <w:tc>
          <w:tcPr>
            <w:tcW w:w="637"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1.08 </w:t>
            </w:r>
          </w:p>
        </w:tc>
        <w:tc>
          <w:tcPr>
            <w:tcW w:w="81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1.75 </w:t>
            </w:r>
          </w:p>
        </w:tc>
        <w:tc>
          <w:tcPr>
            <w:tcW w:w="615"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1.88 </w:t>
            </w:r>
          </w:p>
        </w:tc>
        <w:tc>
          <w:tcPr>
            <w:tcW w:w="72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1.48 </w:t>
            </w:r>
          </w:p>
        </w:tc>
        <w:tc>
          <w:tcPr>
            <w:tcW w:w="69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13.31 </w:t>
            </w:r>
          </w:p>
        </w:tc>
        <w:tc>
          <w:tcPr>
            <w:tcW w:w="741" w:type="dxa"/>
            <w:vAlign w:val="center"/>
          </w:tcPr>
          <w:p w:rsidR="00C861DA" w:rsidRDefault="00C861DA">
            <w:pPr>
              <w:snapToGrid w:val="0"/>
              <w:jc w:val="center"/>
              <w:rPr>
                <w:rFonts w:ascii="Times New Roman" w:eastAsia="宋体" w:hAnsi="Times New Roman" w:cs="Times New Roman"/>
                <w:color w:val="000000" w:themeColor="text1"/>
              </w:rPr>
            </w:pPr>
          </w:p>
        </w:tc>
      </w:tr>
    </w:tbl>
    <w:p w:rsidR="00C861DA" w:rsidRDefault="00C861DA">
      <w:pPr>
        <w:snapToGrid w:val="0"/>
        <w:spacing w:line="360" w:lineRule="auto"/>
        <w:ind w:firstLineChars="200" w:firstLine="480"/>
        <w:rPr>
          <w:rFonts w:ascii="Times New Roman" w:eastAsia="宋体" w:hAnsi="Times New Roman" w:cs="Times New Roman"/>
          <w:color w:val="000000" w:themeColor="text1"/>
          <w:sz w:val="24"/>
        </w:rPr>
      </w:pPr>
    </w:p>
    <w:p w:rsidR="00C861DA" w:rsidRDefault="0044752E">
      <w:pPr>
        <w:snapToGrid w:val="0"/>
        <w:spacing w:line="360" w:lineRule="auto"/>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7.1-6   </w:t>
      </w:r>
      <w:r>
        <w:rPr>
          <w:rFonts w:ascii="Times New Roman" w:eastAsia="宋体" w:hAnsi="Times New Roman" w:cs="Times New Roman"/>
          <w:b/>
          <w:color w:val="000000" w:themeColor="text1"/>
          <w:sz w:val="24"/>
        </w:rPr>
        <w:t>项目所在地年均风频的季变化及年均风频单位：</w:t>
      </w:r>
      <w:r>
        <w:rPr>
          <w:rFonts w:ascii="Times New Roman" w:eastAsia="宋体" w:hAnsi="Times New Roman" w:cs="Times New Roman"/>
          <w:b/>
          <w:color w:val="000000" w:themeColor="text1"/>
          <w:sz w:val="24"/>
        </w:rPr>
        <w:t>%</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729"/>
        <w:gridCol w:w="802"/>
        <w:gridCol w:w="788"/>
        <w:gridCol w:w="888"/>
        <w:gridCol w:w="703"/>
        <w:gridCol w:w="871"/>
        <w:gridCol w:w="726"/>
        <w:gridCol w:w="823"/>
        <w:gridCol w:w="719"/>
        <w:gridCol w:w="740"/>
      </w:tblGrid>
      <w:tr w:rsidR="00C861DA">
        <w:trPr>
          <w:trHeight w:val="340"/>
          <w:jc w:val="center"/>
        </w:trPr>
        <w:tc>
          <w:tcPr>
            <w:tcW w:w="488"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年</w:t>
            </w: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40"/>
          <w:jc w:val="center"/>
        </w:trPr>
        <w:tc>
          <w:tcPr>
            <w:tcW w:w="488"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4.66 </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2.19 </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2.75 </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2.48 </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2.91 </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3.16 </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4.73 </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10.53 </w:t>
            </w:r>
          </w:p>
        </w:tc>
        <w:tc>
          <w:tcPr>
            <w:tcW w:w="74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18.79 </w:t>
            </w:r>
          </w:p>
        </w:tc>
      </w:tr>
      <w:tr w:rsidR="00C861DA">
        <w:trPr>
          <w:trHeight w:val="340"/>
          <w:jc w:val="center"/>
        </w:trPr>
        <w:tc>
          <w:tcPr>
            <w:tcW w:w="488"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40"/>
          <w:jc w:val="center"/>
        </w:trPr>
        <w:tc>
          <w:tcPr>
            <w:tcW w:w="488"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14.45 </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8.48 </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5.27 </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2.66 </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2.73 </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2.52 </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2.25 </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9.44 </w:t>
            </w:r>
          </w:p>
        </w:tc>
        <w:tc>
          <w:tcPr>
            <w:tcW w:w="740"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40"/>
          <w:jc w:val="center"/>
        </w:trPr>
        <w:tc>
          <w:tcPr>
            <w:tcW w:w="488"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春</w:t>
            </w: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40"/>
          <w:jc w:val="center"/>
        </w:trPr>
        <w:tc>
          <w:tcPr>
            <w:tcW w:w="488"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2.76 </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1.99 </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2.81 </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2.40 </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2.40 </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2.49 </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4.17 </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8.88 </w:t>
            </w:r>
          </w:p>
        </w:tc>
        <w:tc>
          <w:tcPr>
            <w:tcW w:w="74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14.49 </w:t>
            </w:r>
          </w:p>
        </w:tc>
      </w:tr>
      <w:tr w:rsidR="00C861DA">
        <w:trPr>
          <w:trHeight w:val="340"/>
          <w:jc w:val="center"/>
        </w:trPr>
        <w:tc>
          <w:tcPr>
            <w:tcW w:w="488"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40"/>
          <w:jc w:val="center"/>
        </w:trPr>
        <w:tc>
          <w:tcPr>
            <w:tcW w:w="488"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15.17 </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14.95 </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10.91 </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4.53 </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3.62 </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2.17 </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2.26 </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3.99 </w:t>
            </w:r>
          </w:p>
        </w:tc>
        <w:tc>
          <w:tcPr>
            <w:tcW w:w="740"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40"/>
          <w:jc w:val="center"/>
        </w:trPr>
        <w:tc>
          <w:tcPr>
            <w:tcW w:w="488"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夏</w:t>
            </w: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40"/>
          <w:jc w:val="center"/>
        </w:trPr>
        <w:tc>
          <w:tcPr>
            <w:tcW w:w="488"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1.90 </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2.63 </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2.81 </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2.54 </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2.94 </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3.44 </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5.21 </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11.82 </w:t>
            </w:r>
          </w:p>
        </w:tc>
        <w:tc>
          <w:tcPr>
            <w:tcW w:w="74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25.95 </w:t>
            </w:r>
          </w:p>
        </w:tc>
      </w:tr>
      <w:tr w:rsidR="00C861DA">
        <w:trPr>
          <w:trHeight w:val="340"/>
          <w:jc w:val="center"/>
        </w:trPr>
        <w:tc>
          <w:tcPr>
            <w:tcW w:w="488"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40"/>
          <w:jc w:val="center"/>
        </w:trPr>
        <w:tc>
          <w:tcPr>
            <w:tcW w:w="488"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13.27 </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4.30 </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1.86 </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2.04 </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2.54 </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2.31 </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2.31 </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12.14 </w:t>
            </w:r>
          </w:p>
        </w:tc>
        <w:tc>
          <w:tcPr>
            <w:tcW w:w="740"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40"/>
          <w:jc w:val="center"/>
        </w:trPr>
        <w:tc>
          <w:tcPr>
            <w:tcW w:w="488"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秋</w:t>
            </w: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40"/>
          <w:jc w:val="center"/>
        </w:trPr>
        <w:tc>
          <w:tcPr>
            <w:tcW w:w="488"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8.47 </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1.83 </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1.88 </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1.60 </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2.24 </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2.24 </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5.17 </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13.10 </w:t>
            </w:r>
          </w:p>
        </w:tc>
        <w:tc>
          <w:tcPr>
            <w:tcW w:w="74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20.47 </w:t>
            </w:r>
          </w:p>
        </w:tc>
      </w:tr>
      <w:tr w:rsidR="00C861DA">
        <w:trPr>
          <w:trHeight w:val="340"/>
          <w:jc w:val="center"/>
        </w:trPr>
        <w:tc>
          <w:tcPr>
            <w:tcW w:w="488"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40"/>
          <w:jc w:val="center"/>
        </w:trPr>
        <w:tc>
          <w:tcPr>
            <w:tcW w:w="488"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14.29 </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6.18 </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3.71 </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1.51 </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1.56 </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2.56 </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2.15 </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11.03 </w:t>
            </w:r>
          </w:p>
        </w:tc>
        <w:tc>
          <w:tcPr>
            <w:tcW w:w="740"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40"/>
          <w:jc w:val="center"/>
        </w:trPr>
        <w:tc>
          <w:tcPr>
            <w:tcW w:w="488" w:type="dxa"/>
            <w:vMerge w:val="restart"/>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冬</w:t>
            </w: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NNE</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NE</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ENE</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ESE</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SE</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SSE</w:t>
            </w:r>
          </w:p>
        </w:tc>
        <w:tc>
          <w:tcPr>
            <w:tcW w:w="74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t>
            </w:r>
          </w:p>
        </w:tc>
      </w:tr>
      <w:tr w:rsidR="00C861DA">
        <w:trPr>
          <w:trHeight w:val="340"/>
          <w:jc w:val="center"/>
        </w:trPr>
        <w:tc>
          <w:tcPr>
            <w:tcW w:w="488"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5.56 </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2.31 </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3.52 </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3.38 </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4.07 </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4.49 </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4.35 </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8.29 </w:t>
            </w:r>
          </w:p>
        </w:tc>
        <w:tc>
          <w:tcPr>
            <w:tcW w:w="740"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14.17 </w:t>
            </w:r>
          </w:p>
        </w:tc>
      </w:tr>
      <w:tr w:rsidR="00C861DA">
        <w:trPr>
          <w:trHeight w:val="340"/>
          <w:jc w:val="center"/>
        </w:trPr>
        <w:tc>
          <w:tcPr>
            <w:tcW w:w="488"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风向</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SSW</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SW</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WSW</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WNW</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NW</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NNW</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p>
        </w:tc>
        <w:tc>
          <w:tcPr>
            <w:tcW w:w="740" w:type="dxa"/>
            <w:vAlign w:val="center"/>
          </w:tcPr>
          <w:p w:rsidR="00C861DA" w:rsidRDefault="00C861DA">
            <w:pPr>
              <w:snapToGrid w:val="0"/>
              <w:jc w:val="center"/>
              <w:rPr>
                <w:rFonts w:ascii="Times New Roman" w:eastAsia="宋体" w:hAnsi="Times New Roman" w:cs="Times New Roman"/>
                <w:color w:val="000000" w:themeColor="text1"/>
              </w:rPr>
            </w:pPr>
          </w:p>
        </w:tc>
      </w:tr>
      <w:tr w:rsidR="00C861DA">
        <w:trPr>
          <w:trHeight w:val="340"/>
          <w:jc w:val="center"/>
        </w:trPr>
        <w:tc>
          <w:tcPr>
            <w:tcW w:w="488" w:type="dxa"/>
            <w:vMerge/>
            <w:vAlign w:val="center"/>
          </w:tcPr>
          <w:p w:rsidR="00C861DA" w:rsidRDefault="00C861DA">
            <w:pPr>
              <w:snapToGrid w:val="0"/>
              <w:jc w:val="center"/>
              <w:rPr>
                <w:rFonts w:ascii="Times New Roman" w:eastAsia="宋体" w:hAnsi="Times New Roman" w:cs="Times New Roman"/>
                <w:color w:val="000000" w:themeColor="text1"/>
              </w:rPr>
            </w:pPr>
          </w:p>
        </w:tc>
        <w:tc>
          <w:tcPr>
            <w:tcW w:w="72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频率</w:t>
            </w:r>
          </w:p>
        </w:tc>
        <w:tc>
          <w:tcPr>
            <w:tcW w:w="802"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15.09 </w:t>
            </w:r>
          </w:p>
        </w:tc>
        <w:tc>
          <w:tcPr>
            <w:tcW w:w="7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8.47 </w:t>
            </w:r>
          </w:p>
        </w:tc>
        <w:tc>
          <w:tcPr>
            <w:tcW w:w="888"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4.58 </w:t>
            </w:r>
          </w:p>
        </w:tc>
        <w:tc>
          <w:tcPr>
            <w:tcW w:w="70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2.55 </w:t>
            </w:r>
          </w:p>
        </w:tc>
        <w:tc>
          <w:tcPr>
            <w:tcW w:w="871"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3.19 </w:t>
            </w:r>
          </w:p>
        </w:tc>
        <w:tc>
          <w:tcPr>
            <w:tcW w:w="726"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3.06 </w:t>
            </w:r>
          </w:p>
        </w:tc>
        <w:tc>
          <w:tcPr>
            <w:tcW w:w="823"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2.27 </w:t>
            </w:r>
          </w:p>
        </w:tc>
        <w:tc>
          <w:tcPr>
            <w:tcW w:w="719" w:type="dxa"/>
            <w:vAlign w:val="center"/>
          </w:tcPr>
          <w:p w:rsidR="00C861DA" w:rsidRDefault="0044752E">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10.65 </w:t>
            </w:r>
          </w:p>
        </w:tc>
        <w:tc>
          <w:tcPr>
            <w:tcW w:w="740" w:type="dxa"/>
            <w:vAlign w:val="center"/>
          </w:tcPr>
          <w:p w:rsidR="00C861DA" w:rsidRDefault="00C861DA">
            <w:pPr>
              <w:snapToGrid w:val="0"/>
              <w:jc w:val="center"/>
              <w:rPr>
                <w:rFonts w:ascii="Times New Roman" w:eastAsia="宋体" w:hAnsi="Times New Roman" w:cs="Times New Roman"/>
                <w:color w:val="000000" w:themeColor="text1"/>
              </w:rPr>
            </w:pPr>
          </w:p>
        </w:tc>
      </w:tr>
    </w:tbl>
    <w:p w:rsidR="00C861DA" w:rsidRDefault="00C861DA" w:rsidP="00B236CD">
      <w:pPr>
        <w:snapToGrid w:val="0"/>
        <w:spacing w:line="360" w:lineRule="auto"/>
        <w:ind w:leftChars="1" w:left="12" w:hangingChars="4" w:hanging="10"/>
        <w:jc w:val="center"/>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C861DA">
      <w:pPr>
        <w:pStyle w:val="21"/>
        <w:rPr>
          <w:color w:val="000000" w:themeColor="text1"/>
          <w:sz w:val="24"/>
        </w:rPr>
      </w:pPr>
    </w:p>
    <w:p w:rsidR="00C861DA" w:rsidRDefault="0044752E">
      <w:pPr>
        <w:snapToGrid w:val="0"/>
        <w:spacing w:line="360" w:lineRule="auto"/>
        <w:ind w:leftChars="1" w:left="12" w:hangingChars="4" w:hanging="10"/>
        <w:jc w:val="center"/>
        <w:rPr>
          <w:b/>
          <w:color w:val="000000" w:themeColor="text1"/>
          <w:sz w:val="24"/>
        </w:rPr>
      </w:pPr>
      <w:r>
        <w:rPr>
          <w:b/>
          <w:color w:val="000000" w:themeColor="text1"/>
          <w:sz w:val="24"/>
        </w:rPr>
        <w:t>图</w:t>
      </w:r>
      <w:r>
        <w:rPr>
          <w:b/>
          <w:color w:val="000000" w:themeColor="text1"/>
          <w:sz w:val="24"/>
        </w:rPr>
        <w:t>7.1-5</w:t>
      </w:r>
      <w:r>
        <w:rPr>
          <w:rFonts w:hint="eastAsia"/>
          <w:b/>
          <w:color w:val="000000" w:themeColor="text1"/>
          <w:sz w:val="24"/>
        </w:rPr>
        <w:t xml:space="preserve"> </w:t>
      </w:r>
      <w:r>
        <w:rPr>
          <w:b/>
          <w:color w:val="000000" w:themeColor="text1"/>
          <w:sz w:val="24"/>
        </w:rPr>
        <w:t xml:space="preserve"> </w:t>
      </w:r>
      <w:r>
        <w:rPr>
          <w:rFonts w:hint="eastAsia"/>
          <w:b/>
          <w:color w:val="000000" w:themeColor="text1"/>
          <w:sz w:val="24"/>
        </w:rPr>
        <w:t>安宁市</w:t>
      </w:r>
      <w:r>
        <w:rPr>
          <w:b/>
          <w:color w:val="000000" w:themeColor="text1"/>
          <w:sz w:val="24"/>
        </w:rPr>
        <w:t>每月、四季及年风频玫瑰图</w:t>
      </w:r>
    </w:p>
    <w:p w:rsidR="00C861DA" w:rsidRDefault="0044752E">
      <w:pPr>
        <w:snapToGrid w:val="0"/>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从表</w:t>
      </w:r>
      <w:r>
        <w:rPr>
          <w:rFonts w:ascii="Times New Roman" w:eastAsia="宋体" w:hAnsi="Times New Roman" w:cs="Times New Roman"/>
          <w:color w:val="000000" w:themeColor="text1"/>
          <w:sz w:val="24"/>
        </w:rPr>
        <w:t>7.1-5</w:t>
      </w:r>
      <w:r>
        <w:rPr>
          <w:rFonts w:ascii="Times New Roman" w:eastAsia="宋体" w:hAnsi="Times New Roman" w:cs="Times New Roman"/>
          <w:color w:val="000000" w:themeColor="text1"/>
          <w:sz w:val="24"/>
        </w:rPr>
        <w:t>和图</w:t>
      </w:r>
      <w:r>
        <w:rPr>
          <w:rFonts w:ascii="Times New Roman" w:eastAsia="宋体" w:hAnsi="Times New Roman" w:cs="Times New Roman"/>
          <w:color w:val="000000" w:themeColor="text1"/>
          <w:sz w:val="24"/>
        </w:rPr>
        <w:t>7.1-5</w:t>
      </w:r>
      <w:r>
        <w:rPr>
          <w:rFonts w:ascii="Times New Roman" w:eastAsia="宋体" w:hAnsi="Times New Roman" w:cs="Times New Roman"/>
          <w:color w:val="000000" w:themeColor="text1"/>
          <w:sz w:val="24"/>
        </w:rPr>
        <w:t>中数据来看，安宁市全年、夏季和秋季主导风向为</w:t>
      </w:r>
      <w:r>
        <w:rPr>
          <w:rFonts w:ascii="Times New Roman" w:eastAsia="宋体" w:hAnsi="Times New Roman" w:cs="Times New Roman"/>
          <w:color w:val="000000" w:themeColor="text1"/>
          <w:sz w:val="24"/>
        </w:rPr>
        <w:t>SSE-S-SSW</w:t>
      </w:r>
      <w:r>
        <w:rPr>
          <w:rFonts w:ascii="Times New Roman" w:eastAsia="宋体" w:hAnsi="Times New Roman" w:cs="Times New Roman"/>
          <w:color w:val="000000" w:themeColor="text1"/>
          <w:sz w:val="24"/>
        </w:rPr>
        <w:t>，合计频率为</w:t>
      </w:r>
      <w:r>
        <w:rPr>
          <w:rFonts w:ascii="Times New Roman" w:eastAsia="宋体" w:hAnsi="Times New Roman" w:cs="Times New Roman"/>
          <w:color w:val="000000" w:themeColor="text1"/>
          <w:sz w:val="24"/>
        </w:rPr>
        <w:t>43.77%</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51.04%</w:t>
      </w:r>
      <w:r>
        <w:rPr>
          <w:rFonts w:ascii="Times New Roman" w:eastAsia="宋体" w:hAnsi="Times New Roman" w:cs="Times New Roman"/>
          <w:color w:val="000000" w:themeColor="text1"/>
          <w:sz w:val="24"/>
        </w:rPr>
        <w:t>和</w:t>
      </w:r>
      <w:r>
        <w:rPr>
          <w:rFonts w:ascii="Times New Roman" w:eastAsia="宋体" w:hAnsi="Times New Roman" w:cs="Times New Roman"/>
          <w:color w:val="000000" w:themeColor="text1"/>
          <w:sz w:val="24"/>
        </w:rPr>
        <w:t>47.86%</w:t>
      </w:r>
      <w:r>
        <w:rPr>
          <w:rFonts w:ascii="Times New Roman" w:eastAsia="宋体" w:hAnsi="Times New Roman" w:cs="Times New Roman"/>
          <w:color w:val="000000" w:themeColor="text1"/>
          <w:sz w:val="24"/>
        </w:rPr>
        <w:t>，春季、冬季主导风向为</w:t>
      </w:r>
      <w:r>
        <w:rPr>
          <w:rFonts w:ascii="Times New Roman" w:eastAsia="宋体" w:hAnsi="Times New Roman" w:cs="Times New Roman"/>
          <w:color w:val="000000" w:themeColor="text1"/>
          <w:sz w:val="24"/>
        </w:rPr>
        <w:t>S-SSW-SW</w:t>
      </w:r>
      <w:r>
        <w:rPr>
          <w:rFonts w:ascii="Times New Roman" w:eastAsia="宋体" w:hAnsi="Times New Roman" w:cs="Times New Roman"/>
          <w:color w:val="000000" w:themeColor="text1"/>
          <w:sz w:val="24"/>
        </w:rPr>
        <w:t>，合计频率为</w:t>
      </w:r>
      <w:r>
        <w:rPr>
          <w:rFonts w:ascii="Times New Roman" w:eastAsia="宋体" w:hAnsi="Times New Roman" w:cs="Times New Roman"/>
          <w:color w:val="000000" w:themeColor="text1"/>
          <w:sz w:val="24"/>
        </w:rPr>
        <w:t>44.61%</w:t>
      </w:r>
      <w:r>
        <w:rPr>
          <w:rFonts w:ascii="Times New Roman" w:eastAsia="宋体" w:hAnsi="Times New Roman" w:cs="Times New Roman"/>
          <w:color w:val="000000" w:themeColor="text1"/>
          <w:sz w:val="24"/>
        </w:rPr>
        <w:t>和</w:t>
      </w:r>
      <w:r>
        <w:rPr>
          <w:rFonts w:ascii="Times New Roman" w:eastAsia="宋体" w:hAnsi="Times New Roman" w:cs="Times New Roman"/>
          <w:color w:val="000000" w:themeColor="text1"/>
          <w:sz w:val="24"/>
        </w:rPr>
        <w:t>37.73%</w:t>
      </w:r>
      <w:r>
        <w:rPr>
          <w:rFonts w:ascii="Times New Roman" w:eastAsia="宋体" w:hAnsi="Times New Roman" w:cs="Times New Roman"/>
          <w:color w:val="000000" w:themeColor="text1"/>
          <w:sz w:val="24"/>
        </w:rPr>
        <w:t>。</w:t>
      </w:r>
    </w:p>
    <w:p w:rsidR="00C861DA" w:rsidRDefault="0044752E">
      <w:pPr>
        <w:pStyle w:val="32"/>
        <w:rPr>
          <w:rFonts w:ascii="Times New Roman" w:eastAsia="宋体"/>
          <w:bCs w:val="0"/>
          <w:color w:val="000000" w:themeColor="text1"/>
          <w:sz w:val="24"/>
          <w:szCs w:val="24"/>
        </w:rPr>
      </w:pPr>
      <w:bookmarkStart w:id="402" w:name="_Toc21570"/>
      <w:bookmarkStart w:id="403" w:name="_Toc16539"/>
      <w:bookmarkStart w:id="404" w:name="_Toc28097"/>
      <w:bookmarkStart w:id="405" w:name="_Toc6826841"/>
      <w:bookmarkStart w:id="406" w:name="_Toc15699"/>
      <w:bookmarkStart w:id="407" w:name="_Toc520255688"/>
      <w:bookmarkStart w:id="408" w:name="_Toc31816"/>
      <w:r>
        <w:rPr>
          <w:rFonts w:ascii="Times New Roman" w:eastAsia="宋体" w:hint="eastAsia"/>
          <w:bCs w:val="0"/>
          <w:color w:val="000000" w:themeColor="text1"/>
          <w:sz w:val="24"/>
          <w:szCs w:val="24"/>
        </w:rPr>
        <w:t>7.1.2</w:t>
      </w:r>
      <w:r>
        <w:rPr>
          <w:rFonts w:ascii="Times New Roman" w:eastAsia="宋体" w:hint="eastAsia"/>
          <w:bCs w:val="0"/>
          <w:color w:val="000000" w:themeColor="text1"/>
          <w:sz w:val="24"/>
          <w:szCs w:val="24"/>
        </w:rPr>
        <w:t>预测模式及参数</w:t>
      </w:r>
      <w:bookmarkEnd w:id="402"/>
      <w:bookmarkEnd w:id="403"/>
      <w:bookmarkEnd w:id="404"/>
      <w:bookmarkEnd w:id="405"/>
      <w:bookmarkEnd w:id="406"/>
      <w:bookmarkEnd w:id="407"/>
      <w:bookmarkEnd w:id="408"/>
    </w:p>
    <w:p w:rsidR="00C861DA" w:rsidRDefault="0044752E">
      <w:pPr>
        <w:widowControl/>
        <w:snapToGrid w:val="0"/>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本次评价大气预测采用</w:t>
      </w:r>
      <w:r>
        <w:rPr>
          <w:rFonts w:ascii="Times New Roman" w:eastAsia="宋体" w:hAnsi="Times New Roman" w:cs="Times New Roman"/>
          <w:color w:val="000000" w:themeColor="text1"/>
          <w:sz w:val="24"/>
          <w:szCs w:val="24"/>
        </w:rPr>
        <w:t>AERMOD</w:t>
      </w:r>
      <w:r>
        <w:rPr>
          <w:rFonts w:ascii="Times New Roman" w:eastAsia="宋体" w:hAnsi="Times New Roman" w:cs="Times New Roman"/>
          <w:color w:val="000000" w:themeColor="text1"/>
          <w:sz w:val="24"/>
          <w:szCs w:val="24"/>
        </w:rPr>
        <w:t>为核心模型开发的界面化</w:t>
      </w:r>
      <w:r>
        <w:rPr>
          <w:rFonts w:ascii="Times New Roman" w:eastAsia="宋体" w:hAnsi="Times New Roman" w:cs="Times New Roman"/>
          <w:color w:val="000000" w:themeColor="text1"/>
          <w:sz w:val="24"/>
          <w:szCs w:val="24"/>
        </w:rPr>
        <w:t>AERMODSYSTEM</w:t>
      </w:r>
      <w:r>
        <w:rPr>
          <w:rFonts w:ascii="Times New Roman" w:eastAsia="宋体" w:hAnsi="Times New Roman" w:cs="Times New Roman"/>
          <w:color w:val="000000" w:themeColor="text1"/>
          <w:sz w:val="24"/>
          <w:szCs w:val="24"/>
        </w:rPr>
        <w:t>大气模拟预测软件，软件将</w:t>
      </w:r>
      <w:r>
        <w:rPr>
          <w:rFonts w:ascii="Times New Roman" w:eastAsia="宋体" w:hAnsi="Times New Roman" w:cs="Times New Roman"/>
          <w:color w:val="000000" w:themeColor="text1"/>
          <w:sz w:val="24"/>
          <w:szCs w:val="24"/>
        </w:rPr>
        <w:t>AERMOD</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AERMET</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AERMAP</w:t>
      </w:r>
      <w:r>
        <w:rPr>
          <w:rFonts w:ascii="Times New Roman" w:eastAsia="宋体" w:hAnsi="Times New Roman" w:cs="Times New Roman"/>
          <w:color w:val="000000" w:themeColor="text1"/>
          <w:sz w:val="24"/>
          <w:szCs w:val="24"/>
        </w:rPr>
        <w:t>及建筑物下洗模型（</w:t>
      </w:r>
      <w:r>
        <w:rPr>
          <w:rFonts w:ascii="Times New Roman" w:eastAsia="宋体" w:hAnsi="Times New Roman" w:cs="Times New Roman"/>
          <w:color w:val="000000" w:themeColor="text1"/>
          <w:sz w:val="24"/>
          <w:szCs w:val="24"/>
        </w:rPr>
        <w:t>BPIPRIME</w:t>
      </w:r>
      <w:r>
        <w:rPr>
          <w:rFonts w:ascii="Times New Roman" w:eastAsia="宋体" w:hAnsi="Times New Roman" w:cs="Times New Roman"/>
          <w:color w:val="000000" w:themeColor="text1"/>
          <w:sz w:val="24"/>
          <w:szCs w:val="24"/>
        </w:rPr>
        <w:t>）有机的结合在一起。</w:t>
      </w:r>
    </w:p>
    <w:p w:rsidR="00C861DA" w:rsidRDefault="0044752E">
      <w:pPr>
        <w:pStyle w:val="001"/>
        <w:spacing w:before="0" w:line="360" w:lineRule="auto"/>
        <w:ind w:firstLine="56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网格点设置：以</w:t>
      </w:r>
      <w:r>
        <w:rPr>
          <w:rFonts w:ascii="Times New Roman" w:eastAsia="宋体" w:hAnsi="Times New Roman" w:cs="Times New Roman" w:hint="eastAsia"/>
          <w:color w:val="000000" w:themeColor="text1"/>
          <w:szCs w:val="24"/>
        </w:rPr>
        <w:t>造粒塔</w:t>
      </w:r>
      <w:r>
        <w:rPr>
          <w:rFonts w:ascii="Times New Roman" w:eastAsia="宋体" w:hAnsi="Times New Roman" w:cs="Times New Roman"/>
          <w:color w:val="000000" w:themeColor="text1"/>
          <w:szCs w:val="24"/>
        </w:rPr>
        <w:t>作为坐标系原点（</w:t>
      </w:r>
      <w:r>
        <w:rPr>
          <w:rFonts w:ascii="Times New Roman" w:eastAsia="宋体" w:hAnsi="Times New Roman" w:cs="Times New Roman"/>
          <w:color w:val="000000" w:themeColor="text1"/>
          <w:szCs w:val="24"/>
        </w:rPr>
        <w:t>0</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0</w:t>
      </w:r>
      <w:r>
        <w:rPr>
          <w:rFonts w:ascii="Times New Roman" w:eastAsia="宋体" w:hAnsi="Times New Roman" w:cs="Times New Roman"/>
          <w:color w:val="000000" w:themeColor="text1"/>
          <w:szCs w:val="24"/>
        </w:rPr>
        <w:t>），将评价区域设置为矩形网格，东西向为</w:t>
      </w:r>
      <w:r>
        <w:rPr>
          <w:rFonts w:ascii="Times New Roman" w:eastAsia="宋体" w:hAnsi="Times New Roman" w:cs="Times New Roman"/>
          <w:color w:val="000000" w:themeColor="text1"/>
          <w:szCs w:val="24"/>
        </w:rPr>
        <w:t>x</w:t>
      </w:r>
      <w:r>
        <w:rPr>
          <w:rFonts w:ascii="Times New Roman" w:eastAsia="宋体" w:hAnsi="Times New Roman" w:cs="Times New Roman"/>
          <w:color w:val="000000" w:themeColor="text1"/>
          <w:szCs w:val="24"/>
        </w:rPr>
        <w:t>轴，南北向为</w:t>
      </w:r>
      <w:r>
        <w:rPr>
          <w:rFonts w:ascii="Times New Roman" w:eastAsia="宋体" w:hAnsi="Times New Roman" w:cs="Times New Roman"/>
          <w:color w:val="000000" w:themeColor="text1"/>
          <w:szCs w:val="24"/>
        </w:rPr>
        <w:t>y</w:t>
      </w:r>
      <w:r>
        <w:rPr>
          <w:rFonts w:ascii="Times New Roman" w:eastAsia="宋体" w:hAnsi="Times New Roman" w:cs="Times New Roman"/>
          <w:color w:val="000000" w:themeColor="text1"/>
          <w:szCs w:val="24"/>
        </w:rPr>
        <w:t>轴，网格范围为</w:t>
      </w:r>
      <w:r>
        <w:rPr>
          <w:rFonts w:ascii="Times New Roman" w:eastAsia="宋体" w:hAnsi="Times New Roman" w:cs="Times New Roman"/>
          <w:color w:val="000000" w:themeColor="text1"/>
          <w:szCs w:val="24"/>
        </w:rPr>
        <w:t>X×Y=[-4500</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3500]×[-5300</w:t>
      </w: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3600]</w:t>
      </w:r>
      <w:r>
        <w:rPr>
          <w:rFonts w:ascii="Times New Roman" w:eastAsia="宋体" w:hAnsi="Times New Roman" w:cs="Times New Roman"/>
          <w:color w:val="000000" w:themeColor="text1"/>
          <w:szCs w:val="24"/>
        </w:rPr>
        <w:t>，步长为</w:t>
      </w:r>
      <w:r>
        <w:rPr>
          <w:rFonts w:ascii="Times New Roman" w:eastAsia="宋体" w:hAnsi="Times New Roman" w:cs="Times New Roman"/>
          <w:color w:val="000000" w:themeColor="text1"/>
          <w:szCs w:val="24"/>
        </w:rPr>
        <w:t>100m</w:t>
      </w:r>
      <w:r>
        <w:rPr>
          <w:rFonts w:ascii="Times New Roman" w:eastAsia="宋体" w:hAnsi="Times New Roman" w:cs="Times New Roman"/>
          <w:color w:val="000000" w:themeColor="text1"/>
          <w:szCs w:val="24"/>
        </w:rPr>
        <w:t>，共</w:t>
      </w:r>
      <w:r>
        <w:rPr>
          <w:rFonts w:ascii="Times New Roman" w:eastAsia="宋体" w:hAnsi="Times New Roman" w:cs="Times New Roman"/>
          <w:color w:val="000000" w:themeColor="text1"/>
          <w:szCs w:val="24"/>
        </w:rPr>
        <w:t>7380</w:t>
      </w:r>
      <w:r>
        <w:rPr>
          <w:rFonts w:ascii="Times New Roman" w:eastAsia="宋体" w:hAnsi="Times New Roman" w:cs="Times New Roman"/>
          <w:color w:val="000000" w:themeColor="text1"/>
          <w:szCs w:val="24"/>
        </w:rPr>
        <w:t>个网格点。根据各网格点浓度预测值比较，给出小时平均浓度、日平均浓度、年平均浓度在评价区域内的最大值。</w:t>
      </w:r>
    </w:p>
    <w:p w:rsidR="00C861DA" w:rsidRDefault="0044752E">
      <w:pPr>
        <w:pStyle w:val="001"/>
        <w:spacing w:before="0" w:line="360" w:lineRule="auto"/>
        <w:ind w:firstLine="56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气象资料采用</w:t>
      </w:r>
      <w:r>
        <w:rPr>
          <w:rFonts w:ascii="Times New Roman" w:eastAsia="宋体" w:hAnsi="Times New Roman" w:cs="Times New Roman" w:hint="eastAsia"/>
          <w:color w:val="000000" w:themeColor="text1"/>
          <w:szCs w:val="24"/>
        </w:rPr>
        <w:t>草铺</w:t>
      </w:r>
      <w:r>
        <w:rPr>
          <w:rFonts w:ascii="Times New Roman" w:eastAsia="宋体" w:hAnsi="Times New Roman" w:cs="Times New Roman"/>
          <w:color w:val="000000" w:themeColor="text1"/>
          <w:szCs w:val="24"/>
        </w:rPr>
        <w:t>气象站</w:t>
      </w:r>
      <w:r>
        <w:rPr>
          <w:rFonts w:ascii="Times New Roman" w:eastAsia="宋体" w:hAnsi="Times New Roman" w:cs="Times New Roman"/>
          <w:color w:val="000000" w:themeColor="text1"/>
          <w:szCs w:val="24"/>
        </w:rPr>
        <w:t>2017</w:t>
      </w:r>
      <w:r>
        <w:rPr>
          <w:rFonts w:ascii="Times New Roman" w:eastAsia="宋体" w:hAnsi="Times New Roman" w:cs="Times New Roman"/>
          <w:color w:val="000000" w:themeColor="text1"/>
          <w:szCs w:val="24"/>
        </w:rPr>
        <w:t>年全年每天</w:t>
      </w:r>
      <w:r>
        <w:rPr>
          <w:rFonts w:ascii="Times New Roman" w:eastAsia="宋体" w:hAnsi="Times New Roman" w:cs="Times New Roman"/>
          <w:color w:val="000000" w:themeColor="text1"/>
          <w:szCs w:val="24"/>
        </w:rPr>
        <w:t>24</w:t>
      </w:r>
      <w:r>
        <w:rPr>
          <w:rFonts w:ascii="Times New Roman" w:eastAsia="宋体" w:hAnsi="Times New Roman" w:cs="Times New Roman"/>
          <w:color w:val="000000" w:themeColor="text1"/>
          <w:szCs w:val="24"/>
        </w:rPr>
        <w:t>小时的逐日逐次地面气象数据，采用昆明市的高空气象数据。地形数据下载</w:t>
      </w:r>
      <w:r>
        <w:rPr>
          <w:rFonts w:ascii="Times New Roman" w:eastAsia="宋体" w:hAnsi="Times New Roman" w:cs="Times New Roman"/>
          <w:color w:val="000000" w:themeColor="text1"/>
          <w:szCs w:val="24"/>
        </w:rPr>
        <w:t>90m</w:t>
      </w:r>
      <w:r>
        <w:rPr>
          <w:rFonts w:ascii="Times New Roman" w:eastAsia="宋体" w:hAnsi="Times New Roman" w:cs="Times New Roman"/>
          <w:color w:val="000000" w:themeColor="text1"/>
          <w:szCs w:val="24"/>
        </w:rPr>
        <w:t>分辨率地形高程数据文件</w:t>
      </w:r>
      <w:r>
        <w:rPr>
          <w:rFonts w:ascii="Times New Roman" w:eastAsia="宋体" w:hAnsi="Times New Roman" w:cs="Times New Roman"/>
          <w:color w:val="000000" w:themeColor="text1"/>
          <w:szCs w:val="24"/>
        </w:rPr>
        <w:t>srtm_57_08.c</w:t>
      </w:r>
      <w:r>
        <w:rPr>
          <w:rFonts w:ascii="Times New Roman" w:eastAsia="宋体" w:hAnsi="Times New Roman" w:cs="Times New Roman"/>
          <w:color w:val="000000" w:themeColor="text1"/>
          <w:szCs w:val="24"/>
        </w:rPr>
        <w:t>，导出生成</w:t>
      </w:r>
      <w:r>
        <w:rPr>
          <w:rFonts w:ascii="Times New Roman" w:eastAsia="宋体" w:hAnsi="Times New Roman" w:cs="Times New Roman"/>
          <w:color w:val="000000" w:themeColor="text1"/>
          <w:szCs w:val="24"/>
        </w:rPr>
        <w:t>AERMAP</w:t>
      </w:r>
      <w:r>
        <w:rPr>
          <w:rFonts w:ascii="Times New Roman" w:eastAsia="宋体" w:hAnsi="Times New Roman" w:cs="Times New Roman"/>
          <w:color w:val="000000" w:themeColor="text1"/>
          <w:szCs w:val="24"/>
        </w:rPr>
        <w:t>所需的数字高程</w:t>
      </w:r>
      <w:r>
        <w:rPr>
          <w:rFonts w:ascii="Times New Roman" w:eastAsia="宋体" w:hAnsi="Times New Roman" w:cs="Times New Roman"/>
          <w:color w:val="000000" w:themeColor="text1"/>
          <w:szCs w:val="24"/>
        </w:rPr>
        <w:t>DEM</w:t>
      </w:r>
      <w:r>
        <w:rPr>
          <w:rFonts w:ascii="Times New Roman" w:eastAsia="宋体" w:hAnsi="Times New Roman" w:cs="Times New Roman"/>
          <w:color w:val="000000" w:themeColor="text1"/>
          <w:szCs w:val="24"/>
        </w:rPr>
        <w:t>文件。</w:t>
      </w:r>
    </w:p>
    <w:p w:rsidR="00C861DA" w:rsidRDefault="0044752E">
      <w:pPr>
        <w:pStyle w:val="001"/>
        <w:spacing w:before="0" w:line="360" w:lineRule="auto"/>
        <w:ind w:firstLineChars="200"/>
        <w:rPr>
          <w:rFonts w:ascii="Times New Roman" w:eastAsia="宋体" w:hAnsi="Times New Roman" w:cs="Times New Roman"/>
          <w:b/>
          <w:bCs/>
          <w:color w:val="000000" w:themeColor="text1"/>
          <w:szCs w:val="24"/>
        </w:rPr>
      </w:pPr>
      <w:r>
        <w:rPr>
          <w:rFonts w:ascii="Times New Roman" w:eastAsia="宋体" w:hAnsi="Times New Roman" w:cs="Times New Roman"/>
          <w:b/>
          <w:bCs/>
          <w:color w:val="000000" w:themeColor="text1"/>
          <w:szCs w:val="24"/>
        </w:rPr>
        <w:t>——</w:t>
      </w:r>
      <w:r>
        <w:rPr>
          <w:rFonts w:ascii="Times New Roman" w:eastAsia="宋体" w:hAnsi="Times New Roman" w:cs="Times New Roman"/>
          <w:b/>
          <w:bCs/>
          <w:color w:val="000000" w:themeColor="text1"/>
          <w:szCs w:val="24"/>
        </w:rPr>
        <w:t>对流边界层中浓度预</w:t>
      </w:r>
      <w:r>
        <w:rPr>
          <w:rFonts w:ascii="Times New Roman" w:eastAsia="宋体" w:hAnsi="Times New Roman" w:cs="Times New Roman"/>
          <w:b/>
          <w:bCs/>
          <w:color w:val="000000" w:themeColor="text1"/>
          <w:szCs w:val="24"/>
        </w:rPr>
        <w:t>测</w:t>
      </w:r>
    </w:p>
    <w:p w:rsidR="00C861DA" w:rsidRDefault="0044752E">
      <w:pPr>
        <w:pStyle w:val="001"/>
        <w:spacing w:before="0" w:line="360" w:lineRule="auto"/>
        <w:ind w:firstLineChars="200" w:firstLine="480"/>
        <w:rPr>
          <w:rFonts w:ascii="Times New Roman" w:eastAsia="宋体"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eastAsia="宋体" w:hAnsi="Times New Roman" w:cs="Times New Roman"/>
          <w:color w:val="000000" w:themeColor="text1"/>
          <w:szCs w:val="24"/>
        </w:rPr>
        <w:t>直接源浓度计算公式</w:t>
      </w:r>
    </w:p>
    <w:p w:rsidR="00C861DA" w:rsidRDefault="0044752E">
      <w:pPr>
        <w:spacing w:line="460" w:lineRule="exact"/>
        <w:ind w:firstLineChars="200" w:firstLine="420"/>
        <w:rPr>
          <w:rFonts w:ascii="Times New Roman" w:eastAsia="宋体"/>
          <w:b/>
          <w:bCs/>
          <w:color w:val="000000" w:themeColor="text1"/>
        </w:rPr>
      </w:pPr>
      <w:r>
        <w:rPr>
          <w:rFonts w:ascii="Times New Roman" w:eastAsia="宋体"/>
          <w:noProof/>
          <w:color w:val="000000" w:themeColor="text1"/>
        </w:rPr>
        <w:drawing>
          <wp:anchor distT="0" distB="0" distL="114300" distR="114300" simplePos="0" relativeHeight="251720704" behindDoc="0" locked="0" layoutInCell="1" allowOverlap="0">
            <wp:simplePos x="0" y="0"/>
            <wp:positionH relativeFrom="column">
              <wp:posOffset>342900</wp:posOffset>
            </wp:positionH>
            <wp:positionV relativeFrom="paragraph">
              <wp:posOffset>99060</wp:posOffset>
            </wp:positionV>
            <wp:extent cx="4343400" cy="561975"/>
            <wp:effectExtent l="0" t="0" r="0" b="0"/>
            <wp:wrapNone/>
            <wp:docPr id="8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343400" cy="561975"/>
                    </a:xfrm>
                    <a:prstGeom prst="rect">
                      <a:avLst/>
                    </a:prstGeom>
                    <a:noFill/>
                    <a:ln>
                      <a:noFill/>
                    </a:ln>
                  </pic:spPr>
                </pic:pic>
              </a:graphicData>
            </a:graphic>
          </wp:anchor>
        </w:drawing>
      </w:r>
    </w:p>
    <w:p w:rsidR="00C861DA" w:rsidRDefault="00C861DA">
      <w:pPr>
        <w:spacing w:line="460" w:lineRule="exact"/>
        <w:ind w:firstLineChars="200" w:firstLine="422"/>
        <w:rPr>
          <w:rFonts w:ascii="Times New Roman" w:eastAsia="宋体"/>
          <w:b/>
          <w:bCs/>
          <w:color w:val="000000" w:themeColor="text1"/>
        </w:rPr>
      </w:pPr>
    </w:p>
    <w:p w:rsidR="00C861DA" w:rsidRDefault="0044752E">
      <w:pPr>
        <w:pStyle w:val="001"/>
        <w:spacing w:before="0" w:line="500" w:lineRule="exact"/>
        <w:ind w:firstLine="560"/>
        <w:rPr>
          <w:rFonts w:ascii="Times New Roman"/>
          <w:bCs/>
          <w:color w:val="000000" w:themeColor="text1"/>
          <w:szCs w:val="24"/>
        </w:rPr>
      </w:pPr>
      <w:r>
        <w:rPr>
          <w:rFonts w:ascii="Times New Roman"/>
          <w:noProof/>
          <w:color w:val="000000" w:themeColor="text1"/>
        </w:rPr>
        <w:drawing>
          <wp:anchor distT="0" distB="0" distL="114300" distR="114300" simplePos="0" relativeHeight="251721728" behindDoc="0" locked="0" layoutInCell="1" allowOverlap="0">
            <wp:simplePos x="0" y="0"/>
            <wp:positionH relativeFrom="column">
              <wp:posOffset>1181100</wp:posOffset>
            </wp:positionH>
            <wp:positionV relativeFrom="paragraph">
              <wp:posOffset>210185</wp:posOffset>
            </wp:positionV>
            <wp:extent cx="1371600" cy="390525"/>
            <wp:effectExtent l="0" t="0" r="0" b="0"/>
            <wp:wrapNone/>
            <wp:docPr id="8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71600" cy="390525"/>
                    </a:xfrm>
                    <a:prstGeom prst="rect">
                      <a:avLst/>
                    </a:prstGeom>
                    <a:noFill/>
                    <a:ln>
                      <a:noFill/>
                    </a:ln>
                  </pic:spPr>
                </pic:pic>
              </a:graphicData>
            </a:graphic>
          </wp:anchor>
        </w:drawing>
      </w:r>
      <w:r>
        <w:rPr>
          <w:rFonts w:ascii="Times New Roman"/>
          <w:bCs/>
          <w:color w:val="000000" w:themeColor="text1"/>
          <w:szCs w:val="24"/>
        </w:rPr>
        <w:t>式中：</w:t>
      </w:r>
    </w:p>
    <w:p w:rsidR="00C861DA" w:rsidRDefault="00C861DA">
      <w:pPr>
        <w:pStyle w:val="001"/>
        <w:spacing w:before="0" w:line="500" w:lineRule="exact"/>
        <w:ind w:firstLine="560"/>
        <w:rPr>
          <w:rFonts w:ascii="Times New Roman"/>
          <w:bCs/>
          <w:color w:val="000000" w:themeColor="text1"/>
          <w:szCs w:val="24"/>
        </w:rPr>
      </w:pPr>
    </w:p>
    <w:p w:rsidR="00C861DA" w:rsidRDefault="0044752E">
      <w:pPr>
        <w:pStyle w:val="001"/>
        <w:spacing w:before="0" w:line="500" w:lineRule="exact"/>
        <w:ind w:firstLine="56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u</w:t>
      </w:r>
      <w:r>
        <w:rPr>
          <w:rFonts w:ascii="Times New Roman" w:eastAsia="宋体" w:hAnsi="Times New Roman" w:cs="Times New Roman"/>
          <w:bCs/>
          <w:color w:val="000000" w:themeColor="text1"/>
          <w:szCs w:val="24"/>
        </w:rPr>
        <w:t>为烟囱出口处风速；</w:t>
      </w:r>
      <w:r>
        <w:rPr>
          <w:rFonts w:ascii="Times New Roman" w:eastAsia="宋体" w:hAnsi="Times New Roman" w:cs="Times New Roman"/>
          <w:bCs/>
          <w:color w:val="000000" w:themeColor="text1"/>
          <w:szCs w:val="24"/>
        </w:rPr>
        <w:t>F</w:t>
      </w:r>
      <w:r>
        <w:rPr>
          <w:rFonts w:ascii="Times New Roman" w:eastAsia="宋体" w:hAnsi="Times New Roman" w:cs="Times New Roman"/>
          <w:bCs/>
          <w:color w:val="000000" w:themeColor="text1"/>
          <w:szCs w:val="24"/>
          <w:vertAlign w:val="subscript"/>
        </w:rPr>
        <w:t>y</w:t>
      </w:r>
      <w:r>
        <w:rPr>
          <w:rFonts w:ascii="Times New Roman" w:eastAsia="宋体" w:hAnsi="Times New Roman" w:cs="Times New Roman"/>
          <w:bCs/>
          <w:color w:val="000000" w:themeColor="text1"/>
          <w:szCs w:val="24"/>
        </w:rPr>
        <w:t>为考虑迂回的横向分布函数，</w:t>
      </w:r>
      <w:r>
        <w:rPr>
          <w:rFonts w:ascii="Times New Roman" w:eastAsia="宋体" w:hAnsi="Times New Roman" w:cs="Times New Roman"/>
          <w:bCs/>
          <w:color w:val="000000" w:themeColor="text1"/>
          <w:szCs w:val="24"/>
        </w:rPr>
        <w:t>h</w:t>
      </w:r>
      <w:r>
        <w:rPr>
          <w:rFonts w:ascii="Times New Roman" w:eastAsia="宋体" w:hAnsi="Times New Roman" w:cs="Times New Roman"/>
          <w:bCs/>
          <w:color w:val="000000" w:themeColor="text1"/>
          <w:szCs w:val="24"/>
          <w:vertAlign w:val="subscript"/>
        </w:rPr>
        <w:t>d</w:t>
      </w:r>
      <w:r>
        <w:rPr>
          <w:rFonts w:ascii="Times New Roman" w:eastAsia="宋体" w:hAnsi="Times New Roman" w:cs="Times New Roman"/>
          <w:bCs/>
          <w:color w:val="000000" w:themeColor="text1"/>
          <w:szCs w:val="24"/>
        </w:rPr>
        <w:t>是直接源的烟羽抬升高度，对于水平型烟羽</w:t>
      </w:r>
      <w:r>
        <w:rPr>
          <w:rFonts w:ascii="Times New Roman" w:eastAsia="宋体" w:hAnsi="Times New Roman" w:cs="Times New Roman"/>
          <w:bCs/>
          <w:color w:val="000000" w:themeColor="text1"/>
          <w:szCs w:val="24"/>
        </w:rPr>
        <w:t>z=z</w:t>
      </w:r>
      <w:r>
        <w:rPr>
          <w:rFonts w:ascii="Times New Roman" w:eastAsia="宋体" w:hAnsi="Times New Roman" w:cs="Times New Roman"/>
          <w:bCs/>
          <w:color w:val="000000" w:themeColor="text1"/>
          <w:szCs w:val="24"/>
          <w:vertAlign w:val="subscript"/>
        </w:rPr>
        <w:t>r</w:t>
      </w:r>
      <w:r>
        <w:rPr>
          <w:rFonts w:ascii="Times New Roman" w:eastAsia="宋体" w:hAnsi="Times New Roman" w:cs="Times New Roman"/>
          <w:bCs/>
          <w:color w:val="000000" w:themeColor="text1"/>
          <w:szCs w:val="24"/>
        </w:rPr>
        <w:t>，流过地形型烟羽</w:t>
      </w:r>
      <w:r>
        <w:rPr>
          <w:rFonts w:ascii="Times New Roman" w:eastAsia="宋体" w:hAnsi="Times New Roman" w:cs="Times New Roman"/>
          <w:bCs/>
          <w:color w:val="000000" w:themeColor="text1"/>
          <w:szCs w:val="24"/>
        </w:rPr>
        <w:t>z=zp</w:t>
      </w:r>
      <w:r>
        <w:rPr>
          <w:rFonts w:ascii="Times New Roman" w:eastAsia="宋体" w:hAnsi="Times New Roman" w:cs="Times New Roman"/>
          <w:bCs/>
          <w:color w:val="000000" w:themeColor="text1"/>
          <w:szCs w:val="24"/>
        </w:rPr>
        <w:t>；</w:t>
      </w:r>
      <w:r>
        <w:rPr>
          <w:rFonts w:ascii="Times New Roman" w:eastAsia="宋体" w:hAnsi="Times New Roman" w:cs="Times New Roman"/>
          <w:bCs/>
          <w:color w:val="000000" w:themeColor="text1"/>
          <w:szCs w:val="24"/>
        </w:rPr>
        <w:t>Ψ</w:t>
      </w:r>
      <w:r>
        <w:rPr>
          <w:rFonts w:ascii="Times New Roman" w:eastAsia="宋体" w:hAnsi="Times New Roman" w:cs="Times New Roman"/>
          <w:bCs/>
          <w:color w:val="000000" w:themeColor="text1"/>
          <w:szCs w:val="24"/>
          <w:vertAlign w:val="subscript"/>
        </w:rPr>
        <w:t>dj</w:t>
      </w:r>
      <w:r>
        <w:rPr>
          <w:rFonts w:ascii="Times New Roman" w:eastAsia="宋体" w:hAnsi="Times New Roman" w:cs="Times New Roman"/>
          <w:bCs/>
          <w:color w:val="000000" w:themeColor="text1"/>
          <w:szCs w:val="24"/>
        </w:rPr>
        <w:t>和</w:t>
      </w:r>
      <w:r>
        <w:rPr>
          <w:rFonts w:ascii="Times New Roman" w:eastAsia="宋体" w:hAnsi="Times New Roman" w:cs="Times New Roman"/>
          <w:bCs/>
          <w:color w:val="000000" w:themeColor="text1"/>
          <w:szCs w:val="24"/>
        </w:rPr>
        <w:t>σ</w:t>
      </w:r>
      <w:r>
        <w:rPr>
          <w:rFonts w:ascii="Times New Roman" w:eastAsia="宋体" w:hAnsi="Times New Roman" w:cs="Times New Roman"/>
          <w:bCs/>
          <w:color w:val="000000" w:themeColor="text1"/>
          <w:szCs w:val="24"/>
          <w:vertAlign w:val="subscript"/>
        </w:rPr>
        <w:t>zj</w:t>
      </w:r>
      <w:r>
        <w:rPr>
          <w:rFonts w:ascii="Times New Roman" w:eastAsia="宋体" w:hAnsi="Times New Roman" w:cs="Times New Roman"/>
          <w:bCs/>
          <w:color w:val="000000" w:themeColor="text1"/>
          <w:szCs w:val="24"/>
        </w:rPr>
        <w:t>为污染源有效源高和垂直扩散参数。</w:t>
      </w:r>
      <w:r>
        <w:rPr>
          <w:rFonts w:ascii="Times New Roman" w:eastAsia="宋体" w:hAnsi="Times New Roman" w:cs="Times New Roman"/>
          <w:bCs/>
          <w:color w:val="000000" w:themeColor="text1"/>
          <w:szCs w:val="24"/>
        </w:rPr>
        <w:t>λj</w:t>
      </w:r>
      <w:r>
        <w:rPr>
          <w:rFonts w:ascii="Times New Roman" w:eastAsia="宋体" w:hAnsi="Times New Roman" w:cs="Times New Roman"/>
          <w:bCs/>
          <w:color w:val="000000" w:themeColor="text1"/>
          <w:szCs w:val="24"/>
        </w:rPr>
        <w:t>为：</w:t>
      </w:r>
    </w:p>
    <w:p w:rsidR="00C861DA" w:rsidRDefault="0044752E">
      <w:pPr>
        <w:spacing w:line="460" w:lineRule="exact"/>
        <w:ind w:firstLineChars="200" w:firstLine="420"/>
        <w:rPr>
          <w:rFonts w:ascii="Times New Roman" w:eastAsia="宋体"/>
          <w:b/>
          <w:bCs/>
          <w:color w:val="000000" w:themeColor="text1"/>
        </w:rPr>
      </w:pPr>
      <w:r>
        <w:rPr>
          <w:rFonts w:ascii="Times New Roman" w:eastAsia="宋体"/>
          <w:noProof/>
          <w:color w:val="000000" w:themeColor="text1"/>
        </w:rPr>
        <w:drawing>
          <wp:anchor distT="0" distB="0" distL="114300" distR="114300" simplePos="0" relativeHeight="251722752" behindDoc="0" locked="0" layoutInCell="1" allowOverlap="0">
            <wp:simplePos x="0" y="0"/>
            <wp:positionH relativeFrom="column">
              <wp:posOffset>1695450</wp:posOffset>
            </wp:positionH>
            <wp:positionV relativeFrom="paragraph">
              <wp:posOffset>81280</wp:posOffset>
            </wp:positionV>
            <wp:extent cx="1600200" cy="795655"/>
            <wp:effectExtent l="0" t="0" r="0" b="0"/>
            <wp:wrapNone/>
            <wp:docPr id="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600200" cy="795655"/>
                    </a:xfrm>
                    <a:prstGeom prst="rect">
                      <a:avLst/>
                    </a:prstGeom>
                    <a:noFill/>
                    <a:ln>
                      <a:noFill/>
                    </a:ln>
                  </pic:spPr>
                </pic:pic>
              </a:graphicData>
            </a:graphic>
          </wp:anchor>
        </w:drawing>
      </w:r>
    </w:p>
    <w:p w:rsidR="00C861DA" w:rsidRDefault="00C861DA">
      <w:pPr>
        <w:spacing w:line="460" w:lineRule="exact"/>
        <w:ind w:firstLineChars="200" w:firstLine="422"/>
        <w:rPr>
          <w:rFonts w:ascii="Times New Roman" w:eastAsia="宋体"/>
          <w:b/>
          <w:bCs/>
          <w:color w:val="000000" w:themeColor="text1"/>
        </w:rPr>
      </w:pPr>
    </w:p>
    <w:p w:rsidR="00C861DA" w:rsidRDefault="00C861DA">
      <w:pPr>
        <w:spacing w:line="460" w:lineRule="exact"/>
        <w:ind w:firstLineChars="200" w:firstLine="422"/>
        <w:rPr>
          <w:rFonts w:ascii="Times New Roman" w:eastAsia="宋体"/>
          <w:b/>
          <w:bCs/>
          <w:color w:val="000000" w:themeColor="text1"/>
        </w:rPr>
      </w:pPr>
    </w:p>
    <w:p w:rsidR="00C861DA" w:rsidRDefault="0044752E">
      <w:pPr>
        <w:spacing w:line="460" w:lineRule="exact"/>
        <w:ind w:firstLineChars="200" w:firstLine="420"/>
        <w:rPr>
          <w:rFonts w:ascii="Times New Roman" w:eastAsia="宋体"/>
          <w:bCs/>
          <w:color w:val="000000" w:themeColor="text1"/>
          <w:szCs w:val="24"/>
        </w:rPr>
      </w:pPr>
      <w:r>
        <w:rPr>
          <w:rFonts w:ascii="Times New Roman" w:eastAsia="宋体"/>
          <w:bCs/>
          <w:color w:val="000000" w:themeColor="text1"/>
          <w:szCs w:val="24"/>
        </w:rPr>
        <w:t>式中：</w:t>
      </w:r>
    </w:p>
    <w:p w:rsidR="00C861DA" w:rsidRDefault="0044752E">
      <w:pPr>
        <w:spacing w:line="460" w:lineRule="exact"/>
        <w:ind w:firstLineChars="200" w:firstLine="420"/>
        <w:rPr>
          <w:rFonts w:ascii="Times New Roman" w:eastAsia="宋体"/>
          <w:color w:val="000000" w:themeColor="text1"/>
        </w:rPr>
      </w:pPr>
      <w:r>
        <w:rPr>
          <w:rFonts w:ascii="Times New Roman" w:eastAsia="宋体"/>
          <w:noProof/>
          <w:color w:val="000000" w:themeColor="text1"/>
        </w:rPr>
        <w:drawing>
          <wp:anchor distT="0" distB="0" distL="114300" distR="114300" simplePos="0" relativeHeight="251723776" behindDoc="0" locked="0" layoutInCell="1" allowOverlap="0">
            <wp:simplePos x="0" y="0"/>
            <wp:positionH relativeFrom="column">
              <wp:posOffset>1628775</wp:posOffset>
            </wp:positionH>
            <wp:positionV relativeFrom="paragraph">
              <wp:posOffset>41910</wp:posOffset>
            </wp:positionV>
            <wp:extent cx="1828800" cy="907415"/>
            <wp:effectExtent l="0" t="0" r="0" b="0"/>
            <wp:wrapNone/>
            <wp:docPr id="7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828800" cy="907415"/>
                    </a:xfrm>
                    <a:prstGeom prst="rect">
                      <a:avLst/>
                    </a:prstGeom>
                    <a:noFill/>
                    <a:ln>
                      <a:noFill/>
                    </a:ln>
                  </pic:spPr>
                </pic:pic>
              </a:graphicData>
            </a:graphic>
          </wp:anchor>
        </w:drawing>
      </w:r>
    </w:p>
    <w:p w:rsidR="00C861DA" w:rsidRDefault="00C861DA">
      <w:pPr>
        <w:spacing w:line="460" w:lineRule="exact"/>
        <w:ind w:firstLineChars="200" w:firstLine="420"/>
        <w:rPr>
          <w:rFonts w:ascii="Times New Roman" w:eastAsia="宋体"/>
          <w:color w:val="000000" w:themeColor="text1"/>
        </w:rPr>
      </w:pPr>
    </w:p>
    <w:p w:rsidR="00C861DA" w:rsidRDefault="00C861DA">
      <w:pPr>
        <w:spacing w:line="460" w:lineRule="exact"/>
        <w:ind w:firstLineChars="200" w:firstLine="420"/>
        <w:rPr>
          <w:rFonts w:ascii="Times New Roman" w:eastAsia="宋体"/>
          <w:color w:val="000000" w:themeColor="text1"/>
        </w:rPr>
      </w:pPr>
    </w:p>
    <w:p w:rsidR="00C861DA" w:rsidRDefault="0044752E">
      <w:pPr>
        <w:pStyle w:val="001"/>
        <w:spacing w:before="0" w:line="500" w:lineRule="exact"/>
        <w:ind w:firstLine="560"/>
        <w:rPr>
          <w:rFonts w:ascii="Times New Roman" w:eastAsia="宋体" w:hAnsi="Times New Roman" w:cs="Times New Roman"/>
          <w:b/>
          <w:bCs/>
          <w:color w:val="000000" w:themeColor="text1"/>
          <w:szCs w:val="24"/>
        </w:rPr>
      </w:pPr>
      <w:r>
        <w:rPr>
          <w:rFonts w:ascii="Times New Roman" w:eastAsia="宋体" w:hAnsi="Times New Roman" w:cs="Times New Roman"/>
          <w:bCs/>
          <w:color w:val="000000" w:themeColor="text1"/>
          <w:szCs w:val="24"/>
        </w:rPr>
        <w:t>σ</w:t>
      </w:r>
      <w:r>
        <w:rPr>
          <w:rFonts w:ascii="Times New Roman" w:eastAsia="宋体" w:hAnsi="Times New Roman" w:cs="Times New Roman"/>
          <w:bCs/>
          <w:color w:val="000000" w:themeColor="text1"/>
          <w:szCs w:val="24"/>
          <w:vertAlign w:val="subscript"/>
        </w:rPr>
        <w:t>WT</w:t>
      </w:r>
      <w:r>
        <w:rPr>
          <w:rFonts w:ascii="Times New Roman" w:eastAsia="宋体" w:hAnsi="Times New Roman" w:cs="Times New Roman"/>
          <w:bCs/>
          <w:color w:val="000000" w:themeColor="text1"/>
          <w:szCs w:val="24"/>
        </w:rPr>
        <w:t>为总有效垂直湍流，其他参数有下列各式给出：</w:t>
      </w:r>
    </w:p>
    <w:p w:rsidR="00C861DA" w:rsidRDefault="0044752E">
      <w:pPr>
        <w:spacing w:line="460" w:lineRule="exact"/>
        <w:ind w:firstLineChars="200" w:firstLine="420"/>
        <w:rPr>
          <w:rFonts w:ascii="Times New Roman" w:eastAsia="宋体" w:hAnsi="Times New Roman" w:cs="Times New Roman"/>
          <w:b/>
          <w:bCs/>
          <w:color w:val="000000" w:themeColor="text1"/>
        </w:rPr>
      </w:pPr>
      <w:r>
        <w:rPr>
          <w:rFonts w:ascii="Times New Roman" w:eastAsia="宋体" w:hAnsi="Times New Roman" w:cs="Times New Roman"/>
          <w:noProof/>
          <w:color w:val="000000" w:themeColor="text1"/>
        </w:rPr>
        <w:drawing>
          <wp:anchor distT="0" distB="0" distL="114300" distR="114300" simplePos="0" relativeHeight="251724800" behindDoc="0" locked="0" layoutInCell="1" allowOverlap="0">
            <wp:simplePos x="0" y="0"/>
            <wp:positionH relativeFrom="column">
              <wp:posOffset>1600200</wp:posOffset>
            </wp:positionH>
            <wp:positionV relativeFrom="paragraph">
              <wp:posOffset>19050</wp:posOffset>
            </wp:positionV>
            <wp:extent cx="2514600" cy="833120"/>
            <wp:effectExtent l="0" t="0" r="0" b="0"/>
            <wp:wrapNone/>
            <wp:docPr id="7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514600" cy="833120"/>
                    </a:xfrm>
                    <a:prstGeom prst="rect">
                      <a:avLst/>
                    </a:prstGeom>
                    <a:noFill/>
                    <a:ln>
                      <a:noFill/>
                    </a:ln>
                  </pic:spPr>
                </pic:pic>
              </a:graphicData>
            </a:graphic>
          </wp:anchor>
        </w:drawing>
      </w:r>
    </w:p>
    <w:p w:rsidR="00C861DA" w:rsidRDefault="00C861DA">
      <w:pPr>
        <w:spacing w:line="460" w:lineRule="exact"/>
        <w:ind w:firstLineChars="200" w:firstLine="422"/>
        <w:rPr>
          <w:rFonts w:ascii="Times New Roman" w:eastAsia="宋体" w:hAnsi="Times New Roman" w:cs="Times New Roman"/>
          <w:b/>
          <w:bCs/>
          <w:color w:val="000000" w:themeColor="text1"/>
        </w:rPr>
      </w:pPr>
    </w:p>
    <w:p w:rsidR="00C861DA" w:rsidRDefault="00C861DA">
      <w:pPr>
        <w:spacing w:line="460" w:lineRule="exact"/>
        <w:ind w:firstLineChars="200" w:firstLine="422"/>
        <w:rPr>
          <w:rFonts w:ascii="Times New Roman" w:eastAsia="宋体" w:hAnsi="Times New Roman" w:cs="Times New Roman"/>
          <w:b/>
          <w:bCs/>
          <w:color w:val="000000" w:themeColor="text1"/>
        </w:rPr>
      </w:pPr>
    </w:p>
    <w:p w:rsidR="00C861DA" w:rsidRDefault="0044752E">
      <w:pPr>
        <w:pStyle w:val="001"/>
        <w:spacing w:before="0" w:line="500" w:lineRule="exact"/>
        <w:ind w:firstLine="56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式中：</w:t>
      </w:r>
    </w:p>
    <w:p w:rsidR="00C861DA" w:rsidRDefault="0044752E">
      <w:pPr>
        <w:pStyle w:val="001"/>
        <w:spacing w:before="0" w:line="500" w:lineRule="exact"/>
        <w:ind w:firstLine="560"/>
        <w:rPr>
          <w:rFonts w:ascii="Times New Roman" w:eastAsia="宋体" w:hAnsi="Times New Roman" w:cs="Times New Roman"/>
          <w:b/>
          <w:bCs/>
          <w:color w:val="000000" w:themeColor="text1"/>
        </w:rPr>
      </w:pPr>
      <w:r>
        <w:rPr>
          <w:rFonts w:ascii="Times New Roman" w:eastAsia="宋体" w:hAnsi="Times New Roman" w:cs="Times New Roman"/>
          <w:noProof/>
          <w:color w:val="000000" w:themeColor="text1"/>
        </w:rPr>
        <w:drawing>
          <wp:anchor distT="0" distB="0" distL="114300" distR="114300" simplePos="0" relativeHeight="251725824" behindDoc="0" locked="0" layoutInCell="1" allowOverlap="0">
            <wp:simplePos x="0" y="0"/>
            <wp:positionH relativeFrom="column">
              <wp:posOffset>1485900</wp:posOffset>
            </wp:positionH>
            <wp:positionV relativeFrom="paragraph">
              <wp:posOffset>46355</wp:posOffset>
            </wp:positionV>
            <wp:extent cx="2057400" cy="1050925"/>
            <wp:effectExtent l="0" t="0" r="0" b="0"/>
            <wp:wrapNone/>
            <wp:docPr id="7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057400" cy="1050925"/>
                    </a:xfrm>
                    <a:prstGeom prst="rect">
                      <a:avLst/>
                    </a:prstGeom>
                    <a:noFill/>
                    <a:ln>
                      <a:noFill/>
                    </a:ln>
                  </pic:spPr>
                </pic:pic>
              </a:graphicData>
            </a:graphic>
          </wp:anchor>
        </w:drawing>
      </w:r>
    </w:p>
    <w:p w:rsidR="00C861DA" w:rsidRDefault="00C861DA">
      <w:pPr>
        <w:spacing w:line="460" w:lineRule="exact"/>
        <w:ind w:firstLineChars="200" w:firstLine="422"/>
        <w:rPr>
          <w:rFonts w:ascii="Times New Roman" w:eastAsia="宋体" w:hAnsi="Times New Roman" w:cs="Times New Roman"/>
          <w:b/>
          <w:bCs/>
          <w:color w:val="000000" w:themeColor="text1"/>
        </w:rPr>
      </w:pPr>
    </w:p>
    <w:p w:rsidR="00C861DA" w:rsidRDefault="00C861DA">
      <w:pPr>
        <w:spacing w:line="460" w:lineRule="exact"/>
        <w:ind w:firstLineChars="200" w:firstLine="422"/>
        <w:rPr>
          <w:rFonts w:ascii="Times New Roman" w:eastAsia="宋体" w:hAnsi="Times New Roman" w:cs="Times New Roman"/>
          <w:b/>
          <w:bCs/>
          <w:color w:val="000000" w:themeColor="text1"/>
        </w:rPr>
      </w:pPr>
    </w:p>
    <w:p w:rsidR="00C861DA" w:rsidRDefault="00C861DA">
      <w:pPr>
        <w:spacing w:line="460" w:lineRule="exact"/>
        <w:ind w:firstLineChars="200" w:firstLine="422"/>
        <w:rPr>
          <w:rFonts w:ascii="Times New Roman" w:eastAsia="宋体" w:hAnsi="Times New Roman" w:cs="Times New Roman"/>
          <w:b/>
          <w:bCs/>
          <w:color w:val="000000" w:themeColor="text1"/>
        </w:rPr>
      </w:pPr>
    </w:p>
    <w:p w:rsidR="00C861DA" w:rsidRDefault="0044752E">
      <w:pPr>
        <w:pStyle w:val="001"/>
        <w:spacing w:before="0" w:line="500" w:lineRule="exact"/>
        <w:ind w:firstLine="560"/>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szCs w:val="24"/>
        </w:rPr>
        <w:t>S</w:t>
      </w:r>
      <w:r>
        <w:rPr>
          <w:rFonts w:ascii="Times New Roman" w:eastAsia="宋体" w:hAnsi="Times New Roman" w:cs="Times New Roman"/>
          <w:bCs/>
          <w:color w:val="000000" w:themeColor="text1"/>
          <w:szCs w:val="24"/>
        </w:rPr>
        <w:t>为偏斜因子，</w:t>
      </w:r>
      <w:r>
        <w:rPr>
          <w:rFonts w:ascii="Times New Roman" w:eastAsia="宋体" w:hAnsi="Times New Roman" w:cs="Times New Roman"/>
          <w:bCs/>
          <w:color w:val="000000" w:themeColor="text1"/>
          <w:szCs w:val="24"/>
        </w:rPr>
        <w:t>R</w:t>
      </w:r>
      <w:r>
        <w:rPr>
          <w:rFonts w:ascii="Times New Roman" w:eastAsia="宋体" w:hAnsi="Times New Roman" w:cs="Times New Roman"/>
          <w:bCs/>
          <w:color w:val="000000" w:themeColor="text1"/>
          <w:szCs w:val="24"/>
        </w:rPr>
        <w:t>假定等于常值</w:t>
      </w:r>
      <w:r>
        <w:rPr>
          <w:rFonts w:ascii="Times New Roman" w:eastAsia="宋体" w:hAnsi="Times New Roman" w:cs="Times New Roman"/>
          <w:bCs/>
          <w:color w:val="000000" w:themeColor="text1"/>
          <w:szCs w:val="24"/>
        </w:rPr>
        <w:t>2</w:t>
      </w:r>
      <w:r>
        <w:rPr>
          <w:rFonts w:ascii="Times New Roman" w:eastAsia="宋体" w:hAnsi="Times New Roman" w:cs="Times New Roman"/>
          <w:bCs/>
          <w:color w:val="000000" w:themeColor="text1"/>
          <w:szCs w:val="24"/>
        </w:rPr>
        <w:t>。</w:t>
      </w:r>
    </w:p>
    <w:p w:rsidR="00C861DA" w:rsidRDefault="0044752E">
      <w:pPr>
        <w:pStyle w:val="001"/>
        <w:spacing w:before="0" w:line="500" w:lineRule="exact"/>
        <w:ind w:firstLine="560"/>
        <w:rPr>
          <w:rFonts w:ascii="Times New Roman" w:eastAsia="宋体"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eastAsia="宋体" w:hAnsi="Times New Roman" w:cs="Times New Roman"/>
          <w:color w:val="000000" w:themeColor="text1"/>
          <w:szCs w:val="24"/>
        </w:rPr>
        <w:t>间接源浓度计算公式</w:t>
      </w:r>
    </w:p>
    <w:p w:rsidR="00C861DA" w:rsidRDefault="0044752E">
      <w:pPr>
        <w:spacing w:line="460" w:lineRule="exact"/>
        <w:ind w:firstLineChars="200" w:firstLine="420"/>
        <w:rPr>
          <w:rFonts w:ascii="Times New Roman" w:eastAsia="宋体"/>
          <w:b/>
          <w:bCs/>
          <w:color w:val="000000" w:themeColor="text1"/>
        </w:rPr>
      </w:pPr>
      <w:r>
        <w:rPr>
          <w:rFonts w:ascii="Times New Roman" w:eastAsia="宋体"/>
          <w:noProof/>
          <w:color w:val="000000" w:themeColor="text1"/>
        </w:rPr>
        <w:drawing>
          <wp:anchor distT="0" distB="0" distL="114300" distR="114300" simplePos="0" relativeHeight="251726848" behindDoc="0" locked="0" layoutInCell="1" allowOverlap="0">
            <wp:simplePos x="0" y="0"/>
            <wp:positionH relativeFrom="column">
              <wp:posOffset>228600</wp:posOffset>
            </wp:positionH>
            <wp:positionV relativeFrom="paragraph">
              <wp:posOffset>101600</wp:posOffset>
            </wp:positionV>
            <wp:extent cx="3886200" cy="495300"/>
            <wp:effectExtent l="0" t="0" r="0" b="0"/>
            <wp:wrapNone/>
            <wp:docPr id="7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886200" cy="495300"/>
                    </a:xfrm>
                    <a:prstGeom prst="rect">
                      <a:avLst/>
                    </a:prstGeom>
                    <a:noFill/>
                    <a:ln>
                      <a:noFill/>
                    </a:ln>
                  </pic:spPr>
                </pic:pic>
              </a:graphicData>
            </a:graphic>
          </wp:anchor>
        </w:drawing>
      </w:r>
    </w:p>
    <w:p w:rsidR="00C861DA" w:rsidRDefault="00C861DA">
      <w:pPr>
        <w:spacing w:line="460" w:lineRule="exact"/>
        <w:ind w:firstLineChars="200" w:firstLine="422"/>
        <w:jc w:val="center"/>
        <w:rPr>
          <w:rFonts w:ascii="Times New Roman" w:eastAsia="宋体"/>
          <w:b/>
          <w:bCs/>
          <w:color w:val="000000" w:themeColor="text1"/>
        </w:rPr>
      </w:pPr>
    </w:p>
    <w:p w:rsidR="00C861DA" w:rsidRDefault="0044752E">
      <w:pPr>
        <w:pStyle w:val="001"/>
        <w:spacing w:before="0" w:line="500" w:lineRule="exact"/>
        <w:ind w:firstLine="560"/>
        <w:rPr>
          <w:rFonts w:ascii="Times New Roman"/>
          <w:color w:val="000000" w:themeColor="text1"/>
          <w:szCs w:val="24"/>
        </w:rPr>
      </w:pPr>
      <w:r>
        <w:rPr>
          <w:rFonts w:ascii="Times New Roman"/>
          <w:color w:val="000000" w:themeColor="text1"/>
          <w:szCs w:val="24"/>
        </w:rPr>
        <w:t>③</w:t>
      </w:r>
      <w:r>
        <w:rPr>
          <w:rFonts w:ascii="Times New Roman"/>
          <w:color w:val="000000" w:themeColor="text1"/>
          <w:szCs w:val="24"/>
        </w:rPr>
        <w:t>穿透源浓度计算公式</w:t>
      </w:r>
    </w:p>
    <w:p w:rsidR="00C861DA" w:rsidRDefault="0044752E">
      <w:pPr>
        <w:spacing w:line="460" w:lineRule="exact"/>
        <w:ind w:firstLineChars="200" w:firstLine="420"/>
        <w:rPr>
          <w:rFonts w:ascii="Times New Roman" w:eastAsia="宋体"/>
          <w:b/>
          <w:bCs/>
          <w:color w:val="000000" w:themeColor="text1"/>
        </w:rPr>
      </w:pPr>
      <w:r>
        <w:rPr>
          <w:rFonts w:ascii="Times New Roman" w:eastAsia="宋体"/>
          <w:noProof/>
          <w:color w:val="000000" w:themeColor="text1"/>
        </w:rPr>
        <w:drawing>
          <wp:anchor distT="0" distB="0" distL="114300" distR="114300" simplePos="0" relativeHeight="251728896" behindDoc="0" locked="0" layoutInCell="1" allowOverlap="1">
            <wp:simplePos x="0" y="0"/>
            <wp:positionH relativeFrom="column">
              <wp:posOffset>390525</wp:posOffset>
            </wp:positionH>
            <wp:positionV relativeFrom="paragraph">
              <wp:posOffset>82550</wp:posOffset>
            </wp:positionV>
            <wp:extent cx="4380230" cy="521970"/>
            <wp:effectExtent l="0" t="0" r="0" b="0"/>
            <wp:wrapNone/>
            <wp:docPr id="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380230" cy="521970"/>
                    </a:xfrm>
                    <a:prstGeom prst="rect">
                      <a:avLst/>
                    </a:prstGeom>
                    <a:noFill/>
                    <a:ln>
                      <a:noFill/>
                    </a:ln>
                  </pic:spPr>
                </pic:pic>
              </a:graphicData>
            </a:graphic>
          </wp:anchor>
        </w:drawing>
      </w:r>
      <w:r>
        <w:rPr>
          <w:rFonts w:ascii="Times New Roman" w:eastAsia="宋体"/>
          <w:noProof/>
          <w:color w:val="000000" w:themeColor="text1"/>
        </w:rPr>
        <w:drawing>
          <wp:anchor distT="0" distB="0" distL="114300" distR="114300" simplePos="0" relativeHeight="251727872" behindDoc="0" locked="0" layoutInCell="1" allowOverlap="1">
            <wp:simplePos x="0" y="0"/>
            <wp:positionH relativeFrom="column">
              <wp:posOffset>285750</wp:posOffset>
            </wp:positionH>
            <wp:positionV relativeFrom="paragraph">
              <wp:posOffset>121920</wp:posOffset>
            </wp:positionV>
            <wp:extent cx="3943350" cy="441960"/>
            <wp:effectExtent l="0" t="0" r="0" b="0"/>
            <wp:wrapNone/>
            <wp:docPr id="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943350" cy="441960"/>
                    </a:xfrm>
                    <a:prstGeom prst="rect">
                      <a:avLst/>
                    </a:prstGeom>
                    <a:noFill/>
                    <a:ln>
                      <a:noFill/>
                    </a:ln>
                  </pic:spPr>
                </pic:pic>
              </a:graphicData>
            </a:graphic>
          </wp:anchor>
        </w:drawing>
      </w:r>
    </w:p>
    <w:p w:rsidR="00C861DA" w:rsidRDefault="00C861DA">
      <w:pPr>
        <w:spacing w:line="460" w:lineRule="exact"/>
        <w:ind w:firstLineChars="200" w:firstLine="422"/>
        <w:rPr>
          <w:rFonts w:ascii="Times New Roman" w:eastAsia="宋体"/>
          <w:b/>
          <w:bCs/>
          <w:color w:val="000000" w:themeColor="text1"/>
        </w:rPr>
      </w:pPr>
    </w:p>
    <w:p w:rsidR="00C861DA" w:rsidRDefault="0044752E">
      <w:pPr>
        <w:pStyle w:val="001"/>
        <w:spacing w:before="0" w:line="360" w:lineRule="auto"/>
        <w:ind w:firstLine="560"/>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w:t>
      </w:r>
      <w:r>
        <w:rPr>
          <w:rFonts w:ascii="Times New Roman" w:eastAsia="宋体" w:hAnsi="Times New Roman" w:cs="Times New Roman"/>
          <w:color w:val="000000" w:themeColor="text1"/>
          <w:szCs w:val="24"/>
        </w:rPr>
        <w:t>稳定边界层中浓度预测</w:t>
      </w:r>
    </w:p>
    <w:p w:rsidR="00C861DA" w:rsidRDefault="0044752E">
      <w:pPr>
        <w:snapToGrid w:val="0"/>
        <w:spacing w:line="360" w:lineRule="auto"/>
        <w:outlineLvl w:val="3"/>
        <w:rPr>
          <w:rFonts w:ascii="Times New Roman" w:eastAsia="宋体"/>
          <w:b/>
          <w:bCs/>
          <w:color w:val="000000" w:themeColor="text1"/>
          <w:sz w:val="24"/>
          <w:szCs w:val="24"/>
        </w:rPr>
      </w:pPr>
      <w:r>
        <w:rPr>
          <w:rFonts w:ascii="Times New Roman" w:eastAsia="宋体" w:hint="eastAsia"/>
          <w:b/>
          <w:bCs/>
          <w:color w:val="000000" w:themeColor="text1"/>
          <w:sz w:val="24"/>
          <w:szCs w:val="24"/>
        </w:rPr>
        <w:t>预测方案</w:t>
      </w:r>
    </w:p>
    <w:p w:rsidR="00C861DA" w:rsidRDefault="0044752E">
      <w:pPr>
        <w:snapToGrid w:val="0"/>
        <w:spacing w:line="360" w:lineRule="auto"/>
        <w:ind w:firstLineChars="200" w:firstLine="482"/>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w:t>
      </w:r>
      <w:r>
        <w:rPr>
          <w:rFonts w:ascii="Times New Roman" w:eastAsia="宋体" w:hAnsi="Times New Roman" w:cs="Times New Roman"/>
          <w:b/>
          <w:bCs/>
          <w:color w:val="000000" w:themeColor="text1"/>
          <w:sz w:val="24"/>
          <w:szCs w:val="24"/>
        </w:rPr>
        <w:t>1</w:t>
      </w:r>
      <w:r>
        <w:rPr>
          <w:rFonts w:ascii="Times New Roman" w:eastAsia="宋体" w:hAnsi="Times New Roman" w:cs="Times New Roman"/>
          <w:b/>
          <w:bCs/>
          <w:color w:val="000000" w:themeColor="text1"/>
          <w:sz w:val="24"/>
          <w:szCs w:val="24"/>
        </w:rPr>
        <w:t>）预测工况及预测因子</w:t>
      </w:r>
    </w:p>
    <w:p w:rsidR="00C861DA" w:rsidRDefault="0044752E">
      <w:pPr>
        <w:snapToGrid w:val="0"/>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本项目排污状态包括正常排放和非正常排放两种状态。</w:t>
      </w:r>
    </w:p>
    <w:p w:rsidR="00C861DA" w:rsidRDefault="0044752E">
      <w:pPr>
        <w:snapToGrid w:val="0"/>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正常排放条件下预测因子：本项目正常排放条件下预测因子为氨。</w:t>
      </w:r>
    </w:p>
    <w:p w:rsidR="00C861DA" w:rsidRDefault="0044752E">
      <w:pPr>
        <w:snapToGrid w:val="0"/>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非正常排放条件下预测因子：氨。</w:t>
      </w:r>
    </w:p>
    <w:p w:rsidR="00C861DA" w:rsidRDefault="0044752E">
      <w:pPr>
        <w:pStyle w:val="afe"/>
        <w:pBdr>
          <w:bottom w:val="none" w:sz="0" w:space="1" w:color="auto"/>
        </w:pBdr>
        <w:spacing w:line="360" w:lineRule="auto"/>
        <w:ind w:firstLineChars="200" w:firstLine="480"/>
        <w:jc w:val="left"/>
        <w:rPr>
          <w:rFonts w:ascii="Times New Roman" w:eastAsia="宋体" w:hAnsi="Times New Roman" w:cs="Times New Roman"/>
          <w:iCs/>
          <w:color w:val="000000" w:themeColor="text1"/>
          <w:kern w:val="0"/>
          <w:sz w:val="24"/>
          <w:szCs w:val="24"/>
        </w:rPr>
      </w:pPr>
      <w:r>
        <w:rPr>
          <w:rFonts w:ascii="Times New Roman" w:eastAsia="宋体" w:hAnsi="Times New Roman" w:cs="Times New Roman"/>
          <w:iCs/>
          <w:color w:val="000000" w:themeColor="text1"/>
          <w:kern w:val="0"/>
          <w:sz w:val="24"/>
          <w:szCs w:val="24"/>
        </w:rPr>
        <w:t>厂界无组织排放预测因子：氨、颗粒物。</w:t>
      </w:r>
    </w:p>
    <w:p w:rsidR="00C861DA" w:rsidRDefault="0044752E">
      <w:pPr>
        <w:snapToGrid w:val="0"/>
        <w:spacing w:line="360" w:lineRule="auto"/>
        <w:ind w:firstLineChars="200" w:firstLine="482"/>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w:t>
      </w:r>
      <w:r>
        <w:rPr>
          <w:rFonts w:ascii="Times New Roman" w:eastAsia="宋体" w:hAnsi="Times New Roman" w:cs="Times New Roman"/>
          <w:b/>
          <w:bCs/>
          <w:iCs/>
          <w:color w:val="000000" w:themeColor="text1"/>
          <w:sz w:val="24"/>
          <w:szCs w:val="24"/>
        </w:rPr>
        <w:t>2</w:t>
      </w:r>
      <w:r>
        <w:rPr>
          <w:rFonts w:ascii="Times New Roman" w:eastAsia="宋体" w:hAnsi="Times New Roman" w:cs="Times New Roman"/>
          <w:b/>
          <w:bCs/>
          <w:iCs/>
          <w:color w:val="000000" w:themeColor="text1"/>
          <w:sz w:val="24"/>
          <w:szCs w:val="24"/>
        </w:rPr>
        <w:t>）预测范围</w:t>
      </w:r>
    </w:p>
    <w:p w:rsidR="00C861DA" w:rsidRDefault="0044752E">
      <w:pPr>
        <w:snapToGrid w:val="0"/>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以主要污染物排放口</w:t>
      </w:r>
      <w:r>
        <w:rPr>
          <w:rFonts w:ascii="Times New Roman" w:eastAsia="宋体" w:hAnsi="Times New Roman" w:cs="Times New Roman" w:hint="eastAsia"/>
          <w:iCs/>
          <w:color w:val="000000" w:themeColor="text1"/>
          <w:sz w:val="24"/>
          <w:szCs w:val="24"/>
        </w:rPr>
        <w:t>9</w:t>
      </w:r>
      <w:r>
        <w:rPr>
          <w:rFonts w:ascii="Times New Roman" w:eastAsia="宋体" w:hAnsi="Times New Roman" w:cs="Times New Roman"/>
          <w:iCs/>
          <w:color w:val="000000" w:themeColor="text1"/>
          <w:sz w:val="24"/>
          <w:szCs w:val="24"/>
        </w:rPr>
        <w:t>#</w:t>
      </w:r>
      <w:r>
        <w:rPr>
          <w:rFonts w:ascii="Times New Roman" w:eastAsia="宋体" w:hAnsi="Times New Roman" w:cs="Times New Roman" w:hint="eastAsia"/>
          <w:iCs/>
          <w:color w:val="000000" w:themeColor="text1"/>
          <w:sz w:val="24"/>
          <w:szCs w:val="24"/>
        </w:rPr>
        <w:t>排气筒</w:t>
      </w:r>
      <w:r>
        <w:rPr>
          <w:rFonts w:ascii="Times New Roman" w:eastAsia="宋体" w:hAnsi="Times New Roman" w:cs="Times New Roman"/>
          <w:iCs/>
          <w:color w:val="000000" w:themeColor="text1"/>
          <w:sz w:val="24"/>
          <w:szCs w:val="24"/>
        </w:rPr>
        <w:t>（造粒塔排气筒）作为坐标系原点（</w:t>
      </w:r>
      <w:r>
        <w:rPr>
          <w:rFonts w:ascii="Times New Roman" w:eastAsia="宋体" w:hAnsi="Times New Roman" w:cs="Times New Roman"/>
          <w:iCs/>
          <w:color w:val="000000" w:themeColor="text1"/>
          <w:sz w:val="24"/>
          <w:szCs w:val="24"/>
        </w:rPr>
        <w:t>0</w:t>
      </w:r>
      <w:r>
        <w:rPr>
          <w:rFonts w:ascii="Times New Roman" w:eastAsia="宋体" w:hAnsi="Times New Roman" w:cs="Times New Roman"/>
          <w:iCs/>
          <w:color w:val="000000" w:themeColor="text1"/>
          <w:sz w:val="24"/>
          <w:szCs w:val="24"/>
        </w:rPr>
        <w:t>，</w:t>
      </w:r>
      <w:r>
        <w:rPr>
          <w:rFonts w:ascii="Times New Roman" w:eastAsia="宋体" w:hAnsi="Times New Roman" w:cs="Times New Roman"/>
          <w:iCs/>
          <w:color w:val="000000" w:themeColor="text1"/>
          <w:sz w:val="24"/>
          <w:szCs w:val="24"/>
        </w:rPr>
        <w:t>0</w:t>
      </w:r>
      <w:r>
        <w:rPr>
          <w:rFonts w:ascii="Times New Roman" w:eastAsia="宋体" w:hAnsi="Times New Roman" w:cs="Times New Roman"/>
          <w:iCs/>
          <w:color w:val="000000" w:themeColor="text1"/>
          <w:sz w:val="24"/>
          <w:szCs w:val="24"/>
        </w:rPr>
        <w:t>），东西向为</w:t>
      </w:r>
      <w:r>
        <w:rPr>
          <w:rFonts w:ascii="Times New Roman" w:eastAsia="宋体" w:hAnsi="Times New Roman" w:cs="Times New Roman"/>
          <w:iCs/>
          <w:color w:val="000000" w:themeColor="text1"/>
          <w:sz w:val="24"/>
          <w:szCs w:val="24"/>
        </w:rPr>
        <w:t>X</w:t>
      </w:r>
      <w:r>
        <w:rPr>
          <w:rFonts w:ascii="Times New Roman" w:eastAsia="宋体" w:hAnsi="Times New Roman" w:cs="Times New Roman"/>
          <w:iCs/>
          <w:color w:val="000000" w:themeColor="text1"/>
          <w:sz w:val="24"/>
          <w:szCs w:val="24"/>
        </w:rPr>
        <w:t>轴，南北向为</w:t>
      </w:r>
      <w:r>
        <w:rPr>
          <w:rFonts w:ascii="Times New Roman" w:eastAsia="宋体" w:hAnsi="Times New Roman" w:cs="Times New Roman"/>
          <w:iCs/>
          <w:color w:val="000000" w:themeColor="text1"/>
          <w:sz w:val="24"/>
          <w:szCs w:val="24"/>
        </w:rPr>
        <w:t>Y</w:t>
      </w:r>
      <w:r>
        <w:rPr>
          <w:rFonts w:ascii="Times New Roman" w:eastAsia="宋体" w:hAnsi="Times New Roman" w:cs="Times New Roman"/>
          <w:iCs/>
          <w:color w:val="000000" w:themeColor="text1"/>
          <w:sz w:val="24"/>
          <w:szCs w:val="24"/>
        </w:rPr>
        <w:t>轴，自厂界外延边长为</w:t>
      </w:r>
      <w:r>
        <w:rPr>
          <w:rFonts w:ascii="Times New Roman" w:eastAsia="宋体" w:hAnsi="Times New Roman" w:cs="Times New Roman"/>
          <w:iCs/>
          <w:color w:val="000000" w:themeColor="text1"/>
          <w:sz w:val="24"/>
          <w:szCs w:val="24"/>
        </w:rPr>
        <w:t>6km</w:t>
      </w:r>
      <w:r>
        <w:rPr>
          <w:rFonts w:ascii="Times New Roman" w:eastAsia="宋体" w:hAnsi="Times New Roman" w:cs="Times New Roman"/>
          <w:iCs/>
          <w:color w:val="000000" w:themeColor="text1"/>
          <w:sz w:val="24"/>
          <w:szCs w:val="24"/>
        </w:rPr>
        <w:t>的正方形区域。</w:t>
      </w:r>
    </w:p>
    <w:p w:rsidR="00C861DA" w:rsidRDefault="0044752E">
      <w:pPr>
        <w:snapToGrid w:val="0"/>
        <w:spacing w:line="360" w:lineRule="auto"/>
        <w:ind w:firstLineChars="200" w:firstLine="482"/>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w:t>
      </w:r>
      <w:r>
        <w:rPr>
          <w:rFonts w:ascii="Times New Roman" w:eastAsia="宋体" w:hAnsi="Times New Roman" w:cs="Times New Roman"/>
          <w:b/>
          <w:bCs/>
          <w:iCs/>
          <w:color w:val="000000" w:themeColor="text1"/>
          <w:sz w:val="24"/>
          <w:szCs w:val="24"/>
        </w:rPr>
        <w:t>3</w:t>
      </w:r>
      <w:r>
        <w:rPr>
          <w:rFonts w:ascii="Times New Roman" w:eastAsia="宋体" w:hAnsi="Times New Roman" w:cs="Times New Roman"/>
          <w:b/>
          <w:bCs/>
          <w:iCs/>
          <w:color w:val="000000" w:themeColor="text1"/>
          <w:sz w:val="24"/>
          <w:szCs w:val="24"/>
        </w:rPr>
        <w:t>）预测点位设置</w:t>
      </w:r>
    </w:p>
    <w:p w:rsidR="00C861DA" w:rsidRDefault="0044752E">
      <w:pPr>
        <w:snapToGrid w:val="0"/>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在预测范围内计算点主要包括环境空气敏感点，预测范围内网格点和区域最大落地浓度点三类。</w:t>
      </w:r>
    </w:p>
    <w:p w:rsidR="00C861DA" w:rsidRDefault="0044752E">
      <w:pPr>
        <w:pStyle w:val="afffffffff0"/>
        <w:numPr>
          <w:ilvl w:val="0"/>
          <w:numId w:val="20"/>
        </w:numPr>
        <w:snapToGrid w:val="0"/>
        <w:spacing w:line="360" w:lineRule="auto"/>
        <w:ind w:firstLineChars="0"/>
        <w:rPr>
          <w:rFonts w:ascii="Times New Roman" w:eastAsia="宋体" w:hAnsi="Times New Roman" w:cs="Times New Roman"/>
          <w:iCs/>
          <w:color w:val="000000" w:themeColor="text1"/>
          <w:szCs w:val="24"/>
        </w:rPr>
      </w:pPr>
      <w:r>
        <w:rPr>
          <w:rFonts w:ascii="Times New Roman" w:eastAsia="宋体" w:hAnsi="Times New Roman" w:cs="Times New Roman"/>
          <w:iCs/>
          <w:color w:val="000000" w:themeColor="text1"/>
          <w:szCs w:val="24"/>
        </w:rPr>
        <w:t>环境空气敏感点</w:t>
      </w:r>
    </w:p>
    <w:p w:rsidR="00C861DA" w:rsidRDefault="0044752E">
      <w:pPr>
        <w:spacing w:line="360" w:lineRule="auto"/>
        <w:ind w:firstLineChars="200" w:firstLine="480"/>
        <w:jc w:val="both"/>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环境空气敏感点主要为评价范围内的居民集中区，共计</w:t>
      </w:r>
      <w:r>
        <w:rPr>
          <w:rFonts w:ascii="Times New Roman" w:eastAsia="宋体" w:hAnsi="Times New Roman" w:cs="Times New Roman"/>
          <w:iCs/>
          <w:color w:val="000000" w:themeColor="text1"/>
          <w:sz w:val="24"/>
          <w:szCs w:val="24"/>
        </w:rPr>
        <w:t>6</w:t>
      </w:r>
      <w:r>
        <w:rPr>
          <w:rFonts w:ascii="Times New Roman" w:eastAsia="宋体" w:hAnsi="Times New Roman" w:cs="Times New Roman"/>
          <w:iCs/>
          <w:color w:val="000000" w:themeColor="text1"/>
          <w:sz w:val="24"/>
          <w:szCs w:val="24"/>
        </w:rPr>
        <w:t>个，具体见表</w:t>
      </w:r>
      <w:r>
        <w:rPr>
          <w:rFonts w:ascii="Times New Roman" w:eastAsia="宋体" w:hAnsi="Times New Roman" w:cs="Times New Roman"/>
          <w:iCs/>
          <w:color w:val="000000" w:themeColor="text1"/>
          <w:sz w:val="24"/>
          <w:szCs w:val="24"/>
        </w:rPr>
        <w:t>7.1-13</w:t>
      </w:r>
      <w:r>
        <w:rPr>
          <w:rFonts w:ascii="Times New Roman" w:eastAsia="宋体" w:hAnsi="Times New Roman" w:cs="Times New Roman"/>
          <w:iCs/>
          <w:color w:val="000000" w:themeColor="text1"/>
          <w:sz w:val="24"/>
          <w:szCs w:val="24"/>
        </w:rPr>
        <w:t>。</w:t>
      </w:r>
    </w:p>
    <w:p w:rsidR="00C861DA" w:rsidRDefault="0044752E">
      <w:pPr>
        <w:spacing w:line="360" w:lineRule="auto"/>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 xml:space="preserve">7.1-13  </w:t>
      </w:r>
      <w:r>
        <w:rPr>
          <w:rFonts w:ascii="Times New Roman" w:eastAsia="宋体" w:hAnsi="Times New Roman" w:cs="Times New Roman"/>
          <w:b/>
          <w:color w:val="000000" w:themeColor="text1"/>
          <w:sz w:val="24"/>
          <w:szCs w:val="24"/>
        </w:rPr>
        <w:t>环境空气敏感点相对坐标</w:t>
      </w:r>
    </w:p>
    <w:tbl>
      <w:tblPr>
        <w:tblW w:w="8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1667"/>
        <w:gridCol w:w="2116"/>
        <w:gridCol w:w="1850"/>
        <w:gridCol w:w="1891"/>
      </w:tblGrid>
      <w:tr w:rsidR="00C861DA">
        <w:trPr>
          <w:trHeight w:val="369"/>
          <w:jc w:val="center"/>
        </w:trPr>
        <w:tc>
          <w:tcPr>
            <w:tcW w:w="1012" w:type="dxa"/>
            <w:vAlign w:val="center"/>
          </w:tcPr>
          <w:p w:rsidR="00C861DA" w:rsidRDefault="0044752E">
            <w:pPr>
              <w:widowControl/>
              <w:jc w:val="center"/>
              <w:textAlignment w:val="bottom"/>
              <w:rPr>
                <w:rFonts w:ascii="Times New Roman" w:eastAsia="宋体" w:hAnsi="Times New Roman" w:cs="Times New Roman"/>
                <w:b/>
                <w:bCs/>
                <w:color w:val="000000" w:themeColor="text1"/>
                <w:szCs w:val="24"/>
                <w:lang w:bidi="ar"/>
              </w:rPr>
            </w:pPr>
            <w:r>
              <w:rPr>
                <w:rFonts w:ascii="Times New Roman" w:eastAsia="宋体" w:hAnsi="Times New Roman" w:cs="Times New Roman"/>
                <w:b/>
                <w:bCs/>
                <w:color w:val="000000" w:themeColor="text1"/>
                <w:szCs w:val="24"/>
                <w:lang w:bidi="ar"/>
              </w:rPr>
              <w:t>序号</w:t>
            </w:r>
          </w:p>
        </w:tc>
        <w:tc>
          <w:tcPr>
            <w:tcW w:w="1667" w:type="dxa"/>
            <w:vAlign w:val="center"/>
          </w:tcPr>
          <w:p w:rsidR="00C861DA" w:rsidRDefault="0044752E">
            <w:pPr>
              <w:widowControl/>
              <w:jc w:val="center"/>
              <w:textAlignment w:val="bottom"/>
              <w:rPr>
                <w:rFonts w:ascii="Times New Roman" w:eastAsia="宋体" w:hAnsi="Times New Roman" w:cs="Times New Roman"/>
                <w:b/>
                <w:bCs/>
                <w:color w:val="000000" w:themeColor="text1"/>
                <w:szCs w:val="24"/>
                <w:lang w:bidi="ar"/>
              </w:rPr>
            </w:pPr>
            <w:r>
              <w:rPr>
                <w:rFonts w:ascii="Times New Roman" w:eastAsia="宋体" w:hAnsi="Times New Roman" w:cs="Times New Roman"/>
                <w:b/>
                <w:bCs/>
                <w:color w:val="000000" w:themeColor="text1"/>
                <w:szCs w:val="24"/>
                <w:lang w:bidi="ar"/>
              </w:rPr>
              <w:t>敏感点</w:t>
            </w:r>
          </w:p>
        </w:tc>
        <w:tc>
          <w:tcPr>
            <w:tcW w:w="2116" w:type="dxa"/>
            <w:vAlign w:val="center"/>
          </w:tcPr>
          <w:p w:rsidR="00C861DA" w:rsidRDefault="0044752E">
            <w:pPr>
              <w:widowControl/>
              <w:jc w:val="center"/>
              <w:textAlignment w:val="bottom"/>
              <w:rPr>
                <w:rFonts w:ascii="Times New Roman" w:eastAsia="宋体" w:hAnsi="Times New Roman" w:cs="Times New Roman"/>
                <w:b/>
                <w:bCs/>
                <w:color w:val="000000" w:themeColor="text1"/>
                <w:szCs w:val="24"/>
                <w:lang w:bidi="ar"/>
              </w:rPr>
            </w:pPr>
            <w:r>
              <w:rPr>
                <w:rFonts w:ascii="Times New Roman" w:eastAsia="宋体" w:hAnsi="Times New Roman" w:cs="Times New Roman"/>
                <w:b/>
                <w:bCs/>
                <w:color w:val="000000" w:themeColor="text1"/>
                <w:szCs w:val="24"/>
                <w:lang w:bidi="ar"/>
              </w:rPr>
              <w:t>X</w:t>
            </w:r>
            <w:r>
              <w:rPr>
                <w:rFonts w:ascii="Times New Roman" w:eastAsia="宋体" w:hAnsi="Times New Roman" w:cs="Times New Roman"/>
                <w:b/>
                <w:bCs/>
                <w:color w:val="000000" w:themeColor="text1"/>
                <w:szCs w:val="24"/>
                <w:lang w:bidi="ar"/>
              </w:rPr>
              <w:t>轴坐标（</w:t>
            </w:r>
            <w:r>
              <w:rPr>
                <w:rFonts w:ascii="Times New Roman" w:eastAsia="宋体" w:hAnsi="Times New Roman" w:cs="Times New Roman"/>
                <w:b/>
                <w:bCs/>
                <w:color w:val="000000" w:themeColor="text1"/>
                <w:szCs w:val="24"/>
                <w:lang w:bidi="ar"/>
              </w:rPr>
              <w:t>m</w:t>
            </w:r>
            <w:r>
              <w:rPr>
                <w:rFonts w:ascii="Times New Roman" w:eastAsia="宋体" w:hAnsi="Times New Roman" w:cs="Times New Roman"/>
                <w:b/>
                <w:bCs/>
                <w:color w:val="000000" w:themeColor="text1"/>
                <w:szCs w:val="24"/>
                <w:lang w:bidi="ar"/>
              </w:rPr>
              <w:t>）</w:t>
            </w:r>
          </w:p>
        </w:tc>
        <w:tc>
          <w:tcPr>
            <w:tcW w:w="1850" w:type="dxa"/>
            <w:vAlign w:val="center"/>
          </w:tcPr>
          <w:p w:rsidR="00C861DA" w:rsidRDefault="0044752E">
            <w:pPr>
              <w:widowControl/>
              <w:jc w:val="center"/>
              <w:textAlignment w:val="bottom"/>
              <w:rPr>
                <w:rFonts w:ascii="Times New Roman" w:eastAsia="宋体" w:hAnsi="Times New Roman" w:cs="Times New Roman"/>
                <w:b/>
                <w:bCs/>
                <w:color w:val="000000" w:themeColor="text1"/>
                <w:szCs w:val="24"/>
                <w:lang w:bidi="ar"/>
              </w:rPr>
            </w:pPr>
            <w:r>
              <w:rPr>
                <w:rFonts w:ascii="Times New Roman" w:eastAsia="宋体" w:hAnsi="Times New Roman" w:cs="Times New Roman"/>
                <w:b/>
                <w:bCs/>
                <w:color w:val="000000" w:themeColor="text1"/>
                <w:szCs w:val="24"/>
                <w:lang w:bidi="ar"/>
              </w:rPr>
              <w:t>Y</w:t>
            </w:r>
            <w:r>
              <w:rPr>
                <w:rFonts w:ascii="Times New Roman" w:eastAsia="宋体" w:hAnsi="Times New Roman" w:cs="Times New Roman"/>
                <w:b/>
                <w:bCs/>
                <w:color w:val="000000" w:themeColor="text1"/>
                <w:szCs w:val="24"/>
                <w:lang w:bidi="ar"/>
              </w:rPr>
              <w:t>轴坐标（</w:t>
            </w:r>
            <w:r>
              <w:rPr>
                <w:rFonts w:ascii="Times New Roman" w:eastAsia="宋体" w:hAnsi="Times New Roman" w:cs="Times New Roman"/>
                <w:b/>
                <w:bCs/>
                <w:color w:val="000000" w:themeColor="text1"/>
                <w:szCs w:val="24"/>
                <w:lang w:bidi="ar"/>
              </w:rPr>
              <w:t>m</w:t>
            </w:r>
            <w:r>
              <w:rPr>
                <w:rFonts w:ascii="Times New Roman" w:eastAsia="宋体" w:hAnsi="Times New Roman" w:cs="Times New Roman"/>
                <w:b/>
                <w:bCs/>
                <w:color w:val="000000" w:themeColor="text1"/>
                <w:szCs w:val="24"/>
                <w:lang w:bidi="ar"/>
              </w:rPr>
              <w:t>）</w:t>
            </w:r>
          </w:p>
        </w:tc>
        <w:tc>
          <w:tcPr>
            <w:tcW w:w="1891" w:type="dxa"/>
            <w:vAlign w:val="center"/>
          </w:tcPr>
          <w:p w:rsidR="00C861DA" w:rsidRDefault="0044752E">
            <w:pPr>
              <w:widowControl/>
              <w:jc w:val="center"/>
              <w:textAlignment w:val="bottom"/>
              <w:rPr>
                <w:rFonts w:ascii="Times New Roman" w:eastAsia="宋体" w:hAnsi="Times New Roman" w:cs="Times New Roman"/>
                <w:b/>
                <w:bCs/>
                <w:color w:val="000000" w:themeColor="text1"/>
                <w:szCs w:val="24"/>
                <w:lang w:bidi="ar"/>
              </w:rPr>
            </w:pPr>
            <w:r>
              <w:rPr>
                <w:rFonts w:ascii="Times New Roman" w:eastAsia="宋体" w:hAnsi="Times New Roman" w:cs="Times New Roman"/>
                <w:b/>
                <w:bCs/>
                <w:color w:val="000000" w:themeColor="text1"/>
                <w:szCs w:val="24"/>
                <w:lang w:bidi="ar"/>
              </w:rPr>
              <w:t>地形高度（</w:t>
            </w:r>
            <w:r>
              <w:rPr>
                <w:rFonts w:ascii="Times New Roman" w:eastAsia="宋体" w:hAnsi="Times New Roman" w:cs="Times New Roman"/>
                <w:b/>
                <w:bCs/>
                <w:color w:val="000000" w:themeColor="text1"/>
                <w:szCs w:val="24"/>
                <w:lang w:bidi="ar"/>
              </w:rPr>
              <w:t>m</w:t>
            </w:r>
            <w:r>
              <w:rPr>
                <w:rFonts w:ascii="Times New Roman" w:eastAsia="宋体" w:hAnsi="Times New Roman" w:cs="Times New Roman"/>
                <w:b/>
                <w:bCs/>
                <w:color w:val="000000" w:themeColor="text1"/>
                <w:szCs w:val="24"/>
                <w:lang w:bidi="ar"/>
              </w:rPr>
              <w:t>）</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szCs w:val="24"/>
                <w:lang w:bidi="ar"/>
              </w:rPr>
            </w:pPr>
            <w:r>
              <w:rPr>
                <w:rFonts w:ascii="Times New Roman" w:eastAsia="宋体" w:hAnsi="Times New Roman" w:cs="Times New Roman"/>
                <w:color w:val="000000" w:themeColor="text1"/>
                <w:lang w:bidi="ar"/>
              </w:rPr>
              <w:t>1</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下禄脿</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-1744</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-859</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1850.4</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szCs w:val="24"/>
                <w:lang w:bidi="ar"/>
              </w:rPr>
            </w:pPr>
            <w:r>
              <w:rPr>
                <w:rFonts w:ascii="Times New Roman" w:eastAsia="宋体" w:hAnsi="Times New Roman" w:cs="Times New Roman"/>
                <w:color w:val="000000" w:themeColor="text1"/>
                <w:lang w:bidi="ar"/>
              </w:rPr>
              <w:t>2</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安丰营</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-1465</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-1483</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1854.89</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szCs w:val="24"/>
                <w:lang w:bidi="ar"/>
              </w:rPr>
            </w:pPr>
            <w:r>
              <w:rPr>
                <w:rFonts w:ascii="Times New Roman" w:eastAsia="宋体" w:hAnsi="Times New Roman" w:cs="Times New Roman"/>
                <w:color w:val="000000" w:themeColor="text1"/>
                <w:lang w:bidi="ar"/>
              </w:rPr>
              <w:t>3</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大哨</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845</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-1650</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1930.66</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szCs w:val="24"/>
                <w:lang w:bidi="ar"/>
              </w:rPr>
            </w:pPr>
            <w:r>
              <w:rPr>
                <w:rFonts w:ascii="Times New Roman" w:eastAsia="宋体" w:hAnsi="Times New Roman" w:cs="Times New Roman"/>
                <w:color w:val="000000" w:themeColor="text1"/>
                <w:lang w:bidi="ar"/>
              </w:rPr>
              <w:t>4</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小河边</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-1886</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782</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1844.54</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szCs w:val="24"/>
                <w:lang w:bidi="ar"/>
              </w:rPr>
            </w:pPr>
            <w:r>
              <w:rPr>
                <w:rFonts w:ascii="Times New Roman" w:eastAsia="宋体" w:hAnsi="Times New Roman" w:cs="Times New Roman"/>
                <w:color w:val="000000" w:themeColor="text1"/>
                <w:lang w:bidi="ar"/>
              </w:rPr>
              <w:t>5</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水井湾</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3212</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-2261</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1899.12</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szCs w:val="24"/>
                <w:lang w:bidi="ar"/>
              </w:rPr>
            </w:pPr>
            <w:r>
              <w:rPr>
                <w:rFonts w:ascii="Times New Roman" w:eastAsia="宋体" w:hAnsi="Times New Roman" w:cs="Times New Roman"/>
                <w:color w:val="000000" w:themeColor="text1"/>
                <w:lang w:bidi="ar"/>
              </w:rPr>
              <w:t>6</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松坪</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4937</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-765</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1836.41</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7</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白塔村</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4292</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738</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1815.03</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8</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罗鸣</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4086</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1672</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1828.24</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9</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多依树</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-1351</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1593</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1830.3</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10</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大李白</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3105</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2805</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1844.98</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11</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青龙镇</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2361</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4102</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1821.76</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12</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河上庄</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683</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4007</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1809.02</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13</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下古屯</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6053</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-3330</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1891.07</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14</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禄脿村</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-4319</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-1321</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1840.16</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15</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禄脿镇</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-4288</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-2171</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1869.49</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16</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大海湾</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-5787</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-2433</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1891.06</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17</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白土村</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5357</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-5416</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1955.43</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18</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柳树村</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7027</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-4891</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1889.52</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19</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大箐村</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1323</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-5927</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1872.48</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20</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凤麟村</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5589</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-2619</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1870.07</w:t>
            </w:r>
          </w:p>
        </w:tc>
      </w:tr>
      <w:tr w:rsidR="00C861DA">
        <w:trPr>
          <w:trHeight w:val="369"/>
          <w:jc w:val="center"/>
        </w:trPr>
        <w:tc>
          <w:tcPr>
            <w:tcW w:w="101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21</w:t>
            </w:r>
          </w:p>
        </w:tc>
        <w:tc>
          <w:tcPr>
            <w:tcW w:w="1667"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上古屯</w:t>
            </w:r>
          </w:p>
        </w:tc>
        <w:tc>
          <w:tcPr>
            <w:tcW w:w="2116"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6424</w:t>
            </w:r>
          </w:p>
        </w:tc>
        <w:tc>
          <w:tcPr>
            <w:tcW w:w="1850"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-2928</w:t>
            </w:r>
          </w:p>
        </w:tc>
        <w:tc>
          <w:tcPr>
            <w:tcW w:w="189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1874.63</w:t>
            </w:r>
          </w:p>
        </w:tc>
      </w:tr>
    </w:tbl>
    <w:p w:rsidR="00C861DA" w:rsidRDefault="0044752E">
      <w:pPr>
        <w:snapToGrid w:val="0"/>
        <w:spacing w:beforeLines="100" w:before="312" w:line="360" w:lineRule="auto"/>
        <w:ind w:firstLineChars="200" w:firstLine="480"/>
        <w:rPr>
          <w:rFonts w:ascii="Times New Roman" w:eastAsia="宋体" w:hAnsi="Times New Roman" w:cs="Times New Roman"/>
          <w:iCs/>
          <w:color w:val="000000" w:themeColor="text1"/>
          <w:sz w:val="24"/>
          <w:szCs w:val="24"/>
        </w:rPr>
      </w:pPr>
      <w:r>
        <w:rPr>
          <w:rFonts w:ascii="宋体" w:eastAsia="宋体" w:hAnsi="宋体" w:cs="宋体" w:hint="eastAsia"/>
          <w:iCs/>
          <w:color w:val="000000" w:themeColor="text1"/>
          <w:sz w:val="24"/>
          <w:szCs w:val="24"/>
        </w:rPr>
        <w:t>②</w:t>
      </w:r>
      <w:r>
        <w:rPr>
          <w:rFonts w:ascii="Times New Roman" w:eastAsia="宋体" w:hAnsi="Times New Roman" w:cs="Times New Roman"/>
          <w:iCs/>
          <w:color w:val="000000" w:themeColor="text1"/>
          <w:sz w:val="24"/>
          <w:szCs w:val="24"/>
        </w:rPr>
        <w:t>预测范围内的网格点</w:t>
      </w:r>
    </w:p>
    <w:p w:rsidR="00C861DA" w:rsidRDefault="0044752E">
      <w:pPr>
        <w:snapToGrid w:val="0"/>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hint="eastAsia"/>
          <w:iCs/>
          <w:color w:val="000000" w:themeColor="text1"/>
          <w:sz w:val="24"/>
          <w:szCs w:val="24"/>
        </w:rPr>
        <w:t>本项目评价范围为以项目区为中心，边长</w:t>
      </w:r>
      <w:r>
        <w:rPr>
          <w:rFonts w:ascii="Times New Roman" w:eastAsia="宋体" w:hAnsi="Times New Roman" w:cs="Times New Roman" w:hint="eastAsia"/>
          <w:iCs/>
          <w:color w:val="000000" w:themeColor="text1"/>
          <w:sz w:val="24"/>
          <w:szCs w:val="24"/>
        </w:rPr>
        <w:t>5</w:t>
      </w:r>
      <w:r>
        <w:rPr>
          <w:rFonts w:ascii="Times New Roman" w:eastAsia="宋体" w:hAnsi="Times New Roman" w:cs="Times New Roman"/>
          <w:iCs/>
          <w:color w:val="000000" w:themeColor="text1"/>
          <w:sz w:val="24"/>
          <w:szCs w:val="24"/>
        </w:rPr>
        <w:t>km</w:t>
      </w:r>
      <w:r>
        <w:rPr>
          <w:rFonts w:ascii="Times New Roman" w:eastAsia="宋体" w:hAnsi="Times New Roman" w:cs="Times New Roman" w:hint="eastAsia"/>
          <w:iCs/>
          <w:color w:val="000000" w:themeColor="text1"/>
          <w:sz w:val="24"/>
          <w:szCs w:val="24"/>
        </w:rPr>
        <w:t>的矩形，预测范围由评价范围外扩</w:t>
      </w:r>
      <w:r>
        <w:rPr>
          <w:rFonts w:ascii="Times New Roman" w:eastAsia="宋体" w:hAnsi="Times New Roman" w:cs="Times New Roman" w:hint="eastAsia"/>
          <w:iCs/>
          <w:color w:val="000000" w:themeColor="text1"/>
          <w:sz w:val="24"/>
          <w:szCs w:val="24"/>
        </w:rPr>
        <w:t>3</w:t>
      </w:r>
      <w:r>
        <w:rPr>
          <w:rFonts w:ascii="Times New Roman" w:eastAsia="宋体" w:hAnsi="Times New Roman" w:cs="Times New Roman"/>
          <w:iCs/>
          <w:color w:val="000000" w:themeColor="text1"/>
          <w:sz w:val="24"/>
          <w:szCs w:val="24"/>
        </w:rPr>
        <w:t>km</w:t>
      </w:r>
      <w:r>
        <w:rPr>
          <w:rFonts w:ascii="Times New Roman" w:eastAsia="宋体" w:hAnsi="Times New Roman" w:cs="Times New Roman" w:hint="eastAsia"/>
          <w:iCs/>
          <w:color w:val="000000" w:themeColor="text1"/>
          <w:sz w:val="24"/>
          <w:szCs w:val="24"/>
        </w:rPr>
        <w:t>，即以项目区为中心，边长为</w:t>
      </w:r>
      <w:r>
        <w:rPr>
          <w:rFonts w:ascii="Times New Roman" w:eastAsia="宋体" w:hAnsi="Times New Roman" w:cs="Times New Roman" w:hint="eastAsia"/>
          <w:iCs/>
          <w:color w:val="000000" w:themeColor="text1"/>
          <w:sz w:val="24"/>
          <w:szCs w:val="24"/>
        </w:rPr>
        <w:t>8</w:t>
      </w:r>
      <w:r>
        <w:rPr>
          <w:rFonts w:ascii="Times New Roman" w:eastAsia="宋体" w:hAnsi="Times New Roman" w:cs="Times New Roman"/>
          <w:iCs/>
          <w:color w:val="000000" w:themeColor="text1"/>
          <w:sz w:val="24"/>
          <w:szCs w:val="24"/>
        </w:rPr>
        <w:t>km</w:t>
      </w:r>
      <w:r>
        <w:rPr>
          <w:rFonts w:ascii="Times New Roman" w:eastAsia="宋体" w:hAnsi="Times New Roman" w:cs="Times New Roman" w:hint="eastAsia"/>
          <w:iCs/>
          <w:color w:val="000000" w:themeColor="text1"/>
          <w:sz w:val="24"/>
          <w:szCs w:val="24"/>
        </w:rPr>
        <w:t>的矩形范围，</w:t>
      </w:r>
      <w:r>
        <w:rPr>
          <w:rFonts w:ascii="Times New Roman" w:eastAsia="宋体" w:hAnsi="Times New Roman" w:cs="Times New Roman"/>
          <w:iCs/>
          <w:color w:val="000000" w:themeColor="text1"/>
          <w:sz w:val="24"/>
          <w:szCs w:val="24"/>
        </w:rPr>
        <w:t>评价范围内预测网格点</w:t>
      </w:r>
      <w:r>
        <w:rPr>
          <w:rFonts w:ascii="Times New Roman" w:eastAsia="宋体" w:hAnsi="Times New Roman" w:cs="Times New Roman" w:hint="eastAsia"/>
          <w:iCs/>
          <w:color w:val="000000" w:themeColor="text1"/>
          <w:sz w:val="24"/>
          <w:szCs w:val="24"/>
        </w:rPr>
        <w:t>远疏近密，以</w:t>
      </w:r>
      <w:r>
        <w:rPr>
          <w:rFonts w:ascii="Times New Roman" w:eastAsia="宋体" w:hAnsi="Times New Roman" w:cs="Times New Roman" w:hint="eastAsia"/>
          <w:iCs/>
          <w:color w:val="000000" w:themeColor="text1"/>
          <w:sz w:val="24"/>
          <w:szCs w:val="24"/>
        </w:rPr>
        <w:t>9</w:t>
      </w:r>
      <w:r>
        <w:rPr>
          <w:rFonts w:ascii="Times New Roman" w:eastAsia="宋体" w:hAnsi="Times New Roman" w:cs="Times New Roman"/>
          <w:iCs/>
          <w:color w:val="000000" w:themeColor="text1"/>
          <w:sz w:val="24"/>
          <w:szCs w:val="24"/>
        </w:rPr>
        <w:t>#</w:t>
      </w:r>
      <w:r>
        <w:rPr>
          <w:rFonts w:ascii="Times New Roman" w:eastAsia="宋体" w:hAnsi="Times New Roman" w:cs="Times New Roman" w:hint="eastAsia"/>
          <w:iCs/>
          <w:color w:val="000000" w:themeColor="text1"/>
          <w:sz w:val="24"/>
          <w:szCs w:val="24"/>
        </w:rPr>
        <w:t>排气口为坐标原点（</w:t>
      </w:r>
      <w:r>
        <w:rPr>
          <w:rFonts w:ascii="Times New Roman" w:eastAsia="宋体" w:hAnsi="Times New Roman" w:cs="Times New Roman" w:hint="eastAsia"/>
          <w:iCs/>
          <w:color w:val="000000" w:themeColor="text1"/>
          <w:sz w:val="24"/>
          <w:szCs w:val="24"/>
        </w:rPr>
        <w:t>0</w:t>
      </w:r>
      <w:r>
        <w:rPr>
          <w:rFonts w:ascii="Times New Roman" w:eastAsia="宋体" w:hAnsi="Times New Roman" w:cs="Times New Roman" w:hint="eastAsia"/>
          <w:iCs/>
          <w:color w:val="000000" w:themeColor="text1"/>
          <w:sz w:val="24"/>
          <w:szCs w:val="24"/>
        </w:rPr>
        <w:t>，</w:t>
      </w:r>
      <w:r>
        <w:rPr>
          <w:rFonts w:ascii="Times New Roman" w:eastAsia="宋体" w:hAnsi="Times New Roman" w:cs="Times New Roman"/>
          <w:iCs/>
          <w:color w:val="000000" w:themeColor="text1"/>
          <w:sz w:val="24"/>
          <w:szCs w:val="24"/>
        </w:rPr>
        <w:t>0</w:t>
      </w:r>
      <w:r>
        <w:rPr>
          <w:rFonts w:ascii="Times New Roman" w:eastAsia="宋体" w:hAnsi="Times New Roman" w:cs="Times New Roman" w:hint="eastAsia"/>
          <w:iCs/>
          <w:color w:val="000000" w:themeColor="text1"/>
          <w:sz w:val="24"/>
          <w:szCs w:val="24"/>
        </w:rPr>
        <w:t>），</w:t>
      </w:r>
      <w:r>
        <w:rPr>
          <w:rFonts w:ascii="Times New Roman" w:eastAsia="宋体" w:hAnsi="Times New Roman" w:cs="Times New Roman" w:hint="eastAsia"/>
          <w:iCs/>
          <w:color w:val="000000" w:themeColor="text1"/>
          <w:sz w:val="24"/>
          <w:szCs w:val="24"/>
        </w:rPr>
        <w:t>-</w:t>
      </w:r>
      <w:r>
        <w:rPr>
          <w:rFonts w:ascii="Times New Roman" w:eastAsia="宋体" w:hAnsi="Times New Roman" w:cs="Times New Roman"/>
          <w:iCs/>
          <w:color w:val="000000" w:themeColor="text1"/>
          <w:sz w:val="24"/>
          <w:szCs w:val="24"/>
        </w:rPr>
        <w:t>8000~-3000</w:t>
      </w:r>
      <w:r>
        <w:rPr>
          <w:rFonts w:ascii="Times New Roman" w:eastAsia="宋体" w:hAnsi="Times New Roman" w:cs="Times New Roman" w:hint="eastAsia"/>
          <w:iCs/>
          <w:color w:val="000000" w:themeColor="text1"/>
          <w:sz w:val="24"/>
          <w:szCs w:val="24"/>
        </w:rPr>
        <w:t>、</w:t>
      </w:r>
      <w:r>
        <w:rPr>
          <w:rFonts w:ascii="Times New Roman" w:eastAsia="宋体" w:hAnsi="Times New Roman" w:cs="Times New Roman"/>
          <w:iCs/>
          <w:color w:val="000000" w:themeColor="text1"/>
          <w:sz w:val="24"/>
          <w:szCs w:val="24"/>
        </w:rPr>
        <w:t>3000~8000</w:t>
      </w:r>
      <w:r>
        <w:rPr>
          <w:rFonts w:ascii="Times New Roman" w:eastAsia="宋体" w:hAnsi="Times New Roman" w:cs="Times New Roman"/>
          <w:iCs/>
          <w:color w:val="000000" w:themeColor="text1"/>
          <w:sz w:val="24"/>
          <w:szCs w:val="24"/>
        </w:rPr>
        <w:t>间距为</w:t>
      </w:r>
      <w:r>
        <w:rPr>
          <w:rFonts w:ascii="Times New Roman" w:eastAsia="宋体" w:hAnsi="Times New Roman" w:cs="Times New Roman"/>
          <w:iCs/>
          <w:color w:val="000000" w:themeColor="text1"/>
          <w:sz w:val="24"/>
          <w:szCs w:val="24"/>
        </w:rPr>
        <w:t>100m</w:t>
      </w:r>
      <w:r>
        <w:rPr>
          <w:rFonts w:ascii="Times New Roman" w:eastAsia="宋体" w:hAnsi="Times New Roman" w:cs="Times New Roman"/>
          <w:iCs/>
          <w:color w:val="000000" w:themeColor="text1"/>
          <w:sz w:val="24"/>
          <w:szCs w:val="24"/>
        </w:rPr>
        <w:t>，</w:t>
      </w:r>
      <w:r>
        <w:rPr>
          <w:rFonts w:ascii="Times New Roman" w:eastAsia="宋体" w:hAnsi="Times New Roman" w:cs="Times New Roman" w:hint="eastAsia"/>
          <w:iCs/>
          <w:color w:val="000000" w:themeColor="text1"/>
          <w:sz w:val="24"/>
          <w:szCs w:val="24"/>
        </w:rPr>
        <w:t>-</w:t>
      </w:r>
      <w:r>
        <w:rPr>
          <w:rFonts w:ascii="Times New Roman" w:eastAsia="宋体" w:hAnsi="Times New Roman" w:cs="Times New Roman"/>
          <w:iCs/>
          <w:color w:val="000000" w:themeColor="text1"/>
          <w:sz w:val="24"/>
          <w:szCs w:val="24"/>
        </w:rPr>
        <w:t>3000~3000</w:t>
      </w:r>
      <w:r>
        <w:rPr>
          <w:rFonts w:ascii="Times New Roman" w:eastAsia="宋体" w:hAnsi="Times New Roman" w:cs="Times New Roman" w:hint="eastAsia"/>
          <w:iCs/>
          <w:color w:val="000000" w:themeColor="text1"/>
          <w:sz w:val="24"/>
          <w:szCs w:val="24"/>
        </w:rPr>
        <w:t>间距为</w:t>
      </w:r>
      <w:r>
        <w:rPr>
          <w:rFonts w:ascii="Times New Roman" w:eastAsia="宋体" w:hAnsi="Times New Roman" w:cs="Times New Roman" w:hint="eastAsia"/>
          <w:iCs/>
          <w:color w:val="000000" w:themeColor="text1"/>
          <w:sz w:val="24"/>
          <w:szCs w:val="24"/>
        </w:rPr>
        <w:t>5</w:t>
      </w:r>
      <w:r>
        <w:rPr>
          <w:rFonts w:ascii="Times New Roman" w:eastAsia="宋体" w:hAnsi="Times New Roman" w:cs="Times New Roman"/>
          <w:iCs/>
          <w:color w:val="000000" w:themeColor="text1"/>
          <w:sz w:val="24"/>
          <w:szCs w:val="24"/>
        </w:rPr>
        <w:t>0m</w:t>
      </w:r>
      <w:r>
        <w:rPr>
          <w:rFonts w:ascii="Times New Roman" w:eastAsia="宋体" w:hAnsi="Times New Roman" w:cs="Times New Roman" w:hint="eastAsia"/>
          <w:iCs/>
          <w:color w:val="000000" w:themeColor="text1"/>
          <w:sz w:val="24"/>
          <w:szCs w:val="24"/>
        </w:rPr>
        <w:t>，</w:t>
      </w:r>
      <w:r>
        <w:rPr>
          <w:rFonts w:ascii="Times New Roman" w:eastAsia="宋体" w:hAnsi="Times New Roman" w:cs="Times New Roman"/>
          <w:iCs/>
          <w:color w:val="000000" w:themeColor="text1"/>
          <w:sz w:val="24"/>
          <w:szCs w:val="24"/>
        </w:rPr>
        <w:t>以此作为本项目大气预测的基本网格点。另设置厂址边界预测点。</w:t>
      </w:r>
    </w:p>
    <w:p w:rsidR="00C861DA" w:rsidRDefault="0044752E">
      <w:pPr>
        <w:snapToGrid w:val="0"/>
        <w:spacing w:line="360" w:lineRule="auto"/>
        <w:ind w:firstLineChars="200" w:firstLine="482"/>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w:t>
      </w:r>
      <w:r>
        <w:rPr>
          <w:rFonts w:ascii="Times New Roman" w:eastAsia="宋体" w:hAnsi="Times New Roman" w:cs="Times New Roman"/>
          <w:b/>
          <w:bCs/>
          <w:iCs/>
          <w:color w:val="000000" w:themeColor="text1"/>
          <w:sz w:val="24"/>
          <w:szCs w:val="24"/>
        </w:rPr>
        <w:t>4</w:t>
      </w:r>
      <w:r>
        <w:rPr>
          <w:rFonts w:ascii="Times New Roman" w:eastAsia="宋体" w:hAnsi="Times New Roman" w:cs="Times New Roman"/>
          <w:b/>
          <w:bCs/>
          <w:iCs/>
          <w:color w:val="000000" w:themeColor="text1"/>
          <w:sz w:val="24"/>
          <w:szCs w:val="24"/>
        </w:rPr>
        <w:t>）预测内容及方法</w:t>
      </w:r>
    </w:p>
    <w:p w:rsidR="00C861DA" w:rsidRDefault="0044752E">
      <w:pPr>
        <w:spacing w:line="360" w:lineRule="auto"/>
        <w:ind w:leftChars="50" w:left="105" w:rightChars="50" w:right="105"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根据安宁市</w:t>
      </w:r>
      <w:r>
        <w:rPr>
          <w:rFonts w:ascii="Times New Roman" w:eastAsia="宋体" w:hAnsi="Times New Roman" w:cs="Times New Roman"/>
          <w:iCs/>
          <w:color w:val="000000" w:themeColor="text1"/>
          <w:sz w:val="24"/>
          <w:szCs w:val="24"/>
        </w:rPr>
        <w:t>2017</w:t>
      </w:r>
      <w:r>
        <w:rPr>
          <w:rFonts w:ascii="Times New Roman" w:eastAsia="宋体" w:hAnsi="Times New Roman" w:cs="Times New Roman"/>
          <w:iCs/>
          <w:color w:val="000000" w:themeColor="text1"/>
          <w:sz w:val="24"/>
          <w:szCs w:val="24"/>
        </w:rPr>
        <w:t>年环境空气质量通报，环境空气</w:t>
      </w:r>
      <w:r>
        <w:rPr>
          <w:rFonts w:ascii="Times New Roman" w:eastAsia="宋体" w:hAnsi="Times New Roman" w:cs="Times New Roman"/>
          <w:iCs/>
          <w:color w:val="000000" w:themeColor="text1"/>
          <w:sz w:val="24"/>
          <w:szCs w:val="24"/>
        </w:rPr>
        <w:t>6</w:t>
      </w:r>
      <w:r>
        <w:rPr>
          <w:rFonts w:ascii="Times New Roman" w:eastAsia="宋体" w:hAnsi="Times New Roman" w:cs="Times New Roman"/>
          <w:iCs/>
          <w:color w:val="000000" w:themeColor="text1"/>
          <w:sz w:val="24"/>
          <w:szCs w:val="24"/>
        </w:rPr>
        <w:t>项基本因子均能够满足</w:t>
      </w:r>
      <w:r>
        <w:rPr>
          <w:rFonts w:ascii="Times New Roman" w:eastAsia="宋体" w:hAnsi="Times New Roman" w:cs="Times New Roman"/>
          <w:iCs/>
          <w:color w:val="000000" w:themeColor="text1"/>
          <w:sz w:val="24"/>
          <w:szCs w:val="24"/>
        </w:rPr>
        <w:t>HJ 663-2013</w:t>
      </w:r>
      <w:r>
        <w:rPr>
          <w:rFonts w:ascii="Times New Roman" w:eastAsia="宋体" w:hAnsi="Times New Roman" w:cs="Times New Roman"/>
          <w:iCs/>
          <w:color w:val="000000" w:themeColor="text1"/>
          <w:sz w:val="24"/>
          <w:szCs w:val="24"/>
        </w:rPr>
        <w:t>《环境空气质量评价技术规范（试行）》及</w:t>
      </w:r>
      <w:r>
        <w:rPr>
          <w:rFonts w:ascii="Times New Roman" w:eastAsia="宋体" w:hAnsi="Times New Roman" w:cs="Times New Roman"/>
          <w:iCs/>
          <w:color w:val="000000" w:themeColor="text1"/>
          <w:sz w:val="24"/>
          <w:szCs w:val="24"/>
        </w:rPr>
        <w:t>HJ2.2-2018</w:t>
      </w:r>
      <w:r>
        <w:rPr>
          <w:rFonts w:ascii="Times New Roman" w:eastAsia="宋体" w:hAnsi="Times New Roman" w:cs="Times New Roman"/>
          <w:iCs/>
          <w:color w:val="000000" w:themeColor="text1"/>
          <w:sz w:val="24"/>
          <w:szCs w:val="24"/>
        </w:rPr>
        <w:t>《环境影响评价技术导则</w:t>
      </w:r>
      <w:r>
        <w:rPr>
          <w:rFonts w:ascii="Times New Roman" w:eastAsia="宋体" w:hAnsi="Times New Roman" w:cs="Times New Roman"/>
          <w:iCs/>
          <w:color w:val="000000" w:themeColor="text1"/>
          <w:sz w:val="24"/>
          <w:szCs w:val="24"/>
        </w:rPr>
        <w:t xml:space="preserve"> </w:t>
      </w:r>
      <w:r>
        <w:rPr>
          <w:rFonts w:ascii="Times New Roman" w:eastAsia="宋体" w:hAnsi="Times New Roman" w:cs="Times New Roman"/>
          <w:iCs/>
          <w:color w:val="000000" w:themeColor="text1"/>
          <w:sz w:val="24"/>
          <w:szCs w:val="24"/>
        </w:rPr>
        <w:t>大气环境》中有关环境空气质量达标区的要求，安宁市属于环境空气质量达标区域。</w:t>
      </w:r>
    </w:p>
    <w:p w:rsidR="00C861DA" w:rsidRDefault="0044752E">
      <w:pPr>
        <w:snapToGrid w:val="0"/>
        <w:spacing w:line="360" w:lineRule="auto"/>
        <w:ind w:firstLineChars="200" w:firstLine="480"/>
        <w:rPr>
          <w:rFonts w:ascii="Times New Roman" w:eastAsia="宋体" w:hAnsi="Times New Roman" w:cs="Times New Roman"/>
          <w:iCs/>
          <w:color w:val="000000" w:themeColor="text1"/>
          <w:sz w:val="24"/>
          <w:szCs w:val="24"/>
        </w:rPr>
      </w:pPr>
      <w:r>
        <w:rPr>
          <w:rFonts w:ascii="宋体" w:eastAsia="宋体" w:hAnsi="宋体" w:cs="宋体" w:hint="eastAsia"/>
          <w:iCs/>
          <w:color w:val="000000" w:themeColor="text1"/>
          <w:sz w:val="24"/>
          <w:szCs w:val="24"/>
        </w:rPr>
        <w:t>①</w:t>
      </w:r>
      <w:r>
        <w:rPr>
          <w:rFonts w:ascii="Times New Roman" w:eastAsia="宋体" w:hAnsi="Times New Roman" w:cs="Times New Roman"/>
          <w:iCs/>
          <w:color w:val="000000" w:themeColor="text1"/>
          <w:sz w:val="24"/>
          <w:szCs w:val="24"/>
        </w:rPr>
        <w:t>正常排放条件</w:t>
      </w:r>
    </w:p>
    <w:p w:rsidR="00C861DA" w:rsidRDefault="0044752E">
      <w:pPr>
        <w:pStyle w:val="afe"/>
        <w:pBdr>
          <w:bottom w:val="none" w:sz="0" w:space="1" w:color="auto"/>
        </w:pBdr>
        <w:spacing w:line="360" w:lineRule="auto"/>
        <w:ind w:firstLineChars="200" w:firstLine="480"/>
        <w:jc w:val="left"/>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根据《环境影响评价技术导则</w:t>
      </w:r>
      <w:r>
        <w:rPr>
          <w:rFonts w:ascii="Times New Roman" w:eastAsia="宋体" w:hAnsi="Times New Roman" w:cs="Times New Roman"/>
          <w:iCs/>
          <w:color w:val="000000" w:themeColor="text1"/>
          <w:sz w:val="24"/>
          <w:szCs w:val="24"/>
        </w:rPr>
        <w:t xml:space="preserve">  </w:t>
      </w:r>
      <w:r>
        <w:rPr>
          <w:rFonts w:ascii="Times New Roman" w:eastAsia="宋体" w:hAnsi="Times New Roman" w:cs="Times New Roman"/>
          <w:iCs/>
          <w:color w:val="000000" w:themeColor="text1"/>
          <w:sz w:val="24"/>
          <w:szCs w:val="24"/>
        </w:rPr>
        <w:t>大气环境》（</w:t>
      </w:r>
      <w:r>
        <w:rPr>
          <w:rFonts w:ascii="Times New Roman" w:eastAsia="宋体" w:hAnsi="Times New Roman" w:cs="Times New Roman"/>
          <w:iCs/>
          <w:color w:val="000000" w:themeColor="text1"/>
          <w:sz w:val="24"/>
          <w:szCs w:val="24"/>
        </w:rPr>
        <w:t>HJ2.2-2018</w:t>
      </w:r>
      <w:r>
        <w:rPr>
          <w:rFonts w:ascii="Times New Roman" w:eastAsia="宋体" w:hAnsi="Times New Roman" w:cs="Times New Roman"/>
          <w:iCs/>
          <w:color w:val="000000" w:themeColor="text1"/>
          <w:sz w:val="24"/>
          <w:szCs w:val="24"/>
        </w:rPr>
        <w:t>）</w:t>
      </w:r>
      <w:r>
        <w:rPr>
          <w:rFonts w:ascii="Times New Roman" w:eastAsia="宋体" w:hAnsi="Times New Roman" w:cs="Times New Roman"/>
          <w:iCs/>
          <w:color w:val="000000" w:themeColor="text1"/>
          <w:sz w:val="24"/>
          <w:szCs w:val="24"/>
        </w:rPr>
        <w:t>“8.7.1.1</w:t>
      </w:r>
      <w:r>
        <w:rPr>
          <w:rFonts w:ascii="Times New Roman" w:eastAsia="宋体" w:hAnsi="Times New Roman" w:cs="Times New Roman"/>
          <w:iCs/>
          <w:color w:val="000000" w:themeColor="text1"/>
          <w:sz w:val="24"/>
          <w:szCs w:val="24"/>
        </w:rPr>
        <w:t>项目正常排放条件下，预测环境空气保护目标和网格点主要污染物的短期浓度和长期浓度贡献值，评价其最大浓度占标率</w:t>
      </w:r>
      <w:r>
        <w:rPr>
          <w:rFonts w:ascii="Times New Roman" w:eastAsia="宋体" w:hAnsi="Times New Roman" w:cs="Times New Roman"/>
          <w:iCs/>
          <w:color w:val="000000" w:themeColor="text1"/>
          <w:sz w:val="24"/>
          <w:szCs w:val="24"/>
        </w:rPr>
        <w:t>”</w:t>
      </w:r>
      <w:r>
        <w:rPr>
          <w:rFonts w:ascii="Times New Roman" w:eastAsia="宋体" w:hAnsi="Times New Roman" w:cs="Times New Roman"/>
          <w:iCs/>
          <w:color w:val="000000" w:themeColor="text1"/>
          <w:sz w:val="24"/>
          <w:szCs w:val="24"/>
        </w:rPr>
        <w:t>和</w:t>
      </w:r>
      <w:r>
        <w:rPr>
          <w:rFonts w:ascii="Times New Roman" w:eastAsia="宋体" w:hAnsi="Times New Roman" w:cs="Times New Roman"/>
          <w:iCs/>
          <w:color w:val="000000" w:themeColor="text1"/>
          <w:sz w:val="24"/>
          <w:szCs w:val="24"/>
        </w:rPr>
        <w:t>“8.7.1.2</w:t>
      </w:r>
      <w:r>
        <w:rPr>
          <w:rFonts w:ascii="Times New Roman" w:eastAsia="宋体" w:hAnsi="Times New Roman" w:cs="Times New Roman"/>
          <w:iCs/>
          <w:color w:val="000000" w:themeColor="text1"/>
          <w:sz w:val="24"/>
          <w:szCs w:val="24"/>
        </w:rPr>
        <w:t>项目正常排放条件下，预测评价叠加环境空气质量现状浓度后，环境空气保护目标和网格点主要污染物的保证率日平均质量浓度和年平均质量浓度的达标情况</w:t>
      </w:r>
      <w:r>
        <w:rPr>
          <w:rFonts w:ascii="Times New Roman" w:eastAsia="宋体" w:hAnsi="Times New Roman" w:cs="Times New Roman"/>
          <w:iCs/>
          <w:color w:val="000000" w:themeColor="text1"/>
          <w:sz w:val="24"/>
          <w:szCs w:val="24"/>
        </w:rPr>
        <w:t>”</w:t>
      </w:r>
      <w:r>
        <w:rPr>
          <w:rFonts w:ascii="Times New Roman" w:eastAsia="宋体" w:hAnsi="Times New Roman" w:cs="Times New Roman"/>
          <w:iCs/>
          <w:color w:val="000000" w:themeColor="text1"/>
          <w:sz w:val="24"/>
          <w:szCs w:val="24"/>
        </w:rPr>
        <w:t>，本评价针对正常排放，预测环境空气保护目标和网格点主要污染物的小时平均浓度、日均浓度和年均浓度贡献值，评价其最大浓度占标率；同时预测评价叠加环境空气质量现状浓度后，境空气保护目标和网格点主要污染物</w:t>
      </w:r>
      <w:r>
        <w:rPr>
          <w:rFonts w:ascii="Times New Roman" w:eastAsia="宋体" w:hAnsi="Times New Roman" w:cs="Times New Roman"/>
          <w:iCs/>
          <w:color w:val="000000" w:themeColor="text1"/>
          <w:sz w:val="24"/>
          <w:szCs w:val="24"/>
        </w:rPr>
        <w:t>的小时平均浓度、日平均质量浓度和年平均质量浓度的达标情况。</w:t>
      </w:r>
    </w:p>
    <w:p w:rsidR="00C861DA" w:rsidRDefault="0044752E">
      <w:pPr>
        <w:pStyle w:val="afe"/>
        <w:pBdr>
          <w:bottom w:val="none" w:sz="0" w:space="1" w:color="auto"/>
        </w:pBdr>
        <w:spacing w:line="360" w:lineRule="auto"/>
        <w:ind w:firstLineChars="200" w:firstLine="480"/>
        <w:jc w:val="left"/>
        <w:rPr>
          <w:rFonts w:ascii="Times New Roman" w:eastAsia="宋体" w:hAnsi="Times New Roman" w:cs="Times New Roman"/>
          <w:iCs/>
          <w:color w:val="000000" w:themeColor="text1"/>
          <w:kern w:val="0"/>
          <w:sz w:val="24"/>
          <w:szCs w:val="24"/>
        </w:rPr>
      </w:pPr>
      <w:r>
        <w:rPr>
          <w:rFonts w:ascii="Times New Roman" w:eastAsia="宋体" w:hAnsi="Times New Roman" w:cs="Times New Roman"/>
          <w:iCs/>
          <w:color w:val="000000" w:themeColor="text1"/>
          <w:kern w:val="0"/>
          <w:sz w:val="24"/>
          <w:szCs w:val="24"/>
        </w:rPr>
        <w:t>预测</w:t>
      </w:r>
      <w:r>
        <w:rPr>
          <w:rFonts w:ascii="Times New Roman" w:eastAsia="宋体" w:hAnsi="Times New Roman" w:cs="Times New Roman"/>
          <w:iCs/>
          <w:color w:val="000000" w:themeColor="text1"/>
          <w:sz w:val="24"/>
          <w:szCs w:val="24"/>
        </w:rPr>
        <w:t>环境空气保护目标和网格点主要污染物的小时平均浓度、日均浓度和年均浓度贡献值</w:t>
      </w:r>
      <w:r>
        <w:rPr>
          <w:rFonts w:ascii="Times New Roman" w:eastAsia="宋体" w:hAnsi="Times New Roman" w:cs="Times New Roman"/>
          <w:iCs/>
          <w:color w:val="000000" w:themeColor="text1"/>
          <w:kern w:val="0"/>
          <w:sz w:val="24"/>
          <w:szCs w:val="24"/>
        </w:rPr>
        <w:t>时，考虑项目所有有组织排放污染源和无组织排放污染源的叠加影响。</w:t>
      </w:r>
    </w:p>
    <w:p w:rsidR="00C861DA" w:rsidRDefault="0044752E">
      <w:pPr>
        <w:snapToGrid w:val="0"/>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小时浓度预测：采用安宁草铺气象站</w:t>
      </w:r>
      <w:r>
        <w:rPr>
          <w:rFonts w:ascii="Times New Roman" w:eastAsia="宋体" w:hAnsi="Times New Roman" w:cs="Times New Roman"/>
          <w:iCs/>
          <w:color w:val="000000" w:themeColor="text1"/>
          <w:sz w:val="24"/>
          <w:szCs w:val="24"/>
        </w:rPr>
        <w:t>2017</w:t>
      </w:r>
      <w:r>
        <w:rPr>
          <w:rFonts w:ascii="Times New Roman" w:eastAsia="宋体" w:hAnsi="Times New Roman" w:cs="Times New Roman"/>
          <w:iCs/>
          <w:color w:val="000000" w:themeColor="text1"/>
          <w:sz w:val="24"/>
          <w:szCs w:val="24"/>
        </w:rPr>
        <w:t>年全年的每天</w:t>
      </w:r>
      <w:r>
        <w:rPr>
          <w:rFonts w:ascii="Times New Roman" w:eastAsia="宋体" w:hAnsi="Times New Roman" w:cs="Times New Roman"/>
          <w:iCs/>
          <w:color w:val="000000" w:themeColor="text1"/>
          <w:sz w:val="24"/>
          <w:szCs w:val="24"/>
        </w:rPr>
        <w:t>24</w:t>
      </w:r>
      <w:r>
        <w:rPr>
          <w:rFonts w:ascii="Times New Roman" w:eastAsia="宋体" w:hAnsi="Times New Roman" w:cs="Times New Roman"/>
          <w:iCs/>
          <w:color w:val="000000" w:themeColor="text1"/>
          <w:sz w:val="24"/>
          <w:szCs w:val="24"/>
        </w:rPr>
        <w:t>小时地面气象观测资料逐时段滑移取样，计算评价范围内各网格点和各关心点的逐时地面浓度值，然后选取最大浓度值的方法，给出各关心点的短时最大地面浓度贡献值及评价范围内的最大地面浓度贡献值。小时浓度典型气象条件的筛选，以评价范围内的最大地面浓度贡献值出现时间的气象条件作为小时浓度典型气象条件，按此气象条件绘制地面等浓度图。</w:t>
      </w:r>
    </w:p>
    <w:p w:rsidR="00C861DA" w:rsidRDefault="0044752E">
      <w:pPr>
        <w:snapToGrid w:val="0"/>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日均、年平均地面浓度预测：采用</w:t>
      </w:r>
      <w:r>
        <w:rPr>
          <w:rFonts w:ascii="Times New Roman" w:eastAsia="宋体" w:hAnsi="Times New Roman" w:cs="Times New Roman" w:hint="eastAsia"/>
          <w:iCs/>
          <w:color w:val="000000" w:themeColor="text1"/>
          <w:sz w:val="24"/>
          <w:szCs w:val="24"/>
        </w:rPr>
        <w:t>安宁市</w:t>
      </w:r>
      <w:r>
        <w:rPr>
          <w:rFonts w:ascii="Times New Roman" w:eastAsia="宋体" w:hAnsi="Times New Roman" w:cs="Times New Roman"/>
          <w:iCs/>
          <w:color w:val="000000" w:themeColor="text1"/>
          <w:sz w:val="24"/>
          <w:szCs w:val="24"/>
        </w:rPr>
        <w:t>气象站</w:t>
      </w:r>
      <w:r>
        <w:rPr>
          <w:rFonts w:ascii="Times New Roman" w:eastAsia="宋体" w:hAnsi="Times New Roman" w:cs="Times New Roman"/>
          <w:iCs/>
          <w:color w:val="000000" w:themeColor="text1"/>
          <w:sz w:val="24"/>
          <w:szCs w:val="24"/>
        </w:rPr>
        <w:t>2017</w:t>
      </w:r>
      <w:r>
        <w:rPr>
          <w:rFonts w:ascii="Times New Roman" w:eastAsia="宋体" w:hAnsi="Times New Roman" w:cs="Times New Roman"/>
          <w:iCs/>
          <w:color w:val="000000" w:themeColor="text1"/>
          <w:sz w:val="24"/>
          <w:szCs w:val="24"/>
        </w:rPr>
        <w:t>年全年的每天</w:t>
      </w:r>
      <w:r>
        <w:rPr>
          <w:rFonts w:ascii="Times New Roman" w:eastAsia="宋体" w:hAnsi="Times New Roman" w:cs="Times New Roman"/>
          <w:iCs/>
          <w:color w:val="000000" w:themeColor="text1"/>
          <w:sz w:val="24"/>
          <w:szCs w:val="24"/>
        </w:rPr>
        <w:t>24</w:t>
      </w:r>
      <w:r>
        <w:rPr>
          <w:rFonts w:ascii="Times New Roman" w:eastAsia="宋体" w:hAnsi="Times New Roman" w:cs="Times New Roman"/>
          <w:iCs/>
          <w:color w:val="000000" w:themeColor="text1"/>
          <w:sz w:val="24"/>
          <w:szCs w:val="24"/>
        </w:rPr>
        <w:t>小时地面气象观测资料逐日滑移取样，计算评价范围内各网格点和各关心点的逐日</w:t>
      </w:r>
      <w:r>
        <w:rPr>
          <w:rFonts w:ascii="Times New Roman" w:eastAsia="宋体" w:hAnsi="Times New Roman" w:cs="Times New Roman"/>
          <w:iCs/>
          <w:color w:val="000000" w:themeColor="text1"/>
          <w:sz w:val="24"/>
          <w:szCs w:val="24"/>
        </w:rPr>
        <w:t>地面浓度值，然后选取最大浓度值的方法，给出各关心点的日均最大地面浓度贡献值及评价范围内的日均最大地面浓度贡献值。典型日气象条件的筛选，以评价范围内的最大地面浓度贡献值出现日的气象条件作为典型日气象条件，按此气象条件绘制典型日地面等浓度图。年平均地面浓度分布预测，给出各关心点的年均最大地面浓度贡献值及评价范围内的年均最大地面浓度贡献值。</w:t>
      </w:r>
    </w:p>
    <w:p w:rsidR="00C861DA" w:rsidRDefault="0044752E">
      <w:pPr>
        <w:snapToGrid w:val="0"/>
        <w:spacing w:line="360" w:lineRule="auto"/>
        <w:ind w:firstLineChars="200" w:firstLine="480"/>
        <w:rPr>
          <w:rFonts w:ascii="Times New Roman" w:eastAsia="宋体" w:hAnsi="Times New Roman" w:cs="Times New Roman"/>
          <w:iCs/>
          <w:color w:val="000000" w:themeColor="text1"/>
          <w:sz w:val="24"/>
          <w:szCs w:val="24"/>
        </w:rPr>
      </w:pPr>
      <w:r>
        <w:rPr>
          <w:rFonts w:ascii="宋体" w:eastAsia="宋体" w:hAnsi="宋体" w:cs="宋体" w:hint="eastAsia"/>
          <w:iCs/>
          <w:color w:val="000000" w:themeColor="text1"/>
          <w:sz w:val="24"/>
          <w:szCs w:val="24"/>
        </w:rPr>
        <w:t>②</w:t>
      </w:r>
      <w:r>
        <w:rPr>
          <w:rFonts w:ascii="Times New Roman" w:eastAsia="宋体" w:hAnsi="Times New Roman" w:cs="Times New Roman"/>
          <w:iCs/>
          <w:color w:val="000000" w:themeColor="text1"/>
          <w:sz w:val="24"/>
          <w:szCs w:val="24"/>
        </w:rPr>
        <w:t>非正常排放条件</w:t>
      </w:r>
    </w:p>
    <w:p w:rsidR="00C861DA" w:rsidRDefault="0044752E">
      <w:pPr>
        <w:pStyle w:val="afe"/>
        <w:pBdr>
          <w:bottom w:val="none" w:sz="0" w:space="1" w:color="auto"/>
        </w:pBdr>
        <w:spacing w:line="360" w:lineRule="auto"/>
        <w:ind w:firstLineChars="200" w:firstLine="480"/>
        <w:jc w:val="left"/>
        <w:rPr>
          <w:rFonts w:ascii="Times New Roman" w:eastAsia="宋体" w:hAnsi="Times New Roman" w:cs="Times New Roman"/>
          <w:iCs/>
          <w:color w:val="000000" w:themeColor="text1"/>
          <w:kern w:val="0"/>
          <w:sz w:val="24"/>
          <w:szCs w:val="24"/>
        </w:rPr>
      </w:pPr>
      <w:r>
        <w:rPr>
          <w:rFonts w:ascii="Times New Roman" w:eastAsia="宋体" w:hAnsi="Times New Roman" w:cs="Times New Roman"/>
          <w:iCs/>
          <w:color w:val="000000" w:themeColor="text1"/>
          <w:sz w:val="24"/>
          <w:szCs w:val="24"/>
        </w:rPr>
        <w:t>根据《环境影响评价技术导则</w:t>
      </w:r>
      <w:r>
        <w:rPr>
          <w:rFonts w:ascii="Times New Roman" w:eastAsia="宋体" w:hAnsi="Times New Roman" w:cs="Times New Roman"/>
          <w:iCs/>
          <w:color w:val="000000" w:themeColor="text1"/>
          <w:sz w:val="24"/>
          <w:szCs w:val="24"/>
        </w:rPr>
        <w:t xml:space="preserve">  </w:t>
      </w:r>
      <w:r>
        <w:rPr>
          <w:rFonts w:ascii="Times New Roman" w:eastAsia="宋体" w:hAnsi="Times New Roman" w:cs="Times New Roman"/>
          <w:iCs/>
          <w:color w:val="000000" w:themeColor="text1"/>
          <w:sz w:val="24"/>
          <w:szCs w:val="24"/>
        </w:rPr>
        <w:t>大气环境》（</w:t>
      </w:r>
      <w:r>
        <w:rPr>
          <w:rFonts w:ascii="Times New Roman" w:eastAsia="宋体" w:hAnsi="Times New Roman" w:cs="Times New Roman"/>
          <w:iCs/>
          <w:color w:val="000000" w:themeColor="text1"/>
          <w:sz w:val="24"/>
          <w:szCs w:val="24"/>
        </w:rPr>
        <w:t>HJ2.2-2018</w:t>
      </w:r>
      <w:r>
        <w:rPr>
          <w:rFonts w:ascii="Times New Roman" w:eastAsia="宋体" w:hAnsi="Times New Roman" w:cs="Times New Roman"/>
          <w:iCs/>
          <w:color w:val="000000" w:themeColor="text1"/>
          <w:sz w:val="24"/>
          <w:szCs w:val="24"/>
        </w:rPr>
        <w:t>）</w:t>
      </w:r>
      <w:r>
        <w:rPr>
          <w:rFonts w:ascii="Times New Roman" w:eastAsia="宋体" w:hAnsi="Times New Roman" w:cs="Times New Roman"/>
          <w:iCs/>
          <w:color w:val="000000" w:themeColor="text1"/>
          <w:sz w:val="24"/>
          <w:szCs w:val="24"/>
        </w:rPr>
        <w:t>“8.7.1.3</w:t>
      </w:r>
      <w:r>
        <w:rPr>
          <w:rFonts w:ascii="Times New Roman" w:eastAsia="宋体" w:hAnsi="Times New Roman" w:cs="Times New Roman"/>
          <w:iCs/>
          <w:color w:val="000000" w:themeColor="text1"/>
          <w:sz w:val="24"/>
          <w:szCs w:val="24"/>
        </w:rPr>
        <w:t>项目非正常排放条件下，预测环境空气保护目标和网格点主要污染物的</w:t>
      </w:r>
      <w:r>
        <w:rPr>
          <w:rFonts w:ascii="Times New Roman" w:eastAsia="宋体" w:hAnsi="Times New Roman" w:cs="Times New Roman"/>
          <w:iCs/>
          <w:color w:val="000000" w:themeColor="text1"/>
          <w:sz w:val="24"/>
          <w:szCs w:val="24"/>
        </w:rPr>
        <w:t>1h</w:t>
      </w:r>
      <w:r>
        <w:rPr>
          <w:rFonts w:ascii="Times New Roman" w:eastAsia="宋体" w:hAnsi="Times New Roman" w:cs="Times New Roman"/>
          <w:iCs/>
          <w:color w:val="000000" w:themeColor="text1"/>
          <w:sz w:val="24"/>
          <w:szCs w:val="24"/>
        </w:rPr>
        <w:t>最大浓度贡献值及占标率</w:t>
      </w:r>
      <w:r>
        <w:rPr>
          <w:rFonts w:ascii="Times New Roman" w:eastAsia="宋体" w:hAnsi="Times New Roman" w:cs="Times New Roman"/>
          <w:iCs/>
          <w:color w:val="000000" w:themeColor="text1"/>
          <w:sz w:val="24"/>
          <w:szCs w:val="24"/>
        </w:rPr>
        <w:t>”</w:t>
      </w:r>
      <w:r>
        <w:rPr>
          <w:rFonts w:ascii="Times New Roman" w:eastAsia="宋体" w:hAnsi="Times New Roman" w:cs="Times New Roman"/>
          <w:iCs/>
          <w:color w:val="000000" w:themeColor="text1"/>
          <w:sz w:val="24"/>
          <w:szCs w:val="24"/>
        </w:rPr>
        <w:t>，本评价针对非正常排放，预测环境空气保护目标和网格点主要污染物（氨）的</w:t>
      </w:r>
      <w:r>
        <w:rPr>
          <w:rFonts w:ascii="Times New Roman" w:eastAsia="宋体" w:hAnsi="Times New Roman" w:cs="Times New Roman"/>
          <w:iCs/>
          <w:color w:val="000000" w:themeColor="text1"/>
          <w:sz w:val="24"/>
          <w:szCs w:val="24"/>
        </w:rPr>
        <w:t>1h</w:t>
      </w:r>
      <w:r>
        <w:rPr>
          <w:rFonts w:ascii="Times New Roman" w:eastAsia="宋体" w:hAnsi="Times New Roman" w:cs="Times New Roman"/>
          <w:iCs/>
          <w:color w:val="000000" w:themeColor="text1"/>
          <w:sz w:val="24"/>
          <w:szCs w:val="24"/>
        </w:rPr>
        <w:t>最大浓度贡献值及占标率。</w:t>
      </w:r>
    </w:p>
    <w:p w:rsidR="00C861DA" w:rsidRDefault="0044752E">
      <w:pPr>
        <w:snapToGrid w:val="0"/>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采用</w:t>
      </w:r>
      <w:r>
        <w:rPr>
          <w:rFonts w:ascii="Times New Roman" w:eastAsia="宋体" w:hAnsi="Times New Roman" w:cs="Times New Roman" w:hint="eastAsia"/>
          <w:iCs/>
          <w:color w:val="000000" w:themeColor="text1"/>
          <w:sz w:val="24"/>
          <w:szCs w:val="24"/>
        </w:rPr>
        <w:t>安宁草铺</w:t>
      </w:r>
      <w:r>
        <w:rPr>
          <w:rFonts w:ascii="Times New Roman" w:eastAsia="宋体" w:hAnsi="Times New Roman" w:cs="Times New Roman"/>
          <w:iCs/>
          <w:color w:val="000000" w:themeColor="text1"/>
          <w:sz w:val="24"/>
          <w:szCs w:val="24"/>
        </w:rPr>
        <w:t>气象站</w:t>
      </w:r>
      <w:r>
        <w:rPr>
          <w:rFonts w:ascii="Times New Roman" w:eastAsia="宋体" w:hAnsi="Times New Roman" w:cs="Times New Roman"/>
          <w:iCs/>
          <w:color w:val="000000" w:themeColor="text1"/>
          <w:sz w:val="24"/>
          <w:szCs w:val="24"/>
        </w:rPr>
        <w:t>2017</w:t>
      </w:r>
      <w:r>
        <w:rPr>
          <w:rFonts w:ascii="Times New Roman" w:eastAsia="宋体" w:hAnsi="Times New Roman" w:cs="Times New Roman"/>
          <w:iCs/>
          <w:color w:val="000000" w:themeColor="text1"/>
          <w:sz w:val="24"/>
          <w:szCs w:val="24"/>
        </w:rPr>
        <w:t>年全年的每天</w:t>
      </w:r>
      <w:r>
        <w:rPr>
          <w:rFonts w:ascii="Times New Roman" w:eastAsia="宋体" w:hAnsi="Times New Roman" w:cs="Times New Roman"/>
          <w:iCs/>
          <w:color w:val="000000" w:themeColor="text1"/>
          <w:sz w:val="24"/>
          <w:szCs w:val="24"/>
        </w:rPr>
        <w:t>24</w:t>
      </w:r>
      <w:r>
        <w:rPr>
          <w:rFonts w:ascii="Times New Roman" w:eastAsia="宋体" w:hAnsi="Times New Roman" w:cs="Times New Roman"/>
          <w:iCs/>
          <w:color w:val="000000" w:themeColor="text1"/>
          <w:sz w:val="24"/>
          <w:szCs w:val="24"/>
        </w:rPr>
        <w:t>小时地面气象观测资料逐时段滑移取样，计算在非正常排放条件下评价范围内各网格点和各关心点的逐时地面浓度值，然后选取最大浓度值的方法，给出各关心点的短时最大地面浓度贡献值及评价范围内的最大地面浓度贡献值。</w:t>
      </w:r>
    </w:p>
    <w:p w:rsidR="00C861DA" w:rsidRDefault="0044752E">
      <w:pPr>
        <w:pStyle w:val="afe"/>
        <w:pBdr>
          <w:bottom w:val="none" w:sz="0" w:space="1" w:color="auto"/>
        </w:pBdr>
        <w:spacing w:line="360" w:lineRule="auto"/>
        <w:ind w:firstLine="480"/>
        <w:jc w:val="left"/>
        <w:rPr>
          <w:rFonts w:ascii="Times New Roman" w:eastAsia="宋体" w:hAnsi="Times New Roman" w:cs="Times New Roman"/>
          <w:iCs/>
          <w:color w:val="000000" w:themeColor="text1"/>
          <w:kern w:val="0"/>
          <w:sz w:val="24"/>
          <w:szCs w:val="24"/>
        </w:rPr>
      </w:pPr>
      <w:r>
        <w:rPr>
          <w:rFonts w:ascii="宋体" w:eastAsia="宋体" w:hAnsi="宋体" w:cs="宋体" w:hint="eastAsia"/>
          <w:iCs/>
          <w:color w:val="000000" w:themeColor="text1"/>
          <w:kern w:val="0"/>
          <w:sz w:val="24"/>
          <w:szCs w:val="24"/>
        </w:rPr>
        <w:t>③</w:t>
      </w:r>
      <w:r>
        <w:rPr>
          <w:rFonts w:ascii="Times New Roman" w:eastAsia="宋体" w:hAnsi="Times New Roman" w:cs="Times New Roman"/>
          <w:iCs/>
          <w:color w:val="000000" w:themeColor="text1"/>
          <w:kern w:val="0"/>
          <w:sz w:val="24"/>
          <w:szCs w:val="24"/>
        </w:rPr>
        <w:t>厂界无组织排放</w:t>
      </w:r>
    </w:p>
    <w:p w:rsidR="00C861DA" w:rsidRDefault="0044752E">
      <w:pPr>
        <w:pStyle w:val="afe"/>
        <w:pBdr>
          <w:bottom w:val="none" w:sz="0" w:space="1" w:color="auto"/>
        </w:pBdr>
        <w:spacing w:line="360" w:lineRule="auto"/>
        <w:ind w:firstLineChars="200" w:firstLine="480"/>
        <w:jc w:val="both"/>
        <w:rPr>
          <w:rFonts w:ascii="Times New Roman" w:eastAsia="宋体" w:hAnsi="Times New Roman" w:cs="Times New Roman"/>
          <w:iCs/>
          <w:color w:val="000000" w:themeColor="text1"/>
          <w:kern w:val="0"/>
          <w:sz w:val="24"/>
          <w:szCs w:val="24"/>
        </w:rPr>
      </w:pPr>
      <w:r>
        <w:rPr>
          <w:rFonts w:ascii="Times New Roman" w:eastAsia="宋体" w:hAnsi="Times New Roman" w:cs="Times New Roman"/>
          <w:iCs/>
          <w:color w:val="000000" w:themeColor="text1"/>
          <w:kern w:val="0"/>
          <w:sz w:val="24"/>
          <w:szCs w:val="24"/>
        </w:rPr>
        <w:t>本项目呈无组织排放的</w:t>
      </w:r>
      <w:r>
        <w:rPr>
          <w:rFonts w:ascii="Times New Roman" w:eastAsia="宋体" w:hAnsi="Times New Roman" w:cs="Times New Roman" w:hint="eastAsia"/>
          <w:iCs/>
          <w:color w:val="000000" w:themeColor="text1"/>
          <w:kern w:val="0"/>
          <w:sz w:val="24"/>
          <w:szCs w:val="24"/>
        </w:rPr>
        <w:t>各个工段</w:t>
      </w:r>
      <w:r>
        <w:rPr>
          <w:rFonts w:ascii="Times New Roman" w:eastAsia="宋体" w:hAnsi="Times New Roman" w:cs="Times New Roman"/>
          <w:iCs/>
          <w:color w:val="000000" w:themeColor="text1"/>
          <w:kern w:val="0"/>
          <w:sz w:val="24"/>
          <w:szCs w:val="24"/>
        </w:rPr>
        <w:t>，主要污染物为</w:t>
      </w:r>
      <w:r>
        <w:rPr>
          <w:rFonts w:ascii="Times New Roman" w:eastAsia="宋体" w:hAnsi="Times New Roman" w:cs="Times New Roman" w:hint="eastAsia"/>
          <w:iCs/>
          <w:color w:val="000000" w:themeColor="text1"/>
          <w:kern w:val="0"/>
          <w:sz w:val="24"/>
          <w:szCs w:val="24"/>
        </w:rPr>
        <w:t>氨</w:t>
      </w:r>
      <w:r>
        <w:rPr>
          <w:rFonts w:ascii="Times New Roman" w:eastAsia="宋体" w:hAnsi="Times New Roman" w:cs="Times New Roman"/>
          <w:iCs/>
          <w:color w:val="000000" w:themeColor="text1"/>
          <w:kern w:val="0"/>
          <w:sz w:val="24"/>
          <w:szCs w:val="24"/>
        </w:rPr>
        <w:t>，预测厂界无组织最大地面浓度时，考虑项目所有有组织排放污染源和无组织排放污染源的叠加影响。</w:t>
      </w:r>
    </w:p>
    <w:p w:rsidR="00C861DA" w:rsidRDefault="0044752E">
      <w:pPr>
        <w:pStyle w:val="afe"/>
        <w:pBdr>
          <w:bottom w:val="none" w:sz="0" w:space="1" w:color="auto"/>
        </w:pBdr>
        <w:rPr>
          <w:rFonts w:ascii="Times New Roman" w:eastAsia="宋体" w:hAnsi="Times New Roman" w:cs="Times New Roman"/>
          <w:b/>
          <w:iCs/>
          <w:color w:val="000000" w:themeColor="text1"/>
          <w:kern w:val="0"/>
          <w:sz w:val="24"/>
          <w:szCs w:val="24"/>
        </w:rPr>
      </w:pPr>
      <w:r>
        <w:rPr>
          <w:rFonts w:ascii="Times New Roman" w:eastAsia="宋体" w:hAnsi="Times New Roman" w:cs="Times New Roman" w:hint="eastAsia"/>
          <w:b/>
          <w:iCs/>
          <w:color w:val="000000" w:themeColor="text1"/>
          <w:kern w:val="0"/>
          <w:sz w:val="24"/>
          <w:szCs w:val="24"/>
        </w:rPr>
        <w:t>表</w:t>
      </w:r>
      <w:r>
        <w:rPr>
          <w:rFonts w:ascii="Times New Roman" w:eastAsia="宋体" w:hAnsi="Times New Roman" w:cs="Times New Roman"/>
          <w:b/>
          <w:iCs/>
          <w:color w:val="000000" w:themeColor="text1"/>
          <w:kern w:val="0"/>
          <w:sz w:val="24"/>
          <w:szCs w:val="24"/>
        </w:rPr>
        <w:t xml:space="preserve">7.1-14  </w:t>
      </w:r>
      <w:r>
        <w:rPr>
          <w:rFonts w:ascii="Times New Roman" w:eastAsia="宋体" w:hAnsi="Times New Roman" w:cs="Times New Roman" w:hint="eastAsia"/>
          <w:b/>
          <w:iCs/>
          <w:color w:val="000000" w:themeColor="text1"/>
          <w:kern w:val="0"/>
          <w:sz w:val="24"/>
          <w:szCs w:val="24"/>
        </w:rPr>
        <w:t>无组织厂界预测点相对坐标</w:t>
      </w:r>
    </w:p>
    <w:tbl>
      <w:tblPr>
        <w:tblStyle w:val="affa"/>
        <w:tblW w:w="8296" w:type="dxa"/>
        <w:jc w:val="center"/>
        <w:tblLayout w:type="fixed"/>
        <w:tblLook w:val="04A0" w:firstRow="1" w:lastRow="0" w:firstColumn="1" w:lastColumn="0" w:noHBand="0" w:noVBand="1"/>
      </w:tblPr>
      <w:tblGrid>
        <w:gridCol w:w="1129"/>
        <w:gridCol w:w="2189"/>
        <w:gridCol w:w="1659"/>
        <w:gridCol w:w="1659"/>
        <w:gridCol w:w="1660"/>
      </w:tblGrid>
      <w:tr w:rsidR="00C861DA">
        <w:trPr>
          <w:trHeight w:val="369"/>
          <w:jc w:val="center"/>
        </w:trPr>
        <w:tc>
          <w:tcPr>
            <w:tcW w:w="112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iCs/>
                <w:color w:val="000000" w:themeColor="text1"/>
                <w:kern w:val="0"/>
                <w:sz w:val="21"/>
                <w:szCs w:val="21"/>
              </w:rPr>
              <w:t>序号</w:t>
            </w:r>
          </w:p>
        </w:tc>
        <w:tc>
          <w:tcPr>
            <w:tcW w:w="218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iCs/>
                <w:color w:val="000000" w:themeColor="text1"/>
                <w:kern w:val="0"/>
                <w:sz w:val="21"/>
                <w:szCs w:val="21"/>
              </w:rPr>
              <w:t>无组织厂界预测点</w:t>
            </w:r>
          </w:p>
        </w:tc>
        <w:tc>
          <w:tcPr>
            <w:tcW w:w="165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iCs/>
                <w:color w:val="000000" w:themeColor="text1"/>
                <w:kern w:val="0"/>
                <w:sz w:val="21"/>
                <w:szCs w:val="21"/>
              </w:rPr>
              <w:t>X</w:t>
            </w:r>
            <w:r>
              <w:rPr>
                <w:rFonts w:ascii="Times New Roman" w:eastAsia="宋体" w:hAnsi="Times New Roman" w:cs="Times New Roman"/>
                <w:iCs/>
                <w:color w:val="000000" w:themeColor="text1"/>
                <w:kern w:val="0"/>
                <w:sz w:val="21"/>
                <w:szCs w:val="21"/>
              </w:rPr>
              <w:t>轴坐标（</w:t>
            </w:r>
            <w:r>
              <w:rPr>
                <w:rFonts w:ascii="Times New Roman" w:eastAsia="宋体" w:hAnsi="Times New Roman" w:cs="Times New Roman"/>
                <w:iCs/>
                <w:color w:val="000000" w:themeColor="text1"/>
                <w:kern w:val="0"/>
                <w:sz w:val="21"/>
                <w:szCs w:val="21"/>
              </w:rPr>
              <w:t>m</w:t>
            </w:r>
            <w:r>
              <w:rPr>
                <w:rFonts w:ascii="Times New Roman" w:eastAsia="宋体" w:hAnsi="Times New Roman" w:cs="Times New Roman"/>
                <w:iCs/>
                <w:color w:val="000000" w:themeColor="text1"/>
                <w:kern w:val="0"/>
                <w:sz w:val="21"/>
                <w:szCs w:val="21"/>
              </w:rPr>
              <w:t>）</w:t>
            </w:r>
          </w:p>
        </w:tc>
        <w:tc>
          <w:tcPr>
            <w:tcW w:w="165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iCs/>
                <w:color w:val="000000" w:themeColor="text1"/>
                <w:kern w:val="0"/>
                <w:sz w:val="21"/>
                <w:szCs w:val="21"/>
              </w:rPr>
              <w:t>Y</w:t>
            </w:r>
            <w:r>
              <w:rPr>
                <w:rFonts w:ascii="Times New Roman" w:eastAsia="宋体" w:hAnsi="Times New Roman" w:cs="Times New Roman"/>
                <w:iCs/>
                <w:color w:val="000000" w:themeColor="text1"/>
                <w:kern w:val="0"/>
                <w:sz w:val="21"/>
                <w:szCs w:val="21"/>
              </w:rPr>
              <w:t>轴坐标（</w:t>
            </w:r>
            <w:r>
              <w:rPr>
                <w:rFonts w:ascii="Times New Roman" w:eastAsia="宋体" w:hAnsi="Times New Roman" w:cs="Times New Roman"/>
                <w:iCs/>
                <w:color w:val="000000" w:themeColor="text1"/>
                <w:kern w:val="0"/>
                <w:sz w:val="21"/>
                <w:szCs w:val="21"/>
              </w:rPr>
              <w:t>m</w:t>
            </w:r>
            <w:r>
              <w:rPr>
                <w:rFonts w:ascii="Times New Roman" w:eastAsia="宋体" w:hAnsi="Times New Roman" w:cs="Times New Roman"/>
                <w:iCs/>
                <w:color w:val="000000" w:themeColor="text1"/>
                <w:kern w:val="0"/>
                <w:sz w:val="21"/>
                <w:szCs w:val="21"/>
              </w:rPr>
              <w:t>）</w:t>
            </w:r>
          </w:p>
        </w:tc>
        <w:tc>
          <w:tcPr>
            <w:tcW w:w="1660"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iCs/>
                <w:color w:val="000000" w:themeColor="text1"/>
                <w:kern w:val="0"/>
                <w:sz w:val="21"/>
                <w:szCs w:val="21"/>
              </w:rPr>
              <w:t>地形高度（</w:t>
            </w:r>
            <w:r>
              <w:rPr>
                <w:rFonts w:ascii="Times New Roman" w:eastAsia="宋体" w:hAnsi="Times New Roman" w:cs="Times New Roman"/>
                <w:iCs/>
                <w:color w:val="000000" w:themeColor="text1"/>
                <w:kern w:val="0"/>
                <w:sz w:val="21"/>
                <w:szCs w:val="21"/>
              </w:rPr>
              <w:t>m</w:t>
            </w:r>
            <w:r>
              <w:rPr>
                <w:rFonts w:ascii="Times New Roman" w:eastAsia="宋体" w:hAnsi="Times New Roman" w:cs="Times New Roman"/>
                <w:iCs/>
                <w:color w:val="000000" w:themeColor="text1"/>
                <w:kern w:val="0"/>
                <w:sz w:val="21"/>
                <w:szCs w:val="21"/>
              </w:rPr>
              <w:t>）</w:t>
            </w:r>
          </w:p>
        </w:tc>
      </w:tr>
      <w:tr w:rsidR="00C861DA">
        <w:trPr>
          <w:trHeight w:val="369"/>
          <w:jc w:val="center"/>
        </w:trPr>
        <w:tc>
          <w:tcPr>
            <w:tcW w:w="112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iCs/>
                <w:color w:val="000000" w:themeColor="text1"/>
                <w:kern w:val="0"/>
                <w:sz w:val="21"/>
                <w:szCs w:val="21"/>
              </w:rPr>
              <w:t>1</w:t>
            </w:r>
          </w:p>
        </w:tc>
        <w:tc>
          <w:tcPr>
            <w:tcW w:w="218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iCs/>
                <w:color w:val="000000" w:themeColor="text1"/>
                <w:kern w:val="0"/>
                <w:sz w:val="21"/>
                <w:szCs w:val="21"/>
              </w:rPr>
              <w:t>东厂界</w:t>
            </w:r>
          </w:p>
        </w:tc>
        <w:tc>
          <w:tcPr>
            <w:tcW w:w="165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color w:val="000000" w:themeColor="text1"/>
                <w:kern w:val="0"/>
                <w:sz w:val="21"/>
                <w:szCs w:val="21"/>
              </w:rPr>
              <w:t>213</w:t>
            </w:r>
          </w:p>
        </w:tc>
        <w:tc>
          <w:tcPr>
            <w:tcW w:w="165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color w:val="000000" w:themeColor="text1"/>
                <w:kern w:val="0"/>
                <w:sz w:val="21"/>
                <w:szCs w:val="21"/>
              </w:rPr>
              <w:t>89</w:t>
            </w:r>
          </w:p>
        </w:tc>
        <w:tc>
          <w:tcPr>
            <w:tcW w:w="1660"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color w:val="000000" w:themeColor="text1"/>
                <w:kern w:val="0"/>
                <w:sz w:val="21"/>
                <w:szCs w:val="21"/>
              </w:rPr>
              <w:t>1901.62</w:t>
            </w:r>
          </w:p>
        </w:tc>
      </w:tr>
      <w:tr w:rsidR="00C861DA">
        <w:trPr>
          <w:trHeight w:val="369"/>
          <w:jc w:val="center"/>
        </w:trPr>
        <w:tc>
          <w:tcPr>
            <w:tcW w:w="112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iCs/>
                <w:color w:val="000000" w:themeColor="text1"/>
                <w:kern w:val="0"/>
                <w:sz w:val="21"/>
                <w:szCs w:val="21"/>
              </w:rPr>
              <w:t>2</w:t>
            </w:r>
          </w:p>
        </w:tc>
        <w:tc>
          <w:tcPr>
            <w:tcW w:w="218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iCs/>
                <w:color w:val="000000" w:themeColor="text1"/>
                <w:kern w:val="0"/>
                <w:sz w:val="21"/>
                <w:szCs w:val="21"/>
              </w:rPr>
              <w:t>南厂界</w:t>
            </w:r>
          </w:p>
        </w:tc>
        <w:tc>
          <w:tcPr>
            <w:tcW w:w="165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color w:val="000000" w:themeColor="text1"/>
                <w:kern w:val="0"/>
                <w:sz w:val="21"/>
                <w:szCs w:val="21"/>
              </w:rPr>
              <w:t>63</w:t>
            </w:r>
          </w:p>
        </w:tc>
        <w:tc>
          <w:tcPr>
            <w:tcW w:w="165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color w:val="000000" w:themeColor="text1"/>
                <w:kern w:val="0"/>
                <w:sz w:val="21"/>
                <w:szCs w:val="21"/>
              </w:rPr>
              <w:t>-4</w:t>
            </w:r>
          </w:p>
        </w:tc>
        <w:tc>
          <w:tcPr>
            <w:tcW w:w="1660"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color w:val="000000" w:themeColor="text1"/>
                <w:kern w:val="0"/>
                <w:sz w:val="21"/>
                <w:szCs w:val="21"/>
              </w:rPr>
              <w:t>1899.92</w:t>
            </w:r>
          </w:p>
        </w:tc>
      </w:tr>
      <w:tr w:rsidR="00C861DA">
        <w:trPr>
          <w:trHeight w:val="369"/>
          <w:jc w:val="center"/>
        </w:trPr>
        <w:tc>
          <w:tcPr>
            <w:tcW w:w="112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iCs/>
                <w:color w:val="000000" w:themeColor="text1"/>
                <w:kern w:val="0"/>
                <w:sz w:val="21"/>
                <w:szCs w:val="21"/>
              </w:rPr>
              <w:t>3</w:t>
            </w:r>
          </w:p>
        </w:tc>
        <w:tc>
          <w:tcPr>
            <w:tcW w:w="218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iCs/>
                <w:color w:val="000000" w:themeColor="text1"/>
                <w:kern w:val="0"/>
                <w:sz w:val="21"/>
                <w:szCs w:val="21"/>
              </w:rPr>
              <w:t>西厂界</w:t>
            </w:r>
          </w:p>
        </w:tc>
        <w:tc>
          <w:tcPr>
            <w:tcW w:w="165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color w:val="000000" w:themeColor="text1"/>
                <w:kern w:val="0"/>
                <w:sz w:val="21"/>
                <w:szCs w:val="21"/>
              </w:rPr>
              <w:t>-26</w:t>
            </w:r>
          </w:p>
        </w:tc>
        <w:tc>
          <w:tcPr>
            <w:tcW w:w="165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color w:val="000000" w:themeColor="text1"/>
                <w:kern w:val="0"/>
                <w:sz w:val="21"/>
                <w:szCs w:val="21"/>
              </w:rPr>
              <w:t>85</w:t>
            </w:r>
          </w:p>
        </w:tc>
        <w:tc>
          <w:tcPr>
            <w:tcW w:w="1660"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color w:val="000000" w:themeColor="text1"/>
                <w:kern w:val="0"/>
                <w:sz w:val="21"/>
                <w:szCs w:val="21"/>
              </w:rPr>
              <w:t>1898.52</w:t>
            </w:r>
          </w:p>
        </w:tc>
      </w:tr>
      <w:tr w:rsidR="00C861DA">
        <w:trPr>
          <w:trHeight w:val="369"/>
          <w:jc w:val="center"/>
        </w:trPr>
        <w:tc>
          <w:tcPr>
            <w:tcW w:w="112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iCs/>
                <w:color w:val="000000" w:themeColor="text1"/>
                <w:kern w:val="0"/>
                <w:sz w:val="21"/>
                <w:szCs w:val="21"/>
              </w:rPr>
              <w:t>4</w:t>
            </w:r>
          </w:p>
        </w:tc>
        <w:tc>
          <w:tcPr>
            <w:tcW w:w="218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iCs/>
                <w:color w:val="000000" w:themeColor="text1"/>
                <w:kern w:val="0"/>
                <w:sz w:val="21"/>
                <w:szCs w:val="21"/>
              </w:rPr>
              <w:t>北厂界</w:t>
            </w:r>
          </w:p>
        </w:tc>
        <w:tc>
          <w:tcPr>
            <w:tcW w:w="165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color w:val="000000" w:themeColor="text1"/>
                <w:kern w:val="0"/>
                <w:sz w:val="21"/>
                <w:szCs w:val="21"/>
              </w:rPr>
              <w:t>59</w:t>
            </w:r>
          </w:p>
        </w:tc>
        <w:tc>
          <w:tcPr>
            <w:tcW w:w="1659"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color w:val="000000" w:themeColor="text1"/>
                <w:kern w:val="0"/>
                <w:sz w:val="21"/>
                <w:szCs w:val="21"/>
              </w:rPr>
              <w:t>202</w:t>
            </w:r>
          </w:p>
        </w:tc>
        <w:tc>
          <w:tcPr>
            <w:tcW w:w="1660" w:type="dxa"/>
            <w:vAlign w:val="center"/>
          </w:tcPr>
          <w:p w:rsidR="00C861DA" w:rsidRDefault="0044752E">
            <w:pPr>
              <w:pStyle w:val="afe"/>
              <w:pBdr>
                <w:bottom w:val="none" w:sz="0" w:space="0" w:color="auto"/>
              </w:pBdr>
              <w:rPr>
                <w:rFonts w:ascii="Times New Roman" w:eastAsia="宋体" w:hAnsi="Times New Roman" w:cs="Times New Roman"/>
                <w:iCs/>
                <w:color w:val="000000" w:themeColor="text1"/>
                <w:kern w:val="0"/>
                <w:sz w:val="21"/>
                <w:szCs w:val="21"/>
              </w:rPr>
            </w:pPr>
            <w:r>
              <w:rPr>
                <w:rFonts w:ascii="Times New Roman" w:eastAsia="宋体" w:hAnsi="Times New Roman" w:cs="Times New Roman"/>
                <w:color w:val="000000" w:themeColor="text1"/>
                <w:kern w:val="0"/>
                <w:sz w:val="21"/>
                <w:szCs w:val="21"/>
              </w:rPr>
              <w:t>1900.24</w:t>
            </w:r>
          </w:p>
        </w:tc>
      </w:tr>
    </w:tbl>
    <w:p w:rsidR="00C861DA" w:rsidRDefault="0044752E">
      <w:pPr>
        <w:pStyle w:val="ac"/>
        <w:spacing w:line="360" w:lineRule="auto"/>
        <w:ind w:firstLineChars="200" w:firstLine="480"/>
        <w:jc w:val="both"/>
        <w:rPr>
          <w:rFonts w:ascii="Times New Roman" w:eastAsia="宋体" w:hAnsi="Times New Roman" w:cs="Times New Roman"/>
          <w:iCs/>
          <w:color w:val="000000" w:themeColor="text1"/>
          <w:kern w:val="0"/>
          <w:sz w:val="24"/>
          <w:szCs w:val="24"/>
        </w:rPr>
      </w:pPr>
      <w:r>
        <w:rPr>
          <w:rFonts w:ascii="宋体" w:eastAsia="宋体" w:hAnsi="宋体" w:cs="宋体" w:hint="eastAsia"/>
          <w:iCs/>
          <w:color w:val="000000" w:themeColor="text1"/>
          <w:kern w:val="0"/>
          <w:sz w:val="24"/>
          <w:szCs w:val="24"/>
        </w:rPr>
        <w:t>④</w:t>
      </w:r>
      <w:r>
        <w:rPr>
          <w:rFonts w:ascii="Times New Roman" w:eastAsia="宋体" w:hAnsi="Times New Roman" w:cs="Times New Roman"/>
          <w:iCs/>
          <w:color w:val="000000" w:themeColor="text1"/>
          <w:kern w:val="0"/>
          <w:sz w:val="24"/>
          <w:szCs w:val="24"/>
        </w:rPr>
        <w:t>大气环境防护距离确定</w:t>
      </w:r>
    </w:p>
    <w:p w:rsidR="00C861DA" w:rsidRDefault="0044752E">
      <w:pPr>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大气环境防护距离计算采用</w:t>
      </w:r>
      <w:r>
        <w:rPr>
          <w:rFonts w:ascii="Times New Roman" w:eastAsia="宋体" w:hAnsi="Times New Roman" w:cs="Times New Roman"/>
          <w:iCs/>
          <w:color w:val="000000" w:themeColor="text1"/>
          <w:sz w:val="24"/>
          <w:szCs w:val="24"/>
        </w:rPr>
        <w:t>AERMOD</w:t>
      </w:r>
      <w:r>
        <w:rPr>
          <w:rFonts w:ascii="Times New Roman" w:eastAsia="宋体" w:hAnsi="Times New Roman" w:cs="Times New Roman"/>
          <w:iCs/>
          <w:color w:val="000000" w:themeColor="text1"/>
          <w:sz w:val="24"/>
          <w:szCs w:val="24"/>
        </w:rPr>
        <w:t>进一步预测模型，模拟评价</w:t>
      </w:r>
      <w:r>
        <w:rPr>
          <w:rFonts w:ascii="Times New Roman" w:eastAsia="宋体" w:hAnsi="Times New Roman" w:cs="Times New Roman"/>
          <w:iCs/>
          <w:color w:val="000000" w:themeColor="text1"/>
          <w:sz w:val="24"/>
          <w:szCs w:val="24"/>
        </w:rPr>
        <w:t>2017</w:t>
      </w:r>
      <w:r>
        <w:rPr>
          <w:rFonts w:ascii="Times New Roman" w:eastAsia="宋体" w:hAnsi="Times New Roman" w:cs="Times New Roman"/>
          <w:iCs/>
          <w:color w:val="000000" w:themeColor="text1"/>
          <w:sz w:val="24"/>
          <w:szCs w:val="24"/>
        </w:rPr>
        <w:t>年内本项目所有有组织排放污染源和无组织排放污染源对厂界外主要污染物的小时平均浓度分布，判定是否有超过环境质量标准的网格区域。</w:t>
      </w:r>
    </w:p>
    <w:p w:rsidR="00C861DA" w:rsidRDefault="0044752E">
      <w:pPr>
        <w:keepNext/>
        <w:keepLines/>
        <w:tabs>
          <w:tab w:val="left" w:pos="4860"/>
          <w:tab w:val="left" w:pos="5040"/>
        </w:tabs>
        <w:autoSpaceDE/>
        <w:autoSpaceDN/>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w:t>
      </w:r>
      <w:r>
        <w:rPr>
          <w:rFonts w:ascii="Times New Roman" w:eastAsia="宋体" w:hAnsi="Times New Roman" w:cs="Times New Roman"/>
          <w:iCs/>
          <w:color w:val="000000" w:themeColor="text1"/>
          <w:sz w:val="24"/>
          <w:szCs w:val="24"/>
        </w:rPr>
        <w:t>5</w:t>
      </w:r>
      <w:r>
        <w:rPr>
          <w:rFonts w:ascii="Times New Roman" w:eastAsia="宋体" w:hAnsi="Times New Roman" w:cs="Times New Roman"/>
          <w:iCs/>
          <w:color w:val="000000" w:themeColor="text1"/>
          <w:sz w:val="24"/>
          <w:szCs w:val="24"/>
        </w:rPr>
        <w:t>）环境背景的处理</w:t>
      </w:r>
    </w:p>
    <w:p w:rsidR="00C861DA" w:rsidRDefault="0044752E">
      <w:pPr>
        <w:keepNext/>
        <w:keepLines/>
        <w:tabs>
          <w:tab w:val="left" w:pos="4860"/>
          <w:tab w:val="left" w:pos="5040"/>
        </w:tabs>
        <w:autoSpaceDE/>
        <w:autoSpaceDN/>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导则要求进行网格点和关心点预测浓度叠加背景值，本次预测背景浓度处理方案如下：</w:t>
      </w:r>
    </w:p>
    <w:p w:rsidR="00C861DA" w:rsidRDefault="0044752E">
      <w:pPr>
        <w:snapToGrid w:val="0"/>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关心点（监测点）小时浓度和日均浓度按贡献浓度与现状浓度叠加的方式处理。全网格最大落地浓度出现点按贡献浓度与现状监测结果平均值叠加方式处理，预测浓度分布仅考虑项目的浓度贡献值。背景浓度取各监测点的小时浓度最高值和日均浓度</w:t>
      </w:r>
      <w:r>
        <w:rPr>
          <w:rFonts w:ascii="Times New Roman" w:eastAsia="宋体" w:hAnsi="Times New Roman" w:cs="Times New Roman"/>
          <w:iCs/>
          <w:color w:val="000000" w:themeColor="text1"/>
          <w:sz w:val="24"/>
          <w:szCs w:val="24"/>
        </w:rPr>
        <w:t>最高值为各点背景浓度，由于现状监测未获得年均监测结果，年均浓度不进行背景叠加。</w:t>
      </w:r>
    </w:p>
    <w:p w:rsidR="00C861DA" w:rsidRDefault="0044752E">
      <w:pPr>
        <w:pStyle w:val="afe"/>
        <w:pBdr>
          <w:bottom w:val="none" w:sz="0" w:space="1" w:color="auto"/>
        </w:pBdr>
        <w:spacing w:line="360" w:lineRule="auto"/>
        <w:ind w:firstLineChars="200" w:firstLine="480"/>
        <w:jc w:val="left"/>
        <w:rPr>
          <w:rFonts w:ascii="Times New Roman" w:eastAsia="宋体" w:hAnsi="Times New Roman" w:cs="Times New Roman"/>
          <w:iCs/>
          <w:color w:val="000000" w:themeColor="text1"/>
          <w:kern w:val="0"/>
          <w:sz w:val="24"/>
          <w:szCs w:val="24"/>
        </w:rPr>
      </w:pPr>
      <w:r>
        <w:rPr>
          <w:rFonts w:ascii="Times New Roman" w:eastAsia="宋体" w:hAnsi="Times New Roman" w:cs="Times New Roman"/>
          <w:iCs/>
          <w:color w:val="000000" w:themeColor="text1"/>
          <w:kern w:val="0"/>
          <w:sz w:val="24"/>
          <w:szCs w:val="24"/>
        </w:rPr>
        <w:t>对于部分未进行背景浓度监测的关心点，其背景浓度根据风向、地形、距离选取附近监测点位的背景浓度作为该关心点的背景浓度。</w:t>
      </w:r>
    </w:p>
    <w:p w:rsidR="00C861DA" w:rsidRDefault="00C861DA">
      <w:pPr>
        <w:pStyle w:val="afe"/>
        <w:pBdr>
          <w:bottom w:val="none" w:sz="0" w:space="1" w:color="auto"/>
        </w:pBdr>
        <w:spacing w:line="360" w:lineRule="auto"/>
        <w:ind w:firstLineChars="200" w:firstLine="480"/>
        <w:jc w:val="left"/>
        <w:rPr>
          <w:rFonts w:ascii="Times New Roman" w:eastAsia="宋体" w:hAnsi="Times New Roman" w:cs="Times New Roman"/>
          <w:iCs/>
          <w:color w:val="000000" w:themeColor="text1"/>
          <w:kern w:val="0"/>
          <w:sz w:val="24"/>
          <w:szCs w:val="24"/>
        </w:rPr>
      </w:pPr>
    </w:p>
    <w:p w:rsidR="00C861DA" w:rsidRDefault="00C861DA">
      <w:pPr>
        <w:pStyle w:val="afe"/>
        <w:pBdr>
          <w:bottom w:val="none" w:sz="0" w:space="1" w:color="auto"/>
        </w:pBdr>
        <w:spacing w:line="360" w:lineRule="auto"/>
        <w:ind w:firstLineChars="200" w:firstLine="480"/>
        <w:jc w:val="left"/>
        <w:rPr>
          <w:rFonts w:ascii="Times New Roman" w:eastAsia="宋体" w:hAnsi="Times New Roman" w:cs="Times New Roman"/>
          <w:iCs/>
          <w:color w:val="000000" w:themeColor="text1"/>
          <w:kern w:val="0"/>
          <w:sz w:val="24"/>
          <w:szCs w:val="24"/>
        </w:rPr>
      </w:pPr>
    </w:p>
    <w:p w:rsidR="00C861DA" w:rsidRDefault="0044752E">
      <w:pPr>
        <w:keepNext/>
        <w:keepLines/>
        <w:tabs>
          <w:tab w:val="left" w:pos="4860"/>
          <w:tab w:val="left" w:pos="5040"/>
        </w:tabs>
        <w:autoSpaceDE/>
        <w:autoSpaceDN/>
        <w:spacing w:line="360" w:lineRule="auto"/>
        <w:ind w:firstLineChars="200" w:firstLine="482"/>
        <w:rPr>
          <w:rFonts w:ascii="Times New Roman" w:eastAsia="宋体"/>
          <w:b/>
          <w:bCs/>
          <w:iCs/>
          <w:color w:val="000000" w:themeColor="text1"/>
          <w:sz w:val="24"/>
          <w:szCs w:val="24"/>
        </w:rPr>
      </w:pPr>
      <w:r>
        <w:rPr>
          <w:rFonts w:ascii="Times New Roman" w:eastAsia="宋体" w:hint="eastAsia"/>
          <w:b/>
          <w:bCs/>
          <w:iCs/>
          <w:color w:val="000000" w:themeColor="text1"/>
          <w:sz w:val="24"/>
          <w:szCs w:val="24"/>
        </w:rPr>
        <w:t>（</w:t>
      </w:r>
      <w:r>
        <w:rPr>
          <w:rFonts w:ascii="Times New Roman" w:eastAsia="宋体" w:hint="eastAsia"/>
          <w:b/>
          <w:bCs/>
          <w:iCs/>
          <w:color w:val="000000" w:themeColor="text1"/>
          <w:sz w:val="24"/>
          <w:szCs w:val="24"/>
        </w:rPr>
        <w:t>6</w:t>
      </w:r>
      <w:r>
        <w:rPr>
          <w:rFonts w:ascii="Times New Roman" w:eastAsia="宋体" w:hint="eastAsia"/>
          <w:b/>
          <w:bCs/>
          <w:iCs/>
          <w:color w:val="000000" w:themeColor="text1"/>
          <w:sz w:val="24"/>
          <w:szCs w:val="24"/>
        </w:rPr>
        <w:t>）污染物源强</w:t>
      </w:r>
    </w:p>
    <w:p w:rsidR="00C861DA" w:rsidRDefault="0044752E">
      <w:pPr>
        <w:snapToGrid w:val="0"/>
        <w:spacing w:line="360" w:lineRule="auto"/>
        <w:ind w:firstLineChars="200" w:firstLine="480"/>
        <w:rPr>
          <w:rFonts w:ascii="Times New Roman" w:eastAsia="宋体"/>
          <w:iCs/>
          <w:color w:val="000000" w:themeColor="text1"/>
          <w:sz w:val="24"/>
          <w:szCs w:val="24"/>
        </w:rPr>
      </w:pPr>
      <w:r>
        <w:rPr>
          <w:rFonts w:ascii="Times New Roman" w:eastAsia="宋体" w:hint="eastAsia"/>
          <w:iCs/>
          <w:color w:val="000000" w:themeColor="text1"/>
          <w:sz w:val="24"/>
          <w:szCs w:val="24"/>
        </w:rPr>
        <w:t>根据总平面布置情况和排放源的分布位置定点，采用多源预测模式对各污染源对评价区域的影响计算。</w:t>
      </w:r>
    </w:p>
    <w:p w:rsidR="00C861DA" w:rsidRDefault="0044752E">
      <w:pPr>
        <w:pStyle w:val="21"/>
        <w:spacing w:line="240" w:lineRule="auto"/>
        <w:ind w:firstLine="0"/>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7.1-15  </w:t>
      </w:r>
      <w:r>
        <w:rPr>
          <w:rFonts w:ascii="Times New Roman" w:eastAsia="宋体" w:hAnsi="Times New Roman" w:cs="Times New Roman"/>
          <w:b/>
          <w:color w:val="000000" w:themeColor="text1"/>
          <w:sz w:val="24"/>
        </w:rPr>
        <w:t>污染物排放源强一览表</w:t>
      </w:r>
      <w:r>
        <w:rPr>
          <w:rFonts w:ascii="Times New Roman" w:eastAsia="宋体" w:hAnsi="Times New Roman" w:cs="Times New Roman" w:hint="eastAsia"/>
          <w:b/>
          <w:color w:val="000000" w:themeColor="text1"/>
          <w:sz w:val="24"/>
        </w:rPr>
        <w:t>（有组织）</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93"/>
        <w:gridCol w:w="568"/>
        <w:gridCol w:w="566"/>
        <w:gridCol w:w="712"/>
        <w:gridCol w:w="708"/>
        <w:gridCol w:w="710"/>
        <w:gridCol w:w="708"/>
        <w:gridCol w:w="568"/>
        <w:gridCol w:w="708"/>
        <w:gridCol w:w="708"/>
        <w:gridCol w:w="712"/>
        <w:gridCol w:w="568"/>
        <w:gridCol w:w="595"/>
      </w:tblGrid>
      <w:tr w:rsidR="00C861DA">
        <w:trPr>
          <w:trHeight w:val="369"/>
          <w:jc w:val="center"/>
        </w:trPr>
        <w:tc>
          <w:tcPr>
            <w:tcW w:w="421" w:type="dxa"/>
            <w:vMerge w:val="restart"/>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标编号</w:t>
            </w:r>
          </w:p>
        </w:tc>
        <w:tc>
          <w:tcPr>
            <w:tcW w:w="993" w:type="dxa"/>
            <w:vMerge w:val="restart"/>
            <w:vAlign w:val="center"/>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名称</w:t>
            </w:r>
          </w:p>
        </w:tc>
        <w:tc>
          <w:tcPr>
            <w:tcW w:w="1134" w:type="dxa"/>
            <w:gridSpan w:val="2"/>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排气筒底部坐标</w:t>
            </w:r>
            <w:r>
              <w:rPr>
                <w:rFonts w:ascii="Times New Roman" w:eastAsia="宋体" w:hint="eastAsia"/>
                <w:color w:val="000000" w:themeColor="text1"/>
                <w:sz w:val="18"/>
                <w:szCs w:val="18"/>
              </w:rPr>
              <w:t>/</w:t>
            </w:r>
            <w:r>
              <w:rPr>
                <w:rFonts w:ascii="Times New Roman" w:eastAsia="宋体"/>
                <w:color w:val="000000" w:themeColor="text1"/>
                <w:sz w:val="18"/>
                <w:szCs w:val="18"/>
              </w:rPr>
              <w:t>m</w:t>
            </w:r>
          </w:p>
        </w:tc>
        <w:tc>
          <w:tcPr>
            <w:tcW w:w="712" w:type="dxa"/>
            <w:vMerge w:val="restart"/>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排气筒底部海拔高度</w:t>
            </w:r>
            <w:r>
              <w:rPr>
                <w:rFonts w:ascii="Times New Roman" w:eastAsia="宋体" w:hint="eastAsia"/>
                <w:color w:val="000000" w:themeColor="text1"/>
                <w:sz w:val="18"/>
                <w:szCs w:val="18"/>
              </w:rPr>
              <w:t>/</w:t>
            </w:r>
            <w:r>
              <w:rPr>
                <w:rFonts w:ascii="Times New Roman" w:eastAsia="宋体"/>
                <w:color w:val="000000" w:themeColor="text1"/>
                <w:sz w:val="18"/>
                <w:szCs w:val="18"/>
              </w:rPr>
              <w:t>m</w:t>
            </w:r>
          </w:p>
        </w:tc>
        <w:tc>
          <w:tcPr>
            <w:tcW w:w="708" w:type="dxa"/>
            <w:vMerge w:val="restart"/>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排气筒高度</w:t>
            </w:r>
            <w:r>
              <w:rPr>
                <w:rFonts w:ascii="Times New Roman" w:eastAsia="宋体" w:hint="eastAsia"/>
                <w:color w:val="000000" w:themeColor="text1"/>
                <w:sz w:val="18"/>
                <w:szCs w:val="18"/>
              </w:rPr>
              <w:t>/</w:t>
            </w:r>
            <w:r>
              <w:rPr>
                <w:rFonts w:ascii="Times New Roman" w:eastAsia="宋体"/>
                <w:color w:val="000000" w:themeColor="text1"/>
                <w:sz w:val="18"/>
                <w:szCs w:val="18"/>
              </w:rPr>
              <w:t>m</w:t>
            </w:r>
          </w:p>
        </w:tc>
        <w:tc>
          <w:tcPr>
            <w:tcW w:w="710" w:type="dxa"/>
            <w:vMerge w:val="restart"/>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排气筒出口内径</w:t>
            </w:r>
            <w:r>
              <w:rPr>
                <w:rFonts w:ascii="Times New Roman" w:eastAsia="宋体" w:hint="eastAsia"/>
                <w:color w:val="000000" w:themeColor="text1"/>
                <w:sz w:val="18"/>
                <w:szCs w:val="18"/>
              </w:rPr>
              <w:t>/</w:t>
            </w:r>
            <w:r>
              <w:rPr>
                <w:rFonts w:ascii="Times New Roman" w:eastAsia="宋体"/>
                <w:color w:val="000000" w:themeColor="text1"/>
                <w:sz w:val="18"/>
                <w:szCs w:val="18"/>
              </w:rPr>
              <w:t>m</w:t>
            </w:r>
          </w:p>
        </w:tc>
        <w:tc>
          <w:tcPr>
            <w:tcW w:w="708" w:type="dxa"/>
            <w:vMerge w:val="restart"/>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烟气流速</w:t>
            </w:r>
            <w:r>
              <w:rPr>
                <w:rFonts w:ascii="Times New Roman" w:eastAsia="宋体" w:hint="eastAsia"/>
                <w:color w:val="000000" w:themeColor="text1"/>
                <w:sz w:val="18"/>
                <w:szCs w:val="18"/>
              </w:rPr>
              <w:t>/</w:t>
            </w:r>
            <w:r>
              <w:rPr>
                <w:rFonts w:ascii="Times New Roman" w:eastAsia="宋体" w:hint="eastAsia"/>
                <w:color w:val="000000" w:themeColor="text1"/>
                <w:sz w:val="18"/>
                <w:szCs w:val="18"/>
              </w:rPr>
              <w:t>（</w:t>
            </w:r>
            <w:r>
              <w:rPr>
                <w:rFonts w:ascii="Times New Roman" w:eastAsia="宋体" w:hint="eastAsia"/>
                <w:color w:val="000000" w:themeColor="text1"/>
                <w:sz w:val="18"/>
                <w:szCs w:val="18"/>
              </w:rPr>
              <w:t>m</w:t>
            </w:r>
            <w:r>
              <w:rPr>
                <w:rFonts w:ascii="Times New Roman" w:eastAsia="宋体"/>
                <w:color w:val="000000" w:themeColor="text1"/>
                <w:sz w:val="18"/>
                <w:szCs w:val="18"/>
              </w:rPr>
              <w:t>/s</w:t>
            </w:r>
            <w:r>
              <w:rPr>
                <w:rFonts w:ascii="Times New Roman" w:eastAsia="宋体" w:hint="eastAsia"/>
                <w:color w:val="000000" w:themeColor="text1"/>
                <w:sz w:val="18"/>
                <w:szCs w:val="18"/>
              </w:rPr>
              <w:t>）</w:t>
            </w:r>
          </w:p>
        </w:tc>
        <w:tc>
          <w:tcPr>
            <w:tcW w:w="568" w:type="dxa"/>
            <w:vMerge w:val="restart"/>
            <w:vAlign w:val="center"/>
          </w:tcPr>
          <w:p w:rsidR="00C861DA" w:rsidRDefault="0044752E">
            <w:pPr>
              <w:jc w:val="center"/>
              <w:rPr>
                <w:rFonts w:ascii="宋体" w:eastAsia="Yu Mincho" w:hAnsi="宋体" w:cs="宋体"/>
                <w:color w:val="000000" w:themeColor="text1"/>
                <w:sz w:val="18"/>
                <w:szCs w:val="18"/>
                <w:lang w:eastAsia="ja-JP"/>
              </w:rPr>
            </w:pPr>
            <w:r>
              <w:rPr>
                <w:rFonts w:ascii="Times New Roman" w:eastAsia="宋体" w:hint="eastAsia"/>
                <w:color w:val="000000" w:themeColor="text1"/>
                <w:sz w:val="18"/>
                <w:szCs w:val="18"/>
              </w:rPr>
              <w:t>烟气温度</w:t>
            </w:r>
            <w:r>
              <w:rPr>
                <w:rFonts w:ascii="Times New Roman" w:eastAsia="宋体" w:hint="eastAsia"/>
                <w:color w:val="000000" w:themeColor="text1"/>
                <w:sz w:val="18"/>
                <w:szCs w:val="18"/>
              </w:rPr>
              <w:t>/</w:t>
            </w:r>
            <w:r>
              <w:rPr>
                <w:rFonts w:ascii="宋体" w:eastAsia="宋体" w:hAnsi="宋体" w:cs="宋体" w:hint="eastAsia"/>
                <w:color w:val="000000" w:themeColor="text1"/>
                <w:sz w:val="18"/>
                <w:szCs w:val="18"/>
                <w:lang w:eastAsia="ja-JP"/>
              </w:rPr>
              <w:t>℃</w:t>
            </w:r>
          </w:p>
        </w:tc>
        <w:tc>
          <w:tcPr>
            <w:tcW w:w="708" w:type="dxa"/>
            <w:vMerge w:val="restart"/>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年排放小时数</w:t>
            </w:r>
            <w:r>
              <w:rPr>
                <w:rFonts w:ascii="Times New Roman" w:eastAsia="宋体" w:hint="eastAsia"/>
                <w:color w:val="000000" w:themeColor="text1"/>
                <w:sz w:val="18"/>
                <w:szCs w:val="18"/>
              </w:rPr>
              <w:t>/</w:t>
            </w:r>
            <w:r>
              <w:rPr>
                <w:rFonts w:ascii="Times New Roman" w:eastAsia="宋体"/>
                <w:color w:val="000000" w:themeColor="text1"/>
                <w:sz w:val="18"/>
                <w:szCs w:val="18"/>
              </w:rPr>
              <w:br/>
              <w:t>h</w:t>
            </w:r>
          </w:p>
        </w:tc>
        <w:tc>
          <w:tcPr>
            <w:tcW w:w="708" w:type="dxa"/>
            <w:vMerge w:val="restart"/>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排放工况</w:t>
            </w:r>
          </w:p>
        </w:tc>
        <w:tc>
          <w:tcPr>
            <w:tcW w:w="1875" w:type="dxa"/>
            <w:gridSpan w:val="3"/>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污染物排放速率（</w:t>
            </w:r>
            <w:r>
              <w:rPr>
                <w:rFonts w:ascii="Times New Roman" w:eastAsia="宋体" w:hint="eastAsia"/>
                <w:color w:val="000000" w:themeColor="text1"/>
                <w:sz w:val="18"/>
                <w:szCs w:val="18"/>
              </w:rPr>
              <w:t>kg</w:t>
            </w:r>
            <w:r>
              <w:rPr>
                <w:rFonts w:ascii="Times New Roman" w:eastAsia="宋体"/>
                <w:color w:val="000000" w:themeColor="text1"/>
                <w:sz w:val="18"/>
                <w:szCs w:val="18"/>
              </w:rPr>
              <w:t>/h</w:t>
            </w:r>
            <w:r>
              <w:rPr>
                <w:rFonts w:ascii="Times New Roman" w:eastAsia="宋体" w:hint="eastAsia"/>
                <w:color w:val="000000" w:themeColor="text1"/>
                <w:sz w:val="18"/>
                <w:szCs w:val="18"/>
              </w:rPr>
              <w:t>）</w:t>
            </w:r>
          </w:p>
        </w:tc>
      </w:tr>
      <w:tr w:rsidR="00C861DA">
        <w:trPr>
          <w:trHeight w:val="369"/>
          <w:jc w:val="center"/>
        </w:trPr>
        <w:tc>
          <w:tcPr>
            <w:tcW w:w="421" w:type="dxa"/>
            <w:vMerge/>
            <w:vAlign w:val="center"/>
          </w:tcPr>
          <w:p w:rsidR="00C861DA" w:rsidRDefault="00C861DA">
            <w:pPr>
              <w:jc w:val="center"/>
              <w:rPr>
                <w:rFonts w:ascii="Times New Roman" w:eastAsia="宋体"/>
                <w:color w:val="000000" w:themeColor="text1"/>
                <w:sz w:val="18"/>
                <w:szCs w:val="18"/>
              </w:rPr>
            </w:pPr>
          </w:p>
        </w:tc>
        <w:tc>
          <w:tcPr>
            <w:tcW w:w="993" w:type="dxa"/>
            <w:vMerge/>
            <w:vAlign w:val="center"/>
          </w:tcPr>
          <w:p w:rsidR="00C861DA" w:rsidRDefault="00C861DA">
            <w:pPr>
              <w:jc w:val="center"/>
              <w:rPr>
                <w:rFonts w:ascii="Times New Roman" w:eastAsia="宋体"/>
                <w:color w:val="000000" w:themeColor="text1"/>
                <w:sz w:val="18"/>
                <w:szCs w:val="18"/>
              </w:rPr>
            </w:pP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X</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Y</w:t>
            </w:r>
          </w:p>
        </w:tc>
        <w:tc>
          <w:tcPr>
            <w:tcW w:w="712" w:type="dxa"/>
            <w:vMerge/>
            <w:vAlign w:val="center"/>
          </w:tcPr>
          <w:p w:rsidR="00C861DA" w:rsidRDefault="00C861DA">
            <w:pPr>
              <w:jc w:val="center"/>
              <w:rPr>
                <w:rFonts w:ascii="Times New Roman" w:eastAsia="宋体"/>
                <w:color w:val="000000" w:themeColor="text1"/>
                <w:sz w:val="18"/>
                <w:szCs w:val="18"/>
              </w:rPr>
            </w:pPr>
          </w:p>
        </w:tc>
        <w:tc>
          <w:tcPr>
            <w:tcW w:w="708" w:type="dxa"/>
            <w:vMerge/>
            <w:vAlign w:val="center"/>
          </w:tcPr>
          <w:p w:rsidR="00C861DA" w:rsidRDefault="00C861DA">
            <w:pPr>
              <w:jc w:val="center"/>
              <w:rPr>
                <w:rFonts w:ascii="Times New Roman" w:eastAsia="宋体"/>
                <w:color w:val="000000" w:themeColor="text1"/>
                <w:sz w:val="18"/>
                <w:szCs w:val="18"/>
              </w:rPr>
            </w:pPr>
          </w:p>
        </w:tc>
        <w:tc>
          <w:tcPr>
            <w:tcW w:w="710" w:type="dxa"/>
            <w:vMerge/>
            <w:vAlign w:val="center"/>
          </w:tcPr>
          <w:p w:rsidR="00C861DA" w:rsidRDefault="00C861DA">
            <w:pPr>
              <w:jc w:val="center"/>
              <w:rPr>
                <w:rFonts w:ascii="Times New Roman" w:eastAsia="宋体"/>
                <w:color w:val="000000" w:themeColor="text1"/>
                <w:sz w:val="18"/>
                <w:szCs w:val="18"/>
              </w:rPr>
            </w:pPr>
          </w:p>
        </w:tc>
        <w:tc>
          <w:tcPr>
            <w:tcW w:w="708" w:type="dxa"/>
            <w:vMerge/>
            <w:vAlign w:val="center"/>
          </w:tcPr>
          <w:p w:rsidR="00C861DA" w:rsidRDefault="00C861DA">
            <w:pPr>
              <w:jc w:val="center"/>
              <w:rPr>
                <w:rFonts w:ascii="Times New Roman" w:eastAsia="宋体"/>
                <w:color w:val="000000" w:themeColor="text1"/>
                <w:sz w:val="18"/>
                <w:szCs w:val="18"/>
              </w:rPr>
            </w:pPr>
          </w:p>
        </w:tc>
        <w:tc>
          <w:tcPr>
            <w:tcW w:w="568" w:type="dxa"/>
            <w:vMerge/>
            <w:vAlign w:val="center"/>
          </w:tcPr>
          <w:p w:rsidR="00C861DA" w:rsidRDefault="00C861DA">
            <w:pPr>
              <w:jc w:val="center"/>
              <w:rPr>
                <w:rFonts w:ascii="Times New Roman" w:eastAsia="宋体"/>
                <w:color w:val="000000" w:themeColor="text1"/>
                <w:sz w:val="18"/>
                <w:szCs w:val="18"/>
              </w:rPr>
            </w:pPr>
          </w:p>
        </w:tc>
        <w:tc>
          <w:tcPr>
            <w:tcW w:w="708" w:type="dxa"/>
            <w:vMerge/>
            <w:vAlign w:val="center"/>
          </w:tcPr>
          <w:p w:rsidR="00C861DA" w:rsidRDefault="00C861DA">
            <w:pPr>
              <w:jc w:val="center"/>
              <w:rPr>
                <w:rFonts w:ascii="Times New Roman" w:eastAsia="宋体"/>
                <w:color w:val="000000" w:themeColor="text1"/>
                <w:sz w:val="18"/>
                <w:szCs w:val="18"/>
              </w:rPr>
            </w:pPr>
          </w:p>
        </w:tc>
        <w:tc>
          <w:tcPr>
            <w:tcW w:w="708" w:type="dxa"/>
            <w:vMerge/>
            <w:vAlign w:val="center"/>
          </w:tcPr>
          <w:p w:rsidR="00C861DA" w:rsidRDefault="00C861DA">
            <w:pPr>
              <w:jc w:val="center"/>
              <w:rPr>
                <w:rFonts w:ascii="Times New Roman" w:eastAsia="宋体"/>
                <w:color w:val="000000" w:themeColor="text1"/>
                <w:sz w:val="18"/>
                <w:szCs w:val="18"/>
              </w:rPr>
            </w:pP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氨</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NO</w:t>
            </w:r>
            <w:r>
              <w:rPr>
                <w:rFonts w:ascii="Times New Roman" w:eastAsia="宋体" w:hint="eastAsia"/>
                <w:color w:val="000000" w:themeColor="text1"/>
                <w:sz w:val="18"/>
                <w:szCs w:val="18"/>
                <w:vertAlign w:val="subscript"/>
              </w:rPr>
              <w:t>X</w:t>
            </w:r>
          </w:p>
        </w:tc>
        <w:tc>
          <w:tcPr>
            <w:tcW w:w="595"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颗粒</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5</w:t>
            </w:r>
            <w:r>
              <w:rPr>
                <w:rFonts w:ascii="Times New Roman" w:eastAsia="宋体"/>
                <w:color w:val="000000" w:themeColor="text1"/>
                <w:sz w:val="18"/>
                <w:szCs w:val="18"/>
              </w:rPr>
              <w:t>7</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45</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914</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4</w:t>
            </w:r>
            <w:r>
              <w:rPr>
                <w:rFonts w:ascii="Times New Roman" w:eastAsia="宋体"/>
                <w:color w:val="000000" w:themeColor="text1"/>
                <w:sz w:val="18"/>
                <w:szCs w:val="18"/>
              </w:rPr>
              <w:t>8</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1.2</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25.06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6</w:t>
            </w:r>
            <w:r>
              <w:rPr>
                <w:rFonts w:ascii="Times New Roman" w:eastAsia="宋体"/>
                <w:color w:val="000000" w:themeColor="text1"/>
                <w:sz w:val="18"/>
                <w:szCs w:val="18"/>
              </w:rPr>
              <w:t>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7200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3</w:t>
            </w:r>
            <w:r>
              <w:rPr>
                <w:rFonts w:ascii="Times New Roman" w:eastAsia="宋体"/>
                <w:color w:val="000000" w:themeColor="text1"/>
                <w:sz w:val="18"/>
                <w:szCs w:val="18"/>
              </w:rPr>
              <w:t>.55</w:t>
            </w:r>
          </w:p>
        </w:tc>
        <w:tc>
          <w:tcPr>
            <w:tcW w:w="595"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r>
              <w:rPr>
                <w:rFonts w:ascii="Times New Roman" w:eastAsia="宋体"/>
                <w:color w:val="000000" w:themeColor="text1"/>
                <w:sz w:val="18"/>
                <w:szCs w:val="18"/>
              </w:rPr>
              <w:t>45</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6</w:t>
            </w:r>
            <w:r>
              <w:rPr>
                <w:rFonts w:ascii="Times New Roman" w:eastAsia="宋体"/>
                <w:color w:val="000000" w:themeColor="text1"/>
                <w:sz w:val="18"/>
                <w:szCs w:val="18"/>
              </w:rPr>
              <w:t>6</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914</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5</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.5</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7.08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5</w:t>
            </w:r>
          </w:p>
        </w:tc>
        <w:tc>
          <w:tcPr>
            <w:tcW w:w="708" w:type="dxa"/>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7200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68"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95"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.18</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3</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3</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r>
              <w:rPr>
                <w:rFonts w:ascii="Times New Roman" w:eastAsia="宋体"/>
                <w:color w:val="000000" w:themeColor="text1"/>
                <w:sz w:val="18"/>
                <w:szCs w:val="18"/>
              </w:rPr>
              <w:t>54</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01</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914</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00</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.2</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18.43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4</w:t>
            </w:r>
            <w:r>
              <w:rPr>
                <w:rFonts w:ascii="Times New Roman" w:eastAsia="宋体"/>
                <w:color w:val="000000" w:themeColor="text1"/>
                <w:sz w:val="18"/>
                <w:szCs w:val="18"/>
              </w:rPr>
              <w:t>5</w:t>
            </w:r>
          </w:p>
        </w:tc>
        <w:tc>
          <w:tcPr>
            <w:tcW w:w="708" w:type="dxa"/>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7200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.5</w:t>
            </w:r>
          </w:p>
        </w:tc>
        <w:tc>
          <w:tcPr>
            <w:tcW w:w="568"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95"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.33</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4</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4</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r>
              <w:rPr>
                <w:rFonts w:ascii="Times New Roman" w:eastAsia="宋体"/>
                <w:color w:val="000000" w:themeColor="text1"/>
                <w:sz w:val="18"/>
                <w:szCs w:val="18"/>
              </w:rPr>
              <w:t>39</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82</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914</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5</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.5</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10.62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5</w:t>
            </w:r>
          </w:p>
        </w:tc>
        <w:tc>
          <w:tcPr>
            <w:tcW w:w="708" w:type="dxa"/>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7200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68"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95"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.42</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5</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5</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5</w:t>
            </w:r>
            <w:r>
              <w:rPr>
                <w:rFonts w:ascii="Times New Roman" w:eastAsia="宋体"/>
                <w:color w:val="000000" w:themeColor="text1"/>
                <w:sz w:val="18"/>
                <w:szCs w:val="18"/>
              </w:rPr>
              <w:t>0</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6</w:t>
            </w:r>
            <w:r>
              <w:rPr>
                <w:rFonts w:ascii="Times New Roman" w:eastAsia="宋体"/>
                <w:color w:val="000000" w:themeColor="text1"/>
                <w:sz w:val="18"/>
                <w:szCs w:val="18"/>
              </w:rPr>
              <w:t>8</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914</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3</w:t>
            </w:r>
            <w:r>
              <w:rPr>
                <w:rFonts w:ascii="Times New Roman" w:eastAsia="宋体"/>
                <w:color w:val="000000" w:themeColor="text1"/>
                <w:sz w:val="18"/>
                <w:szCs w:val="18"/>
              </w:rPr>
              <w:t>0</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.8</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2.76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5</w:t>
            </w:r>
          </w:p>
        </w:tc>
        <w:tc>
          <w:tcPr>
            <w:tcW w:w="708" w:type="dxa"/>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7200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.0125</w:t>
            </w:r>
          </w:p>
        </w:tc>
        <w:tc>
          <w:tcPr>
            <w:tcW w:w="568"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95"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6</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6</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4</w:t>
            </w:r>
            <w:r>
              <w:rPr>
                <w:rFonts w:ascii="Times New Roman" w:eastAsia="宋体"/>
                <w:color w:val="000000" w:themeColor="text1"/>
                <w:sz w:val="18"/>
                <w:szCs w:val="18"/>
              </w:rPr>
              <w:t>5</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35</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914</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3</w:t>
            </w:r>
            <w:r>
              <w:rPr>
                <w:rFonts w:ascii="Times New Roman" w:eastAsia="宋体"/>
                <w:color w:val="000000" w:themeColor="text1"/>
                <w:sz w:val="18"/>
                <w:szCs w:val="18"/>
              </w:rPr>
              <w:t>0</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.8</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1.66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5</w:t>
            </w:r>
          </w:p>
        </w:tc>
        <w:tc>
          <w:tcPr>
            <w:tcW w:w="708" w:type="dxa"/>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7200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.056</w:t>
            </w:r>
          </w:p>
        </w:tc>
        <w:tc>
          <w:tcPr>
            <w:tcW w:w="568"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95"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7</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7</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4</w:t>
            </w:r>
            <w:r>
              <w:rPr>
                <w:rFonts w:ascii="Times New Roman" w:eastAsia="宋体"/>
                <w:color w:val="000000" w:themeColor="text1"/>
                <w:sz w:val="18"/>
                <w:szCs w:val="18"/>
              </w:rPr>
              <w:t>8</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3</w:t>
            </w:r>
            <w:r>
              <w:rPr>
                <w:rFonts w:ascii="Times New Roman" w:eastAsia="宋体"/>
                <w:color w:val="000000" w:themeColor="text1"/>
                <w:sz w:val="18"/>
                <w:szCs w:val="18"/>
              </w:rPr>
              <w:t>5</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914</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5</w:t>
            </w:r>
            <w:r>
              <w:rPr>
                <w:rFonts w:ascii="Times New Roman" w:eastAsia="宋体"/>
                <w:color w:val="000000" w:themeColor="text1"/>
                <w:sz w:val="18"/>
                <w:szCs w:val="18"/>
              </w:rPr>
              <w:t>0</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.2</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4.42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5</w:t>
            </w:r>
          </w:p>
        </w:tc>
        <w:tc>
          <w:tcPr>
            <w:tcW w:w="708" w:type="dxa"/>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7200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.475</w:t>
            </w:r>
          </w:p>
        </w:tc>
        <w:tc>
          <w:tcPr>
            <w:tcW w:w="568"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95"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8</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8</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3</w:t>
            </w:r>
            <w:r>
              <w:rPr>
                <w:rFonts w:ascii="Times New Roman" w:eastAsia="宋体"/>
                <w:color w:val="000000" w:themeColor="text1"/>
                <w:sz w:val="18"/>
                <w:szCs w:val="18"/>
              </w:rPr>
              <w:t>5</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6</w:t>
            </w:r>
            <w:r>
              <w:rPr>
                <w:rFonts w:ascii="Times New Roman" w:eastAsia="宋体"/>
                <w:color w:val="000000" w:themeColor="text1"/>
                <w:sz w:val="18"/>
                <w:szCs w:val="18"/>
              </w:rPr>
              <w:t>9</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914</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5</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.5</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10.62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2</w:t>
            </w:r>
            <w:r>
              <w:rPr>
                <w:rFonts w:ascii="Times New Roman" w:eastAsia="宋体"/>
                <w:color w:val="000000" w:themeColor="text1"/>
                <w:sz w:val="18"/>
                <w:szCs w:val="18"/>
              </w:rPr>
              <w:t>5</w:t>
            </w:r>
          </w:p>
        </w:tc>
        <w:tc>
          <w:tcPr>
            <w:tcW w:w="708" w:type="dxa"/>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7200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r>
              <w:rPr>
                <w:rFonts w:ascii="Times New Roman" w:eastAsia="宋体"/>
                <w:color w:val="000000" w:themeColor="text1"/>
                <w:sz w:val="18"/>
                <w:szCs w:val="18"/>
              </w:rPr>
              <w:t>.276</w:t>
            </w:r>
          </w:p>
        </w:tc>
        <w:tc>
          <w:tcPr>
            <w:tcW w:w="568"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95"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r>
      <w:tr w:rsidR="00C861DA">
        <w:trPr>
          <w:trHeight w:val="369"/>
          <w:jc w:val="center"/>
        </w:trPr>
        <w:tc>
          <w:tcPr>
            <w:tcW w:w="421"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9</w:t>
            </w:r>
          </w:p>
        </w:tc>
        <w:tc>
          <w:tcPr>
            <w:tcW w:w="993"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9</w:t>
            </w:r>
            <w:r>
              <w:rPr>
                <w:rFonts w:ascii="Times New Roman" w:eastAsia="宋体"/>
                <w:color w:val="000000" w:themeColor="text1"/>
                <w:sz w:val="18"/>
                <w:szCs w:val="18"/>
              </w:rPr>
              <w:t>#</w:t>
            </w:r>
            <w:r>
              <w:rPr>
                <w:rFonts w:ascii="Times New Roman" w:eastAsia="宋体" w:hint="eastAsia"/>
                <w:color w:val="000000" w:themeColor="text1"/>
                <w:sz w:val="18"/>
                <w:szCs w:val="18"/>
              </w:rPr>
              <w:t>排气筒</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p>
        </w:tc>
        <w:tc>
          <w:tcPr>
            <w:tcW w:w="566"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0</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914</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1</w:t>
            </w:r>
            <w:r>
              <w:rPr>
                <w:rFonts w:ascii="Times New Roman" w:eastAsia="宋体"/>
                <w:color w:val="000000" w:themeColor="text1"/>
                <w:sz w:val="18"/>
                <w:szCs w:val="18"/>
              </w:rPr>
              <w:t>10</w:t>
            </w:r>
          </w:p>
        </w:tc>
        <w:tc>
          <w:tcPr>
            <w:tcW w:w="710" w:type="dxa"/>
            <w:vAlign w:val="center"/>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2.4</w:t>
            </w:r>
          </w:p>
        </w:tc>
        <w:tc>
          <w:tcPr>
            <w:tcW w:w="708" w:type="dxa"/>
            <w:vAlign w:val="bottom"/>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22"/>
              </w:rPr>
              <w:t xml:space="preserve">30.72 </w:t>
            </w:r>
          </w:p>
        </w:tc>
        <w:tc>
          <w:tcPr>
            <w:tcW w:w="56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4</w:t>
            </w:r>
            <w:r>
              <w:rPr>
                <w:rFonts w:ascii="Times New Roman" w:eastAsia="宋体"/>
                <w:color w:val="000000" w:themeColor="text1"/>
                <w:sz w:val="18"/>
                <w:szCs w:val="18"/>
              </w:rPr>
              <w:t>5</w:t>
            </w:r>
          </w:p>
        </w:tc>
        <w:tc>
          <w:tcPr>
            <w:tcW w:w="708" w:type="dxa"/>
          </w:tcPr>
          <w:p w:rsidR="00C861DA" w:rsidRDefault="0044752E">
            <w:pPr>
              <w:jc w:val="center"/>
              <w:rPr>
                <w:rFonts w:ascii="Times New Roman" w:eastAsia="宋体"/>
                <w:color w:val="000000" w:themeColor="text1"/>
                <w:sz w:val="18"/>
                <w:szCs w:val="18"/>
              </w:rPr>
            </w:pPr>
            <w:r>
              <w:rPr>
                <w:rFonts w:ascii="Times New Roman" w:eastAsia="宋体"/>
                <w:color w:val="000000" w:themeColor="text1"/>
                <w:sz w:val="18"/>
                <w:szCs w:val="18"/>
              </w:rPr>
              <w:t>7200</w:t>
            </w:r>
          </w:p>
        </w:tc>
        <w:tc>
          <w:tcPr>
            <w:tcW w:w="708"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正常</w:t>
            </w:r>
          </w:p>
        </w:tc>
        <w:tc>
          <w:tcPr>
            <w:tcW w:w="712"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4</w:t>
            </w:r>
            <w:r>
              <w:rPr>
                <w:rFonts w:ascii="Times New Roman" w:eastAsia="宋体"/>
                <w:color w:val="000000" w:themeColor="text1"/>
                <w:sz w:val="18"/>
                <w:szCs w:val="18"/>
              </w:rPr>
              <w:t>.17</w:t>
            </w:r>
          </w:p>
        </w:tc>
        <w:tc>
          <w:tcPr>
            <w:tcW w:w="568" w:type="dxa"/>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w:t>
            </w:r>
          </w:p>
        </w:tc>
        <w:tc>
          <w:tcPr>
            <w:tcW w:w="595" w:type="dxa"/>
            <w:vAlign w:val="center"/>
          </w:tcPr>
          <w:p w:rsidR="00C861DA" w:rsidRDefault="0044752E">
            <w:pPr>
              <w:jc w:val="center"/>
              <w:rPr>
                <w:rFonts w:ascii="Times New Roman" w:eastAsia="宋体"/>
                <w:color w:val="000000" w:themeColor="text1"/>
                <w:sz w:val="18"/>
                <w:szCs w:val="18"/>
              </w:rPr>
            </w:pPr>
            <w:r>
              <w:rPr>
                <w:rFonts w:ascii="Times New Roman" w:eastAsia="宋体" w:hint="eastAsia"/>
                <w:color w:val="000000" w:themeColor="text1"/>
                <w:sz w:val="18"/>
                <w:szCs w:val="18"/>
              </w:rPr>
              <w:t>3</w:t>
            </w:r>
            <w:r>
              <w:rPr>
                <w:rFonts w:ascii="Times New Roman" w:eastAsia="宋体"/>
                <w:color w:val="000000" w:themeColor="text1"/>
                <w:sz w:val="18"/>
                <w:szCs w:val="18"/>
              </w:rPr>
              <w:t>.89</w:t>
            </w:r>
          </w:p>
        </w:tc>
      </w:tr>
    </w:tbl>
    <w:p w:rsidR="00C861DA" w:rsidRDefault="0044752E">
      <w:pPr>
        <w:pStyle w:val="21"/>
        <w:rPr>
          <w:color w:val="000000" w:themeColor="text1"/>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7.1-16  </w:t>
      </w:r>
      <w:r>
        <w:rPr>
          <w:rFonts w:ascii="Times New Roman" w:eastAsia="宋体" w:hAnsi="Times New Roman" w:cs="Times New Roman"/>
          <w:b/>
          <w:color w:val="000000" w:themeColor="text1"/>
          <w:sz w:val="24"/>
        </w:rPr>
        <w:t>污染物排放源强一览表</w:t>
      </w:r>
      <w:r>
        <w:rPr>
          <w:rFonts w:ascii="Times New Roman" w:eastAsia="宋体" w:hAnsi="Times New Roman" w:cs="Times New Roman" w:hint="eastAsia"/>
          <w:b/>
          <w:color w:val="000000" w:themeColor="text1"/>
          <w:sz w:val="24"/>
        </w:rPr>
        <w:t>（无组织矩形面源）</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1550"/>
        <w:gridCol w:w="595"/>
        <w:gridCol w:w="527"/>
        <w:gridCol w:w="728"/>
        <w:gridCol w:w="682"/>
        <w:gridCol w:w="683"/>
        <w:gridCol w:w="677"/>
        <w:gridCol w:w="823"/>
        <w:gridCol w:w="681"/>
        <w:gridCol w:w="622"/>
        <w:gridCol w:w="622"/>
        <w:gridCol w:w="621"/>
      </w:tblGrid>
      <w:tr w:rsidR="00C861DA">
        <w:trPr>
          <w:trHeight w:val="369"/>
          <w:jc w:val="center"/>
        </w:trPr>
        <w:tc>
          <w:tcPr>
            <w:tcW w:w="412" w:type="dxa"/>
            <w:vMerge w:val="restart"/>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标编号</w:t>
            </w:r>
          </w:p>
        </w:tc>
        <w:tc>
          <w:tcPr>
            <w:tcW w:w="1550" w:type="dxa"/>
            <w:vMerge w:val="restart"/>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名称</w:t>
            </w:r>
          </w:p>
        </w:tc>
        <w:tc>
          <w:tcPr>
            <w:tcW w:w="1122" w:type="dxa"/>
            <w:gridSpan w:val="2"/>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面源起点坐标</w:t>
            </w:r>
            <w:r>
              <w:rPr>
                <w:rFonts w:ascii="Times New Roman" w:eastAsia="宋体" w:hAnsi="Times New Roman" w:cs="Times New Roman"/>
                <w:color w:val="000000" w:themeColor="text1"/>
                <w:sz w:val="18"/>
                <w:szCs w:val="18"/>
              </w:rPr>
              <w:t>/m</w:t>
            </w:r>
          </w:p>
        </w:tc>
        <w:tc>
          <w:tcPr>
            <w:tcW w:w="728" w:type="dxa"/>
            <w:vMerge w:val="restart"/>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面源海拔高度</w:t>
            </w:r>
            <w:r>
              <w:rPr>
                <w:rFonts w:ascii="Times New Roman" w:eastAsia="宋体" w:hAnsi="Times New Roman" w:cs="Times New Roman"/>
                <w:color w:val="000000" w:themeColor="text1"/>
                <w:sz w:val="18"/>
                <w:szCs w:val="18"/>
              </w:rPr>
              <w:t>/m</w:t>
            </w:r>
          </w:p>
        </w:tc>
        <w:tc>
          <w:tcPr>
            <w:tcW w:w="682" w:type="dxa"/>
            <w:vMerge w:val="restart"/>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面源长度</w:t>
            </w:r>
            <w:r>
              <w:rPr>
                <w:rFonts w:ascii="Times New Roman" w:eastAsia="宋体" w:hAnsi="Times New Roman" w:cs="Times New Roman"/>
                <w:color w:val="000000" w:themeColor="text1"/>
                <w:sz w:val="18"/>
                <w:szCs w:val="18"/>
              </w:rPr>
              <w:t>/m</w:t>
            </w:r>
          </w:p>
        </w:tc>
        <w:tc>
          <w:tcPr>
            <w:tcW w:w="683" w:type="dxa"/>
            <w:vMerge w:val="restart"/>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面源宽度</w:t>
            </w:r>
            <w:r>
              <w:rPr>
                <w:rFonts w:ascii="Times New Roman" w:eastAsia="宋体" w:hAnsi="Times New Roman" w:cs="Times New Roman"/>
                <w:color w:val="000000" w:themeColor="text1"/>
                <w:sz w:val="18"/>
                <w:szCs w:val="18"/>
              </w:rPr>
              <w:t>/m</w:t>
            </w:r>
          </w:p>
        </w:tc>
        <w:tc>
          <w:tcPr>
            <w:tcW w:w="677" w:type="dxa"/>
            <w:vMerge w:val="restart"/>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与正北向夹角</w:t>
            </w:r>
            <w:r>
              <w:rPr>
                <w:rFonts w:ascii="Times New Roman" w:eastAsia="宋体" w:hAnsi="Times New Roman" w:cs="Times New Roman"/>
                <w:color w:val="000000" w:themeColor="text1"/>
                <w:sz w:val="18"/>
                <w:szCs w:val="18"/>
              </w:rPr>
              <w:t>/°</w:t>
            </w:r>
          </w:p>
        </w:tc>
        <w:tc>
          <w:tcPr>
            <w:tcW w:w="823" w:type="dxa"/>
            <w:vMerge w:val="restart"/>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年排放小时数</w:t>
            </w:r>
            <w:r>
              <w:rPr>
                <w:rFonts w:ascii="Times New Roman" w:eastAsia="宋体" w:hAnsi="Times New Roman" w:cs="Times New Roman"/>
                <w:color w:val="000000" w:themeColor="text1"/>
                <w:sz w:val="18"/>
                <w:szCs w:val="18"/>
              </w:rPr>
              <w:t>/h</w:t>
            </w:r>
          </w:p>
        </w:tc>
        <w:tc>
          <w:tcPr>
            <w:tcW w:w="681" w:type="dxa"/>
            <w:vMerge w:val="restart"/>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排放工况</w:t>
            </w:r>
          </w:p>
        </w:tc>
        <w:tc>
          <w:tcPr>
            <w:tcW w:w="1865" w:type="dxa"/>
            <w:gridSpan w:val="3"/>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排放速率</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color w:val="000000" w:themeColor="text1"/>
                <w:sz w:val="18"/>
                <w:szCs w:val="18"/>
              </w:rPr>
              <w:t>kg/h</w:t>
            </w:r>
          </w:p>
        </w:tc>
      </w:tr>
      <w:tr w:rsidR="00C861DA">
        <w:trPr>
          <w:trHeight w:val="369"/>
          <w:jc w:val="center"/>
        </w:trPr>
        <w:tc>
          <w:tcPr>
            <w:tcW w:w="412" w:type="dxa"/>
            <w:vMerge/>
            <w:vAlign w:val="center"/>
          </w:tcPr>
          <w:p w:rsidR="00C861DA" w:rsidRDefault="00C861DA">
            <w:pPr>
              <w:jc w:val="center"/>
              <w:rPr>
                <w:rFonts w:ascii="Times New Roman" w:eastAsia="宋体" w:hAnsi="Times New Roman" w:cs="Times New Roman"/>
                <w:color w:val="000000" w:themeColor="text1"/>
                <w:sz w:val="18"/>
                <w:szCs w:val="18"/>
              </w:rPr>
            </w:pPr>
          </w:p>
        </w:tc>
        <w:tc>
          <w:tcPr>
            <w:tcW w:w="1550" w:type="dxa"/>
            <w:vMerge/>
            <w:vAlign w:val="center"/>
          </w:tcPr>
          <w:p w:rsidR="00C861DA" w:rsidRDefault="00C861DA">
            <w:pPr>
              <w:jc w:val="center"/>
              <w:rPr>
                <w:rFonts w:ascii="Times New Roman" w:eastAsia="宋体" w:hAnsi="Times New Roman" w:cs="Times New Roman"/>
                <w:color w:val="000000" w:themeColor="text1"/>
                <w:sz w:val="18"/>
                <w:szCs w:val="18"/>
              </w:rPr>
            </w:pPr>
          </w:p>
        </w:tc>
        <w:tc>
          <w:tcPr>
            <w:tcW w:w="595"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X</w:t>
            </w:r>
          </w:p>
        </w:tc>
        <w:tc>
          <w:tcPr>
            <w:tcW w:w="52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Y</w:t>
            </w:r>
          </w:p>
        </w:tc>
        <w:tc>
          <w:tcPr>
            <w:tcW w:w="728" w:type="dxa"/>
            <w:vMerge/>
            <w:vAlign w:val="center"/>
          </w:tcPr>
          <w:p w:rsidR="00C861DA" w:rsidRDefault="00C861DA">
            <w:pPr>
              <w:jc w:val="center"/>
              <w:rPr>
                <w:rFonts w:ascii="Times New Roman" w:eastAsia="宋体" w:hAnsi="Times New Roman" w:cs="Times New Roman"/>
                <w:color w:val="000000" w:themeColor="text1"/>
                <w:sz w:val="18"/>
                <w:szCs w:val="18"/>
              </w:rPr>
            </w:pPr>
          </w:p>
        </w:tc>
        <w:tc>
          <w:tcPr>
            <w:tcW w:w="682" w:type="dxa"/>
            <w:vMerge/>
            <w:vAlign w:val="center"/>
          </w:tcPr>
          <w:p w:rsidR="00C861DA" w:rsidRDefault="00C861DA">
            <w:pPr>
              <w:jc w:val="center"/>
              <w:rPr>
                <w:rFonts w:ascii="Times New Roman" w:eastAsia="宋体" w:hAnsi="Times New Roman" w:cs="Times New Roman"/>
                <w:color w:val="000000" w:themeColor="text1"/>
                <w:sz w:val="18"/>
                <w:szCs w:val="18"/>
              </w:rPr>
            </w:pPr>
          </w:p>
        </w:tc>
        <w:tc>
          <w:tcPr>
            <w:tcW w:w="683" w:type="dxa"/>
            <w:vMerge/>
            <w:vAlign w:val="center"/>
          </w:tcPr>
          <w:p w:rsidR="00C861DA" w:rsidRDefault="00C861DA">
            <w:pPr>
              <w:jc w:val="center"/>
              <w:rPr>
                <w:rFonts w:ascii="Times New Roman" w:eastAsia="宋体" w:hAnsi="Times New Roman" w:cs="Times New Roman"/>
                <w:color w:val="000000" w:themeColor="text1"/>
                <w:sz w:val="18"/>
                <w:szCs w:val="18"/>
              </w:rPr>
            </w:pPr>
          </w:p>
        </w:tc>
        <w:tc>
          <w:tcPr>
            <w:tcW w:w="677" w:type="dxa"/>
            <w:vMerge/>
            <w:vAlign w:val="center"/>
          </w:tcPr>
          <w:p w:rsidR="00C861DA" w:rsidRDefault="00C861DA">
            <w:pPr>
              <w:jc w:val="center"/>
              <w:rPr>
                <w:rFonts w:ascii="Times New Roman" w:eastAsia="宋体" w:hAnsi="Times New Roman" w:cs="Times New Roman"/>
                <w:color w:val="000000" w:themeColor="text1"/>
                <w:sz w:val="18"/>
                <w:szCs w:val="18"/>
              </w:rPr>
            </w:pPr>
          </w:p>
        </w:tc>
        <w:tc>
          <w:tcPr>
            <w:tcW w:w="823" w:type="dxa"/>
            <w:vMerge/>
            <w:vAlign w:val="center"/>
          </w:tcPr>
          <w:p w:rsidR="00C861DA" w:rsidRDefault="00C861DA">
            <w:pPr>
              <w:jc w:val="center"/>
              <w:rPr>
                <w:rFonts w:ascii="Times New Roman" w:eastAsia="宋体" w:hAnsi="Times New Roman" w:cs="Times New Roman"/>
                <w:color w:val="000000" w:themeColor="text1"/>
                <w:sz w:val="18"/>
                <w:szCs w:val="18"/>
              </w:rPr>
            </w:pPr>
          </w:p>
        </w:tc>
        <w:tc>
          <w:tcPr>
            <w:tcW w:w="681" w:type="dxa"/>
            <w:vMerge/>
            <w:vAlign w:val="center"/>
          </w:tcPr>
          <w:p w:rsidR="00C861DA" w:rsidRDefault="00C861DA">
            <w:pPr>
              <w:jc w:val="center"/>
              <w:rPr>
                <w:rFonts w:ascii="Times New Roman" w:eastAsia="宋体" w:hAnsi="Times New Roman" w:cs="Times New Roman"/>
                <w:color w:val="000000" w:themeColor="text1"/>
                <w:sz w:val="18"/>
                <w:szCs w:val="18"/>
              </w:rPr>
            </w:pPr>
          </w:p>
        </w:tc>
        <w:tc>
          <w:tcPr>
            <w:tcW w:w="6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氨</w:t>
            </w:r>
          </w:p>
        </w:tc>
        <w:tc>
          <w:tcPr>
            <w:tcW w:w="6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NO</w:t>
            </w:r>
            <w:r>
              <w:rPr>
                <w:rFonts w:ascii="Times New Roman" w:eastAsia="宋体" w:hAnsi="Times New Roman" w:cs="Times New Roman" w:hint="eastAsia"/>
                <w:color w:val="000000" w:themeColor="text1"/>
                <w:sz w:val="18"/>
                <w:szCs w:val="18"/>
                <w:vertAlign w:val="subscript"/>
              </w:rPr>
              <w:t>X</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颗粒</w:t>
            </w:r>
          </w:p>
        </w:tc>
      </w:tr>
      <w:tr w:rsidR="00C861DA">
        <w:trPr>
          <w:trHeight w:val="369"/>
          <w:jc w:val="center"/>
        </w:trPr>
        <w:tc>
          <w:tcPr>
            <w:tcW w:w="41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p>
        </w:tc>
        <w:tc>
          <w:tcPr>
            <w:tcW w:w="1550"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硝酸生产单元</w:t>
            </w:r>
          </w:p>
        </w:tc>
        <w:tc>
          <w:tcPr>
            <w:tcW w:w="595"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7</w:t>
            </w:r>
            <w:r>
              <w:rPr>
                <w:rFonts w:ascii="Times New Roman" w:eastAsia="宋体" w:hAnsi="Times New Roman" w:cs="Times New Roman"/>
                <w:color w:val="000000" w:themeColor="text1"/>
                <w:sz w:val="18"/>
                <w:szCs w:val="18"/>
              </w:rPr>
              <w:t>4</w:t>
            </w:r>
          </w:p>
        </w:tc>
        <w:tc>
          <w:tcPr>
            <w:tcW w:w="52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46</w:t>
            </w:r>
          </w:p>
        </w:tc>
        <w:tc>
          <w:tcPr>
            <w:tcW w:w="728"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914</w:t>
            </w:r>
          </w:p>
        </w:tc>
        <w:tc>
          <w:tcPr>
            <w:tcW w:w="68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6</w:t>
            </w:r>
            <w:r>
              <w:rPr>
                <w:rFonts w:ascii="Times New Roman" w:eastAsia="宋体" w:hAnsi="Times New Roman" w:cs="Times New Roman"/>
                <w:color w:val="000000" w:themeColor="text1"/>
                <w:sz w:val="18"/>
                <w:szCs w:val="18"/>
              </w:rPr>
              <w:t>1</w:t>
            </w:r>
          </w:p>
        </w:tc>
        <w:tc>
          <w:tcPr>
            <w:tcW w:w="68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3</w:t>
            </w:r>
            <w:r>
              <w:rPr>
                <w:rFonts w:ascii="Times New Roman" w:eastAsia="宋体" w:hAnsi="Times New Roman" w:cs="Times New Roman"/>
                <w:color w:val="000000" w:themeColor="text1"/>
                <w:sz w:val="18"/>
                <w:szCs w:val="18"/>
              </w:rPr>
              <w:t>0</w:t>
            </w:r>
          </w:p>
        </w:tc>
        <w:tc>
          <w:tcPr>
            <w:tcW w:w="67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82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2400</w:t>
            </w:r>
          </w:p>
        </w:tc>
        <w:tc>
          <w:tcPr>
            <w:tcW w:w="68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正常</w:t>
            </w:r>
          </w:p>
        </w:tc>
        <w:tc>
          <w:tcPr>
            <w:tcW w:w="6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.011</w:t>
            </w:r>
          </w:p>
        </w:tc>
        <w:tc>
          <w:tcPr>
            <w:tcW w:w="6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.015</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p>
        </w:tc>
      </w:tr>
      <w:tr w:rsidR="00C861DA">
        <w:trPr>
          <w:trHeight w:val="369"/>
          <w:jc w:val="center"/>
        </w:trPr>
        <w:tc>
          <w:tcPr>
            <w:tcW w:w="41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1550"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硝酸铵生产单元</w:t>
            </w:r>
          </w:p>
        </w:tc>
        <w:tc>
          <w:tcPr>
            <w:tcW w:w="595"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6</w:t>
            </w:r>
            <w:r>
              <w:rPr>
                <w:rFonts w:ascii="Times New Roman" w:eastAsia="宋体" w:hAnsi="Times New Roman" w:cs="Times New Roman"/>
                <w:color w:val="000000" w:themeColor="text1"/>
                <w:sz w:val="18"/>
                <w:szCs w:val="18"/>
              </w:rPr>
              <w:t>7</w:t>
            </w:r>
          </w:p>
        </w:tc>
        <w:tc>
          <w:tcPr>
            <w:tcW w:w="52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07</w:t>
            </w:r>
          </w:p>
        </w:tc>
        <w:tc>
          <w:tcPr>
            <w:tcW w:w="728"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914</w:t>
            </w:r>
          </w:p>
        </w:tc>
        <w:tc>
          <w:tcPr>
            <w:tcW w:w="68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6</w:t>
            </w:r>
            <w:r>
              <w:rPr>
                <w:rFonts w:ascii="Times New Roman" w:eastAsia="宋体" w:hAnsi="Times New Roman" w:cs="Times New Roman"/>
                <w:color w:val="000000" w:themeColor="text1"/>
                <w:sz w:val="18"/>
                <w:szCs w:val="18"/>
              </w:rPr>
              <w:t>1</w:t>
            </w:r>
          </w:p>
        </w:tc>
        <w:tc>
          <w:tcPr>
            <w:tcW w:w="68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4</w:t>
            </w:r>
            <w:r>
              <w:rPr>
                <w:rFonts w:ascii="Times New Roman" w:eastAsia="宋体" w:hAnsi="Times New Roman" w:cs="Times New Roman"/>
                <w:color w:val="000000" w:themeColor="text1"/>
                <w:sz w:val="18"/>
                <w:szCs w:val="18"/>
              </w:rPr>
              <w:t>0</w:t>
            </w:r>
          </w:p>
        </w:tc>
        <w:tc>
          <w:tcPr>
            <w:tcW w:w="67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82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2400</w:t>
            </w:r>
          </w:p>
        </w:tc>
        <w:tc>
          <w:tcPr>
            <w:tcW w:w="68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正常</w:t>
            </w:r>
          </w:p>
        </w:tc>
        <w:tc>
          <w:tcPr>
            <w:tcW w:w="6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.015</w:t>
            </w:r>
          </w:p>
        </w:tc>
        <w:tc>
          <w:tcPr>
            <w:tcW w:w="6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.025</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p>
        </w:tc>
      </w:tr>
      <w:tr w:rsidR="00C861DA">
        <w:trPr>
          <w:trHeight w:val="369"/>
          <w:jc w:val="center"/>
        </w:trPr>
        <w:tc>
          <w:tcPr>
            <w:tcW w:w="41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3</w:t>
            </w:r>
          </w:p>
        </w:tc>
        <w:tc>
          <w:tcPr>
            <w:tcW w:w="1550"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硝基复合肥生产单元</w:t>
            </w:r>
          </w:p>
        </w:tc>
        <w:tc>
          <w:tcPr>
            <w:tcW w:w="595"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r>
              <w:rPr>
                <w:rFonts w:ascii="Times New Roman" w:eastAsia="宋体" w:hAnsi="Times New Roman" w:cs="Times New Roman"/>
                <w:color w:val="000000" w:themeColor="text1"/>
                <w:sz w:val="18"/>
                <w:szCs w:val="18"/>
              </w:rPr>
              <w:t>14</w:t>
            </w:r>
          </w:p>
        </w:tc>
        <w:tc>
          <w:tcPr>
            <w:tcW w:w="52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78</w:t>
            </w:r>
          </w:p>
        </w:tc>
        <w:tc>
          <w:tcPr>
            <w:tcW w:w="728"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914</w:t>
            </w:r>
          </w:p>
        </w:tc>
        <w:tc>
          <w:tcPr>
            <w:tcW w:w="68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3</w:t>
            </w:r>
            <w:r>
              <w:rPr>
                <w:rFonts w:ascii="Times New Roman" w:eastAsia="宋体" w:hAnsi="Times New Roman" w:cs="Times New Roman"/>
                <w:color w:val="000000" w:themeColor="text1"/>
                <w:sz w:val="18"/>
                <w:szCs w:val="18"/>
              </w:rPr>
              <w:t>0</w:t>
            </w:r>
          </w:p>
        </w:tc>
        <w:tc>
          <w:tcPr>
            <w:tcW w:w="68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8</w:t>
            </w:r>
            <w:r>
              <w:rPr>
                <w:rFonts w:ascii="Times New Roman" w:eastAsia="宋体" w:hAnsi="Times New Roman" w:cs="Times New Roman"/>
                <w:color w:val="000000" w:themeColor="text1"/>
                <w:sz w:val="18"/>
                <w:szCs w:val="18"/>
              </w:rPr>
              <w:t>0</w:t>
            </w:r>
          </w:p>
        </w:tc>
        <w:tc>
          <w:tcPr>
            <w:tcW w:w="67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82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2400</w:t>
            </w:r>
          </w:p>
        </w:tc>
        <w:tc>
          <w:tcPr>
            <w:tcW w:w="68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正常</w:t>
            </w:r>
          </w:p>
        </w:tc>
        <w:tc>
          <w:tcPr>
            <w:tcW w:w="6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.04</w:t>
            </w:r>
          </w:p>
        </w:tc>
        <w:tc>
          <w:tcPr>
            <w:tcW w:w="6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.138</w:t>
            </w:r>
          </w:p>
        </w:tc>
      </w:tr>
      <w:tr w:rsidR="00C861DA">
        <w:trPr>
          <w:trHeight w:val="369"/>
          <w:jc w:val="center"/>
        </w:trPr>
        <w:tc>
          <w:tcPr>
            <w:tcW w:w="41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4</w:t>
            </w:r>
          </w:p>
        </w:tc>
        <w:tc>
          <w:tcPr>
            <w:tcW w:w="1550"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尿素生产单元</w:t>
            </w:r>
          </w:p>
        </w:tc>
        <w:tc>
          <w:tcPr>
            <w:tcW w:w="595"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4</w:t>
            </w:r>
            <w:r>
              <w:rPr>
                <w:rFonts w:ascii="Times New Roman" w:eastAsia="宋体" w:hAnsi="Times New Roman" w:cs="Times New Roman"/>
                <w:color w:val="000000" w:themeColor="text1"/>
                <w:sz w:val="18"/>
                <w:szCs w:val="18"/>
              </w:rPr>
              <w:t>1</w:t>
            </w:r>
          </w:p>
        </w:tc>
        <w:tc>
          <w:tcPr>
            <w:tcW w:w="52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6</w:t>
            </w:r>
            <w:r>
              <w:rPr>
                <w:rFonts w:ascii="Times New Roman" w:eastAsia="宋体" w:hAnsi="Times New Roman" w:cs="Times New Roman"/>
                <w:color w:val="000000" w:themeColor="text1"/>
                <w:sz w:val="18"/>
                <w:szCs w:val="18"/>
              </w:rPr>
              <w:t>3</w:t>
            </w:r>
          </w:p>
        </w:tc>
        <w:tc>
          <w:tcPr>
            <w:tcW w:w="728"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914</w:t>
            </w:r>
          </w:p>
        </w:tc>
        <w:tc>
          <w:tcPr>
            <w:tcW w:w="68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4</w:t>
            </w:r>
            <w:r>
              <w:rPr>
                <w:rFonts w:ascii="Times New Roman" w:eastAsia="宋体" w:hAnsi="Times New Roman" w:cs="Times New Roman"/>
                <w:color w:val="000000" w:themeColor="text1"/>
                <w:sz w:val="18"/>
                <w:szCs w:val="18"/>
              </w:rPr>
              <w:t>0</w:t>
            </w:r>
          </w:p>
        </w:tc>
        <w:tc>
          <w:tcPr>
            <w:tcW w:w="68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5</w:t>
            </w:r>
            <w:r>
              <w:rPr>
                <w:rFonts w:ascii="Times New Roman" w:eastAsia="宋体" w:hAnsi="Times New Roman" w:cs="Times New Roman"/>
                <w:color w:val="000000" w:themeColor="text1"/>
                <w:sz w:val="18"/>
                <w:szCs w:val="18"/>
              </w:rPr>
              <w:t>0</w:t>
            </w:r>
          </w:p>
        </w:tc>
        <w:tc>
          <w:tcPr>
            <w:tcW w:w="67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82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2400</w:t>
            </w:r>
          </w:p>
        </w:tc>
        <w:tc>
          <w:tcPr>
            <w:tcW w:w="68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正常</w:t>
            </w:r>
          </w:p>
        </w:tc>
        <w:tc>
          <w:tcPr>
            <w:tcW w:w="6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.004</w:t>
            </w:r>
          </w:p>
        </w:tc>
        <w:tc>
          <w:tcPr>
            <w:tcW w:w="6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p>
        </w:tc>
      </w:tr>
      <w:tr w:rsidR="00C861DA">
        <w:trPr>
          <w:trHeight w:val="369"/>
          <w:jc w:val="center"/>
        </w:trPr>
        <w:tc>
          <w:tcPr>
            <w:tcW w:w="41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5</w:t>
            </w:r>
          </w:p>
        </w:tc>
        <w:tc>
          <w:tcPr>
            <w:tcW w:w="1550"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尿基复合肥生产单元</w:t>
            </w:r>
          </w:p>
        </w:tc>
        <w:tc>
          <w:tcPr>
            <w:tcW w:w="595"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5</w:t>
            </w:r>
            <w:r>
              <w:rPr>
                <w:rFonts w:ascii="Times New Roman" w:eastAsia="宋体" w:hAnsi="Times New Roman" w:cs="Times New Roman"/>
                <w:color w:val="000000" w:themeColor="text1"/>
                <w:sz w:val="18"/>
                <w:szCs w:val="18"/>
              </w:rPr>
              <w:t>1</w:t>
            </w:r>
          </w:p>
        </w:tc>
        <w:tc>
          <w:tcPr>
            <w:tcW w:w="52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4</w:t>
            </w:r>
            <w:r>
              <w:rPr>
                <w:rFonts w:ascii="Times New Roman" w:eastAsia="宋体" w:hAnsi="Times New Roman" w:cs="Times New Roman"/>
                <w:color w:val="000000" w:themeColor="text1"/>
                <w:sz w:val="18"/>
                <w:szCs w:val="18"/>
              </w:rPr>
              <w:t>4</w:t>
            </w:r>
          </w:p>
        </w:tc>
        <w:tc>
          <w:tcPr>
            <w:tcW w:w="728"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w:t>
            </w:r>
            <w:r>
              <w:rPr>
                <w:rFonts w:ascii="Times New Roman" w:eastAsia="宋体" w:hAnsi="Times New Roman" w:cs="Times New Roman"/>
                <w:color w:val="000000" w:themeColor="text1"/>
                <w:sz w:val="18"/>
                <w:szCs w:val="18"/>
              </w:rPr>
              <w:t>914</w:t>
            </w:r>
          </w:p>
        </w:tc>
        <w:tc>
          <w:tcPr>
            <w:tcW w:w="68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6</w:t>
            </w:r>
            <w:r>
              <w:rPr>
                <w:rFonts w:ascii="Times New Roman" w:eastAsia="宋体" w:hAnsi="Times New Roman" w:cs="Times New Roman"/>
                <w:color w:val="000000" w:themeColor="text1"/>
                <w:sz w:val="18"/>
                <w:szCs w:val="18"/>
              </w:rPr>
              <w:t>0</w:t>
            </w:r>
          </w:p>
        </w:tc>
        <w:tc>
          <w:tcPr>
            <w:tcW w:w="68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5</w:t>
            </w:r>
            <w:r>
              <w:rPr>
                <w:rFonts w:ascii="Times New Roman" w:eastAsia="宋体" w:hAnsi="Times New Roman" w:cs="Times New Roman"/>
                <w:color w:val="000000" w:themeColor="text1"/>
                <w:sz w:val="18"/>
                <w:szCs w:val="18"/>
              </w:rPr>
              <w:t>0</w:t>
            </w:r>
          </w:p>
        </w:tc>
        <w:tc>
          <w:tcPr>
            <w:tcW w:w="677"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c>
          <w:tcPr>
            <w:tcW w:w="823"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2400</w:t>
            </w:r>
          </w:p>
        </w:tc>
        <w:tc>
          <w:tcPr>
            <w:tcW w:w="68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正常</w:t>
            </w:r>
          </w:p>
        </w:tc>
        <w:tc>
          <w:tcPr>
            <w:tcW w:w="6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.041</w:t>
            </w:r>
          </w:p>
        </w:tc>
        <w:tc>
          <w:tcPr>
            <w:tcW w:w="622"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p>
        </w:tc>
        <w:tc>
          <w:tcPr>
            <w:tcW w:w="621" w:type="dxa"/>
            <w:vAlign w:val="center"/>
          </w:tcPr>
          <w:p w:rsidR="00C861DA" w:rsidRDefault="0044752E">
            <w:pPr>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.039</w:t>
            </w:r>
          </w:p>
        </w:tc>
      </w:tr>
    </w:tbl>
    <w:p w:rsidR="00C861DA" w:rsidRDefault="0044752E">
      <w:pPr>
        <w:tabs>
          <w:tab w:val="left" w:pos="4860"/>
          <w:tab w:val="left" w:pos="5040"/>
        </w:tabs>
        <w:autoSpaceDE/>
        <w:autoSpaceDN/>
        <w:spacing w:line="360" w:lineRule="auto"/>
        <w:ind w:firstLineChars="200" w:firstLine="482"/>
        <w:rPr>
          <w:rFonts w:ascii="Times New Roman" w:eastAsia="宋体" w:hAnsi="Times New Roman" w:cs="Times New Roman"/>
          <w:b/>
          <w:bCs/>
          <w:iCs/>
          <w:color w:val="000000" w:themeColor="text1"/>
          <w:sz w:val="24"/>
          <w:szCs w:val="24"/>
        </w:rPr>
      </w:pPr>
      <w:bookmarkStart w:id="409" w:name="_Toc23831"/>
      <w:bookmarkStart w:id="410" w:name="_Toc21027"/>
      <w:bookmarkStart w:id="411" w:name="_Toc29313"/>
      <w:bookmarkStart w:id="412" w:name="_Toc27721"/>
      <w:r>
        <w:rPr>
          <w:rFonts w:ascii="Times New Roman" w:eastAsia="宋体" w:hAnsi="Times New Roman" w:cs="Times New Roman"/>
          <w:b/>
          <w:bCs/>
          <w:iCs/>
          <w:color w:val="000000" w:themeColor="text1"/>
          <w:sz w:val="24"/>
          <w:szCs w:val="24"/>
        </w:rPr>
        <w:t>（</w:t>
      </w:r>
      <w:r>
        <w:rPr>
          <w:rFonts w:ascii="Times New Roman" w:eastAsia="宋体" w:hAnsi="Times New Roman" w:cs="Times New Roman"/>
          <w:b/>
          <w:bCs/>
          <w:iCs/>
          <w:color w:val="000000" w:themeColor="text1"/>
          <w:sz w:val="24"/>
          <w:szCs w:val="24"/>
        </w:rPr>
        <w:t>7</w:t>
      </w:r>
      <w:r>
        <w:rPr>
          <w:rFonts w:ascii="Times New Roman" w:eastAsia="宋体" w:hAnsi="Times New Roman" w:cs="Times New Roman"/>
          <w:b/>
          <w:bCs/>
          <w:iCs/>
          <w:color w:val="000000" w:themeColor="text1"/>
          <w:sz w:val="24"/>
          <w:szCs w:val="24"/>
        </w:rPr>
        <w:t>）预测成果表述</w:t>
      </w:r>
    </w:p>
    <w:p w:rsidR="00C861DA" w:rsidRDefault="0044752E">
      <w:pPr>
        <w:tabs>
          <w:tab w:val="left" w:pos="4860"/>
          <w:tab w:val="left" w:pos="5040"/>
        </w:tabs>
        <w:autoSpaceDE/>
        <w:autoSpaceDN/>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预测浓度分布情况以等浓度图表示，各关心点、网格点预测结果列表。</w:t>
      </w:r>
    </w:p>
    <w:p w:rsidR="00C861DA" w:rsidRDefault="0044752E">
      <w:pPr>
        <w:pStyle w:val="32"/>
        <w:rPr>
          <w:rFonts w:ascii="Times New Roman" w:eastAsia="宋体"/>
          <w:bCs w:val="0"/>
          <w:color w:val="000000" w:themeColor="text1"/>
          <w:sz w:val="24"/>
          <w:szCs w:val="24"/>
        </w:rPr>
      </w:pPr>
      <w:bookmarkStart w:id="413" w:name="_Toc10522"/>
      <w:bookmarkStart w:id="414" w:name="_Toc6826842"/>
      <w:r>
        <w:rPr>
          <w:rFonts w:ascii="Times New Roman" w:eastAsia="宋体"/>
          <w:bCs w:val="0"/>
          <w:color w:val="000000" w:themeColor="text1"/>
          <w:sz w:val="24"/>
          <w:szCs w:val="24"/>
        </w:rPr>
        <w:t>7.1.3</w:t>
      </w:r>
      <w:r>
        <w:rPr>
          <w:rFonts w:ascii="Times New Roman" w:eastAsia="宋体"/>
          <w:bCs w:val="0"/>
          <w:color w:val="000000" w:themeColor="text1"/>
          <w:sz w:val="24"/>
          <w:szCs w:val="24"/>
        </w:rPr>
        <w:t>预测结果及评价</w:t>
      </w:r>
      <w:bookmarkEnd w:id="409"/>
      <w:bookmarkEnd w:id="410"/>
      <w:bookmarkEnd w:id="411"/>
      <w:bookmarkEnd w:id="412"/>
      <w:bookmarkEnd w:id="413"/>
      <w:bookmarkEnd w:id="414"/>
    </w:p>
    <w:p w:rsidR="00C861DA" w:rsidRDefault="0044752E">
      <w:pPr>
        <w:keepLines/>
        <w:tabs>
          <w:tab w:val="left" w:pos="4860"/>
          <w:tab w:val="left" w:pos="5040"/>
        </w:tabs>
        <w:autoSpaceDE/>
        <w:autoSpaceDN/>
        <w:spacing w:line="360" w:lineRule="auto"/>
        <w:ind w:firstLineChars="200" w:firstLine="482"/>
        <w:rPr>
          <w:rFonts w:ascii="Times New Roman" w:eastAsia="宋体" w:hAnsi="Times New Roman" w:cs="Times New Roman"/>
          <w:b/>
          <w:bCs/>
          <w:iCs/>
          <w:color w:val="000000" w:themeColor="text1"/>
          <w:sz w:val="24"/>
          <w:szCs w:val="24"/>
        </w:rPr>
      </w:pPr>
      <w:r>
        <w:rPr>
          <w:rFonts w:ascii="Times New Roman" w:eastAsia="宋体" w:hAnsi="Times New Roman" w:cs="Times New Roman" w:hint="eastAsia"/>
          <w:b/>
          <w:bCs/>
          <w:iCs/>
          <w:color w:val="000000" w:themeColor="text1"/>
          <w:sz w:val="24"/>
          <w:szCs w:val="24"/>
        </w:rPr>
        <w:t>（</w:t>
      </w:r>
      <w:r>
        <w:rPr>
          <w:rFonts w:ascii="Times New Roman" w:eastAsia="宋体" w:hAnsi="Times New Roman" w:cs="Times New Roman" w:hint="eastAsia"/>
          <w:b/>
          <w:bCs/>
          <w:iCs/>
          <w:color w:val="000000" w:themeColor="text1"/>
          <w:sz w:val="24"/>
          <w:szCs w:val="24"/>
        </w:rPr>
        <w:t>1</w:t>
      </w:r>
      <w:r>
        <w:rPr>
          <w:rFonts w:ascii="Times New Roman" w:eastAsia="宋体" w:hAnsi="Times New Roman" w:cs="Times New Roman" w:hint="eastAsia"/>
          <w:b/>
          <w:bCs/>
          <w:iCs/>
          <w:color w:val="000000" w:themeColor="text1"/>
          <w:sz w:val="24"/>
          <w:szCs w:val="24"/>
        </w:rPr>
        <w:t>）正常工况</w:t>
      </w:r>
    </w:p>
    <w:p w:rsidR="00C861DA" w:rsidRDefault="0044752E">
      <w:pPr>
        <w:keepLines/>
        <w:tabs>
          <w:tab w:val="left" w:pos="4860"/>
          <w:tab w:val="left" w:pos="5040"/>
        </w:tabs>
        <w:autoSpaceDE/>
        <w:autoSpaceDN/>
        <w:spacing w:line="360" w:lineRule="auto"/>
        <w:ind w:firstLineChars="200" w:firstLine="482"/>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1</w:t>
      </w:r>
      <w:r>
        <w:rPr>
          <w:rFonts w:ascii="Times New Roman" w:eastAsia="宋体" w:hAnsi="Times New Roman" w:cs="Times New Roman"/>
          <w:b/>
          <w:bCs/>
          <w:iCs/>
          <w:color w:val="000000" w:themeColor="text1"/>
          <w:sz w:val="24"/>
          <w:szCs w:val="24"/>
        </w:rPr>
        <w:t>）</w:t>
      </w:r>
      <w:r>
        <w:rPr>
          <w:rFonts w:ascii="Times New Roman" w:eastAsia="宋体" w:hAnsi="Times New Roman" w:cs="Times New Roman" w:hint="eastAsia"/>
          <w:b/>
          <w:bCs/>
          <w:iCs/>
          <w:color w:val="000000" w:themeColor="text1"/>
          <w:sz w:val="24"/>
          <w:szCs w:val="24"/>
        </w:rPr>
        <w:t>有组织</w:t>
      </w:r>
    </w:p>
    <w:p w:rsidR="00C861DA" w:rsidRDefault="0044752E">
      <w:pPr>
        <w:keepLines/>
        <w:tabs>
          <w:tab w:val="left" w:pos="4860"/>
          <w:tab w:val="left" w:pos="5040"/>
        </w:tabs>
        <w:autoSpaceDE/>
        <w:autoSpaceDN/>
        <w:spacing w:line="360" w:lineRule="auto"/>
        <w:ind w:firstLineChars="200" w:firstLine="482"/>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fldChar w:fldCharType="begin"/>
      </w:r>
      <w:r>
        <w:rPr>
          <w:rFonts w:ascii="Times New Roman" w:eastAsia="宋体" w:hAnsi="Times New Roman" w:cs="Times New Roman"/>
          <w:b/>
          <w:bCs/>
          <w:iCs/>
          <w:color w:val="000000" w:themeColor="text1"/>
          <w:sz w:val="24"/>
          <w:szCs w:val="24"/>
        </w:rPr>
        <w:instrText xml:space="preserve"> </w:instrText>
      </w:r>
      <w:r>
        <w:rPr>
          <w:rFonts w:ascii="Times New Roman" w:eastAsia="宋体" w:hAnsi="Times New Roman" w:cs="Times New Roman" w:hint="eastAsia"/>
          <w:b/>
          <w:bCs/>
          <w:iCs/>
          <w:color w:val="000000" w:themeColor="text1"/>
          <w:sz w:val="24"/>
          <w:szCs w:val="24"/>
        </w:rPr>
        <w:instrText>= 1 \* GB3</w:instrText>
      </w:r>
      <w:r>
        <w:rPr>
          <w:rFonts w:ascii="Times New Roman" w:eastAsia="宋体" w:hAnsi="Times New Roman" w:cs="Times New Roman"/>
          <w:b/>
          <w:bCs/>
          <w:iCs/>
          <w:color w:val="000000" w:themeColor="text1"/>
          <w:sz w:val="24"/>
          <w:szCs w:val="24"/>
        </w:rPr>
        <w:instrText xml:space="preserve"> </w:instrText>
      </w:r>
      <w:r>
        <w:rPr>
          <w:rFonts w:ascii="Times New Roman" w:eastAsia="宋体" w:hAnsi="Times New Roman" w:cs="Times New Roman"/>
          <w:b/>
          <w:bCs/>
          <w:iCs/>
          <w:color w:val="000000" w:themeColor="text1"/>
          <w:sz w:val="24"/>
          <w:szCs w:val="24"/>
        </w:rPr>
        <w:fldChar w:fldCharType="separate"/>
      </w:r>
      <w:r>
        <w:rPr>
          <w:rFonts w:ascii="Times New Roman" w:eastAsia="宋体" w:hAnsi="Times New Roman" w:cs="Times New Roman" w:hint="eastAsia"/>
          <w:b/>
          <w:bCs/>
          <w:iCs/>
          <w:color w:val="000000" w:themeColor="text1"/>
          <w:sz w:val="24"/>
          <w:szCs w:val="24"/>
        </w:rPr>
        <w:t>①</w:t>
      </w:r>
      <w:r>
        <w:rPr>
          <w:rFonts w:ascii="Times New Roman" w:eastAsia="宋体" w:hAnsi="Times New Roman" w:cs="Times New Roman"/>
          <w:b/>
          <w:bCs/>
          <w:iCs/>
          <w:color w:val="000000" w:themeColor="text1"/>
          <w:sz w:val="24"/>
          <w:szCs w:val="24"/>
        </w:rPr>
        <w:fldChar w:fldCharType="end"/>
      </w:r>
      <w:r>
        <w:rPr>
          <w:rFonts w:ascii="Times New Roman" w:eastAsia="宋体" w:hAnsi="Times New Roman" w:cs="Times New Roman"/>
          <w:b/>
          <w:bCs/>
          <w:iCs/>
          <w:color w:val="000000" w:themeColor="text1"/>
          <w:sz w:val="24"/>
          <w:szCs w:val="24"/>
        </w:rPr>
        <w:t>氨</w:t>
      </w:r>
    </w:p>
    <w:p w:rsidR="00C861DA" w:rsidRDefault="0044752E">
      <w:pPr>
        <w:keepLines/>
        <w:tabs>
          <w:tab w:val="left" w:pos="4860"/>
          <w:tab w:val="left" w:pos="5040"/>
        </w:tabs>
        <w:autoSpaceDE/>
        <w:autoSpaceDN/>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按逐时预测计算氨地面浓度贡献值，地面浓度最大贡献值预测结果（全网格）见表</w:t>
      </w:r>
      <w:r>
        <w:rPr>
          <w:rFonts w:ascii="Times New Roman" w:eastAsia="宋体" w:hAnsi="Times New Roman" w:cs="Times New Roman"/>
          <w:iCs/>
          <w:color w:val="000000" w:themeColor="text1"/>
          <w:sz w:val="24"/>
          <w:szCs w:val="24"/>
        </w:rPr>
        <w:t>7.1-17</w:t>
      </w:r>
      <w:r>
        <w:rPr>
          <w:rFonts w:ascii="Times New Roman" w:eastAsia="宋体" w:hAnsi="Times New Roman" w:cs="Times New Roman"/>
          <w:iCs/>
          <w:color w:val="000000" w:themeColor="text1"/>
          <w:sz w:val="24"/>
          <w:szCs w:val="24"/>
        </w:rPr>
        <w:t>，关心点及网格地面浓度最大值预测结果见表</w:t>
      </w:r>
      <w:r>
        <w:rPr>
          <w:rFonts w:ascii="Times New Roman" w:eastAsia="宋体" w:hAnsi="Times New Roman" w:cs="Times New Roman"/>
          <w:iCs/>
          <w:color w:val="000000" w:themeColor="text1"/>
          <w:sz w:val="24"/>
          <w:szCs w:val="24"/>
        </w:rPr>
        <w:t>7.1-18</w:t>
      </w:r>
      <w:r>
        <w:rPr>
          <w:rFonts w:ascii="Times New Roman" w:eastAsia="宋体" w:hAnsi="Times New Roman" w:cs="Times New Roman"/>
          <w:iCs/>
          <w:color w:val="000000" w:themeColor="text1"/>
          <w:sz w:val="24"/>
          <w:szCs w:val="24"/>
        </w:rPr>
        <w:t>。</w:t>
      </w:r>
    </w:p>
    <w:p w:rsidR="00C861DA" w:rsidRDefault="0044752E">
      <w:pPr>
        <w:keepLines/>
        <w:tabs>
          <w:tab w:val="left" w:pos="4860"/>
          <w:tab w:val="left" w:pos="5040"/>
        </w:tabs>
        <w:autoSpaceDE/>
        <w:autoSpaceDN/>
        <w:spacing w:line="360" w:lineRule="auto"/>
        <w:ind w:firstLineChars="200" w:firstLine="480"/>
        <w:jc w:val="both"/>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由表</w:t>
      </w:r>
      <w:r>
        <w:rPr>
          <w:rFonts w:ascii="Times New Roman" w:eastAsia="宋体" w:hAnsi="Times New Roman" w:cs="Times New Roman"/>
          <w:iCs/>
          <w:color w:val="000000" w:themeColor="text1"/>
          <w:sz w:val="24"/>
          <w:szCs w:val="24"/>
        </w:rPr>
        <w:t>7.1-17</w:t>
      </w:r>
      <w:r>
        <w:rPr>
          <w:rFonts w:ascii="Times New Roman" w:eastAsia="宋体" w:hAnsi="Times New Roman" w:cs="Times New Roman"/>
          <w:iCs/>
          <w:color w:val="000000" w:themeColor="text1"/>
          <w:sz w:val="24"/>
          <w:szCs w:val="24"/>
        </w:rPr>
        <w:t>可知，整个评价区域内氨的</w:t>
      </w:r>
      <w:r>
        <w:rPr>
          <w:rFonts w:ascii="Times New Roman" w:eastAsia="宋体" w:hAnsi="Times New Roman" w:cs="Times New Roman"/>
          <w:iCs/>
          <w:color w:val="000000" w:themeColor="text1"/>
          <w:sz w:val="24"/>
          <w:szCs w:val="24"/>
        </w:rPr>
        <w:t>1</w:t>
      </w:r>
      <w:r>
        <w:rPr>
          <w:rFonts w:ascii="Times New Roman" w:eastAsia="宋体" w:hAnsi="Times New Roman" w:cs="Times New Roman"/>
          <w:iCs/>
          <w:color w:val="000000" w:themeColor="text1"/>
          <w:sz w:val="24"/>
          <w:szCs w:val="24"/>
        </w:rPr>
        <w:t>小时最大浓度贡献值、均满足《</w:t>
      </w:r>
      <w:r>
        <w:rPr>
          <w:rFonts w:ascii="Times New Roman" w:eastAsia="宋体" w:hAnsi="Times New Roman" w:cs="Times New Roman" w:hint="eastAsia"/>
          <w:iCs/>
          <w:color w:val="000000" w:themeColor="text1"/>
          <w:sz w:val="24"/>
          <w:szCs w:val="24"/>
        </w:rPr>
        <w:t>环境影响评价技术导则</w:t>
      </w:r>
      <w:r>
        <w:rPr>
          <w:rFonts w:ascii="Times New Roman" w:eastAsia="宋体" w:hAnsi="Times New Roman" w:cs="Times New Roman" w:hint="eastAsia"/>
          <w:iCs/>
          <w:color w:val="000000" w:themeColor="text1"/>
          <w:sz w:val="24"/>
          <w:szCs w:val="24"/>
        </w:rPr>
        <w:t xml:space="preserve"> </w:t>
      </w:r>
      <w:r>
        <w:rPr>
          <w:rFonts w:ascii="Times New Roman" w:eastAsia="宋体" w:hAnsi="Times New Roman" w:cs="Times New Roman" w:hint="eastAsia"/>
          <w:iCs/>
          <w:color w:val="000000" w:themeColor="text1"/>
          <w:sz w:val="24"/>
          <w:szCs w:val="24"/>
        </w:rPr>
        <w:t>大气环境</w:t>
      </w:r>
      <w:r>
        <w:rPr>
          <w:rFonts w:ascii="Times New Roman" w:eastAsia="宋体" w:hAnsi="Times New Roman" w:cs="Times New Roman"/>
          <w:iCs/>
          <w:color w:val="000000" w:themeColor="text1"/>
          <w:sz w:val="24"/>
          <w:szCs w:val="24"/>
        </w:rPr>
        <w:t>》（</w:t>
      </w:r>
      <w:r>
        <w:rPr>
          <w:rFonts w:ascii="Times New Roman" w:eastAsia="宋体" w:hAnsi="Times New Roman" w:cs="Times New Roman"/>
          <w:iCs/>
          <w:color w:val="000000" w:themeColor="text1"/>
          <w:sz w:val="24"/>
          <w:szCs w:val="24"/>
        </w:rPr>
        <w:t>HJ2.2-2018</w:t>
      </w:r>
      <w:r>
        <w:rPr>
          <w:rFonts w:ascii="Times New Roman" w:eastAsia="宋体" w:hAnsi="Times New Roman" w:cs="Times New Roman"/>
          <w:iCs/>
          <w:color w:val="000000" w:themeColor="text1"/>
          <w:sz w:val="24"/>
          <w:szCs w:val="24"/>
        </w:rPr>
        <w:t>）二级标准要求，</w:t>
      </w:r>
      <w:r>
        <w:rPr>
          <w:rFonts w:ascii="Times New Roman" w:eastAsia="宋体" w:hAnsi="Times New Roman" w:cs="Times New Roman" w:hint="eastAsia"/>
          <w:iCs/>
          <w:color w:val="000000" w:themeColor="text1"/>
          <w:sz w:val="24"/>
          <w:szCs w:val="24"/>
        </w:rPr>
        <w:t>最大</w:t>
      </w:r>
      <w:r>
        <w:rPr>
          <w:rFonts w:ascii="Times New Roman" w:eastAsia="宋体" w:hAnsi="Times New Roman" w:cs="Times New Roman"/>
          <w:iCs/>
          <w:color w:val="000000" w:themeColor="text1"/>
          <w:sz w:val="24"/>
          <w:szCs w:val="24"/>
        </w:rPr>
        <w:t>占标率为</w:t>
      </w:r>
      <w:r>
        <w:rPr>
          <w:rFonts w:ascii="Times New Roman" w:eastAsia="宋体" w:hAnsi="Times New Roman" w:cs="Times New Roman" w:hint="eastAsia"/>
          <w:iCs/>
          <w:color w:val="000000" w:themeColor="text1"/>
          <w:sz w:val="24"/>
          <w:szCs w:val="24"/>
        </w:rPr>
        <w:t>1</w:t>
      </w:r>
      <w:r>
        <w:rPr>
          <w:rFonts w:ascii="Times New Roman" w:eastAsia="宋体" w:hAnsi="Times New Roman" w:cs="Times New Roman"/>
          <w:iCs/>
          <w:color w:val="000000" w:themeColor="text1"/>
          <w:sz w:val="24"/>
          <w:szCs w:val="24"/>
        </w:rPr>
        <w:t>5.46%</w:t>
      </w:r>
      <w:r>
        <w:rPr>
          <w:rFonts w:ascii="Times New Roman" w:eastAsia="宋体" w:hAnsi="Times New Roman" w:cs="Times New Roman"/>
          <w:iCs/>
          <w:color w:val="000000" w:themeColor="text1"/>
          <w:sz w:val="24"/>
          <w:szCs w:val="24"/>
        </w:rPr>
        <w:t>，</w:t>
      </w:r>
      <w:r>
        <w:rPr>
          <w:rFonts w:ascii="Times New Roman" w:eastAsia="宋体" w:hAnsi="Times New Roman" w:cs="Times New Roman"/>
          <w:iCs/>
          <w:color w:val="000000" w:themeColor="text1"/>
          <w:sz w:val="24"/>
          <w:szCs w:val="24"/>
        </w:rPr>
        <w:t>1</w:t>
      </w:r>
      <w:r>
        <w:rPr>
          <w:rFonts w:ascii="Times New Roman" w:eastAsia="宋体" w:hAnsi="Times New Roman" w:cs="Times New Roman"/>
          <w:iCs/>
          <w:color w:val="000000" w:themeColor="text1"/>
          <w:sz w:val="24"/>
          <w:szCs w:val="24"/>
        </w:rPr>
        <w:t>小时最大浓度贡献值、日均最大浓度贡献值占标率小于</w:t>
      </w:r>
      <w:r>
        <w:rPr>
          <w:rFonts w:ascii="Times New Roman" w:eastAsia="宋体" w:hAnsi="Times New Roman" w:cs="Times New Roman"/>
          <w:iCs/>
          <w:color w:val="000000" w:themeColor="text1"/>
          <w:sz w:val="24"/>
          <w:szCs w:val="24"/>
        </w:rPr>
        <w:t>100%</w:t>
      </w:r>
      <w:r>
        <w:rPr>
          <w:rFonts w:ascii="Times New Roman" w:eastAsia="宋体" w:hAnsi="Times New Roman" w:cs="Times New Roman"/>
          <w:iCs/>
          <w:color w:val="000000" w:themeColor="text1"/>
          <w:sz w:val="24"/>
          <w:szCs w:val="24"/>
        </w:rPr>
        <w:t>，年均最大浓度贡献值占标率小于</w:t>
      </w:r>
      <w:r>
        <w:rPr>
          <w:rFonts w:ascii="Times New Roman" w:eastAsia="宋体" w:hAnsi="Times New Roman" w:cs="Times New Roman"/>
          <w:iCs/>
          <w:color w:val="000000" w:themeColor="text1"/>
          <w:sz w:val="24"/>
          <w:szCs w:val="24"/>
        </w:rPr>
        <w:t>30%</w:t>
      </w:r>
      <w:r>
        <w:rPr>
          <w:rFonts w:ascii="Times New Roman" w:eastAsia="宋体" w:hAnsi="Times New Roman" w:cs="Times New Roman"/>
          <w:iCs/>
          <w:color w:val="000000" w:themeColor="text1"/>
          <w:sz w:val="24"/>
          <w:szCs w:val="24"/>
        </w:rPr>
        <w:t>。</w:t>
      </w:r>
    </w:p>
    <w:p w:rsidR="00C861DA" w:rsidRDefault="0044752E">
      <w:pPr>
        <w:keepNext/>
        <w:keepLines/>
        <w:tabs>
          <w:tab w:val="left" w:pos="4860"/>
          <w:tab w:val="left" w:pos="5040"/>
        </w:tabs>
        <w:autoSpaceDE/>
        <w:autoSpaceDN/>
        <w:spacing w:line="360" w:lineRule="auto"/>
        <w:ind w:firstLineChars="200" w:firstLine="480"/>
        <w:jc w:val="both"/>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由表</w:t>
      </w:r>
      <w:r>
        <w:rPr>
          <w:rFonts w:ascii="Times New Roman" w:eastAsia="宋体" w:hAnsi="Times New Roman" w:cs="Times New Roman"/>
          <w:iCs/>
          <w:color w:val="000000" w:themeColor="text1"/>
          <w:sz w:val="24"/>
          <w:szCs w:val="24"/>
        </w:rPr>
        <w:t>7.1-18</w:t>
      </w:r>
      <w:r>
        <w:rPr>
          <w:rFonts w:ascii="Times New Roman" w:eastAsia="宋体" w:hAnsi="Times New Roman" w:cs="Times New Roman"/>
          <w:iCs/>
          <w:color w:val="000000" w:themeColor="text1"/>
          <w:sz w:val="24"/>
          <w:szCs w:val="24"/>
        </w:rPr>
        <w:t>可知，各关心点及网格氨的</w:t>
      </w:r>
      <w:r>
        <w:rPr>
          <w:rFonts w:ascii="Times New Roman" w:eastAsia="宋体" w:hAnsi="Times New Roman" w:cs="Times New Roman"/>
          <w:iCs/>
          <w:color w:val="000000" w:themeColor="text1"/>
          <w:sz w:val="24"/>
          <w:szCs w:val="24"/>
        </w:rPr>
        <w:t>1</w:t>
      </w:r>
      <w:r>
        <w:rPr>
          <w:rFonts w:ascii="Times New Roman" w:eastAsia="宋体" w:hAnsi="Times New Roman" w:cs="Times New Roman"/>
          <w:iCs/>
          <w:color w:val="000000" w:themeColor="text1"/>
          <w:sz w:val="24"/>
          <w:szCs w:val="24"/>
        </w:rPr>
        <w:t>小时最大浓度预测值、日均最大浓度预测值、年均最大浓度预测值均满足《环境空气质量标准》（</w:t>
      </w:r>
      <w:r>
        <w:rPr>
          <w:rFonts w:ascii="Times New Roman" w:eastAsia="宋体" w:hAnsi="Times New Roman" w:cs="Times New Roman"/>
          <w:iCs/>
          <w:color w:val="000000" w:themeColor="text1"/>
          <w:sz w:val="24"/>
          <w:szCs w:val="24"/>
        </w:rPr>
        <w:t>GB3095-2012</w:t>
      </w:r>
      <w:r>
        <w:rPr>
          <w:rFonts w:ascii="Times New Roman" w:eastAsia="宋体" w:hAnsi="Times New Roman" w:cs="Times New Roman"/>
          <w:iCs/>
          <w:color w:val="000000" w:themeColor="text1"/>
          <w:sz w:val="24"/>
          <w:szCs w:val="24"/>
        </w:rPr>
        <w:t>）二级标准要求，无超标点。</w:t>
      </w:r>
    </w:p>
    <w:p w:rsidR="00C861DA" w:rsidRDefault="0044752E">
      <w:pPr>
        <w:keepNext/>
        <w:keepLines/>
        <w:tabs>
          <w:tab w:val="left" w:pos="4860"/>
          <w:tab w:val="left" w:pos="5040"/>
        </w:tabs>
        <w:autoSpaceDE/>
        <w:autoSpaceDN/>
        <w:spacing w:line="360" w:lineRule="auto"/>
        <w:jc w:val="center"/>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表</w:t>
      </w:r>
      <w:r>
        <w:rPr>
          <w:rFonts w:ascii="Times New Roman" w:eastAsia="宋体" w:hAnsi="Times New Roman" w:cs="Times New Roman"/>
          <w:b/>
          <w:bCs/>
          <w:iCs/>
          <w:color w:val="000000" w:themeColor="text1"/>
          <w:sz w:val="24"/>
          <w:szCs w:val="24"/>
        </w:rPr>
        <w:t xml:space="preserve">7.1-17  </w:t>
      </w:r>
      <w:r>
        <w:rPr>
          <w:rFonts w:ascii="Times New Roman" w:eastAsia="宋体" w:hAnsi="Times New Roman" w:cs="Times New Roman"/>
          <w:b/>
          <w:bCs/>
          <w:iCs/>
          <w:color w:val="000000" w:themeColor="text1"/>
          <w:sz w:val="24"/>
          <w:szCs w:val="24"/>
        </w:rPr>
        <w:t>氨地面浓度最大贡献值预测结果（全网格）</w:t>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3"/>
        <w:gridCol w:w="2834"/>
        <w:gridCol w:w="2108"/>
        <w:gridCol w:w="2077"/>
      </w:tblGrid>
      <w:tr w:rsidR="00C861DA">
        <w:trPr>
          <w:trHeight w:val="454"/>
          <w:jc w:val="center"/>
        </w:trPr>
        <w:tc>
          <w:tcPr>
            <w:tcW w:w="2183" w:type="dxa"/>
            <w:vAlign w:val="center"/>
          </w:tcPr>
          <w:p w:rsidR="00C861DA" w:rsidRDefault="0044752E">
            <w:pPr>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浓度类型</w:t>
            </w:r>
          </w:p>
        </w:tc>
        <w:tc>
          <w:tcPr>
            <w:tcW w:w="2834" w:type="dxa"/>
            <w:vAlign w:val="center"/>
          </w:tcPr>
          <w:p w:rsidR="00C861DA" w:rsidRDefault="0044752E">
            <w:pPr>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最大贡献值（</w:t>
            </w:r>
            <w:r>
              <w:rPr>
                <w:rFonts w:ascii="Times New Roman" w:eastAsia="宋体" w:hAnsi="Times New Roman" w:cs="Times New Roman"/>
                <w:b/>
                <w:bCs/>
                <w:color w:val="000000" w:themeColor="text1"/>
              </w:rPr>
              <w:t>mg/m</w:t>
            </w:r>
            <w:r>
              <w:rPr>
                <w:rFonts w:ascii="Times New Roman" w:eastAsia="宋体" w:hAnsi="Times New Roman" w:cs="Times New Roman"/>
                <w:b/>
                <w:bCs/>
                <w:color w:val="000000" w:themeColor="text1"/>
                <w:vertAlign w:val="superscript"/>
              </w:rPr>
              <w:t>3</w:t>
            </w:r>
            <w:r>
              <w:rPr>
                <w:rFonts w:ascii="Times New Roman" w:eastAsia="宋体" w:hAnsi="Times New Roman" w:cs="Times New Roman"/>
                <w:b/>
                <w:bCs/>
                <w:color w:val="000000" w:themeColor="text1"/>
              </w:rPr>
              <w:t>）</w:t>
            </w:r>
          </w:p>
        </w:tc>
        <w:tc>
          <w:tcPr>
            <w:tcW w:w="2108" w:type="dxa"/>
            <w:vAlign w:val="center"/>
          </w:tcPr>
          <w:p w:rsidR="00C861DA" w:rsidRDefault="0044752E">
            <w:pPr>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出现距离（</w:t>
            </w:r>
            <w:r>
              <w:rPr>
                <w:rFonts w:ascii="Times New Roman" w:eastAsia="宋体" w:hAnsi="Times New Roman" w:cs="Times New Roman"/>
                <w:b/>
                <w:bCs/>
                <w:color w:val="000000" w:themeColor="text1"/>
              </w:rPr>
              <w:t>m</w:t>
            </w:r>
            <w:r>
              <w:rPr>
                <w:rFonts w:ascii="Times New Roman" w:eastAsia="宋体" w:hAnsi="Times New Roman" w:cs="Times New Roman"/>
                <w:b/>
                <w:bCs/>
                <w:color w:val="000000" w:themeColor="text1"/>
              </w:rPr>
              <w:t>）</w:t>
            </w:r>
          </w:p>
        </w:tc>
        <w:tc>
          <w:tcPr>
            <w:tcW w:w="2077" w:type="dxa"/>
            <w:vAlign w:val="center"/>
          </w:tcPr>
          <w:p w:rsidR="00C861DA" w:rsidRDefault="0044752E">
            <w:pPr>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lang w:bidi="ar"/>
              </w:rPr>
              <w:t>占标率（</w:t>
            </w:r>
            <w:r>
              <w:rPr>
                <w:rFonts w:ascii="Times New Roman" w:eastAsia="宋体" w:hAnsi="Times New Roman" w:cs="Times New Roman"/>
                <w:b/>
                <w:bCs/>
                <w:color w:val="000000" w:themeColor="text1"/>
                <w:lang w:bidi="ar"/>
              </w:rPr>
              <w:t>%</w:t>
            </w:r>
            <w:r>
              <w:rPr>
                <w:rFonts w:ascii="Times New Roman" w:eastAsia="宋体" w:hAnsi="Times New Roman" w:cs="Times New Roman"/>
                <w:b/>
                <w:bCs/>
                <w:color w:val="000000" w:themeColor="text1"/>
                <w:lang w:bidi="ar"/>
              </w:rPr>
              <w:t>）</w:t>
            </w:r>
          </w:p>
        </w:tc>
      </w:tr>
      <w:tr w:rsidR="00C861DA">
        <w:trPr>
          <w:trHeight w:val="454"/>
          <w:jc w:val="center"/>
        </w:trPr>
        <w:tc>
          <w:tcPr>
            <w:tcW w:w="2183"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小时</w:t>
            </w:r>
          </w:p>
        </w:tc>
        <w:tc>
          <w:tcPr>
            <w:tcW w:w="2834" w:type="dxa"/>
            <w:vAlign w:val="center"/>
          </w:tcPr>
          <w:p w:rsidR="00C861DA" w:rsidRDefault="0044752E">
            <w:pPr>
              <w:jc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0.03130</w:t>
            </w:r>
          </w:p>
        </w:tc>
        <w:tc>
          <w:tcPr>
            <w:tcW w:w="2108" w:type="dxa"/>
            <w:vAlign w:val="center"/>
          </w:tcPr>
          <w:p w:rsidR="00C861DA" w:rsidRDefault="0044752E">
            <w:pPr>
              <w:jc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412.31</w:t>
            </w:r>
          </w:p>
        </w:tc>
        <w:tc>
          <w:tcPr>
            <w:tcW w:w="2077" w:type="dxa"/>
            <w:vAlign w:val="center"/>
          </w:tcPr>
          <w:p w:rsidR="00C861DA" w:rsidRDefault="0044752E">
            <w:pPr>
              <w:jc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15. 46</w:t>
            </w:r>
          </w:p>
        </w:tc>
      </w:tr>
      <w:tr w:rsidR="00C861DA">
        <w:trPr>
          <w:trHeight w:val="454"/>
          <w:jc w:val="center"/>
        </w:trPr>
        <w:tc>
          <w:tcPr>
            <w:tcW w:w="9202" w:type="dxa"/>
            <w:gridSpan w:val="4"/>
            <w:vAlign w:val="center"/>
          </w:tcPr>
          <w:p w:rsidR="00C861DA" w:rsidRDefault="0044752E">
            <w:pPr>
              <w:jc w:val="both"/>
              <w:rPr>
                <w:rFonts w:ascii="Times New Roman" w:eastAsia="宋体" w:hAnsi="Times New Roman" w:cs="Times New Roman"/>
                <w:color w:val="000000" w:themeColor="text1"/>
              </w:rPr>
            </w:pPr>
            <w:r>
              <w:rPr>
                <w:rFonts w:ascii="Times New Roman" w:eastAsia="宋体" w:hAnsi="Times New Roman" w:cs="Times New Roman"/>
                <w:color w:val="000000" w:themeColor="text1"/>
              </w:rPr>
              <w:t>注：</w:t>
            </w:r>
            <w:r>
              <w:rPr>
                <w:rFonts w:ascii="宋体" w:eastAsia="宋体" w:hAnsi="宋体" w:cs="宋体" w:hint="eastAsia"/>
                <w:color w:val="000000" w:themeColor="text1"/>
                <w:szCs w:val="22"/>
              </w:rPr>
              <w:t>①</w:t>
            </w:r>
            <w:r>
              <w:rPr>
                <w:rFonts w:ascii="Times New Roman" w:eastAsia="宋体" w:hAnsi="Times New Roman" w:cs="Times New Roman"/>
                <w:color w:val="000000" w:themeColor="text1"/>
                <w:szCs w:val="22"/>
              </w:rPr>
              <w:t>氨</w:t>
            </w:r>
            <w:r>
              <w:rPr>
                <w:rFonts w:ascii="Times New Roman" w:eastAsia="宋体" w:hAnsi="Times New Roman" w:cs="Times New Roman"/>
                <w:color w:val="000000" w:themeColor="text1"/>
              </w:rPr>
              <w:t>小时标准限值：</w:t>
            </w:r>
            <w:r>
              <w:rPr>
                <w:rFonts w:ascii="Times New Roman" w:eastAsia="宋体" w:hAnsi="Times New Roman" w:cs="Times New Roman"/>
                <w:color w:val="000000" w:themeColor="text1"/>
              </w:rPr>
              <w:t>200ug/m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r>
              <w:rPr>
                <w:rFonts w:ascii="宋体" w:eastAsia="宋体" w:hAnsi="宋体" w:cs="宋体" w:hint="eastAsia"/>
                <w:color w:val="000000" w:themeColor="text1"/>
                <w:szCs w:val="22"/>
              </w:rPr>
              <w:t>②</w:t>
            </w:r>
            <w:r>
              <w:rPr>
                <w:rFonts w:ascii="Times New Roman" w:eastAsia="宋体" w:hAnsi="Times New Roman" w:cs="Times New Roman"/>
                <w:color w:val="000000" w:themeColor="text1"/>
                <w:szCs w:val="22"/>
              </w:rPr>
              <w:t>表中距离为到</w:t>
            </w:r>
            <w:r>
              <w:rPr>
                <w:rFonts w:ascii="Times New Roman" w:eastAsia="宋体" w:hAnsi="Times New Roman" w:cs="Times New Roman"/>
                <w:color w:val="000000" w:themeColor="text1"/>
                <w:szCs w:val="22"/>
              </w:rPr>
              <w:t>9#</w:t>
            </w:r>
            <w:r>
              <w:rPr>
                <w:rFonts w:ascii="Times New Roman" w:eastAsia="宋体" w:hAnsi="Times New Roman" w:cs="Times New Roman"/>
                <w:color w:val="000000" w:themeColor="text1"/>
                <w:szCs w:val="22"/>
              </w:rPr>
              <w:t>排气筒的距离。</w:t>
            </w:r>
          </w:p>
        </w:tc>
      </w:tr>
    </w:tbl>
    <w:p w:rsidR="00C861DA" w:rsidRDefault="0044752E">
      <w:pPr>
        <w:keepNext/>
        <w:keepLines/>
        <w:tabs>
          <w:tab w:val="left" w:pos="4860"/>
          <w:tab w:val="left" w:pos="5040"/>
        </w:tabs>
        <w:autoSpaceDE/>
        <w:autoSpaceDN/>
        <w:spacing w:beforeLines="100" w:before="312" w:line="360" w:lineRule="auto"/>
        <w:jc w:val="center"/>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表</w:t>
      </w:r>
      <w:r>
        <w:rPr>
          <w:rFonts w:ascii="Times New Roman" w:eastAsia="宋体" w:hAnsi="Times New Roman" w:cs="Times New Roman"/>
          <w:b/>
          <w:bCs/>
          <w:iCs/>
          <w:color w:val="000000" w:themeColor="text1"/>
          <w:sz w:val="24"/>
          <w:szCs w:val="24"/>
        </w:rPr>
        <w:t xml:space="preserve">7.1-18  </w:t>
      </w:r>
      <w:r>
        <w:rPr>
          <w:rFonts w:ascii="Times New Roman" w:eastAsia="宋体" w:hAnsi="Times New Roman" w:cs="Times New Roman"/>
          <w:b/>
          <w:bCs/>
          <w:iCs/>
          <w:color w:val="000000" w:themeColor="text1"/>
          <w:sz w:val="24"/>
          <w:szCs w:val="24"/>
        </w:rPr>
        <w:t>关心点及网格</w:t>
      </w:r>
      <w:r>
        <w:rPr>
          <w:rFonts w:ascii="Times New Roman" w:eastAsia="宋体" w:hAnsi="Times New Roman" w:cs="Times New Roman" w:hint="eastAsia"/>
          <w:b/>
          <w:bCs/>
          <w:iCs/>
          <w:color w:val="000000" w:themeColor="text1"/>
          <w:sz w:val="24"/>
          <w:szCs w:val="24"/>
        </w:rPr>
        <w:t>氨</w:t>
      </w:r>
      <w:r>
        <w:rPr>
          <w:rFonts w:ascii="Times New Roman" w:eastAsia="宋体" w:hAnsi="Times New Roman" w:cs="Times New Roman"/>
          <w:b/>
          <w:bCs/>
          <w:iCs/>
          <w:color w:val="000000" w:themeColor="text1"/>
          <w:sz w:val="24"/>
          <w:szCs w:val="24"/>
        </w:rPr>
        <w:t>地面浓度最大值预测结果</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4"/>
        <w:gridCol w:w="424"/>
        <w:gridCol w:w="1135"/>
        <w:gridCol w:w="1560"/>
        <w:gridCol w:w="1134"/>
        <w:gridCol w:w="992"/>
        <w:gridCol w:w="992"/>
        <w:gridCol w:w="851"/>
        <w:gridCol w:w="708"/>
        <w:gridCol w:w="709"/>
      </w:tblGrid>
      <w:tr w:rsidR="00C861DA">
        <w:trPr>
          <w:trHeight w:val="369"/>
          <w:jc w:val="center"/>
        </w:trPr>
        <w:tc>
          <w:tcPr>
            <w:tcW w:w="704"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浓度</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类型</w:t>
            </w:r>
          </w:p>
        </w:tc>
        <w:tc>
          <w:tcPr>
            <w:tcW w:w="424"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序号</w:t>
            </w:r>
          </w:p>
        </w:tc>
        <w:tc>
          <w:tcPr>
            <w:tcW w:w="1135"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离散点</w:t>
            </w:r>
          </w:p>
        </w:tc>
        <w:tc>
          <w:tcPr>
            <w:tcW w:w="1560"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坐标（</w:t>
            </w:r>
            <w:r>
              <w:rPr>
                <w:rFonts w:ascii="Times New Roman" w:eastAsia="宋体" w:hAnsi="Times New Roman" w:cs="Times New Roman"/>
                <w:b/>
                <w:color w:val="000000" w:themeColor="text1"/>
                <w:lang w:bidi="ar"/>
              </w:rPr>
              <w:t>x</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y</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z</w:t>
            </w:r>
            <w:r>
              <w:rPr>
                <w:rFonts w:ascii="Times New Roman" w:eastAsia="宋体" w:hAnsi="Times New Roman" w:cs="Times New Roman"/>
                <w:b/>
                <w:color w:val="000000" w:themeColor="text1"/>
                <w:lang w:bidi="ar"/>
              </w:rPr>
              <w:t>）</w:t>
            </w:r>
          </w:p>
        </w:tc>
        <w:tc>
          <w:tcPr>
            <w:tcW w:w="1134"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贡献值</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992"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背景值（</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992"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预测值（</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851"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标准值（</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708"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占标率（</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w:t>
            </w:r>
          </w:p>
        </w:tc>
        <w:tc>
          <w:tcPr>
            <w:tcW w:w="709"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达标</w:t>
            </w:r>
          </w:p>
          <w:p w:rsidR="00C861DA" w:rsidRDefault="0044752E">
            <w:pPr>
              <w:widowControl/>
              <w:jc w:val="center"/>
              <w:textAlignment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lang w:bidi="ar"/>
              </w:rPr>
              <w:t>情况</w:t>
            </w:r>
          </w:p>
        </w:tc>
      </w:tr>
      <w:tr w:rsidR="00C861DA">
        <w:trPr>
          <w:trHeight w:val="369"/>
          <w:jc w:val="center"/>
        </w:trPr>
        <w:tc>
          <w:tcPr>
            <w:tcW w:w="704" w:type="dxa"/>
            <w:vMerge w:val="restart"/>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lang w:bidi="ar"/>
              </w:rPr>
              <w:t>小时平均浓度</w:t>
            </w: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hint="eastAsia"/>
                <w:color w:val="000000" w:themeColor="text1"/>
              </w:rPr>
              <w:t>祥丰金麦化工有限公司职工生活区</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-1486</w:t>
            </w:r>
            <w:r>
              <w:rPr>
                <w:rFonts w:ascii="Times New Roman" w:eastAsia="宋体" w:hAnsi="Times New Roman" w:cs="Times New Roman" w:hint="eastAsia"/>
                <w:color w:val="000000" w:themeColor="text1"/>
                <w:lang w:bidi="ar"/>
              </w:rPr>
              <w:t>，</w:t>
            </w:r>
            <w:r>
              <w:rPr>
                <w:rFonts w:ascii="Times New Roman" w:eastAsia="宋体" w:hAnsi="Times New Roman" w:cs="Times New Roman"/>
                <w:color w:val="000000" w:themeColor="text1"/>
                <w:lang w:bidi="ar"/>
              </w:rPr>
              <w:t>-1315</w:t>
            </w:r>
            <w:r>
              <w:rPr>
                <w:rFonts w:ascii="Times New Roman" w:eastAsia="宋体" w:hAnsi="Times New Roman" w:cs="Times New Roman" w:hint="eastAsia"/>
                <w:color w:val="000000" w:themeColor="text1"/>
                <w:lang w:bidi="ar"/>
              </w:rPr>
              <w:t>，</w:t>
            </w:r>
            <w:r>
              <w:rPr>
                <w:rFonts w:ascii="Times New Roman" w:eastAsia="宋体" w:hAnsi="Times New Roman" w:cs="Times New Roman"/>
                <w:color w:val="000000" w:themeColor="text1"/>
                <w:lang w:bidi="ar"/>
              </w:rPr>
              <w:t>1854.89</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0.00075</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0.02075</w:t>
            </w:r>
          </w:p>
        </w:tc>
        <w:tc>
          <w:tcPr>
            <w:tcW w:w="85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0.500</w:t>
            </w:r>
          </w:p>
        </w:tc>
        <w:tc>
          <w:tcPr>
            <w:tcW w:w="7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 xml:space="preserve">4.15 </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大哨</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845</w:t>
            </w:r>
            <w:r>
              <w:rPr>
                <w:rFonts w:ascii="Times New Roman" w:eastAsia="宋体" w:hAnsi="Times New Roman" w:cs="Times New Roman"/>
                <w:color w:val="000000" w:themeColor="text1"/>
                <w:lang w:bidi="ar"/>
              </w:rPr>
              <w:tab/>
              <w:t>-1650</w:t>
            </w:r>
            <w:r>
              <w:rPr>
                <w:rFonts w:ascii="Times New Roman" w:eastAsia="宋体" w:hAnsi="Times New Roman" w:cs="Times New Roman" w:hint="eastAsia"/>
                <w:color w:val="000000" w:themeColor="text1"/>
                <w:lang w:bidi="ar"/>
              </w:rPr>
              <w:t>，</w:t>
            </w:r>
            <w:r>
              <w:rPr>
                <w:rFonts w:ascii="Times New Roman" w:eastAsia="宋体" w:hAnsi="Times New Roman" w:cs="Times New Roman"/>
                <w:color w:val="000000" w:themeColor="text1"/>
                <w:lang w:bidi="ar"/>
              </w:rPr>
              <w:t>1930.73</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0.00061</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0.02061</w:t>
            </w:r>
          </w:p>
        </w:tc>
        <w:tc>
          <w:tcPr>
            <w:tcW w:w="85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0.500</w:t>
            </w:r>
          </w:p>
        </w:tc>
        <w:tc>
          <w:tcPr>
            <w:tcW w:w="7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 xml:space="preserve">4.12 </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下禄脿</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-1744</w:t>
            </w:r>
            <w:r>
              <w:rPr>
                <w:rFonts w:ascii="Times New Roman" w:eastAsia="宋体" w:hAnsi="Times New Roman" w:cs="Times New Roman" w:hint="eastAsia"/>
                <w:color w:val="000000" w:themeColor="text1"/>
                <w:lang w:bidi="ar"/>
              </w:rPr>
              <w:t>，</w:t>
            </w:r>
            <w:r>
              <w:rPr>
                <w:rFonts w:ascii="Times New Roman" w:eastAsia="宋体" w:hAnsi="Times New Roman" w:cs="Times New Roman"/>
                <w:color w:val="000000" w:themeColor="text1"/>
                <w:lang w:bidi="ar"/>
              </w:rPr>
              <w:t>-859</w:t>
            </w:r>
            <w:r>
              <w:rPr>
                <w:rFonts w:ascii="Times New Roman" w:eastAsia="宋体" w:hAnsi="Times New Roman" w:cs="Times New Roman" w:hint="eastAsia"/>
                <w:color w:val="000000" w:themeColor="text1"/>
                <w:lang w:bidi="ar"/>
              </w:rPr>
              <w:t>，</w:t>
            </w:r>
            <w:r>
              <w:rPr>
                <w:rFonts w:ascii="Times New Roman" w:eastAsia="宋体" w:hAnsi="Times New Roman" w:cs="Times New Roman"/>
                <w:color w:val="000000" w:themeColor="text1"/>
                <w:lang w:bidi="ar"/>
              </w:rPr>
              <w:t>1850.4</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0.00061</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0.02061</w:t>
            </w:r>
          </w:p>
        </w:tc>
        <w:tc>
          <w:tcPr>
            <w:tcW w:w="85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0.500</w:t>
            </w:r>
          </w:p>
        </w:tc>
        <w:tc>
          <w:tcPr>
            <w:tcW w:w="7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 xml:space="preserve">4.12 </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4</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int="eastAsia"/>
                <w:color w:val="000000" w:themeColor="text1"/>
              </w:rPr>
              <w:t>小河边</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-1886</w:t>
            </w:r>
            <w:r>
              <w:rPr>
                <w:rFonts w:ascii="Times New Roman" w:eastAsia="宋体" w:hAnsi="Times New Roman" w:cs="Times New Roman" w:hint="eastAsia"/>
                <w:color w:val="000000" w:themeColor="text1"/>
                <w:lang w:bidi="ar"/>
              </w:rPr>
              <w:t>，</w:t>
            </w:r>
            <w:r>
              <w:rPr>
                <w:rFonts w:ascii="Times New Roman" w:eastAsia="宋体" w:hAnsi="Times New Roman" w:cs="Times New Roman"/>
                <w:color w:val="000000" w:themeColor="text1"/>
                <w:lang w:bidi="ar"/>
              </w:rPr>
              <w:t>782</w:t>
            </w:r>
            <w:r>
              <w:rPr>
                <w:rFonts w:ascii="Times New Roman" w:eastAsia="宋体" w:hAnsi="Times New Roman" w:cs="Times New Roman" w:hint="eastAsia"/>
                <w:color w:val="000000" w:themeColor="text1"/>
                <w:lang w:bidi="ar"/>
              </w:rPr>
              <w:t>，</w:t>
            </w:r>
            <w:r>
              <w:rPr>
                <w:rFonts w:ascii="Times New Roman" w:eastAsia="宋体" w:hAnsi="Times New Roman" w:cs="Times New Roman"/>
                <w:color w:val="000000" w:themeColor="text1"/>
                <w:lang w:bidi="ar"/>
              </w:rPr>
              <w:t>1844.54</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0.00058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0.034</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0.03458</w:t>
            </w:r>
          </w:p>
        </w:tc>
        <w:tc>
          <w:tcPr>
            <w:tcW w:w="85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0.500</w:t>
            </w:r>
          </w:p>
        </w:tc>
        <w:tc>
          <w:tcPr>
            <w:tcW w:w="7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 xml:space="preserve">6.92 </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5</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int="eastAsia"/>
                <w:color w:val="000000" w:themeColor="text1"/>
              </w:rPr>
              <w:t>多依树</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-1351</w:t>
            </w:r>
            <w:r>
              <w:rPr>
                <w:rFonts w:ascii="Times New Roman" w:eastAsia="宋体" w:hAnsi="Times New Roman" w:cs="Times New Roman" w:hint="eastAsia"/>
                <w:color w:val="000000" w:themeColor="text1"/>
                <w:lang w:bidi="ar"/>
              </w:rPr>
              <w:t>，</w:t>
            </w:r>
            <w:r>
              <w:rPr>
                <w:rFonts w:ascii="Times New Roman" w:eastAsia="宋体" w:hAnsi="Times New Roman" w:cs="Times New Roman"/>
                <w:color w:val="000000" w:themeColor="text1"/>
                <w:lang w:bidi="ar"/>
              </w:rPr>
              <w:t>1593</w:t>
            </w:r>
            <w:r>
              <w:rPr>
                <w:rFonts w:ascii="Times New Roman" w:eastAsia="宋体" w:hAnsi="Times New Roman" w:cs="Times New Roman" w:hint="eastAsia"/>
                <w:color w:val="000000" w:themeColor="text1"/>
                <w:lang w:bidi="ar"/>
              </w:rPr>
              <w:t>，</w:t>
            </w:r>
            <w:r>
              <w:rPr>
                <w:rFonts w:ascii="Times New Roman" w:eastAsia="宋体" w:hAnsi="Times New Roman" w:cs="Times New Roman"/>
                <w:color w:val="000000" w:themeColor="text1"/>
                <w:lang w:bidi="ar"/>
              </w:rPr>
              <w:t>1830.3</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0.00049</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0.02849</w:t>
            </w:r>
          </w:p>
        </w:tc>
        <w:tc>
          <w:tcPr>
            <w:tcW w:w="85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0.500</w:t>
            </w:r>
          </w:p>
        </w:tc>
        <w:tc>
          <w:tcPr>
            <w:tcW w:w="7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 xml:space="preserve">5.70 </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6</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安丰营</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-1465</w:t>
            </w:r>
            <w:r>
              <w:rPr>
                <w:rFonts w:ascii="Times New Roman" w:eastAsia="宋体" w:hAnsi="Times New Roman" w:cs="Times New Roman" w:hint="eastAsia"/>
                <w:color w:val="000000" w:themeColor="text1"/>
                <w:lang w:bidi="ar"/>
              </w:rPr>
              <w:t>，</w:t>
            </w:r>
            <w:r>
              <w:rPr>
                <w:rFonts w:ascii="Times New Roman" w:eastAsia="宋体" w:hAnsi="Times New Roman" w:cs="Times New Roman"/>
                <w:color w:val="000000" w:themeColor="text1"/>
                <w:lang w:bidi="ar"/>
              </w:rPr>
              <w:t>-1483</w:t>
            </w:r>
            <w:r>
              <w:rPr>
                <w:rFonts w:ascii="Times New Roman" w:eastAsia="宋体" w:hAnsi="Times New Roman" w:cs="Times New Roman" w:hint="eastAsia"/>
                <w:color w:val="000000" w:themeColor="text1"/>
                <w:lang w:bidi="ar"/>
              </w:rPr>
              <w:t>，</w:t>
            </w:r>
            <w:r>
              <w:rPr>
                <w:rFonts w:ascii="Times New Roman" w:eastAsia="宋体" w:hAnsi="Times New Roman" w:cs="Times New Roman"/>
                <w:color w:val="000000" w:themeColor="text1"/>
                <w:lang w:bidi="ar"/>
              </w:rPr>
              <w:t>1854.89</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0.00063</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0.039</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0.03963</w:t>
            </w:r>
          </w:p>
        </w:tc>
        <w:tc>
          <w:tcPr>
            <w:tcW w:w="85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0.500</w:t>
            </w:r>
          </w:p>
        </w:tc>
        <w:tc>
          <w:tcPr>
            <w:tcW w:w="7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 xml:space="preserve">7.93 </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hint="eastAsia"/>
                <w:color w:val="000000" w:themeColor="text1"/>
                <w:lang w:bidi="ar"/>
              </w:rPr>
              <w:t>7</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int="eastAsia"/>
                <w:color w:val="000000" w:themeColor="text1"/>
                <w:lang w:bidi="ar"/>
              </w:rPr>
              <w:t>大石凹</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-2319</w:t>
            </w:r>
            <w:r>
              <w:rPr>
                <w:rFonts w:ascii="Times New Roman" w:eastAsia="宋体" w:hAnsi="Times New Roman" w:cs="Times New Roman" w:hint="eastAsia"/>
                <w:color w:val="000000" w:themeColor="text1"/>
                <w:lang w:bidi="ar"/>
              </w:rPr>
              <w:t>，</w:t>
            </w:r>
            <w:r>
              <w:rPr>
                <w:rFonts w:ascii="Times New Roman" w:eastAsia="宋体" w:hAnsi="Times New Roman" w:cs="Times New Roman"/>
                <w:color w:val="000000" w:themeColor="text1"/>
                <w:lang w:bidi="ar"/>
              </w:rPr>
              <w:t>-1321</w:t>
            </w:r>
            <w:r>
              <w:rPr>
                <w:rFonts w:ascii="Times New Roman" w:eastAsia="宋体" w:hAnsi="Times New Roman" w:cs="Times New Roman" w:hint="eastAsia"/>
                <w:color w:val="000000" w:themeColor="text1"/>
                <w:lang w:bidi="ar"/>
              </w:rPr>
              <w:t>，</w:t>
            </w:r>
            <w:r>
              <w:rPr>
                <w:rFonts w:ascii="Times New Roman" w:eastAsia="宋体" w:hAnsi="Times New Roman" w:cs="Times New Roman"/>
                <w:color w:val="000000" w:themeColor="text1"/>
                <w:lang w:bidi="ar"/>
              </w:rPr>
              <w:t>1840.16</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0.000009</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0.000009</w:t>
            </w:r>
          </w:p>
        </w:tc>
        <w:tc>
          <w:tcPr>
            <w:tcW w:w="851"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0.060</w:t>
            </w:r>
          </w:p>
        </w:tc>
        <w:tc>
          <w:tcPr>
            <w:tcW w:w="7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 xml:space="preserve">0.014 </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Cs w:val="22"/>
              </w:rPr>
              <w:t>达标</w:t>
            </w:r>
          </w:p>
        </w:tc>
      </w:tr>
    </w:tbl>
    <w:p w:rsidR="00C861DA" w:rsidRDefault="00C861DA">
      <w:pPr>
        <w:pStyle w:val="21"/>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C861DA">
      <w:pPr>
        <w:pStyle w:val="21"/>
        <w:spacing w:line="240" w:lineRule="auto"/>
        <w:ind w:firstLine="0"/>
        <w:jc w:val="center"/>
        <w:rPr>
          <w:rFonts w:ascii="Times New Roman" w:eastAsia="宋体" w:hAnsi="Times New Roman" w:cs="Times New Roman"/>
          <w:b/>
          <w:color w:val="000000" w:themeColor="text1"/>
          <w:sz w:val="24"/>
        </w:rPr>
      </w:pPr>
    </w:p>
    <w:p w:rsidR="00C861DA" w:rsidRDefault="0044752E">
      <w:pPr>
        <w:pStyle w:val="21"/>
        <w:spacing w:line="240" w:lineRule="auto"/>
        <w:ind w:firstLine="0"/>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图</w:t>
      </w:r>
      <w:r>
        <w:rPr>
          <w:rFonts w:ascii="Times New Roman" w:eastAsia="宋体" w:hAnsi="Times New Roman" w:cs="Times New Roman" w:hint="eastAsia"/>
          <w:b/>
          <w:color w:val="000000" w:themeColor="text1"/>
          <w:sz w:val="24"/>
        </w:rPr>
        <w:t xml:space="preserve"> </w:t>
      </w:r>
      <w:r>
        <w:rPr>
          <w:rFonts w:ascii="Times New Roman" w:eastAsia="宋体" w:hAnsi="Times New Roman" w:cs="Times New Roman"/>
          <w:b/>
          <w:color w:val="000000" w:themeColor="text1"/>
          <w:sz w:val="24"/>
        </w:rPr>
        <w:t xml:space="preserve"> 7.1-1  </w:t>
      </w:r>
      <w:r>
        <w:rPr>
          <w:rFonts w:ascii="Times New Roman" w:eastAsia="宋体" w:hAnsi="Times New Roman" w:cs="Times New Roman" w:hint="eastAsia"/>
          <w:b/>
          <w:color w:val="000000" w:themeColor="text1"/>
          <w:sz w:val="24"/>
        </w:rPr>
        <w:t>氨最大小时浓度等值线分布图</w:t>
      </w:r>
    </w:p>
    <w:p w:rsidR="00C861DA" w:rsidRDefault="0044752E">
      <w:pPr>
        <w:pStyle w:val="21"/>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2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②</w:t>
      </w:r>
      <w:r>
        <w:rPr>
          <w:rFonts w:ascii="Times New Roman" w:eastAsia="宋体" w:hAnsi="Times New Roman" w:cs="Times New Roman"/>
          <w:b/>
          <w:color w:val="000000" w:themeColor="text1"/>
          <w:sz w:val="24"/>
        </w:rPr>
        <w:fldChar w:fldCharType="end"/>
      </w:r>
      <w:r>
        <w:rPr>
          <w:rFonts w:ascii="Times New Roman" w:eastAsia="宋体" w:hAnsi="Times New Roman" w:cs="Times New Roman" w:hint="eastAsia"/>
          <w:b/>
          <w:color w:val="000000" w:themeColor="text1"/>
          <w:sz w:val="24"/>
        </w:rPr>
        <w:t>氮氧化物（</w:t>
      </w:r>
      <w:r>
        <w:rPr>
          <w:rFonts w:ascii="Times New Roman" w:eastAsia="宋体" w:hAnsi="Times New Roman" w:cs="Times New Roman"/>
          <w:b/>
          <w:color w:val="000000" w:themeColor="text1"/>
          <w:sz w:val="24"/>
        </w:rPr>
        <w:t>NO</w:t>
      </w:r>
      <w:r>
        <w:rPr>
          <w:rFonts w:ascii="Times New Roman" w:eastAsia="宋体" w:hAnsi="Times New Roman" w:cs="Times New Roman"/>
          <w:b/>
          <w:color w:val="000000" w:themeColor="text1"/>
          <w:sz w:val="24"/>
          <w:vertAlign w:val="subscript"/>
        </w:rPr>
        <w:t>X</w:t>
      </w:r>
      <w:r>
        <w:rPr>
          <w:rFonts w:ascii="Times New Roman" w:eastAsia="宋体" w:hAnsi="Times New Roman" w:cs="Times New Roman" w:hint="eastAsia"/>
          <w:b/>
          <w:color w:val="000000" w:themeColor="text1"/>
          <w:sz w:val="24"/>
        </w:rPr>
        <w:t>）</w:t>
      </w:r>
    </w:p>
    <w:p w:rsidR="00C861DA" w:rsidRDefault="0044752E">
      <w:pPr>
        <w:keepLines/>
        <w:tabs>
          <w:tab w:val="left" w:pos="4860"/>
          <w:tab w:val="left" w:pos="5040"/>
        </w:tabs>
        <w:autoSpaceDE/>
        <w:autoSpaceDN/>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按逐时、逐日、年均预测计算</w:t>
      </w:r>
      <w:r>
        <w:rPr>
          <w:rFonts w:ascii="Times New Roman" w:eastAsia="宋体" w:hAnsi="Times New Roman" w:cs="Times New Roman" w:hint="eastAsia"/>
          <w:iCs/>
          <w:color w:val="000000" w:themeColor="text1"/>
          <w:sz w:val="24"/>
          <w:szCs w:val="24"/>
        </w:rPr>
        <w:t>NO</w:t>
      </w:r>
      <w:r>
        <w:rPr>
          <w:rFonts w:ascii="Times New Roman" w:eastAsia="宋体" w:hAnsi="Times New Roman" w:cs="Times New Roman" w:hint="eastAsia"/>
          <w:iCs/>
          <w:color w:val="000000" w:themeColor="text1"/>
          <w:sz w:val="24"/>
          <w:szCs w:val="24"/>
          <w:vertAlign w:val="subscript"/>
        </w:rPr>
        <w:t>X</w:t>
      </w:r>
      <w:r>
        <w:rPr>
          <w:rFonts w:ascii="Times New Roman" w:eastAsia="宋体" w:hAnsi="Times New Roman" w:cs="Times New Roman"/>
          <w:iCs/>
          <w:color w:val="000000" w:themeColor="text1"/>
          <w:sz w:val="24"/>
          <w:szCs w:val="24"/>
        </w:rPr>
        <w:t>地面浓度贡献值，地面浓度最大贡献值预测结果（全网格）见表</w:t>
      </w:r>
      <w:r>
        <w:rPr>
          <w:rFonts w:ascii="Times New Roman" w:eastAsia="宋体" w:hAnsi="Times New Roman" w:cs="Times New Roman"/>
          <w:iCs/>
          <w:color w:val="000000" w:themeColor="text1"/>
          <w:sz w:val="24"/>
          <w:szCs w:val="24"/>
        </w:rPr>
        <w:t>7.1-17</w:t>
      </w:r>
      <w:r>
        <w:rPr>
          <w:rFonts w:ascii="Times New Roman" w:eastAsia="宋体" w:hAnsi="Times New Roman" w:cs="Times New Roman"/>
          <w:iCs/>
          <w:color w:val="000000" w:themeColor="text1"/>
          <w:sz w:val="24"/>
          <w:szCs w:val="24"/>
        </w:rPr>
        <w:t>，关心点及网格地面浓度最大值预测结果见表</w:t>
      </w:r>
      <w:r>
        <w:rPr>
          <w:rFonts w:ascii="Times New Roman" w:eastAsia="宋体" w:hAnsi="Times New Roman" w:cs="Times New Roman"/>
          <w:iCs/>
          <w:color w:val="000000" w:themeColor="text1"/>
          <w:sz w:val="24"/>
          <w:szCs w:val="24"/>
        </w:rPr>
        <w:t>7.1-18</w:t>
      </w:r>
      <w:r>
        <w:rPr>
          <w:rFonts w:ascii="Times New Roman" w:eastAsia="宋体" w:hAnsi="Times New Roman" w:cs="Times New Roman"/>
          <w:iCs/>
          <w:color w:val="000000" w:themeColor="text1"/>
          <w:sz w:val="24"/>
          <w:szCs w:val="24"/>
        </w:rPr>
        <w:t>。</w:t>
      </w:r>
    </w:p>
    <w:p w:rsidR="00C861DA" w:rsidRDefault="0044752E">
      <w:pPr>
        <w:keepLines/>
        <w:tabs>
          <w:tab w:val="left" w:pos="4860"/>
          <w:tab w:val="left" w:pos="5040"/>
        </w:tabs>
        <w:autoSpaceDE/>
        <w:autoSpaceDN/>
        <w:spacing w:line="360" w:lineRule="auto"/>
        <w:ind w:firstLineChars="200" w:firstLine="480"/>
        <w:jc w:val="both"/>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由表</w:t>
      </w:r>
      <w:r>
        <w:rPr>
          <w:rFonts w:ascii="Times New Roman" w:eastAsia="宋体" w:hAnsi="Times New Roman" w:cs="Times New Roman"/>
          <w:iCs/>
          <w:color w:val="000000" w:themeColor="text1"/>
          <w:sz w:val="24"/>
          <w:szCs w:val="24"/>
        </w:rPr>
        <w:t>7.1-17</w:t>
      </w:r>
      <w:r>
        <w:rPr>
          <w:rFonts w:ascii="Times New Roman" w:eastAsia="宋体" w:hAnsi="Times New Roman" w:cs="Times New Roman"/>
          <w:iCs/>
          <w:color w:val="000000" w:themeColor="text1"/>
          <w:sz w:val="24"/>
          <w:szCs w:val="24"/>
        </w:rPr>
        <w:t>可知，整个评价区域内氨的</w:t>
      </w:r>
      <w:r>
        <w:rPr>
          <w:rFonts w:ascii="Times New Roman" w:eastAsia="宋体" w:hAnsi="Times New Roman" w:cs="Times New Roman"/>
          <w:iCs/>
          <w:color w:val="000000" w:themeColor="text1"/>
          <w:sz w:val="24"/>
          <w:szCs w:val="24"/>
        </w:rPr>
        <w:t>1</w:t>
      </w:r>
      <w:r>
        <w:rPr>
          <w:rFonts w:ascii="Times New Roman" w:eastAsia="宋体" w:hAnsi="Times New Roman" w:cs="Times New Roman"/>
          <w:iCs/>
          <w:color w:val="000000" w:themeColor="text1"/>
          <w:sz w:val="24"/>
          <w:szCs w:val="24"/>
        </w:rPr>
        <w:t>小时最大浓度贡献值、日均最大浓度贡献值、年均最大浓度贡献值均满足《环境空气质量标准》（</w:t>
      </w:r>
      <w:r>
        <w:rPr>
          <w:rFonts w:ascii="Times New Roman" w:eastAsia="宋体" w:hAnsi="Times New Roman" w:cs="Times New Roman"/>
          <w:iCs/>
          <w:color w:val="000000" w:themeColor="text1"/>
          <w:sz w:val="24"/>
          <w:szCs w:val="24"/>
        </w:rPr>
        <w:t>GB3095-2012</w:t>
      </w:r>
      <w:r>
        <w:rPr>
          <w:rFonts w:ascii="Times New Roman" w:eastAsia="宋体" w:hAnsi="Times New Roman" w:cs="Times New Roman"/>
          <w:iCs/>
          <w:color w:val="000000" w:themeColor="text1"/>
          <w:sz w:val="24"/>
          <w:szCs w:val="24"/>
        </w:rPr>
        <w:t>）二级标准要求，占标率分别为</w:t>
      </w:r>
      <w:r>
        <w:rPr>
          <w:rFonts w:ascii="Times New Roman" w:eastAsia="宋体" w:hAnsi="Times New Roman" w:cs="Times New Roman" w:hint="eastAsia"/>
          <w:iCs/>
          <w:color w:val="000000" w:themeColor="text1"/>
          <w:sz w:val="24"/>
          <w:szCs w:val="24"/>
        </w:rPr>
        <w:t>2</w:t>
      </w:r>
      <w:r>
        <w:rPr>
          <w:rFonts w:ascii="Times New Roman" w:eastAsia="宋体" w:hAnsi="Times New Roman" w:cs="Times New Roman"/>
          <w:iCs/>
          <w:color w:val="000000" w:themeColor="text1"/>
          <w:sz w:val="24"/>
          <w:szCs w:val="24"/>
        </w:rPr>
        <w:t>4.6%</w:t>
      </w:r>
      <w:r>
        <w:rPr>
          <w:rFonts w:ascii="Times New Roman" w:eastAsia="宋体" w:hAnsi="Times New Roman" w:cs="Times New Roman"/>
          <w:iCs/>
          <w:color w:val="000000" w:themeColor="text1"/>
          <w:sz w:val="24"/>
          <w:szCs w:val="24"/>
        </w:rPr>
        <w:t>、</w:t>
      </w:r>
      <w:r>
        <w:rPr>
          <w:rFonts w:ascii="Times New Roman" w:eastAsia="宋体" w:hAnsi="Times New Roman" w:cs="Times New Roman" w:hint="eastAsia"/>
          <w:iCs/>
          <w:color w:val="000000" w:themeColor="text1"/>
          <w:sz w:val="24"/>
          <w:szCs w:val="24"/>
        </w:rPr>
        <w:t>1</w:t>
      </w:r>
      <w:r>
        <w:rPr>
          <w:rFonts w:ascii="Times New Roman" w:eastAsia="宋体" w:hAnsi="Times New Roman" w:cs="Times New Roman"/>
          <w:iCs/>
          <w:color w:val="000000" w:themeColor="text1"/>
          <w:sz w:val="24"/>
          <w:szCs w:val="24"/>
        </w:rPr>
        <w:t>1.61%</w:t>
      </w:r>
      <w:r>
        <w:rPr>
          <w:rFonts w:ascii="Times New Roman" w:eastAsia="宋体" w:hAnsi="Times New Roman" w:cs="Times New Roman"/>
          <w:iCs/>
          <w:color w:val="000000" w:themeColor="text1"/>
          <w:sz w:val="24"/>
          <w:szCs w:val="24"/>
        </w:rPr>
        <w:t>、</w:t>
      </w:r>
      <w:r>
        <w:rPr>
          <w:rFonts w:ascii="Times New Roman" w:eastAsia="宋体" w:hAnsi="Times New Roman" w:cs="Times New Roman" w:hint="eastAsia"/>
          <w:iCs/>
          <w:color w:val="000000" w:themeColor="text1"/>
          <w:sz w:val="24"/>
          <w:szCs w:val="24"/>
        </w:rPr>
        <w:t>1</w:t>
      </w:r>
      <w:r>
        <w:rPr>
          <w:rFonts w:ascii="Times New Roman" w:eastAsia="宋体" w:hAnsi="Times New Roman" w:cs="Times New Roman"/>
          <w:iCs/>
          <w:color w:val="000000" w:themeColor="text1"/>
          <w:sz w:val="24"/>
          <w:szCs w:val="24"/>
        </w:rPr>
        <w:t>0.52%</w:t>
      </w:r>
      <w:r>
        <w:rPr>
          <w:rFonts w:ascii="Times New Roman" w:eastAsia="宋体" w:hAnsi="Times New Roman" w:cs="Times New Roman"/>
          <w:iCs/>
          <w:color w:val="000000" w:themeColor="text1"/>
          <w:sz w:val="24"/>
          <w:szCs w:val="24"/>
        </w:rPr>
        <w:t>，</w:t>
      </w:r>
      <w:r>
        <w:rPr>
          <w:rFonts w:ascii="Times New Roman" w:eastAsia="宋体" w:hAnsi="Times New Roman" w:cs="Times New Roman"/>
          <w:iCs/>
          <w:color w:val="000000" w:themeColor="text1"/>
          <w:sz w:val="24"/>
          <w:szCs w:val="24"/>
        </w:rPr>
        <w:t>1</w:t>
      </w:r>
      <w:r>
        <w:rPr>
          <w:rFonts w:ascii="Times New Roman" w:eastAsia="宋体" w:hAnsi="Times New Roman" w:cs="Times New Roman"/>
          <w:iCs/>
          <w:color w:val="000000" w:themeColor="text1"/>
          <w:sz w:val="24"/>
          <w:szCs w:val="24"/>
        </w:rPr>
        <w:t>小时最大浓度贡献值、日均最大浓度贡献值占标率小于</w:t>
      </w:r>
      <w:r>
        <w:rPr>
          <w:rFonts w:ascii="Times New Roman" w:eastAsia="宋体" w:hAnsi="Times New Roman" w:cs="Times New Roman"/>
          <w:iCs/>
          <w:color w:val="000000" w:themeColor="text1"/>
          <w:sz w:val="24"/>
          <w:szCs w:val="24"/>
        </w:rPr>
        <w:t>100%</w:t>
      </w:r>
      <w:r>
        <w:rPr>
          <w:rFonts w:ascii="Times New Roman" w:eastAsia="宋体" w:hAnsi="Times New Roman" w:cs="Times New Roman"/>
          <w:iCs/>
          <w:color w:val="000000" w:themeColor="text1"/>
          <w:sz w:val="24"/>
          <w:szCs w:val="24"/>
        </w:rPr>
        <w:t>，年均最大浓度贡献值占标率小于</w:t>
      </w:r>
      <w:r>
        <w:rPr>
          <w:rFonts w:ascii="Times New Roman" w:eastAsia="宋体" w:hAnsi="Times New Roman" w:cs="Times New Roman"/>
          <w:iCs/>
          <w:color w:val="000000" w:themeColor="text1"/>
          <w:sz w:val="24"/>
          <w:szCs w:val="24"/>
        </w:rPr>
        <w:t>30%</w:t>
      </w:r>
      <w:r>
        <w:rPr>
          <w:rFonts w:ascii="Times New Roman" w:eastAsia="宋体" w:hAnsi="Times New Roman" w:cs="Times New Roman"/>
          <w:iCs/>
          <w:color w:val="000000" w:themeColor="text1"/>
          <w:sz w:val="24"/>
          <w:szCs w:val="24"/>
        </w:rPr>
        <w:t>。</w:t>
      </w:r>
    </w:p>
    <w:p w:rsidR="00C861DA" w:rsidRDefault="0044752E">
      <w:pPr>
        <w:keepNext/>
        <w:keepLines/>
        <w:tabs>
          <w:tab w:val="left" w:pos="4860"/>
          <w:tab w:val="left" w:pos="5040"/>
        </w:tabs>
        <w:autoSpaceDE/>
        <w:autoSpaceDN/>
        <w:spacing w:line="360" w:lineRule="auto"/>
        <w:ind w:firstLineChars="200" w:firstLine="480"/>
        <w:jc w:val="both"/>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由表</w:t>
      </w:r>
      <w:r>
        <w:rPr>
          <w:rFonts w:ascii="Times New Roman" w:eastAsia="宋体" w:hAnsi="Times New Roman" w:cs="Times New Roman"/>
          <w:iCs/>
          <w:color w:val="000000" w:themeColor="text1"/>
          <w:sz w:val="24"/>
          <w:szCs w:val="24"/>
        </w:rPr>
        <w:t>7.1-18</w:t>
      </w:r>
      <w:r>
        <w:rPr>
          <w:rFonts w:ascii="Times New Roman" w:eastAsia="宋体" w:hAnsi="Times New Roman" w:cs="Times New Roman"/>
          <w:iCs/>
          <w:color w:val="000000" w:themeColor="text1"/>
          <w:sz w:val="24"/>
          <w:szCs w:val="24"/>
        </w:rPr>
        <w:t>可知，各关心点及网格氨的</w:t>
      </w:r>
      <w:r>
        <w:rPr>
          <w:rFonts w:ascii="Times New Roman" w:eastAsia="宋体" w:hAnsi="Times New Roman" w:cs="Times New Roman"/>
          <w:iCs/>
          <w:color w:val="000000" w:themeColor="text1"/>
          <w:sz w:val="24"/>
          <w:szCs w:val="24"/>
        </w:rPr>
        <w:t>1</w:t>
      </w:r>
      <w:r>
        <w:rPr>
          <w:rFonts w:ascii="Times New Roman" w:eastAsia="宋体" w:hAnsi="Times New Roman" w:cs="Times New Roman"/>
          <w:iCs/>
          <w:color w:val="000000" w:themeColor="text1"/>
          <w:sz w:val="24"/>
          <w:szCs w:val="24"/>
        </w:rPr>
        <w:t>小时最大浓度预测值、日均最大浓度预测值、年均最大浓度预测值均满足《环境空气质量标准》（</w:t>
      </w:r>
      <w:r>
        <w:rPr>
          <w:rFonts w:ascii="Times New Roman" w:eastAsia="宋体" w:hAnsi="Times New Roman" w:cs="Times New Roman"/>
          <w:iCs/>
          <w:color w:val="000000" w:themeColor="text1"/>
          <w:sz w:val="24"/>
          <w:szCs w:val="24"/>
        </w:rPr>
        <w:t>GB3095-2012</w:t>
      </w:r>
      <w:r>
        <w:rPr>
          <w:rFonts w:ascii="Times New Roman" w:eastAsia="宋体" w:hAnsi="Times New Roman" w:cs="Times New Roman"/>
          <w:iCs/>
          <w:color w:val="000000" w:themeColor="text1"/>
          <w:sz w:val="24"/>
          <w:szCs w:val="24"/>
        </w:rPr>
        <w:t>）二级标准要求，无超标点。</w:t>
      </w:r>
    </w:p>
    <w:p w:rsidR="00C861DA" w:rsidRDefault="0044752E">
      <w:pPr>
        <w:keepNext/>
        <w:keepLines/>
        <w:tabs>
          <w:tab w:val="left" w:pos="4860"/>
          <w:tab w:val="left" w:pos="5040"/>
        </w:tabs>
        <w:autoSpaceDE/>
        <w:autoSpaceDN/>
        <w:spacing w:line="360" w:lineRule="auto"/>
        <w:jc w:val="center"/>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表</w:t>
      </w:r>
      <w:r>
        <w:rPr>
          <w:rFonts w:ascii="Times New Roman" w:eastAsia="宋体" w:hAnsi="Times New Roman" w:cs="Times New Roman"/>
          <w:b/>
          <w:bCs/>
          <w:iCs/>
          <w:color w:val="000000" w:themeColor="text1"/>
          <w:sz w:val="24"/>
          <w:szCs w:val="24"/>
        </w:rPr>
        <w:t xml:space="preserve">7.1-17  </w:t>
      </w:r>
      <w:r>
        <w:rPr>
          <w:rFonts w:ascii="Times New Roman" w:eastAsia="宋体" w:hAnsi="Times New Roman" w:cs="Times New Roman" w:hint="eastAsia"/>
          <w:b/>
          <w:bCs/>
          <w:iCs/>
          <w:color w:val="000000" w:themeColor="text1"/>
          <w:sz w:val="24"/>
          <w:szCs w:val="24"/>
        </w:rPr>
        <w:t>NO</w:t>
      </w:r>
      <w:r>
        <w:rPr>
          <w:rFonts w:ascii="Times New Roman" w:eastAsia="宋体" w:hAnsi="Times New Roman" w:cs="Times New Roman" w:hint="eastAsia"/>
          <w:b/>
          <w:bCs/>
          <w:iCs/>
          <w:color w:val="000000" w:themeColor="text1"/>
          <w:sz w:val="24"/>
          <w:szCs w:val="24"/>
          <w:vertAlign w:val="subscript"/>
        </w:rPr>
        <w:t>X</w:t>
      </w:r>
      <w:r>
        <w:rPr>
          <w:rFonts w:ascii="Times New Roman" w:eastAsia="宋体" w:hAnsi="Times New Roman" w:cs="Times New Roman"/>
          <w:b/>
          <w:bCs/>
          <w:iCs/>
          <w:color w:val="000000" w:themeColor="text1"/>
          <w:sz w:val="24"/>
          <w:szCs w:val="24"/>
        </w:rPr>
        <w:t>地面浓度最大贡献值预测结果（全网格）</w:t>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3"/>
        <w:gridCol w:w="2834"/>
        <w:gridCol w:w="2108"/>
        <w:gridCol w:w="2077"/>
      </w:tblGrid>
      <w:tr w:rsidR="00C861DA">
        <w:trPr>
          <w:trHeight w:val="454"/>
          <w:jc w:val="center"/>
        </w:trPr>
        <w:tc>
          <w:tcPr>
            <w:tcW w:w="2183" w:type="dxa"/>
            <w:vAlign w:val="center"/>
          </w:tcPr>
          <w:p w:rsidR="00C861DA" w:rsidRDefault="0044752E">
            <w:pPr>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浓度类型</w:t>
            </w:r>
          </w:p>
        </w:tc>
        <w:tc>
          <w:tcPr>
            <w:tcW w:w="2834" w:type="dxa"/>
            <w:vAlign w:val="center"/>
          </w:tcPr>
          <w:p w:rsidR="00C861DA" w:rsidRDefault="0044752E">
            <w:pPr>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最大贡献值（</w:t>
            </w:r>
            <w:r>
              <w:rPr>
                <w:rFonts w:ascii="Times New Roman" w:eastAsia="宋体" w:hAnsi="Times New Roman" w:cs="Times New Roman"/>
                <w:b/>
                <w:bCs/>
                <w:color w:val="000000" w:themeColor="text1"/>
              </w:rPr>
              <w:t>mg/m</w:t>
            </w:r>
            <w:r>
              <w:rPr>
                <w:rFonts w:ascii="Times New Roman" w:eastAsia="宋体" w:hAnsi="Times New Roman" w:cs="Times New Roman"/>
                <w:b/>
                <w:bCs/>
                <w:color w:val="000000" w:themeColor="text1"/>
                <w:vertAlign w:val="superscript"/>
              </w:rPr>
              <w:t>3</w:t>
            </w:r>
            <w:r>
              <w:rPr>
                <w:rFonts w:ascii="Times New Roman" w:eastAsia="宋体" w:hAnsi="Times New Roman" w:cs="Times New Roman"/>
                <w:b/>
                <w:bCs/>
                <w:color w:val="000000" w:themeColor="text1"/>
              </w:rPr>
              <w:t>）</w:t>
            </w:r>
          </w:p>
        </w:tc>
        <w:tc>
          <w:tcPr>
            <w:tcW w:w="2108" w:type="dxa"/>
            <w:vAlign w:val="center"/>
          </w:tcPr>
          <w:p w:rsidR="00C861DA" w:rsidRDefault="0044752E">
            <w:pPr>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出现距离（</w:t>
            </w:r>
            <w:r>
              <w:rPr>
                <w:rFonts w:ascii="Times New Roman" w:eastAsia="宋体" w:hAnsi="Times New Roman" w:cs="Times New Roman"/>
                <w:b/>
                <w:bCs/>
                <w:color w:val="000000" w:themeColor="text1"/>
              </w:rPr>
              <w:t>m</w:t>
            </w:r>
            <w:r>
              <w:rPr>
                <w:rFonts w:ascii="Times New Roman" w:eastAsia="宋体" w:hAnsi="Times New Roman" w:cs="Times New Roman"/>
                <w:b/>
                <w:bCs/>
                <w:color w:val="000000" w:themeColor="text1"/>
              </w:rPr>
              <w:t>）</w:t>
            </w:r>
          </w:p>
        </w:tc>
        <w:tc>
          <w:tcPr>
            <w:tcW w:w="2077" w:type="dxa"/>
            <w:vAlign w:val="center"/>
          </w:tcPr>
          <w:p w:rsidR="00C861DA" w:rsidRDefault="0044752E">
            <w:pPr>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lang w:bidi="ar"/>
              </w:rPr>
              <w:t>占标率（</w:t>
            </w:r>
            <w:r>
              <w:rPr>
                <w:rFonts w:ascii="Times New Roman" w:eastAsia="宋体" w:hAnsi="Times New Roman" w:cs="Times New Roman"/>
                <w:b/>
                <w:bCs/>
                <w:color w:val="000000" w:themeColor="text1"/>
                <w:lang w:bidi="ar"/>
              </w:rPr>
              <w:t>%</w:t>
            </w:r>
            <w:r>
              <w:rPr>
                <w:rFonts w:ascii="Times New Roman" w:eastAsia="宋体" w:hAnsi="Times New Roman" w:cs="Times New Roman"/>
                <w:b/>
                <w:bCs/>
                <w:color w:val="000000" w:themeColor="text1"/>
                <w:lang w:bidi="ar"/>
              </w:rPr>
              <w:t>）</w:t>
            </w:r>
          </w:p>
        </w:tc>
      </w:tr>
      <w:tr w:rsidR="00C861DA">
        <w:trPr>
          <w:trHeight w:val="454"/>
          <w:jc w:val="center"/>
        </w:trPr>
        <w:tc>
          <w:tcPr>
            <w:tcW w:w="2183"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小时</w:t>
            </w:r>
          </w:p>
        </w:tc>
        <w:tc>
          <w:tcPr>
            <w:tcW w:w="2834" w:type="dxa"/>
            <w:vAlign w:val="center"/>
          </w:tcPr>
          <w:p w:rsidR="00C861DA" w:rsidRDefault="0044752E">
            <w:pPr>
              <w:jc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67.24</w:t>
            </w:r>
          </w:p>
        </w:tc>
        <w:tc>
          <w:tcPr>
            <w:tcW w:w="2108" w:type="dxa"/>
            <w:vAlign w:val="center"/>
          </w:tcPr>
          <w:p w:rsidR="00C861DA" w:rsidRDefault="0044752E">
            <w:pPr>
              <w:jc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31.12</w:t>
            </w:r>
          </w:p>
        </w:tc>
        <w:tc>
          <w:tcPr>
            <w:tcW w:w="2077" w:type="dxa"/>
            <w:vAlign w:val="center"/>
          </w:tcPr>
          <w:p w:rsidR="00C861DA" w:rsidRDefault="0044752E">
            <w:pPr>
              <w:jc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24.6</w:t>
            </w:r>
          </w:p>
        </w:tc>
      </w:tr>
      <w:tr w:rsidR="00C861DA">
        <w:trPr>
          <w:trHeight w:val="454"/>
          <w:jc w:val="center"/>
        </w:trPr>
        <w:tc>
          <w:tcPr>
            <w:tcW w:w="2183"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日平均</w:t>
            </w:r>
          </w:p>
        </w:tc>
        <w:tc>
          <w:tcPr>
            <w:tcW w:w="2834" w:type="dxa"/>
            <w:vAlign w:val="center"/>
          </w:tcPr>
          <w:p w:rsidR="00C861DA" w:rsidRDefault="0044752E">
            <w:pPr>
              <w:jc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11.61</w:t>
            </w:r>
          </w:p>
        </w:tc>
        <w:tc>
          <w:tcPr>
            <w:tcW w:w="2108" w:type="dxa"/>
            <w:vAlign w:val="center"/>
          </w:tcPr>
          <w:p w:rsidR="00C861DA" w:rsidRDefault="0044752E">
            <w:pPr>
              <w:jc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632.46</w:t>
            </w:r>
          </w:p>
        </w:tc>
        <w:tc>
          <w:tcPr>
            <w:tcW w:w="2077" w:type="dxa"/>
            <w:vAlign w:val="center"/>
          </w:tcPr>
          <w:p w:rsidR="00C861DA" w:rsidRDefault="0044752E">
            <w:pPr>
              <w:jc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11.61</w:t>
            </w:r>
          </w:p>
        </w:tc>
      </w:tr>
      <w:tr w:rsidR="00C861DA">
        <w:trPr>
          <w:trHeight w:val="454"/>
          <w:jc w:val="center"/>
        </w:trPr>
        <w:tc>
          <w:tcPr>
            <w:tcW w:w="2183"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年平均</w:t>
            </w:r>
          </w:p>
        </w:tc>
        <w:tc>
          <w:tcPr>
            <w:tcW w:w="2834" w:type="dxa"/>
            <w:vAlign w:val="center"/>
          </w:tcPr>
          <w:p w:rsidR="00C861DA" w:rsidRDefault="0044752E">
            <w:pPr>
              <w:jc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7.12</w:t>
            </w:r>
          </w:p>
        </w:tc>
        <w:tc>
          <w:tcPr>
            <w:tcW w:w="2108" w:type="dxa"/>
            <w:vAlign w:val="center"/>
          </w:tcPr>
          <w:p w:rsidR="00C861DA" w:rsidRDefault="0044752E">
            <w:pPr>
              <w:jc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1063.01</w:t>
            </w:r>
          </w:p>
        </w:tc>
        <w:tc>
          <w:tcPr>
            <w:tcW w:w="2077" w:type="dxa"/>
            <w:vAlign w:val="center"/>
          </w:tcPr>
          <w:p w:rsidR="00C861DA" w:rsidRDefault="0044752E">
            <w:pPr>
              <w:jc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10.52</w:t>
            </w:r>
          </w:p>
        </w:tc>
      </w:tr>
      <w:tr w:rsidR="00C861DA">
        <w:trPr>
          <w:trHeight w:val="454"/>
          <w:jc w:val="center"/>
        </w:trPr>
        <w:tc>
          <w:tcPr>
            <w:tcW w:w="9202" w:type="dxa"/>
            <w:gridSpan w:val="4"/>
            <w:vAlign w:val="center"/>
          </w:tcPr>
          <w:p w:rsidR="00C861DA" w:rsidRDefault="0044752E">
            <w:pPr>
              <w:jc w:val="both"/>
              <w:rPr>
                <w:rFonts w:ascii="Times New Roman" w:eastAsia="宋体" w:hAnsi="Times New Roman" w:cs="Times New Roman"/>
                <w:color w:val="000000" w:themeColor="text1"/>
              </w:rPr>
            </w:pPr>
            <w:r>
              <w:rPr>
                <w:rFonts w:ascii="Times New Roman" w:eastAsia="宋体" w:hAnsi="Times New Roman" w:cs="Times New Roman"/>
                <w:color w:val="000000" w:themeColor="text1"/>
              </w:rPr>
              <w:t>注：</w:t>
            </w:r>
            <w:r>
              <w:rPr>
                <w:rFonts w:ascii="宋体" w:eastAsia="宋体" w:hAnsi="宋体" w:cs="宋体" w:hint="eastAsia"/>
                <w:color w:val="000000" w:themeColor="text1"/>
                <w:szCs w:val="22"/>
              </w:rPr>
              <w:t>①</w:t>
            </w:r>
            <w:r>
              <w:rPr>
                <w:rFonts w:ascii="Times New Roman" w:eastAsia="宋体" w:hAnsi="Times New Roman" w:cs="Times New Roman" w:hint="eastAsia"/>
                <w:color w:val="000000" w:themeColor="text1"/>
                <w:szCs w:val="22"/>
              </w:rPr>
              <w:t>NO</w:t>
            </w:r>
            <w:r>
              <w:rPr>
                <w:rFonts w:ascii="Times New Roman" w:eastAsia="宋体" w:hAnsi="Times New Roman" w:cs="Times New Roman" w:hint="eastAsia"/>
                <w:color w:val="000000" w:themeColor="text1"/>
                <w:szCs w:val="22"/>
                <w:vertAlign w:val="subscript"/>
              </w:rPr>
              <w:t>X</w:t>
            </w:r>
            <w:r>
              <w:rPr>
                <w:rFonts w:ascii="Times New Roman" w:eastAsia="宋体" w:hAnsi="Times New Roman" w:cs="Times New Roman"/>
                <w:color w:val="000000" w:themeColor="text1"/>
              </w:rPr>
              <w:t>小时标准限值</w:t>
            </w:r>
            <w:r>
              <w:rPr>
                <w:rFonts w:ascii="Times New Roman" w:eastAsia="宋体" w:hAnsi="Times New Roman" w:cs="Times New Roman" w:hint="eastAsia"/>
                <w:color w:val="000000" w:themeColor="text1"/>
              </w:rPr>
              <w:t>、日均值、年均值分别为</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250mg/m</w:t>
            </w:r>
            <w:r>
              <w:rPr>
                <w:rFonts w:ascii="Times New Roman" w:eastAsia="宋体" w:hAnsi="Times New Roman" w:cs="Times New Roman"/>
                <w:color w:val="000000" w:themeColor="text1"/>
                <w:vertAlign w:val="superscript"/>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00mg/m</w:t>
            </w:r>
            <w:r>
              <w:rPr>
                <w:rFonts w:ascii="Times New Roman" w:eastAsia="宋体" w:hAnsi="Times New Roman" w:cs="Times New Roman"/>
                <w:color w:val="000000" w:themeColor="text1"/>
                <w:vertAlign w:val="superscript"/>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5</w:t>
            </w:r>
            <w:r>
              <w:rPr>
                <w:rFonts w:ascii="Times New Roman" w:eastAsia="宋体" w:hAnsi="Times New Roman" w:cs="Times New Roman"/>
                <w:color w:val="000000" w:themeColor="text1"/>
              </w:rPr>
              <w:t>0mg/m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r>
              <w:rPr>
                <w:rFonts w:ascii="宋体" w:eastAsia="宋体" w:hAnsi="宋体" w:cs="宋体" w:hint="eastAsia"/>
                <w:color w:val="000000" w:themeColor="text1"/>
                <w:szCs w:val="22"/>
              </w:rPr>
              <w:t>②</w:t>
            </w:r>
            <w:r>
              <w:rPr>
                <w:rFonts w:ascii="Times New Roman" w:eastAsia="宋体" w:hAnsi="Times New Roman" w:cs="Times New Roman"/>
                <w:color w:val="000000" w:themeColor="text1"/>
                <w:szCs w:val="22"/>
              </w:rPr>
              <w:t>表中距离为到</w:t>
            </w:r>
            <w:r>
              <w:rPr>
                <w:rFonts w:ascii="Times New Roman" w:eastAsia="宋体" w:hAnsi="Times New Roman" w:cs="Times New Roman"/>
                <w:color w:val="000000" w:themeColor="text1"/>
                <w:szCs w:val="22"/>
              </w:rPr>
              <w:t>9#</w:t>
            </w:r>
            <w:r>
              <w:rPr>
                <w:rFonts w:ascii="Times New Roman" w:eastAsia="宋体" w:hAnsi="Times New Roman" w:cs="Times New Roman"/>
                <w:color w:val="000000" w:themeColor="text1"/>
                <w:szCs w:val="22"/>
              </w:rPr>
              <w:t>排气筒的距离。</w:t>
            </w:r>
          </w:p>
        </w:tc>
      </w:tr>
    </w:tbl>
    <w:p w:rsidR="00C861DA" w:rsidRDefault="0044752E">
      <w:pPr>
        <w:keepNext/>
        <w:keepLines/>
        <w:tabs>
          <w:tab w:val="left" w:pos="4860"/>
          <w:tab w:val="left" w:pos="5040"/>
        </w:tabs>
        <w:autoSpaceDE/>
        <w:autoSpaceDN/>
        <w:spacing w:beforeLines="100" w:before="312" w:line="360" w:lineRule="auto"/>
        <w:jc w:val="center"/>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表</w:t>
      </w:r>
      <w:r>
        <w:rPr>
          <w:rFonts w:ascii="Times New Roman" w:eastAsia="宋体" w:hAnsi="Times New Roman" w:cs="Times New Roman"/>
          <w:b/>
          <w:bCs/>
          <w:iCs/>
          <w:color w:val="000000" w:themeColor="text1"/>
          <w:sz w:val="24"/>
          <w:szCs w:val="24"/>
        </w:rPr>
        <w:t xml:space="preserve">7.1-18  </w:t>
      </w:r>
      <w:r>
        <w:rPr>
          <w:rFonts w:ascii="Times New Roman" w:eastAsia="宋体" w:hAnsi="Times New Roman" w:cs="Times New Roman"/>
          <w:b/>
          <w:bCs/>
          <w:iCs/>
          <w:color w:val="000000" w:themeColor="text1"/>
          <w:sz w:val="24"/>
          <w:szCs w:val="24"/>
        </w:rPr>
        <w:t>关心点及网格</w:t>
      </w:r>
      <w:r>
        <w:rPr>
          <w:rFonts w:ascii="Times New Roman" w:eastAsia="宋体" w:hAnsi="Times New Roman" w:cs="Times New Roman" w:hint="eastAsia"/>
          <w:b/>
          <w:bCs/>
          <w:iCs/>
          <w:color w:val="000000" w:themeColor="text1"/>
          <w:sz w:val="24"/>
          <w:szCs w:val="24"/>
        </w:rPr>
        <w:t>NO</w:t>
      </w:r>
      <w:r>
        <w:rPr>
          <w:rFonts w:ascii="Times New Roman" w:eastAsia="宋体" w:hAnsi="Times New Roman" w:cs="Times New Roman" w:hint="eastAsia"/>
          <w:b/>
          <w:bCs/>
          <w:iCs/>
          <w:color w:val="000000" w:themeColor="text1"/>
          <w:sz w:val="24"/>
          <w:szCs w:val="24"/>
          <w:vertAlign w:val="subscript"/>
        </w:rPr>
        <w:t>X</w:t>
      </w:r>
      <w:r>
        <w:rPr>
          <w:rFonts w:ascii="Times New Roman" w:eastAsia="宋体" w:hAnsi="Times New Roman" w:cs="Times New Roman"/>
          <w:b/>
          <w:bCs/>
          <w:iCs/>
          <w:color w:val="000000" w:themeColor="text1"/>
          <w:sz w:val="24"/>
          <w:szCs w:val="24"/>
        </w:rPr>
        <w:t>地面浓度最大值预测结果</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4"/>
        <w:gridCol w:w="424"/>
        <w:gridCol w:w="1135"/>
        <w:gridCol w:w="1560"/>
        <w:gridCol w:w="1134"/>
        <w:gridCol w:w="850"/>
        <w:gridCol w:w="992"/>
        <w:gridCol w:w="709"/>
        <w:gridCol w:w="992"/>
        <w:gridCol w:w="709"/>
      </w:tblGrid>
      <w:tr w:rsidR="00C861DA">
        <w:trPr>
          <w:trHeight w:val="369"/>
          <w:jc w:val="center"/>
        </w:trPr>
        <w:tc>
          <w:tcPr>
            <w:tcW w:w="704"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浓度</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类型</w:t>
            </w:r>
          </w:p>
        </w:tc>
        <w:tc>
          <w:tcPr>
            <w:tcW w:w="424"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序号</w:t>
            </w:r>
          </w:p>
        </w:tc>
        <w:tc>
          <w:tcPr>
            <w:tcW w:w="1135"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离散点</w:t>
            </w:r>
          </w:p>
        </w:tc>
        <w:tc>
          <w:tcPr>
            <w:tcW w:w="1560"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坐标（</w:t>
            </w:r>
            <w:r>
              <w:rPr>
                <w:rFonts w:ascii="Times New Roman" w:eastAsia="宋体" w:hAnsi="Times New Roman" w:cs="Times New Roman"/>
                <w:b/>
                <w:color w:val="000000" w:themeColor="text1"/>
                <w:lang w:bidi="ar"/>
              </w:rPr>
              <w:t>x</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y</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z</w:t>
            </w:r>
            <w:r>
              <w:rPr>
                <w:rFonts w:ascii="Times New Roman" w:eastAsia="宋体" w:hAnsi="Times New Roman" w:cs="Times New Roman"/>
                <w:b/>
                <w:color w:val="000000" w:themeColor="text1"/>
                <w:lang w:bidi="ar"/>
              </w:rPr>
              <w:t>）</w:t>
            </w:r>
          </w:p>
        </w:tc>
        <w:tc>
          <w:tcPr>
            <w:tcW w:w="1134"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贡献值</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850"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背景值（</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992"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预测值（</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709"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标准值（</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992"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占标率（</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w:t>
            </w:r>
          </w:p>
        </w:tc>
        <w:tc>
          <w:tcPr>
            <w:tcW w:w="709"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达标</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情况</w:t>
            </w:r>
          </w:p>
        </w:tc>
      </w:tr>
      <w:tr w:rsidR="00C861DA">
        <w:trPr>
          <w:trHeight w:val="369"/>
          <w:jc w:val="center"/>
        </w:trPr>
        <w:tc>
          <w:tcPr>
            <w:tcW w:w="704" w:type="dxa"/>
            <w:vMerge w:val="restart"/>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lang w:bidi="ar"/>
              </w:rPr>
              <w:t>小时平均浓度</w:t>
            </w: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祥丰金麦化工有限公司职工生活区</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-1486</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-1315</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1854.89</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0.00075</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0.02075</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250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0.0083</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大哨</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845</w:t>
            </w:r>
            <w:r>
              <w:rPr>
                <w:rFonts w:ascii="Times New Roman" w:eastAsia="宋体" w:hAnsi="Times New Roman" w:cs="Times New Roman"/>
                <w:color w:val="000000" w:themeColor="text1"/>
                <w:lang w:bidi="ar"/>
              </w:rPr>
              <w:tab/>
              <w:t>-1650</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1930.73</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0.00061</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0.02061</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250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0.008244</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下禄脿</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-1744</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-859</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1850.4</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0.00061</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0.02061</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250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0.008244</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4</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小河边</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-1886</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782</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1844.54</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0.00058</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0.034</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0.03458</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250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0.013832</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5</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多依树</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-1351</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1593</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1830.3</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0.00049</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0.02849</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250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0.011396</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6</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安丰营</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-1465</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-1483</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1854.89</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0.00063</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0.039</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0.03963</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250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0.015852</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7</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lang w:bidi="ar"/>
              </w:rPr>
              <w:t>大石凹</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-4319</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-1321</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1840.16</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0.000009</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0.031</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0.031009</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250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0.012404</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达标</w:t>
            </w:r>
          </w:p>
        </w:tc>
      </w:tr>
      <w:tr w:rsidR="00C861DA">
        <w:trPr>
          <w:trHeight w:val="369"/>
          <w:jc w:val="center"/>
        </w:trPr>
        <w:tc>
          <w:tcPr>
            <w:tcW w:w="704" w:type="dxa"/>
            <w:vMerge w:val="restart"/>
            <w:vAlign w:val="center"/>
          </w:tcPr>
          <w:p w:rsidR="00C861DA" w:rsidRDefault="0044752E">
            <w:pPr>
              <w:widowControl/>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日均浓度</w:t>
            </w: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祥丰金麦化工有限公司职工生活区</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-1486</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-1315</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1854.89</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0.000738</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0.027381</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100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0.010952</w:t>
            </w:r>
          </w:p>
        </w:tc>
        <w:tc>
          <w:tcPr>
            <w:tcW w:w="709" w:type="dxa"/>
            <w:vAlign w:val="center"/>
          </w:tcPr>
          <w:p w:rsidR="00C861DA" w:rsidRDefault="00C861DA">
            <w:pPr>
              <w:widowControl/>
              <w:jc w:val="center"/>
              <w:textAlignment w:val="center"/>
              <w:rPr>
                <w:rFonts w:ascii="Times New Roman" w:eastAsia="宋体" w:hAnsi="Times New Roman" w:cs="Times New Roman"/>
                <w:color w:val="000000" w:themeColor="text1"/>
                <w:szCs w:val="22"/>
              </w:rPr>
            </w:pP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大哨</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845</w:t>
            </w:r>
            <w:r>
              <w:rPr>
                <w:rFonts w:ascii="Times New Roman" w:eastAsia="宋体" w:hAnsi="Times New Roman" w:cs="Times New Roman"/>
                <w:color w:val="000000" w:themeColor="text1"/>
                <w:lang w:bidi="ar"/>
              </w:rPr>
              <w:tab/>
              <w:t>-1650</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1930.73</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0.00072</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0.027198</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100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0.010879</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szCs w:val="22"/>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下禄脿</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-1744</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-859</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1850.4</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0.000479</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0.024789</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100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0.009916</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szCs w:val="22"/>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4</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小河边</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-1886</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782</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1844.54</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0.00091</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0.034</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0.0431</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100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0.01724</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szCs w:val="22"/>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5</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多依树</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-1351</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1593</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1830.3</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0.000357</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0.031568</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100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0.012627</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szCs w:val="22"/>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6</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安丰营</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-1465</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-1483</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1854.89</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0.000183</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0.039</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0.040835</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100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0.016334</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szCs w:val="22"/>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7</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lang w:bidi="ar"/>
              </w:rPr>
              <w:t>大石凹</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-4319</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-1321</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1840.16</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0.000176</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0.031</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0.032764</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100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0.013106</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达标</w:t>
            </w:r>
          </w:p>
        </w:tc>
      </w:tr>
      <w:tr w:rsidR="00C861DA">
        <w:trPr>
          <w:trHeight w:val="369"/>
          <w:jc w:val="center"/>
        </w:trPr>
        <w:tc>
          <w:tcPr>
            <w:tcW w:w="704" w:type="dxa"/>
            <w:vMerge w:val="restart"/>
            <w:vAlign w:val="center"/>
          </w:tcPr>
          <w:p w:rsidR="00C861DA" w:rsidRDefault="0044752E">
            <w:pPr>
              <w:widowControl/>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年均浓度</w:t>
            </w: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祥丰金麦化工有限公司职工生活区</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-1486</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-1315</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1854.89</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0.000034</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0.020034</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50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0.008014</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大哨</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845</w:t>
            </w:r>
            <w:r>
              <w:rPr>
                <w:rFonts w:ascii="Times New Roman" w:eastAsia="宋体" w:hAnsi="Times New Roman" w:cs="Times New Roman"/>
                <w:color w:val="000000" w:themeColor="text1"/>
                <w:lang w:bidi="ar"/>
              </w:rPr>
              <w:tab/>
              <w:t>-1650</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1930.73</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0.000029</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0.020029</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50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0.008012</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下禄脿</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-1744</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-859</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1850.4</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0.000053</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0.020053</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50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0.008021</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4</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小河边</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-1886</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782</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1844.54</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0.000053</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0.034</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0.034053</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50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0.013621</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5</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多依树</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-1351</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1593</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1830.3</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0.000038</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0.028038</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50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0.011215</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6</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安丰营</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-1465</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-1483</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1854.89</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0.000021</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0.039</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0.039021</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50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0.015608</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7</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大石凹</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-4319</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-1321</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1840.16</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0.00002</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0.031</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0.03102</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50</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sz w:val="22"/>
                <w:szCs w:val="22"/>
              </w:rPr>
              <w:t>0.012408</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达标</w:t>
            </w:r>
          </w:p>
        </w:tc>
      </w:tr>
    </w:tbl>
    <w:p w:rsidR="00C861DA" w:rsidRDefault="00C861DA">
      <w:pPr>
        <w:pStyle w:val="21"/>
        <w:rPr>
          <w:rFonts w:ascii="Times New Roman" w:eastAsia="宋体" w:hAnsi="Times New Roman" w:cs="Times New Roman"/>
          <w:b/>
          <w:color w:val="000000" w:themeColor="text1"/>
          <w:sz w:val="24"/>
        </w:rPr>
      </w:pPr>
    </w:p>
    <w:p w:rsidR="00C861DA" w:rsidRDefault="0044752E">
      <w:pPr>
        <w:pStyle w:val="21"/>
        <w:spacing w:line="240" w:lineRule="auto"/>
        <w:ind w:firstLine="0"/>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图</w:t>
      </w:r>
      <w:r>
        <w:rPr>
          <w:rFonts w:ascii="Times New Roman" w:eastAsia="宋体" w:hAnsi="Times New Roman" w:cs="Times New Roman" w:hint="eastAsia"/>
          <w:b/>
          <w:color w:val="000000" w:themeColor="text1"/>
          <w:sz w:val="24"/>
        </w:rPr>
        <w:t xml:space="preserve"> </w:t>
      </w:r>
      <w:r>
        <w:rPr>
          <w:rFonts w:ascii="Times New Roman" w:eastAsia="宋体" w:hAnsi="Times New Roman" w:cs="Times New Roman"/>
          <w:b/>
          <w:color w:val="000000" w:themeColor="text1"/>
          <w:sz w:val="24"/>
        </w:rPr>
        <w:t xml:space="preserve"> 7.1-2  </w:t>
      </w:r>
      <w:r>
        <w:rPr>
          <w:rFonts w:ascii="Times New Roman" w:eastAsia="宋体" w:hAnsi="Times New Roman" w:cs="Times New Roman" w:hint="eastAsia"/>
          <w:b/>
          <w:color w:val="000000" w:themeColor="text1"/>
          <w:sz w:val="24"/>
        </w:rPr>
        <w:t>NO</w:t>
      </w:r>
      <w:r>
        <w:rPr>
          <w:rFonts w:ascii="Times New Roman" w:eastAsia="宋体" w:hAnsi="Times New Roman" w:cs="Times New Roman" w:hint="eastAsia"/>
          <w:b/>
          <w:color w:val="000000" w:themeColor="text1"/>
          <w:sz w:val="24"/>
          <w:vertAlign w:val="subscript"/>
        </w:rPr>
        <w:t>X</w:t>
      </w:r>
      <w:r>
        <w:rPr>
          <w:rFonts w:ascii="Times New Roman" w:eastAsia="宋体" w:hAnsi="Times New Roman" w:cs="Times New Roman" w:hint="eastAsia"/>
          <w:b/>
          <w:color w:val="000000" w:themeColor="text1"/>
          <w:sz w:val="24"/>
        </w:rPr>
        <w:t>最大小时均浓度等值线分布图</w:t>
      </w:r>
    </w:p>
    <w:p w:rsidR="00C861DA" w:rsidRDefault="00C861DA">
      <w:pPr>
        <w:pStyle w:val="21"/>
        <w:rPr>
          <w:rFonts w:ascii="Times New Roman" w:eastAsia="宋体" w:hAnsi="Times New Roman" w:cs="Times New Roman"/>
          <w:b/>
          <w:color w:val="000000" w:themeColor="text1"/>
          <w:sz w:val="24"/>
        </w:rPr>
      </w:pPr>
    </w:p>
    <w:p w:rsidR="00C861DA" w:rsidRDefault="00C861DA">
      <w:pPr>
        <w:pStyle w:val="21"/>
        <w:rPr>
          <w:rFonts w:ascii="Times New Roman" w:eastAsia="宋体" w:hAnsi="Times New Roman" w:cs="Times New Roman"/>
          <w:b/>
          <w:color w:val="000000" w:themeColor="text1"/>
          <w:sz w:val="24"/>
        </w:rPr>
      </w:pPr>
    </w:p>
    <w:p w:rsidR="00C861DA" w:rsidRDefault="00C861DA">
      <w:pPr>
        <w:pStyle w:val="21"/>
        <w:spacing w:line="240" w:lineRule="auto"/>
        <w:ind w:firstLine="0"/>
        <w:rPr>
          <w:rFonts w:ascii="Times New Roman" w:eastAsia="宋体" w:hAnsi="Times New Roman" w:cs="Times New Roman"/>
          <w:b/>
          <w:color w:val="000000" w:themeColor="text1"/>
          <w:sz w:val="24"/>
        </w:rPr>
      </w:pPr>
    </w:p>
    <w:p w:rsidR="00C861DA" w:rsidRDefault="0044752E">
      <w:pPr>
        <w:pStyle w:val="21"/>
        <w:spacing w:line="240" w:lineRule="auto"/>
        <w:ind w:firstLine="0"/>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图</w:t>
      </w:r>
      <w:r>
        <w:rPr>
          <w:rFonts w:ascii="Times New Roman" w:eastAsia="宋体" w:hAnsi="Times New Roman" w:cs="Times New Roman" w:hint="eastAsia"/>
          <w:b/>
          <w:color w:val="000000" w:themeColor="text1"/>
          <w:sz w:val="24"/>
        </w:rPr>
        <w:t xml:space="preserve"> </w:t>
      </w:r>
      <w:r>
        <w:rPr>
          <w:rFonts w:ascii="Times New Roman" w:eastAsia="宋体" w:hAnsi="Times New Roman" w:cs="Times New Roman"/>
          <w:b/>
          <w:color w:val="000000" w:themeColor="text1"/>
          <w:sz w:val="24"/>
        </w:rPr>
        <w:t xml:space="preserve"> 7.1-3  </w:t>
      </w:r>
      <w:r>
        <w:rPr>
          <w:rFonts w:ascii="Times New Roman" w:eastAsia="宋体" w:hAnsi="Times New Roman" w:cs="Times New Roman" w:hint="eastAsia"/>
          <w:b/>
          <w:color w:val="000000" w:themeColor="text1"/>
          <w:sz w:val="24"/>
        </w:rPr>
        <w:t>NO</w:t>
      </w:r>
      <w:r>
        <w:rPr>
          <w:rFonts w:ascii="Times New Roman" w:eastAsia="宋体" w:hAnsi="Times New Roman" w:cs="Times New Roman" w:hint="eastAsia"/>
          <w:b/>
          <w:color w:val="000000" w:themeColor="text1"/>
          <w:sz w:val="24"/>
          <w:vertAlign w:val="subscript"/>
        </w:rPr>
        <w:t>X</w:t>
      </w:r>
      <w:r>
        <w:rPr>
          <w:rFonts w:ascii="Times New Roman" w:eastAsia="宋体" w:hAnsi="Times New Roman" w:cs="Times New Roman" w:hint="eastAsia"/>
          <w:b/>
          <w:color w:val="000000" w:themeColor="text1"/>
          <w:sz w:val="24"/>
        </w:rPr>
        <w:t>最大日均浓度等值线分布图</w:t>
      </w:r>
    </w:p>
    <w:p w:rsidR="00C861DA" w:rsidRDefault="00C861DA">
      <w:pPr>
        <w:pStyle w:val="21"/>
        <w:rPr>
          <w:rFonts w:ascii="Times New Roman" w:eastAsia="宋体" w:hAnsi="Times New Roman" w:cs="Times New Roman"/>
          <w:b/>
          <w:color w:val="000000" w:themeColor="text1"/>
          <w:sz w:val="24"/>
        </w:rPr>
      </w:pPr>
    </w:p>
    <w:p w:rsidR="00C861DA" w:rsidRDefault="0044752E">
      <w:pPr>
        <w:pStyle w:val="21"/>
        <w:spacing w:line="240" w:lineRule="auto"/>
        <w:ind w:firstLine="0"/>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图</w:t>
      </w:r>
      <w:r>
        <w:rPr>
          <w:rFonts w:ascii="Times New Roman" w:eastAsia="宋体" w:hAnsi="Times New Roman" w:cs="Times New Roman" w:hint="eastAsia"/>
          <w:b/>
          <w:color w:val="000000" w:themeColor="text1"/>
          <w:sz w:val="24"/>
        </w:rPr>
        <w:t xml:space="preserve"> </w:t>
      </w:r>
      <w:r>
        <w:rPr>
          <w:rFonts w:ascii="Times New Roman" w:eastAsia="宋体" w:hAnsi="Times New Roman" w:cs="Times New Roman"/>
          <w:b/>
          <w:color w:val="000000" w:themeColor="text1"/>
          <w:sz w:val="24"/>
        </w:rPr>
        <w:t xml:space="preserve"> 7.1-4  </w:t>
      </w:r>
      <w:r>
        <w:rPr>
          <w:rFonts w:ascii="Times New Roman" w:eastAsia="宋体" w:hAnsi="Times New Roman" w:cs="Times New Roman" w:hint="eastAsia"/>
          <w:b/>
          <w:color w:val="000000" w:themeColor="text1"/>
          <w:sz w:val="24"/>
        </w:rPr>
        <w:t>NO</w:t>
      </w:r>
      <w:r>
        <w:rPr>
          <w:rFonts w:ascii="Times New Roman" w:eastAsia="宋体" w:hAnsi="Times New Roman" w:cs="Times New Roman" w:hint="eastAsia"/>
          <w:b/>
          <w:color w:val="000000" w:themeColor="text1"/>
          <w:sz w:val="24"/>
          <w:vertAlign w:val="subscript"/>
        </w:rPr>
        <w:t>X</w:t>
      </w:r>
      <w:r>
        <w:rPr>
          <w:rFonts w:ascii="Times New Roman" w:eastAsia="宋体" w:hAnsi="Times New Roman" w:cs="Times New Roman" w:hint="eastAsia"/>
          <w:b/>
          <w:color w:val="000000" w:themeColor="text1"/>
          <w:sz w:val="24"/>
        </w:rPr>
        <w:t>最大年均浓度等值线分布图</w:t>
      </w:r>
    </w:p>
    <w:p w:rsidR="00C861DA" w:rsidRDefault="00C861DA">
      <w:pPr>
        <w:pStyle w:val="21"/>
        <w:rPr>
          <w:rFonts w:ascii="Times New Roman" w:eastAsia="宋体" w:hAnsi="Times New Roman" w:cs="Times New Roman"/>
          <w:b/>
          <w:color w:val="000000" w:themeColor="text1"/>
          <w:sz w:val="24"/>
        </w:rPr>
      </w:pPr>
    </w:p>
    <w:p w:rsidR="00C861DA" w:rsidRDefault="0044752E">
      <w:pPr>
        <w:pStyle w:val="21"/>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w:instrText>
      </w:r>
      <w:r>
        <w:rPr>
          <w:rFonts w:ascii="Times New Roman" w:eastAsia="宋体" w:hAnsi="Times New Roman" w:cs="Times New Roman" w:hint="eastAsia"/>
          <w:b/>
          <w:color w:val="000000" w:themeColor="text1"/>
          <w:sz w:val="24"/>
        </w:rPr>
        <w:instrText>= 3 \* GB3</w:instrText>
      </w:r>
      <w:r>
        <w:rPr>
          <w:rFonts w:ascii="Times New Roman" w:eastAsia="宋体" w:hAnsi="Times New Roman" w:cs="Times New Roman"/>
          <w:b/>
          <w:color w:val="000000" w:themeColor="text1"/>
          <w:sz w:val="24"/>
        </w:rPr>
        <w:instrText xml:space="preserve"> </w:instrText>
      </w:r>
      <w:r>
        <w:rPr>
          <w:rFonts w:ascii="Times New Roman" w:eastAsia="宋体" w:hAnsi="Times New Roman" w:cs="Times New Roman"/>
          <w:b/>
          <w:color w:val="000000" w:themeColor="text1"/>
          <w:sz w:val="24"/>
        </w:rPr>
        <w:fldChar w:fldCharType="separate"/>
      </w:r>
      <w:r>
        <w:rPr>
          <w:rFonts w:ascii="Times New Roman" w:eastAsia="宋体" w:hAnsi="Times New Roman" w:cs="Times New Roman" w:hint="eastAsia"/>
          <w:b/>
          <w:color w:val="000000" w:themeColor="text1"/>
          <w:sz w:val="24"/>
        </w:rPr>
        <w:t>③</w:t>
      </w:r>
      <w:r>
        <w:rPr>
          <w:rFonts w:ascii="Times New Roman" w:eastAsia="宋体" w:hAnsi="Times New Roman" w:cs="Times New Roman"/>
          <w:b/>
          <w:color w:val="000000" w:themeColor="text1"/>
          <w:sz w:val="24"/>
        </w:rPr>
        <w:fldChar w:fldCharType="end"/>
      </w:r>
      <w:r>
        <w:rPr>
          <w:rFonts w:ascii="Times New Roman" w:eastAsia="宋体" w:hAnsi="Times New Roman" w:cs="Times New Roman" w:hint="eastAsia"/>
          <w:b/>
          <w:color w:val="000000" w:themeColor="text1"/>
          <w:sz w:val="24"/>
        </w:rPr>
        <w:t>颗粒物（</w:t>
      </w:r>
      <w:r>
        <w:rPr>
          <w:rFonts w:ascii="Times New Roman" w:eastAsia="宋体" w:hAnsi="Times New Roman" w:cs="Times New Roman" w:hint="eastAsia"/>
          <w:b/>
          <w:color w:val="000000" w:themeColor="text1"/>
          <w:sz w:val="24"/>
        </w:rPr>
        <w:t>PM</w:t>
      </w:r>
      <w:r>
        <w:rPr>
          <w:rFonts w:ascii="Times New Roman" w:eastAsia="宋体" w:hAnsi="Times New Roman" w:cs="Times New Roman"/>
          <w:b/>
          <w:color w:val="000000" w:themeColor="text1"/>
          <w:sz w:val="24"/>
          <w:vertAlign w:val="subscript"/>
        </w:rPr>
        <w:t>10</w:t>
      </w:r>
      <w:r>
        <w:rPr>
          <w:rFonts w:ascii="Times New Roman" w:eastAsia="宋体" w:hAnsi="Times New Roman" w:cs="Times New Roman" w:hint="eastAsia"/>
          <w:b/>
          <w:color w:val="000000" w:themeColor="text1"/>
          <w:sz w:val="24"/>
        </w:rPr>
        <w:t>）</w:t>
      </w:r>
    </w:p>
    <w:p w:rsidR="00C861DA" w:rsidRDefault="0044752E">
      <w:pPr>
        <w:keepLines/>
        <w:tabs>
          <w:tab w:val="left" w:pos="4860"/>
          <w:tab w:val="left" w:pos="5040"/>
        </w:tabs>
        <w:autoSpaceDE/>
        <w:autoSpaceDN/>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按逐时、逐日、年均预测计算</w:t>
      </w:r>
      <w:r>
        <w:rPr>
          <w:rFonts w:ascii="Times New Roman" w:eastAsia="宋体" w:hAnsi="Times New Roman" w:cs="Times New Roman" w:hint="eastAsia"/>
          <w:iCs/>
          <w:color w:val="000000" w:themeColor="text1"/>
          <w:sz w:val="24"/>
          <w:szCs w:val="24"/>
        </w:rPr>
        <w:t>颗粒物</w:t>
      </w:r>
      <w:r>
        <w:rPr>
          <w:rFonts w:ascii="Times New Roman" w:eastAsia="宋体" w:hAnsi="Times New Roman" w:cs="Times New Roman"/>
          <w:iCs/>
          <w:color w:val="000000" w:themeColor="text1"/>
          <w:sz w:val="24"/>
          <w:szCs w:val="24"/>
        </w:rPr>
        <w:t>地面浓度贡献值，地面浓度最大贡献值预测结果（全网格）见表</w:t>
      </w:r>
      <w:r>
        <w:rPr>
          <w:rFonts w:ascii="Times New Roman" w:eastAsia="宋体" w:hAnsi="Times New Roman" w:cs="Times New Roman"/>
          <w:iCs/>
          <w:color w:val="000000" w:themeColor="text1"/>
          <w:sz w:val="24"/>
          <w:szCs w:val="24"/>
        </w:rPr>
        <w:t>7.1-17</w:t>
      </w:r>
      <w:r>
        <w:rPr>
          <w:rFonts w:ascii="Times New Roman" w:eastAsia="宋体" w:hAnsi="Times New Roman" w:cs="Times New Roman"/>
          <w:iCs/>
          <w:color w:val="000000" w:themeColor="text1"/>
          <w:sz w:val="24"/>
          <w:szCs w:val="24"/>
        </w:rPr>
        <w:t>，关心点及网格地面浓度最大值预测结果见表</w:t>
      </w:r>
      <w:r>
        <w:rPr>
          <w:rFonts w:ascii="Times New Roman" w:eastAsia="宋体" w:hAnsi="Times New Roman" w:cs="Times New Roman"/>
          <w:iCs/>
          <w:color w:val="000000" w:themeColor="text1"/>
          <w:sz w:val="24"/>
          <w:szCs w:val="24"/>
        </w:rPr>
        <w:t>7.1-18</w:t>
      </w:r>
      <w:r>
        <w:rPr>
          <w:rFonts w:ascii="Times New Roman" w:eastAsia="宋体" w:hAnsi="Times New Roman" w:cs="Times New Roman"/>
          <w:iCs/>
          <w:color w:val="000000" w:themeColor="text1"/>
          <w:sz w:val="24"/>
          <w:szCs w:val="24"/>
        </w:rPr>
        <w:t>。</w:t>
      </w:r>
    </w:p>
    <w:p w:rsidR="00C861DA" w:rsidRDefault="0044752E">
      <w:pPr>
        <w:keepLines/>
        <w:tabs>
          <w:tab w:val="left" w:pos="4860"/>
          <w:tab w:val="left" w:pos="5040"/>
        </w:tabs>
        <w:autoSpaceDE/>
        <w:autoSpaceDN/>
        <w:spacing w:line="360" w:lineRule="auto"/>
        <w:ind w:firstLineChars="200" w:firstLine="480"/>
        <w:jc w:val="both"/>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由表</w:t>
      </w:r>
      <w:r>
        <w:rPr>
          <w:rFonts w:ascii="Times New Roman" w:eastAsia="宋体" w:hAnsi="Times New Roman" w:cs="Times New Roman"/>
          <w:iCs/>
          <w:color w:val="000000" w:themeColor="text1"/>
          <w:sz w:val="24"/>
          <w:szCs w:val="24"/>
        </w:rPr>
        <w:t>7.1-17</w:t>
      </w:r>
      <w:r>
        <w:rPr>
          <w:rFonts w:ascii="Times New Roman" w:eastAsia="宋体" w:hAnsi="Times New Roman" w:cs="Times New Roman"/>
          <w:iCs/>
          <w:color w:val="000000" w:themeColor="text1"/>
          <w:sz w:val="24"/>
          <w:szCs w:val="24"/>
        </w:rPr>
        <w:t>可知，整个评价区域内氨的</w:t>
      </w:r>
      <w:r>
        <w:rPr>
          <w:rFonts w:ascii="Times New Roman" w:eastAsia="宋体" w:hAnsi="Times New Roman" w:cs="Times New Roman"/>
          <w:iCs/>
          <w:color w:val="000000" w:themeColor="text1"/>
          <w:sz w:val="24"/>
          <w:szCs w:val="24"/>
        </w:rPr>
        <w:t>1</w:t>
      </w:r>
      <w:r>
        <w:rPr>
          <w:rFonts w:ascii="Times New Roman" w:eastAsia="宋体" w:hAnsi="Times New Roman" w:cs="Times New Roman"/>
          <w:iCs/>
          <w:color w:val="000000" w:themeColor="text1"/>
          <w:sz w:val="24"/>
          <w:szCs w:val="24"/>
        </w:rPr>
        <w:t>小时最大浓度贡献值、日均最大浓度贡献值、年均最大浓度贡献值均满足《环境空气质量标准》（</w:t>
      </w:r>
      <w:r>
        <w:rPr>
          <w:rFonts w:ascii="Times New Roman" w:eastAsia="宋体" w:hAnsi="Times New Roman" w:cs="Times New Roman"/>
          <w:iCs/>
          <w:color w:val="000000" w:themeColor="text1"/>
          <w:sz w:val="24"/>
          <w:szCs w:val="24"/>
        </w:rPr>
        <w:t>GB3095-2012</w:t>
      </w:r>
      <w:r>
        <w:rPr>
          <w:rFonts w:ascii="Times New Roman" w:eastAsia="宋体" w:hAnsi="Times New Roman" w:cs="Times New Roman"/>
          <w:iCs/>
          <w:color w:val="000000" w:themeColor="text1"/>
          <w:sz w:val="24"/>
          <w:szCs w:val="24"/>
        </w:rPr>
        <w:t>）二级标准要求。</w:t>
      </w:r>
    </w:p>
    <w:p w:rsidR="00C861DA" w:rsidRDefault="0044752E">
      <w:pPr>
        <w:keepNext/>
        <w:keepLines/>
        <w:tabs>
          <w:tab w:val="left" w:pos="4860"/>
          <w:tab w:val="left" w:pos="5040"/>
        </w:tabs>
        <w:autoSpaceDE/>
        <w:autoSpaceDN/>
        <w:spacing w:line="360" w:lineRule="auto"/>
        <w:ind w:firstLineChars="200" w:firstLine="480"/>
        <w:jc w:val="both"/>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由表</w:t>
      </w:r>
      <w:r>
        <w:rPr>
          <w:rFonts w:ascii="Times New Roman" w:eastAsia="宋体" w:hAnsi="Times New Roman" w:cs="Times New Roman"/>
          <w:iCs/>
          <w:color w:val="000000" w:themeColor="text1"/>
          <w:sz w:val="24"/>
          <w:szCs w:val="24"/>
        </w:rPr>
        <w:t>7.1-18</w:t>
      </w:r>
      <w:r>
        <w:rPr>
          <w:rFonts w:ascii="Times New Roman" w:eastAsia="宋体" w:hAnsi="Times New Roman" w:cs="Times New Roman"/>
          <w:iCs/>
          <w:color w:val="000000" w:themeColor="text1"/>
          <w:sz w:val="24"/>
          <w:szCs w:val="24"/>
        </w:rPr>
        <w:t>可知，各关心点及网格氨的</w:t>
      </w:r>
      <w:r>
        <w:rPr>
          <w:rFonts w:ascii="Times New Roman" w:eastAsia="宋体" w:hAnsi="Times New Roman" w:cs="Times New Roman"/>
          <w:iCs/>
          <w:color w:val="000000" w:themeColor="text1"/>
          <w:sz w:val="24"/>
          <w:szCs w:val="24"/>
        </w:rPr>
        <w:t>1</w:t>
      </w:r>
      <w:r>
        <w:rPr>
          <w:rFonts w:ascii="Times New Roman" w:eastAsia="宋体" w:hAnsi="Times New Roman" w:cs="Times New Roman"/>
          <w:iCs/>
          <w:color w:val="000000" w:themeColor="text1"/>
          <w:sz w:val="24"/>
          <w:szCs w:val="24"/>
        </w:rPr>
        <w:t>小时最大浓度预测值、日均最大浓度预测值、年均最大浓度预测值均满足《环境空气质量标准》（</w:t>
      </w:r>
      <w:r>
        <w:rPr>
          <w:rFonts w:ascii="Times New Roman" w:eastAsia="宋体" w:hAnsi="Times New Roman" w:cs="Times New Roman"/>
          <w:iCs/>
          <w:color w:val="000000" w:themeColor="text1"/>
          <w:sz w:val="24"/>
          <w:szCs w:val="24"/>
        </w:rPr>
        <w:t>GB3095-2012</w:t>
      </w:r>
      <w:r>
        <w:rPr>
          <w:rFonts w:ascii="Times New Roman" w:eastAsia="宋体" w:hAnsi="Times New Roman" w:cs="Times New Roman"/>
          <w:iCs/>
          <w:color w:val="000000" w:themeColor="text1"/>
          <w:sz w:val="24"/>
          <w:szCs w:val="24"/>
        </w:rPr>
        <w:t>）二级标准要求，无超标点。</w:t>
      </w:r>
    </w:p>
    <w:p w:rsidR="00C861DA" w:rsidRDefault="0044752E">
      <w:pPr>
        <w:keepNext/>
        <w:keepLines/>
        <w:tabs>
          <w:tab w:val="left" w:pos="4860"/>
          <w:tab w:val="left" w:pos="5040"/>
        </w:tabs>
        <w:autoSpaceDE/>
        <w:autoSpaceDN/>
        <w:spacing w:line="360" w:lineRule="auto"/>
        <w:jc w:val="center"/>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表</w:t>
      </w:r>
      <w:r>
        <w:rPr>
          <w:rFonts w:ascii="Times New Roman" w:eastAsia="宋体" w:hAnsi="Times New Roman" w:cs="Times New Roman"/>
          <w:b/>
          <w:bCs/>
          <w:iCs/>
          <w:color w:val="000000" w:themeColor="text1"/>
          <w:sz w:val="24"/>
          <w:szCs w:val="24"/>
        </w:rPr>
        <w:t xml:space="preserve">7.1-17  </w:t>
      </w:r>
      <w:r>
        <w:rPr>
          <w:rFonts w:ascii="Times New Roman" w:eastAsia="宋体" w:hAnsi="Times New Roman" w:cs="Times New Roman" w:hint="eastAsia"/>
          <w:b/>
          <w:bCs/>
          <w:iCs/>
          <w:color w:val="000000" w:themeColor="text1"/>
          <w:sz w:val="24"/>
          <w:szCs w:val="24"/>
        </w:rPr>
        <w:t>颗粒物</w:t>
      </w:r>
      <w:r>
        <w:rPr>
          <w:rFonts w:ascii="Times New Roman" w:eastAsia="宋体" w:hAnsi="Times New Roman" w:cs="Times New Roman"/>
          <w:b/>
          <w:bCs/>
          <w:iCs/>
          <w:color w:val="000000" w:themeColor="text1"/>
          <w:sz w:val="24"/>
          <w:szCs w:val="24"/>
        </w:rPr>
        <w:t>地面浓度最大贡献值预测结果（全网格）</w:t>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3"/>
        <w:gridCol w:w="2834"/>
        <w:gridCol w:w="2108"/>
        <w:gridCol w:w="2077"/>
      </w:tblGrid>
      <w:tr w:rsidR="00C861DA">
        <w:trPr>
          <w:trHeight w:val="454"/>
          <w:jc w:val="center"/>
        </w:trPr>
        <w:tc>
          <w:tcPr>
            <w:tcW w:w="2183" w:type="dxa"/>
            <w:vAlign w:val="center"/>
          </w:tcPr>
          <w:p w:rsidR="00C861DA" w:rsidRDefault="0044752E">
            <w:pPr>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浓度类型</w:t>
            </w:r>
          </w:p>
        </w:tc>
        <w:tc>
          <w:tcPr>
            <w:tcW w:w="2834" w:type="dxa"/>
            <w:vAlign w:val="center"/>
          </w:tcPr>
          <w:p w:rsidR="00C861DA" w:rsidRDefault="0044752E">
            <w:pPr>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最大贡献值（</w:t>
            </w:r>
            <w:r>
              <w:rPr>
                <w:rFonts w:ascii="Times New Roman" w:eastAsia="宋体" w:hAnsi="Times New Roman" w:cs="Times New Roman"/>
                <w:b/>
                <w:bCs/>
                <w:color w:val="000000" w:themeColor="text1"/>
              </w:rPr>
              <w:t>mg/m</w:t>
            </w:r>
            <w:r>
              <w:rPr>
                <w:rFonts w:ascii="Times New Roman" w:eastAsia="宋体" w:hAnsi="Times New Roman" w:cs="Times New Roman"/>
                <w:b/>
                <w:bCs/>
                <w:color w:val="000000" w:themeColor="text1"/>
                <w:vertAlign w:val="superscript"/>
              </w:rPr>
              <w:t>3</w:t>
            </w:r>
            <w:r>
              <w:rPr>
                <w:rFonts w:ascii="Times New Roman" w:eastAsia="宋体" w:hAnsi="Times New Roman" w:cs="Times New Roman"/>
                <w:b/>
                <w:bCs/>
                <w:color w:val="000000" w:themeColor="text1"/>
              </w:rPr>
              <w:t>）</w:t>
            </w:r>
          </w:p>
        </w:tc>
        <w:tc>
          <w:tcPr>
            <w:tcW w:w="2108" w:type="dxa"/>
            <w:vAlign w:val="center"/>
          </w:tcPr>
          <w:p w:rsidR="00C861DA" w:rsidRDefault="0044752E">
            <w:pPr>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出现距离（</w:t>
            </w:r>
            <w:r>
              <w:rPr>
                <w:rFonts w:ascii="Times New Roman" w:eastAsia="宋体" w:hAnsi="Times New Roman" w:cs="Times New Roman"/>
                <w:b/>
                <w:bCs/>
                <w:color w:val="000000" w:themeColor="text1"/>
              </w:rPr>
              <w:t>m</w:t>
            </w:r>
            <w:r>
              <w:rPr>
                <w:rFonts w:ascii="Times New Roman" w:eastAsia="宋体" w:hAnsi="Times New Roman" w:cs="Times New Roman"/>
                <w:b/>
                <w:bCs/>
                <w:color w:val="000000" w:themeColor="text1"/>
              </w:rPr>
              <w:t>）</w:t>
            </w:r>
          </w:p>
        </w:tc>
        <w:tc>
          <w:tcPr>
            <w:tcW w:w="2077" w:type="dxa"/>
            <w:vAlign w:val="center"/>
          </w:tcPr>
          <w:p w:rsidR="00C861DA" w:rsidRDefault="0044752E">
            <w:pPr>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lang w:bidi="ar"/>
              </w:rPr>
              <w:t>占标率（</w:t>
            </w:r>
            <w:r>
              <w:rPr>
                <w:rFonts w:ascii="Times New Roman" w:eastAsia="宋体" w:hAnsi="Times New Roman" w:cs="Times New Roman"/>
                <w:b/>
                <w:bCs/>
                <w:color w:val="000000" w:themeColor="text1"/>
                <w:lang w:bidi="ar"/>
              </w:rPr>
              <w:t>%</w:t>
            </w:r>
            <w:r>
              <w:rPr>
                <w:rFonts w:ascii="Times New Roman" w:eastAsia="宋体" w:hAnsi="Times New Roman" w:cs="Times New Roman"/>
                <w:b/>
                <w:bCs/>
                <w:color w:val="000000" w:themeColor="text1"/>
                <w:lang w:bidi="ar"/>
              </w:rPr>
              <w:t>）</w:t>
            </w:r>
          </w:p>
        </w:tc>
      </w:tr>
      <w:tr w:rsidR="00C861DA">
        <w:trPr>
          <w:trHeight w:val="454"/>
          <w:jc w:val="center"/>
        </w:trPr>
        <w:tc>
          <w:tcPr>
            <w:tcW w:w="2183"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日平均</w:t>
            </w:r>
          </w:p>
        </w:tc>
        <w:tc>
          <w:tcPr>
            <w:tcW w:w="2834" w:type="dxa"/>
            <w:vAlign w:val="center"/>
          </w:tcPr>
          <w:p w:rsidR="00C861DA" w:rsidRDefault="0044752E">
            <w:pPr>
              <w:jc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150</w:t>
            </w:r>
          </w:p>
        </w:tc>
        <w:tc>
          <w:tcPr>
            <w:tcW w:w="2108" w:type="dxa"/>
            <w:vAlign w:val="center"/>
          </w:tcPr>
          <w:p w:rsidR="00C861DA" w:rsidRDefault="00C861DA">
            <w:pPr>
              <w:jc w:val="center"/>
              <w:rPr>
                <w:rFonts w:ascii="Times New Roman" w:eastAsia="宋体" w:hAnsi="Times New Roman" w:cs="Times New Roman"/>
                <w:color w:val="000000" w:themeColor="text1"/>
                <w:szCs w:val="22"/>
              </w:rPr>
            </w:pPr>
          </w:p>
        </w:tc>
        <w:tc>
          <w:tcPr>
            <w:tcW w:w="2077" w:type="dxa"/>
            <w:vAlign w:val="center"/>
          </w:tcPr>
          <w:p w:rsidR="00C861DA" w:rsidRDefault="00C861DA">
            <w:pPr>
              <w:jc w:val="center"/>
              <w:rPr>
                <w:rFonts w:ascii="Times New Roman" w:eastAsia="宋体" w:hAnsi="Times New Roman" w:cs="Times New Roman"/>
                <w:color w:val="000000" w:themeColor="text1"/>
                <w:szCs w:val="22"/>
              </w:rPr>
            </w:pPr>
          </w:p>
        </w:tc>
      </w:tr>
      <w:tr w:rsidR="00C861DA">
        <w:trPr>
          <w:trHeight w:val="454"/>
          <w:jc w:val="center"/>
        </w:trPr>
        <w:tc>
          <w:tcPr>
            <w:tcW w:w="2183"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年平均</w:t>
            </w:r>
          </w:p>
        </w:tc>
        <w:tc>
          <w:tcPr>
            <w:tcW w:w="2834" w:type="dxa"/>
            <w:vAlign w:val="center"/>
          </w:tcPr>
          <w:p w:rsidR="00C861DA" w:rsidRDefault="0044752E">
            <w:pPr>
              <w:jc w:val="center"/>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Cs w:val="22"/>
              </w:rPr>
              <w:t>70</w:t>
            </w:r>
          </w:p>
        </w:tc>
        <w:tc>
          <w:tcPr>
            <w:tcW w:w="2108" w:type="dxa"/>
            <w:vAlign w:val="center"/>
          </w:tcPr>
          <w:p w:rsidR="00C861DA" w:rsidRDefault="00C861DA">
            <w:pPr>
              <w:jc w:val="center"/>
              <w:rPr>
                <w:rFonts w:ascii="Times New Roman" w:eastAsia="宋体" w:hAnsi="Times New Roman" w:cs="Times New Roman"/>
                <w:color w:val="000000" w:themeColor="text1"/>
                <w:szCs w:val="22"/>
              </w:rPr>
            </w:pPr>
          </w:p>
        </w:tc>
        <w:tc>
          <w:tcPr>
            <w:tcW w:w="2077" w:type="dxa"/>
            <w:vAlign w:val="center"/>
          </w:tcPr>
          <w:p w:rsidR="00C861DA" w:rsidRDefault="00C861DA">
            <w:pPr>
              <w:jc w:val="center"/>
              <w:rPr>
                <w:rFonts w:ascii="Times New Roman" w:eastAsia="宋体" w:hAnsi="Times New Roman" w:cs="Times New Roman"/>
                <w:color w:val="000000" w:themeColor="text1"/>
                <w:szCs w:val="22"/>
              </w:rPr>
            </w:pPr>
          </w:p>
        </w:tc>
      </w:tr>
      <w:tr w:rsidR="00C861DA">
        <w:trPr>
          <w:trHeight w:val="454"/>
          <w:jc w:val="center"/>
        </w:trPr>
        <w:tc>
          <w:tcPr>
            <w:tcW w:w="9202" w:type="dxa"/>
            <w:gridSpan w:val="4"/>
            <w:vAlign w:val="center"/>
          </w:tcPr>
          <w:p w:rsidR="00C861DA" w:rsidRDefault="0044752E">
            <w:pPr>
              <w:jc w:val="both"/>
              <w:rPr>
                <w:rFonts w:ascii="Times New Roman" w:eastAsia="宋体" w:hAnsi="Times New Roman" w:cs="Times New Roman"/>
                <w:color w:val="000000" w:themeColor="text1"/>
              </w:rPr>
            </w:pPr>
            <w:r>
              <w:rPr>
                <w:rFonts w:ascii="Times New Roman" w:eastAsia="宋体" w:hAnsi="Times New Roman" w:cs="Times New Roman"/>
                <w:color w:val="000000" w:themeColor="text1"/>
              </w:rPr>
              <w:t>注：</w:t>
            </w:r>
            <w:r>
              <w:rPr>
                <w:rFonts w:ascii="宋体" w:eastAsia="宋体" w:hAnsi="宋体" w:cs="宋体" w:hint="eastAsia"/>
                <w:color w:val="000000" w:themeColor="text1"/>
                <w:szCs w:val="22"/>
              </w:rPr>
              <w:t>①</w:t>
            </w:r>
            <w:r>
              <w:rPr>
                <w:rFonts w:ascii="Times New Roman" w:eastAsia="宋体" w:hAnsi="Times New Roman" w:cs="Times New Roman"/>
                <w:iCs/>
                <w:color w:val="000000" w:themeColor="text1"/>
                <w:sz w:val="24"/>
                <w:szCs w:val="24"/>
              </w:rPr>
              <w:t>PM</w:t>
            </w:r>
            <w:r>
              <w:rPr>
                <w:rFonts w:ascii="Times New Roman" w:eastAsia="宋体" w:hAnsi="Times New Roman" w:cs="Times New Roman"/>
                <w:iCs/>
                <w:color w:val="000000" w:themeColor="text1"/>
                <w:sz w:val="24"/>
                <w:szCs w:val="24"/>
                <w:vertAlign w:val="subscript"/>
              </w:rPr>
              <w:t>10</w:t>
            </w:r>
            <w:r>
              <w:rPr>
                <w:rFonts w:ascii="Times New Roman" w:eastAsia="宋体" w:hAnsi="Times New Roman" w:cs="Times New Roman" w:hint="eastAsia"/>
                <w:color w:val="000000" w:themeColor="text1"/>
              </w:rPr>
              <w:t>日均值、年均值分别为</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150mg/m</w:t>
            </w:r>
            <w:r>
              <w:rPr>
                <w:rFonts w:ascii="Times New Roman" w:eastAsia="宋体" w:hAnsi="Times New Roman" w:cs="Times New Roman"/>
                <w:color w:val="000000" w:themeColor="text1"/>
                <w:vertAlign w:val="superscript"/>
              </w:rPr>
              <w:t>3</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7</w:t>
            </w:r>
            <w:r>
              <w:rPr>
                <w:rFonts w:ascii="Times New Roman" w:eastAsia="宋体" w:hAnsi="Times New Roman" w:cs="Times New Roman"/>
                <w:color w:val="000000" w:themeColor="text1"/>
              </w:rPr>
              <w:t>0mg/m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r>
              <w:rPr>
                <w:rFonts w:ascii="宋体" w:eastAsia="宋体" w:hAnsi="宋体" w:cs="宋体" w:hint="eastAsia"/>
                <w:color w:val="000000" w:themeColor="text1"/>
                <w:szCs w:val="22"/>
              </w:rPr>
              <w:t>②</w:t>
            </w:r>
            <w:r>
              <w:rPr>
                <w:rFonts w:ascii="Times New Roman" w:eastAsia="宋体" w:hAnsi="Times New Roman" w:cs="Times New Roman"/>
                <w:color w:val="000000" w:themeColor="text1"/>
                <w:szCs w:val="22"/>
              </w:rPr>
              <w:t>表中距离为到</w:t>
            </w:r>
            <w:r>
              <w:rPr>
                <w:rFonts w:ascii="Times New Roman" w:eastAsia="宋体" w:hAnsi="Times New Roman" w:cs="Times New Roman"/>
                <w:color w:val="000000" w:themeColor="text1"/>
                <w:szCs w:val="22"/>
              </w:rPr>
              <w:t>9#</w:t>
            </w:r>
            <w:r>
              <w:rPr>
                <w:rFonts w:ascii="Times New Roman" w:eastAsia="宋体" w:hAnsi="Times New Roman" w:cs="Times New Roman"/>
                <w:color w:val="000000" w:themeColor="text1"/>
                <w:szCs w:val="22"/>
              </w:rPr>
              <w:t>排气筒的距离。</w:t>
            </w:r>
          </w:p>
        </w:tc>
      </w:tr>
    </w:tbl>
    <w:p w:rsidR="00C861DA" w:rsidRDefault="0044752E">
      <w:pPr>
        <w:keepNext/>
        <w:keepLines/>
        <w:tabs>
          <w:tab w:val="left" w:pos="4860"/>
          <w:tab w:val="left" w:pos="5040"/>
        </w:tabs>
        <w:autoSpaceDE/>
        <w:autoSpaceDN/>
        <w:spacing w:beforeLines="100" w:before="312" w:line="360" w:lineRule="auto"/>
        <w:jc w:val="center"/>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表</w:t>
      </w:r>
      <w:r>
        <w:rPr>
          <w:rFonts w:ascii="Times New Roman" w:eastAsia="宋体" w:hAnsi="Times New Roman" w:cs="Times New Roman"/>
          <w:b/>
          <w:bCs/>
          <w:iCs/>
          <w:color w:val="000000" w:themeColor="text1"/>
          <w:sz w:val="24"/>
          <w:szCs w:val="24"/>
        </w:rPr>
        <w:t xml:space="preserve">7.1-18  </w:t>
      </w:r>
      <w:r>
        <w:rPr>
          <w:rFonts w:ascii="Times New Roman" w:eastAsia="宋体" w:hAnsi="Times New Roman" w:cs="Times New Roman"/>
          <w:b/>
          <w:bCs/>
          <w:iCs/>
          <w:color w:val="000000" w:themeColor="text1"/>
          <w:sz w:val="24"/>
          <w:szCs w:val="24"/>
        </w:rPr>
        <w:t>关心点及网格</w:t>
      </w:r>
      <w:r>
        <w:rPr>
          <w:rFonts w:ascii="Times New Roman" w:eastAsia="宋体" w:hAnsi="Times New Roman" w:cs="Times New Roman" w:hint="eastAsia"/>
          <w:iCs/>
          <w:color w:val="000000" w:themeColor="text1"/>
          <w:sz w:val="24"/>
          <w:szCs w:val="24"/>
        </w:rPr>
        <w:t>颗粒物</w:t>
      </w:r>
      <w:r>
        <w:rPr>
          <w:rFonts w:ascii="Times New Roman" w:eastAsia="宋体" w:hAnsi="Times New Roman" w:cs="Times New Roman"/>
          <w:b/>
          <w:bCs/>
          <w:iCs/>
          <w:color w:val="000000" w:themeColor="text1"/>
          <w:sz w:val="24"/>
          <w:szCs w:val="24"/>
        </w:rPr>
        <w:t>地面浓度最大值预测结果</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4"/>
        <w:gridCol w:w="424"/>
        <w:gridCol w:w="1135"/>
        <w:gridCol w:w="1560"/>
        <w:gridCol w:w="1134"/>
        <w:gridCol w:w="850"/>
        <w:gridCol w:w="992"/>
        <w:gridCol w:w="709"/>
        <w:gridCol w:w="992"/>
        <w:gridCol w:w="709"/>
      </w:tblGrid>
      <w:tr w:rsidR="00C861DA">
        <w:trPr>
          <w:trHeight w:val="369"/>
          <w:jc w:val="center"/>
        </w:trPr>
        <w:tc>
          <w:tcPr>
            <w:tcW w:w="704"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浓度</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类型</w:t>
            </w:r>
          </w:p>
        </w:tc>
        <w:tc>
          <w:tcPr>
            <w:tcW w:w="424"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序号</w:t>
            </w:r>
          </w:p>
        </w:tc>
        <w:tc>
          <w:tcPr>
            <w:tcW w:w="1135"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离散点</w:t>
            </w:r>
          </w:p>
        </w:tc>
        <w:tc>
          <w:tcPr>
            <w:tcW w:w="1560"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坐标（</w:t>
            </w:r>
            <w:r>
              <w:rPr>
                <w:rFonts w:ascii="Times New Roman" w:eastAsia="宋体" w:hAnsi="Times New Roman" w:cs="Times New Roman"/>
                <w:b/>
                <w:color w:val="000000" w:themeColor="text1"/>
                <w:lang w:bidi="ar"/>
              </w:rPr>
              <w:t>x</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y</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z</w:t>
            </w:r>
            <w:r>
              <w:rPr>
                <w:rFonts w:ascii="Times New Roman" w:eastAsia="宋体" w:hAnsi="Times New Roman" w:cs="Times New Roman"/>
                <w:b/>
                <w:color w:val="000000" w:themeColor="text1"/>
                <w:lang w:bidi="ar"/>
              </w:rPr>
              <w:t>）</w:t>
            </w:r>
          </w:p>
        </w:tc>
        <w:tc>
          <w:tcPr>
            <w:tcW w:w="1134"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贡献值</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850"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背景值（</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992"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预测值（</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709"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标准值（</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992"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占标率（</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w:t>
            </w:r>
          </w:p>
        </w:tc>
        <w:tc>
          <w:tcPr>
            <w:tcW w:w="709"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达标</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情况</w:t>
            </w:r>
          </w:p>
        </w:tc>
      </w:tr>
      <w:tr w:rsidR="00C861DA">
        <w:trPr>
          <w:trHeight w:val="369"/>
          <w:jc w:val="center"/>
        </w:trPr>
        <w:tc>
          <w:tcPr>
            <w:tcW w:w="704" w:type="dxa"/>
            <w:vMerge w:val="restart"/>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lang w:bidi="ar"/>
              </w:rPr>
              <w:t>日平均浓度</w:t>
            </w: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祥丰金麦化工有限公司职工生活区</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-1486</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-1315</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1854.89</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0.001159</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0.099159</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0.15</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0.099159</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大哨</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845</w:t>
            </w:r>
            <w:r>
              <w:rPr>
                <w:rFonts w:ascii="Times New Roman" w:eastAsia="宋体" w:hAnsi="Times New Roman" w:cs="Times New Roman"/>
                <w:color w:val="000000" w:themeColor="text1"/>
                <w:lang w:bidi="ar"/>
              </w:rPr>
              <w:tab/>
              <w:t>-1650</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1930.73</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0.000986</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0.098986</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0.15</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0.039594</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下禄脿</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-1744</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-859</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1850.4</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0.005914</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0.103914</w:t>
            </w:r>
          </w:p>
        </w:tc>
        <w:tc>
          <w:tcPr>
            <w:tcW w:w="709" w:type="dxa"/>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0.15</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0.041566</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4</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小河边</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-1886</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782</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1844.54</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0.001123</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0.099123</w:t>
            </w:r>
          </w:p>
        </w:tc>
        <w:tc>
          <w:tcPr>
            <w:tcW w:w="709" w:type="dxa"/>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0.15</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0.039649</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5</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多依树</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-1351</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1593</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1830.3</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0.000592</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0.098592</w:t>
            </w:r>
          </w:p>
        </w:tc>
        <w:tc>
          <w:tcPr>
            <w:tcW w:w="709" w:type="dxa"/>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0.15</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0.039437</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6</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安丰营</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-1465</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-1483</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1854.89</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0.000348</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0.098348</w:t>
            </w:r>
          </w:p>
        </w:tc>
        <w:tc>
          <w:tcPr>
            <w:tcW w:w="709" w:type="dxa"/>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0.15</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0.039339</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7</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lang w:bidi="ar"/>
              </w:rPr>
              <w:t>大石凹</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-4319</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-1321</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1840.16</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0.000265</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0.098265</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0.15</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0.039306</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达标</w:t>
            </w:r>
          </w:p>
        </w:tc>
      </w:tr>
      <w:tr w:rsidR="00C861DA">
        <w:trPr>
          <w:trHeight w:val="369"/>
          <w:jc w:val="center"/>
        </w:trPr>
        <w:tc>
          <w:tcPr>
            <w:tcW w:w="704" w:type="dxa"/>
            <w:vMerge w:val="restart"/>
            <w:vAlign w:val="center"/>
          </w:tcPr>
          <w:p w:rsidR="00C861DA" w:rsidRDefault="0044752E">
            <w:pPr>
              <w:widowControl/>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年均浓度</w:t>
            </w: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祥丰金麦化工有限公司职工生活区</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-1486</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-1315</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1854.89</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0.000067</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0.098067</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0.07</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0.039227</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大哨</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845</w:t>
            </w:r>
            <w:r>
              <w:rPr>
                <w:rFonts w:ascii="Times New Roman" w:eastAsia="宋体" w:hAnsi="Times New Roman" w:cs="Times New Roman"/>
                <w:color w:val="000000" w:themeColor="text1"/>
                <w:lang w:bidi="ar"/>
              </w:rPr>
              <w:tab/>
              <w:t>-1650</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1930.73</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0.000053</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0.098053</w:t>
            </w:r>
          </w:p>
        </w:tc>
        <w:tc>
          <w:tcPr>
            <w:tcW w:w="709" w:type="dxa"/>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0.07</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0.039221</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下禄脿</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-1744</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-859</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1850.4</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0.000471</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0.098471</w:t>
            </w:r>
          </w:p>
        </w:tc>
        <w:tc>
          <w:tcPr>
            <w:tcW w:w="709" w:type="dxa"/>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0.07</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0.039388</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4</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小河边</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-1886</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782</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1844.54</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0.000097</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0.098097</w:t>
            </w:r>
          </w:p>
        </w:tc>
        <w:tc>
          <w:tcPr>
            <w:tcW w:w="709" w:type="dxa"/>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0.07</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0.039239</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5</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多依树</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-1351</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1593</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1830.3</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0.000076</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0.098076</w:t>
            </w:r>
          </w:p>
        </w:tc>
        <w:tc>
          <w:tcPr>
            <w:tcW w:w="709" w:type="dxa"/>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0.07</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0.03923</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6</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安丰营</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-1465</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-1483</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1854.89</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0.000036</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0.098036</w:t>
            </w:r>
          </w:p>
        </w:tc>
        <w:tc>
          <w:tcPr>
            <w:tcW w:w="709" w:type="dxa"/>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0.07</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0.039214</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C861DA">
        <w:trPr>
          <w:trHeight w:val="369"/>
          <w:jc w:val="center"/>
        </w:trPr>
        <w:tc>
          <w:tcPr>
            <w:tcW w:w="704" w:type="dxa"/>
            <w:vMerge/>
            <w:vAlign w:val="center"/>
          </w:tcPr>
          <w:p w:rsidR="00C861DA" w:rsidRDefault="00C861DA">
            <w:pPr>
              <w:widowControl/>
              <w:jc w:val="center"/>
              <w:rPr>
                <w:rFonts w:ascii="Times New Roman" w:eastAsia="宋体" w:hAnsi="Times New Roman" w:cs="Times New Roman"/>
                <w:color w:val="000000" w:themeColor="text1"/>
              </w:rPr>
            </w:pPr>
          </w:p>
        </w:tc>
        <w:tc>
          <w:tcPr>
            <w:tcW w:w="42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7</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大石凹</w:t>
            </w:r>
          </w:p>
        </w:tc>
        <w:tc>
          <w:tcPr>
            <w:tcW w:w="156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-4319</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-1321</w:t>
            </w:r>
            <w:r>
              <w:rPr>
                <w:rFonts w:ascii="Times New Roman" w:eastAsia="宋体" w:hAnsi="Times New Roman" w:cs="Times New Roman"/>
                <w:color w:val="000000" w:themeColor="text1"/>
                <w:lang w:bidi="ar"/>
              </w:rPr>
              <w:t>，</w:t>
            </w:r>
            <w:r>
              <w:rPr>
                <w:rFonts w:ascii="Times New Roman" w:eastAsia="宋体" w:hAnsi="Times New Roman" w:cs="Times New Roman"/>
                <w:color w:val="000000" w:themeColor="text1"/>
                <w:lang w:bidi="ar"/>
              </w:rPr>
              <w:t>1840.16</w:t>
            </w:r>
          </w:p>
        </w:tc>
        <w:tc>
          <w:tcPr>
            <w:tcW w:w="113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0.000037</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0.098037</w:t>
            </w:r>
          </w:p>
        </w:tc>
        <w:tc>
          <w:tcPr>
            <w:tcW w:w="709" w:type="dxa"/>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0.07</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0.039215</w:t>
            </w:r>
          </w:p>
        </w:tc>
        <w:tc>
          <w:tcPr>
            <w:tcW w:w="709" w:type="dxa"/>
            <w:vAlign w:val="center"/>
          </w:tcPr>
          <w:p w:rsidR="00C861DA" w:rsidRDefault="0044752E">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bl>
    <w:p w:rsidR="00C861DA" w:rsidRDefault="00C861DA">
      <w:pPr>
        <w:pStyle w:val="21"/>
        <w:rPr>
          <w:rFonts w:ascii="Times New Roman" w:eastAsia="宋体" w:hAnsi="Times New Roman" w:cs="Times New Roman"/>
          <w:b/>
          <w:color w:val="000000" w:themeColor="text1"/>
          <w:sz w:val="24"/>
        </w:rPr>
      </w:pPr>
    </w:p>
    <w:p w:rsidR="00C861DA" w:rsidRDefault="00C861DA">
      <w:pPr>
        <w:pStyle w:val="21"/>
        <w:rPr>
          <w:color w:val="000000" w:themeColor="text1"/>
        </w:rPr>
      </w:pPr>
    </w:p>
    <w:p w:rsidR="00C861DA" w:rsidRDefault="0044752E">
      <w:pPr>
        <w:pStyle w:val="21"/>
        <w:spacing w:line="240" w:lineRule="auto"/>
        <w:ind w:firstLine="0"/>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图</w:t>
      </w:r>
      <w:r>
        <w:rPr>
          <w:rFonts w:ascii="Times New Roman" w:eastAsia="宋体" w:hAnsi="Times New Roman" w:cs="Times New Roman" w:hint="eastAsia"/>
          <w:b/>
          <w:color w:val="000000" w:themeColor="text1"/>
          <w:sz w:val="24"/>
        </w:rPr>
        <w:t xml:space="preserve"> </w:t>
      </w:r>
      <w:r>
        <w:rPr>
          <w:rFonts w:ascii="Times New Roman" w:eastAsia="宋体" w:hAnsi="Times New Roman" w:cs="Times New Roman"/>
          <w:b/>
          <w:color w:val="000000" w:themeColor="text1"/>
          <w:sz w:val="24"/>
        </w:rPr>
        <w:t xml:space="preserve"> 7.1-5  </w:t>
      </w:r>
      <w:r>
        <w:rPr>
          <w:rFonts w:ascii="Times New Roman" w:eastAsia="宋体" w:hAnsi="Times New Roman" w:cs="Times New Roman" w:hint="eastAsia"/>
          <w:b/>
          <w:color w:val="000000" w:themeColor="text1"/>
          <w:sz w:val="24"/>
        </w:rPr>
        <w:t>颗粒物最大日均浓度等值线分布图</w:t>
      </w: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ind w:firstLine="0"/>
        <w:rPr>
          <w:color w:val="000000" w:themeColor="text1"/>
        </w:rPr>
      </w:pPr>
    </w:p>
    <w:p w:rsidR="00C861DA" w:rsidRDefault="0044752E">
      <w:pPr>
        <w:pStyle w:val="21"/>
        <w:spacing w:line="240" w:lineRule="auto"/>
        <w:ind w:firstLine="0"/>
        <w:jc w:val="center"/>
        <w:rPr>
          <w:color w:val="000000" w:themeColor="text1"/>
        </w:rPr>
      </w:pPr>
      <w:r>
        <w:rPr>
          <w:rFonts w:ascii="Times New Roman" w:eastAsia="宋体" w:hAnsi="Times New Roman" w:cs="Times New Roman" w:hint="eastAsia"/>
          <w:b/>
          <w:color w:val="000000" w:themeColor="text1"/>
          <w:sz w:val="24"/>
        </w:rPr>
        <w:t>图</w:t>
      </w:r>
      <w:r>
        <w:rPr>
          <w:rFonts w:ascii="Times New Roman" w:eastAsia="宋体" w:hAnsi="Times New Roman" w:cs="Times New Roman" w:hint="eastAsia"/>
          <w:b/>
          <w:color w:val="000000" w:themeColor="text1"/>
          <w:sz w:val="24"/>
        </w:rPr>
        <w:t xml:space="preserve"> </w:t>
      </w:r>
      <w:r>
        <w:rPr>
          <w:rFonts w:ascii="Times New Roman" w:eastAsia="宋体" w:hAnsi="Times New Roman" w:cs="Times New Roman"/>
          <w:b/>
          <w:color w:val="000000" w:themeColor="text1"/>
          <w:sz w:val="24"/>
        </w:rPr>
        <w:t xml:space="preserve"> 7.1-6  </w:t>
      </w:r>
      <w:r>
        <w:rPr>
          <w:rFonts w:ascii="Times New Roman" w:eastAsia="宋体" w:hAnsi="Times New Roman" w:cs="Times New Roman" w:hint="eastAsia"/>
          <w:b/>
          <w:color w:val="000000" w:themeColor="text1"/>
          <w:sz w:val="24"/>
        </w:rPr>
        <w:t>颗粒物最大年均浓度等值线分布图</w:t>
      </w:r>
    </w:p>
    <w:p w:rsidR="00C861DA" w:rsidRDefault="0044752E">
      <w:pPr>
        <w:keepNext/>
        <w:keepLines/>
        <w:tabs>
          <w:tab w:val="left" w:pos="4860"/>
          <w:tab w:val="left" w:pos="5040"/>
        </w:tabs>
        <w:autoSpaceDE/>
        <w:autoSpaceDN/>
        <w:spacing w:line="360" w:lineRule="auto"/>
        <w:outlineLvl w:val="3"/>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2</w:t>
      </w:r>
      <w:r>
        <w:rPr>
          <w:rFonts w:ascii="Times New Roman" w:eastAsia="宋体" w:hAnsi="Times New Roman" w:cs="Times New Roman" w:hint="eastAsia"/>
          <w:b/>
          <w:bCs/>
          <w:iCs/>
          <w:color w:val="000000" w:themeColor="text1"/>
          <w:sz w:val="24"/>
          <w:szCs w:val="24"/>
        </w:rPr>
        <w:t>）</w:t>
      </w:r>
      <w:r>
        <w:rPr>
          <w:rFonts w:ascii="Times New Roman" w:eastAsia="宋体" w:hAnsi="Times New Roman" w:cs="Times New Roman"/>
          <w:b/>
          <w:bCs/>
          <w:iCs/>
          <w:color w:val="000000" w:themeColor="text1"/>
          <w:sz w:val="24"/>
          <w:szCs w:val="24"/>
        </w:rPr>
        <w:t>无组织排放</w:t>
      </w:r>
    </w:p>
    <w:p w:rsidR="00C861DA" w:rsidRDefault="0044752E">
      <w:pPr>
        <w:pStyle w:val="21"/>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1 \* GB3</w:instrText>
      </w:r>
      <w:r>
        <w:rPr>
          <w:color w:val="000000" w:themeColor="text1"/>
        </w:rPr>
        <w:instrText xml:space="preserve"> </w:instrText>
      </w:r>
      <w:r>
        <w:rPr>
          <w:color w:val="000000" w:themeColor="text1"/>
        </w:rPr>
        <w:fldChar w:fldCharType="separate"/>
      </w:r>
      <w:r>
        <w:rPr>
          <w:rFonts w:hint="eastAsia"/>
          <w:color w:val="000000" w:themeColor="text1"/>
        </w:rPr>
        <w:t>①</w:t>
      </w:r>
      <w:r>
        <w:rPr>
          <w:color w:val="000000" w:themeColor="text1"/>
        </w:rPr>
        <w:fldChar w:fldCharType="end"/>
      </w:r>
      <w:r>
        <w:rPr>
          <w:rFonts w:hint="eastAsia"/>
          <w:color w:val="000000" w:themeColor="text1"/>
        </w:rPr>
        <w:t>氨</w:t>
      </w:r>
    </w:p>
    <w:p w:rsidR="00C861DA" w:rsidRDefault="0044752E">
      <w:pPr>
        <w:keepNext/>
        <w:keepLines/>
        <w:tabs>
          <w:tab w:val="left" w:pos="4860"/>
          <w:tab w:val="left" w:pos="5040"/>
        </w:tabs>
        <w:autoSpaceDE/>
        <w:autoSpaceDN/>
        <w:spacing w:line="360" w:lineRule="auto"/>
        <w:ind w:firstLineChars="200" w:firstLine="480"/>
        <w:jc w:val="both"/>
        <w:rPr>
          <w:rFonts w:ascii="Times New Roman" w:eastAsia="宋体" w:hAnsi="Times New Roman" w:cs="Times New Roman"/>
          <w:iCs/>
          <w:color w:val="000000" w:themeColor="text1"/>
          <w:sz w:val="24"/>
          <w:szCs w:val="24"/>
        </w:rPr>
      </w:pPr>
      <w:r>
        <w:rPr>
          <w:rFonts w:ascii="Times New Roman" w:eastAsia="宋体" w:hAnsi="Times New Roman" w:cs="Times New Roman"/>
          <w:color w:val="000000" w:themeColor="text1"/>
          <w:sz w:val="24"/>
          <w:szCs w:val="24"/>
        </w:rPr>
        <w:t>氨厂界</w:t>
      </w:r>
      <w:r>
        <w:rPr>
          <w:rFonts w:ascii="Times New Roman" w:eastAsia="宋体" w:hAnsi="Times New Roman" w:cs="Times New Roman"/>
          <w:iCs/>
          <w:color w:val="000000" w:themeColor="text1"/>
          <w:sz w:val="24"/>
          <w:szCs w:val="24"/>
        </w:rPr>
        <w:t>地面浓度贡献值均未超过《大气污染物综合排放标准》（</w:t>
      </w:r>
      <w:r>
        <w:rPr>
          <w:rFonts w:ascii="Times New Roman" w:eastAsia="宋体" w:hAnsi="Times New Roman" w:cs="Times New Roman"/>
          <w:iCs/>
          <w:color w:val="000000" w:themeColor="text1"/>
          <w:sz w:val="24"/>
          <w:szCs w:val="24"/>
        </w:rPr>
        <w:t>GB16297-1996</w:t>
      </w:r>
      <w:r>
        <w:rPr>
          <w:rFonts w:ascii="Times New Roman" w:eastAsia="宋体" w:hAnsi="Times New Roman" w:cs="Times New Roman"/>
          <w:iCs/>
          <w:color w:val="000000" w:themeColor="text1"/>
          <w:sz w:val="24"/>
          <w:szCs w:val="24"/>
        </w:rPr>
        <w:t>）表</w:t>
      </w:r>
      <w:r>
        <w:rPr>
          <w:rFonts w:ascii="Times New Roman" w:eastAsia="宋体" w:hAnsi="Times New Roman" w:cs="Times New Roman"/>
          <w:iCs/>
          <w:color w:val="000000" w:themeColor="text1"/>
          <w:sz w:val="24"/>
          <w:szCs w:val="24"/>
        </w:rPr>
        <w:t>2</w:t>
      </w:r>
      <w:r>
        <w:rPr>
          <w:rFonts w:ascii="Times New Roman" w:eastAsia="宋体" w:hAnsi="Times New Roman" w:cs="Times New Roman"/>
          <w:iCs/>
          <w:color w:val="000000" w:themeColor="text1"/>
          <w:sz w:val="24"/>
          <w:szCs w:val="24"/>
        </w:rPr>
        <w:t>中二级标准。</w:t>
      </w:r>
    </w:p>
    <w:p w:rsidR="00C861DA" w:rsidRDefault="0044752E">
      <w:pPr>
        <w:keepNext/>
        <w:keepLines/>
        <w:tabs>
          <w:tab w:val="left" w:pos="4860"/>
          <w:tab w:val="left" w:pos="5040"/>
        </w:tabs>
        <w:autoSpaceDE/>
        <w:autoSpaceDN/>
        <w:spacing w:line="360" w:lineRule="auto"/>
        <w:jc w:val="center"/>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表</w:t>
      </w:r>
      <w:r>
        <w:rPr>
          <w:rFonts w:ascii="Times New Roman" w:eastAsia="宋体" w:hAnsi="Times New Roman" w:cs="Times New Roman"/>
          <w:b/>
          <w:bCs/>
          <w:iCs/>
          <w:color w:val="000000" w:themeColor="text1"/>
          <w:sz w:val="24"/>
          <w:szCs w:val="24"/>
        </w:rPr>
        <w:t xml:space="preserve">7.1-19  </w:t>
      </w:r>
      <w:r>
        <w:rPr>
          <w:rFonts w:ascii="Times New Roman" w:eastAsia="宋体" w:hAnsi="Times New Roman" w:cs="Times New Roman"/>
          <w:b/>
          <w:bCs/>
          <w:iCs/>
          <w:color w:val="000000" w:themeColor="text1"/>
          <w:sz w:val="24"/>
          <w:szCs w:val="24"/>
        </w:rPr>
        <w:t>氨无组织排放地面浓度最大值预测结果</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79"/>
        <w:gridCol w:w="876"/>
        <w:gridCol w:w="1973"/>
        <w:gridCol w:w="1035"/>
        <w:gridCol w:w="1035"/>
        <w:gridCol w:w="1086"/>
        <w:gridCol w:w="1104"/>
        <w:gridCol w:w="808"/>
      </w:tblGrid>
      <w:tr w:rsidR="00C861DA">
        <w:trPr>
          <w:trHeight w:val="340"/>
          <w:jc w:val="center"/>
        </w:trPr>
        <w:tc>
          <w:tcPr>
            <w:tcW w:w="379"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序号</w:t>
            </w:r>
          </w:p>
        </w:tc>
        <w:tc>
          <w:tcPr>
            <w:tcW w:w="876"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离散点</w:t>
            </w:r>
          </w:p>
        </w:tc>
        <w:tc>
          <w:tcPr>
            <w:tcW w:w="1973"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坐标</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x</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y</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z</w:t>
            </w:r>
            <w:r>
              <w:rPr>
                <w:rFonts w:ascii="Times New Roman" w:eastAsia="宋体" w:hAnsi="Times New Roman" w:cs="Times New Roman"/>
                <w:b/>
                <w:color w:val="000000" w:themeColor="text1"/>
                <w:lang w:bidi="ar"/>
              </w:rPr>
              <w:t>）</w:t>
            </w:r>
          </w:p>
        </w:tc>
        <w:tc>
          <w:tcPr>
            <w:tcW w:w="1035"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贡献值</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1035"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背景值</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1086"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预测值</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1104"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排放标准值（</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808"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达标</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情况</w:t>
            </w:r>
          </w:p>
        </w:tc>
      </w:tr>
      <w:tr w:rsidR="00C861DA">
        <w:trPr>
          <w:trHeight w:val="340"/>
          <w:jc w:val="center"/>
        </w:trPr>
        <w:tc>
          <w:tcPr>
            <w:tcW w:w="37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w:t>
            </w:r>
          </w:p>
        </w:tc>
        <w:tc>
          <w:tcPr>
            <w:tcW w:w="87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东厂界</w:t>
            </w:r>
          </w:p>
        </w:tc>
        <w:tc>
          <w:tcPr>
            <w:tcW w:w="1973"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585.59,259.62,2105.77</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0.00224</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0.0098</w:t>
            </w:r>
          </w:p>
        </w:tc>
        <w:tc>
          <w:tcPr>
            <w:tcW w:w="108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0.01204</w:t>
            </w:r>
          </w:p>
        </w:tc>
        <w:tc>
          <w:tcPr>
            <w:tcW w:w="110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1.200</w:t>
            </w:r>
          </w:p>
        </w:tc>
        <w:tc>
          <w:tcPr>
            <w:tcW w:w="8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40"/>
          <w:jc w:val="center"/>
        </w:trPr>
        <w:tc>
          <w:tcPr>
            <w:tcW w:w="37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w:t>
            </w:r>
          </w:p>
        </w:tc>
        <w:tc>
          <w:tcPr>
            <w:tcW w:w="87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南厂界</w:t>
            </w:r>
          </w:p>
        </w:tc>
        <w:tc>
          <w:tcPr>
            <w:tcW w:w="1973"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-344,-976,2006.54</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0.00266</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0.0098</w:t>
            </w:r>
          </w:p>
        </w:tc>
        <w:tc>
          <w:tcPr>
            <w:tcW w:w="108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0.01246</w:t>
            </w:r>
          </w:p>
        </w:tc>
        <w:tc>
          <w:tcPr>
            <w:tcW w:w="110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1.200</w:t>
            </w:r>
          </w:p>
        </w:tc>
        <w:tc>
          <w:tcPr>
            <w:tcW w:w="8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40"/>
          <w:jc w:val="center"/>
        </w:trPr>
        <w:tc>
          <w:tcPr>
            <w:tcW w:w="37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w:t>
            </w:r>
          </w:p>
        </w:tc>
        <w:tc>
          <w:tcPr>
            <w:tcW w:w="87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西厂界</w:t>
            </w:r>
          </w:p>
        </w:tc>
        <w:tc>
          <w:tcPr>
            <w:tcW w:w="1973"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-349.65,479.97,2059.19</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0.00448</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0.0085</w:t>
            </w:r>
          </w:p>
        </w:tc>
        <w:tc>
          <w:tcPr>
            <w:tcW w:w="108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0.01298</w:t>
            </w:r>
          </w:p>
        </w:tc>
        <w:tc>
          <w:tcPr>
            <w:tcW w:w="110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1.200</w:t>
            </w:r>
          </w:p>
        </w:tc>
        <w:tc>
          <w:tcPr>
            <w:tcW w:w="8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40"/>
          <w:jc w:val="center"/>
        </w:trPr>
        <w:tc>
          <w:tcPr>
            <w:tcW w:w="37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4</w:t>
            </w:r>
          </w:p>
        </w:tc>
        <w:tc>
          <w:tcPr>
            <w:tcW w:w="87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北厂界</w:t>
            </w:r>
          </w:p>
        </w:tc>
        <w:tc>
          <w:tcPr>
            <w:tcW w:w="1973"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-101.79,480,2071.56</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0.00525</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0.0085</w:t>
            </w:r>
          </w:p>
        </w:tc>
        <w:tc>
          <w:tcPr>
            <w:tcW w:w="108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0.01375</w:t>
            </w:r>
          </w:p>
        </w:tc>
        <w:tc>
          <w:tcPr>
            <w:tcW w:w="110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1.200</w:t>
            </w:r>
          </w:p>
        </w:tc>
        <w:tc>
          <w:tcPr>
            <w:tcW w:w="8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bl>
    <w:p w:rsidR="00C861DA" w:rsidRDefault="0044752E">
      <w:pPr>
        <w:keepNext/>
        <w:keepLines/>
        <w:tabs>
          <w:tab w:val="left" w:pos="4860"/>
          <w:tab w:val="left" w:pos="5040"/>
        </w:tabs>
        <w:autoSpaceDE/>
        <w:autoSpaceDN/>
        <w:spacing w:beforeLines="100" w:before="312" w:line="360" w:lineRule="auto"/>
        <w:jc w:val="center"/>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表</w:t>
      </w:r>
      <w:r>
        <w:rPr>
          <w:rFonts w:ascii="Times New Roman" w:eastAsia="宋体" w:hAnsi="Times New Roman" w:cs="Times New Roman"/>
          <w:b/>
          <w:bCs/>
          <w:iCs/>
          <w:color w:val="000000" w:themeColor="text1"/>
          <w:sz w:val="24"/>
          <w:szCs w:val="24"/>
        </w:rPr>
        <w:t xml:space="preserve">7.1-20  </w:t>
      </w:r>
      <w:r>
        <w:rPr>
          <w:rFonts w:ascii="Times New Roman" w:eastAsia="宋体" w:hAnsi="Times New Roman" w:cs="Times New Roman" w:hint="eastAsia"/>
          <w:b/>
          <w:bCs/>
          <w:iCs/>
          <w:color w:val="000000" w:themeColor="text1"/>
          <w:sz w:val="24"/>
          <w:szCs w:val="24"/>
        </w:rPr>
        <w:t>NO</w:t>
      </w:r>
      <w:r>
        <w:rPr>
          <w:rFonts w:ascii="Times New Roman" w:eastAsia="宋体" w:hAnsi="Times New Roman" w:cs="Times New Roman" w:hint="eastAsia"/>
          <w:b/>
          <w:bCs/>
          <w:iCs/>
          <w:color w:val="000000" w:themeColor="text1"/>
          <w:sz w:val="24"/>
          <w:szCs w:val="24"/>
          <w:vertAlign w:val="subscript"/>
        </w:rPr>
        <w:t>X</w:t>
      </w:r>
      <w:r>
        <w:rPr>
          <w:rFonts w:ascii="Times New Roman" w:eastAsia="宋体" w:hAnsi="Times New Roman" w:cs="Times New Roman"/>
          <w:b/>
          <w:bCs/>
          <w:iCs/>
          <w:color w:val="000000" w:themeColor="text1"/>
          <w:sz w:val="24"/>
          <w:szCs w:val="24"/>
        </w:rPr>
        <w:t>无组织排放地面浓度最大值预测结果</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79"/>
        <w:gridCol w:w="876"/>
        <w:gridCol w:w="1973"/>
        <w:gridCol w:w="1035"/>
        <w:gridCol w:w="1035"/>
        <w:gridCol w:w="1086"/>
        <w:gridCol w:w="1104"/>
        <w:gridCol w:w="808"/>
      </w:tblGrid>
      <w:tr w:rsidR="00C861DA">
        <w:trPr>
          <w:trHeight w:val="340"/>
          <w:jc w:val="center"/>
        </w:trPr>
        <w:tc>
          <w:tcPr>
            <w:tcW w:w="379"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序号</w:t>
            </w:r>
          </w:p>
        </w:tc>
        <w:tc>
          <w:tcPr>
            <w:tcW w:w="876"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离散点</w:t>
            </w:r>
          </w:p>
        </w:tc>
        <w:tc>
          <w:tcPr>
            <w:tcW w:w="1973"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坐标</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x</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y</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z</w:t>
            </w:r>
            <w:r>
              <w:rPr>
                <w:rFonts w:ascii="Times New Roman" w:eastAsia="宋体" w:hAnsi="Times New Roman" w:cs="Times New Roman"/>
                <w:b/>
                <w:color w:val="000000" w:themeColor="text1"/>
                <w:lang w:bidi="ar"/>
              </w:rPr>
              <w:t>）</w:t>
            </w:r>
          </w:p>
        </w:tc>
        <w:tc>
          <w:tcPr>
            <w:tcW w:w="1035"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贡献值</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1035"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背景值</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1086"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预测值</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1104"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排放标准值（</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808"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达标</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情况</w:t>
            </w:r>
          </w:p>
        </w:tc>
      </w:tr>
      <w:tr w:rsidR="00C861DA">
        <w:trPr>
          <w:trHeight w:val="340"/>
          <w:jc w:val="center"/>
        </w:trPr>
        <w:tc>
          <w:tcPr>
            <w:tcW w:w="37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w:t>
            </w:r>
          </w:p>
        </w:tc>
        <w:tc>
          <w:tcPr>
            <w:tcW w:w="87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东厂界</w:t>
            </w:r>
          </w:p>
        </w:tc>
        <w:tc>
          <w:tcPr>
            <w:tcW w:w="1973"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585.59,259.62,2105.77</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0.00224</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0.0098</w:t>
            </w:r>
          </w:p>
        </w:tc>
        <w:tc>
          <w:tcPr>
            <w:tcW w:w="108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0.01204</w:t>
            </w:r>
          </w:p>
        </w:tc>
        <w:tc>
          <w:tcPr>
            <w:tcW w:w="110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1.200</w:t>
            </w:r>
          </w:p>
        </w:tc>
        <w:tc>
          <w:tcPr>
            <w:tcW w:w="8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40"/>
          <w:jc w:val="center"/>
        </w:trPr>
        <w:tc>
          <w:tcPr>
            <w:tcW w:w="37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w:t>
            </w:r>
          </w:p>
        </w:tc>
        <w:tc>
          <w:tcPr>
            <w:tcW w:w="87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南厂界</w:t>
            </w:r>
          </w:p>
        </w:tc>
        <w:tc>
          <w:tcPr>
            <w:tcW w:w="1973"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-344,-976,2006.54</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0.00266</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0.0098</w:t>
            </w:r>
          </w:p>
        </w:tc>
        <w:tc>
          <w:tcPr>
            <w:tcW w:w="108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0.01246</w:t>
            </w:r>
          </w:p>
        </w:tc>
        <w:tc>
          <w:tcPr>
            <w:tcW w:w="110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1.200</w:t>
            </w:r>
          </w:p>
        </w:tc>
        <w:tc>
          <w:tcPr>
            <w:tcW w:w="8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40"/>
          <w:jc w:val="center"/>
        </w:trPr>
        <w:tc>
          <w:tcPr>
            <w:tcW w:w="37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w:t>
            </w:r>
          </w:p>
        </w:tc>
        <w:tc>
          <w:tcPr>
            <w:tcW w:w="87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西厂界</w:t>
            </w:r>
          </w:p>
        </w:tc>
        <w:tc>
          <w:tcPr>
            <w:tcW w:w="1973"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-349.65,479.97,2059.19</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0.00448</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0.0085</w:t>
            </w:r>
          </w:p>
        </w:tc>
        <w:tc>
          <w:tcPr>
            <w:tcW w:w="108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0.01298</w:t>
            </w:r>
          </w:p>
        </w:tc>
        <w:tc>
          <w:tcPr>
            <w:tcW w:w="110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1.200</w:t>
            </w:r>
          </w:p>
        </w:tc>
        <w:tc>
          <w:tcPr>
            <w:tcW w:w="8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40"/>
          <w:jc w:val="center"/>
        </w:trPr>
        <w:tc>
          <w:tcPr>
            <w:tcW w:w="37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4</w:t>
            </w:r>
          </w:p>
        </w:tc>
        <w:tc>
          <w:tcPr>
            <w:tcW w:w="87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北厂界</w:t>
            </w:r>
          </w:p>
        </w:tc>
        <w:tc>
          <w:tcPr>
            <w:tcW w:w="1973"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-101.79,480,2071.56</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0.00525</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0.0085</w:t>
            </w:r>
          </w:p>
        </w:tc>
        <w:tc>
          <w:tcPr>
            <w:tcW w:w="108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0.01375</w:t>
            </w:r>
          </w:p>
        </w:tc>
        <w:tc>
          <w:tcPr>
            <w:tcW w:w="1104"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1.200</w:t>
            </w:r>
          </w:p>
        </w:tc>
        <w:tc>
          <w:tcPr>
            <w:tcW w:w="8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bl>
    <w:p w:rsidR="00C861DA" w:rsidRDefault="0044752E">
      <w:pPr>
        <w:keepNext/>
        <w:keepLines/>
        <w:tabs>
          <w:tab w:val="left" w:pos="4860"/>
          <w:tab w:val="left" w:pos="5040"/>
        </w:tabs>
        <w:autoSpaceDE/>
        <w:autoSpaceDN/>
        <w:spacing w:beforeLines="100" w:before="312" w:line="360" w:lineRule="auto"/>
        <w:jc w:val="center"/>
        <w:rPr>
          <w:rFonts w:ascii="Times New Roman" w:eastAsia="宋体" w:hAnsi="Times New Roman" w:cs="Times New Roman"/>
          <w:b/>
          <w:bCs/>
          <w:iCs/>
          <w:color w:val="000000" w:themeColor="text1"/>
          <w:sz w:val="24"/>
          <w:szCs w:val="24"/>
        </w:rPr>
      </w:pPr>
      <w:bookmarkStart w:id="415" w:name="_Toc18244"/>
      <w:bookmarkStart w:id="416" w:name="_Toc1676"/>
      <w:bookmarkStart w:id="417" w:name="_Toc29244"/>
      <w:r>
        <w:rPr>
          <w:rFonts w:ascii="Times New Roman" w:eastAsia="宋体" w:hAnsi="Times New Roman" w:cs="Times New Roman"/>
          <w:b/>
          <w:bCs/>
          <w:iCs/>
          <w:color w:val="000000" w:themeColor="text1"/>
          <w:sz w:val="24"/>
          <w:szCs w:val="24"/>
        </w:rPr>
        <w:t>表</w:t>
      </w:r>
      <w:r>
        <w:rPr>
          <w:rFonts w:ascii="Times New Roman" w:eastAsia="宋体" w:hAnsi="Times New Roman" w:cs="Times New Roman"/>
          <w:b/>
          <w:bCs/>
          <w:iCs/>
          <w:color w:val="000000" w:themeColor="text1"/>
          <w:sz w:val="24"/>
          <w:szCs w:val="24"/>
        </w:rPr>
        <w:t xml:space="preserve">7.1-21  </w:t>
      </w:r>
      <w:r>
        <w:rPr>
          <w:rFonts w:ascii="Times New Roman" w:eastAsia="宋体" w:hAnsi="Times New Roman" w:cs="Times New Roman" w:hint="eastAsia"/>
          <w:b/>
          <w:bCs/>
          <w:iCs/>
          <w:color w:val="000000" w:themeColor="text1"/>
          <w:sz w:val="24"/>
          <w:szCs w:val="24"/>
        </w:rPr>
        <w:t>颗粒物</w:t>
      </w:r>
      <w:r>
        <w:rPr>
          <w:rFonts w:ascii="Times New Roman" w:eastAsia="宋体" w:hAnsi="Times New Roman" w:cs="Times New Roman"/>
          <w:b/>
          <w:bCs/>
          <w:iCs/>
          <w:color w:val="000000" w:themeColor="text1"/>
          <w:sz w:val="24"/>
          <w:szCs w:val="24"/>
        </w:rPr>
        <w:t>无组织排放地面浓度最大值预测结果</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79"/>
        <w:gridCol w:w="876"/>
        <w:gridCol w:w="1973"/>
        <w:gridCol w:w="1035"/>
        <w:gridCol w:w="1035"/>
        <w:gridCol w:w="1087"/>
        <w:gridCol w:w="1103"/>
        <w:gridCol w:w="808"/>
      </w:tblGrid>
      <w:tr w:rsidR="00C861DA">
        <w:trPr>
          <w:trHeight w:val="340"/>
          <w:jc w:val="center"/>
        </w:trPr>
        <w:tc>
          <w:tcPr>
            <w:tcW w:w="379"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序号</w:t>
            </w:r>
          </w:p>
        </w:tc>
        <w:tc>
          <w:tcPr>
            <w:tcW w:w="876"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离散点</w:t>
            </w:r>
          </w:p>
        </w:tc>
        <w:tc>
          <w:tcPr>
            <w:tcW w:w="1973"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坐标</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x</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y</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z</w:t>
            </w:r>
            <w:r>
              <w:rPr>
                <w:rFonts w:ascii="Times New Roman" w:eastAsia="宋体" w:hAnsi="Times New Roman" w:cs="Times New Roman"/>
                <w:b/>
                <w:color w:val="000000" w:themeColor="text1"/>
                <w:lang w:bidi="ar"/>
              </w:rPr>
              <w:t>）</w:t>
            </w:r>
          </w:p>
        </w:tc>
        <w:tc>
          <w:tcPr>
            <w:tcW w:w="1035"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贡献值</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1035"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背景值</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1087"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预测值</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1103" w:type="dxa"/>
            <w:vAlign w:val="center"/>
          </w:tcPr>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排放标准值（</w:t>
            </w:r>
            <w:r>
              <w:rPr>
                <w:rFonts w:ascii="Times New Roman" w:eastAsia="宋体" w:hAnsi="Times New Roman" w:cs="Times New Roman"/>
                <w:b/>
                <w:color w:val="000000" w:themeColor="text1"/>
                <w:lang w:bidi="ar"/>
              </w:rPr>
              <w:t>mg/m</w:t>
            </w:r>
            <w:r>
              <w:rPr>
                <w:rFonts w:ascii="Times New Roman" w:eastAsia="宋体" w:hAnsi="Times New Roman" w:cs="Times New Roman"/>
                <w:b/>
                <w:color w:val="000000" w:themeColor="text1"/>
                <w:vertAlign w:val="superscript"/>
                <w:lang w:bidi="ar"/>
              </w:rPr>
              <w:t>3</w:t>
            </w:r>
            <w:r>
              <w:rPr>
                <w:rFonts w:ascii="Times New Roman" w:eastAsia="宋体" w:hAnsi="Times New Roman" w:cs="Times New Roman"/>
                <w:b/>
                <w:color w:val="000000" w:themeColor="text1"/>
                <w:lang w:bidi="ar"/>
              </w:rPr>
              <w:t>）</w:t>
            </w:r>
          </w:p>
        </w:tc>
        <w:tc>
          <w:tcPr>
            <w:tcW w:w="808"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达标</w:t>
            </w:r>
          </w:p>
          <w:p w:rsidR="00C861DA" w:rsidRDefault="0044752E">
            <w:pPr>
              <w:widowControl/>
              <w:jc w:val="center"/>
              <w:textAlignment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lang w:bidi="ar"/>
              </w:rPr>
              <w:t>情况</w:t>
            </w:r>
          </w:p>
        </w:tc>
      </w:tr>
      <w:tr w:rsidR="00C861DA">
        <w:trPr>
          <w:trHeight w:val="340"/>
          <w:jc w:val="center"/>
        </w:trPr>
        <w:tc>
          <w:tcPr>
            <w:tcW w:w="37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w:t>
            </w:r>
          </w:p>
        </w:tc>
        <w:tc>
          <w:tcPr>
            <w:tcW w:w="87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东厂界</w:t>
            </w:r>
          </w:p>
        </w:tc>
        <w:tc>
          <w:tcPr>
            <w:tcW w:w="1973"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585.59,259.62,2105.77</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0.00224</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0.0098</w:t>
            </w:r>
          </w:p>
        </w:tc>
        <w:tc>
          <w:tcPr>
            <w:tcW w:w="1087"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0.01204</w:t>
            </w:r>
          </w:p>
        </w:tc>
        <w:tc>
          <w:tcPr>
            <w:tcW w:w="1103"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1.200</w:t>
            </w:r>
          </w:p>
        </w:tc>
        <w:tc>
          <w:tcPr>
            <w:tcW w:w="8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40"/>
          <w:jc w:val="center"/>
        </w:trPr>
        <w:tc>
          <w:tcPr>
            <w:tcW w:w="37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2</w:t>
            </w:r>
          </w:p>
        </w:tc>
        <w:tc>
          <w:tcPr>
            <w:tcW w:w="87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南厂界</w:t>
            </w:r>
          </w:p>
        </w:tc>
        <w:tc>
          <w:tcPr>
            <w:tcW w:w="1973"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-344,-976,2006.54</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0.00266</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0.0098</w:t>
            </w:r>
          </w:p>
        </w:tc>
        <w:tc>
          <w:tcPr>
            <w:tcW w:w="1087"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0.01246</w:t>
            </w:r>
          </w:p>
        </w:tc>
        <w:tc>
          <w:tcPr>
            <w:tcW w:w="1103"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1.200</w:t>
            </w:r>
          </w:p>
        </w:tc>
        <w:tc>
          <w:tcPr>
            <w:tcW w:w="8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40"/>
          <w:jc w:val="center"/>
        </w:trPr>
        <w:tc>
          <w:tcPr>
            <w:tcW w:w="37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w:t>
            </w:r>
          </w:p>
        </w:tc>
        <w:tc>
          <w:tcPr>
            <w:tcW w:w="87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西厂界</w:t>
            </w:r>
          </w:p>
        </w:tc>
        <w:tc>
          <w:tcPr>
            <w:tcW w:w="1973"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-349.65,479.97,2059.19</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0.00448</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0.0085</w:t>
            </w:r>
          </w:p>
        </w:tc>
        <w:tc>
          <w:tcPr>
            <w:tcW w:w="1087"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0.01298</w:t>
            </w:r>
          </w:p>
        </w:tc>
        <w:tc>
          <w:tcPr>
            <w:tcW w:w="1103"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1.200</w:t>
            </w:r>
          </w:p>
        </w:tc>
        <w:tc>
          <w:tcPr>
            <w:tcW w:w="8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340"/>
          <w:jc w:val="center"/>
        </w:trPr>
        <w:tc>
          <w:tcPr>
            <w:tcW w:w="379"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4</w:t>
            </w:r>
          </w:p>
        </w:tc>
        <w:tc>
          <w:tcPr>
            <w:tcW w:w="876"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北厂界</w:t>
            </w:r>
          </w:p>
        </w:tc>
        <w:tc>
          <w:tcPr>
            <w:tcW w:w="1973"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-101.79,480,2071.56</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0.00525</w:t>
            </w:r>
          </w:p>
        </w:tc>
        <w:tc>
          <w:tcPr>
            <w:tcW w:w="1035"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0.0085</w:t>
            </w:r>
          </w:p>
        </w:tc>
        <w:tc>
          <w:tcPr>
            <w:tcW w:w="1087"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0.01375</w:t>
            </w:r>
          </w:p>
        </w:tc>
        <w:tc>
          <w:tcPr>
            <w:tcW w:w="1103"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1.200</w:t>
            </w:r>
          </w:p>
        </w:tc>
        <w:tc>
          <w:tcPr>
            <w:tcW w:w="808" w:type="dxa"/>
            <w:vAlign w:val="center"/>
          </w:tcPr>
          <w:p w:rsidR="00C861DA" w:rsidRDefault="0044752E">
            <w:pPr>
              <w:widowControl/>
              <w:jc w:val="center"/>
              <w:textAlignment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bl>
    <w:p w:rsidR="00C861DA" w:rsidRDefault="00C861DA">
      <w:pPr>
        <w:rPr>
          <w:color w:val="000000" w:themeColor="text1"/>
        </w:rPr>
      </w:pPr>
    </w:p>
    <w:p w:rsidR="00C861DA" w:rsidRDefault="0044752E">
      <w:pPr>
        <w:pStyle w:val="26"/>
        <w:tabs>
          <w:tab w:val="right" w:leader="dot" w:pos="8297"/>
        </w:tabs>
        <w:spacing w:beforeLines="100" w:before="312" w:line="360" w:lineRule="auto"/>
        <w:outlineLvl w:val="3"/>
        <w:rPr>
          <w:rFonts w:ascii="Times New Roman" w:eastAsia="宋体" w:hAnsi="Times New Roman" w:cs="Times New Roman"/>
          <w:b w:val="0"/>
          <w:bCs w:val="0"/>
          <w:smallCaps/>
          <w:color w:val="000000" w:themeColor="text1"/>
          <w:sz w:val="28"/>
          <w:szCs w:val="28"/>
        </w:rPr>
      </w:pPr>
      <w:r>
        <w:rPr>
          <w:rFonts w:ascii="Times New Roman" w:eastAsia="宋体" w:hAnsi="Times New Roman" w:cs="Times New Roman" w:hint="eastAsia"/>
          <w:b w:val="0"/>
          <w:bCs w:val="0"/>
          <w:iCs/>
          <w:smallCaps/>
          <w:color w:val="000000" w:themeColor="text1"/>
          <w:sz w:val="24"/>
          <w:szCs w:val="24"/>
        </w:rPr>
        <w:t>（</w:t>
      </w:r>
      <w:r>
        <w:rPr>
          <w:rFonts w:ascii="Times New Roman" w:eastAsia="宋体" w:hAnsi="Times New Roman" w:cs="Times New Roman" w:hint="eastAsia"/>
          <w:b w:val="0"/>
          <w:bCs w:val="0"/>
          <w:iCs/>
          <w:smallCaps/>
          <w:color w:val="000000" w:themeColor="text1"/>
          <w:sz w:val="24"/>
          <w:szCs w:val="24"/>
        </w:rPr>
        <w:t>2</w:t>
      </w:r>
      <w:r>
        <w:rPr>
          <w:rFonts w:ascii="Times New Roman" w:eastAsia="宋体" w:hAnsi="Times New Roman" w:cs="Times New Roman" w:hint="eastAsia"/>
          <w:b w:val="0"/>
          <w:bCs w:val="0"/>
          <w:iCs/>
          <w:smallCaps/>
          <w:color w:val="000000" w:themeColor="text1"/>
          <w:sz w:val="24"/>
          <w:szCs w:val="24"/>
        </w:rPr>
        <w:t>）</w:t>
      </w:r>
      <w:r>
        <w:rPr>
          <w:rFonts w:ascii="Times New Roman" w:eastAsia="宋体" w:hAnsi="Times New Roman" w:cs="Times New Roman"/>
          <w:b w:val="0"/>
          <w:bCs w:val="0"/>
          <w:iCs/>
          <w:smallCaps/>
          <w:color w:val="000000" w:themeColor="text1"/>
          <w:sz w:val="24"/>
          <w:szCs w:val="24"/>
        </w:rPr>
        <w:t>非正常排放条件的影响预测及评价</w:t>
      </w:r>
      <w:bookmarkEnd w:id="415"/>
      <w:bookmarkEnd w:id="416"/>
      <w:bookmarkEnd w:id="417"/>
    </w:p>
    <w:p w:rsidR="00C861DA" w:rsidRDefault="0044752E">
      <w:pPr>
        <w:spacing w:line="360" w:lineRule="auto"/>
        <w:ind w:firstLineChars="200" w:firstLine="480"/>
        <w:jc w:val="both"/>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根据项目生产工艺、废气污染治理措施及污染排放情况，环评设置两种非正常排放情景，作为项目生产过程中可能发生的污染非正常排放。</w:t>
      </w:r>
    </w:p>
    <w:p w:rsidR="00C861DA" w:rsidRDefault="0044752E">
      <w:pPr>
        <w:spacing w:line="360" w:lineRule="auto"/>
        <w:ind w:firstLineChars="200" w:firstLine="480"/>
        <w:jc w:val="both"/>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情景一：硝酸生产废气氨催化氧化脱销工艺发生故障，导致污染物氮氧化物出现非正常排放，排放浓度和排放量以产生量考虑。</w:t>
      </w:r>
    </w:p>
    <w:p w:rsidR="00C861DA" w:rsidRDefault="0044752E">
      <w:pPr>
        <w:pStyle w:val="26"/>
        <w:tabs>
          <w:tab w:val="right" w:leader="dot" w:pos="8297"/>
        </w:tabs>
        <w:spacing w:line="360" w:lineRule="auto"/>
        <w:ind w:firstLineChars="200" w:firstLine="482"/>
        <w:jc w:val="both"/>
        <w:rPr>
          <w:rFonts w:ascii="Times New Roman" w:eastAsia="宋体" w:hAnsi="Times New Roman" w:cs="Times New Roman"/>
          <w:smallCaps/>
          <w:color w:val="000000" w:themeColor="text1"/>
          <w:sz w:val="24"/>
          <w:szCs w:val="24"/>
        </w:rPr>
      </w:pPr>
      <w:r>
        <w:rPr>
          <w:rFonts w:ascii="Times New Roman" w:eastAsia="宋体" w:hAnsi="Times New Roman" w:cs="Times New Roman"/>
          <w:color w:val="000000" w:themeColor="text1"/>
          <w:kern w:val="1"/>
          <w:sz w:val="24"/>
          <w:szCs w:val="24"/>
        </w:rPr>
        <w:t>情景二：造粒塔布袋除尘和湿法洗涤系统发生故障，除尘效率下降到</w:t>
      </w:r>
      <w:r>
        <w:rPr>
          <w:rFonts w:ascii="Times New Roman" w:eastAsia="宋体" w:hAnsi="Times New Roman" w:cs="Times New Roman"/>
          <w:color w:val="000000" w:themeColor="text1"/>
          <w:kern w:val="1"/>
          <w:sz w:val="24"/>
          <w:szCs w:val="24"/>
        </w:rPr>
        <w:t>50%</w:t>
      </w:r>
      <w:r>
        <w:rPr>
          <w:rFonts w:ascii="Times New Roman" w:eastAsia="宋体" w:hAnsi="Times New Roman" w:cs="Times New Roman"/>
          <w:color w:val="000000" w:themeColor="text1"/>
          <w:kern w:val="1"/>
          <w:sz w:val="24"/>
          <w:szCs w:val="24"/>
        </w:rPr>
        <w:t>，洗涤氨吸收效率下降到</w:t>
      </w:r>
      <w:r>
        <w:rPr>
          <w:rFonts w:ascii="Times New Roman" w:eastAsia="宋体" w:hAnsi="Times New Roman" w:cs="Times New Roman"/>
          <w:color w:val="000000" w:themeColor="text1"/>
          <w:kern w:val="1"/>
          <w:sz w:val="24"/>
          <w:szCs w:val="24"/>
        </w:rPr>
        <w:t>50%</w:t>
      </w:r>
      <w:r>
        <w:rPr>
          <w:rFonts w:ascii="Times New Roman" w:eastAsia="宋体" w:hAnsi="Times New Roman" w:cs="Times New Roman"/>
          <w:color w:val="000000" w:themeColor="text1"/>
          <w:kern w:val="1"/>
          <w:sz w:val="24"/>
          <w:szCs w:val="24"/>
        </w:rPr>
        <w:t>，导致颗粒物和氨出现非正常排放。本项目包括尿基复合肥造粒系统和硝基复合肥造粒系统，环评以污染物排放较大的尿基复合肥造粒系统除尘和洗涤系统发生故障作为非正常排放情景。</w:t>
      </w:r>
    </w:p>
    <w:p w:rsidR="00C861DA" w:rsidRDefault="0044752E">
      <w:pPr>
        <w:pStyle w:val="26"/>
        <w:tabs>
          <w:tab w:val="right" w:leader="dot" w:pos="8297"/>
        </w:tabs>
        <w:spacing w:line="360" w:lineRule="auto"/>
        <w:ind w:firstLineChars="200" w:firstLine="482"/>
        <w:rPr>
          <w:rFonts w:ascii="Times New Roman" w:eastAsia="宋体" w:hAnsi="Times New Roman" w:cs="Times New Roman"/>
          <w:smallCaps/>
          <w:color w:val="000000" w:themeColor="text1"/>
          <w:sz w:val="24"/>
          <w:szCs w:val="24"/>
        </w:rPr>
      </w:pPr>
      <w:r>
        <w:rPr>
          <w:rFonts w:ascii="Times New Roman" w:eastAsia="宋体" w:hAnsi="Times New Roman" w:cs="Times New Roman"/>
          <w:smallCaps/>
          <w:color w:val="000000" w:themeColor="text1"/>
          <w:sz w:val="24"/>
          <w:szCs w:val="24"/>
        </w:rPr>
        <w:t>1</w:t>
      </w:r>
      <w:r>
        <w:rPr>
          <w:rFonts w:ascii="Times New Roman" w:eastAsia="宋体" w:hAnsi="Times New Roman" w:cs="Times New Roman" w:hint="eastAsia"/>
          <w:smallCaps/>
          <w:color w:val="000000" w:themeColor="text1"/>
          <w:sz w:val="24"/>
          <w:szCs w:val="24"/>
        </w:rPr>
        <w:t>）情景一</w:t>
      </w:r>
    </w:p>
    <w:p w:rsidR="00C861DA" w:rsidRDefault="0044752E">
      <w:pPr>
        <w:pStyle w:val="26"/>
        <w:tabs>
          <w:tab w:val="right" w:leader="dot" w:pos="8297"/>
        </w:tabs>
        <w:spacing w:line="360" w:lineRule="auto"/>
        <w:ind w:firstLineChars="200" w:firstLine="482"/>
        <w:rPr>
          <w:rFonts w:ascii="Times New Roman" w:eastAsia="宋体" w:hAnsi="Times New Roman" w:cs="Times New Roman"/>
          <w:b w:val="0"/>
          <w:bCs w:val="0"/>
          <w:smallCaps/>
          <w:color w:val="000000" w:themeColor="text1"/>
          <w:sz w:val="28"/>
          <w:szCs w:val="28"/>
        </w:rPr>
      </w:pPr>
      <w:r>
        <w:rPr>
          <w:rFonts w:ascii="Times New Roman" w:eastAsia="宋体" w:hAnsi="Times New Roman" w:cs="Times New Roman"/>
          <w:smallCaps/>
          <w:color w:val="000000" w:themeColor="text1"/>
          <w:sz w:val="24"/>
          <w:szCs w:val="24"/>
        </w:rPr>
        <w:t>本项目</w:t>
      </w:r>
      <w:r>
        <w:rPr>
          <w:rFonts w:ascii="Times New Roman" w:eastAsia="宋体" w:hAnsi="Times New Roman" w:cs="Times New Roman" w:hint="eastAsia"/>
          <w:smallCaps/>
          <w:color w:val="000000" w:themeColor="text1"/>
          <w:sz w:val="24"/>
          <w:szCs w:val="24"/>
        </w:rPr>
        <w:t>在情景一</w:t>
      </w:r>
      <w:r>
        <w:rPr>
          <w:rFonts w:ascii="Times New Roman" w:eastAsia="宋体" w:hAnsi="Times New Roman" w:cs="Times New Roman"/>
          <w:smallCaps/>
          <w:color w:val="000000" w:themeColor="text1"/>
          <w:sz w:val="24"/>
          <w:szCs w:val="24"/>
        </w:rPr>
        <w:t>下</w:t>
      </w:r>
      <w:r>
        <w:rPr>
          <w:rFonts w:ascii="Times New Roman" w:eastAsia="宋体" w:hAnsi="Times New Roman" w:cs="Times New Roman" w:hint="eastAsia"/>
          <w:smallCaps/>
          <w:color w:val="000000" w:themeColor="text1"/>
          <w:sz w:val="24"/>
          <w:szCs w:val="24"/>
        </w:rPr>
        <w:t>1</w:t>
      </w:r>
      <w:r>
        <w:rPr>
          <w:rFonts w:ascii="Times New Roman" w:eastAsia="宋体" w:hAnsi="Times New Roman" w:cs="Times New Roman"/>
          <w:smallCaps/>
          <w:color w:val="000000" w:themeColor="text1"/>
          <w:sz w:val="24"/>
          <w:szCs w:val="24"/>
        </w:rPr>
        <w:t>#</w:t>
      </w:r>
      <w:r>
        <w:rPr>
          <w:rFonts w:ascii="Times New Roman" w:eastAsia="宋体" w:hAnsi="Times New Roman" w:cs="Times New Roman" w:hint="eastAsia"/>
          <w:smallCaps/>
          <w:color w:val="000000" w:themeColor="text1"/>
          <w:sz w:val="24"/>
          <w:szCs w:val="24"/>
        </w:rPr>
        <w:t>排气筒氮氧化物</w:t>
      </w:r>
      <w:r>
        <w:rPr>
          <w:rFonts w:ascii="Times New Roman" w:eastAsia="宋体" w:hAnsi="Times New Roman" w:cs="Times New Roman"/>
          <w:smallCaps/>
          <w:color w:val="000000" w:themeColor="text1"/>
          <w:sz w:val="24"/>
          <w:szCs w:val="24"/>
        </w:rPr>
        <w:t>排放量</w:t>
      </w:r>
      <w:r>
        <w:rPr>
          <w:rFonts w:ascii="Times New Roman" w:eastAsia="宋体" w:hAnsi="Times New Roman" w:cs="Times New Roman" w:hint="eastAsia"/>
          <w:smallCaps/>
          <w:color w:val="000000" w:themeColor="text1"/>
          <w:sz w:val="24"/>
          <w:szCs w:val="24"/>
        </w:rPr>
        <w:t>超过正常工况，其余排气筒污染物产排情况与正常工况一直</w:t>
      </w:r>
      <w:r>
        <w:rPr>
          <w:rFonts w:ascii="Times New Roman" w:eastAsia="宋体" w:hAnsi="Times New Roman" w:cs="Times New Roman"/>
          <w:smallCaps/>
          <w:color w:val="000000" w:themeColor="text1"/>
          <w:sz w:val="24"/>
          <w:szCs w:val="24"/>
        </w:rPr>
        <w:t>，本情景预测</w:t>
      </w:r>
      <w:r>
        <w:rPr>
          <w:rFonts w:ascii="Times New Roman" w:eastAsia="宋体" w:hAnsi="Times New Roman" w:cs="Times New Roman" w:hint="eastAsia"/>
          <w:smallCaps/>
          <w:color w:val="000000" w:themeColor="text1"/>
          <w:sz w:val="24"/>
          <w:szCs w:val="24"/>
        </w:rPr>
        <w:t>NO</w:t>
      </w:r>
      <w:r>
        <w:rPr>
          <w:rFonts w:ascii="Times New Roman" w:eastAsia="宋体" w:hAnsi="Times New Roman" w:cs="Times New Roman" w:hint="eastAsia"/>
          <w:smallCaps/>
          <w:color w:val="000000" w:themeColor="text1"/>
          <w:sz w:val="24"/>
          <w:szCs w:val="24"/>
          <w:vertAlign w:val="subscript"/>
        </w:rPr>
        <w:t>X</w:t>
      </w:r>
      <w:r>
        <w:rPr>
          <w:rFonts w:ascii="Times New Roman" w:eastAsia="宋体" w:hAnsi="Times New Roman" w:cs="Times New Roman"/>
          <w:smallCaps/>
          <w:color w:val="000000" w:themeColor="text1"/>
          <w:sz w:val="24"/>
          <w:szCs w:val="24"/>
        </w:rPr>
        <w:t>非正常排放情况下对关心点及网格的影响，预测结果列于表</w:t>
      </w:r>
      <w:r>
        <w:rPr>
          <w:rFonts w:ascii="Times New Roman" w:eastAsia="宋体" w:hAnsi="Times New Roman" w:cs="Times New Roman"/>
          <w:smallCaps/>
          <w:color w:val="000000" w:themeColor="text1"/>
          <w:sz w:val="24"/>
          <w:szCs w:val="24"/>
        </w:rPr>
        <w:t>7.1-22</w:t>
      </w:r>
      <w:r>
        <w:rPr>
          <w:rFonts w:ascii="Times New Roman" w:eastAsia="宋体" w:hAnsi="Times New Roman" w:cs="Times New Roman"/>
          <w:smallCaps/>
          <w:color w:val="000000" w:themeColor="text1"/>
          <w:sz w:val="24"/>
          <w:szCs w:val="24"/>
        </w:rPr>
        <w:t>。</w:t>
      </w:r>
    </w:p>
    <w:p w:rsidR="00C861DA" w:rsidRDefault="0044752E">
      <w:pPr>
        <w:keepNext/>
        <w:keepLines/>
        <w:tabs>
          <w:tab w:val="left" w:pos="4860"/>
          <w:tab w:val="left" w:pos="5040"/>
        </w:tabs>
        <w:autoSpaceDE/>
        <w:autoSpaceDN/>
        <w:spacing w:beforeLines="100" w:before="312" w:line="360" w:lineRule="auto"/>
        <w:jc w:val="center"/>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表</w:t>
      </w:r>
      <w:r>
        <w:rPr>
          <w:rFonts w:ascii="Times New Roman" w:eastAsia="宋体" w:hAnsi="Times New Roman" w:cs="Times New Roman"/>
          <w:b/>
          <w:bCs/>
          <w:iCs/>
          <w:color w:val="000000" w:themeColor="text1"/>
          <w:sz w:val="24"/>
          <w:szCs w:val="24"/>
        </w:rPr>
        <w:t xml:space="preserve">7.1-22   </w:t>
      </w:r>
      <w:r>
        <w:rPr>
          <w:rFonts w:ascii="Times New Roman" w:eastAsia="宋体" w:hAnsi="Times New Roman" w:cs="Times New Roman" w:hint="eastAsia"/>
          <w:b/>
          <w:bCs/>
          <w:iCs/>
          <w:color w:val="000000" w:themeColor="text1"/>
          <w:sz w:val="24"/>
          <w:szCs w:val="24"/>
        </w:rPr>
        <w:t>NO</w:t>
      </w:r>
      <w:r>
        <w:rPr>
          <w:rFonts w:ascii="Times New Roman" w:eastAsia="宋体" w:hAnsi="Times New Roman" w:cs="Times New Roman" w:hint="eastAsia"/>
          <w:b/>
          <w:bCs/>
          <w:iCs/>
          <w:color w:val="000000" w:themeColor="text1"/>
          <w:sz w:val="24"/>
          <w:szCs w:val="24"/>
          <w:vertAlign w:val="subscript"/>
        </w:rPr>
        <w:t>X</w:t>
      </w:r>
      <w:r>
        <w:rPr>
          <w:rFonts w:ascii="Times New Roman" w:eastAsia="宋体" w:hAnsi="Times New Roman" w:cs="Times New Roman" w:hint="eastAsia"/>
          <w:b/>
          <w:bCs/>
          <w:iCs/>
          <w:color w:val="000000" w:themeColor="text1"/>
          <w:sz w:val="24"/>
          <w:szCs w:val="24"/>
        </w:rPr>
        <w:t>在情景一下</w:t>
      </w:r>
      <w:r>
        <w:rPr>
          <w:rFonts w:ascii="Times New Roman" w:eastAsia="宋体" w:hAnsi="Times New Roman" w:cs="Times New Roman"/>
          <w:b/>
          <w:bCs/>
          <w:iCs/>
          <w:color w:val="000000" w:themeColor="text1"/>
          <w:sz w:val="24"/>
          <w:szCs w:val="24"/>
        </w:rPr>
        <w:t>对关心点及网格的影响预测结果</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44"/>
        <w:gridCol w:w="601"/>
        <w:gridCol w:w="1302"/>
        <w:gridCol w:w="893"/>
        <w:gridCol w:w="1284"/>
        <w:gridCol w:w="1284"/>
        <w:gridCol w:w="1284"/>
        <w:gridCol w:w="800"/>
        <w:gridCol w:w="504"/>
      </w:tblGrid>
      <w:tr w:rsidR="00C861DA">
        <w:trPr>
          <w:trHeight w:val="373"/>
          <w:jc w:val="center"/>
        </w:trPr>
        <w:tc>
          <w:tcPr>
            <w:tcW w:w="344"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序号</w:t>
            </w:r>
          </w:p>
        </w:tc>
        <w:tc>
          <w:tcPr>
            <w:tcW w:w="601"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离散点</w:t>
            </w:r>
          </w:p>
        </w:tc>
        <w:tc>
          <w:tcPr>
            <w:tcW w:w="1302"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坐标（</w:t>
            </w:r>
            <w:r>
              <w:rPr>
                <w:rFonts w:ascii="Times New Roman" w:eastAsia="宋体" w:hAnsi="Times New Roman" w:cs="Times New Roman"/>
                <w:b/>
                <w:color w:val="000000" w:themeColor="text1"/>
                <w:sz w:val="18"/>
                <w:szCs w:val="18"/>
                <w:lang w:bidi="ar"/>
              </w:rPr>
              <w:t>x</w:t>
            </w:r>
            <w:r>
              <w:rPr>
                <w:rFonts w:ascii="Times New Roman" w:eastAsia="宋体" w:hAnsi="Times New Roman" w:cs="Times New Roman"/>
                <w:b/>
                <w:color w:val="000000" w:themeColor="text1"/>
                <w:sz w:val="18"/>
                <w:szCs w:val="18"/>
                <w:lang w:bidi="ar"/>
              </w:rPr>
              <w:t>，</w:t>
            </w:r>
            <w:r>
              <w:rPr>
                <w:rFonts w:ascii="Times New Roman" w:eastAsia="宋体" w:hAnsi="Times New Roman" w:cs="Times New Roman"/>
                <w:b/>
                <w:color w:val="000000" w:themeColor="text1"/>
                <w:sz w:val="18"/>
                <w:szCs w:val="18"/>
                <w:lang w:bidi="ar"/>
              </w:rPr>
              <w:t>y</w:t>
            </w:r>
            <w:r>
              <w:rPr>
                <w:rFonts w:ascii="Times New Roman" w:eastAsia="宋体" w:hAnsi="Times New Roman" w:cs="Times New Roman"/>
                <w:b/>
                <w:color w:val="000000" w:themeColor="text1"/>
                <w:sz w:val="18"/>
                <w:szCs w:val="18"/>
                <w:lang w:bidi="ar"/>
              </w:rPr>
              <w:t>，</w:t>
            </w:r>
            <w:r>
              <w:rPr>
                <w:rFonts w:ascii="Times New Roman" w:eastAsia="宋体" w:hAnsi="Times New Roman" w:cs="Times New Roman"/>
                <w:b/>
                <w:color w:val="000000" w:themeColor="text1"/>
                <w:sz w:val="18"/>
                <w:szCs w:val="18"/>
                <w:lang w:bidi="ar"/>
              </w:rPr>
              <w:t>z</w:t>
            </w:r>
            <w:r>
              <w:rPr>
                <w:rFonts w:ascii="Times New Roman" w:eastAsia="宋体" w:hAnsi="Times New Roman" w:cs="Times New Roman"/>
                <w:b/>
                <w:color w:val="000000" w:themeColor="text1"/>
                <w:sz w:val="18"/>
                <w:szCs w:val="18"/>
                <w:lang w:bidi="ar"/>
              </w:rPr>
              <w:t>）</w:t>
            </w:r>
          </w:p>
        </w:tc>
        <w:tc>
          <w:tcPr>
            <w:tcW w:w="893"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lang w:bidi="ar"/>
              </w:rPr>
            </w:pPr>
            <w:r>
              <w:rPr>
                <w:rFonts w:ascii="Times New Roman" w:eastAsia="宋体" w:hAnsi="Times New Roman" w:cs="Times New Roman"/>
                <w:b/>
                <w:color w:val="000000" w:themeColor="text1"/>
                <w:sz w:val="18"/>
                <w:szCs w:val="18"/>
                <w:lang w:bidi="ar"/>
              </w:rPr>
              <w:t>贡献值</w:t>
            </w:r>
          </w:p>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w:t>
            </w:r>
            <w:r>
              <w:rPr>
                <w:rFonts w:ascii="Times New Roman" w:eastAsia="宋体" w:hAnsi="Times New Roman" w:cs="Times New Roman"/>
                <w:b/>
                <w:color w:val="000000" w:themeColor="text1"/>
                <w:sz w:val="18"/>
                <w:szCs w:val="18"/>
                <w:lang w:bidi="ar"/>
              </w:rPr>
              <w:t>mg/m</w:t>
            </w:r>
            <w:r>
              <w:rPr>
                <w:rFonts w:ascii="Times New Roman" w:eastAsia="宋体" w:hAnsi="Times New Roman" w:cs="Times New Roman"/>
                <w:b/>
                <w:color w:val="000000" w:themeColor="text1"/>
                <w:sz w:val="18"/>
                <w:szCs w:val="18"/>
                <w:vertAlign w:val="superscript"/>
                <w:lang w:bidi="ar"/>
              </w:rPr>
              <w:t>3</w:t>
            </w:r>
            <w:r>
              <w:rPr>
                <w:rFonts w:ascii="Times New Roman" w:eastAsia="宋体" w:hAnsi="Times New Roman" w:cs="Times New Roman"/>
                <w:b/>
                <w:color w:val="000000" w:themeColor="text1"/>
                <w:sz w:val="18"/>
                <w:szCs w:val="18"/>
                <w:lang w:bidi="ar"/>
              </w:rPr>
              <w:t>）</w:t>
            </w:r>
          </w:p>
        </w:tc>
        <w:tc>
          <w:tcPr>
            <w:tcW w:w="1284"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背景值（</w:t>
            </w:r>
            <w:r>
              <w:rPr>
                <w:rFonts w:ascii="Times New Roman" w:eastAsia="宋体" w:hAnsi="Times New Roman" w:cs="Times New Roman"/>
                <w:b/>
                <w:color w:val="000000" w:themeColor="text1"/>
                <w:sz w:val="18"/>
                <w:szCs w:val="18"/>
                <w:lang w:bidi="ar"/>
              </w:rPr>
              <w:t>mg/m</w:t>
            </w:r>
            <w:r>
              <w:rPr>
                <w:rFonts w:ascii="Times New Roman" w:eastAsia="宋体" w:hAnsi="Times New Roman" w:cs="Times New Roman"/>
                <w:b/>
                <w:color w:val="000000" w:themeColor="text1"/>
                <w:sz w:val="18"/>
                <w:szCs w:val="18"/>
                <w:vertAlign w:val="superscript"/>
                <w:lang w:bidi="ar"/>
              </w:rPr>
              <w:t>3</w:t>
            </w:r>
            <w:r>
              <w:rPr>
                <w:rFonts w:ascii="Times New Roman" w:eastAsia="宋体" w:hAnsi="Times New Roman" w:cs="Times New Roman"/>
                <w:b/>
                <w:color w:val="000000" w:themeColor="text1"/>
                <w:sz w:val="18"/>
                <w:szCs w:val="18"/>
                <w:lang w:bidi="ar"/>
              </w:rPr>
              <w:t>）</w:t>
            </w:r>
          </w:p>
        </w:tc>
        <w:tc>
          <w:tcPr>
            <w:tcW w:w="1284"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预测值（</w:t>
            </w:r>
            <w:r>
              <w:rPr>
                <w:rFonts w:ascii="Times New Roman" w:eastAsia="宋体" w:hAnsi="Times New Roman" w:cs="Times New Roman"/>
                <w:b/>
                <w:color w:val="000000" w:themeColor="text1"/>
                <w:sz w:val="18"/>
                <w:szCs w:val="18"/>
                <w:lang w:bidi="ar"/>
              </w:rPr>
              <w:t>mg/m</w:t>
            </w:r>
            <w:r>
              <w:rPr>
                <w:rFonts w:ascii="Times New Roman" w:eastAsia="宋体" w:hAnsi="Times New Roman" w:cs="Times New Roman"/>
                <w:b/>
                <w:color w:val="000000" w:themeColor="text1"/>
                <w:sz w:val="18"/>
                <w:szCs w:val="18"/>
                <w:vertAlign w:val="superscript"/>
                <w:lang w:bidi="ar"/>
              </w:rPr>
              <w:t>3</w:t>
            </w:r>
            <w:r>
              <w:rPr>
                <w:rFonts w:ascii="Times New Roman" w:eastAsia="宋体" w:hAnsi="Times New Roman" w:cs="Times New Roman"/>
                <w:b/>
                <w:color w:val="000000" w:themeColor="text1"/>
                <w:sz w:val="18"/>
                <w:szCs w:val="18"/>
                <w:lang w:bidi="ar"/>
              </w:rPr>
              <w:t>）</w:t>
            </w:r>
          </w:p>
        </w:tc>
        <w:tc>
          <w:tcPr>
            <w:tcW w:w="1284"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标准值（</w:t>
            </w:r>
            <w:r>
              <w:rPr>
                <w:rFonts w:ascii="Times New Roman" w:eastAsia="宋体" w:hAnsi="Times New Roman" w:cs="Times New Roman"/>
                <w:b/>
                <w:color w:val="000000" w:themeColor="text1"/>
                <w:sz w:val="18"/>
                <w:szCs w:val="18"/>
                <w:lang w:bidi="ar"/>
              </w:rPr>
              <w:t>mg/m</w:t>
            </w:r>
            <w:r>
              <w:rPr>
                <w:rFonts w:ascii="Times New Roman" w:eastAsia="宋体" w:hAnsi="Times New Roman" w:cs="Times New Roman"/>
                <w:b/>
                <w:color w:val="000000" w:themeColor="text1"/>
                <w:sz w:val="18"/>
                <w:szCs w:val="18"/>
                <w:vertAlign w:val="superscript"/>
                <w:lang w:bidi="ar"/>
              </w:rPr>
              <w:t>3</w:t>
            </w:r>
            <w:r>
              <w:rPr>
                <w:rFonts w:ascii="Times New Roman" w:eastAsia="宋体" w:hAnsi="Times New Roman" w:cs="Times New Roman"/>
                <w:b/>
                <w:color w:val="000000" w:themeColor="text1"/>
                <w:sz w:val="18"/>
                <w:szCs w:val="18"/>
                <w:lang w:bidi="ar"/>
              </w:rPr>
              <w:t>）</w:t>
            </w:r>
          </w:p>
        </w:tc>
        <w:tc>
          <w:tcPr>
            <w:tcW w:w="800"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占标率（</w:t>
            </w:r>
            <w:r>
              <w:rPr>
                <w:rFonts w:ascii="Times New Roman" w:eastAsia="宋体" w:hAnsi="Times New Roman" w:cs="Times New Roman"/>
                <w:b/>
                <w:color w:val="000000" w:themeColor="text1"/>
                <w:sz w:val="18"/>
                <w:szCs w:val="18"/>
                <w:lang w:bidi="ar"/>
              </w:rPr>
              <w:t>%</w:t>
            </w:r>
            <w:r>
              <w:rPr>
                <w:rFonts w:ascii="Times New Roman" w:eastAsia="宋体" w:hAnsi="Times New Roman" w:cs="Times New Roman"/>
                <w:b/>
                <w:color w:val="000000" w:themeColor="text1"/>
                <w:sz w:val="18"/>
                <w:szCs w:val="18"/>
                <w:lang w:bidi="ar"/>
              </w:rPr>
              <w:t>）</w:t>
            </w:r>
          </w:p>
        </w:tc>
        <w:tc>
          <w:tcPr>
            <w:tcW w:w="504"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lang w:bidi="ar"/>
              </w:rPr>
            </w:pPr>
            <w:r>
              <w:rPr>
                <w:rFonts w:ascii="Times New Roman" w:eastAsia="宋体" w:hAnsi="Times New Roman" w:cs="Times New Roman"/>
                <w:b/>
                <w:color w:val="000000" w:themeColor="text1"/>
                <w:sz w:val="18"/>
                <w:szCs w:val="18"/>
                <w:lang w:bidi="ar"/>
              </w:rPr>
              <w:t>达标</w:t>
            </w:r>
          </w:p>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情况</w:t>
            </w:r>
          </w:p>
        </w:tc>
      </w:tr>
      <w:tr w:rsidR="00C861DA">
        <w:trPr>
          <w:trHeight w:val="373"/>
          <w:jc w:val="center"/>
        </w:trPr>
        <w:tc>
          <w:tcPr>
            <w:tcW w:w="34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1</w:t>
            </w:r>
          </w:p>
        </w:tc>
        <w:tc>
          <w:tcPr>
            <w:tcW w:w="601"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下禄脿村</w:t>
            </w:r>
          </w:p>
        </w:tc>
        <w:tc>
          <w:tcPr>
            <w:tcW w:w="130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585.59,259.62,</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2105.77</w:t>
            </w:r>
          </w:p>
        </w:tc>
        <w:tc>
          <w:tcPr>
            <w:tcW w:w="893"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0.056547</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0.10000</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0.156547</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hint="eastAsia"/>
                <w:color w:val="000000" w:themeColor="text1"/>
                <w:sz w:val="18"/>
                <w:szCs w:val="18"/>
                <w:lang w:bidi="ar"/>
              </w:rPr>
              <w:t>62.6188</w:t>
            </w:r>
          </w:p>
        </w:tc>
        <w:tc>
          <w:tcPr>
            <w:tcW w:w="800"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 xml:space="preserve">8.70 </w:t>
            </w:r>
          </w:p>
        </w:tc>
        <w:tc>
          <w:tcPr>
            <w:tcW w:w="504"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4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w:t>
            </w:r>
          </w:p>
        </w:tc>
        <w:tc>
          <w:tcPr>
            <w:tcW w:w="601"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大哨村</w:t>
            </w:r>
          </w:p>
        </w:tc>
        <w:tc>
          <w:tcPr>
            <w:tcW w:w="130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-344,-976,</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2006.54</w:t>
            </w:r>
          </w:p>
        </w:tc>
        <w:tc>
          <w:tcPr>
            <w:tcW w:w="893"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0.05638</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0.10000</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0.15638</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hint="eastAsia"/>
                <w:color w:val="000000" w:themeColor="text1"/>
                <w:sz w:val="18"/>
                <w:szCs w:val="18"/>
                <w:lang w:bidi="ar"/>
              </w:rPr>
              <w:t>62.552</w:t>
            </w:r>
          </w:p>
        </w:tc>
        <w:tc>
          <w:tcPr>
            <w:tcW w:w="800"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 xml:space="preserve">11.07 </w:t>
            </w:r>
          </w:p>
        </w:tc>
        <w:tc>
          <w:tcPr>
            <w:tcW w:w="504"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4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3</w:t>
            </w:r>
          </w:p>
        </w:tc>
        <w:tc>
          <w:tcPr>
            <w:tcW w:w="601"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多依树村</w:t>
            </w:r>
          </w:p>
        </w:tc>
        <w:tc>
          <w:tcPr>
            <w:tcW w:w="130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-349.65,479.97,</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2059.19</w:t>
            </w:r>
          </w:p>
        </w:tc>
        <w:tc>
          <w:tcPr>
            <w:tcW w:w="893"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0.03914</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0.10000</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0.13914</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hint="eastAsia"/>
                <w:color w:val="000000" w:themeColor="text1"/>
                <w:sz w:val="18"/>
                <w:szCs w:val="18"/>
                <w:lang w:bidi="ar"/>
              </w:rPr>
              <w:t>55.656</w:t>
            </w:r>
          </w:p>
        </w:tc>
        <w:tc>
          <w:tcPr>
            <w:tcW w:w="800"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 xml:space="preserve">10.56 </w:t>
            </w:r>
          </w:p>
        </w:tc>
        <w:tc>
          <w:tcPr>
            <w:tcW w:w="504"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4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4</w:t>
            </w:r>
          </w:p>
        </w:tc>
        <w:tc>
          <w:tcPr>
            <w:tcW w:w="601"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白塔村</w:t>
            </w:r>
          </w:p>
        </w:tc>
        <w:tc>
          <w:tcPr>
            <w:tcW w:w="130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-101.79,480,</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2071.56</w:t>
            </w:r>
          </w:p>
        </w:tc>
        <w:tc>
          <w:tcPr>
            <w:tcW w:w="893"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0.05131</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0.10000</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0.15131</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hint="eastAsia"/>
                <w:color w:val="000000" w:themeColor="text1"/>
                <w:sz w:val="18"/>
                <w:szCs w:val="18"/>
                <w:lang w:bidi="ar"/>
              </w:rPr>
              <w:t>60.524</w:t>
            </w:r>
          </w:p>
        </w:tc>
        <w:tc>
          <w:tcPr>
            <w:tcW w:w="800"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 xml:space="preserve">11.00 </w:t>
            </w:r>
          </w:p>
        </w:tc>
        <w:tc>
          <w:tcPr>
            <w:tcW w:w="504"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4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5</w:t>
            </w:r>
          </w:p>
        </w:tc>
        <w:tc>
          <w:tcPr>
            <w:tcW w:w="601"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李白村</w:t>
            </w:r>
          </w:p>
        </w:tc>
        <w:tc>
          <w:tcPr>
            <w:tcW w:w="130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585.59,259.62,</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2105.77</w:t>
            </w:r>
          </w:p>
        </w:tc>
        <w:tc>
          <w:tcPr>
            <w:tcW w:w="893"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0.026194</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0.10000</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0.126194</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hint="eastAsia"/>
                <w:color w:val="000000" w:themeColor="text1"/>
                <w:sz w:val="18"/>
                <w:szCs w:val="18"/>
                <w:lang w:bidi="ar"/>
              </w:rPr>
              <w:t>50.4776</w:t>
            </w:r>
          </w:p>
        </w:tc>
        <w:tc>
          <w:tcPr>
            <w:tcW w:w="800"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 xml:space="preserve">10.51 </w:t>
            </w:r>
          </w:p>
        </w:tc>
        <w:tc>
          <w:tcPr>
            <w:tcW w:w="504"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4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6</w:t>
            </w:r>
          </w:p>
        </w:tc>
        <w:tc>
          <w:tcPr>
            <w:tcW w:w="601"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河上庄</w:t>
            </w:r>
          </w:p>
        </w:tc>
        <w:tc>
          <w:tcPr>
            <w:tcW w:w="130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-344,-976,</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2006.54</w:t>
            </w:r>
          </w:p>
        </w:tc>
        <w:tc>
          <w:tcPr>
            <w:tcW w:w="893"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0.019002</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0.10000</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0.119002</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hint="eastAsia"/>
                <w:color w:val="000000" w:themeColor="text1"/>
                <w:sz w:val="18"/>
                <w:szCs w:val="18"/>
                <w:lang w:bidi="ar"/>
              </w:rPr>
              <w:t>47.6008</w:t>
            </w:r>
          </w:p>
        </w:tc>
        <w:tc>
          <w:tcPr>
            <w:tcW w:w="800"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 xml:space="preserve">10.63 </w:t>
            </w:r>
          </w:p>
        </w:tc>
        <w:tc>
          <w:tcPr>
            <w:tcW w:w="504"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4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hint="eastAsia"/>
                <w:color w:val="000000" w:themeColor="text1"/>
                <w:sz w:val="18"/>
                <w:szCs w:val="18"/>
                <w:lang w:bidi="ar"/>
              </w:rPr>
              <w:t>7</w:t>
            </w:r>
          </w:p>
        </w:tc>
        <w:tc>
          <w:tcPr>
            <w:tcW w:w="601"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网格</w:t>
            </w:r>
          </w:p>
        </w:tc>
        <w:tc>
          <w:tcPr>
            <w:tcW w:w="130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hint="eastAsia"/>
                <w:color w:val="000000" w:themeColor="text1"/>
                <w:sz w:val="18"/>
                <w:szCs w:val="18"/>
                <w:lang w:bidi="ar"/>
              </w:rPr>
              <w:t>-</w:t>
            </w:r>
            <w:r>
              <w:rPr>
                <w:rFonts w:ascii="Times New Roman" w:eastAsia="宋体" w:hAnsi="Times New Roman" w:cs="Times New Roman"/>
                <w:color w:val="000000" w:themeColor="text1"/>
                <w:sz w:val="18"/>
                <w:szCs w:val="18"/>
                <w:lang w:bidi="ar"/>
              </w:rPr>
              <w:t>50</w:t>
            </w:r>
            <w:r>
              <w:rPr>
                <w:rFonts w:ascii="Times New Roman" w:eastAsia="宋体" w:hAnsi="Times New Roman" w:cs="Times New Roman" w:hint="eastAsia"/>
                <w:color w:val="000000" w:themeColor="text1"/>
                <w:sz w:val="18"/>
                <w:szCs w:val="18"/>
                <w:lang w:bidi="ar"/>
              </w:rPr>
              <w:t>,</w:t>
            </w:r>
            <w:r>
              <w:rPr>
                <w:rFonts w:ascii="Times New Roman" w:eastAsia="宋体" w:hAnsi="Times New Roman" w:cs="Times New Roman"/>
                <w:color w:val="000000" w:themeColor="text1"/>
                <w:sz w:val="18"/>
                <w:szCs w:val="18"/>
                <w:lang w:bidi="ar"/>
              </w:rPr>
              <w:t>800</w:t>
            </w:r>
            <w:r>
              <w:rPr>
                <w:rFonts w:ascii="Times New Roman" w:eastAsia="宋体" w:hAnsi="Times New Roman" w:cs="Times New Roman" w:hint="eastAsia"/>
                <w:color w:val="000000" w:themeColor="text1"/>
                <w:sz w:val="18"/>
                <w:szCs w:val="18"/>
                <w:lang w:bidi="ar"/>
              </w:rPr>
              <w:t>,</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1969</w:t>
            </w:r>
          </w:p>
        </w:tc>
        <w:tc>
          <w:tcPr>
            <w:tcW w:w="893"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2.392673</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0.10000</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2.492673</w:t>
            </w:r>
          </w:p>
        </w:tc>
        <w:tc>
          <w:tcPr>
            <w:tcW w:w="128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hint="eastAsia"/>
                <w:color w:val="000000" w:themeColor="text1"/>
                <w:sz w:val="18"/>
                <w:szCs w:val="18"/>
                <w:lang w:bidi="ar"/>
              </w:rPr>
              <w:t>997.0692</w:t>
            </w:r>
          </w:p>
        </w:tc>
        <w:tc>
          <w:tcPr>
            <w:tcW w:w="800" w:type="dxa"/>
            <w:vAlign w:val="center"/>
          </w:tcPr>
          <w:p w:rsidR="00C861DA" w:rsidRDefault="0044752E">
            <w:pPr>
              <w:widowControl/>
              <w:autoSpaceDE/>
              <w:autoSpaceDN/>
              <w:adjustRightInd/>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hint="eastAsia"/>
                <w:color w:val="000000" w:themeColor="text1"/>
                <w:sz w:val="18"/>
                <w:szCs w:val="18"/>
                <w:lang w:bidi="ar"/>
              </w:rPr>
              <w:t>997.09</w:t>
            </w:r>
          </w:p>
        </w:tc>
        <w:tc>
          <w:tcPr>
            <w:tcW w:w="504"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hint="eastAsia"/>
                <w:color w:val="000000" w:themeColor="text1"/>
                <w:sz w:val="18"/>
                <w:szCs w:val="18"/>
                <w:lang w:bidi="ar"/>
              </w:rPr>
              <w:t>超标</w:t>
            </w:r>
          </w:p>
        </w:tc>
      </w:tr>
    </w:tbl>
    <w:p w:rsidR="00C861DA" w:rsidRDefault="00C861DA">
      <w:pPr>
        <w:snapToGrid w:val="0"/>
        <w:spacing w:beforeLines="100" w:before="312" w:line="360" w:lineRule="auto"/>
        <w:ind w:firstLineChars="200" w:firstLine="480"/>
        <w:rPr>
          <w:rFonts w:ascii="Times New Roman" w:eastAsia="宋体"/>
          <w:color w:val="000000" w:themeColor="text1"/>
          <w:sz w:val="24"/>
          <w:szCs w:val="24"/>
        </w:rPr>
      </w:pPr>
    </w:p>
    <w:p w:rsidR="00C861DA" w:rsidRDefault="0044752E">
      <w:pPr>
        <w:pStyle w:val="26"/>
        <w:tabs>
          <w:tab w:val="right" w:leader="dot" w:pos="8297"/>
        </w:tabs>
        <w:spacing w:line="360" w:lineRule="auto"/>
        <w:ind w:firstLineChars="200" w:firstLine="482"/>
        <w:rPr>
          <w:rFonts w:ascii="Times New Roman" w:eastAsia="宋体" w:hAnsi="Times New Roman" w:cs="Times New Roman"/>
          <w:smallCaps/>
          <w:color w:val="000000" w:themeColor="text1"/>
          <w:sz w:val="24"/>
          <w:szCs w:val="24"/>
        </w:rPr>
      </w:pPr>
      <w:r>
        <w:rPr>
          <w:rFonts w:ascii="Times New Roman" w:eastAsia="宋体" w:hAnsi="Times New Roman" w:cs="Times New Roman"/>
          <w:smallCaps/>
          <w:color w:val="000000" w:themeColor="text1"/>
          <w:sz w:val="24"/>
          <w:szCs w:val="24"/>
        </w:rPr>
        <w:t>1</w:t>
      </w:r>
      <w:r>
        <w:rPr>
          <w:rFonts w:ascii="Times New Roman" w:eastAsia="宋体" w:hAnsi="Times New Roman" w:cs="Times New Roman" w:hint="eastAsia"/>
          <w:smallCaps/>
          <w:color w:val="000000" w:themeColor="text1"/>
          <w:sz w:val="24"/>
          <w:szCs w:val="24"/>
        </w:rPr>
        <w:t>）情景二</w:t>
      </w:r>
    </w:p>
    <w:p w:rsidR="00C861DA" w:rsidRDefault="0044752E">
      <w:pPr>
        <w:pStyle w:val="26"/>
        <w:tabs>
          <w:tab w:val="right" w:leader="dot" w:pos="8297"/>
        </w:tabs>
        <w:spacing w:line="360" w:lineRule="auto"/>
        <w:ind w:firstLineChars="200" w:firstLine="482"/>
        <w:rPr>
          <w:rFonts w:ascii="Times New Roman" w:eastAsia="宋体" w:hAnsi="Times New Roman" w:cs="Times New Roman"/>
          <w:b w:val="0"/>
          <w:bCs w:val="0"/>
          <w:smallCaps/>
          <w:color w:val="000000" w:themeColor="text1"/>
          <w:sz w:val="28"/>
          <w:szCs w:val="28"/>
        </w:rPr>
      </w:pPr>
      <w:r>
        <w:rPr>
          <w:rFonts w:ascii="Times New Roman" w:eastAsia="宋体" w:hAnsi="Times New Roman" w:cs="Times New Roman"/>
          <w:smallCaps/>
          <w:color w:val="000000" w:themeColor="text1"/>
          <w:sz w:val="24"/>
          <w:szCs w:val="24"/>
        </w:rPr>
        <w:t>本项目</w:t>
      </w:r>
      <w:r>
        <w:rPr>
          <w:rFonts w:ascii="Times New Roman" w:eastAsia="宋体" w:hAnsi="Times New Roman" w:cs="Times New Roman" w:hint="eastAsia"/>
          <w:smallCaps/>
          <w:color w:val="000000" w:themeColor="text1"/>
          <w:sz w:val="24"/>
          <w:szCs w:val="24"/>
        </w:rPr>
        <w:t>在情景一</w:t>
      </w:r>
      <w:r>
        <w:rPr>
          <w:rFonts w:ascii="Times New Roman" w:eastAsia="宋体" w:hAnsi="Times New Roman" w:cs="Times New Roman"/>
          <w:smallCaps/>
          <w:color w:val="000000" w:themeColor="text1"/>
          <w:sz w:val="24"/>
          <w:szCs w:val="24"/>
        </w:rPr>
        <w:t>下</w:t>
      </w:r>
      <w:r>
        <w:rPr>
          <w:rFonts w:ascii="Times New Roman" w:eastAsia="宋体" w:hAnsi="Times New Roman" w:cs="Times New Roman" w:hint="eastAsia"/>
          <w:smallCaps/>
          <w:color w:val="000000" w:themeColor="text1"/>
          <w:sz w:val="24"/>
          <w:szCs w:val="24"/>
        </w:rPr>
        <w:t>1</w:t>
      </w:r>
      <w:r>
        <w:rPr>
          <w:rFonts w:ascii="Times New Roman" w:eastAsia="宋体" w:hAnsi="Times New Roman" w:cs="Times New Roman"/>
          <w:smallCaps/>
          <w:color w:val="000000" w:themeColor="text1"/>
          <w:sz w:val="24"/>
          <w:szCs w:val="24"/>
        </w:rPr>
        <w:t>#</w:t>
      </w:r>
      <w:r>
        <w:rPr>
          <w:rFonts w:ascii="Times New Roman" w:eastAsia="宋体" w:hAnsi="Times New Roman" w:cs="Times New Roman" w:hint="eastAsia"/>
          <w:smallCaps/>
          <w:color w:val="000000" w:themeColor="text1"/>
          <w:sz w:val="24"/>
          <w:szCs w:val="24"/>
        </w:rPr>
        <w:t>排气筒氮氧化物</w:t>
      </w:r>
      <w:r>
        <w:rPr>
          <w:rFonts w:ascii="Times New Roman" w:eastAsia="宋体" w:hAnsi="Times New Roman" w:cs="Times New Roman"/>
          <w:smallCaps/>
          <w:color w:val="000000" w:themeColor="text1"/>
          <w:sz w:val="24"/>
          <w:szCs w:val="24"/>
        </w:rPr>
        <w:t>排放量</w:t>
      </w:r>
      <w:r>
        <w:rPr>
          <w:rFonts w:ascii="Times New Roman" w:eastAsia="宋体" w:hAnsi="Times New Roman" w:cs="Times New Roman" w:hint="eastAsia"/>
          <w:smallCaps/>
          <w:color w:val="000000" w:themeColor="text1"/>
          <w:sz w:val="24"/>
          <w:szCs w:val="24"/>
        </w:rPr>
        <w:t>超过正常工况，其余排气筒污染物产排情况与正常工况一直</w:t>
      </w:r>
      <w:r>
        <w:rPr>
          <w:rFonts w:ascii="Times New Roman" w:eastAsia="宋体" w:hAnsi="Times New Roman" w:cs="Times New Roman"/>
          <w:smallCaps/>
          <w:color w:val="000000" w:themeColor="text1"/>
          <w:sz w:val="24"/>
          <w:szCs w:val="24"/>
        </w:rPr>
        <w:t>，本情景预测</w:t>
      </w:r>
      <w:r>
        <w:rPr>
          <w:rFonts w:ascii="Times New Roman" w:eastAsia="宋体" w:hAnsi="Times New Roman" w:cs="Times New Roman" w:hint="eastAsia"/>
          <w:smallCaps/>
          <w:color w:val="000000" w:themeColor="text1"/>
          <w:sz w:val="24"/>
          <w:szCs w:val="24"/>
        </w:rPr>
        <w:t>NO</w:t>
      </w:r>
      <w:r>
        <w:rPr>
          <w:rFonts w:ascii="Times New Roman" w:eastAsia="宋体" w:hAnsi="Times New Roman" w:cs="Times New Roman" w:hint="eastAsia"/>
          <w:smallCaps/>
          <w:color w:val="000000" w:themeColor="text1"/>
          <w:sz w:val="24"/>
          <w:szCs w:val="24"/>
          <w:vertAlign w:val="subscript"/>
        </w:rPr>
        <w:t>X</w:t>
      </w:r>
      <w:r>
        <w:rPr>
          <w:rFonts w:ascii="Times New Roman" w:eastAsia="宋体" w:hAnsi="Times New Roman" w:cs="Times New Roman"/>
          <w:smallCaps/>
          <w:color w:val="000000" w:themeColor="text1"/>
          <w:sz w:val="24"/>
          <w:szCs w:val="24"/>
        </w:rPr>
        <w:t>非正常排放情况下对关心点及网格的影响，预测结果列于表</w:t>
      </w:r>
      <w:r>
        <w:rPr>
          <w:rFonts w:ascii="Times New Roman" w:eastAsia="宋体" w:hAnsi="Times New Roman" w:cs="Times New Roman"/>
          <w:smallCaps/>
          <w:color w:val="000000" w:themeColor="text1"/>
          <w:sz w:val="24"/>
          <w:szCs w:val="24"/>
        </w:rPr>
        <w:t>7.1-23</w:t>
      </w:r>
      <w:r>
        <w:rPr>
          <w:rFonts w:ascii="Times New Roman" w:eastAsia="宋体" w:hAnsi="Times New Roman" w:cs="Times New Roman"/>
          <w:smallCaps/>
          <w:color w:val="000000" w:themeColor="text1"/>
          <w:sz w:val="24"/>
          <w:szCs w:val="24"/>
        </w:rPr>
        <w:t>。</w:t>
      </w:r>
    </w:p>
    <w:p w:rsidR="00C861DA" w:rsidRDefault="0044752E">
      <w:pPr>
        <w:keepNext/>
        <w:keepLines/>
        <w:tabs>
          <w:tab w:val="left" w:pos="4860"/>
          <w:tab w:val="left" w:pos="5040"/>
        </w:tabs>
        <w:autoSpaceDE/>
        <w:autoSpaceDN/>
        <w:spacing w:beforeLines="100" w:before="312" w:line="360" w:lineRule="auto"/>
        <w:jc w:val="center"/>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表</w:t>
      </w:r>
      <w:r>
        <w:rPr>
          <w:rFonts w:ascii="Times New Roman" w:eastAsia="宋体" w:hAnsi="Times New Roman" w:cs="Times New Roman"/>
          <w:b/>
          <w:bCs/>
          <w:iCs/>
          <w:color w:val="000000" w:themeColor="text1"/>
          <w:sz w:val="24"/>
          <w:szCs w:val="24"/>
        </w:rPr>
        <w:t xml:space="preserve">7.1-23   </w:t>
      </w:r>
      <w:r>
        <w:rPr>
          <w:rFonts w:ascii="Times New Roman" w:eastAsia="宋体" w:hAnsi="Times New Roman" w:cs="Times New Roman" w:hint="eastAsia"/>
          <w:b/>
          <w:bCs/>
          <w:iCs/>
          <w:color w:val="000000" w:themeColor="text1"/>
          <w:sz w:val="24"/>
          <w:szCs w:val="24"/>
        </w:rPr>
        <w:t>氨在情景二下</w:t>
      </w:r>
      <w:r>
        <w:rPr>
          <w:rFonts w:ascii="Times New Roman" w:eastAsia="宋体" w:hAnsi="Times New Roman" w:cs="Times New Roman"/>
          <w:b/>
          <w:bCs/>
          <w:iCs/>
          <w:color w:val="000000" w:themeColor="text1"/>
          <w:sz w:val="24"/>
          <w:szCs w:val="24"/>
        </w:rPr>
        <w:t>对关心点及网格的影响预测结果</w:t>
      </w:r>
      <w:r>
        <w:rPr>
          <w:rFonts w:ascii="Times New Roman" w:eastAsia="宋体" w:hAnsi="Times New Roman" w:cs="Times New Roman" w:hint="eastAsia"/>
          <w:b/>
          <w:bCs/>
          <w:iCs/>
          <w:color w:val="000000" w:themeColor="text1"/>
          <w:sz w:val="24"/>
          <w:szCs w:val="24"/>
        </w:rPr>
        <w:t>（小时）</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14"/>
        <w:gridCol w:w="815"/>
        <w:gridCol w:w="1429"/>
        <w:gridCol w:w="982"/>
        <w:gridCol w:w="1112"/>
        <w:gridCol w:w="1015"/>
        <w:gridCol w:w="992"/>
        <w:gridCol w:w="992"/>
        <w:gridCol w:w="645"/>
      </w:tblGrid>
      <w:tr w:rsidR="00C861DA">
        <w:trPr>
          <w:trHeight w:val="373"/>
          <w:jc w:val="center"/>
        </w:trPr>
        <w:tc>
          <w:tcPr>
            <w:tcW w:w="314"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序号</w:t>
            </w:r>
          </w:p>
        </w:tc>
        <w:tc>
          <w:tcPr>
            <w:tcW w:w="815"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离散点</w:t>
            </w:r>
          </w:p>
        </w:tc>
        <w:tc>
          <w:tcPr>
            <w:tcW w:w="1429"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坐标（</w:t>
            </w:r>
            <w:r>
              <w:rPr>
                <w:rFonts w:ascii="Times New Roman" w:eastAsia="宋体" w:hAnsi="Times New Roman" w:cs="Times New Roman"/>
                <w:b/>
                <w:color w:val="000000" w:themeColor="text1"/>
                <w:sz w:val="18"/>
                <w:szCs w:val="18"/>
                <w:lang w:bidi="ar"/>
              </w:rPr>
              <w:t>x</w:t>
            </w:r>
            <w:r>
              <w:rPr>
                <w:rFonts w:ascii="Times New Roman" w:eastAsia="宋体" w:hAnsi="Times New Roman" w:cs="Times New Roman"/>
                <w:b/>
                <w:color w:val="000000" w:themeColor="text1"/>
                <w:sz w:val="18"/>
                <w:szCs w:val="18"/>
                <w:lang w:bidi="ar"/>
              </w:rPr>
              <w:t>，</w:t>
            </w:r>
            <w:r>
              <w:rPr>
                <w:rFonts w:ascii="Times New Roman" w:eastAsia="宋体" w:hAnsi="Times New Roman" w:cs="Times New Roman"/>
                <w:b/>
                <w:color w:val="000000" w:themeColor="text1"/>
                <w:sz w:val="18"/>
                <w:szCs w:val="18"/>
                <w:lang w:bidi="ar"/>
              </w:rPr>
              <w:t>y</w:t>
            </w:r>
            <w:r>
              <w:rPr>
                <w:rFonts w:ascii="Times New Roman" w:eastAsia="宋体" w:hAnsi="Times New Roman" w:cs="Times New Roman"/>
                <w:b/>
                <w:color w:val="000000" w:themeColor="text1"/>
                <w:sz w:val="18"/>
                <w:szCs w:val="18"/>
                <w:lang w:bidi="ar"/>
              </w:rPr>
              <w:t>，</w:t>
            </w:r>
            <w:r>
              <w:rPr>
                <w:rFonts w:ascii="Times New Roman" w:eastAsia="宋体" w:hAnsi="Times New Roman" w:cs="Times New Roman"/>
                <w:b/>
                <w:color w:val="000000" w:themeColor="text1"/>
                <w:sz w:val="18"/>
                <w:szCs w:val="18"/>
                <w:lang w:bidi="ar"/>
              </w:rPr>
              <w:t>z</w:t>
            </w:r>
            <w:r>
              <w:rPr>
                <w:rFonts w:ascii="Times New Roman" w:eastAsia="宋体" w:hAnsi="Times New Roman" w:cs="Times New Roman"/>
                <w:b/>
                <w:color w:val="000000" w:themeColor="text1"/>
                <w:sz w:val="18"/>
                <w:szCs w:val="18"/>
                <w:lang w:bidi="ar"/>
              </w:rPr>
              <w:t>）</w:t>
            </w:r>
          </w:p>
        </w:tc>
        <w:tc>
          <w:tcPr>
            <w:tcW w:w="982"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lang w:bidi="ar"/>
              </w:rPr>
            </w:pPr>
            <w:r>
              <w:rPr>
                <w:rFonts w:ascii="Times New Roman" w:eastAsia="宋体" w:hAnsi="Times New Roman" w:cs="Times New Roman"/>
                <w:b/>
                <w:color w:val="000000" w:themeColor="text1"/>
                <w:sz w:val="18"/>
                <w:szCs w:val="18"/>
                <w:lang w:bidi="ar"/>
              </w:rPr>
              <w:t>贡献值</w:t>
            </w:r>
          </w:p>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w:t>
            </w:r>
            <w:r>
              <w:rPr>
                <w:rFonts w:ascii="Times New Roman" w:eastAsia="宋体" w:hAnsi="Times New Roman" w:cs="Times New Roman"/>
                <w:b/>
                <w:color w:val="000000" w:themeColor="text1"/>
                <w:sz w:val="18"/>
                <w:szCs w:val="18"/>
                <w:lang w:bidi="ar"/>
              </w:rPr>
              <w:t>mg/m</w:t>
            </w:r>
            <w:r>
              <w:rPr>
                <w:rFonts w:ascii="Times New Roman" w:eastAsia="宋体" w:hAnsi="Times New Roman" w:cs="Times New Roman"/>
                <w:b/>
                <w:color w:val="000000" w:themeColor="text1"/>
                <w:sz w:val="18"/>
                <w:szCs w:val="18"/>
                <w:vertAlign w:val="superscript"/>
                <w:lang w:bidi="ar"/>
              </w:rPr>
              <w:t>3</w:t>
            </w:r>
            <w:r>
              <w:rPr>
                <w:rFonts w:ascii="Times New Roman" w:eastAsia="宋体" w:hAnsi="Times New Roman" w:cs="Times New Roman"/>
                <w:b/>
                <w:color w:val="000000" w:themeColor="text1"/>
                <w:sz w:val="18"/>
                <w:szCs w:val="18"/>
                <w:lang w:bidi="ar"/>
              </w:rPr>
              <w:t>）</w:t>
            </w:r>
          </w:p>
        </w:tc>
        <w:tc>
          <w:tcPr>
            <w:tcW w:w="1112"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背景值（</w:t>
            </w:r>
            <w:r>
              <w:rPr>
                <w:rFonts w:ascii="Times New Roman" w:eastAsia="宋体" w:hAnsi="Times New Roman" w:cs="Times New Roman"/>
                <w:b/>
                <w:color w:val="000000" w:themeColor="text1"/>
                <w:sz w:val="18"/>
                <w:szCs w:val="18"/>
                <w:lang w:bidi="ar"/>
              </w:rPr>
              <w:t>mg/m</w:t>
            </w:r>
            <w:r>
              <w:rPr>
                <w:rFonts w:ascii="Times New Roman" w:eastAsia="宋体" w:hAnsi="Times New Roman" w:cs="Times New Roman"/>
                <w:b/>
                <w:color w:val="000000" w:themeColor="text1"/>
                <w:sz w:val="18"/>
                <w:szCs w:val="18"/>
                <w:vertAlign w:val="superscript"/>
                <w:lang w:bidi="ar"/>
              </w:rPr>
              <w:t>3</w:t>
            </w:r>
            <w:r>
              <w:rPr>
                <w:rFonts w:ascii="Times New Roman" w:eastAsia="宋体" w:hAnsi="Times New Roman" w:cs="Times New Roman"/>
                <w:b/>
                <w:color w:val="000000" w:themeColor="text1"/>
                <w:sz w:val="18"/>
                <w:szCs w:val="18"/>
                <w:lang w:bidi="ar"/>
              </w:rPr>
              <w:t>）</w:t>
            </w:r>
          </w:p>
        </w:tc>
        <w:tc>
          <w:tcPr>
            <w:tcW w:w="1015"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预测值（</w:t>
            </w:r>
            <w:r>
              <w:rPr>
                <w:rFonts w:ascii="Times New Roman" w:eastAsia="宋体" w:hAnsi="Times New Roman" w:cs="Times New Roman"/>
                <w:b/>
                <w:color w:val="000000" w:themeColor="text1"/>
                <w:sz w:val="18"/>
                <w:szCs w:val="18"/>
                <w:lang w:bidi="ar"/>
              </w:rPr>
              <w:t>mg/m</w:t>
            </w:r>
            <w:r>
              <w:rPr>
                <w:rFonts w:ascii="Times New Roman" w:eastAsia="宋体" w:hAnsi="Times New Roman" w:cs="Times New Roman"/>
                <w:b/>
                <w:color w:val="000000" w:themeColor="text1"/>
                <w:sz w:val="18"/>
                <w:szCs w:val="18"/>
                <w:vertAlign w:val="superscript"/>
                <w:lang w:bidi="ar"/>
              </w:rPr>
              <w:t>3</w:t>
            </w:r>
            <w:r>
              <w:rPr>
                <w:rFonts w:ascii="Times New Roman" w:eastAsia="宋体" w:hAnsi="Times New Roman" w:cs="Times New Roman"/>
                <w:b/>
                <w:color w:val="000000" w:themeColor="text1"/>
                <w:sz w:val="18"/>
                <w:szCs w:val="18"/>
                <w:lang w:bidi="ar"/>
              </w:rPr>
              <w:t>）</w:t>
            </w:r>
          </w:p>
        </w:tc>
        <w:tc>
          <w:tcPr>
            <w:tcW w:w="992"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标准值（</w:t>
            </w:r>
            <w:r>
              <w:rPr>
                <w:rFonts w:ascii="Times New Roman" w:eastAsia="宋体" w:hAnsi="Times New Roman" w:cs="Times New Roman"/>
                <w:b/>
                <w:color w:val="000000" w:themeColor="text1"/>
                <w:sz w:val="18"/>
                <w:szCs w:val="18"/>
                <w:lang w:bidi="ar"/>
              </w:rPr>
              <w:t>mg/m</w:t>
            </w:r>
            <w:r>
              <w:rPr>
                <w:rFonts w:ascii="Times New Roman" w:eastAsia="宋体" w:hAnsi="Times New Roman" w:cs="Times New Roman"/>
                <w:b/>
                <w:color w:val="000000" w:themeColor="text1"/>
                <w:sz w:val="18"/>
                <w:szCs w:val="18"/>
                <w:vertAlign w:val="superscript"/>
                <w:lang w:bidi="ar"/>
              </w:rPr>
              <w:t>3</w:t>
            </w:r>
            <w:r>
              <w:rPr>
                <w:rFonts w:ascii="Times New Roman" w:eastAsia="宋体" w:hAnsi="Times New Roman" w:cs="Times New Roman"/>
                <w:b/>
                <w:color w:val="000000" w:themeColor="text1"/>
                <w:sz w:val="18"/>
                <w:szCs w:val="18"/>
                <w:lang w:bidi="ar"/>
              </w:rPr>
              <w:t>）</w:t>
            </w:r>
          </w:p>
        </w:tc>
        <w:tc>
          <w:tcPr>
            <w:tcW w:w="992"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占标率（</w:t>
            </w:r>
            <w:r>
              <w:rPr>
                <w:rFonts w:ascii="Times New Roman" w:eastAsia="宋体" w:hAnsi="Times New Roman" w:cs="Times New Roman"/>
                <w:b/>
                <w:color w:val="000000" w:themeColor="text1"/>
                <w:sz w:val="18"/>
                <w:szCs w:val="18"/>
                <w:lang w:bidi="ar"/>
              </w:rPr>
              <w:t>%</w:t>
            </w:r>
            <w:r>
              <w:rPr>
                <w:rFonts w:ascii="Times New Roman" w:eastAsia="宋体" w:hAnsi="Times New Roman" w:cs="Times New Roman"/>
                <w:b/>
                <w:color w:val="000000" w:themeColor="text1"/>
                <w:sz w:val="18"/>
                <w:szCs w:val="18"/>
                <w:lang w:bidi="ar"/>
              </w:rPr>
              <w:t>）</w:t>
            </w:r>
          </w:p>
        </w:tc>
        <w:tc>
          <w:tcPr>
            <w:tcW w:w="645"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lang w:bidi="ar"/>
              </w:rPr>
            </w:pPr>
            <w:r>
              <w:rPr>
                <w:rFonts w:ascii="Times New Roman" w:eastAsia="宋体" w:hAnsi="Times New Roman" w:cs="Times New Roman"/>
                <w:b/>
                <w:color w:val="000000" w:themeColor="text1"/>
                <w:sz w:val="18"/>
                <w:szCs w:val="18"/>
                <w:lang w:bidi="ar"/>
              </w:rPr>
              <w:t>达标</w:t>
            </w:r>
          </w:p>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情况</w:t>
            </w:r>
          </w:p>
        </w:tc>
      </w:tr>
      <w:tr w:rsidR="00C861DA">
        <w:trPr>
          <w:trHeight w:val="373"/>
          <w:jc w:val="center"/>
        </w:trPr>
        <w:tc>
          <w:tcPr>
            <w:tcW w:w="31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1</w:t>
            </w:r>
          </w:p>
        </w:tc>
        <w:tc>
          <w:tcPr>
            <w:tcW w:w="8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下禄脿村</w:t>
            </w:r>
          </w:p>
        </w:tc>
        <w:tc>
          <w:tcPr>
            <w:tcW w:w="142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585.59,259.62,</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2105.77</w:t>
            </w:r>
          </w:p>
        </w:tc>
        <w:tc>
          <w:tcPr>
            <w:tcW w:w="98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hAnsi="Times New Roman" w:cs="Times New Roman"/>
                <w:color w:val="000000" w:themeColor="text1"/>
                <w:sz w:val="18"/>
                <w:szCs w:val="18"/>
              </w:rPr>
              <w:t>0.044375</w:t>
            </w:r>
          </w:p>
        </w:tc>
        <w:tc>
          <w:tcPr>
            <w:tcW w:w="111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0.020</w:t>
            </w:r>
          </w:p>
        </w:tc>
        <w:tc>
          <w:tcPr>
            <w:tcW w:w="10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0.064375</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0.2</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32.1875</w:t>
            </w:r>
          </w:p>
        </w:tc>
        <w:tc>
          <w:tcPr>
            <w:tcW w:w="645"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1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w:t>
            </w:r>
          </w:p>
        </w:tc>
        <w:tc>
          <w:tcPr>
            <w:tcW w:w="8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大哨村</w:t>
            </w:r>
          </w:p>
        </w:tc>
        <w:tc>
          <w:tcPr>
            <w:tcW w:w="142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-344,-976,</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2006.54</w:t>
            </w:r>
          </w:p>
        </w:tc>
        <w:tc>
          <w:tcPr>
            <w:tcW w:w="98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hAnsi="Times New Roman" w:cs="Times New Roman"/>
                <w:color w:val="000000" w:themeColor="text1"/>
                <w:sz w:val="18"/>
                <w:szCs w:val="18"/>
              </w:rPr>
              <w:t>0.05082</w:t>
            </w:r>
          </w:p>
        </w:tc>
        <w:tc>
          <w:tcPr>
            <w:tcW w:w="111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0.020</w:t>
            </w:r>
          </w:p>
        </w:tc>
        <w:tc>
          <w:tcPr>
            <w:tcW w:w="10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0.07082</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0.2</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35.41</w:t>
            </w:r>
          </w:p>
        </w:tc>
        <w:tc>
          <w:tcPr>
            <w:tcW w:w="645"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1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3</w:t>
            </w:r>
          </w:p>
        </w:tc>
        <w:tc>
          <w:tcPr>
            <w:tcW w:w="8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多依树村</w:t>
            </w:r>
          </w:p>
        </w:tc>
        <w:tc>
          <w:tcPr>
            <w:tcW w:w="142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-349.65,479.97,</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2059.19</w:t>
            </w:r>
          </w:p>
        </w:tc>
        <w:tc>
          <w:tcPr>
            <w:tcW w:w="98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hAnsi="Times New Roman" w:cs="Times New Roman"/>
                <w:color w:val="000000" w:themeColor="text1"/>
                <w:sz w:val="18"/>
                <w:szCs w:val="18"/>
              </w:rPr>
              <w:t>0.025831</w:t>
            </w:r>
          </w:p>
        </w:tc>
        <w:tc>
          <w:tcPr>
            <w:tcW w:w="111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0.020</w:t>
            </w:r>
          </w:p>
        </w:tc>
        <w:tc>
          <w:tcPr>
            <w:tcW w:w="10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0.045831</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0.2</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22.9155</w:t>
            </w:r>
          </w:p>
        </w:tc>
        <w:tc>
          <w:tcPr>
            <w:tcW w:w="645"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1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4</w:t>
            </w:r>
          </w:p>
        </w:tc>
        <w:tc>
          <w:tcPr>
            <w:tcW w:w="8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白塔村</w:t>
            </w:r>
          </w:p>
        </w:tc>
        <w:tc>
          <w:tcPr>
            <w:tcW w:w="142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-101.79,480,</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2071.56</w:t>
            </w:r>
          </w:p>
        </w:tc>
        <w:tc>
          <w:tcPr>
            <w:tcW w:w="98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hAnsi="Times New Roman" w:cs="Times New Roman"/>
                <w:color w:val="000000" w:themeColor="text1"/>
                <w:sz w:val="18"/>
                <w:szCs w:val="18"/>
              </w:rPr>
              <w:t>0.055717</w:t>
            </w:r>
          </w:p>
        </w:tc>
        <w:tc>
          <w:tcPr>
            <w:tcW w:w="111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0.034</w:t>
            </w:r>
          </w:p>
        </w:tc>
        <w:tc>
          <w:tcPr>
            <w:tcW w:w="10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0.089717</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0.2</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44.8585</w:t>
            </w:r>
          </w:p>
        </w:tc>
        <w:tc>
          <w:tcPr>
            <w:tcW w:w="645"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1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5</w:t>
            </w:r>
          </w:p>
        </w:tc>
        <w:tc>
          <w:tcPr>
            <w:tcW w:w="8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李白村</w:t>
            </w:r>
          </w:p>
        </w:tc>
        <w:tc>
          <w:tcPr>
            <w:tcW w:w="142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585.59,259.62,</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2105.77</w:t>
            </w:r>
          </w:p>
        </w:tc>
        <w:tc>
          <w:tcPr>
            <w:tcW w:w="98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hAnsi="Times New Roman" w:cs="Times New Roman"/>
                <w:color w:val="000000" w:themeColor="text1"/>
                <w:sz w:val="18"/>
                <w:szCs w:val="18"/>
              </w:rPr>
              <w:t>0.022703</w:t>
            </w:r>
          </w:p>
        </w:tc>
        <w:tc>
          <w:tcPr>
            <w:tcW w:w="111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0.028</w:t>
            </w:r>
          </w:p>
        </w:tc>
        <w:tc>
          <w:tcPr>
            <w:tcW w:w="10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0.050703</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0.2</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25.3515</w:t>
            </w:r>
          </w:p>
        </w:tc>
        <w:tc>
          <w:tcPr>
            <w:tcW w:w="645"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1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6</w:t>
            </w:r>
          </w:p>
        </w:tc>
        <w:tc>
          <w:tcPr>
            <w:tcW w:w="8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河上庄</w:t>
            </w:r>
          </w:p>
        </w:tc>
        <w:tc>
          <w:tcPr>
            <w:tcW w:w="142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-344,-976,</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2006.54</w:t>
            </w:r>
          </w:p>
        </w:tc>
        <w:tc>
          <w:tcPr>
            <w:tcW w:w="98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hAnsi="Times New Roman" w:cs="Times New Roman"/>
                <w:color w:val="000000" w:themeColor="text1"/>
                <w:sz w:val="18"/>
                <w:szCs w:val="18"/>
              </w:rPr>
              <w:t>0.012458</w:t>
            </w:r>
          </w:p>
        </w:tc>
        <w:tc>
          <w:tcPr>
            <w:tcW w:w="111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0.039</w:t>
            </w:r>
          </w:p>
        </w:tc>
        <w:tc>
          <w:tcPr>
            <w:tcW w:w="10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0.051458</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0.2</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25.729</w:t>
            </w:r>
          </w:p>
        </w:tc>
        <w:tc>
          <w:tcPr>
            <w:tcW w:w="645"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1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7</w:t>
            </w:r>
          </w:p>
        </w:tc>
        <w:tc>
          <w:tcPr>
            <w:tcW w:w="8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网格点</w:t>
            </w:r>
          </w:p>
        </w:tc>
        <w:tc>
          <w:tcPr>
            <w:tcW w:w="142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-101.79,480,</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2071.56</w:t>
            </w:r>
          </w:p>
        </w:tc>
        <w:tc>
          <w:tcPr>
            <w:tcW w:w="982" w:type="dxa"/>
            <w:vAlign w:val="center"/>
          </w:tcPr>
          <w:p w:rsidR="00C861DA" w:rsidRDefault="0044752E">
            <w:pPr>
              <w:widowControl/>
              <w:jc w:val="center"/>
              <w:textAlignment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2.525301</w:t>
            </w:r>
          </w:p>
        </w:tc>
        <w:tc>
          <w:tcPr>
            <w:tcW w:w="111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0.020</w:t>
            </w:r>
          </w:p>
        </w:tc>
        <w:tc>
          <w:tcPr>
            <w:tcW w:w="10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2.545301</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0.2</w:t>
            </w:r>
          </w:p>
        </w:tc>
        <w:tc>
          <w:tcPr>
            <w:tcW w:w="992"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等线" w:hAnsi="Times New Roman" w:cs="Times New Roman"/>
                <w:color w:val="000000" w:themeColor="text1"/>
                <w:sz w:val="18"/>
                <w:szCs w:val="18"/>
              </w:rPr>
              <w:t>1272.651</w:t>
            </w:r>
          </w:p>
        </w:tc>
        <w:tc>
          <w:tcPr>
            <w:tcW w:w="645"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超标</w:t>
            </w:r>
          </w:p>
        </w:tc>
      </w:tr>
    </w:tbl>
    <w:p w:rsidR="00C861DA" w:rsidRDefault="0044752E">
      <w:pPr>
        <w:keepNext/>
        <w:keepLines/>
        <w:tabs>
          <w:tab w:val="left" w:pos="4860"/>
          <w:tab w:val="left" w:pos="5040"/>
        </w:tabs>
        <w:autoSpaceDE/>
        <w:autoSpaceDN/>
        <w:spacing w:beforeLines="100" w:before="312" w:line="360" w:lineRule="auto"/>
        <w:jc w:val="center"/>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表</w:t>
      </w:r>
      <w:r>
        <w:rPr>
          <w:rFonts w:ascii="Times New Roman" w:eastAsia="宋体" w:hAnsi="Times New Roman" w:cs="Times New Roman"/>
          <w:b/>
          <w:bCs/>
          <w:iCs/>
          <w:color w:val="000000" w:themeColor="text1"/>
          <w:sz w:val="24"/>
          <w:szCs w:val="24"/>
        </w:rPr>
        <w:t xml:space="preserve">7.1-24   </w:t>
      </w:r>
      <w:r>
        <w:rPr>
          <w:rFonts w:ascii="Times New Roman" w:eastAsia="宋体" w:hAnsi="Times New Roman" w:cs="Times New Roman" w:hint="eastAsia"/>
          <w:b/>
          <w:bCs/>
          <w:iCs/>
          <w:color w:val="000000" w:themeColor="text1"/>
          <w:sz w:val="24"/>
          <w:szCs w:val="24"/>
        </w:rPr>
        <w:t>颗粒物在情景一下</w:t>
      </w:r>
      <w:r>
        <w:rPr>
          <w:rFonts w:ascii="Times New Roman" w:eastAsia="宋体" w:hAnsi="Times New Roman" w:cs="Times New Roman"/>
          <w:b/>
          <w:bCs/>
          <w:iCs/>
          <w:color w:val="000000" w:themeColor="text1"/>
          <w:sz w:val="24"/>
          <w:szCs w:val="24"/>
        </w:rPr>
        <w:t>对关心点及网格的影响预测结果</w:t>
      </w:r>
      <w:r>
        <w:rPr>
          <w:rFonts w:ascii="Times New Roman" w:eastAsia="宋体" w:hAnsi="Times New Roman" w:cs="Times New Roman" w:hint="eastAsia"/>
          <w:b/>
          <w:bCs/>
          <w:iCs/>
          <w:color w:val="000000" w:themeColor="text1"/>
          <w:sz w:val="24"/>
          <w:szCs w:val="24"/>
        </w:rPr>
        <w:t>（日均）</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16"/>
        <w:gridCol w:w="815"/>
        <w:gridCol w:w="1429"/>
        <w:gridCol w:w="1123"/>
        <w:gridCol w:w="969"/>
        <w:gridCol w:w="1014"/>
        <w:gridCol w:w="1135"/>
        <w:gridCol w:w="850"/>
        <w:gridCol w:w="645"/>
      </w:tblGrid>
      <w:tr w:rsidR="00C861DA">
        <w:trPr>
          <w:trHeight w:val="373"/>
          <w:jc w:val="center"/>
        </w:trPr>
        <w:tc>
          <w:tcPr>
            <w:tcW w:w="316"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序号</w:t>
            </w:r>
          </w:p>
        </w:tc>
        <w:tc>
          <w:tcPr>
            <w:tcW w:w="815"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离散点</w:t>
            </w:r>
          </w:p>
        </w:tc>
        <w:tc>
          <w:tcPr>
            <w:tcW w:w="1429"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坐标（</w:t>
            </w:r>
            <w:r>
              <w:rPr>
                <w:rFonts w:ascii="Times New Roman" w:eastAsia="宋体" w:hAnsi="Times New Roman" w:cs="Times New Roman"/>
                <w:b/>
                <w:color w:val="000000" w:themeColor="text1"/>
                <w:sz w:val="18"/>
                <w:szCs w:val="18"/>
                <w:lang w:bidi="ar"/>
              </w:rPr>
              <w:t>x</w:t>
            </w:r>
            <w:r>
              <w:rPr>
                <w:rFonts w:ascii="Times New Roman" w:eastAsia="宋体" w:hAnsi="Times New Roman" w:cs="Times New Roman"/>
                <w:b/>
                <w:color w:val="000000" w:themeColor="text1"/>
                <w:sz w:val="18"/>
                <w:szCs w:val="18"/>
                <w:lang w:bidi="ar"/>
              </w:rPr>
              <w:t>，</w:t>
            </w:r>
            <w:r>
              <w:rPr>
                <w:rFonts w:ascii="Times New Roman" w:eastAsia="宋体" w:hAnsi="Times New Roman" w:cs="Times New Roman"/>
                <w:b/>
                <w:color w:val="000000" w:themeColor="text1"/>
                <w:sz w:val="18"/>
                <w:szCs w:val="18"/>
                <w:lang w:bidi="ar"/>
              </w:rPr>
              <w:t>y</w:t>
            </w:r>
            <w:r>
              <w:rPr>
                <w:rFonts w:ascii="Times New Roman" w:eastAsia="宋体" w:hAnsi="Times New Roman" w:cs="Times New Roman"/>
                <w:b/>
                <w:color w:val="000000" w:themeColor="text1"/>
                <w:sz w:val="18"/>
                <w:szCs w:val="18"/>
                <w:lang w:bidi="ar"/>
              </w:rPr>
              <w:t>，</w:t>
            </w:r>
            <w:r>
              <w:rPr>
                <w:rFonts w:ascii="Times New Roman" w:eastAsia="宋体" w:hAnsi="Times New Roman" w:cs="Times New Roman"/>
                <w:b/>
                <w:color w:val="000000" w:themeColor="text1"/>
                <w:sz w:val="18"/>
                <w:szCs w:val="18"/>
                <w:lang w:bidi="ar"/>
              </w:rPr>
              <w:t>z</w:t>
            </w:r>
            <w:r>
              <w:rPr>
                <w:rFonts w:ascii="Times New Roman" w:eastAsia="宋体" w:hAnsi="Times New Roman" w:cs="Times New Roman"/>
                <w:b/>
                <w:color w:val="000000" w:themeColor="text1"/>
                <w:sz w:val="18"/>
                <w:szCs w:val="18"/>
                <w:lang w:bidi="ar"/>
              </w:rPr>
              <w:t>）</w:t>
            </w:r>
          </w:p>
        </w:tc>
        <w:tc>
          <w:tcPr>
            <w:tcW w:w="1123"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lang w:bidi="ar"/>
              </w:rPr>
            </w:pPr>
            <w:r>
              <w:rPr>
                <w:rFonts w:ascii="Times New Roman" w:eastAsia="宋体" w:hAnsi="Times New Roman" w:cs="Times New Roman"/>
                <w:b/>
                <w:color w:val="000000" w:themeColor="text1"/>
                <w:sz w:val="18"/>
                <w:szCs w:val="18"/>
                <w:lang w:bidi="ar"/>
              </w:rPr>
              <w:t>贡献值</w:t>
            </w:r>
          </w:p>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w:t>
            </w:r>
            <w:r>
              <w:rPr>
                <w:rFonts w:ascii="Times New Roman" w:eastAsia="宋体" w:hAnsi="Times New Roman" w:cs="Times New Roman"/>
                <w:b/>
                <w:color w:val="000000" w:themeColor="text1"/>
                <w:sz w:val="18"/>
                <w:szCs w:val="18"/>
                <w:lang w:bidi="ar"/>
              </w:rPr>
              <w:t>mg/m</w:t>
            </w:r>
            <w:r>
              <w:rPr>
                <w:rFonts w:ascii="Times New Roman" w:eastAsia="宋体" w:hAnsi="Times New Roman" w:cs="Times New Roman"/>
                <w:b/>
                <w:color w:val="000000" w:themeColor="text1"/>
                <w:sz w:val="18"/>
                <w:szCs w:val="18"/>
                <w:vertAlign w:val="superscript"/>
                <w:lang w:bidi="ar"/>
              </w:rPr>
              <w:t>3</w:t>
            </w:r>
            <w:r>
              <w:rPr>
                <w:rFonts w:ascii="Times New Roman" w:eastAsia="宋体" w:hAnsi="Times New Roman" w:cs="Times New Roman"/>
                <w:b/>
                <w:color w:val="000000" w:themeColor="text1"/>
                <w:sz w:val="18"/>
                <w:szCs w:val="18"/>
                <w:lang w:bidi="ar"/>
              </w:rPr>
              <w:t>）</w:t>
            </w:r>
          </w:p>
        </w:tc>
        <w:tc>
          <w:tcPr>
            <w:tcW w:w="969"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背景值（</w:t>
            </w:r>
            <w:r>
              <w:rPr>
                <w:rFonts w:ascii="Times New Roman" w:eastAsia="宋体" w:hAnsi="Times New Roman" w:cs="Times New Roman"/>
                <w:b/>
                <w:color w:val="000000" w:themeColor="text1"/>
                <w:sz w:val="18"/>
                <w:szCs w:val="18"/>
                <w:lang w:bidi="ar"/>
              </w:rPr>
              <w:t>mg/m</w:t>
            </w:r>
            <w:r>
              <w:rPr>
                <w:rFonts w:ascii="Times New Roman" w:eastAsia="宋体" w:hAnsi="Times New Roman" w:cs="Times New Roman"/>
                <w:b/>
                <w:color w:val="000000" w:themeColor="text1"/>
                <w:sz w:val="18"/>
                <w:szCs w:val="18"/>
                <w:vertAlign w:val="superscript"/>
                <w:lang w:bidi="ar"/>
              </w:rPr>
              <w:t>3</w:t>
            </w:r>
            <w:r>
              <w:rPr>
                <w:rFonts w:ascii="Times New Roman" w:eastAsia="宋体" w:hAnsi="Times New Roman" w:cs="Times New Roman"/>
                <w:b/>
                <w:color w:val="000000" w:themeColor="text1"/>
                <w:sz w:val="18"/>
                <w:szCs w:val="18"/>
                <w:lang w:bidi="ar"/>
              </w:rPr>
              <w:t>）</w:t>
            </w:r>
          </w:p>
        </w:tc>
        <w:tc>
          <w:tcPr>
            <w:tcW w:w="1014"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预测值（</w:t>
            </w:r>
            <w:r>
              <w:rPr>
                <w:rFonts w:ascii="Times New Roman" w:eastAsia="宋体" w:hAnsi="Times New Roman" w:cs="Times New Roman"/>
                <w:b/>
                <w:color w:val="000000" w:themeColor="text1"/>
                <w:sz w:val="18"/>
                <w:szCs w:val="18"/>
                <w:lang w:bidi="ar"/>
              </w:rPr>
              <w:t>mg/m</w:t>
            </w:r>
            <w:r>
              <w:rPr>
                <w:rFonts w:ascii="Times New Roman" w:eastAsia="宋体" w:hAnsi="Times New Roman" w:cs="Times New Roman"/>
                <w:b/>
                <w:color w:val="000000" w:themeColor="text1"/>
                <w:sz w:val="18"/>
                <w:szCs w:val="18"/>
                <w:vertAlign w:val="superscript"/>
                <w:lang w:bidi="ar"/>
              </w:rPr>
              <w:t>3</w:t>
            </w:r>
            <w:r>
              <w:rPr>
                <w:rFonts w:ascii="Times New Roman" w:eastAsia="宋体" w:hAnsi="Times New Roman" w:cs="Times New Roman"/>
                <w:b/>
                <w:color w:val="000000" w:themeColor="text1"/>
                <w:sz w:val="18"/>
                <w:szCs w:val="18"/>
                <w:lang w:bidi="ar"/>
              </w:rPr>
              <w:t>）</w:t>
            </w:r>
          </w:p>
        </w:tc>
        <w:tc>
          <w:tcPr>
            <w:tcW w:w="1135"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标准值（</w:t>
            </w:r>
            <w:r>
              <w:rPr>
                <w:rFonts w:ascii="Times New Roman" w:eastAsia="宋体" w:hAnsi="Times New Roman" w:cs="Times New Roman"/>
                <w:b/>
                <w:color w:val="000000" w:themeColor="text1"/>
                <w:sz w:val="18"/>
                <w:szCs w:val="18"/>
                <w:lang w:bidi="ar"/>
              </w:rPr>
              <w:t>mg/m</w:t>
            </w:r>
            <w:r>
              <w:rPr>
                <w:rFonts w:ascii="Times New Roman" w:eastAsia="宋体" w:hAnsi="Times New Roman" w:cs="Times New Roman"/>
                <w:b/>
                <w:color w:val="000000" w:themeColor="text1"/>
                <w:sz w:val="18"/>
                <w:szCs w:val="18"/>
                <w:vertAlign w:val="superscript"/>
                <w:lang w:bidi="ar"/>
              </w:rPr>
              <w:t>3</w:t>
            </w:r>
            <w:r>
              <w:rPr>
                <w:rFonts w:ascii="Times New Roman" w:eastAsia="宋体" w:hAnsi="Times New Roman" w:cs="Times New Roman"/>
                <w:b/>
                <w:color w:val="000000" w:themeColor="text1"/>
                <w:sz w:val="18"/>
                <w:szCs w:val="18"/>
                <w:lang w:bidi="ar"/>
              </w:rPr>
              <w:t>）</w:t>
            </w:r>
          </w:p>
        </w:tc>
        <w:tc>
          <w:tcPr>
            <w:tcW w:w="850"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占标率（</w:t>
            </w:r>
            <w:r>
              <w:rPr>
                <w:rFonts w:ascii="Times New Roman" w:eastAsia="宋体" w:hAnsi="Times New Roman" w:cs="Times New Roman"/>
                <w:b/>
                <w:color w:val="000000" w:themeColor="text1"/>
                <w:sz w:val="18"/>
                <w:szCs w:val="18"/>
                <w:lang w:bidi="ar"/>
              </w:rPr>
              <w:t>%</w:t>
            </w:r>
            <w:r>
              <w:rPr>
                <w:rFonts w:ascii="Times New Roman" w:eastAsia="宋体" w:hAnsi="Times New Roman" w:cs="Times New Roman"/>
                <w:b/>
                <w:color w:val="000000" w:themeColor="text1"/>
                <w:sz w:val="18"/>
                <w:szCs w:val="18"/>
                <w:lang w:bidi="ar"/>
              </w:rPr>
              <w:t>）</w:t>
            </w:r>
          </w:p>
        </w:tc>
        <w:tc>
          <w:tcPr>
            <w:tcW w:w="645" w:type="dxa"/>
            <w:vAlign w:val="center"/>
          </w:tcPr>
          <w:p w:rsidR="00C861DA" w:rsidRDefault="0044752E">
            <w:pPr>
              <w:widowControl/>
              <w:jc w:val="center"/>
              <w:textAlignment w:val="center"/>
              <w:rPr>
                <w:rFonts w:ascii="Times New Roman" w:eastAsia="宋体" w:hAnsi="Times New Roman" w:cs="Times New Roman"/>
                <w:b/>
                <w:color w:val="000000" w:themeColor="text1"/>
                <w:sz w:val="18"/>
                <w:szCs w:val="18"/>
                <w:lang w:bidi="ar"/>
              </w:rPr>
            </w:pPr>
            <w:r>
              <w:rPr>
                <w:rFonts w:ascii="Times New Roman" w:eastAsia="宋体" w:hAnsi="Times New Roman" w:cs="Times New Roman"/>
                <w:b/>
                <w:color w:val="000000" w:themeColor="text1"/>
                <w:sz w:val="18"/>
                <w:szCs w:val="18"/>
                <w:lang w:bidi="ar"/>
              </w:rPr>
              <w:t>达标</w:t>
            </w:r>
          </w:p>
          <w:p w:rsidR="00C861DA" w:rsidRDefault="0044752E">
            <w:pPr>
              <w:widowControl/>
              <w:jc w:val="center"/>
              <w:textAlignment w:val="center"/>
              <w:rPr>
                <w:rFonts w:ascii="Times New Roman" w:eastAsia="宋体" w:hAnsi="Times New Roman" w:cs="Times New Roman"/>
                <w:b/>
                <w:color w:val="000000" w:themeColor="text1"/>
                <w:sz w:val="18"/>
                <w:szCs w:val="18"/>
              </w:rPr>
            </w:pPr>
            <w:r>
              <w:rPr>
                <w:rFonts w:ascii="Times New Roman" w:eastAsia="宋体" w:hAnsi="Times New Roman" w:cs="Times New Roman"/>
                <w:b/>
                <w:color w:val="000000" w:themeColor="text1"/>
                <w:sz w:val="18"/>
                <w:szCs w:val="18"/>
                <w:lang w:bidi="ar"/>
              </w:rPr>
              <w:t>情况</w:t>
            </w:r>
          </w:p>
        </w:tc>
      </w:tr>
      <w:tr w:rsidR="00C861DA">
        <w:trPr>
          <w:trHeight w:val="373"/>
          <w:jc w:val="center"/>
        </w:trPr>
        <w:tc>
          <w:tcPr>
            <w:tcW w:w="316"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1</w:t>
            </w:r>
          </w:p>
        </w:tc>
        <w:tc>
          <w:tcPr>
            <w:tcW w:w="8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下禄脿村</w:t>
            </w:r>
          </w:p>
        </w:tc>
        <w:tc>
          <w:tcPr>
            <w:tcW w:w="142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585.59,259.62,</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2105.77</w:t>
            </w:r>
          </w:p>
        </w:tc>
        <w:tc>
          <w:tcPr>
            <w:tcW w:w="1123"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9.48459</w:t>
            </w:r>
          </w:p>
        </w:tc>
        <w:tc>
          <w:tcPr>
            <w:tcW w:w="96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58</w:t>
            </w:r>
          </w:p>
        </w:tc>
        <w:tc>
          <w:tcPr>
            <w:tcW w:w="101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67.48459</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150</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44.98973</w:t>
            </w:r>
          </w:p>
        </w:tc>
        <w:tc>
          <w:tcPr>
            <w:tcW w:w="645"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16"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w:t>
            </w:r>
          </w:p>
        </w:tc>
        <w:tc>
          <w:tcPr>
            <w:tcW w:w="8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大哨村</w:t>
            </w:r>
          </w:p>
        </w:tc>
        <w:tc>
          <w:tcPr>
            <w:tcW w:w="142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-344,-976,</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2006.54</w:t>
            </w:r>
          </w:p>
        </w:tc>
        <w:tc>
          <w:tcPr>
            <w:tcW w:w="1123"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54.63359</w:t>
            </w:r>
          </w:p>
        </w:tc>
        <w:tc>
          <w:tcPr>
            <w:tcW w:w="96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58</w:t>
            </w:r>
          </w:p>
        </w:tc>
        <w:tc>
          <w:tcPr>
            <w:tcW w:w="101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112.63359</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150</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75.08906</w:t>
            </w:r>
          </w:p>
        </w:tc>
        <w:tc>
          <w:tcPr>
            <w:tcW w:w="645"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16"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3</w:t>
            </w:r>
          </w:p>
        </w:tc>
        <w:tc>
          <w:tcPr>
            <w:tcW w:w="8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多依树村</w:t>
            </w:r>
          </w:p>
        </w:tc>
        <w:tc>
          <w:tcPr>
            <w:tcW w:w="142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-349.65,479.97,</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2059.19</w:t>
            </w:r>
          </w:p>
        </w:tc>
        <w:tc>
          <w:tcPr>
            <w:tcW w:w="1123"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7.68875</w:t>
            </w:r>
          </w:p>
        </w:tc>
        <w:tc>
          <w:tcPr>
            <w:tcW w:w="96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58</w:t>
            </w:r>
          </w:p>
        </w:tc>
        <w:tc>
          <w:tcPr>
            <w:tcW w:w="101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65.68875</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150</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43.7925</w:t>
            </w:r>
          </w:p>
        </w:tc>
        <w:tc>
          <w:tcPr>
            <w:tcW w:w="645"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16"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4</w:t>
            </w:r>
          </w:p>
        </w:tc>
        <w:tc>
          <w:tcPr>
            <w:tcW w:w="8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白塔村</w:t>
            </w:r>
          </w:p>
        </w:tc>
        <w:tc>
          <w:tcPr>
            <w:tcW w:w="142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-101.79,480,</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2071.56</w:t>
            </w:r>
          </w:p>
        </w:tc>
        <w:tc>
          <w:tcPr>
            <w:tcW w:w="1123"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4.61171</w:t>
            </w:r>
          </w:p>
        </w:tc>
        <w:tc>
          <w:tcPr>
            <w:tcW w:w="96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58</w:t>
            </w:r>
          </w:p>
        </w:tc>
        <w:tc>
          <w:tcPr>
            <w:tcW w:w="101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62.61171</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150</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41.74114</w:t>
            </w:r>
          </w:p>
        </w:tc>
        <w:tc>
          <w:tcPr>
            <w:tcW w:w="645"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16"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5</w:t>
            </w:r>
          </w:p>
        </w:tc>
        <w:tc>
          <w:tcPr>
            <w:tcW w:w="8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李白村</w:t>
            </w:r>
          </w:p>
        </w:tc>
        <w:tc>
          <w:tcPr>
            <w:tcW w:w="142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585.59,259.62,</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2105.77</w:t>
            </w:r>
          </w:p>
        </w:tc>
        <w:tc>
          <w:tcPr>
            <w:tcW w:w="1123"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6.33395</w:t>
            </w:r>
          </w:p>
        </w:tc>
        <w:tc>
          <w:tcPr>
            <w:tcW w:w="96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58</w:t>
            </w:r>
          </w:p>
        </w:tc>
        <w:tc>
          <w:tcPr>
            <w:tcW w:w="101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64.33395</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150</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42.8893</w:t>
            </w:r>
          </w:p>
        </w:tc>
        <w:tc>
          <w:tcPr>
            <w:tcW w:w="645"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16"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6</w:t>
            </w:r>
          </w:p>
        </w:tc>
        <w:tc>
          <w:tcPr>
            <w:tcW w:w="8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河上庄</w:t>
            </w:r>
          </w:p>
        </w:tc>
        <w:tc>
          <w:tcPr>
            <w:tcW w:w="142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-344,-976,</w:t>
            </w:r>
          </w:p>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2006.54</w:t>
            </w:r>
          </w:p>
        </w:tc>
        <w:tc>
          <w:tcPr>
            <w:tcW w:w="1123"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6.31489</w:t>
            </w:r>
          </w:p>
        </w:tc>
        <w:tc>
          <w:tcPr>
            <w:tcW w:w="96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58</w:t>
            </w:r>
          </w:p>
        </w:tc>
        <w:tc>
          <w:tcPr>
            <w:tcW w:w="101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64.31489</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150</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42.87659</w:t>
            </w:r>
          </w:p>
        </w:tc>
        <w:tc>
          <w:tcPr>
            <w:tcW w:w="645"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达标</w:t>
            </w:r>
          </w:p>
        </w:tc>
      </w:tr>
      <w:tr w:rsidR="00C861DA">
        <w:trPr>
          <w:trHeight w:val="373"/>
          <w:jc w:val="center"/>
        </w:trPr>
        <w:tc>
          <w:tcPr>
            <w:tcW w:w="316" w:type="dxa"/>
            <w:vAlign w:val="center"/>
          </w:tcPr>
          <w:p w:rsidR="00C861DA" w:rsidRDefault="00C861DA">
            <w:pPr>
              <w:widowControl/>
              <w:jc w:val="center"/>
              <w:textAlignment w:val="center"/>
              <w:rPr>
                <w:rFonts w:ascii="Times New Roman" w:eastAsia="宋体" w:hAnsi="Times New Roman" w:cs="Times New Roman"/>
                <w:color w:val="000000" w:themeColor="text1"/>
                <w:sz w:val="18"/>
                <w:szCs w:val="18"/>
                <w:lang w:bidi="ar"/>
              </w:rPr>
            </w:pPr>
          </w:p>
        </w:tc>
        <w:tc>
          <w:tcPr>
            <w:tcW w:w="81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网格点</w:t>
            </w:r>
          </w:p>
        </w:tc>
        <w:tc>
          <w:tcPr>
            <w:tcW w:w="142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hint="eastAsia"/>
                <w:color w:val="000000" w:themeColor="text1"/>
                <w:sz w:val="18"/>
                <w:szCs w:val="18"/>
                <w:lang w:bidi="ar"/>
              </w:rPr>
              <w:t>-</w:t>
            </w:r>
            <w:r>
              <w:rPr>
                <w:rFonts w:ascii="Times New Roman" w:eastAsia="宋体" w:hAnsi="Times New Roman" w:cs="Times New Roman"/>
                <w:color w:val="000000" w:themeColor="text1"/>
                <w:sz w:val="18"/>
                <w:szCs w:val="18"/>
                <w:lang w:bidi="ar"/>
              </w:rPr>
              <w:t>200</w:t>
            </w:r>
            <w:r>
              <w:rPr>
                <w:rFonts w:ascii="Times New Roman" w:eastAsia="宋体" w:hAnsi="Times New Roman" w:cs="Times New Roman" w:hint="eastAsia"/>
                <w:color w:val="000000" w:themeColor="text1"/>
                <w:sz w:val="18"/>
                <w:szCs w:val="18"/>
                <w:lang w:bidi="ar"/>
              </w:rPr>
              <w:t>,</w:t>
            </w:r>
            <w:r>
              <w:rPr>
                <w:rFonts w:ascii="Times New Roman" w:eastAsia="宋体" w:hAnsi="Times New Roman" w:cs="Times New Roman"/>
                <w:color w:val="000000" w:themeColor="text1"/>
                <w:sz w:val="18"/>
                <w:szCs w:val="18"/>
                <w:lang w:bidi="ar"/>
              </w:rPr>
              <w:t>200</w:t>
            </w:r>
            <w:r>
              <w:rPr>
                <w:rFonts w:ascii="Times New Roman" w:eastAsia="宋体" w:hAnsi="Times New Roman" w:cs="Times New Roman" w:hint="eastAsia"/>
                <w:color w:val="000000" w:themeColor="text1"/>
                <w:sz w:val="18"/>
                <w:szCs w:val="18"/>
                <w:lang w:bidi="ar"/>
              </w:rPr>
              <w:t>,</w:t>
            </w:r>
            <w:r>
              <w:rPr>
                <w:rFonts w:ascii="Times New Roman" w:eastAsia="宋体" w:hAnsi="Times New Roman" w:cs="Times New Roman"/>
                <w:color w:val="000000" w:themeColor="text1"/>
                <w:sz w:val="18"/>
                <w:szCs w:val="18"/>
                <w:lang w:bidi="ar"/>
              </w:rPr>
              <w:t>1994</w:t>
            </w:r>
          </w:p>
        </w:tc>
        <w:tc>
          <w:tcPr>
            <w:tcW w:w="1123"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1030</w:t>
            </w:r>
          </w:p>
        </w:tc>
        <w:tc>
          <w:tcPr>
            <w:tcW w:w="969"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58</w:t>
            </w:r>
          </w:p>
        </w:tc>
        <w:tc>
          <w:tcPr>
            <w:tcW w:w="1014"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1088</w:t>
            </w:r>
          </w:p>
        </w:tc>
        <w:tc>
          <w:tcPr>
            <w:tcW w:w="1135"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150</w:t>
            </w:r>
          </w:p>
        </w:tc>
        <w:tc>
          <w:tcPr>
            <w:tcW w:w="850" w:type="dxa"/>
            <w:vAlign w:val="center"/>
          </w:tcPr>
          <w:p w:rsidR="00C861DA" w:rsidRDefault="0044752E">
            <w:pPr>
              <w:widowControl/>
              <w:jc w:val="center"/>
              <w:textAlignment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rPr>
              <w:t>725.3333</w:t>
            </w:r>
          </w:p>
        </w:tc>
        <w:tc>
          <w:tcPr>
            <w:tcW w:w="645" w:type="dxa"/>
            <w:vAlign w:val="center"/>
          </w:tcPr>
          <w:p w:rsidR="00C861DA" w:rsidRDefault="0044752E">
            <w:pPr>
              <w:jc w:val="center"/>
              <w:rPr>
                <w:rFonts w:ascii="Times New Roman" w:eastAsia="宋体" w:hAnsi="Times New Roman" w:cs="Times New Roman"/>
                <w:color w:val="000000" w:themeColor="text1"/>
                <w:sz w:val="18"/>
                <w:szCs w:val="18"/>
                <w:lang w:bidi="ar"/>
              </w:rPr>
            </w:pPr>
            <w:r>
              <w:rPr>
                <w:rFonts w:ascii="Times New Roman" w:eastAsia="宋体" w:hAnsi="Times New Roman" w:cs="Times New Roman"/>
                <w:color w:val="000000" w:themeColor="text1"/>
                <w:sz w:val="18"/>
                <w:szCs w:val="18"/>
                <w:lang w:bidi="ar"/>
              </w:rPr>
              <w:t>超标</w:t>
            </w:r>
          </w:p>
        </w:tc>
      </w:tr>
    </w:tbl>
    <w:p w:rsidR="00C861DA" w:rsidRDefault="0044752E">
      <w:pPr>
        <w:snapToGrid w:val="0"/>
        <w:spacing w:beforeLines="100" w:before="312"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预测结果表明：在非正常排放条件下，预测结果与正常排放相比，</w:t>
      </w:r>
      <w:r>
        <w:rPr>
          <w:rFonts w:ascii="Times New Roman" w:eastAsia="宋体" w:cs="宋体" w:hint="eastAsia"/>
          <w:color w:val="000000" w:themeColor="text1"/>
          <w:sz w:val="24"/>
          <w:szCs w:val="24"/>
        </w:rPr>
        <w:t>氨</w:t>
      </w:r>
      <w:r>
        <w:rPr>
          <w:rFonts w:ascii="Times New Roman" w:eastAsia="宋体" w:hint="eastAsia"/>
          <w:color w:val="000000" w:themeColor="text1"/>
          <w:sz w:val="24"/>
          <w:szCs w:val="24"/>
        </w:rPr>
        <w:t>在网格点的最大值及在各关心点的贡献浓度显著增加，网格点出已经出现超标，必须采取切实措施防止出现非正常排放。</w:t>
      </w:r>
    </w:p>
    <w:p w:rsidR="00C861DA" w:rsidRDefault="0044752E">
      <w:pPr>
        <w:pStyle w:val="32"/>
        <w:rPr>
          <w:rFonts w:ascii="Times New Roman" w:eastAsia="宋体"/>
          <w:b w:val="0"/>
          <w:color w:val="000000" w:themeColor="text1"/>
          <w:sz w:val="24"/>
          <w:szCs w:val="24"/>
        </w:rPr>
      </w:pPr>
      <w:bookmarkStart w:id="418" w:name="_Toc23777"/>
      <w:bookmarkStart w:id="419" w:name="_Toc30458"/>
      <w:bookmarkStart w:id="420" w:name="_Toc12129"/>
      <w:bookmarkStart w:id="421" w:name="_Toc6535"/>
      <w:bookmarkStart w:id="422" w:name="_Toc6826843"/>
      <w:r>
        <w:rPr>
          <w:rFonts w:ascii="Times New Roman" w:eastAsia="宋体" w:hint="eastAsia"/>
          <w:bCs w:val="0"/>
          <w:color w:val="000000" w:themeColor="text1"/>
          <w:sz w:val="24"/>
          <w:szCs w:val="24"/>
        </w:rPr>
        <w:t>7.1.4</w:t>
      </w:r>
      <w:r>
        <w:rPr>
          <w:rFonts w:ascii="Times New Roman" w:eastAsia="宋体" w:hint="eastAsia"/>
          <w:bCs w:val="0"/>
          <w:color w:val="000000" w:themeColor="text1"/>
          <w:sz w:val="24"/>
          <w:szCs w:val="24"/>
        </w:rPr>
        <w:t>大气环境及卫生防护防护距离</w:t>
      </w:r>
      <w:bookmarkEnd w:id="418"/>
      <w:bookmarkEnd w:id="419"/>
      <w:bookmarkEnd w:id="420"/>
      <w:bookmarkEnd w:id="421"/>
      <w:bookmarkEnd w:id="422"/>
    </w:p>
    <w:p w:rsidR="00C861DA" w:rsidRDefault="0044752E">
      <w:pPr>
        <w:snapToGrid w:val="0"/>
        <w:spacing w:line="360" w:lineRule="auto"/>
        <w:ind w:firstLineChars="200" w:firstLine="482"/>
        <w:rPr>
          <w:rFonts w:ascii="Times New Roman" w:eastAsia="宋体"/>
          <w:b/>
          <w:iCs/>
          <w:color w:val="000000" w:themeColor="text1"/>
          <w:sz w:val="24"/>
          <w:szCs w:val="24"/>
        </w:rPr>
      </w:pPr>
      <w:r>
        <w:rPr>
          <w:rFonts w:ascii="Times New Roman" w:eastAsia="宋体" w:hint="eastAsia"/>
          <w:b/>
          <w:iCs/>
          <w:color w:val="000000" w:themeColor="text1"/>
          <w:sz w:val="24"/>
          <w:szCs w:val="24"/>
        </w:rPr>
        <w:t>（</w:t>
      </w:r>
      <w:r>
        <w:rPr>
          <w:rFonts w:ascii="Times New Roman" w:eastAsia="宋体" w:hint="eastAsia"/>
          <w:b/>
          <w:iCs/>
          <w:color w:val="000000" w:themeColor="text1"/>
          <w:sz w:val="24"/>
          <w:szCs w:val="24"/>
        </w:rPr>
        <w:t>1</w:t>
      </w:r>
      <w:r>
        <w:rPr>
          <w:rFonts w:ascii="Times New Roman" w:eastAsia="宋体" w:hint="eastAsia"/>
          <w:b/>
          <w:iCs/>
          <w:color w:val="000000" w:themeColor="text1"/>
          <w:sz w:val="24"/>
          <w:szCs w:val="24"/>
        </w:rPr>
        <w:t>）大气环境防护距离</w:t>
      </w:r>
    </w:p>
    <w:p w:rsidR="00C861DA" w:rsidRDefault="0044752E">
      <w:pPr>
        <w:snapToGrid w:val="0"/>
        <w:spacing w:line="360" w:lineRule="auto"/>
        <w:ind w:firstLineChars="200" w:firstLine="480"/>
        <w:rPr>
          <w:rFonts w:ascii="Times New Roman" w:eastAsia="宋体"/>
          <w:color w:val="000000" w:themeColor="text1"/>
          <w:sz w:val="24"/>
          <w:szCs w:val="24"/>
        </w:rPr>
      </w:pPr>
      <w:r>
        <w:rPr>
          <w:rFonts w:ascii="Times New Roman" w:eastAsia="宋体" w:hint="eastAsia"/>
          <w:iCs/>
          <w:color w:val="000000" w:themeColor="text1"/>
          <w:sz w:val="24"/>
          <w:szCs w:val="24"/>
        </w:rPr>
        <w:t>大气环境防护距离计算采用</w:t>
      </w:r>
      <w:r>
        <w:rPr>
          <w:rFonts w:ascii="Times New Roman" w:eastAsia="宋体" w:hint="eastAsia"/>
          <w:iCs/>
          <w:color w:val="000000" w:themeColor="text1"/>
          <w:sz w:val="24"/>
          <w:szCs w:val="24"/>
        </w:rPr>
        <w:t>AERMOD</w:t>
      </w:r>
      <w:r>
        <w:rPr>
          <w:rFonts w:ascii="Times New Roman" w:eastAsia="宋体" w:hint="eastAsia"/>
          <w:iCs/>
          <w:color w:val="000000" w:themeColor="text1"/>
          <w:sz w:val="24"/>
          <w:szCs w:val="24"/>
        </w:rPr>
        <w:t>进一步预测模型，模拟评价</w:t>
      </w:r>
      <w:r>
        <w:rPr>
          <w:rFonts w:ascii="Times New Roman" w:eastAsia="宋体" w:hint="eastAsia"/>
          <w:iCs/>
          <w:color w:val="000000" w:themeColor="text1"/>
          <w:sz w:val="24"/>
          <w:szCs w:val="24"/>
        </w:rPr>
        <w:t>2017</w:t>
      </w:r>
      <w:r>
        <w:rPr>
          <w:rFonts w:ascii="Times New Roman" w:eastAsia="宋体" w:hint="eastAsia"/>
          <w:iCs/>
          <w:color w:val="000000" w:themeColor="text1"/>
          <w:sz w:val="24"/>
          <w:szCs w:val="24"/>
        </w:rPr>
        <w:t>年内本项目所有污染源对厂界外主要污染物的小时平均浓度分布，判定是否有超过环境质量标准的网格区域，大气环境防护距离计算见表</w:t>
      </w:r>
      <w:r>
        <w:rPr>
          <w:rFonts w:ascii="Times New Roman" w:eastAsia="宋体" w:hint="eastAsia"/>
          <w:iCs/>
          <w:color w:val="000000" w:themeColor="text1"/>
          <w:sz w:val="24"/>
          <w:szCs w:val="24"/>
        </w:rPr>
        <w:t>7.1-31</w:t>
      </w:r>
      <w:r>
        <w:rPr>
          <w:rFonts w:ascii="Times New Roman" w:eastAsia="宋体" w:hint="eastAsia"/>
          <w:iCs/>
          <w:color w:val="000000" w:themeColor="text1"/>
          <w:sz w:val="24"/>
          <w:szCs w:val="24"/>
        </w:rPr>
        <w:t>。</w:t>
      </w:r>
    </w:p>
    <w:p w:rsidR="00C861DA" w:rsidRDefault="0044752E">
      <w:pPr>
        <w:pStyle w:val="affffffff5"/>
        <w:spacing w:before="0" w:line="360" w:lineRule="auto"/>
        <w:rPr>
          <w:rFonts w:ascii="Times New Roman" w:eastAsia="宋体"/>
          <w:b/>
          <w:color w:val="000000" w:themeColor="text1"/>
        </w:rPr>
      </w:pPr>
      <w:r>
        <w:rPr>
          <w:rFonts w:ascii="Times New Roman" w:eastAsia="宋体"/>
          <w:b/>
          <w:color w:val="000000" w:themeColor="text1"/>
        </w:rPr>
        <w:t>表</w:t>
      </w:r>
      <w:r>
        <w:rPr>
          <w:rFonts w:ascii="Times New Roman" w:eastAsia="宋体" w:hint="eastAsia"/>
          <w:b/>
          <w:color w:val="000000" w:themeColor="text1"/>
        </w:rPr>
        <w:t xml:space="preserve">7.1-31      </w:t>
      </w:r>
      <w:r>
        <w:rPr>
          <w:rFonts w:ascii="Times New Roman" w:eastAsia="宋体" w:hint="eastAsia"/>
          <w:b/>
          <w:color w:val="000000" w:themeColor="text1"/>
        </w:rPr>
        <w:t>大气环境防护距离计算结果</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1116"/>
        <w:gridCol w:w="650"/>
        <w:gridCol w:w="750"/>
        <w:gridCol w:w="1000"/>
        <w:gridCol w:w="1067"/>
        <w:gridCol w:w="1050"/>
        <w:gridCol w:w="1133"/>
        <w:gridCol w:w="934"/>
        <w:gridCol w:w="666"/>
      </w:tblGrid>
      <w:tr w:rsidR="00C861DA">
        <w:trPr>
          <w:trHeight w:val="454"/>
          <w:jc w:val="center"/>
        </w:trPr>
        <w:tc>
          <w:tcPr>
            <w:tcW w:w="811"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b/>
                <w:color w:val="000000" w:themeColor="text1"/>
              </w:rPr>
              <w:t>污染物名称</w:t>
            </w:r>
          </w:p>
        </w:tc>
        <w:tc>
          <w:tcPr>
            <w:tcW w:w="1116" w:type="dxa"/>
            <w:vAlign w:val="center"/>
          </w:tcPr>
          <w:p w:rsidR="00C861DA" w:rsidRDefault="0044752E">
            <w:pPr>
              <w:jc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厂界内最大浓度点坐标</w:t>
            </w:r>
          </w:p>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x</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y</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z</w:t>
            </w:r>
            <w:r>
              <w:rPr>
                <w:rFonts w:ascii="Times New Roman" w:eastAsia="宋体" w:hAnsi="Times New Roman" w:cs="Times New Roman"/>
                <w:b/>
                <w:color w:val="000000" w:themeColor="text1"/>
                <w:lang w:bidi="ar"/>
              </w:rPr>
              <w:t>）</w:t>
            </w:r>
          </w:p>
        </w:tc>
        <w:tc>
          <w:tcPr>
            <w:tcW w:w="650"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平均</w:t>
            </w:r>
          </w:p>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时间</w:t>
            </w:r>
          </w:p>
        </w:tc>
        <w:tc>
          <w:tcPr>
            <w:tcW w:w="750"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浓度</w:t>
            </w:r>
          </w:p>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排序</w:t>
            </w:r>
          </w:p>
        </w:tc>
        <w:tc>
          <w:tcPr>
            <w:tcW w:w="1000" w:type="dxa"/>
            <w:vAlign w:val="center"/>
          </w:tcPr>
          <w:p w:rsidR="00C861DA" w:rsidRDefault="0044752E">
            <w:pPr>
              <w:jc w:val="center"/>
              <w:rPr>
                <w:rFonts w:ascii="Times New Roman" w:eastAsia="宋体" w:hAnsi="Times New Roman" w:cs="Times New Roman"/>
                <w:b/>
                <w:bCs/>
                <w:color w:val="000000" w:themeColor="text1"/>
                <w:lang w:bidi="ar"/>
              </w:rPr>
            </w:pPr>
            <w:r>
              <w:rPr>
                <w:rFonts w:ascii="Times New Roman" w:eastAsia="宋体" w:hAnsi="Times New Roman" w:cs="Times New Roman"/>
                <w:b/>
                <w:bCs/>
                <w:color w:val="000000" w:themeColor="text1"/>
              </w:rPr>
              <w:t>贡献值</w:t>
            </w:r>
            <w:r>
              <w:rPr>
                <w:rFonts w:ascii="Times New Roman" w:eastAsia="宋体" w:hAnsi="Times New Roman" w:cs="Times New Roman"/>
                <w:b/>
                <w:bCs/>
                <w:color w:val="000000" w:themeColor="text1"/>
              </w:rPr>
              <w:t>(mg/m</w:t>
            </w:r>
            <w:r>
              <w:rPr>
                <w:rFonts w:ascii="Times New Roman" w:eastAsia="宋体" w:hAnsi="Times New Roman" w:cs="Times New Roman"/>
                <w:b/>
                <w:bCs/>
                <w:color w:val="000000" w:themeColor="text1"/>
                <w:vertAlign w:val="superscript"/>
              </w:rPr>
              <w:t>3</w:t>
            </w:r>
            <w:r>
              <w:rPr>
                <w:rFonts w:ascii="Times New Roman" w:eastAsia="宋体" w:hAnsi="Times New Roman" w:cs="Times New Roman"/>
                <w:b/>
                <w:bCs/>
                <w:color w:val="000000" w:themeColor="text1"/>
              </w:rPr>
              <w:t>)</w:t>
            </w:r>
          </w:p>
        </w:tc>
        <w:tc>
          <w:tcPr>
            <w:tcW w:w="1067" w:type="dxa"/>
            <w:vAlign w:val="center"/>
          </w:tcPr>
          <w:p w:rsidR="00C861DA" w:rsidRDefault="0044752E">
            <w:pPr>
              <w:jc w:val="center"/>
              <w:rPr>
                <w:rFonts w:ascii="Times New Roman" w:eastAsia="宋体" w:hAnsi="Times New Roman" w:cs="Times New Roman"/>
                <w:b/>
                <w:bCs/>
                <w:color w:val="000000" w:themeColor="text1"/>
                <w:lang w:bidi="ar"/>
              </w:rPr>
            </w:pPr>
            <w:r>
              <w:rPr>
                <w:rFonts w:ascii="Times New Roman" w:eastAsia="宋体" w:hAnsi="Times New Roman" w:cs="Times New Roman"/>
                <w:b/>
                <w:color w:val="000000" w:themeColor="text1"/>
                <w:lang w:bidi="ar"/>
              </w:rPr>
              <w:t>背景值</w:t>
            </w:r>
            <w:r>
              <w:rPr>
                <w:rFonts w:ascii="Times New Roman" w:eastAsia="宋体" w:hAnsi="Times New Roman" w:cs="Times New Roman"/>
                <w:b/>
                <w:bCs/>
                <w:color w:val="000000" w:themeColor="text1"/>
              </w:rPr>
              <w:t>(mg/m</w:t>
            </w:r>
            <w:r>
              <w:rPr>
                <w:rFonts w:ascii="Times New Roman" w:eastAsia="宋体" w:hAnsi="Times New Roman" w:cs="Times New Roman"/>
                <w:b/>
                <w:bCs/>
                <w:color w:val="000000" w:themeColor="text1"/>
                <w:vertAlign w:val="superscript"/>
              </w:rPr>
              <w:t>3</w:t>
            </w:r>
            <w:r>
              <w:rPr>
                <w:rFonts w:ascii="Times New Roman" w:eastAsia="宋体" w:hAnsi="Times New Roman" w:cs="Times New Roman"/>
                <w:b/>
                <w:bCs/>
                <w:color w:val="000000" w:themeColor="text1"/>
              </w:rPr>
              <w:t>)</w:t>
            </w:r>
          </w:p>
        </w:tc>
        <w:tc>
          <w:tcPr>
            <w:tcW w:w="1050" w:type="dxa"/>
            <w:vAlign w:val="center"/>
          </w:tcPr>
          <w:p w:rsidR="00C861DA" w:rsidRDefault="0044752E">
            <w:pPr>
              <w:jc w:val="center"/>
              <w:rPr>
                <w:rFonts w:ascii="Times New Roman" w:eastAsia="宋体" w:hAnsi="Times New Roman" w:cs="Times New Roman"/>
                <w:b/>
                <w:bCs/>
                <w:color w:val="000000" w:themeColor="text1"/>
                <w:lang w:bidi="ar"/>
              </w:rPr>
            </w:pPr>
            <w:r>
              <w:rPr>
                <w:rFonts w:ascii="Times New Roman" w:eastAsia="宋体" w:hAnsi="Times New Roman" w:cs="Times New Roman"/>
                <w:b/>
                <w:color w:val="000000" w:themeColor="text1"/>
                <w:lang w:bidi="ar"/>
              </w:rPr>
              <w:t>预测值</w:t>
            </w:r>
            <w:r>
              <w:rPr>
                <w:rFonts w:ascii="Times New Roman" w:eastAsia="宋体" w:hAnsi="Times New Roman" w:cs="Times New Roman"/>
                <w:b/>
                <w:bCs/>
                <w:color w:val="000000" w:themeColor="text1"/>
              </w:rPr>
              <w:t>(mg/m</w:t>
            </w:r>
            <w:r>
              <w:rPr>
                <w:rFonts w:ascii="Times New Roman" w:eastAsia="宋体" w:hAnsi="Times New Roman" w:cs="Times New Roman"/>
                <w:b/>
                <w:bCs/>
                <w:color w:val="000000" w:themeColor="text1"/>
                <w:vertAlign w:val="superscript"/>
              </w:rPr>
              <w:t>3</w:t>
            </w:r>
            <w:r>
              <w:rPr>
                <w:rFonts w:ascii="Times New Roman" w:eastAsia="宋体" w:hAnsi="Times New Roman" w:cs="Times New Roman"/>
                <w:b/>
                <w:bCs/>
                <w:color w:val="000000" w:themeColor="text1"/>
              </w:rPr>
              <w:t>)</w:t>
            </w:r>
          </w:p>
        </w:tc>
        <w:tc>
          <w:tcPr>
            <w:tcW w:w="1133" w:type="dxa"/>
            <w:vAlign w:val="center"/>
          </w:tcPr>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bCs/>
                <w:color w:val="000000" w:themeColor="text1"/>
                <w:lang w:bidi="ar"/>
              </w:rPr>
              <w:t>评价标准</w:t>
            </w:r>
            <w:r>
              <w:rPr>
                <w:rFonts w:ascii="Times New Roman" w:eastAsia="宋体" w:hAnsi="Times New Roman" w:cs="Times New Roman"/>
                <w:b/>
                <w:bCs/>
                <w:color w:val="000000" w:themeColor="text1"/>
                <w:lang w:bidi="ar"/>
              </w:rPr>
              <w:br/>
            </w:r>
            <w:r>
              <w:rPr>
                <w:rFonts w:ascii="Times New Roman" w:eastAsia="宋体" w:hAnsi="Times New Roman" w:cs="Times New Roman"/>
                <w:b/>
                <w:bCs/>
                <w:color w:val="000000" w:themeColor="text1"/>
              </w:rPr>
              <w:t>(mg/m</w:t>
            </w:r>
            <w:r>
              <w:rPr>
                <w:rFonts w:ascii="Times New Roman" w:eastAsia="宋体" w:hAnsi="Times New Roman" w:cs="Times New Roman"/>
                <w:b/>
                <w:bCs/>
                <w:color w:val="000000" w:themeColor="text1"/>
                <w:vertAlign w:val="superscript"/>
              </w:rPr>
              <w:t>3</w:t>
            </w:r>
            <w:r>
              <w:rPr>
                <w:rFonts w:ascii="Times New Roman" w:eastAsia="宋体" w:hAnsi="Times New Roman" w:cs="Times New Roman"/>
                <w:b/>
                <w:bCs/>
                <w:color w:val="000000" w:themeColor="text1"/>
              </w:rPr>
              <w:t>)</w:t>
            </w:r>
          </w:p>
        </w:tc>
        <w:tc>
          <w:tcPr>
            <w:tcW w:w="934" w:type="dxa"/>
            <w:vAlign w:val="center"/>
          </w:tcPr>
          <w:p w:rsidR="00C861DA" w:rsidRDefault="0044752E">
            <w:pPr>
              <w:jc w:val="center"/>
              <w:rPr>
                <w:rFonts w:ascii="Times New Roman" w:eastAsia="宋体" w:hAnsi="Times New Roman" w:cs="Times New Roman"/>
                <w:b/>
                <w:bCs/>
                <w:color w:val="000000" w:themeColor="text1"/>
                <w:lang w:bidi="ar"/>
              </w:rPr>
            </w:pPr>
            <w:r>
              <w:rPr>
                <w:rFonts w:ascii="Times New Roman" w:eastAsia="宋体" w:hAnsi="Times New Roman" w:cs="Times New Roman"/>
                <w:b/>
                <w:color w:val="000000" w:themeColor="text1"/>
                <w:lang w:bidi="ar"/>
              </w:rPr>
              <w:t>占标率（</w:t>
            </w:r>
            <w:r>
              <w:rPr>
                <w:rFonts w:ascii="Times New Roman" w:eastAsia="宋体" w:hAnsi="Times New Roman" w:cs="Times New Roman"/>
                <w:b/>
                <w:color w:val="000000" w:themeColor="text1"/>
                <w:lang w:bidi="ar"/>
              </w:rPr>
              <w:t>%</w:t>
            </w:r>
            <w:r>
              <w:rPr>
                <w:rFonts w:ascii="Times New Roman" w:eastAsia="宋体" w:hAnsi="Times New Roman" w:cs="Times New Roman"/>
                <w:b/>
                <w:color w:val="000000" w:themeColor="text1"/>
                <w:lang w:bidi="ar"/>
              </w:rPr>
              <w:t>）</w:t>
            </w:r>
          </w:p>
        </w:tc>
        <w:tc>
          <w:tcPr>
            <w:tcW w:w="666" w:type="dxa"/>
            <w:vAlign w:val="center"/>
          </w:tcPr>
          <w:p w:rsidR="00C861DA" w:rsidRDefault="0044752E">
            <w:pPr>
              <w:widowControl/>
              <w:jc w:val="center"/>
              <w:textAlignment w:val="center"/>
              <w:rPr>
                <w:rFonts w:ascii="Times New Roman" w:eastAsia="宋体" w:hAnsi="Times New Roman" w:cs="Times New Roman"/>
                <w:b/>
                <w:color w:val="000000" w:themeColor="text1"/>
                <w:lang w:bidi="ar"/>
              </w:rPr>
            </w:pPr>
            <w:r>
              <w:rPr>
                <w:rFonts w:ascii="Times New Roman" w:eastAsia="宋体" w:hAnsi="Times New Roman" w:cs="Times New Roman"/>
                <w:b/>
                <w:color w:val="000000" w:themeColor="text1"/>
                <w:lang w:bidi="ar"/>
              </w:rPr>
              <w:t>达标</w:t>
            </w:r>
          </w:p>
          <w:p w:rsidR="00C861DA" w:rsidRDefault="0044752E">
            <w:pPr>
              <w:jc w:val="center"/>
              <w:rPr>
                <w:rFonts w:ascii="Times New Roman" w:eastAsia="宋体" w:hAnsi="Times New Roman" w:cs="Times New Roman"/>
                <w:b/>
                <w:bCs/>
                <w:color w:val="000000" w:themeColor="text1"/>
                <w:lang w:bidi="ar"/>
              </w:rPr>
            </w:pPr>
            <w:r>
              <w:rPr>
                <w:rFonts w:ascii="Times New Roman" w:eastAsia="宋体" w:hAnsi="Times New Roman" w:cs="Times New Roman"/>
                <w:b/>
                <w:color w:val="000000" w:themeColor="text1"/>
                <w:lang w:bidi="ar"/>
              </w:rPr>
              <w:t>情况</w:t>
            </w:r>
          </w:p>
        </w:tc>
      </w:tr>
      <w:tr w:rsidR="00C861DA">
        <w:trPr>
          <w:trHeight w:val="454"/>
          <w:jc w:val="center"/>
        </w:trPr>
        <w:tc>
          <w:tcPr>
            <w:tcW w:w="811"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lang w:bidi="ar"/>
              </w:rPr>
              <w:t>氨</w:t>
            </w:r>
          </w:p>
        </w:tc>
        <w:tc>
          <w:tcPr>
            <w:tcW w:w="111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lang w:bidi="ar"/>
              </w:rPr>
              <w:t>50, 40,2014</w:t>
            </w:r>
          </w:p>
        </w:tc>
        <w:tc>
          <w:tcPr>
            <w:tcW w:w="650"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1h</w:t>
            </w:r>
          </w:p>
        </w:tc>
        <w:tc>
          <w:tcPr>
            <w:tcW w:w="750"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第</w:t>
            </w:r>
            <w:r>
              <w:rPr>
                <w:rFonts w:ascii="Times New Roman" w:eastAsia="宋体" w:hAnsi="Times New Roman" w:cs="Times New Roman"/>
                <w:color w:val="000000" w:themeColor="text1"/>
                <w:lang w:bidi="ar"/>
              </w:rPr>
              <w:t>1</w:t>
            </w:r>
            <w:r>
              <w:rPr>
                <w:rFonts w:ascii="Times New Roman" w:eastAsia="宋体" w:hAnsi="Times New Roman" w:cs="Times New Roman"/>
                <w:color w:val="000000" w:themeColor="text1"/>
                <w:lang w:bidi="ar"/>
              </w:rPr>
              <w:t>大</w:t>
            </w:r>
          </w:p>
        </w:tc>
        <w:tc>
          <w:tcPr>
            <w:tcW w:w="1000"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0.02730</w:t>
            </w:r>
          </w:p>
        </w:tc>
        <w:tc>
          <w:tcPr>
            <w:tcW w:w="1067"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0.030</w:t>
            </w:r>
          </w:p>
        </w:tc>
        <w:tc>
          <w:tcPr>
            <w:tcW w:w="1050"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0.0573</w:t>
            </w:r>
          </w:p>
        </w:tc>
        <w:tc>
          <w:tcPr>
            <w:tcW w:w="1133"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0.2</w:t>
            </w:r>
          </w:p>
        </w:tc>
        <w:tc>
          <w:tcPr>
            <w:tcW w:w="934" w:type="dxa"/>
            <w:vAlign w:val="bottom"/>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28.65</w:t>
            </w:r>
          </w:p>
        </w:tc>
        <w:tc>
          <w:tcPr>
            <w:tcW w:w="666"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454"/>
          <w:jc w:val="center"/>
        </w:trPr>
        <w:tc>
          <w:tcPr>
            <w:tcW w:w="811"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NO</w:t>
            </w:r>
            <w:r>
              <w:rPr>
                <w:rFonts w:ascii="Times New Roman" w:eastAsia="宋体" w:hAnsi="Times New Roman" w:cs="Times New Roman"/>
                <w:color w:val="000000" w:themeColor="text1"/>
                <w:vertAlign w:val="subscript"/>
                <w:lang w:bidi="ar"/>
              </w:rPr>
              <w:t>X</w:t>
            </w:r>
          </w:p>
        </w:tc>
        <w:tc>
          <w:tcPr>
            <w:tcW w:w="1116"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78, 64,2014</w:t>
            </w:r>
          </w:p>
        </w:tc>
        <w:tc>
          <w:tcPr>
            <w:tcW w:w="650"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1h</w:t>
            </w:r>
          </w:p>
        </w:tc>
        <w:tc>
          <w:tcPr>
            <w:tcW w:w="750"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第</w:t>
            </w:r>
            <w:r>
              <w:rPr>
                <w:rFonts w:ascii="Times New Roman" w:eastAsia="宋体" w:hAnsi="Times New Roman" w:cs="Times New Roman"/>
                <w:color w:val="000000" w:themeColor="text1"/>
                <w:lang w:bidi="ar"/>
              </w:rPr>
              <w:t>1</w:t>
            </w:r>
            <w:r>
              <w:rPr>
                <w:rFonts w:ascii="Times New Roman" w:eastAsia="宋体" w:hAnsi="Times New Roman" w:cs="Times New Roman"/>
                <w:color w:val="000000" w:themeColor="text1"/>
                <w:lang w:bidi="ar"/>
              </w:rPr>
              <w:t>大</w:t>
            </w:r>
          </w:p>
        </w:tc>
        <w:tc>
          <w:tcPr>
            <w:tcW w:w="100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0.01301</w:t>
            </w:r>
          </w:p>
        </w:tc>
        <w:tc>
          <w:tcPr>
            <w:tcW w:w="1067"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0.02</w:t>
            </w:r>
          </w:p>
        </w:tc>
        <w:tc>
          <w:tcPr>
            <w:tcW w:w="1050"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0.03301</w:t>
            </w:r>
          </w:p>
        </w:tc>
        <w:tc>
          <w:tcPr>
            <w:tcW w:w="1133"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0.25</w:t>
            </w:r>
          </w:p>
        </w:tc>
        <w:tc>
          <w:tcPr>
            <w:tcW w:w="934" w:type="dxa"/>
            <w:vAlign w:val="bottom"/>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13.204</w:t>
            </w:r>
          </w:p>
        </w:tc>
        <w:tc>
          <w:tcPr>
            <w:tcW w:w="666"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r w:rsidR="00C861DA">
        <w:trPr>
          <w:trHeight w:val="454"/>
          <w:jc w:val="center"/>
        </w:trPr>
        <w:tc>
          <w:tcPr>
            <w:tcW w:w="811"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颗粒物</w:t>
            </w:r>
          </w:p>
        </w:tc>
        <w:tc>
          <w:tcPr>
            <w:tcW w:w="1116"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32, 101,2014</w:t>
            </w:r>
          </w:p>
        </w:tc>
        <w:tc>
          <w:tcPr>
            <w:tcW w:w="650"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1h</w:t>
            </w:r>
          </w:p>
        </w:tc>
        <w:tc>
          <w:tcPr>
            <w:tcW w:w="750"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第</w:t>
            </w:r>
            <w:r>
              <w:rPr>
                <w:rFonts w:ascii="Times New Roman" w:eastAsia="宋体" w:hAnsi="Times New Roman" w:cs="Times New Roman"/>
                <w:color w:val="000000" w:themeColor="text1"/>
                <w:lang w:bidi="ar"/>
              </w:rPr>
              <w:t>1</w:t>
            </w:r>
            <w:r>
              <w:rPr>
                <w:rFonts w:ascii="Times New Roman" w:eastAsia="宋体" w:hAnsi="Times New Roman" w:cs="Times New Roman"/>
                <w:color w:val="000000" w:themeColor="text1"/>
                <w:lang w:bidi="ar"/>
              </w:rPr>
              <w:t>大</w:t>
            </w:r>
          </w:p>
        </w:tc>
        <w:tc>
          <w:tcPr>
            <w:tcW w:w="100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12</w:t>
            </w:r>
          </w:p>
        </w:tc>
        <w:tc>
          <w:tcPr>
            <w:tcW w:w="1067"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32</w:t>
            </w:r>
          </w:p>
        </w:tc>
        <w:tc>
          <w:tcPr>
            <w:tcW w:w="1050"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44</w:t>
            </w:r>
          </w:p>
        </w:tc>
        <w:tc>
          <w:tcPr>
            <w:tcW w:w="1133"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150</w:t>
            </w:r>
          </w:p>
        </w:tc>
        <w:tc>
          <w:tcPr>
            <w:tcW w:w="934" w:type="dxa"/>
            <w:vAlign w:val="bottom"/>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rPr>
              <w:t>29.33333</w:t>
            </w:r>
          </w:p>
        </w:tc>
        <w:tc>
          <w:tcPr>
            <w:tcW w:w="666" w:type="dxa"/>
            <w:vAlign w:val="center"/>
          </w:tcPr>
          <w:p w:rsidR="00C861DA" w:rsidRDefault="0044752E">
            <w:pPr>
              <w:jc w:val="center"/>
              <w:rPr>
                <w:rFonts w:ascii="Times New Roman" w:eastAsia="宋体" w:hAnsi="Times New Roman" w:cs="Times New Roman"/>
                <w:color w:val="000000" w:themeColor="text1"/>
                <w:lang w:bidi="ar"/>
              </w:rPr>
            </w:pPr>
            <w:r>
              <w:rPr>
                <w:rFonts w:ascii="Times New Roman" w:eastAsia="宋体" w:hAnsi="Times New Roman" w:cs="Times New Roman"/>
                <w:color w:val="000000" w:themeColor="text1"/>
                <w:lang w:bidi="ar"/>
              </w:rPr>
              <w:t>达标</w:t>
            </w:r>
          </w:p>
        </w:tc>
      </w:tr>
    </w:tbl>
    <w:p w:rsidR="00C861DA" w:rsidRDefault="0044752E">
      <w:pPr>
        <w:pStyle w:val="26"/>
        <w:tabs>
          <w:tab w:val="right" w:leader="dot" w:pos="8297"/>
        </w:tabs>
        <w:spacing w:beforeLines="100" w:before="312" w:line="360" w:lineRule="auto"/>
        <w:ind w:firstLineChars="200" w:firstLine="482"/>
        <w:rPr>
          <w:rFonts w:ascii="Times New Roman" w:eastAsia="宋体" w:hAnsi="Times New Roman"/>
          <w:iCs/>
          <w:smallCaps/>
          <w:color w:val="000000" w:themeColor="text1"/>
          <w:sz w:val="24"/>
          <w:szCs w:val="24"/>
        </w:rPr>
      </w:pPr>
      <w:r>
        <w:rPr>
          <w:rFonts w:ascii="Times New Roman" w:eastAsia="宋体" w:hAnsi="Times New Roman" w:hint="eastAsia"/>
          <w:iCs/>
          <w:smallCaps/>
          <w:color w:val="000000" w:themeColor="text1"/>
          <w:sz w:val="24"/>
          <w:szCs w:val="24"/>
        </w:rPr>
        <w:t>由表</w:t>
      </w:r>
      <w:r>
        <w:rPr>
          <w:rFonts w:ascii="Times New Roman" w:eastAsia="宋体" w:hAnsi="Times New Roman" w:hint="eastAsia"/>
          <w:iCs/>
          <w:smallCaps/>
          <w:color w:val="000000" w:themeColor="text1"/>
          <w:sz w:val="24"/>
          <w:szCs w:val="24"/>
        </w:rPr>
        <w:t>7.1-31</w:t>
      </w:r>
      <w:r>
        <w:rPr>
          <w:rFonts w:ascii="Times New Roman" w:eastAsia="宋体" w:hAnsi="Times New Roman" w:hint="eastAsia"/>
          <w:iCs/>
          <w:smallCaps/>
          <w:color w:val="000000" w:themeColor="text1"/>
          <w:sz w:val="24"/>
          <w:szCs w:val="24"/>
        </w:rPr>
        <w:t>可知，厂界外网格区域的小时最大浓度预测值满足环境质量标准，无超标点，因此不需设置大气环境防护距离。</w:t>
      </w:r>
    </w:p>
    <w:p w:rsidR="00C861DA" w:rsidRDefault="0044752E">
      <w:pPr>
        <w:pStyle w:val="32"/>
        <w:rPr>
          <w:rFonts w:ascii="Times New Roman" w:eastAsia="宋体"/>
          <w:bCs w:val="0"/>
          <w:color w:val="000000" w:themeColor="text1"/>
          <w:sz w:val="24"/>
          <w:szCs w:val="24"/>
        </w:rPr>
      </w:pPr>
      <w:bookmarkStart w:id="423" w:name="_Toc26831"/>
      <w:bookmarkStart w:id="424" w:name="_Toc27735"/>
      <w:bookmarkStart w:id="425" w:name="_Toc21940"/>
      <w:bookmarkStart w:id="426" w:name="_Toc30010"/>
      <w:bookmarkStart w:id="427" w:name="_Toc6826844"/>
      <w:r>
        <w:rPr>
          <w:rFonts w:ascii="Times New Roman" w:eastAsia="宋体" w:hint="eastAsia"/>
          <w:bCs w:val="0"/>
          <w:color w:val="000000" w:themeColor="text1"/>
          <w:sz w:val="24"/>
          <w:szCs w:val="24"/>
        </w:rPr>
        <w:t>7.1.5</w:t>
      </w:r>
      <w:bookmarkStart w:id="428" w:name="_Toc32565"/>
      <w:bookmarkStart w:id="429" w:name="_Toc16817"/>
      <w:bookmarkStart w:id="430" w:name="_Toc2573"/>
      <w:bookmarkStart w:id="431" w:name="_Toc8030"/>
      <w:bookmarkEnd w:id="423"/>
      <w:bookmarkEnd w:id="424"/>
      <w:bookmarkEnd w:id="425"/>
      <w:bookmarkEnd w:id="426"/>
      <w:r>
        <w:rPr>
          <w:rFonts w:ascii="Times New Roman" w:eastAsia="宋体" w:hint="eastAsia"/>
          <w:bCs w:val="0"/>
          <w:color w:val="000000" w:themeColor="text1"/>
          <w:sz w:val="24"/>
          <w:szCs w:val="24"/>
        </w:rPr>
        <w:t>小结</w:t>
      </w:r>
      <w:bookmarkEnd w:id="427"/>
      <w:bookmarkEnd w:id="428"/>
      <w:bookmarkEnd w:id="429"/>
      <w:bookmarkEnd w:id="430"/>
      <w:bookmarkEnd w:id="431"/>
    </w:p>
    <w:p w:rsidR="00C861DA" w:rsidRDefault="0044752E">
      <w:pPr>
        <w:spacing w:line="360" w:lineRule="auto"/>
        <w:ind w:firstLineChars="200" w:firstLine="480"/>
        <w:jc w:val="both"/>
        <w:rPr>
          <w:rFonts w:ascii="Times New Roman" w:eastAsia="宋体"/>
          <w:iCs/>
          <w:color w:val="000000" w:themeColor="text1"/>
          <w:sz w:val="24"/>
          <w:szCs w:val="24"/>
        </w:rPr>
      </w:pPr>
      <w:r>
        <w:rPr>
          <w:rFonts w:ascii="Times New Roman" w:eastAsia="宋体" w:hint="eastAsia"/>
          <w:color w:val="000000" w:themeColor="text1"/>
          <w:sz w:val="24"/>
          <w:szCs w:val="24"/>
        </w:rPr>
        <w:t>本项目所在区域属于</w:t>
      </w:r>
      <w:r>
        <w:rPr>
          <w:rFonts w:ascii="Times New Roman" w:eastAsia="宋体" w:hint="eastAsia"/>
          <w:iCs/>
          <w:color w:val="000000" w:themeColor="text1"/>
          <w:sz w:val="24"/>
          <w:szCs w:val="24"/>
        </w:rPr>
        <w:t>大气环境达标区，</w:t>
      </w:r>
      <w:r>
        <w:rPr>
          <w:rFonts w:ascii="Times New Roman" w:eastAsia="宋体" w:hint="eastAsia"/>
          <w:color w:val="000000" w:themeColor="text1"/>
          <w:sz w:val="24"/>
          <w:szCs w:val="24"/>
        </w:rPr>
        <w:t>排放的废气污染物主要为氨，在正常排放情况下，项目排放的废气污染物最大落地浓度预测值均能满足相应的《环境空气质量标准》（</w:t>
      </w:r>
      <w:r>
        <w:rPr>
          <w:rFonts w:ascii="Times New Roman" w:eastAsia="宋体" w:hint="eastAsia"/>
          <w:color w:val="000000" w:themeColor="text1"/>
          <w:sz w:val="24"/>
          <w:szCs w:val="24"/>
        </w:rPr>
        <w:t>GB3095-2012</w:t>
      </w:r>
      <w:r>
        <w:rPr>
          <w:rFonts w:ascii="Times New Roman" w:eastAsia="宋体" w:hint="eastAsia"/>
          <w:color w:val="000000" w:themeColor="text1"/>
          <w:sz w:val="24"/>
          <w:szCs w:val="24"/>
        </w:rPr>
        <w:t>）浓度限值及其他标准限值要求，</w:t>
      </w:r>
      <w:r>
        <w:rPr>
          <w:rFonts w:ascii="Times New Roman" w:eastAsia="宋体" w:hint="eastAsia"/>
          <w:iCs/>
          <w:color w:val="000000" w:themeColor="text1"/>
          <w:sz w:val="24"/>
          <w:szCs w:val="24"/>
        </w:rPr>
        <w:t>1</w:t>
      </w:r>
      <w:r>
        <w:rPr>
          <w:rFonts w:ascii="Times New Roman" w:eastAsia="宋体" w:hint="eastAsia"/>
          <w:iCs/>
          <w:color w:val="000000" w:themeColor="text1"/>
          <w:sz w:val="24"/>
          <w:szCs w:val="24"/>
        </w:rPr>
        <w:t>小时最大浓度贡献值、日均最大浓度贡献值占标率小于</w:t>
      </w:r>
      <w:r>
        <w:rPr>
          <w:rFonts w:ascii="Times New Roman" w:eastAsia="宋体" w:hint="eastAsia"/>
          <w:iCs/>
          <w:color w:val="000000" w:themeColor="text1"/>
          <w:sz w:val="24"/>
          <w:szCs w:val="24"/>
        </w:rPr>
        <w:t>100%</w:t>
      </w:r>
      <w:r>
        <w:rPr>
          <w:rFonts w:ascii="Times New Roman" w:eastAsia="宋体" w:hint="eastAsia"/>
          <w:iCs/>
          <w:color w:val="000000" w:themeColor="text1"/>
          <w:sz w:val="24"/>
          <w:szCs w:val="24"/>
        </w:rPr>
        <w:t>，年均最大浓度贡献值占标率小于</w:t>
      </w:r>
      <w:r>
        <w:rPr>
          <w:rFonts w:ascii="Times New Roman" w:eastAsia="宋体" w:hint="eastAsia"/>
          <w:iCs/>
          <w:color w:val="000000" w:themeColor="text1"/>
          <w:sz w:val="24"/>
          <w:szCs w:val="24"/>
        </w:rPr>
        <w:t>30%</w:t>
      </w:r>
      <w:r>
        <w:rPr>
          <w:rFonts w:ascii="Times New Roman" w:eastAsia="宋体" w:hint="eastAsia"/>
          <w:iCs/>
          <w:color w:val="000000" w:themeColor="text1"/>
          <w:sz w:val="24"/>
          <w:szCs w:val="24"/>
        </w:rPr>
        <w:t>。</w:t>
      </w:r>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hint="eastAsia"/>
          <w:color w:val="000000" w:themeColor="text1"/>
          <w:sz w:val="24"/>
          <w:szCs w:val="24"/>
        </w:rPr>
        <w:t>由预测可知，本项目</w:t>
      </w:r>
      <w:r>
        <w:rPr>
          <w:rFonts w:ascii="Times New Roman" w:eastAsia="宋体" w:hint="eastAsia"/>
          <w:iCs/>
          <w:color w:val="000000" w:themeColor="text1"/>
          <w:sz w:val="24"/>
          <w:szCs w:val="24"/>
        </w:rPr>
        <w:t>厂界无组织排放最大地面浓度均满足《大气污染物综合排放标准》（</w:t>
      </w:r>
      <w:r>
        <w:rPr>
          <w:rFonts w:ascii="Times New Roman" w:eastAsia="宋体" w:hint="eastAsia"/>
          <w:iCs/>
          <w:color w:val="000000" w:themeColor="text1"/>
          <w:sz w:val="24"/>
          <w:szCs w:val="24"/>
        </w:rPr>
        <w:t>GB16297-1996</w:t>
      </w:r>
      <w:r>
        <w:rPr>
          <w:rFonts w:ascii="Times New Roman" w:eastAsia="宋体" w:hint="eastAsia"/>
          <w:iCs/>
          <w:color w:val="000000" w:themeColor="text1"/>
          <w:sz w:val="24"/>
          <w:szCs w:val="24"/>
        </w:rPr>
        <w:t>）表中二级标准。</w:t>
      </w:r>
      <w:r>
        <w:rPr>
          <w:rFonts w:ascii="Times New Roman" w:eastAsia="宋体" w:hint="eastAsia"/>
          <w:color w:val="000000" w:themeColor="text1"/>
          <w:sz w:val="24"/>
          <w:szCs w:val="24"/>
        </w:rPr>
        <w:t>非正常情况下，氨的小时浓度值出现超标，对区域环境的影响较正常情况增幅较大，故项目运营期，必须严格管理，采取措施减少非正常排放情</w:t>
      </w:r>
      <w:r>
        <w:rPr>
          <w:rFonts w:ascii="Times New Roman" w:eastAsia="宋体" w:hint="eastAsia"/>
          <w:color w:val="000000" w:themeColor="text1"/>
          <w:sz w:val="24"/>
          <w:szCs w:val="24"/>
        </w:rPr>
        <w:t>况的发生。</w:t>
      </w:r>
      <w:r>
        <w:rPr>
          <w:rFonts w:ascii="Times New Roman" w:eastAsia="宋体" w:hint="eastAsia"/>
          <w:iCs/>
          <w:color w:val="000000" w:themeColor="text1"/>
          <w:sz w:val="24"/>
          <w:szCs w:val="24"/>
        </w:rPr>
        <w:t>厂界外网格区域的小时最大浓度预测值满足环境质量标准，无超标点，本项目不需设置大气环境防护距离</w:t>
      </w:r>
      <w:r>
        <w:rPr>
          <w:rFonts w:ascii="Times New Roman" w:eastAsia="宋体" w:hint="eastAsia"/>
          <w:color w:val="000000" w:themeColor="text1"/>
          <w:sz w:val="24"/>
          <w:szCs w:val="24"/>
        </w:rPr>
        <w:t>，但应设置</w:t>
      </w:r>
      <w:r>
        <w:rPr>
          <w:rFonts w:ascii="Times New Roman" w:eastAsia="宋体" w:hint="eastAsia"/>
          <w:color w:val="000000" w:themeColor="text1"/>
          <w:sz w:val="24"/>
          <w:szCs w:val="24"/>
        </w:rPr>
        <w:t>400m</w:t>
      </w:r>
      <w:r>
        <w:rPr>
          <w:rFonts w:ascii="Times New Roman" w:eastAsia="宋体" w:hint="eastAsia"/>
          <w:color w:val="000000" w:themeColor="text1"/>
          <w:sz w:val="24"/>
          <w:szCs w:val="24"/>
        </w:rPr>
        <w:t>的卫生防护距离。</w:t>
      </w:r>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hint="eastAsia"/>
          <w:color w:val="000000" w:themeColor="text1"/>
          <w:sz w:val="24"/>
          <w:szCs w:val="24"/>
        </w:rPr>
        <w:t>综上所述，本项目对大气环境的影响是可以接受的。</w:t>
      </w:r>
    </w:p>
    <w:bookmarkStart w:id="432" w:name="_Toc18624"/>
    <w:bookmarkStart w:id="433" w:name="_Toc13448"/>
    <w:bookmarkStart w:id="434" w:name="_Toc25166"/>
    <w:bookmarkStart w:id="435" w:name="_Toc22536"/>
    <w:p w:rsidR="00C861DA" w:rsidRDefault="0044752E">
      <w:pPr>
        <w:pStyle w:val="22"/>
        <w:rPr>
          <w:rFonts w:ascii="Times New Roman" w:eastAsia="宋体" w:hAnsi="Times New Roman"/>
          <w:bCs w:val="0"/>
          <w:color w:val="000000" w:themeColor="text1"/>
          <w:sz w:val="28"/>
          <w:szCs w:val="28"/>
        </w:rPr>
      </w:pPr>
      <w:r>
        <w:rPr>
          <w:rFonts w:ascii="Times New Roman" w:eastAsia="宋体" w:hAnsi="Times New Roman"/>
          <w:bCs w:val="0"/>
          <w:color w:val="000000" w:themeColor="text1"/>
          <w:sz w:val="28"/>
          <w:szCs w:val="28"/>
        </w:rPr>
        <w:fldChar w:fldCharType="begin"/>
      </w:r>
      <w:r>
        <w:rPr>
          <w:rFonts w:ascii="Times New Roman" w:eastAsia="宋体" w:hAnsi="Times New Roman"/>
          <w:bCs w:val="0"/>
          <w:color w:val="000000" w:themeColor="text1"/>
          <w:sz w:val="28"/>
          <w:szCs w:val="28"/>
        </w:rPr>
        <w:instrText xml:space="preserve"> HYPERLINK \l "_Toc512505477" </w:instrText>
      </w:r>
      <w:r>
        <w:rPr>
          <w:rFonts w:ascii="Times New Roman" w:eastAsia="宋体" w:hAnsi="Times New Roman"/>
          <w:bCs w:val="0"/>
          <w:color w:val="000000" w:themeColor="text1"/>
          <w:sz w:val="28"/>
          <w:szCs w:val="28"/>
        </w:rPr>
        <w:fldChar w:fldCharType="separate"/>
      </w:r>
      <w:bookmarkStart w:id="436" w:name="_Toc6826845"/>
      <w:r>
        <w:rPr>
          <w:rFonts w:ascii="Times New Roman" w:eastAsia="宋体" w:hAnsi="Times New Roman"/>
          <w:bCs w:val="0"/>
          <w:color w:val="000000" w:themeColor="text1"/>
          <w:sz w:val="28"/>
          <w:szCs w:val="28"/>
        </w:rPr>
        <w:t>7.2</w:t>
      </w:r>
      <w:r>
        <w:rPr>
          <w:rFonts w:ascii="Times New Roman" w:eastAsia="宋体" w:hAnsi="Times New Roman" w:hint="eastAsia"/>
          <w:bCs w:val="0"/>
          <w:color w:val="000000" w:themeColor="text1"/>
          <w:sz w:val="28"/>
          <w:szCs w:val="28"/>
        </w:rPr>
        <w:t>地表水环境影响分析</w:t>
      </w:r>
      <w:bookmarkEnd w:id="436"/>
      <w:r>
        <w:rPr>
          <w:rFonts w:ascii="Times New Roman" w:eastAsia="宋体" w:hAnsi="Times New Roman"/>
          <w:bCs w:val="0"/>
          <w:color w:val="000000" w:themeColor="text1"/>
          <w:sz w:val="28"/>
          <w:szCs w:val="28"/>
        </w:rPr>
        <w:fldChar w:fldCharType="end"/>
      </w:r>
      <w:bookmarkEnd w:id="432"/>
      <w:bookmarkEnd w:id="433"/>
      <w:bookmarkEnd w:id="434"/>
      <w:bookmarkEnd w:id="435"/>
    </w:p>
    <w:p w:rsidR="00C861DA" w:rsidRDefault="0044752E">
      <w:pPr>
        <w:pStyle w:val="32"/>
        <w:rPr>
          <w:rFonts w:ascii="Times New Roman" w:eastAsia="宋体"/>
          <w:bCs w:val="0"/>
          <w:color w:val="000000" w:themeColor="text1"/>
          <w:sz w:val="24"/>
          <w:szCs w:val="24"/>
        </w:rPr>
      </w:pPr>
      <w:bookmarkStart w:id="437" w:name="_Toc4731"/>
      <w:bookmarkStart w:id="438" w:name="_Toc1296"/>
      <w:bookmarkStart w:id="439" w:name="_Toc20313"/>
      <w:bookmarkStart w:id="440" w:name="_Toc30133"/>
      <w:bookmarkStart w:id="441" w:name="_Toc6826846"/>
      <w:r>
        <w:rPr>
          <w:rFonts w:ascii="Times New Roman" w:eastAsia="宋体" w:hint="eastAsia"/>
          <w:bCs w:val="0"/>
          <w:color w:val="000000" w:themeColor="text1"/>
          <w:sz w:val="24"/>
          <w:szCs w:val="24"/>
        </w:rPr>
        <w:t>7.2.1</w:t>
      </w:r>
      <w:r>
        <w:rPr>
          <w:rFonts w:ascii="Times New Roman" w:eastAsia="宋体" w:hint="eastAsia"/>
          <w:bCs w:val="0"/>
          <w:color w:val="000000" w:themeColor="text1"/>
          <w:sz w:val="24"/>
          <w:szCs w:val="24"/>
        </w:rPr>
        <w:t>排水量及排水去向</w:t>
      </w:r>
      <w:bookmarkEnd w:id="437"/>
      <w:bookmarkEnd w:id="438"/>
      <w:bookmarkEnd w:id="439"/>
      <w:bookmarkEnd w:id="440"/>
      <w:bookmarkEnd w:id="441"/>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根据工程分析，本项目正常运营过程中产生的废水包括生产废水。</w:t>
      </w:r>
    </w:p>
    <w:p w:rsidR="00C861DA" w:rsidRDefault="0044752E">
      <w:pPr>
        <w:spacing w:line="360" w:lineRule="auto"/>
        <w:ind w:leftChars="50" w:left="105" w:rightChars="50" w:right="105" w:firstLineChars="200" w:firstLine="482"/>
        <w:rPr>
          <w:rFonts w:ascii="Times New Roman" w:eastAsia="宋体" w:hAnsi="Times New Roman" w:cs="Times New Roman"/>
          <w:b/>
          <w:color w:val="000000" w:themeColor="text1"/>
          <w:sz w:val="24"/>
        </w:rPr>
      </w:pPr>
      <w:bookmarkStart w:id="442" w:name="_Toc529021144"/>
      <w:bookmarkStart w:id="443" w:name="_Toc529024231"/>
      <w:bookmarkStart w:id="444" w:name="_Toc529020038"/>
      <w:r>
        <w:rPr>
          <w:rFonts w:ascii="Times New Roman" w:eastAsia="宋体" w:hAnsi="Times New Roman" w:cs="Times New Roman"/>
          <w:b/>
          <w:color w:val="000000" w:themeColor="text1"/>
          <w:sz w:val="24"/>
        </w:rPr>
        <w:t>（</w:t>
      </w:r>
      <w:r>
        <w:rPr>
          <w:rFonts w:ascii="Times New Roman" w:eastAsia="宋体" w:hAnsi="Times New Roman" w:cs="Times New Roman"/>
          <w:b/>
          <w:color w:val="000000" w:themeColor="text1"/>
          <w:sz w:val="24"/>
        </w:rPr>
        <w:t>1</w:t>
      </w:r>
      <w:r>
        <w:rPr>
          <w:rFonts w:ascii="Times New Roman" w:eastAsia="宋体" w:hAnsi="Times New Roman" w:cs="Times New Roman"/>
          <w:b/>
          <w:color w:val="000000" w:themeColor="text1"/>
          <w:sz w:val="24"/>
        </w:rPr>
        <w:t>）生产废水</w:t>
      </w:r>
      <w:bookmarkEnd w:id="442"/>
      <w:bookmarkEnd w:id="443"/>
      <w:bookmarkEnd w:id="444"/>
    </w:p>
    <w:p w:rsidR="00C861DA" w:rsidRDefault="0044752E">
      <w:pPr>
        <w:spacing w:line="360" w:lineRule="auto"/>
        <w:ind w:leftChars="50" w:left="105" w:rightChars="50" w:right="105"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1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①</w:t>
      </w:r>
      <w:r>
        <w:rPr>
          <w:rFonts w:ascii="Times New Roman" w:eastAsia="宋体" w:hAnsi="Times New Roman" w:cs="Times New Roman"/>
          <w:b/>
          <w:color w:val="000000" w:themeColor="text1"/>
          <w:sz w:val="24"/>
        </w:rPr>
        <w:fldChar w:fldCharType="end"/>
      </w:r>
      <w:r>
        <w:rPr>
          <w:rFonts w:ascii="Times New Roman" w:eastAsia="宋体" w:hAnsi="Times New Roman" w:cs="Times New Roman" w:hint="eastAsia"/>
          <w:b/>
          <w:color w:val="000000" w:themeColor="text1"/>
          <w:sz w:val="24"/>
        </w:rPr>
        <w:t>生产废水处置方式</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本项目产生的废水均</w:t>
      </w:r>
      <w:r>
        <w:rPr>
          <w:rFonts w:ascii="Times New Roman" w:eastAsia="宋体" w:hAnsi="Times New Roman" w:cs="Times New Roman" w:hint="eastAsia"/>
          <w:color w:val="000000" w:themeColor="text1"/>
          <w:sz w:val="24"/>
        </w:rPr>
        <w:t>收集与生产废水收集池，沉淀处理后</w:t>
      </w:r>
      <w:r>
        <w:rPr>
          <w:rFonts w:ascii="Times New Roman" w:eastAsia="宋体" w:hAnsi="Times New Roman" w:cs="Times New Roman"/>
          <w:color w:val="000000" w:themeColor="text1"/>
          <w:sz w:val="24"/>
        </w:rPr>
        <w:t>抽送至祥丰金麦有限公司作为脱硫剂用水，不外排，不会对环境产生不利影响。</w:t>
      </w:r>
    </w:p>
    <w:p w:rsidR="00C861DA" w:rsidRDefault="0044752E">
      <w:pPr>
        <w:spacing w:line="360" w:lineRule="auto"/>
        <w:ind w:leftChars="50" w:left="105" w:rightChars="50" w:right="105" w:firstLineChars="200" w:firstLine="482"/>
        <w:rPr>
          <w:rFonts w:ascii="宋体" w:eastAsia="宋体" w:hAnsi="宋体"/>
          <w:b/>
          <w:color w:val="000000" w:themeColor="text1"/>
          <w:sz w:val="24"/>
        </w:rPr>
      </w:pPr>
      <w:r>
        <w:rPr>
          <w:rFonts w:ascii="宋体" w:eastAsia="宋体" w:hAnsi="宋体"/>
          <w:b/>
          <w:color w:val="000000" w:themeColor="text1"/>
          <w:sz w:val="24"/>
        </w:rPr>
        <w:fldChar w:fldCharType="begin"/>
      </w:r>
      <w:r>
        <w:rPr>
          <w:rFonts w:ascii="宋体" w:eastAsia="宋体" w:hAnsi="宋体"/>
          <w:b/>
          <w:color w:val="000000" w:themeColor="text1"/>
          <w:sz w:val="24"/>
        </w:rPr>
        <w:instrText xml:space="preserve"> </w:instrText>
      </w:r>
      <w:r>
        <w:rPr>
          <w:rFonts w:ascii="宋体" w:eastAsia="宋体" w:hAnsi="宋体" w:hint="eastAsia"/>
          <w:b/>
          <w:color w:val="000000" w:themeColor="text1"/>
          <w:sz w:val="24"/>
        </w:rPr>
        <w:instrText>= 2 \* GB3</w:instrText>
      </w:r>
      <w:r>
        <w:rPr>
          <w:rFonts w:ascii="宋体" w:eastAsia="宋体" w:hAnsi="宋体"/>
          <w:b/>
          <w:color w:val="000000" w:themeColor="text1"/>
          <w:sz w:val="24"/>
        </w:rPr>
        <w:instrText xml:space="preserve"> </w:instrText>
      </w:r>
      <w:r>
        <w:rPr>
          <w:rFonts w:ascii="宋体" w:eastAsia="宋体" w:hAnsi="宋体"/>
          <w:b/>
          <w:color w:val="000000" w:themeColor="text1"/>
          <w:sz w:val="24"/>
        </w:rPr>
        <w:fldChar w:fldCharType="separate"/>
      </w:r>
      <w:r>
        <w:rPr>
          <w:rFonts w:ascii="宋体" w:eastAsia="宋体" w:hAnsi="宋体" w:hint="eastAsia"/>
          <w:b/>
          <w:color w:val="000000" w:themeColor="text1"/>
          <w:sz w:val="24"/>
        </w:rPr>
        <w:t>②</w:t>
      </w:r>
      <w:r>
        <w:rPr>
          <w:rFonts w:ascii="宋体" w:eastAsia="宋体" w:hAnsi="宋体"/>
          <w:b/>
          <w:color w:val="000000" w:themeColor="text1"/>
          <w:sz w:val="24"/>
        </w:rPr>
        <w:fldChar w:fldCharType="end"/>
      </w:r>
      <w:r>
        <w:rPr>
          <w:rFonts w:ascii="宋体" w:eastAsia="宋体" w:hAnsi="宋体"/>
          <w:b/>
          <w:color w:val="000000" w:themeColor="text1"/>
          <w:sz w:val="24"/>
        </w:rPr>
        <w:t>生产废水接纳可行性分析</w:t>
      </w:r>
    </w:p>
    <w:p w:rsidR="00C861DA" w:rsidRDefault="0044752E">
      <w:pPr>
        <w:spacing w:line="360" w:lineRule="auto"/>
        <w:ind w:leftChars="50" w:left="105" w:rightChars="50" w:right="105" w:firstLineChars="200" w:firstLine="482"/>
        <w:rPr>
          <w:rFonts w:ascii="宋体" w:eastAsia="宋体" w:hAnsi="宋体" w:cs="Times New Roman"/>
          <w:b/>
          <w:color w:val="000000" w:themeColor="text1"/>
          <w:sz w:val="24"/>
        </w:rPr>
      </w:pPr>
      <w:r>
        <w:rPr>
          <w:rFonts w:ascii="宋体" w:eastAsia="宋体" w:hAnsi="宋体" w:cs="Times New Roman"/>
          <w:b/>
          <w:color w:val="000000" w:themeColor="text1"/>
          <w:sz w:val="24"/>
        </w:rPr>
        <w:t>A</w:t>
      </w:r>
      <w:r>
        <w:rPr>
          <w:rFonts w:ascii="宋体" w:eastAsia="宋体" w:hAnsi="宋体" w:cs="Times New Roman"/>
          <w:b/>
          <w:color w:val="000000" w:themeColor="text1"/>
          <w:sz w:val="24"/>
        </w:rPr>
        <w:t>、水量接纳可行性分析</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宋体" w:eastAsia="宋体" w:hAnsi="宋体" w:cs="Times New Roman"/>
          <w:color w:val="000000" w:themeColor="text1"/>
          <w:sz w:val="24"/>
        </w:rPr>
        <w:t>本项目产生的冷却废水</w:t>
      </w:r>
      <w:r>
        <w:rPr>
          <w:rFonts w:ascii="Times New Roman" w:eastAsia="宋体" w:hAnsi="Times New Roman" w:cs="Times New Roman"/>
          <w:color w:val="000000" w:themeColor="text1"/>
          <w:sz w:val="24"/>
        </w:rPr>
        <w:t>均通过</w:t>
      </w:r>
      <w:r>
        <w:rPr>
          <w:rFonts w:ascii="Times New Roman" w:eastAsia="宋体" w:hAnsi="Times New Roman" w:cs="Times New Roman"/>
          <w:color w:val="FF0000"/>
          <w:sz w:val="24"/>
        </w:rPr>
        <w:t>管道输送至祥丰金麦氨法脱硫塔作为</w:t>
      </w:r>
      <w:r>
        <w:rPr>
          <w:rFonts w:ascii="Times New Roman" w:eastAsia="宋体" w:hAnsi="Times New Roman" w:cs="Times New Roman"/>
          <w:color w:val="000000" w:themeColor="text1"/>
          <w:sz w:val="24"/>
        </w:rPr>
        <w:t>脱硫剂使用，根据工程分析，输送至祥丰金麦的废水总量约为</w:t>
      </w:r>
      <w:r>
        <w:rPr>
          <w:rFonts w:ascii="Times New Roman" w:eastAsia="宋体" w:hAnsi="Times New Roman" w:cs="Times New Roman"/>
          <w:color w:val="000000" w:themeColor="text1"/>
          <w:sz w:val="24"/>
        </w:rPr>
        <w:t>875m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/a</w:t>
      </w:r>
      <w:r>
        <w:rPr>
          <w:rFonts w:ascii="Times New Roman" w:eastAsia="宋体" w:hAnsi="Times New Roman" w:cs="Times New Roman"/>
          <w:color w:val="000000" w:themeColor="text1"/>
          <w:sz w:val="24"/>
        </w:rPr>
        <w:t>，根据祥丰金麦有限公司提供的资料，祥丰金麦有限公司水平衡如下图所示：</w:t>
      </w:r>
    </w:p>
    <w:p w:rsidR="00C861DA" w:rsidRDefault="0044752E">
      <w:pPr>
        <w:spacing w:line="360" w:lineRule="auto"/>
        <w:ind w:leftChars="50" w:left="105" w:rightChars="50" w:right="105" w:firstLineChars="200" w:firstLine="420"/>
        <w:rPr>
          <w:color w:val="000000" w:themeColor="text1"/>
          <w:sz w:val="24"/>
        </w:rPr>
      </w:pPr>
      <w:r>
        <w:rPr>
          <w:color w:val="000000" w:themeColor="text1"/>
        </w:rPr>
        <w:pict>
          <v:shape id="_x0000_i1027" type="#_x0000_t75" style="width:415.2pt;height:270pt">
            <v:imagedata r:id="rId37" o:title=""/>
          </v:shape>
        </w:pict>
      </w:r>
    </w:p>
    <w:p w:rsidR="00C861DA" w:rsidRDefault="0044752E">
      <w:pPr>
        <w:ind w:leftChars="50" w:left="105" w:rightChars="50" w:right="105"/>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图</w:t>
      </w:r>
      <w:r>
        <w:rPr>
          <w:rFonts w:ascii="Times New Roman" w:eastAsia="宋体" w:hAnsi="Times New Roman" w:cs="Times New Roman"/>
          <w:b/>
          <w:color w:val="000000" w:themeColor="text1"/>
          <w:sz w:val="24"/>
        </w:rPr>
        <w:t xml:space="preserve">7.2-1  </w:t>
      </w:r>
      <w:r>
        <w:rPr>
          <w:rFonts w:ascii="Times New Roman" w:eastAsia="宋体" w:hAnsi="Times New Roman" w:cs="Times New Roman"/>
          <w:b/>
          <w:color w:val="000000" w:themeColor="text1"/>
          <w:sz w:val="24"/>
        </w:rPr>
        <w:t>祥丰金麦有限公司水平衡图（</w:t>
      </w:r>
      <w:r>
        <w:rPr>
          <w:rFonts w:ascii="Times New Roman" w:eastAsia="宋体" w:hAnsi="Times New Roman" w:cs="Times New Roman"/>
          <w:b/>
          <w:color w:val="000000" w:themeColor="text1"/>
          <w:sz w:val="24"/>
        </w:rPr>
        <w:t>m</w:t>
      </w:r>
      <w:r>
        <w:rPr>
          <w:rFonts w:ascii="Times New Roman" w:eastAsia="宋体" w:hAnsi="Times New Roman" w:cs="Times New Roman"/>
          <w:b/>
          <w:color w:val="000000" w:themeColor="text1"/>
          <w:sz w:val="24"/>
          <w:vertAlign w:val="superscript"/>
        </w:rPr>
        <w:t>3</w:t>
      </w:r>
      <w:r>
        <w:rPr>
          <w:rFonts w:ascii="Times New Roman" w:eastAsia="宋体" w:hAnsi="Times New Roman" w:cs="Times New Roman"/>
          <w:b/>
          <w:color w:val="000000" w:themeColor="text1"/>
          <w:sz w:val="24"/>
        </w:rPr>
        <w:t>/h</w:t>
      </w:r>
      <w:r>
        <w:rPr>
          <w:rFonts w:ascii="Times New Roman" w:eastAsia="宋体" w:hAnsi="Times New Roman" w:cs="Times New Roman"/>
          <w:b/>
          <w:color w:val="000000" w:themeColor="text1"/>
          <w:sz w:val="24"/>
        </w:rPr>
        <w:t>）</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本项目涉及的湿磨工艺现状需补充新水</w:t>
      </w:r>
      <w:r>
        <w:rPr>
          <w:rFonts w:ascii="Times New Roman" w:eastAsia="宋体" w:hAnsi="Times New Roman" w:cs="Times New Roman"/>
          <w:color w:val="000000" w:themeColor="text1"/>
          <w:sz w:val="24"/>
        </w:rPr>
        <w:t>6m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/h</w:t>
      </w:r>
      <w:r>
        <w:rPr>
          <w:rFonts w:ascii="Times New Roman" w:eastAsia="宋体" w:hAnsi="Times New Roman" w:cs="Times New Roman"/>
          <w:color w:val="000000" w:themeColor="text1"/>
          <w:sz w:val="24"/>
        </w:rPr>
        <w:t>，即用新水量为</w:t>
      </w:r>
      <w:r>
        <w:rPr>
          <w:rFonts w:ascii="Times New Roman" w:eastAsia="宋体" w:hAnsi="Times New Roman" w:cs="Times New Roman"/>
          <w:color w:val="000000" w:themeColor="text1"/>
          <w:sz w:val="24"/>
        </w:rPr>
        <w:t>1.44</w:t>
      </w:r>
      <w:r>
        <w:rPr>
          <w:rFonts w:ascii="Times New Roman" w:eastAsia="宋体" w:hAnsi="Times New Roman" w:cs="Times New Roman"/>
          <w:color w:val="000000" w:themeColor="text1"/>
          <w:sz w:val="24"/>
        </w:rPr>
        <w:t>万</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，远大于本项目输送的废水总量，从水量接纳角度来看是可行的。</w:t>
      </w:r>
    </w:p>
    <w:p w:rsidR="00C861DA" w:rsidRDefault="0044752E">
      <w:pPr>
        <w:spacing w:line="360" w:lineRule="auto"/>
        <w:ind w:leftChars="50" w:left="105" w:rightChars="50" w:right="105"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B</w:t>
      </w:r>
      <w:r>
        <w:rPr>
          <w:rFonts w:ascii="Times New Roman" w:eastAsia="宋体" w:hAnsi="Times New Roman" w:cs="Times New Roman"/>
          <w:b/>
          <w:color w:val="000000" w:themeColor="text1"/>
          <w:sz w:val="24"/>
        </w:rPr>
        <w:t>、水质接纳可行性分析</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本项目输送至祥丰金麦的废水冷却废水，仅硬度较高，能够满足湿法球磨站补充用水对水质要求。</w:t>
      </w:r>
    </w:p>
    <w:p w:rsidR="00C861DA" w:rsidRDefault="0044752E">
      <w:pPr>
        <w:spacing w:line="360" w:lineRule="auto"/>
        <w:ind w:leftChars="50" w:left="105" w:rightChars="50" w:right="105"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w:t>
      </w:r>
      <w:r>
        <w:rPr>
          <w:rFonts w:ascii="Times New Roman" w:eastAsia="宋体" w:hAnsi="Times New Roman" w:cs="Times New Roman"/>
          <w:b/>
          <w:color w:val="000000" w:themeColor="text1"/>
          <w:sz w:val="24"/>
        </w:rPr>
        <w:t>2</w:t>
      </w:r>
      <w:r>
        <w:rPr>
          <w:rFonts w:ascii="Times New Roman" w:eastAsia="宋体" w:hAnsi="Times New Roman" w:cs="Times New Roman"/>
          <w:b/>
          <w:color w:val="000000" w:themeColor="text1"/>
          <w:sz w:val="24"/>
        </w:rPr>
        <w:t>）生活废水</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本项目正常运行期间，员工产生的生活废水均依托合成氨项目生活废水处理站处置，经处置达标后</w:t>
      </w:r>
      <w:r>
        <w:rPr>
          <w:rFonts w:ascii="Times New Roman" w:eastAsia="宋体" w:hAnsi="Times New Roman" w:cs="Times New Roman" w:hint="eastAsia"/>
          <w:color w:val="000000" w:themeColor="text1"/>
          <w:sz w:val="24"/>
        </w:rPr>
        <w:t>用于绿化</w:t>
      </w:r>
      <w:r>
        <w:rPr>
          <w:rFonts w:ascii="Times New Roman" w:eastAsia="宋体" w:hAnsi="Times New Roman" w:cs="Times New Roman"/>
          <w:color w:val="000000" w:themeColor="text1"/>
          <w:sz w:val="24"/>
        </w:rPr>
        <w:t>，对周边地表水环境影响较小。</w:t>
      </w:r>
    </w:p>
    <w:p w:rsidR="00C861DA" w:rsidRDefault="0044752E">
      <w:pPr>
        <w:spacing w:line="360" w:lineRule="auto"/>
        <w:ind w:leftChars="50" w:left="105" w:rightChars="50" w:right="105" w:firstLineChars="200" w:firstLine="482"/>
        <w:rPr>
          <w:rFonts w:ascii="Times New Roman" w:eastAsia="宋体" w:hAnsi="Times New Roman" w:cs="Times New Roman"/>
          <w:b/>
          <w:color w:val="000000" w:themeColor="text1"/>
          <w:sz w:val="24"/>
        </w:rPr>
      </w:pPr>
      <w:bookmarkStart w:id="445" w:name="_Toc529021145"/>
      <w:bookmarkStart w:id="446" w:name="_Toc529020039"/>
      <w:bookmarkStart w:id="447" w:name="_Toc529024232"/>
      <w:r>
        <w:rPr>
          <w:rFonts w:ascii="Times New Roman" w:eastAsia="宋体" w:hAnsi="Times New Roman" w:cs="Times New Roman"/>
          <w:b/>
          <w:color w:val="000000" w:themeColor="text1"/>
          <w:sz w:val="24"/>
        </w:rPr>
        <w:t>（</w:t>
      </w:r>
      <w:r>
        <w:rPr>
          <w:rFonts w:ascii="Times New Roman" w:eastAsia="宋体" w:hAnsi="Times New Roman" w:cs="Times New Roman"/>
          <w:b/>
          <w:color w:val="000000" w:themeColor="text1"/>
          <w:sz w:val="24"/>
        </w:rPr>
        <w:t>3</w:t>
      </w:r>
      <w:r>
        <w:rPr>
          <w:rFonts w:ascii="Times New Roman" w:eastAsia="宋体" w:hAnsi="Times New Roman" w:cs="Times New Roman"/>
          <w:b/>
          <w:color w:val="000000" w:themeColor="text1"/>
          <w:sz w:val="24"/>
        </w:rPr>
        <w:t>）厂区初期雨水</w:t>
      </w:r>
      <w:bookmarkEnd w:id="445"/>
      <w:bookmarkEnd w:id="446"/>
      <w:bookmarkEnd w:id="447"/>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初期雨水会将散落在厂区地面的粉尘汇集，从而含有大量悬浮物等污染物质</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若不进行收集处理，将对附近水环境造成影响。目前场地内截排水设施较为完善，厂内建有</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个容积为</w:t>
      </w:r>
      <w:r>
        <w:rPr>
          <w:rFonts w:ascii="Times New Roman" w:eastAsia="宋体" w:hAnsi="Times New Roman" w:cs="Times New Roman"/>
          <w:color w:val="000000" w:themeColor="text1"/>
          <w:sz w:val="24"/>
        </w:rPr>
        <w:t>4300m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的初期雨水收集池，初期雨水池均位于厂区内低洼处。</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lang w:bidi="en-US"/>
        </w:rPr>
        <w:t>根据上述计算，本项目初期雨水量约为</w:t>
      </w:r>
      <w:r>
        <w:rPr>
          <w:rFonts w:ascii="Times New Roman" w:eastAsia="宋体" w:hAnsi="Times New Roman" w:cs="Times New Roman"/>
          <w:color w:val="000000" w:themeColor="text1"/>
          <w:sz w:val="24"/>
          <w:lang w:bidi="en-US"/>
        </w:rPr>
        <w:t>675m</w:t>
      </w:r>
      <w:r>
        <w:rPr>
          <w:rFonts w:ascii="Times New Roman" w:eastAsia="宋体" w:hAnsi="Times New Roman" w:cs="Times New Roman"/>
          <w:color w:val="000000" w:themeColor="text1"/>
          <w:sz w:val="24"/>
          <w:vertAlign w:val="superscript"/>
          <w:lang w:bidi="en-US"/>
        </w:rPr>
        <w:t>3</w:t>
      </w:r>
      <w:r>
        <w:rPr>
          <w:rFonts w:ascii="Times New Roman" w:eastAsia="宋体" w:hAnsi="Times New Roman" w:cs="Times New Roman"/>
          <w:color w:val="000000" w:themeColor="text1"/>
          <w:sz w:val="24"/>
          <w:lang w:bidi="en-US"/>
        </w:rPr>
        <w:t>，</w:t>
      </w:r>
      <w:r>
        <w:rPr>
          <w:rFonts w:ascii="Times New Roman" w:eastAsia="宋体" w:hAnsi="Times New Roman" w:cs="Times New Roman"/>
          <w:color w:val="000000" w:themeColor="text1"/>
          <w:sz w:val="24"/>
        </w:rPr>
        <w:t>拟建项目收集前</w:t>
      </w:r>
      <w:r>
        <w:rPr>
          <w:rFonts w:ascii="Times New Roman" w:eastAsia="宋体" w:hAnsi="Times New Roman" w:cs="Times New Roman"/>
          <w:color w:val="000000" w:themeColor="text1"/>
          <w:sz w:val="24"/>
        </w:rPr>
        <w:t>15mm</w:t>
      </w:r>
      <w:r>
        <w:rPr>
          <w:rFonts w:ascii="Times New Roman" w:eastAsia="宋体" w:hAnsi="Times New Roman" w:cs="Times New Roman"/>
          <w:color w:val="000000" w:themeColor="text1"/>
          <w:sz w:val="24"/>
        </w:rPr>
        <w:t>初期雨水量。则本项目拟建雨水收集池能够满足对初期雨水的收集需求。</w:t>
      </w:r>
    </w:p>
    <w:p w:rsidR="00C861DA" w:rsidRDefault="0044752E">
      <w:pPr>
        <w:spacing w:line="360" w:lineRule="auto"/>
        <w:ind w:leftChars="50" w:left="105" w:rightChars="50" w:right="105"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综上，本项目产生的生产废水均不外排，生活污水经处理达标后排</w:t>
      </w:r>
      <w:r>
        <w:rPr>
          <w:rFonts w:ascii="Times New Roman" w:eastAsia="宋体" w:hAnsi="Times New Roman" w:cs="Times New Roman" w:hint="eastAsia"/>
          <w:color w:val="000000" w:themeColor="text1"/>
          <w:sz w:val="24"/>
        </w:rPr>
        <w:t>用于绿化</w:t>
      </w:r>
      <w:r>
        <w:rPr>
          <w:rFonts w:ascii="Times New Roman" w:eastAsia="宋体" w:hAnsi="Times New Roman" w:cs="Times New Roman"/>
          <w:color w:val="000000" w:themeColor="text1"/>
          <w:sz w:val="24"/>
        </w:rPr>
        <w:t>，最终入片区污水处理厂处置，雨水经处理达标后回用于冷却和脱硫补给用水，对项目区所在区域地表水环境影响较小。</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）事故废水</w:t>
      </w:r>
    </w:p>
    <w:p w:rsidR="00C861DA" w:rsidRDefault="0044752E">
      <w:pPr>
        <w:spacing w:line="360" w:lineRule="auto"/>
        <w:ind w:firstLineChars="200" w:firstLine="480"/>
        <w:jc w:val="both"/>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t>项目生产过程中的地表水环境风险，主要表现为事故条件下，清消废水处理不当，直接排放进入水体，对地表水环境的影响。</w:t>
      </w:r>
    </w:p>
    <w:p w:rsidR="00C861DA" w:rsidRDefault="0044752E">
      <w:pPr>
        <w:spacing w:line="360" w:lineRule="auto"/>
        <w:ind w:firstLineChars="200" w:firstLine="480"/>
        <w:jc w:val="both"/>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t>消防用水量按</w:t>
      </w:r>
      <w:r>
        <w:rPr>
          <w:rFonts w:ascii="Times New Roman" w:eastAsia="宋体" w:hAnsi="Times New Roman" w:cs="Times New Roman"/>
          <w:bCs/>
          <w:color w:val="000000" w:themeColor="text1"/>
          <w:sz w:val="24"/>
        </w:rPr>
        <w:t>2</w:t>
      </w:r>
      <w:r>
        <w:rPr>
          <w:rFonts w:ascii="Times New Roman" w:eastAsia="宋体" w:hAnsi="Times New Roman" w:cs="Times New Roman"/>
          <w:bCs/>
          <w:color w:val="000000" w:themeColor="text1"/>
          <w:sz w:val="24"/>
        </w:rPr>
        <w:t>支水枪计，每只水枪喷水速率为</w:t>
      </w:r>
      <w:r>
        <w:rPr>
          <w:rFonts w:ascii="Times New Roman" w:eastAsia="宋体" w:hAnsi="Times New Roman" w:cs="Times New Roman"/>
          <w:bCs/>
          <w:color w:val="000000" w:themeColor="text1"/>
          <w:sz w:val="24"/>
        </w:rPr>
        <w:t>5L/s</w:t>
      </w:r>
      <w:r>
        <w:rPr>
          <w:rFonts w:ascii="Times New Roman" w:eastAsia="宋体" w:hAnsi="Times New Roman" w:cs="Times New Roman"/>
          <w:bCs/>
          <w:color w:val="000000" w:themeColor="text1"/>
          <w:sz w:val="24"/>
        </w:rPr>
        <w:t>，发生事故时消防持续时间按</w:t>
      </w:r>
      <w:r>
        <w:rPr>
          <w:rFonts w:ascii="Times New Roman" w:eastAsia="宋体" w:hAnsi="Times New Roman" w:cs="Times New Roman"/>
          <w:bCs/>
          <w:color w:val="000000" w:themeColor="text1"/>
          <w:sz w:val="24"/>
        </w:rPr>
        <w:t>4</w:t>
      </w:r>
      <w:r>
        <w:rPr>
          <w:rFonts w:ascii="Times New Roman" w:eastAsia="宋体" w:hAnsi="Times New Roman" w:cs="Times New Roman"/>
          <w:bCs/>
          <w:color w:val="000000" w:themeColor="text1"/>
          <w:sz w:val="24"/>
        </w:rPr>
        <w:t>小时计，则清消废水量约</w:t>
      </w:r>
      <w:r>
        <w:rPr>
          <w:rFonts w:ascii="Times New Roman" w:eastAsia="宋体" w:hAnsi="Times New Roman" w:cs="Times New Roman"/>
          <w:bCs/>
          <w:color w:val="000000" w:themeColor="text1"/>
          <w:sz w:val="24"/>
        </w:rPr>
        <w:t>2</w:t>
      </w:r>
      <w:r>
        <w:rPr>
          <w:rFonts w:ascii="宋体" w:eastAsia="宋体" w:hAnsi="宋体" w:cs="Times New Roman" w:hint="eastAsia"/>
          <w:bCs/>
          <w:color w:val="000000" w:themeColor="text1"/>
          <w:sz w:val="24"/>
        </w:rPr>
        <w:t>×</w:t>
      </w:r>
      <w:r>
        <w:rPr>
          <w:rFonts w:ascii="Times New Roman" w:eastAsia="宋体" w:hAnsi="Times New Roman" w:cs="Times New Roman"/>
          <w:bCs/>
          <w:color w:val="000000" w:themeColor="text1"/>
          <w:sz w:val="24"/>
        </w:rPr>
        <w:t>5</w:t>
      </w:r>
      <w:r>
        <w:rPr>
          <w:rFonts w:ascii="宋体" w:eastAsia="宋体" w:hAnsi="宋体" w:cs="Times New Roman" w:hint="eastAsia"/>
          <w:bCs/>
          <w:color w:val="000000" w:themeColor="text1"/>
          <w:sz w:val="24"/>
        </w:rPr>
        <w:t>×</w:t>
      </w:r>
      <w:r>
        <w:rPr>
          <w:rFonts w:ascii="Times New Roman" w:eastAsia="宋体" w:hAnsi="Times New Roman" w:cs="Times New Roman"/>
          <w:bCs/>
          <w:color w:val="000000" w:themeColor="text1"/>
          <w:sz w:val="24"/>
        </w:rPr>
        <w:t>3600</w:t>
      </w:r>
      <w:r>
        <w:rPr>
          <w:rFonts w:ascii="宋体" w:eastAsia="宋体" w:hAnsi="宋体" w:cs="Times New Roman" w:hint="eastAsia"/>
          <w:bCs/>
          <w:color w:val="000000" w:themeColor="text1"/>
          <w:sz w:val="24"/>
        </w:rPr>
        <w:t>×</w:t>
      </w:r>
      <w:r>
        <w:rPr>
          <w:rFonts w:ascii="Times New Roman" w:eastAsia="宋体" w:hAnsi="Times New Roman" w:cs="Times New Roman"/>
          <w:bCs/>
          <w:color w:val="000000" w:themeColor="text1"/>
          <w:sz w:val="24"/>
        </w:rPr>
        <w:t>4/1000=144 m</w:t>
      </w:r>
      <w:r>
        <w:rPr>
          <w:rFonts w:ascii="Times New Roman" w:eastAsia="宋体" w:hAnsi="Times New Roman" w:cs="Times New Roman"/>
          <w:bCs/>
          <w:color w:val="000000" w:themeColor="text1"/>
          <w:sz w:val="24"/>
          <w:vertAlign w:val="superscript"/>
        </w:rPr>
        <w:t>3</w:t>
      </w:r>
      <w:r>
        <w:rPr>
          <w:rFonts w:ascii="Times New Roman" w:eastAsia="宋体" w:hAnsi="Times New Roman" w:cs="Times New Roman"/>
          <w:bCs/>
          <w:color w:val="000000" w:themeColor="text1"/>
          <w:sz w:val="24"/>
        </w:rPr>
        <w:t>。</w:t>
      </w:r>
    </w:p>
    <w:p w:rsidR="00C861DA" w:rsidRDefault="0044752E">
      <w:pPr>
        <w:spacing w:line="360" w:lineRule="auto"/>
        <w:ind w:firstLineChars="200" w:firstLine="480"/>
        <w:jc w:val="both"/>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t>产生的事故排水将全部收集于围堰内，并输送至拟建事故水收集池，不外排。</w:t>
      </w:r>
    </w:p>
    <w:p w:rsidR="00C861DA" w:rsidRDefault="0044752E">
      <w:pPr>
        <w:pStyle w:val="32"/>
        <w:rPr>
          <w:rFonts w:ascii="Times New Roman" w:eastAsia="宋体"/>
          <w:bCs w:val="0"/>
          <w:color w:val="000000" w:themeColor="text1"/>
          <w:sz w:val="24"/>
          <w:szCs w:val="24"/>
        </w:rPr>
      </w:pPr>
      <w:bookmarkStart w:id="448" w:name="_Toc6826847"/>
      <w:r>
        <w:rPr>
          <w:rFonts w:ascii="Times New Roman" w:eastAsia="宋体" w:hint="eastAsia"/>
          <w:bCs w:val="0"/>
          <w:color w:val="000000" w:themeColor="text1"/>
          <w:sz w:val="24"/>
          <w:szCs w:val="24"/>
        </w:rPr>
        <w:t>7</w:t>
      </w:r>
      <w:r>
        <w:rPr>
          <w:rFonts w:ascii="Times New Roman" w:eastAsia="宋体"/>
          <w:bCs w:val="0"/>
          <w:color w:val="000000" w:themeColor="text1"/>
          <w:sz w:val="24"/>
          <w:szCs w:val="24"/>
        </w:rPr>
        <w:t>.2.2</w:t>
      </w:r>
      <w:r>
        <w:rPr>
          <w:rFonts w:ascii="Times New Roman" w:eastAsia="宋体" w:hint="eastAsia"/>
          <w:bCs w:val="0"/>
          <w:color w:val="000000" w:themeColor="text1"/>
          <w:sz w:val="24"/>
          <w:szCs w:val="24"/>
        </w:rPr>
        <w:t>事故废水不外排可行性分析</w:t>
      </w:r>
      <w:bookmarkEnd w:id="448"/>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bCs/>
          <w:color w:val="000000" w:themeColor="text1"/>
          <w:sz w:val="24"/>
        </w:rPr>
        <w:t>项目拟建事故水收集池</w:t>
      </w:r>
      <w:r>
        <w:rPr>
          <w:rFonts w:ascii="Times New Roman" w:eastAsia="宋体" w:hAnsi="Times New Roman" w:cs="Times New Roman"/>
          <w:bCs/>
          <w:color w:val="000000" w:themeColor="text1"/>
          <w:sz w:val="24"/>
        </w:rPr>
        <w:t>2600m</w:t>
      </w:r>
      <w:r>
        <w:rPr>
          <w:rFonts w:ascii="Times New Roman" w:eastAsia="宋体" w:hAnsi="Times New Roman" w:cs="Times New Roman"/>
          <w:bCs/>
          <w:color w:val="000000" w:themeColor="text1"/>
          <w:sz w:val="24"/>
          <w:vertAlign w:val="superscript"/>
        </w:rPr>
        <w:t>3</w:t>
      </w:r>
      <w:r>
        <w:rPr>
          <w:rFonts w:ascii="Times New Roman" w:eastAsia="宋体" w:hAnsi="Times New Roman" w:cs="Times New Roman"/>
          <w:bCs/>
          <w:color w:val="000000" w:themeColor="text1"/>
          <w:sz w:val="24"/>
        </w:rPr>
        <w:t>，事故水收集池平时保持空置状态，以便有足够的容积容纳事故产生的清消废水，当发生事故时，打开切换装置，将清消废水收集进入事故废水收集池，确保清消废水得到有效的收集、处理后回用，事故存在的水环境风险较小。</w:t>
      </w:r>
    </w:p>
    <w:bookmarkStart w:id="449" w:name="_Toc6208"/>
    <w:bookmarkStart w:id="450" w:name="_Toc14584"/>
    <w:bookmarkStart w:id="451" w:name="_Toc1161"/>
    <w:bookmarkStart w:id="452" w:name="_Toc30078"/>
    <w:p w:rsidR="00C861DA" w:rsidRDefault="0044752E">
      <w:pPr>
        <w:pStyle w:val="22"/>
        <w:rPr>
          <w:rFonts w:ascii="Times New Roman" w:eastAsia="宋体" w:hAnsi="Times New Roman"/>
          <w:bCs w:val="0"/>
          <w:color w:val="000000" w:themeColor="text1"/>
          <w:sz w:val="28"/>
          <w:szCs w:val="28"/>
        </w:rPr>
      </w:pPr>
      <w:r>
        <w:rPr>
          <w:rFonts w:ascii="Times New Roman" w:eastAsia="宋体" w:hAnsi="Times New Roman"/>
          <w:bCs w:val="0"/>
          <w:color w:val="000000" w:themeColor="text1"/>
          <w:sz w:val="28"/>
          <w:szCs w:val="28"/>
        </w:rPr>
        <w:fldChar w:fldCharType="begin"/>
      </w:r>
      <w:r>
        <w:rPr>
          <w:rFonts w:ascii="Times New Roman" w:eastAsia="宋体" w:hAnsi="Times New Roman"/>
          <w:bCs w:val="0"/>
          <w:color w:val="000000" w:themeColor="text1"/>
          <w:sz w:val="28"/>
          <w:szCs w:val="28"/>
        </w:rPr>
        <w:instrText xml:space="preserve"> HYPERLINK \l "_Toc512505478" </w:instrText>
      </w:r>
      <w:r>
        <w:rPr>
          <w:rFonts w:ascii="Times New Roman" w:eastAsia="宋体" w:hAnsi="Times New Roman"/>
          <w:bCs w:val="0"/>
          <w:color w:val="000000" w:themeColor="text1"/>
          <w:sz w:val="28"/>
          <w:szCs w:val="28"/>
        </w:rPr>
        <w:fldChar w:fldCharType="separate"/>
      </w:r>
      <w:bookmarkStart w:id="453" w:name="_Toc6826848"/>
      <w:r>
        <w:rPr>
          <w:rFonts w:ascii="Times New Roman" w:eastAsia="宋体" w:hAnsi="Times New Roman"/>
          <w:bCs w:val="0"/>
          <w:color w:val="000000" w:themeColor="text1"/>
          <w:sz w:val="28"/>
          <w:szCs w:val="28"/>
        </w:rPr>
        <w:t>7.3</w:t>
      </w:r>
      <w:r>
        <w:rPr>
          <w:rFonts w:ascii="Times New Roman" w:eastAsia="宋体" w:hAnsi="Times New Roman" w:hint="eastAsia"/>
          <w:bCs w:val="0"/>
          <w:color w:val="000000" w:themeColor="text1"/>
          <w:sz w:val="28"/>
          <w:szCs w:val="28"/>
        </w:rPr>
        <w:t>声环境影响预测与评价</w:t>
      </w:r>
      <w:bookmarkEnd w:id="453"/>
      <w:r>
        <w:rPr>
          <w:rFonts w:ascii="Times New Roman" w:eastAsia="宋体" w:hAnsi="Times New Roman"/>
          <w:bCs w:val="0"/>
          <w:color w:val="000000" w:themeColor="text1"/>
          <w:sz w:val="28"/>
          <w:szCs w:val="28"/>
        </w:rPr>
        <w:fldChar w:fldCharType="end"/>
      </w:r>
      <w:bookmarkEnd w:id="449"/>
      <w:bookmarkEnd w:id="450"/>
      <w:bookmarkEnd w:id="451"/>
      <w:bookmarkEnd w:id="452"/>
    </w:p>
    <w:bookmarkStart w:id="454" w:name="_Toc29825"/>
    <w:bookmarkStart w:id="455" w:name="_Toc5827"/>
    <w:bookmarkStart w:id="456" w:name="_Toc10452"/>
    <w:bookmarkStart w:id="457" w:name="_Toc29229"/>
    <w:p w:rsidR="00C861DA" w:rsidRDefault="0044752E">
      <w:pPr>
        <w:pStyle w:val="32"/>
        <w:rPr>
          <w:rFonts w:ascii="Times New Roman" w:eastAsia="宋体"/>
          <w:bCs w:val="0"/>
          <w:color w:val="000000" w:themeColor="text1"/>
          <w:sz w:val="24"/>
          <w:szCs w:val="24"/>
        </w:rPr>
      </w:pPr>
      <w:r>
        <w:rPr>
          <w:rFonts w:ascii="Times New Roman" w:eastAsia="宋体"/>
          <w:bCs w:val="0"/>
          <w:color w:val="000000" w:themeColor="text1"/>
          <w:sz w:val="24"/>
          <w:szCs w:val="24"/>
        </w:rPr>
        <w:fldChar w:fldCharType="begin"/>
      </w:r>
      <w:r>
        <w:rPr>
          <w:rFonts w:ascii="Times New Roman" w:eastAsia="宋体"/>
          <w:bCs w:val="0"/>
          <w:color w:val="000000" w:themeColor="text1"/>
          <w:sz w:val="24"/>
          <w:szCs w:val="24"/>
        </w:rPr>
        <w:instrText xml:space="preserve"> HYPERLINK \l "_Toc512505479" </w:instrText>
      </w:r>
      <w:r>
        <w:rPr>
          <w:rFonts w:ascii="Times New Roman" w:eastAsia="宋体"/>
          <w:bCs w:val="0"/>
          <w:color w:val="000000" w:themeColor="text1"/>
          <w:sz w:val="24"/>
          <w:szCs w:val="24"/>
        </w:rPr>
        <w:fldChar w:fldCharType="separate"/>
      </w:r>
      <w:bookmarkStart w:id="458" w:name="_Toc6826849"/>
      <w:r>
        <w:rPr>
          <w:rFonts w:ascii="Times New Roman" w:eastAsia="宋体"/>
          <w:bCs w:val="0"/>
          <w:color w:val="000000" w:themeColor="text1"/>
          <w:sz w:val="24"/>
          <w:szCs w:val="24"/>
        </w:rPr>
        <w:t>7.3.1</w:t>
      </w:r>
      <w:r>
        <w:rPr>
          <w:rFonts w:ascii="Times New Roman" w:eastAsia="宋体"/>
          <w:bCs w:val="0"/>
          <w:color w:val="000000" w:themeColor="text1"/>
          <w:sz w:val="24"/>
          <w:szCs w:val="24"/>
        </w:rPr>
        <w:t>声源分析</w:t>
      </w:r>
      <w:bookmarkEnd w:id="458"/>
      <w:r>
        <w:rPr>
          <w:rFonts w:ascii="Times New Roman" w:eastAsia="宋体"/>
          <w:bCs w:val="0"/>
          <w:color w:val="000000" w:themeColor="text1"/>
          <w:sz w:val="24"/>
          <w:szCs w:val="24"/>
        </w:rPr>
        <w:fldChar w:fldCharType="end"/>
      </w:r>
      <w:bookmarkEnd w:id="454"/>
      <w:bookmarkEnd w:id="455"/>
      <w:bookmarkEnd w:id="456"/>
      <w:bookmarkEnd w:id="457"/>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主要噪声源为各种送排风机，制冷站制冷机组、空压站空压机、循环水泵房，污水处理站风机及水泵等各种高噪声设备产生的噪声，类比同类设备，声级为</w:t>
      </w:r>
      <w:r>
        <w:rPr>
          <w:rFonts w:ascii="Times New Roman" w:eastAsia="宋体" w:hint="eastAsia"/>
          <w:color w:val="000000" w:themeColor="text1"/>
          <w:sz w:val="24"/>
          <w:szCs w:val="24"/>
        </w:rPr>
        <w:t>75~100dB</w:t>
      </w:r>
      <w:r>
        <w:rPr>
          <w:rFonts w:ascii="Times New Roman" w:eastAsia="宋体" w:hint="eastAsia"/>
          <w:color w:val="000000" w:themeColor="text1"/>
          <w:sz w:val="24"/>
          <w:szCs w:val="24"/>
        </w:rPr>
        <w:t>（</w:t>
      </w:r>
      <w:r>
        <w:rPr>
          <w:rFonts w:ascii="Times New Roman" w:eastAsia="宋体" w:hint="eastAsia"/>
          <w:color w:val="000000" w:themeColor="text1"/>
          <w:sz w:val="24"/>
          <w:szCs w:val="24"/>
        </w:rPr>
        <w:t>A</w:t>
      </w:r>
      <w:r>
        <w:rPr>
          <w:rFonts w:ascii="Times New Roman" w:eastAsia="宋体" w:hint="eastAsia"/>
          <w:color w:val="000000" w:themeColor="text1"/>
          <w:sz w:val="24"/>
          <w:szCs w:val="24"/>
        </w:rPr>
        <w:t>）。本项目生产的产噪设备较多，将项目各种噪声源均简化为点声源，经采取降噪治理措施后，项目各厂房噪声源强如表</w:t>
      </w:r>
      <w:r>
        <w:rPr>
          <w:rFonts w:ascii="Times New Roman" w:eastAsia="宋体" w:hint="eastAsia"/>
          <w:color w:val="000000" w:themeColor="text1"/>
          <w:sz w:val="24"/>
          <w:szCs w:val="24"/>
        </w:rPr>
        <w:t>7.3-1</w:t>
      </w:r>
      <w:r>
        <w:rPr>
          <w:rFonts w:ascii="Times New Roman" w:eastAsia="宋体" w:hint="eastAsia"/>
          <w:color w:val="000000" w:themeColor="text1"/>
          <w:sz w:val="24"/>
          <w:szCs w:val="24"/>
        </w:rPr>
        <w:t>所示。</w:t>
      </w:r>
    </w:p>
    <w:p w:rsidR="00C861DA" w:rsidRDefault="0044752E">
      <w:pPr>
        <w:tabs>
          <w:tab w:val="left" w:pos="3923"/>
        </w:tabs>
        <w:spacing w:line="360" w:lineRule="auto"/>
        <w:jc w:val="center"/>
        <w:rPr>
          <w:rFonts w:ascii="Times New Roman" w:eastAsia="宋体" w:cs="宋体"/>
          <w:b/>
          <w:bCs/>
          <w:color w:val="000000" w:themeColor="text1"/>
          <w:sz w:val="24"/>
          <w:szCs w:val="24"/>
        </w:rPr>
      </w:pPr>
      <w:r>
        <w:rPr>
          <w:rFonts w:ascii="Times New Roman" w:eastAsia="宋体" w:cs="宋体" w:hint="eastAsia"/>
          <w:b/>
          <w:bCs/>
          <w:color w:val="000000" w:themeColor="text1"/>
          <w:sz w:val="24"/>
          <w:szCs w:val="24"/>
        </w:rPr>
        <w:t>表</w:t>
      </w:r>
      <w:r>
        <w:rPr>
          <w:rFonts w:ascii="Times New Roman" w:eastAsia="宋体" w:cs="宋体" w:hint="eastAsia"/>
          <w:b/>
          <w:bCs/>
          <w:color w:val="000000" w:themeColor="text1"/>
          <w:sz w:val="24"/>
          <w:szCs w:val="24"/>
        </w:rPr>
        <w:t xml:space="preserve">7.3-1  </w:t>
      </w:r>
      <w:r>
        <w:rPr>
          <w:rFonts w:ascii="Times New Roman" w:eastAsia="宋体" w:cs="宋体" w:hint="eastAsia"/>
          <w:b/>
          <w:bCs/>
          <w:color w:val="000000" w:themeColor="text1"/>
          <w:sz w:val="24"/>
          <w:szCs w:val="24"/>
        </w:rPr>
        <w:t>项目主要设备的噪声等级</w:t>
      </w:r>
      <w:r>
        <w:rPr>
          <w:rFonts w:ascii="Times New Roman" w:eastAsia="宋体" w:cs="宋体" w:hint="eastAsia"/>
          <w:b/>
          <w:bCs/>
          <w:color w:val="000000" w:themeColor="text1"/>
          <w:sz w:val="24"/>
          <w:szCs w:val="24"/>
        </w:rPr>
        <w:t xml:space="preserve">  </w:t>
      </w:r>
      <w:r>
        <w:rPr>
          <w:rFonts w:ascii="Times New Roman" w:eastAsia="宋体" w:cs="宋体" w:hint="eastAsia"/>
          <w:b/>
          <w:bCs/>
          <w:color w:val="000000" w:themeColor="text1"/>
          <w:sz w:val="24"/>
          <w:szCs w:val="24"/>
        </w:rPr>
        <w:t>单位：</w:t>
      </w:r>
      <w:r>
        <w:rPr>
          <w:rFonts w:ascii="Times New Roman" w:eastAsia="宋体" w:cs="宋体" w:hint="eastAsia"/>
          <w:b/>
          <w:bCs/>
          <w:color w:val="000000" w:themeColor="text1"/>
          <w:sz w:val="24"/>
          <w:szCs w:val="24"/>
        </w:rPr>
        <w:t>dB</w:t>
      </w:r>
      <w:r>
        <w:rPr>
          <w:rFonts w:ascii="Times New Roman" w:eastAsia="宋体" w:cs="宋体" w:hint="eastAsia"/>
          <w:b/>
          <w:bCs/>
          <w:color w:val="000000" w:themeColor="text1"/>
          <w:sz w:val="24"/>
          <w:szCs w:val="24"/>
        </w:rPr>
        <w:t>（</w:t>
      </w:r>
      <w:r>
        <w:rPr>
          <w:rFonts w:ascii="Times New Roman" w:eastAsia="宋体" w:cs="宋体" w:hint="eastAsia"/>
          <w:b/>
          <w:bCs/>
          <w:color w:val="000000" w:themeColor="text1"/>
          <w:sz w:val="24"/>
          <w:szCs w:val="24"/>
        </w:rPr>
        <w:t>A</w:t>
      </w:r>
      <w:r>
        <w:rPr>
          <w:rFonts w:ascii="Times New Roman" w:eastAsia="宋体" w:cs="宋体" w:hint="eastAsia"/>
          <w:b/>
          <w:bCs/>
          <w:color w:val="000000" w:themeColor="text1"/>
          <w:sz w:val="24"/>
          <w:szCs w:val="24"/>
        </w:rPr>
        <w:t>）</w:t>
      </w:r>
      <w:r>
        <w:rPr>
          <w:rFonts w:ascii="Times New Roman" w:eastAsia="宋体" w:cs="宋体" w:hint="eastAsia"/>
          <w:b/>
          <w:bCs/>
          <w:color w:val="000000" w:themeColor="text1"/>
          <w:sz w:val="24"/>
          <w:szCs w:val="24"/>
        </w:rPr>
        <w:t xml:space="preserve"> </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3"/>
        <w:gridCol w:w="1984"/>
        <w:gridCol w:w="851"/>
        <w:gridCol w:w="1274"/>
        <w:gridCol w:w="2411"/>
        <w:gridCol w:w="1213"/>
      </w:tblGrid>
      <w:tr w:rsidR="00C861DA">
        <w:trPr>
          <w:trHeight w:val="369"/>
          <w:jc w:val="center"/>
        </w:trPr>
        <w:tc>
          <w:tcPr>
            <w:tcW w:w="563" w:type="dxa"/>
            <w:vAlign w:val="center"/>
          </w:tcPr>
          <w:p w:rsidR="00C861DA" w:rsidRDefault="00C861DA">
            <w:pPr>
              <w:pStyle w:val="TableParagraph"/>
              <w:jc w:val="center"/>
              <w:rPr>
                <w:rFonts w:hAnsi="Times New Roman" w:cs="Times New Roman"/>
                <w:b/>
                <w:bCs/>
                <w:color w:val="000000" w:themeColor="text1"/>
              </w:rPr>
            </w:pPr>
          </w:p>
        </w:tc>
        <w:tc>
          <w:tcPr>
            <w:tcW w:w="1984" w:type="dxa"/>
            <w:vAlign w:val="center"/>
          </w:tcPr>
          <w:p w:rsidR="00C861DA" w:rsidRDefault="0044752E">
            <w:pPr>
              <w:pStyle w:val="TableParagraph"/>
              <w:jc w:val="center"/>
              <w:rPr>
                <w:rFonts w:hAnsi="Times New Roman" w:cs="Times New Roman"/>
                <w:b/>
                <w:bCs/>
                <w:color w:val="000000" w:themeColor="text1"/>
              </w:rPr>
            </w:pPr>
            <w:r>
              <w:rPr>
                <w:rFonts w:hAnsi="Times New Roman" w:cs="Times New Roman"/>
                <w:b/>
                <w:bCs/>
                <w:color w:val="000000" w:themeColor="text1"/>
              </w:rPr>
              <w:t>设备名称</w:t>
            </w:r>
          </w:p>
        </w:tc>
        <w:tc>
          <w:tcPr>
            <w:tcW w:w="851" w:type="dxa"/>
            <w:vAlign w:val="center"/>
          </w:tcPr>
          <w:p w:rsidR="00C861DA" w:rsidRDefault="0044752E">
            <w:pPr>
              <w:pStyle w:val="TableParagraph"/>
              <w:jc w:val="center"/>
              <w:rPr>
                <w:rFonts w:hAnsi="Times New Roman" w:cs="Times New Roman"/>
                <w:b/>
                <w:bCs/>
                <w:color w:val="000000" w:themeColor="text1"/>
              </w:rPr>
            </w:pPr>
            <w:r>
              <w:rPr>
                <w:rFonts w:hAnsi="Times New Roman" w:cs="Times New Roman"/>
                <w:b/>
                <w:bCs/>
                <w:color w:val="000000" w:themeColor="text1"/>
              </w:rPr>
              <w:t>数量</w:t>
            </w:r>
          </w:p>
          <w:p w:rsidR="00C861DA" w:rsidRDefault="0044752E">
            <w:pPr>
              <w:pStyle w:val="TableParagraph"/>
              <w:jc w:val="center"/>
              <w:rPr>
                <w:rFonts w:hAnsi="Times New Roman" w:cs="Times New Roman"/>
                <w:b/>
                <w:bCs/>
                <w:color w:val="000000" w:themeColor="text1"/>
              </w:rPr>
            </w:pPr>
            <w:r>
              <w:rPr>
                <w:rFonts w:hAnsi="Times New Roman" w:cs="Times New Roman"/>
                <w:b/>
                <w:bCs/>
                <w:color w:val="000000" w:themeColor="text1"/>
              </w:rPr>
              <w:t>（台）</w:t>
            </w:r>
          </w:p>
        </w:tc>
        <w:tc>
          <w:tcPr>
            <w:tcW w:w="1274" w:type="dxa"/>
            <w:vAlign w:val="center"/>
          </w:tcPr>
          <w:p w:rsidR="00C861DA" w:rsidRDefault="0044752E">
            <w:pPr>
              <w:pStyle w:val="TableParagraph"/>
              <w:jc w:val="center"/>
              <w:rPr>
                <w:rFonts w:hAnsi="Times New Roman" w:cs="Times New Roman"/>
                <w:b/>
                <w:bCs/>
                <w:color w:val="000000" w:themeColor="text1"/>
              </w:rPr>
            </w:pPr>
            <w:r>
              <w:rPr>
                <w:rFonts w:hAnsi="Times New Roman" w:cs="Times New Roman"/>
                <w:b/>
                <w:bCs/>
                <w:color w:val="000000" w:themeColor="text1"/>
              </w:rPr>
              <w:t>单台设备声级值</w:t>
            </w:r>
          </w:p>
        </w:tc>
        <w:tc>
          <w:tcPr>
            <w:tcW w:w="2411" w:type="dxa"/>
            <w:vAlign w:val="center"/>
          </w:tcPr>
          <w:p w:rsidR="00C861DA" w:rsidRDefault="0044752E">
            <w:pPr>
              <w:pStyle w:val="TableParagraph"/>
              <w:jc w:val="center"/>
              <w:rPr>
                <w:rFonts w:hAnsi="Times New Roman" w:cs="Times New Roman"/>
                <w:b/>
                <w:bCs/>
                <w:color w:val="000000" w:themeColor="text1"/>
              </w:rPr>
            </w:pPr>
            <w:r>
              <w:rPr>
                <w:rFonts w:hAnsi="Times New Roman" w:cs="Times New Roman"/>
                <w:b/>
                <w:bCs/>
                <w:color w:val="000000" w:themeColor="text1"/>
              </w:rPr>
              <w:t>降噪措施</w:t>
            </w:r>
          </w:p>
        </w:tc>
        <w:tc>
          <w:tcPr>
            <w:tcW w:w="1213" w:type="dxa"/>
            <w:vAlign w:val="center"/>
          </w:tcPr>
          <w:p w:rsidR="00C861DA" w:rsidRDefault="0044752E">
            <w:pPr>
              <w:pStyle w:val="TableParagraph"/>
              <w:jc w:val="center"/>
              <w:rPr>
                <w:rFonts w:hAnsi="Times New Roman" w:cs="Times New Roman"/>
                <w:b/>
                <w:bCs/>
                <w:color w:val="000000" w:themeColor="text1"/>
              </w:rPr>
            </w:pPr>
            <w:r>
              <w:rPr>
                <w:rFonts w:hAnsi="Times New Roman" w:cs="Times New Roman"/>
                <w:b/>
                <w:bCs/>
                <w:color w:val="000000" w:themeColor="text1"/>
              </w:rPr>
              <w:t>降噪后的</w:t>
            </w:r>
            <w:r>
              <w:rPr>
                <w:rFonts w:hAnsi="Times New Roman" w:cs="Times New Roman"/>
                <w:b/>
                <w:bCs/>
                <w:color w:val="000000" w:themeColor="text1"/>
              </w:rPr>
              <w:t xml:space="preserve"> </w:t>
            </w:r>
            <w:r>
              <w:rPr>
                <w:rFonts w:hAnsi="Times New Roman" w:cs="Times New Roman"/>
                <w:b/>
                <w:bCs/>
                <w:color w:val="000000" w:themeColor="text1"/>
              </w:rPr>
              <w:t>声源声级</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一</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稀硝酸生产</w:t>
            </w:r>
          </w:p>
        </w:tc>
        <w:tc>
          <w:tcPr>
            <w:tcW w:w="851" w:type="dxa"/>
            <w:vAlign w:val="center"/>
          </w:tcPr>
          <w:p w:rsidR="00C861DA" w:rsidRDefault="00C861DA">
            <w:pPr>
              <w:pStyle w:val="TableParagraph"/>
              <w:spacing w:before="14"/>
              <w:jc w:val="center"/>
              <w:rPr>
                <w:rFonts w:hAnsi="Times New Roman" w:cs="Times New Roman"/>
                <w:color w:val="000000" w:themeColor="text1"/>
              </w:rPr>
            </w:pPr>
          </w:p>
        </w:tc>
        <w:tc>
          <w:tcPr>
            <w:tcW w:w="1274" w:type="dxa"/>
            <w:vAlign w:val="center"/>
          </w:tcPr>
          <w:p w:rsidR="00C861DA" w:rsidRDefault="00C861DA">
            <w:pPr>
              <w:pStyle w:val="TableParagraph"/>
              <w:jc w:val="center"/>
              <w:rPr>
                <w:rFonts w:hAnsi="Times New Roman" w:cs="Times New Roman"/>
                <w:color w:val="000000" w:themeColor="text1"/>
              </w:rPr>
            </w:pPr>
          </w:p>
        </w:tc>
        <w:tc>
          <w:tcPr>
            <w:tcW w:w="2411" w:type="dxa"/>
            <w:vAlign w:val="center"/>
          </w:tcPr>
          <w:p w:rsidR="00C861DA" w:rsidRDefault="00C861DA">
            <w:pPr>
              <w:pStyle w:val="TableParagraph"/>
              <w:jc w:val="center"/>
              <w:rPr>
                <w:rFonts w:hAnsi="Times New Roman" w:cs="Times New Roman"/>
                <w:color w:val="000000" w:themeColor="text1"/>
              </w:rPr>
            </w:pPr>
          </w:p>
        </w:tc>
        <w:tc>
          <w:tcPr>
            <w:tcW w:w="121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75</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1</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氨蒸发器</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3</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90</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基础减震</w:t>
            </w: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75</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2</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四合一机组</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1</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95</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设隔音操作室，基础减振</w:t>
            </w: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75</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3</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蒸汽透平</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1</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95</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基础减震、设消音器</w:t>
            </w: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75</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4</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尾气膨胀机</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1</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95</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设隔音操作室，基础减振</w:t>
            </w: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75</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5</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空气压缩机</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1</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95</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基础减振，设置消音设施</w:t>
            </w: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75</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6</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氧化氮压缩机</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1</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95</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基础减振，设置消音设施</w:t>
            </w: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75</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7</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尾气透平</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1</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95</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基础减振，设置消音设施</w:t>
            </w:r>
          </w:p>
        </w:tc>
        <w:tc>
          <w:tcPr>
            <w:tcW w:w="1213" w:type="dxa"/>
            <w:vAlign w:val="center"/>
          </w:tcPr>
          <w:p w:rsidR="00C861DA" w:rsidRDefault="00C861DA">
            <w:pPr>
              <w:pStyle w:val="TableParagraph"/>
              <w:spacing w:before="14"/>
              <w:jc w:val="center"/>
              <w:rPr>
                <w:rFonts w:hAnsi="Times New Roman" w:cs="Times New Roman"/>
                <w:color w:val="000000" w:themeColor="text1"/>
              </w:rPr>
            </w:pP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二</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硝酸铵生产</w:t>
            </w:r>
          </w:p>
        </w:tc>
        <w:tc>
          <w:tcPr>
            <w:tcW w:w="851" w:type="dxa"/>
            <w:vAlign w:val="center"/>
          </w:tcPr>
          <w:p w:rsidR="00C861DA" w:rsidRDefault="00C861DA">
            <w:pPr>
              <w:pStyle w:val="TableParagraph"/>
              <w:spacing w:before="14"/>
              <w:jc w:val="center"/>
              <w:rPr>
                <w:rFonts w:hAnsi="Times New Roman" w:cs="Times New Roman"/>
                <w:color w:val="000000" w:themeColor="text1"/>
              </w:rPr>
            </w:pPr>
          </w:p>
        </w:tc>
        <w:tc>
          <w:tcPr>
            <w:tcW w:w="1274" w:type="dxa"/>
            <w:vAlign w:val="center"/>
          </w:tcPr>
          <w:p w:rsidR="00C861DA" w:rsidRDefault="00C861DA">
            <w:pPr>
              <w:pStyle w:val="TableParagraph"/>
              <w:spacing w:before="14"/>
              <w:jc w:val="center"/>
              <w:rPr>
                <w:rFonts w:hAnsi="Times New Roman" w:cs="Times New Roman"/>
                <w:color w:val="000000" w:themeColor="text1"/>
              </w:rPr>
            </w:pPr>
          </w:p>
        </w:tc>
        <w:tc>
          <w:tcPr>
            <w:tcW w:w="2411" w:type="dxa"/>
            <w:vAlign w:val="center"/>
          </w:tcPr>
          <w:p w:rsidR="00C861DA" w:rsidRDefault="00C861DA">
            <w:pPr>
              <w:pStyle w:val="TableParagraph"/>
              <w:jc w:val="center"/>
              <w:rPr>
                <w:rFonts w:hAnsi="Times New Roman" w:cs="Times New Roman"/>
                <w:color w:val="000000" w:themeColor="text1"/>
              </w:rPr>
            </w:pP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75</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1</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氨过热器</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1</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90</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基础减震</w:t>
            </w: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75</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2</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高压气液混合反应器</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1</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90</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基础减震</w:t>
            </w: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75</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3</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反应器分离器</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1</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90</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基础减震</w:t>
            </w: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70</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4</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各类泵</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10</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85</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基础减震</w:t>
            </w: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65</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5</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风机</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2</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85</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基础减振，设置消音设施</w:t>
            </w:r>
          </w:p>
        </w:tc>
        <w:tc>
          <w:tcPr>
            <w:tcW w:w="1213" w:type="dxa"/>
            <w:vAlign w:val="center"/>
          </w:tcPr>
          <w:p w:rsidR="00C861DA" w:rsidRDefault="00C861DA">
            <w:pPr>
              <w:pStyle w:val="TableParagraph"/>
              <w:spacing w:before="14"/>
              <w:jc w:val="center"/>
              <w:rPr>
                <w:rFonts w:hAnsi="Times New Roman" w:cs="Times New Roman"/>
                <w:color w:val="000000" w:themeColor="text1"/>
              </w:rPr>
            </w:pP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三</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硝基复合肥</w:t>
            </w:r>
          </w:p>
        </w:tc>
        <w:tc>
          <w:tcPr>
            <w:tcW w:w="851" w:type="dxa"/>
            <w:vAlign w:val="center"/>
          </w:tcPr>
          <w:p w:rsidR="00C861DA" w:rsidRDefault="00C861DA">
            <w:pPr>
              <w:pStyle w:val="TableParagraph"/>
              <w:spacing w:before="14"/>
              <w:jc w:val="center"/>
              <w:rPr>
                <w:rFonts w:hAnsi="Times New Roman" w:cs="Times New Roman"/>
                <w:color w:val="000000" w:themeColor="text1"/>
              </w:rPr>
            </w:pPr>
          </w:p>
        </w:tc>
        <w:tc>
          <w:tcPr>
            <w:tcW w:w="1274" w:type="dxa"/>
            <w:vAlign w:val="center"/>
          </w:tcPr>
          <w:p w:rsidR="00C861DA" w:rsidRDefault="00C861DA">
            <w:pPr>
              <w:pStyle w:val="TableParagraph"/>
              <w:spacing w:before="14"/>
              <w:jc w:val="center"/>
              <w:rPr>
                <w:rFonts w:hAnsi="Times New Roman" w:cs="Times New Roman"/>
                <w:color w:val="000000" w:themeColor="text1"/>
              </w:rPr>
            </w:pPr>
          </w:p>
        </w:tc>
        <w:tc>
          <w:tcPr>
            <w:tcW w:w="2411" w:type="dxa"/>
            <w:vAlign w:val="center"/>
          </w:tcPr>
          <w:p w:rsidR="00C861DA" w:rsidRDefault="00C861DA">
            <w:pPr>
              <w:pStyle w:val="TableParagraph"/>
              <w:jc w:val="center"/>
              <w:rPr>
                <w:rFonts w:hAnsi="Times New Roman" w:cs="Times New Roman"/>
                <w:color w:val="000000" w:themeColor="text1"/>
              </w:rPr>
            </w:pP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65</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1</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造粒塔引风机</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4</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85</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基础减振，设置消音设施</w:t>
            </w:r>
          </w:p>
        </w:tc>
        <w:tc>
          <w:tcPr>
            <w:tcW w:w="1213" w:type="dxa"/>
            <w:vAlign w:val="center"/>
          </w:tcPr>
          <w:p w:rsidR="00C861DA" w:rsidRDefault="00C861DA">
            <w:pPr>
              <w:pStyle w:val="TableParagraph"/>
              <w:spacing w:before="14"/>
              <w:jc w:val="center"/>
              <w:rPr>
                <w:rFonts w:hAnsi="Times New Roman" w:cs="Times New Roman"/>
                <w:color w:val="000000" w:themeColor="text1"/>
              </w:rPr>
            </w:pP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四</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尿素生产</w:t>
            </w:r>
          </w:p>
        </w:tc>
        <w:tc>
          <w:tcPr>
            <w:tcW w:w="851" w:type="dxa"/>
            <w:vAlign w:val="center"/>
          </w:tcPr>
          <w:p w:rsidR="00C861DA" w:rsidRDefault="00C861DA">
            <w:pPr>
              <w:pStyle w:val="TableParagraph"/>
              <w:spacing w:before="14"/>
              <w:jc w:val="center"/>
              <w:rPr>
                <w:rFonts w:hAnsi="Times New Roman" w:cs="Times New Roman"/>
                <w:color w:val="000000" w:themeColor="text1"/>
              </w:rPr>
            </w:pPr>
          </w:p>
        </w:tc>
        <w:tc>
          <w:tcPr>
            <w:tcW w:w="1274" w:type="dxa"/>
            <w:vAlign w:val="center"/>
          </w:tcPr>
          <w:p w:rsidR="00C861DA" w:rsidRDefault="00C861DA">
            <w:pPr>
              <w:pStyle w:val="TableParagraph"/>
              <w:spacing w:before="14"/>
              <w:jc w:val="center"/>
              <w:rPr>
                <w:rFonts w:hAnsi="Times New Roman" w:cs="Times New Roman"/>
                <w:color w:val="000000" w:themeColor="text1"/>
              </w:rPr>
            </w:pPr>
          </w:p>
        </w:tc>
        <w:tc>
          <w:tcPr>
            <w:tcW w:w="2411" w:type="dxa"/>
            <w:vAlign w:val="center"/>
          </w:tcPr>
          <w:p w:rsidR="00C861DA" w:rsidRDefault="00C861DA">
            <w:pPr>
              <w:pStyle w:val="TableParagraph"/>
              <w:jc w:val="center"/>
              <w:rPr>
                <w:rFonts w:hAnsi="Times New Roman" w:cs="Times New Roman"/>
                <w:color w:val="000000" w:themeColor="text1"/>
              </w:rPr>
            </w:pP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75</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1</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CO2</w:t>
            </w:r>
            <w:r>
              <w:rPr>
                <w:rFonts w:hAnsi="Times New Roman" w:cs="Times New Roman"/>
                <w:color w:val="000000" w:themeColor="text1"/>
              </w:rPr>
              <w:t>压缩机</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1</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95</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基础减振，设置消音设施</w:t>
            </w: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70</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2</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各类泵</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41</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85</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基础减震</w:t>
            </w: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65</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3</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除尘风机</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2</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85</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基础减振，设置消音设施</w:t>
            </w:r>
          </w:p>
        </w:tc>
        <w:tc>
          <w:tcPr>
            <w:tcW w:w="1213" w:type="dxa"/>
            <w:vAlign w:val="center"/>
          </w:tcPr>
          <w:p w:rsidR="00C861DA" w:rsidRDefault="00C861DA">
            <w:pPr>
              <w:pStyle w:val="TableParagraph"/>
              <w:spacing w:before="14"/>
              <w:jc w:val="center"/>
              <w:rPr>
                <w:rFonts w:hAnsi="Times New Roman" w:cs="Times New Roman"/>
                <w:color w:val="000000" w:themeColor="text1"/>
              </w:rPr>
            </w:pP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五</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尿基复合肥生产</w:t>
            </w:r>
          </w:p>
        </w:tc>
        <w:tc>
          <w:tcPr>
            <w:tcW w:w="851" w:type="dxa"/>
            <w:vAlign w:val="center"/>
          </w:tcPr>
          <w:p w:rsidR="00C861DA" w:rsidRDefault="00C861DA">
            <w:pPr>
              <w:pStyle w:val="TableParagraph"/>
              <w:spacing w:before="14"/>
              <w:jc w:val="center"/>
              <w:rPr>
                <w:rFonts w:hAnsi="Times New Roman" w:cs="Times New Roman"/>
                <w:color w:val="000000" w:themeColor="text1"/>
              </w:rPr>
            </w:pPr>
          </w:p>
        </w:tc>
        <w:tc>
          <w:tcPr>
            <w:tcW w:w="1274" w:type="dxa"/>
            <w:vAlign w:val="center"/>
          </w:tcPr>
          <w:p w:rsidR="00C861DA" w:rsidRDefault="00C861DA">
            <w:pPr>
              <w:pStyle w:val="TableParagraph"/>
              <w:spacing w:before="14"/>
              <w:jc w:val="center"/>
              <w:rPr>
                <w:rFonts w:hAnsi="Times New Roman" w:cs="Times New Roman"/>
                <w:color w:val="000000" w:themeColor="text1"/>
              </w:rPr>
            </w:pPr>
          </w:p>
        </w:tc>
        <w:tc>
          <w:tcPr>
            <w:tcW w:w="2411" w:type="dxa"/>
            <w:vAlign w:val="center"/>
          </w:tcPr>
          <w:p w:rsidR="00C861DA" w:rsidRDefault="00C861DA">
            <w:pPr>
              <w:pStyle w:val="TableParagraph"/>
              <w:jc w:val="center"/>
              <w:rPr>
                <w:rFonts w:hAnsi="Times New Roman" w:cs="Times New Roman"/>
                <w:color w:val="000000" w:themeColor="text1"/>
              </w:rPr>
            </w:pP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65</w:t>
            </w:r>
          </w:p>
        </w:tc>
      </w:tr>
      <w:tr w:rsidR="00C861DA">
        <w:trPr>
          <w:trHeight w:val="369"/>
          <w:jc w:val="center"/>
        </w:trPr>
        <w:tc>
          <w:tcPr>
            <w:tcW w:w="563"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1</w:t>
            </w:r>
          </w:p>
        </w:tc>
        <w:tc>
          <w:tcPr>
            <w:tcW w:w="1984"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造粒塔引风机</w:t>
            </w:r>
          </w:p>
        </w:tc>
        <w:tc>
          <w:tcPr>
            <w:tcW w:w="851"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4</w:t>
            </w:r>
          </w:p>
        </w:tc>
        <w:tc>
          <w:tcPr>
            <w:tcW w:w="1274"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85</w:t>
            </w:r>
          </w:p>
        </w:tc>
        <w:tc>
          <w:tcPr>
            <w:tcW w:w="2411" w:type="dxa"/>
            <w:vAlign w:val="center"/>
          </w:tcPr>
          <w:p w:rsidR="00C861DA" w:rsidRDefault="0044752E">
            <w:pPr>
              <w:pStyle w:val="TableParagraph"/>
              <w:jc w:val="center"/>
              <w:rPr>
                <w:rFonts w:hAnsi="Times New Roman" w:cs="Times New Roman"/>
                <w:color w:val="000000" w:themeColor="text1"/>
              </w:rPr>
            </w:pPr>
            <w:r>
              <w:rPr>
                <w:rFonts w:hAnsi="Times New Roman" w:cs="Times New Roman"/>
                <w:color w:val="000000" w:themeColor="text1"/>
              </w:rPr>
              <w:t>基础减振，设置消音设施</w:t>
            </w:r>
          </w:p>
        </w:tc>
        <w:tc>
          <w:tcPr>
            <w:tcW w:w="1213" w:type="dxa"/>
            <w:vAlign w:val="center"/>
          </w:tcPr>
          <w:p w:rsidR="00C861DA" w:rsidRDefault="0044752E">
            <w:pPr>
              <w:pStyle w:val="TableParagraph"/>
              <w:spacing w:before="14"/>
              <w:jc w:val="center"/>
              <w:rPr>
                <w:rFonts w:hAnsi="Times New Roman" w:cs="Times New Roman"/>
                <w:color w:val="000000" w:themeColor="text1"/>
              </w:rPr>
            </w:pPr>
            <w:r>
              <w:rPr>
                <w:rFonts w:hAnsi="Times New Roman" w:cs="Times New Roman"/>
                <w:color w:val="000000" w:themeColor="text1"/>
              </w:rPr>
              <w:t>75</w:t>
            </w:r>
          </w:p>
        </w:tc>
      </w:tr>
    </w:tbl>
    <w:p w:rsidR="00C861DA" w:rsidRDefault="0044752E">
      <w:pPr>
        <w:keepNext/>
        <w:keepLines/>
        <w:tabs>
          <w:tab w:val="left" w:pos="4860"/>
          <w:tab w:val="left" w:pos="5040"/>
        </w:tabs>
        <w:spacing w:beforeLines="100" w:before="312" w:line="360" w:lineRule="auto"/>
        <w:ind w:firstLineChars="200" w:firstLine="480"/>
        <w:rPr>
          <w:rFonts w:ascii="Times New Roman" w:eastAsia="宋体"/>
          <w:color w:val="000000" w:themeColor="text1"/>
          <w:sz w:val="24"/>
          <w:szCs w:val="24"/>
        </w:rPr>
      </w:pPr>
      <w:bookmarkStart w:id="459" w:name="_Toc513125344"/>
      <w:r>
        <w:rPr>
          <w:rFonts w:ascii="Times New Roman" w:eastAsia="宋体" w:hint="eastAsia"/>
          <w:color w:val="000000" w:themeColor="text1"/>
          <w:sz w:val="24"/>
          <w:szCs w:val="24"/>
        </w:rPr>
        <w:t>本评价针对处理后的噪声值进行预测，确定噪声值能否满足厂界达标的水平，同时，预测噪声是否会对周围环境敏感点产生影响。</w:t>
      </w:r>
    </w:p>
    <w:p w:rsidR="00C861DA" w:rsidRDefault="0044752E">
      <w:pPr>
        <w:pStyle w:val="32"/>
        <w:rPr>
          <w:rFonts w:ascii="Times New Roman" w:eastAsia="宋体"/>
          <w:bCs w:val="0"/>
          <w:color w:val="000000" w:themeColor="text1"/>
          <w:sz w:val="24"/>
          <w:szCs w:val="24"/>
        </w:rPr>
      </w:pPr>
      <w:bookmarkStart w:id="460" w:name="_Toc21755"/>
      <w:bookmarkStart w:id="461" w:name="_Toc4604"/>
      <w:bookmarkStart w:id="462" w:name="_Toc30504"/>
      <w:bookmarkStart w:id="463" w:name="_Toc6826850"/>
      <w:bookmarkStart w:id="464" w:name="_Toc21397"/>
      <w:r>
        <w:rPr>
          <w:rFonts w:ascii="Times New Roman" w:eastAsia="宋体" w:hint="eastAsia"/>
          <w:bCs w:val="0"/>
          <w:color w:val="000000" w:themeColor="text1"/>
          <w:sz w:val="24"/>
          <w:szCs w:val="24"/>
        </w:rPr>
        <w:t>7.3.2</w:t>
      </w:r>
      <w:r>
        <w:rPr>
          <w:rFonts w:ascii="Times New Roman" w:eastAsia="宋体" w:hint="eastAsia"/>
          <w:bCs w:val="0"/>
          <w:color w:val="000000" w:themeColor="text1"/>
          <w:sz w:val="24"/>
          <w:szCs w:val="24"/>
        </w:rPr>
        <w:t>预测时段、预测因子、评价标准</w:t>
      </w:r>
      <w:bookmarkEnd w:id="460"/>
      <w:bookmarkEnd w:id="461"/>
      <w:bookmarkEnd w:id="462"/>
      <w:bookmarkEnd w:id="463"/>
      <w:bookmarkEnd w:id="464"/>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预测时段：项目建成后正常生产时昼间和夜间两个时段</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预测因子：</w:t>
      </w:r>
      <w:r>
        <w:rPr>
          <w:rFonts w:ascii="Times New Roman" w:eastAsia="宋体" w:hint="eastAsia"/>
          <w:color w:val="000000" w:themeColor="text1"/>
          <w:sz w:val="24"/>
          <w:szCs w:val="24"/>
        </w:rPr>
        <w:t>Leq[dB</w:t>
      </w:r>
      <w:r>
        <w:rPr>
          <w:rFonts w:ascii="Times New Roman" w:eastAsia="宋体" w:hint="eastAsia"/>
          <w:color w:val="000000" w:themeColor="text1"/>
          <w:sz w:val="24"/>
          <w:szCs w:val="24"/>
        </w:rPr>
        <w:t>（</w:t>
      </w:r>
      <w:r>
        <w:rPr>
          <w:rFonts w:ascii="Times New Roman" w:eastAsia="宋体" w:hint="eastAsia"/>
          <w:color w:val="000000" w:themeColor="text1"/>
          <w:sz w:val="24"/>
          <w:szCs w:val="24"/>
        </w:rPr>
        <w:t>A</w:t>
      </w:r>
      <w:r>
        <w:rPr>
          <w:rFonts w:ascii="Times New Roman" w:eastAsia="宋体" w:hint="eastAsia"/>
          <w:color w:val="000000" w:themeColor="text1"/>
          <w:sz w:val="24"/>
          <w:szCs w:val="24"/>
        </w:rPr>
        <w:t>）</w:t>
      </w:r>
      <w:r>
        <w:rPr>
          <w:rFonts w:ascii="Times New Roman" w:eastAsia="宋体" w:hint="eastAsia"/>
          <w:color w:val="000000" w:themeColor="text1"/>
          <w:sz w:val="24"/>
          <w:szCs w:val="24"/>
        </w:rPr>
        <w:t>]</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评价标准：厂界执行《工业企业厂界噪声标准》（</w:t>
      </w:r>
      <w:r>
        <w:rPr>
          <w:rFonts w:ascii="Times New Roman" w:eastAsia="宋体" w:hint="eastAsia"/>
          <w:color w:val="000000" w:themeColor="text1"/>
          <w:sz w:val="24"/>
          <w:szCs w:val="24"/>
        </w:rPr>
        <w:t>GB12348-2008</w:t>
      </w:r>
      <w:r>
        <w:rPr>
          <w:rFonts w:ascii="Times New Roman" w:eastAsia="宋体" w:hint="eastAsia"/>
          <w:color w:val="000000" w:themeColor="text1"/>
          <w:sz w:val="24"/>
          <w:szCs w:val="24"/>
        </w:rPr>
        <w:t>）</w:t>
      </w:r>
      <w:r>
        <w:rPr>
          <w:rFonts w:ascii="Times New Roman" w:eastAsia="宋体" w:hint="eastAsia"/>
          <w:color w:val="000000" w:themeColor="text1"/>
          <w:sz w:val="24"/>
          <w:szCs w:val="24"/>
        </w:rPr>
        <w:t>3</w:t>
      </w:r>
      <w:r>
        <w:rPr>
          <w:rFonts w:ascii="Times New Roman" w:eastAsia="宋体" w:hint="eastAsia"/>
          <w:color w:val="000000" w:themeColor="text1"/>
          <w:sz w:val="24"/>
          <w:szCs w:val="24"/>
        </w:rPr>
        <w:t>类区，昼间</w:t>
      </w:r>
      <w:r>
        <w:rPr>
          <w:rFonts w:ascii="Times New Roman" w:eastAsia="宋体" w:hint="eastAsia"/>
          <w:color w:val="000000" w:themeColor="text1"/>
          <w:sz w:val="24"/>
          <w:szCs w:val="24"/>
        </w:rPr>
        <w:t>65dB</w:t>
      </w:r>
      <w:r>
        <w:rPr>
          <w:rFonts w:ascii="Times New Roman" w:eastAsia="宋体" w:hint="eastAsia"/>
          <w:color w:val="000000" w:themeColor="text1"/>
          <w:sz w:val="24"/>
          <w:szCs w:val="24"/>
        </w:rPr>
        <w:t>（</w:t>
      </w:r>
      <w:r>
        <w:rPr>
          <w:rFonts w:ascii="Times New Roman" w:eastAsia="宋体" w:hint="eastAsia"/>
          <w:color w:val="000000" w:themeColor="text1"/>
          <w:sz w:val="24"/>
          <w:szCs w:val="24"/>
        </w:rPr>
        <w:t>A</w:t>
      </w:r>
      <w:r>
        <w:rPr>
          <w:rFonts w:ascii="Times New Roman" w:eastAsia="宋体" w:hint="eastAsia"/>
          <w:color w:val="000000" w:themeColor="text1"/>
          <w:sz w:val="24"/>
          <w:szCs w:val="24"/>
        </w:rPr>
        <w:t>）、夜间</w:t>
      </w:r>
      <w:r>
        <w:rPr>
          <w:rFonts w:ascii="Times New Roman" w:eastAsia="宋体" w:hint="eastAsia"/>
          <w:color w:val="000000" w:themeColor="text1"/>
          <w:sz w:val="24"/>
          <w:szCs w:val="24"/>
        </w:rPr>
        <w:t>55dB</w:t>
      </w:r>
      <w:r>
        <w:rPr>
          <w:rFonts w:ascii="Times New Roman" w:eastAsia="宋体" w:hint="eastAsia"/>
          <w:color w:val="000000" w:themeColor="text1"/>
          <w:sz w:val="24"/>
          <w:szCs w:val="24"/>
        </w:rPr>
        <w:t>（</w:t>
      </w:r>
      <w:r>
        <w:rPr>
          <w:rFonts w:ascii="Times New Roman" w:eastAsia="宋体" w:hint="eastAsia"/>
          <w:color w:val="000000" w:themeColor="text1"/>
          <w:sz w:val="24"/>
          <w:szCs w:val="24"/>
        </w:rPr>
        <w:t>A</w:t>
      </w:r>
      <w:r>
        <w:rPr>
          <w:rFonts w:ascii="Times New Roman" w:eastAsia="宋体" w:hint="eastAsia"/>
          <w:color w:val="000000" w:themeColor="text1"/>
          <w:sz w:val="24"/>
          <w:szCs w:val="24"/>
        </w:rPr>
        <w:t>）。</w:t>
      </w:r>
    </w:p>
    <w:p w:rsidR="00C861DA" w:rsidRDefault="0044752E">
      <w:pPr>
        <w:pStyle w:val="32"/>
        <w:rPr>
          <w:rFonts w:ascii="Times New Roman" w:eastAsia="宋体"/>
          <w:bCs w:val="0"/>
          <w:color w:val="000000" w:themeColor="text1"/>
          <w:sz w:val="24"/>
          <w:szCs w:val="24"/>
        </w:rPr>
      </w:pPr>
      <w:bookmarkStart w:id="465" w:name="_Toc182"/>
      <w:bookmarkStart w:id="466" w:name="_Toc6826851"/>
      <w:bookmarkStart w:id="467" w:name="_Toc5476"/>
      <w:bookmarkStart w:id="468" w:name="_Toc11001"/>
      <w:bookmarkStart w:id="469" w:name="_Toc6411"/>
      <w:r>
        <w:rPr>
          <w:rFonts w:ascii="Times New Roman" w:eastAsia="宋体" w:hint="eastAsia"/>
          <w:bCs w:val="0"/>
          <w:color w:val="000000" w:themeColor="text1"/>
          <w:sz w:val="24"/>
          <w:szCs w:val="24"/>
        </w:rPr>
        <w:t>7.3.3</w:t>
      </w:r>
      <w:r>
        <w:rPr>
          <w:rFonts w:ascii="Times New Roman" w:eastAsia="宋体" w:hint="eastAsia"/>
          <w:bCs w:val="0"/>
          <w:color w:val="000000" w:themeColor="text1"/>
          <w:sz w:val="24"/>
          <w:szCs w:val="24"/>
        </w:rPr>
        <w:t>预测模式</w:t>
      </w:r>
      <w:bookmarkEnd w:id="459"/>
      <w:bookmarkEnd w:id="465"/>
      <w:bookmarkEnd w:id="466"/>
      <w:bookmarkEnd w:id="467"/>
      <w:bookmarkEnd w:id="468"/>
      <w:bookmarkEnd w:id="469"/>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根据《环境影响评价技术导则</w:t>
      </w:r>
      <w:r>
        <w:rPr>
          <w:rFonts w:ascii="Times New Roman" w:eastAsia="宋体"/>
          <w:color w:val="000000" w:themeColor="text1"/>
          <w:sz w:val="24"/>
          <w:szCs w:val="24"/>
        </w:rPr>
        <w:t xml:space="preserve"> </w:t>
      </w:r>
      <w:r>
        <w:rPr>
          <w:rFonts w:ascii="Times New Roman" w:eastAsia="宋体"/>
          <w:color w:val="000000" w:themeColor="text1"/>
          <w:sz w:val="24"/>
          <w:szCs w:val="24"/>
        </w:rPr>
        <w:t>声环境》（</w:t>
      </w:r>
      <w:r>
        <w:rPr>
          <w:rFonts w:ascii="Times New Roman" w:eastAsia="宋体"/>
          <w:color w:val="000000" w:themeColor="text1"/>
          <w:sz w:val="24"/>
          <w:szCs w:val="24"/>
        </w:rPr>
        <w:t>HJ2.4-2009</w:t>
      </w:r>
      <w:r>
        <w:rPr>
          <w:rFonts w:ascii="Times New Roman" w:eastAsia="宋体"/>
          <w:color w:val="000000" w:themeColor="text1"/>
          <w:sz w:val="24"/>
          <w:szCs w:val="24"/>
        </w:rPr>
        <w:t>）的技术要求，本次评价采取导则上推荐模式。</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w:t>
      </w:r>
      <w:r>
        <w:rPr>
          <w:rFonts w:ascii="Times New Roman" w:eastAsia="宋体"/>
          <w:color w:val="000000" w:themeColor="text1"/>
          <w:sz w:val="24"/>
          <w:szCs w:val="24"/>
        </w:rPr>
        <w:t>1</w:t>
      </w:r>
      <w:r>
        <w:rPr>
          <w:rFonts w:ascii="Times New Roman" w:eastAsia="宋体"/>
          <w:color w:val="000000" w:themeColor="text1"/>
          <w:sz w:val="24"/>
          <w:szCs w:val="24"/>
        </w:rPr>
        <w:t>）声级计算</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建设项目声源在预测点产生的等效声级贡献值</w:t>
      </w:r>
      <w:r>
        <w:rPr>
          <w:rFonts w:ascii="Times New Roman" w:eastAsia="宋体" w:hint="eastAsia"/>
          <w:color w:val="000000" w:themeColor="text1"/>
          <w:sz w:val="24"/>
          <w:szCs w:val="24"/>
        </w:rPr>
        <w:t>（</w:t>
      </w:r>
      <w:r>
        <w:rPr>
          <w:rFonts w:ascii="Times New Roman" w:eastAsia="宋体"/>
          <w:color w:val="000000" w:themeColor="text1"/>
          <w:sz w:val="24"/>
          <w:szCs w:val="24"/>
        </w:rPr>
        <w:t>Leqg</w:t>
      </w:r>
      <w:r>
        <w:rPr>
          <w:rFonts w:ascii="Times New Roman" w:eastAsia="宋体" w:hint="eastAsia"/>
          <w:color w:val="000000" w:themeColor="text1"/>
          <w:sz w:val="24"/>
          <w:szCs w:val="24"/>
        </w:rPr>
        <w:t>）</w:t>
      </w:r>
      <w:r>
        <w:rPr>
          <w:rFonts w:ascii="Times New Roman" w:eastAsia="宋体"/>
          <w:color w:val="000000" w:themeColor="text1"/>
          <w:sz w:val="24"/>
          <w:szCs w:val="24"/>
        </w:rPr>
        <w:t>计算公式：</w:t>
      </w:r>
    </w:p>
    <w:p w:rsidR="00C861DA" w:rsidRDefault="0044752E">
      <w:pPr>
        <w:spacing w:line="360" w:lineRule="auto"/>
        <w:ind w:firstLineChars="200" w:firstLine="480"/>
        <w:jc w:val="center"/>
        <w:rPr>
          <w:rFonts w:ascii="Times New Roman" w:eastAsia="宋体"/>
          <w:color w:val="000000" w:themeColor="text1"/>
          <w:sz w:val="24"/>
          <w:szCs w:val="24"/>
        </w:rPr>
      </w:pPr>
      <w:r>
        <w:rPr>
          <w:rFonts w:ascii="Times New Roman" w:eastAsia="宋体"/>
          <w:color w:val="000000" w:themeColor="text1"/>
          <w:sz w:val="24"/>
          <w:szCs w:val="24"/>
        </w:rPr>
        <w:object w:dxaOrig="4011" w:dyaOrig="902">
          <v:shape id="_x0000_i1028" type="#_x0000_t75" style="width:200.4pt;height:45pt" o:ole="">
            <v:imagedata r:id="rId38" o:title=""/>
          </v:shape>
          <o:OLEObject Type="Embed" ProgID="Equation.3" ShapeID="_x0000_i1028" DrawAspect="Content" ObjectID="_1618988638" r:id="rId39"/>
        </w:objec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式中：</w:t>
      </w:r>
    </w:p>
    <w:p w:rsidR="00C861DA" w:rsidRDefault="0044752E" w:rsidP="00B236CD">
      <w:pPr>
        <w:spacing w:line="360" w:lineRule="auto"/>
        <w:ind w:firstLineChars="472" w:firstLine="1133"/>
        <w:rPr>
          <w:rFonts w:ascii="Times New Roman" w:eastAsia="宋体"/>
          <w:color w:val="000000" w:themeColor="text1"/>
          <w:sz w:val="24"/>
          <w:szCs w:val="24"/>
        </w:rPr>
      </w:pPr>
      <w:r>
        <w:rPr>
          <w:rFonts w:ascii="Times New Roman" w:eastAsia="宋体"/>
          <w:color w:val="000000" w:themeColor="text1"/>
          <w:sz w:val="24"/>
          <w:szCs w:val="24"/>
        </w:rPr>
        <w:t>L</w:t>
      </w:r>
      <w:r>
        <w:rPr>
          <w:rFonts w:ascii="Times New Roman" w:eastAsia="宋体"/>
          <w:color w:val="000000" w:themeColor="text1"/>
          <w:sz w:val="24"/>
          <w:szCs w:val="24"/>
          <w:vertAlign w:val="subscript"/>
        </w:rPr>
        <w:t>eqg</w:t>
      </w:r>
      <w:r>
        <w:rPr>
          <w:rFonts w:ascii="Times New Roman" w:eastAsia="宋体"/>
          <w:color w:val="000000" w:themeColor="text1"/>
          <w:sz w:val="24"/>
          <w:szCs w:val="24"/>
        </w:rPr>
        <w:t>——</w:t>
      </w:r>
      <w:r>
        <w:rPr>
          <w:rFonts w:ascii="Times New Roman" w:eastAsia="宋体"/>
          <w:color w:val="000000" w:themeColor="text1"/>
          <w:sz w:val="24"/>
          <w:szCs w:val="24"/>
        </w:rPr>
        <w:t>建设项目声源在预测点的等效声级贡献值，</w:t>
      </w:r>
      <w:r>
        <w:rPr>
          <w:rFonts w:ascii="Times New Roman" w:eastAsia="宋体"/>
          <w:color w:val="000000" w:themeColor="text1"/>
          <w:sz w:val="24"/>
          <w:szCs w:val="24"/>
        </w:rPr>
        <w:t>dB</w:t>
      </w:r>
      <w:r>
        <w:rPr>
          <w:rFonts w:ascii="Times New Roman" w:eastAsia="宋体" w:hint="eastAsia"/>
          <w:color w:val="000000" w:themeColor="text1"/>
          <w:sz w:val="24"/>
          <w:szCs w:val="24"/>
        </w:rPr>
        <w:t>（</w:t>
      </w:r>
      <w:r>
        <w:rPr>
          <w:rFonts w:ascii="Times New Roman" w:eastAsia="宋体"/>
          <w:color w:val="000000" w:themeColor="text1"/>
          <w:sz w:val="24"/>
          <w:szCs w:val="24"/>
        </w:rPr>
        <w:t>A</w:t>
      </w:r>
      <w:r>
        <w:rPr>
          <w:rFonts w:ascii="Times New Roman" w:eastAsia="宋体" w:hint="eastAsia"/>
          <w:color w:val="000000" w:themeColor="text1"/>
          <w:sz w:val="24"/>
          <w:szCs w:val="24"/>
        </w:rPr>
        <w:t>）</w:t>
      </w:r>
      <w:r>
        <w:rPr>
          <w:rFonts w:ascii="Times New Roman" w:eastAsia="宋体"/>
          <w:color w:val="000000" w:themeColor="text1"/>
          <w:sz w:val="24"/>
          <w:szCs w:val="24"/>
        </w:rPr>
        <w:t>；</w:t>
      </w:r>
    </w:p>
    <w:p w:rsidR="00C861DA" w:rsidRDefault="0044752E" w:rsidP="00B236CD">
      <w:pPr>
        <w:spacing w:line="360" w:lineRule="auto"/>
        <w:ind w:firstLineChars="472" w:firstLine="1133"/>
        <w:rPr>
          <w:rFonts w:ascii="Times New Roman" w:eastAsia="宋体"/>
          <w:color w:val="000000" w:themeColor="text1"/>
          <w:sz w:val="24"/>
          <w:szCs w:val="24"/>
        </w:rPr>
      </w:pPr>
      <w:r>
        <w:rPr>
          <w:rFonts w:ascii="Times New Roman" w:eastAsia="宋体"/>
          <w:color w:val="000000" w:themeColor="text1"/>
          <w:sz w:val="24"/>
          <w:szCs w:val="24"/>
        </w:rPr>
        <w:t>L</w:t>
      </w:r>
      <w:r>
        <w:rPr>
          <w:rFonts w:ascii="Times New Roman" w:eastAsia="宋体"/>
          <w:color w:val="000000" w:themeColor="text1"/>
          <w:sz w:val="24"/>
          <w:szCs w:val="24"/>
          <w:vertAlign w:val="subscript"/>
        </w:rPr>
        <w:t>Ai</w:t>
      </w:r>
      <w:r>
        <w:rPr>
          <w:rFonts w:ascii="Times New Roman" w:eastAsia="宋体"/>
          <w:color w:val="000000" w:themeColor="text1"/>
          <w:sz w:val="24"/>
          <w:szCs w:val="24"/>
        </w:rPr>
        <w:t xml:space="preserve"> </w:t>
      </w:r>
      <w:r>
        <w:rPr>
          <w:rFonts w:ascii="Times New Roman" w:eastAsia="宋体"/>
          <w:color w:val="000000" w:themeColor="text1"/>
          <w:sz w:val="24"/>
          <w:szCs w:val="24"/>
        </w:rPr>
        <w:t>——</w:t>
      </w:r>
      <w:r>
        <w:rPr>
          <w:rFonts w:ascii="Times New Roman" w:eastAsia="宋体"/>
          <w:color w:val="000000" w:themeColor="text1"/>
          <w:sz w:val="24"/>
          <w:szCs w:val="24"/>
        </w:rPr>
        <w:t>i</w:t>
      </w:r>
      <w:r>
        <w:rPr>
          <w:rFonts w:ascii="Times New Roman" w:eastAsia="宋体"/>
          <w:color w:val="000000" w:themeColor="text1"/>
          <w:sz w:val="24"/>
          <w:szCs w:val="24"/>
        </w:rPr>
        <w:t>声源在预测点产生的</w:t>
      </w:r>
      <w:r>
        <w:rPr>
          <w:rFonts w:ascii="Times New Roman" w:eastAsia="宋体"/>
          <w:color w:val="000000" w:themeColor="text1"/>
          <w:sz w:val="24"/>
          <w:szCs w:val="24"/>
        </w:rPr>
        <w:t>A</w:t>
      </w:r>
      <w:r>
        <w:rPr>
          <w:rFonts w:ascii="Times New Roman" w:eastAsia="宋体"/>
          <w:color w:val="000000" w:themeColor="text1"/>
          <w:sz w:val="24"/>
          <w:szCs w:val="24"/>
        </w:rPr>
        <w:t>声级，</w:t>
      </w:r>
      <w:r>
        <w:rPr>
          <w:rFonts w:ascii="Times New Roman" w:eastAsia="宋体"/>
          <w:color w:val="000000" w:themeColor="text1"/>
          <w:sz w:val="24"/>
          <w:szCs w:val="24"/>
        </w:rPr>
        <w:t>dB</w:t>
      </w:r>
      <w:r>
        <w:rPr>
          <w:rFonts w:ascii="Times New Roman" w:eastAsia="宋体" w:hint="eastAsia"/>
          <w:color w:val="000000" w:themeColor="text1"/>
          <w:sz w:val="24"/>
          <w:szCs w:val="24"/>
        </w:rPr>
        <w:t>（</w:t>
      </w:r>
      <w:r>
        <w:rPr>
          <w:rFonts w:ascii="Times New Roman" w:eastAsia="宋体"/>
          <w:color w:val="000000" w:themeColor="text1"/>
          <w:sz w:val="24"/>
          <w:szCs w:val="24"/>
        </w:rPr>
        <w:t>A</w:t>
      </w:r>
      <w:r>
        <w:rPr>
          <w:rFonts w:ascii="Times New Roman" w:eastAsia="宋体" w:hint="eastAsia"/>
          <w:color w:val="000000" w:themeColor="text1"/>
          <w:sz w:val="24"/>
          <w:szCs w:val="24"/>
        </w:rPr>
        <w:t>）</w:t>
      </w:r>
      <w:r>
        <w:rPr>
          <w:rFonts w:ascii="Times New Roman" w:eastAsia="宋体"/>
          <w:color w:val="000000" w:themeColor="text1"/>
          <w:sz w:val="24"/>
          <w:szCs w:val="24"/>
        </w:rPr>
        <w:t>；</w:t>
      </w:r>
    </w:p>
    <w:p w:rsidR="00C861DA" w:rsidRDefault="0044752E" w:rsidP="00B236CD">
      <w:pPr>
        <w:spacing w:line="360" w:lineRule="auto"/>
        <w:ind w:firstLineChars="472" w:firstLine="1133"/>
        <w:rPr>
          <w:rFonts w:ascii="Times New Roman" w:eastAsia="宋体"/>
          <w:color w:val="000000" w:themeColor="text1"/>
          <w:sz w:val="24"/>
          <w:szCs w:val="24"/>
        </w:rPr>
      </w:pPr>
      <w:r>
        <w:rPr>
          <w:rFonts w:ascii="Times New Roman" w:eastAsia="宋体"/>
          <w:color w:val="000000" w:themeColor="text1"/>
          <w:sz w:val="24"/>
          <w:szCs w:val="24"/>
        </w:rPr>
        <w:t xml:space="preserve">T </w:t>
      </w:r>
      <w:r>
        <w:rPr>
          <w:rFonts w:ascii="Times New Roman" w:eastAsia="宋体"/>
          <w:color w:val="000000" w:themeColor="text1"/>
          <w:sz w:val="24"/>
          <w:szCs w:val="24"/>
        </w:rPr>
        <w:t>——</w:t>
      </w:r>
      <w:r>
        <w:rPr>
          <w:rFonts w:ascii="Times New Roman" w:eastAsia="宋体"/>
          <w:color w:val="000000" w:themeColor="text1"/>
          <w:sz w:val="24"/>
          <w:szCs w:val="24"/>
        </w:rPr>
        <w:t>预测计算的时间段，</w:t>
      </w:r>
      <w:r>
        <w:rPr>
          <w:rFonts w:ascii="Times New Roman" w:eastAsia="宋体"/>
          <w:color w:val="000000" w:themeColor="text1"/>
          <w:sz w:val="24"/>
          <w:szCs w:val="24"/>
        </w:rPr>
        <w:t>s</w:t>
      </w:r>
      <w:r>
        <w:rPr>
          <w:rFonts w:ascii="Times New Roman" w:eastAsia="宋体"/>
          <w:color w:val="000000" w:themeColor="text1"/>
          <w:sz w:val="24"/>
          <w:szCs w:val="24"/>
        </w:rPr>
        <w:t>；</w:t>
      </w:r>
    </w:p>
    <w:p w:rsidR="00C861DA" w:rsidRDefault="0044752E" w:rsidP="00B236CD">
      <w:pPr>
        <w:spacing w:line="360" w:lineRule="auto"/>
        <w:ind w:firstLineChars="472" w:firstLine="1133"/>
        <w:rPr>
          <w:rFonts w:ascii="Times New Roman" w:eastAsia="宋体"/>
          <w:color w:val="000000" w:themeColor="text1"/>
          <w:sz w:val="24"/>
          <w:szCs w:val="24"/>
        </w:rPr>
      </w:pPr>
      <w:r>
        <w:rPr>
          <w:rFonts w:ascii="Times New Roman" w:eastAsia="宋体" w:hint="eastAsia"/>
          <w:color w:val="000000" w:themeColor="text1"/>
          <w:sz w:val="24"/>
          <w:szCs w:val="24"/>
        </w:rPr>
        <w:t>t</w:t>
      </w:r>
      <w:r>
        <w:rPr>
          <w:rFonts w:ascii="Times New Roman" w:eastAsia="宋体"/>
          <w:color w:val="000000" w:themeColor="text1"/>
          <w:sz w:val="24"/>
          <w:szCs w:val="24"/>
          <w:vertAlign w:val="subscript"/>
        </w:rPr>
        <w:t>i</w:t>
      </w:r>
      <w:r>
        <w:rPr>
          <w:rFonts w:ascii="Times New Roman" w:eastAsia="宋体"/>
          <w:color w:val="000000" w:themeColor="text1"/>
          <w:sz w:val="24"/>
          <w:szCs w:val="24"/>
        </w:rPr>
        <w:t>——</w:t>
      </w:r>
      <w:r>
        <w:rPr>
          <w:rFonts w:ascii="Times New Roman" w:eastAsia="宋体"/>
          <w:color w:val="000000" w:themeColor="text1"/>
          <w:sz w:val="24"/>
          <w:szCs w:val="24"/>
        </w:rPr>
        <w:t>i</w:t>
      </w:r>
      <w:r>
        <w:rPr>
          <w:rFonts w:ascii="Times New Roman" w:eastAsia="宋体"/>
          <w:color w:val="000000" w:themeColor="text1"/>
          <w:sz w:val="24"/>
          <w:szCs w:val="24"/>
        </w:rPr>
        <w:t>声源在</w:t>
      </w:r>
      <w:r>
        <w:rPr>
          <w:rFonts w:ascii="Times New Roman" w:eastAsia="宋体"/>
          <w:color w:val="000000" w:themeColor="text1"/>
          <w:sz w:val="24"/>
          <w:szCs w:val="24"/>
        </w:rPr>
        <w:t>T</w:t>
      </w:r>
      <w:r>
        <w:rPr>
          <w:rFonts w:ascii="Times New Roman" w:eastAsia="宋体"/>
          <w:color w:val="000000" w:themeColor="text1"/>
          <w:sz w:val="24"/>
          <w:szCs w:val="24"/>
        </w:rPr>
        <w:t>时段内的运行时间，</w:t>
      </w:r>
      <w:r>
        <w:rPr>
          <w:rFonts w:ascii="Times New Roman" w:eastAsia="宋体"/>
          <w:color w:val="000000" w:themeColor="text1"/>
          <w:sz w:val="24"/>
          <w:szCs w:val="24"/>
        </w:rPr>
        <w:t>s</w:t>
      </w:r>
      <w:r>
        <w:rPr>
          <w:rFonts w:ascii="Times New Roman" w:eastAsia="宋体"/>
          <w:color w:val="000000" w:themeColor="text1"/>
          <w:sz w:val="24"/>
          <w:szCs w:val="24"/>
        </w:rPr>
        <w:t>。</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w:t>
      </w:r>
      <w:r>
        <w:rPr>
          <w:rFonts w:ascii="Times New Roman" w:eastAsia="宋体"/>
          <w:color w:val="000000" w:themeColor="text1"/>
          <w:sz w:val="24"/>
          <w:szCs w:val="24"/>
        </w:rPr>
        <w:t>2</w:t>
      </w:r>
      <w:r>
        <w:rPr>
          <w:rFonts w:ascii="Times New Roman" w:eastAsia="宋体"/>
          <w:color w:val="000000" w:themeColor="text1"/>
          <w:sz w:val="24"/>
          <w:szCs w:val="24"/>
        </w:rPr>
        <w:t>）预测点的预测等效声级</w:t>
      </w:r>
      <w:r>
        <w:rPr>
          <w:rFonts w:ascii="Times New Roman" w:eastAsia="宋体" w:hint="eastAsia"/>
          <w:color w:val="000000" w:themeColor="text1"/>
          <w:sz w:val="24"/>
          <w:szCs w:val="24"/>
        </w:rPr>
        <w:t>（</w:t>
      </w:r>
      <w:r>
        <w:rPr>
          <w:rFonts w:ascii="Times New Roman" w:eastAsia="宋体"/>
          <w:color w:val="000000" w:themeColor="text1"/>
          <w:sz w:val="24"/>
          <w:szCs w:val="24"/>
        </w:rPr>
        <w:t xml:space="preserve">Leq </w:t>
      </w:r>
      <w:r>
        <w:rPr>
          <w:rFonts w:ascii="Times New Roman" w:eastAsia="宋体" w:hint="eastAsia"/>
          <w:color w:val="000000" w:themeColor="text1"/>
          <w:sz w:val="24"/>
          <w:szCs w:val="24"/>
        </w:rPr>
        <w:t>）</w:t>
      </w:r>
      <w:r>
        <w:rPr>
          <w:rFonts w:ascii="Times New Roman" w:eastAsia="宋体"/>
          <w:color w:val="000000" w:themeColor="text1"/>
          <w:sz w:val="24"/>
          <w:szCs w:val="24"/>
        </w:rPr>
        <w:t>计算公式，</w:t>
      </w:r>
    </w:p>
    <w:p w:rsidR="00C861DA" w:rsidRDefault="0044752E">
      <w:pPr>
        <w:spacing w:line="360" w:lineRule="auto"/>
        <w:ind w:firstLineChars="200" w:firstLine="480"/>
        <w:jc w:val="center"/>
        <w:rPr>
          <w:rFonts w:ascii="Times New Roman" w:eastAsia="宋体"/>
          <w:color w:val="000000" w:themeColor="text1"/>
          <w:sz w:val="24"/>
          <w:szCs w:val="24"/>
        </w:rPr>
      </w:pPr>
      <w:r>
        <w:rPr>
          <w:rFonts w:ascii="Times New Roman" w:eastAsia="宋体"/>
          <w:color w:val="000000" w:themeColor="text1"/>
          <w:sz w:val="24"/>
          <w:szCs w:val="24"/>
        </w:rPr>
        <w:object w:dxaOrig="4367" w:dyaOrig="562">
          <v:shape id="_x0000_i1029" type="#_x0000_t75" style="width:218.4pt;height:28.2pt" o:ole="">
            <v:imagedata r:id="rId40" o:title=""/>
          </v:shape>
          <o:OLEObject Type="Embed" ProgID="Equation.3" ShapeID="_x0000_i1029" DrawAspect="Content" ObjectID="_1618988639" r:id="rId41"/>
        </w:objec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式中：</w:t>
      </w:r>
    </w:p>
    <w:p w:rsidR="00C861DA" w:rsidRDefault="0044752E" w:rsidP="00B236CD">
      <w:pPr>
        <w:spacing w:line="360" w:lineRule="auto"/>
        <w:ind w:firstLineChars="472" w:firstLine="1133"/>
        <w:rPr>
          <w:rFonts w:ascii="Times New Roman" w:eastAsia="宋体"/>
          <w:color w:val="000000" w:themeColor="text1"/>
          <w:sz w:val="24"/>
          <w:szCs w:val="24"/>
        </w:rPr>
      </w:pPr>
      <w:r>
        <w:rPr>
          <w:rFonts w:ascii="Times New Roman" w:eastAsia="宋体"/>
          <w:color w:val="000000" w:themeColor="text1"/>
          <w:sz w:val="24"/>
          <w:szCs w:val="24"/>
        </w:rPr>
        <w:t>L</w:t>
      </w:r>
      <w:r>
        <w:rPr>
          <w:rFonts w:ascii="Times New Roman" w:eastAsia="宋体"/>
          <w:color w:val="000000" w:themeColor="text1"/>
          <w:sz w:val="24"/>
          <w:szCs w:val="24"/>
          <w:vertAlign w:val="subscript"/>
        </w:rPr>
        <w:t>eqg</w:t>
      </w:r>
      <w:r>
        <w:rPr>
          <w:rFonts w:ascii="Times New Roman" w:eastAsia="宋体"/>
          <w:color w:val="000000" w:themeColor="text1"/>
          <w:sz w:val="24"/>
          <w:szCs w:val="24"/>
        </w:rPr>
        <w:t xml:space="preserve"> </w:t>
      </w:r>
      <w:r>
        <w:rPr>
          <w:rFonts w:ascii="Times New Roman" w:eastAsia="宋体"/>
          <w:color w:val="000000" w:themeColor="text1"/>
          <w:sz w:val="24"/>
          <w:szCs w:val="24"/>
        </w:rPr>
        <w:t>——</w:t>
      </w:r>
      <w:r>
        <w:rPr>
          <w:rFonts w:ascii="Times New Roman" w:eastAsia="宋体"/>
          <w:color w:val="000000" w:themeColor="text1"/>
          <w:sz w:val="24"/>
          <w:szCs w:val="24"/>
        </w:rPr>
        <w:t>建设项目声源在预测点的等效声级贡献值，</w:t>
      </w:r>
      <w:r>
        <w:rPr>
          <w:rFonts w:ascii="Times New Roman" w:eastAsia="宋体"/>
          <w:color w:val="000000" w:themeColor="text1"/>
          <w:sz w:val="24"/>
          <w:szCs w:val="24"/>
        </w:rPr>
        <w:t>dB</w:t>
      </w:r>
      <w:r>
        <w:rPr>
          <w:rFonts w:ascii="Times New Roman" w:eastAsia="宋体" w:hint="eastAsia"/>
          <w:color w:val="000000" w:themeColor="text1"/>
          <w:sz w:val="24"/>
          <w:szCs w:val="24"/>
        </w:rPr>
        <w:t>（</w:t>
      </w:r>
      <w:r>
        <w:rPr>
          <w:rFonts w:ascii="Times New Roman" w:eastAsia="宋体"/>
          <w:color w:val="000000" w:themeColor="text1"/>
          <w:sz w:val="24"/>
          <w:szCs w:val="24"/>
        </w:rPr>
        <w:t>A</w:t>
      </w:r>
      <w:r>
        <w:rPr>
          <w:rFonts w:ascii="Times New Roman" w:eastAsia="宋体" w:hint="eastAsia"/>
          <w:color w:val="000000" w:themeColor="text1"/>
          <w:sz w:val="24"/>
          <w:szCs w:val="24"/>
        </w:rPr>
        <w:t>）</w:t>
      </w:r>
      <w:r>
        <w:rPr>
          <w:rFonts w:ascii="Times New Roman" w:eastAsia="宋体"/>
          <w:color w:val="000000" w:themeColor="text1"/>
          <w:sz w:val="24"/>
          <w:szCs w:val="24"/>
        </w:rPr>
        <w:t>；</w:t>
      </w:r>
    </w:p>
    <w:p w:rsidR="00C861DA" w:rsidRDefault="0044752E" w:rsidP="00B236CD">
      <w:pPr>
        <w:spacing w:line="360" w:lineRule="auto"/>
        <w:ind w:firstLineChars="472" w:firstLine="1133"/>
        <w:rPr>
          <w:rFonts w:ascii="Times New Roman" w:eastAsia="宋体"/>
          <w:color w:val="000000" w:themeColor="text1"/>
          <w:sz w:val="24"/>
          <w:szCs w:val="24"/>
        </w:rPr>
      </w:pPr>
      <w:r>
        <w:rPr>
          <w:rFonts w:ascii="Times New Roman" w:eastAsia="宋体"/>
          <w:color w:val="000000" w:themeColor="text1"/>
          <w:sz w:val="24"/>
          <w:szCs w:val="24"/>
        </w:rPr>
        <w:t>L</w:t>
      </w:r>
      <w:r>
        <w:rPr>
          <w:rFonts w:ascii="Times New Roman" w:eastAsia="宋体"/>
          <w:color w:val="000000" w:themeColor="text1"/>
          <w:sz w:val="24"/>
          <w:szCs w:val="24"/>
          <w:vertAlign w:val="subscript"/>
        </w:rPr>
        <w:t>eqb</w:t>
      </w:r>
      <w:r>
        <w:rPr>
          <w:rFonts w:ascii="Times New Roman" w:eastAsia="宋体"/>
          <w:color w:val="000000" w:themeColor="text1"/>
          <w:sz w:val="24"/>
          <w:szCs w:val="24"/>
        </w:rPr>
        <w:t xml:space="preserve"> </w:t>
      </w:r>
      <w:r>
        <w:rPr>
          <w:rFonts w:ascii="Times New Roman" w:eastAsia="宋体"/>
          <w:color w:val="000000" w:themeColor="text1"/>
          <w:sz w:val="24"/>
          <w:szCs w:val="24"/>
        </w:rPr>
        <w:t>——</w:t>
      </w:r>
      <w:r>
        <w:rPr>
          <w:rFonts w:ascii="Times New Roman" w:eastAsia="宋体"/>
          <w:color w:val="000000" w:themeColor="text1"/>
          <w:sz w:val="24"/>
          <w:szCs w:val="24"/>
        </w:rPr>
        <w:t>预测点的背景值，</w:t>
      </w:r>
      <w:r>
        <w:rPr>
          <w:rFonts w:ascii="Times New Roman" w:eastAsia="宋体"/>
          <w:color w:val="000000" w:themeColor="text1"/>
          <w:sz w:val="24"/>
          <w:szCs w:val="24"/>
        </w:rPr>
        <w:t>dB</w:t>
      </w:r>
      <w:r>
        <w:rPr>
          <w:rFonts w:ascii="Times New Roman" w:eastAsia="宋体" w:hint="eastAsia"/>
          <w:color w:val="000000" w:themeColor="text1"/>
          <w:sz w:val="24"/>
          <w:szCs w:val="24"/>
        </w:rPr>
        <w:t>（</w:t>
      </w:r>
      <w:r>
        <w:rPr>
          <w:rFonts w:ascii="Times New Roman" w:eastAsia="宋体"/>
          <w:color w:val="000000" w:themeColor="text1"/>
          <w:sz w:val="24"/>
          <w:szCs w:val="24"/>
        </w:rPr>
        <w:t>A</w:t>
      </w:r>
      <w:r>
        <w:rPr>
          <w:rFonts w:ascii="Times New Roman" w:eastAsia="宋体" w:hint="eastAsia"/>
          <w:color w:val="000000" w:themeColor="text1"/>
          <w:sz w:val="24"/>
          <w:szCs w:val="24"/>
        </w:rPr>
        <w:t>）</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w:t>
      </w:r>
      <w:r>
        <w:rPr>
          <w:rFonts w:ascii="Times New Roman" w:eastAsia="宋体"/>
          <w:color w:val="000000" w:themeColor="text1"/>
          <w:sz w:val="24"/>
          <w:szCs w:val="24"/>
        </w:rPr>
        <w:t>3</w:t>
      </w:r>
      <w:r>
        <w:rPr>
          <w:rFonts w:ascii="Times New Roman" w:eastAsia="宋体"/>
          <w:color w:val="000000" w:themeColor="text1"/>
          <w:sz w:val="24"/>
          <w:szCs w:val="24"/>
        </w:rPr>
        <w:t>）户外声传播衰减计算</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户外声传播衰减包括几何发散（</w:t>
      </w:r>
      <w:r>
        <w:rPr>
          <w:rFonts w:ascii="Times New Roman" w:eastAsia="宋体"/>
          <w:color w:val="000000" w:themeColor="text1"/>
          <w:sz w:val="24"/>
          <w:szCs w:val="24"/>
        </w:rPr>
        <w:t>A</w:t>
      </w:r>
      <w:r>
        <w:rPr>
          <w:rFonts w:ascii="Times New Roman" w:eastAsia="宋体"/>
          <w:color w:val="000000" w:themeColor="text1"/>
          <w:sz w:val="24"/>
          <w:szCs w:val="24"/>
          <w:vertAlign w:val="subscript"/>
        </w:rPr>
        <w:t>div</w:t>
      </w:r>
      <w:r>
        <w:rPr>
          <w:rFonts w:ascii="Times New Roman" w:eastAsia="宋体"/>
          <w:color w:val="000000" w:themeColor="text1"/>
          <w:sz w:val="24"/>
          <w:szCs w:val="24"/>
        </w:rPr>
        <w:t>）、大气吸收（</w:t>
      </w:r>
      <w:r>
        <w:rPr>
          <w:rFonts w:ascii="Times New Roman" w:eastAsia="宋体"/>
          <w:color w:val="000000" w:themeColor="text1"/>
          <w:sz w:val="24"/>
          <w:szCs w:val="24"/>
        </w:rPr>
        <w:t>A</w:t>
      </w:r>
      <w:r>
        <w:rPr>
          <w:rFonts w:ascii="Times New Roman" w:eastAsia="宋体"/>
          <w:color w:val="000000" w:themeColor="text1"/>
          <w:sz w:val="24"/>
          <w:szCs w:val="24"/>
          <w:vertAlign w:val="subscript"/>
        </w:rPr>
        <w:t>atm</w:t>
      </w:r>
      <w:r>
        <w:rPr>
          <w:rFonts w:ascii="Times New Roman" w:eastAsia="宋体"/>
          <w:color w:val="000000" w:themeColor="text1"/>
          <w:sz w:val="24"/>
          <w:szCs w:val="24"/>
        </w:rPr>
        <w:t>）、地面效应（</w:t>
      </w:r>
      <w:r>
        <w:rPr>
          <w:rFonts w:ascii="Times New Roman" w:eastAsia="宋体"/>
          <w:color w:val="000000" w:themeColor="text1"/>
          <w:sz w:val="24"/>
          <w:szCs w:val="24"/>
        </w:rPr>
        <w:t>A</w:t>
      </w:r>
      <w:r>
        <w:rPr>
          <w:rFonts w:ascii="Times New Roman" w:eastAsia="宋体"/>
          <w:color w:val="000000" w:themeColor="text1"/>
          <w:sz w:val="24"/>
          <w:szCs w:val="24"/>
          <w:vertAlign w:val="subscript"/>
        </w:rPr>
        <w:t>gr</w:t>
      </w:r>
      <w:r>
        <w:rPr>
          <w:rFonts w:ascii="Times New Roman" w:eastAsia="宋体"/>
          <w:color w:val="000000" w:themeColor="text1"/>
          <w:sz w:val="24"/>
          <w:szCs w:val="24"/>
        </w:rPr>
        <w:t>）、屏障屏蔽（</w:t>
      </w:r>
      <w:r>
        <w:rPr>
          <w:rFonts w:ascii="Times New Roman" w:eastAsia="宋体"/>
          <w:color w:val="000000" w:themeColor="text1"/>
          <w:sz w:val="24"/>
          <w:szCs w:val="24"/>
        </w:rPr>
        <w:t>A</w:t>
      </w:r>
      <w:r>
        <w:rPr>
          <w:rFonts w:ascii="Times New Roman" w:eastAsia="宋体"/>
          <w:color w:val="000000" w:themeColor="text1"/>
          <w:sz w:val="24"/>
          <w:szCs w:val="24"/>
          <w:vertAlign w:val="subscript"/>
        </w:rPr>
        <w:t>bar</w:t>
      </w:r>
      <w:r>
        <w:rPr>
          <w:rFonts w:ascii="Times New Roman" w:eastAsia="宋体"/>
          <w:color w:val="000000" w:themeColor="text1"/>
          <w:sz w:val="24"/>
          <w:szCs w:val="24"/>
        </w:rPr>
        <w:t>）、其他多方面效应（</w:t>
      </w:r>
      <w:r>
        <w:rPr>
          <w:rFonts w:ascii="Times New Roman" w:eastAsia="宋体"/>
          <w:color w:val="000000" w:themeColor="text1"/>
          <w:sz w:val="24"/>
          <w:szCs w:val="24"/>
        </w:rPr>
        <w:t>A</w:t>
      </w:r>
      <w:r>
        <w:rPr>
          <w:rFonts w:ascii="Times New Roman" w:eastAsia="宋体"/>
          <w:color w:val="000000" w:themeColor="text1"/>
          <w:sz w:val="24"/>
          <w:szCs w:val="24"/>
          <w:vertAlign w:val="subscript"/>
        </w:rPr>
        <w:t>misc</w:t>
      </w:r>
      <w:r>
        <w:rPr>
          <w:rFonts w:ascii="Times New Roman" w:eastAsia="宋体"/>
          <w:color w:val="000000" w:themeColor="text1"/>
          <w:sz w:val="24"/>
          <w:szCs w:val="24"/>
        </w:rPr>
        <w:t>）引起的衰减。距声源点</w:t>
      </w:r>
      <w:r>
        <w:rPr>
          <w:rFonts w:ascii="Times New Roman" w:eastAsia="宋体"/>
          <w:color w:val="000000" w:themeColor="text1"/>
          <w:sz w:val="24"/>
          <w:szCs w:val="24"/>
        </w:rPr>
        <w:t>r</w:t>
      </w:r>
      <w:r>
        <w:rPr>
          <w:rFonts w:ascii="Times New Roman" w:eastAsia="宋体"/>
          <w:color w:val="000000" w:themeColor="text1"/>
          <w:sz w:val="24"/>
          <w:szCs w:val="24"/>
        </w:rPr>
        <w:t>处的</w:t>
      </w:r>
      <w:r>
        <w:rPr>
          <w:rFonts w:ascii="Times New Roman" w:eastAsia="宋体"/>
          <w:color w:val="000000" w:themeColor="text1"/>
          <w:sz w:val="24"/>
          <w:szCs w:val="24"/>
        </w:rPr>
        <w:t>A</w:t>
      </w:r>
      <w:r>
        <w:rPr>
          <w:rFonts w:ascii="Times New Roman" w:eastAsia="宋体"/>
          <w:color w:val="000000" w:themeColor="text1"/>
          <w:sz w:val="24"/>
          <w:szCs w:val="24"/>
        </w:rPr>
        <w:t>声级按下式计算：</w:t>
      </w:r>
    </w:p>
    <w:p w:rsidR="00C861DA" w:rsidRDefault="0044752E">
      <w:pPr>
        <w:spacing w:line="360" w:lineRule="auto"/>
        <w:ind w:firstLineChars="200" w:firstLine="480"/>
        <w:jc w:val="center"/>
        <w:rPr>
          <w:rFonts w:ascii="Times New Roman" w:eastAsia="宋体"/>
          <w:color w:val="000000" w:themeColor="text1"/>
          <w:sz w:val="24"/>
          <w:szCs w:val="24"/>
        </w:rPr>
      </w:pPr>
      <w:r>
        <w:rPr>
          <w:rFonts w:ascii="Times New Roman" w:eastAsia="宋体"/>
          <w:color w:val="000000" w:themeColor="text1"/>
          <w:sz w:val="24"/>
          <w:szCs w:val="24"/>
        </w:rPr>
        <w:object w:dxaOrig="6314" w:dyaOrig="506">
          <v:shape id="_x0000_i1030" type="#_x0000_t75" style="width:315.6pt;height:25.2pt" o:ole="">
            <v:imagedata r:id="rId42" o:title=""/>
          </v:shape>
          <o:OLEObject Type="Embed" ProgID="Equation.3" ShapeID="_x0000_i1030" DrawAspect="Content" ObjectID="_1618988640" r:id="rId43"/>
        </w:objec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在预测中考虑反射引起的修正、屏障引起的衰减、双绕射、室内声源等效室外声源等影响和计算方法。</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本</w:t>
      </w:r>
      <w:r>
        <w:rPr>
          <w:rFonts w:ascii="Times New Roman" w:eastAsia="宋体"/>
          <w:color w:val="000000" w:themeColor="text1"/>
          <w:sz w:val="24"/>
          <w:szCs w:val="24"/>
        </w:rPr>
        <w:t>评价在预测中考虑仅考虑几何发散（</w:t>
      </w:r>
      <w:r>
        <w:rPr>
          <w:rFonts w:ascii="Times New Roman" w:eastAsia="宋体"/>
          <w:color w:val="000000" w:themeColor="text1"/>
          <w:sz w:val="24"/>
          <w:szCs w:val="24"/>
        </w:rPr>
        <w:t>A</w:t>
      </w:r>
      <w:r>
        <w:rPr>
          <w:rFonts w:ascii="Times New Roman" w:eastAsia="宋体"/>
          <w:color w:val="000000" w:themeColor="text1"/>
          <w:sz w:val="24"/>
          <w:szCs w:val="24"/>
          <w:vertAlign w:val="subscript"/>
        </w:rPr>
        <w:t>div</w:t>
      </w:r>
      <w:r>
        <w:rPr>
          <w:rFonts w:ascii="Times New Roman" w:eastAsia="宋体"/>
          <w:color w:val="000000" w:themeColor="text1"/>
          <w:sz w:val="24"/>
          <w:szCs w:val="24"/>
        </w:rPr>
        <w:t>）</w:t>
      </w:r>
      <w:r>
        <w:rPr>
          <w:rFonts w:ascii="Times New Roman" w:eastAsia="宋体" w:hint="eastAsia"/>
          <w:color w:val="000000" w:themeColor="text1"/>
          <w:sz w:val="24"/>
          <w:szCs w:val="24"/>
        </w:rPr>
        <w:t>与屏障屏蔽（</w:t>
      </w:r>
      <w:r>
        <w:rPr>
          <w:rFonts w:ascii="Times New Roman" w:eastAsia="宋体" w:hint="eastAsia"/>
          <w:color w:val="000000" w:themeColor="text1"/>
          <w:sz w:val="24"/>
          <w:szCs w:val="24"/>
        </w:rPr>
        <w:t>A</w:t>
      </w:r>
      <w:r>
        <w:rPr>
          <w:rFonts w:ascii="Times New Roman" w:eastAsia="宋体" w:hint="eastAsia"/>
          <w:color w:val="000000" w:themeColor="text1"/>
          <w:sz w:val="24"/>
          <w:szCs w:val="24"/>
          <w:vertAlign w:val="subscript"/>
        </w:rPr>
        <w:t>bar</w:t>
      </w:r>
      <w:r>
        <w:rPr>
          <w:rFonts w:ascii="Times New Roman" w:eastAsia="宋体" w:hint="eastAsia"/>
          <w:color w:val="000000" w:themeColor="text1"/>
          <w:sz w:val="24"/>
          <w:szCs w:val="24"/>
        </w:rPr>
        <w:t>）</w:t>
      </w:r>
      <w:r>
        <w:rPr>
          <w:rFonts w:ascii="Times New Roman" w:eastAsia="宋体"/>
          <w:color w:val="000000" w:themeColor="text1"/>
          <w:sz w:val="24"/>
          <w:szCs w:val="24"/>
        </w:rPr>
        <w:t>，大气吸收（</w:t>
      </w:r>
      <w:r>
        <w:rPr>
          <w:rFonts w:ascii="Times New Roman" w:eastAsia="宋体"/>
          <w:color w:val="000000" w:themeColor="text1"/>
          <w:sz w:val="24"/>
          <w:szCs w:val="24"/>
        </w:rPr>
        <w:t>A</w:t>
      </w:r>
      <w:r>
        <w:rPr>
          <w:rFonts w:ascii="Times New Roman" w:eastAsia="宋体"/>
          <w:color w:val="000000" w:themeColor="text1"/>
          <w:sz w:val="24"/>
          <w:szCs w:val="24"/>
          <w:vertAlign w:val="subscript"/>
        </w:rPr>
        <w:t>atm</w:t>
      </w:r>
      <w:r>
        <w:rPr>
          <w:rFonts w:ascii="Times New Roman" w:eastAsia="宋体"/>
          <w:color w:val="000000" w:themeColor="text1"/>
          <w:sz w:val="24"/>
          <w:szCs w:val="24"/>
        </w:rPr>
        <w:t>）、地面效应（</w:t>
      </w:r>
      <w:r>
        <w:rPr>
          <w:rFonts w:ascii="Times New Roman" w:eastAsia="宋体"/>
          <w:color w:val="000000" w:themeColor="text1"/>
          <w:sz w:val="24"/>
          <w:szCs w:val="24"/>
        </w:rPr>
        <w:t>A</w:t>
      </w:r>
      <w:r>
        <w:rPr>
          <w:rFonts w:ascii="Times New Roman" w:eastAsia="宋体"/>
          <w:color w:val="000000" w:themeColor="text1"/>
          <w:sz w:val="24"/>
          <w:szCs w:val="24"/>
          <w:vertAlign w:val="subscript"/>
        </w:rPr>
        <w:t>gr</w:t>
      </w:r>
      <w:r>
        <w:rPr>
          <w:rFonts w:ascii="Times New Roman" w:eastAsia="宋体"/>
          <w:color w:val="000000" w:themeColor="text1"/>
          <w:sz w:val="24"/>
          <w:szCs w:val="24"/>
        </w:rPr>
        <w:t>）、其他多方面效应（</w:t>
      </w:r>
      <w:r>
        <w:rPr>
          <w:rFonts w:ascii="Times New Roman" w:eastAsia="宋体"/>
          <w:color w:val="000000" w:themeColor="text1"/>
          <w:sz w:val="24"/>
          <w:szCs w:val="24"/>
        </w:rPr>
        <w:t>A</w:t>
      </w:r>
      <w:r>
        <w:rPr>
          <w:rFonts w:ascii="Times New Roman" w:eastAsia="宋体"/>
          <w:color w:val="000000" w:themeColor="text1"/>
          <w:sz w:val="24"/>
          <w:szCs w:val="24"/>
          <w:vertAlign w:val="subscript"/>
        </w:rPr>
        <w:t>misc</w:t>
      </w:r>
      <w:r>
        <w:rPr>
          <w:rFonts w:ascii="Times New Roman" w:eastAsia="宋体"/>
          <w:color w:val="000000" w:themeColor="text1"/>
          <w:sz w:val="24"/>
          <w:szCs w:val="24"/>
        </w:rPr>
        <w:t>）</w:t>
      </w:r>
      <w:r>
        <w:rPr>
          <w:rFonts w:ascii="Times New Roman" w:eastAsia="宋体" w:hint="eastAsia"/>
          <w:color w:val="000000" w:themeColor="text1"/>
          <w:sz w:val="24"/>
          <w:szCs w:val="24"/>
        </w:rPr>
        <w:t>引起的</w:t>
      </w:r>
      <w:r>
        <w:rPr>
          <w:rFonts w:ascii="Times New Roman" w:eastAsia="宋体"/>
          <w:color w:val="000000" w:themeColor="text1"/>
          <w:sz w:val="24"/>
          <w:szCs w:val="24"/>
        </w:rPr>
        <w:t>衰减作为保守量忽略不计。则项目中主要的噪声源（点声源），根据衰减计算公式简化为：</w:t>
      </w:r>
    </w:p>
    <w:p w:rsidR="00C861DA" w:rsidRDefault="0044752E">
      <w:pPr>
        <w:spacing w:line="360" w:lineRule="auto"/>
        <w:ind w:firstLineChars="200" w:firstLine="480"/>
        <w:jc w:val="center"/>
        <w:rPr>
          <w:rFonts w:ascii="Times New Roman" w:eastAsia="宋体"/>
          <w:color w:val="000000" w:themeColor="text1"/>
          <w:sz w:val="24"/>
          <w:szCs w:val="24"/>
        </w:rPr>
      </w:pPr>
      <w:r>
        <w:rPr>
          <w:rFonts w:ascii="Times New Roman" w:eastAsia="宋体"/>
          <w:color w:val="000000" w:themeColor="text1"/>
          <w:sz w:val="24"/>
          <w:szCs w:val="24"/>
        </w:rPr>
        <w:object w:dxaOrig="3837" w:dyaOrig="506">
          <v:shape id="_x0000_i1031" type="#_x0000_t75" style="width:192pt;height:25.2pt" o:ole="">
            <v:imagedata r:id="rId44" o:title=""/>
          </v:shape>
          <o:OLEObject Type="Embed" ProgID="Equation.3" ShapeID="_x0000_i1031" DrawAspect="Content" ObjectID="_1618988641" r:id="rId45"/>
        </w:objec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color w:val="000000" w:themeColor="text1"/>
          <w:sz w:val="24"/>
          <w:szCs w:val="24"/>
        </w:rPr>
        <w:t>其中：</w:t>
      </w:r>
    </w:p>
    <w:p w:rsidR="00C861DA" w:rsidRDefault="0044752E">
      <w:pPr>
        <w:spacing w:line="360" w:lineRule="auto"/>
        <w:ind w:firstLineChars="531" w:firstLine="1274"/>
        <w:rPr>
          <w:rFonts w:ascii="Times New Roman" w:eastAsia="宋体"/>
          <w:color w:val="000000" w:themeColor="text1"/>
          <w:sz w:val="24"/>
          <w:szCs w:val="24"/>
        </w:rPr>
      </w:pPr>
      <w:r>
        <w:rPr>
          <w:rFonts w:ascii="Times New Roman" w:eastAsia="宋体"/>
          <w:color w:val="000000" w:themeColor="text1"/>
          <w:sz w:val="24"/>
          <w:szCs w:val="24"/>
        </w:rPr>
        <w:t>A</w:t>
      </w:r>
      <w:r>
        <w:rPr>
          <w:rFonts w:ascii="Times New Roman" w:eastAsia="宋体"/>
          <w:color w:val="000000" w:themeColor="text1"/>
          <w:sz w:val="24"/>
          <w:szCs w:val="24"/>
          <w:vertAlign w:val="subscript"/>
        </w:rPr>
        <w:t>div</w:t>
      </w:r>
      <w:r>
        <w:rPr>
          <w:rFonts w:ascii="Times New Roman" w:eastAsia="宋体"/>
          <w:color w:val="000000" w:themeColor="text1"/>
          <w:sz w:val="24"/>
          <w:szCs w:val="24"/>
        </w:rPr>
        <w:t>——</w:t>
      </w:r>
      <w:r>
        <w:rPr>
          <w:rFonts w:ascii="Times New Roman" w:eastAsia="宋体"/>
          <w:color w:val="000000" w:themeColor="text1"/>
          <w:sz w:val="24"/>
          <w:szCs w:val="24"/>
        </w:rPr>
        <w:t>距离衰减，</w:t>
      </w:r>
      <w:r>
        <w:rPr>
          <w:rFonts w:ascii="Times New Roman" w:eastAsia="宋体"/>
          <w:color w:val="000000" w:themeColor="text1"/>
          <w:sz w:val="24"/>
          <w:szCs w:val="24"/>
        </w:rPr>
        <w:t>20lg</w:t>
      </w:r>
      <w:r>
        <w:rPr>
          <w:rFonts w:ascii="Times New Roman" w:eastAsia="宋体"/>
          <w:color w:val="000000" w:themeColor="text1"/>
          <w:sz w:val="24"/>
          <w:szCs w:val="24"/>
        </w:rPr>
        <w:t>（</w:t>
      </w:r>
      <w:r>
        <w:rPr>
          <w:rFonts w:ascii="Times New Roman" w:eastAsia="宋体"/>
          <w:color w:val="000000" w:themeColor="text1"/>
          <w:sz w:val="24"/>
          <w:szCs w:val="24"/>
        </w:rPr>
        <w:t>r/r</w:t>
      </w:r>
      <w:r>
        <w:rPr>
          <w:rFonts w:ascii="Times New Roman" w:eastAsia="宋体"/>
          <w:color w:val="000000" w:themeColor="text1"/>
          <w:sz w:val="24"/>
          <w:szCs w:val="24"/>
          <w:vertAlign w:val="subscript"/>
        </w:rPr>
        <w:t>o</w:t>
      </w:r>
      <w:r>
        <w:rPr>
          <w:rFonts w:ascii="Times New Roman" w:eastAsia="宋体"/>
          <w:color w:val="000000" w:themeColor="text1"/>
          <w:sz w:val="24"/>
          <w:szCs w:val="24"/>
        </w:rPr>
        <w:t>）噪声由</w:t>
      </w:r>
      <w:r>
        <w:rPr>
          <w:rFonts w:ascii="Times New Roman" w:eastAsia="宋体"/>
          <w:color w:val="000000" w:themeColor="text1"/>
          <w:sz w:val="24"/>
          <w:szCs w:val="24"/>
        </w:rPr>
        <w:t>r</w:t>
      </w:r>
      <w:r>
        <w:rPr>
          <w:rFonts w:ascii="Times New Roman" w:eastAsia="宋体"/>
          <w:color w:val="000000" w:themeColor="text1"/>
          <w:sz w:val="24"/>
          <w:szCs w:val="24"/>
        </w:rPr>
        <w:t>处到</w:t>
      </w:r>
      <w:r>
        <w:rPr>
          <w:rFonts w:ascii="Times New Roman" w:eastAsia="宋体"/>
          <w:color w:val="000000" w:themeColor="text1"/>
          <w:sz w:val="24"/>
          <w:szCs w:val="24"/>
        </w:rPr>
        <w:t>r</w:t>
      </w:r>
      <w:r>
        <w:rPr>
          <w:rFonts w:ascii="Times New Roman" w:eastAsia="宋体"/>
          <w:color w:val="000000" w:themeColor="text1"/>
          <w:sz w:val="24"/>
          <w:szCs w:val="24"/>
          <w:vertAlign w:val="subscript"/>
        </w:rPr>
        <w:t>o</w:t>
      </w:r>
      <w:r>
        <w:rPr>
          <w:rFonts w:ascii="Times New Roman" w:eastAsia="宋体"/>
          <w:color w:val="000000" w:themeColor="text1"/>
          <w:sz w:val="24"/>
          <w:szCs w:val="24"/>
        </w:rPr>
        <w:t>处的衰减量；</w:t>
      </w:r>
    </w:p>
    <w:p w:rsidR="00C861DA" w:rsidRDefault="0044752E">
      <w:pPr>
        <w:spacing w:line="360" w:lineRule="auto"/>
        <w:ind w:firstLineChars="531" w:firstLine="1274"/>
        <w:rPr>
          <w:rFonts w:ascii="Times New Roman" w:eastAsia="宋体"/>
          <w:color w:val="000000" w:themeColor="text1"/>
          <w:sz w:val="24"/>
          <w:szCs w:val="24"/>
        </w:rPr>
      </w:pPr>
      <w:r>
        <w:rPr>
          <w:rFonts w:ascii="Times New Roman" w:eastAsia="宋体"/>
          <w:color w:val="000000" w:themeColor="text1"/>
          <w:sz w:val="24"/>
          <w:szCs w:val="24"/>
        </w:rPr>
        <w:t>A</w:t>
      </w:r>
      <w:r>
        <w:rPr>
          <w:rFonts w:ascii="Times New Roman" w:eastAsia="宋体"/>
          <w:color w:val="000000" w:themeColor="text1"/>
          <w:sz w:val="24"/>
          <w:szCs w:val="24"/>
          <w:vertAlign w:val="subscript"/>
        </w:rPr>
        <w:t>bar</w:t>
      </w:r>
      <w:r>
        <w:rPr>
          <w:rFonts w:ascii="Times New Roman" w:eastAsia="宋体"/>
          <w:color w:val="000000" w:themeColor="text1"/>
          <w:sz w:val="24"/>
          <w:szCs w:val="24"/>
        </w:rPr>
        <w:t>——</w:t>
      </w:r>
      <w:r>
        <w:rPr>
          <w:rFonts w:ascii="Times New Roman" w:eastAsia="宋体"/>
          <w:color w:val="000000" w:themeColor="text1"/>
          <w:sz w:val="24"/>
          <w:szCs w:val="24"/>
        </w:rPr>
        <w:t>厂房室内隔声量取</w:t>
      </w:r>
      <w:r>
        <w:rPr>
          <w:rFonts w:ascii="Times New Roman" w:eastAsia="宋体"/>
          <w:color w:val="000000" w:themeColor="text1"/>
          <w:sz w:val="24"/>
          <w:szCs w:val="24"/>
        </w:rPr>
        <w:t>20dB</w:t>
      </w:r>
      <w:r>
        <w:rPr>
          <w:rFonts w:ascii="Times New Roman" w:eastAsia="宋体" w:hint="eastAsia"/>
          <w:color w:val="000000" w:themeColor="text1"/>
          <w:sz w:val="24"/>
          <w:szCs w:val="24"/>
        </w:rPr>
        <w:t>（</w:t>
      </w:r>
      <w:r>
        <w:rPr>
          <w:rFonts w:ascii="Times New Roman" w:eastAsia="宋体"/>
          <w:color w:val="000000" w:themeColor="text1"/>
          <w:sz w:val="24"/>
          <w:szCs w:val="24"/>
        </w:rPr>
        <w:t>A</w:t>
      </w:r>
      <w:r>
        <w:rPr>
          <w:rFonts w:ascii="Times New Roman" w:eastAsia="宋体" w:hint="eastAsia"/>
          <w:color w:val="000000" w:themeColor="text1"/>
          <w:sz w:val="24"/>
          <w:szCs w:val="24"/>
        </w:rPr>
        <w:t>）</w:t>
      </w:r>
      <w:r>
        <w:rPr>
          <w:rFonts w:ascii="Times New Roman" w:eastAsia="宋体"/>
          <w:color w:val="000000" w:themeColor="text1"/>
          <w:sz w:val="24"/>
          <w:szCs w:val="24"/>
        </w:rPr>
        <w:t>。</w:t>
      </w:r>
    </w:p>
    <w:p w:rsidR="00C861DA" w:rsidRDefault="0044752E">
      <w:pPr>
        <w:pStyle w:val="32"/>
        <w:rPr>
          <w:rFonts w:ascii="Times New Roman" w:eastAsia="宋体"/>
          <w:bCs w:val="0"/>
          <w:color w:val="000000" w:themeColor="text1"/>
          <w:sz w:val="24"/>
          <w:szCs w:val="24"/>
        </w:rPr>
      </w:pPr>
      <w:bookmarkStart w:id="470" w:name="_Toc6826852"/>
      <w:bookmarkStart w:id="471" w:name="_Toc13662"/>
      <w:r>
        <w:rPr>
          <w:rFonts w:ascii="Times New Roman" w:eastAsia="宋体"/>
          <w:bCs w:val="0"/>
          <w:color w:val="000000" w:themeColor="text1"/>
          <w:sz w:val="24"/>
          <w:szCs w:val="24"/>
        </w:rPr>
        <w:t>7.3.4</w:t>
      </w:r>
      <w:r>
        <w:rPr>
          <w:rFonts w:ascii="Times New Roman" w:eastAsia="宋体"/>
          <w:bCs w:val="0"/>
          <w:color w:val="000000" w:themeColor="text1"/>
          <w:sz w:val="24"/>
          <w:szCs w:val="24"/>
        </w:rPr>
        <w:t>预测内容及预测结果统计</w:t>
      </w:r>
      <w:bookmarkEnd w:id="470"/>
      <w:bookmarkEnd w:id="471"/>
    </w:p>
    <w:p w:rsidR="00C861DA" w:rsidRDefault="0044752E">
      <w:pPr>
        <w:pStyle w:val="af4"/>
        <w:spacing w:before="5" w:after="0"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预测点为厂界东（</w:t>
      </w:r>
      <w:r>
        <w:rPr>
          <w:rFonts w:ascii="Times New Roman" w:eastAsia="宋体" w:hAnsi="Times New Roman" w:cs="Times New Roman"/>
          <w:color w:val="000000" w:themeColor="text1"/>
          <w:kern w:val="0"/>
          <w:sz w:val="24"/>
          <w:szCs w:val="24"/>
        </w:rPr>
        <w:t>1#</w:t>
      </w:r>
      <w:r>
        <w:rPr>
          <w:rFonts w:ascii="Times New Roman" w:eastAsia="宋体" w:hAnsi="Times New Roman" w:cs="Times New Roman"/>
          <w:color w:val="000000" w:themeColor="text1"/>
          <w:kern w:val="0"/>
          <w:sz w:val="24"/>
          <w:szCs w:val="24"/>
        </w:rPr>
        <w:t>）、厂界南（</w:t>
      </w:r>
      <w:r>
        <w:rPr>
          <w:rFonts w:ascii="Times New Roman" w:eastAsia="宋体" w:hAnsi="Times New Roman" w:cs="Times New Roman"/>
          <w:color w:val="000000" w:themeColor="text1"/>
          <w:kern w:val="0"/>
          <w:sz w:val="24"/>
          <w:szCs w:val="24"/>
        </w:rPr>
        <w:t>2#</w:t>
      </w:r>
      <w:r>
        <w:rPr>
          <w:rFonts w:ascii="Times New Roman" w:eastAsia="宋体" w:hAnsi="Times New Roman" w:cs="Times New Roman"/>
          <w:color w:val="000000" w:themeColor="text1"/>
          <w:kern w:val="0"/>
          <w:sz w:val="24"/>
          <w:szCs w:val="24"/>
        </w:rPr>
        <w:t>）、厂界西（</w:t>
      </w:r>
      <w:r>
        <w:rPr>
          <w:rFonts w:ascii="Times New Roman" w:eastAsia="宋体" w:hAnsi="Times New Roman" w:cs="Times New Roman"/>
          <w:color w:val="000000" w:themeColor="text1"/>
          <w:kern w:val="0"/>
          <w:sz w:val="24"/>
          <w:szCs w:val="24"/>
        </w:rPr>
        <w:t>3#</w:t>
      </w:r>
      <w:r>
        <w:rPr>
          <w:rFonts w:ascii="Times New Roman" w:eastAsia="宋体" w:hAnsi="Times New Roman" w:cs="Times New Roman"/>
          <w:color w:val="000000" w:themeColor="text1"/>
          <w:kern w:val="0"/>
          <w:sz w:val="24"/>
          <w:szCs w:val="24"/>
        </w:rPr>
        <w:t>）、厂界北（</w:t>
      </w:r>
      <w:r>
        <w:rPr>
          <w:rFonts w:ascii="Times New Roman" w:eastAsia="宋体" w:hAnsi="Times New Roman" w:cs="Times New Roman"/>
          <w:color w:val="000000" w:themeColor="text1"/>
          <w:kern w:val="0"/>
          <w:sz w:val="24"/>
          <w:szCs w:val="24"/>
        </w:rPr>
        <w:t>4#</w:t>
      </w:r>
      <w:r>
        <w:rPr>
          <w:rFonts w:ascii="Times New Roman" w:eastAsia="宋体" w:hAnsi="Times New Roman" w:cs="Times New Roman"/>
          <w:color w:val="000000" w:themeColor="text1"/>
          <w:kern w:val="0"/>
          <w:sz w:val="24"/>
          <w:szCs w:val="24"/>
        </w:rPr>
        <w:t>）共</w:t>
      </w:r>
      <w:r>
        <w:rPr>
          <w:rFonts w:ascii="Times New Roman" w:eastAsia="宋体" w:hAnsi="Times New Roman" w:cs="Times New Roman"/>
          <w:color w:val="000000" w:themeColor="text1"/>
          <w:kern w:val="0"/>
          <w:sz w:val="24"/>
          <w:szCs w:val="24"/>
        </w:rPr>
        <w:t>4</w:t>
      </w:r>
      <w:r>
        <w:rPr>
          <w:rFonts w:ascii="Times New Roman" w:eastAsia="宋体" w:hAnsi="Times New Roman" w:cs="Times New Roman"/>
          <w:color w:val="000000" w:themeColor="text1"/>
          <w:kern w:val="0"/>
          <w:sz w:val="24"/>
          <w:szCs w:val="24"/>
        </w:rPr>
        <w:t>个预测点。项目各厂房各噪声源与厂界的距离见表</w:t>
      </w:r>
      <w:r>
        <w:rPr>
          <w:rFonts w:ascii="Times New Roman" w:eastAsia="宋体" w:hAnsi="Times New Roman" w:cs="Times New Roman"/>
          <w:color w:val="000000" w:themeColor="text1"/>
          <w:kern w:val="0"/>
          <w:sz w:val="24"/>
          <w:szCs w:val="24"/>
        </w:rPr>
        <w:t>7.3-2</w:t>
      </w:r>
      <w:r>
        <w:rPr>
          <w:rFonts w:ascii="Times New Roman" w:eastAsia="宋体" w:hAnsi="Times New Roman" w:cs="Times New Roman"/>
          <w:color w:val="000000" w:themeColor="text1"/>
          <w:kern w:val="0"/>
          <w:sz w:val="24"/>
          <w:szCs w:val="24"/>
        </w:rPr>
        <w:t>。</w:t>
      </w:r>
    </w:p>
    <w:p w:rsidR="00C861DA" w:rsidRDefault="0044752E">
      <w:pPr>
        <w:tabs>
          <w:tab w:val="left" w:pos="2918"/>
          <w:tab w:val="left" w:pos="7214"/>
        </w:tabs>
        <w:spacing w:line="360" w:lineRule="auto"/>
        <w:jc w:val="center"/>
        <w:rPr>
          <w:rFonts w:ascii="Times New Roman" w:eastAsia="宋体" w:cs="宋体"/>
          <w:b/>
          <w:bCs/>
          <w:color w:val="000000" w:themeColor="text1"/>
          <w:sz w:val="24"/>
          <w:szCs w:val="24"/>
        </w:rPr>
      </w:pPr>
      <w:r>
        <w:rPr>
          <w:rFonts w:ascii="Times New Roman" w:eastAsia="宋体" w:cs="宋体"/>
          <w:b/>
          <w:bCs/>
          <w:color w:val="000000" w:themeColor="text1"/>
          <w:sz w:val="24"/>
          <w:szCs w:val="24"/>
        </w:rPr>
        <w:t>表</w:t>
      </w:r>
      <w:r>
        <w:rPr>
          <w:rFonts w:ascii="Times New Roman" w:eastAsia="宋体" w:cs="宋体" w:hint="eastAsia"/>
          <w:b/>
          <w:bCs/>
          <w:color w:val="000000" w:themeColor="text1"/>
          <w:sz w:val="24"/>
          <w:szCs w:val="24"/>
        </w:rPr>
        <w:t xml:space="preserve">7.3-2  </w:t>
      </w:r>
      <w:r>
        <w:rPr>
          <w:rFonts w:ascii="Times New Roman" w:eastAsia="宋体" w:cs="宋体"/>
          <w:b/>
          <w:bCs/>
          <w:color w:val="000000" w:themeColor="text1"/>
          <w:sz w:val="24"/>
          <w:szCs w:val="24"/>
        </w:rPr>
        <w:t>项目各厂房噪声源强与预测点距离</w:t>
      </w:r>
      <w:r>
        <w:rPr>
          <w:rFonts w:ascii="Times New Roman" w:eastAsia="宋体" w:cs="宋体" w:hint="eastAsia"/>
          <w:b/>
          <w:bCs/>
          <w:color w:val="000000" w:themeColor="text1"/>
          <w:sz w:val="24"/>
          <w:szCs w:val="24"/>
        </w:rPr>
        <w:t xml:space="preserve">  </w:t>
      </w:r>
      <w:r>
        <w:rPr>
          <w:rFonts w:ascii="Times New Roman" w:eastAsia="宋体" w:cs="宋体"/>
          <w:b/>
          <w:bCs/>
          <w:color w:val="000000" w:themeColor="text1"/>
          <w:sz w:val="24"/>
          <w:szCs w:val="24"/>
        </w:rPr>
        <w:t>单位：</w:t>
      </w:r>
      <w:r>
        <w:rPr>
          <w:rFonts w:ascii="Times New Roman" w:eastAsia="宋体" w:cs="宋体"/>
          <w:b/>
          <w:bCs/>
          <w:color w:val="000000" w:themeColor="text1"/>
          <w:sz w:val="24"/>
          <w:szCs w:val="24"/>
        </w:rPr>
        <w:t>m</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7"/>
        <w:gridCol w:w="2298"/>
        <w:gridCol w:w="1419"/>
        <w:gridCol w:w="1274"/>
        <w:gridCol w:w="1135"/>
        <w:gridCol w:w="1213"/>
      </w:tblGrid>
      <w:tr w:rsidR="00C861DA">
        <w:trPr>
          <w:trHeight w:val="397"/>
        </w:trPr>
        <w:tc>
          <w:tcPr>
            <w:tcW w:w="957" w:type="dxa"/>
            <w:vMerge w:val="restart"/>
          </w:tcPr>
          <w:p w:rsidR="00C861DA" w:rsidRDefault="0044752E">
            <w:pPr>
              <w:pStyle w:val="TableParagraph"/>
              <w:jc w:val="center"/>
              <w:rPr>
                <w:rFonts w:cs="宋体"/>
                <w:b/>
                <w:bCs/>
                <w:color w:val="000000" w:themeColor="text1"/>
              </w:rPr>
            </w:pPr>
            <w:r>
              <w:rPr>
                <w:rFonts w:cs="宋体" w:hint="eastAsia"/>
                <w:b/>
                <w:bCs/>
                <w:color w:val="000000" w:themeColor="text1"/>
              </w:rPr>
              <w:t>序号</w:t>
            </w:r>
          </w:p>
        </w:tc>
        <w:tc>
          <w:tcPr>
            <w:tcW w:w="2298" w:type="dxa"/>
            <w:vMerge w:val="restart"/>
            <w:vAlign w:val="center"/>
          </w:tcPr>
          <w:p w:rsidR="00C861DA" w:rsidRDefault="0044752E">
            <w:pPr>
              <w:pStyle w:val="TableParagraph"/>
              <w:jc w:val="center"/>
              <w:rPr>
                <w:rFonts w:cs="宋体"/>
                <w:b/>
                <w:bCs/>
                <w:color w:val="000000" w:themeColor="text1"/>
              </w:rPr>
            </w:pPr>
            <w:r>
              <w:rPr>
                <w:rFonts w:cs="宋体" w:hint="eastAsia"/>
                <w:b/>
                <w:bCs/>
                <w:color w:val="000000" w:themeColor="text1"/>
              </w:rPr>
              <w:t>噪声源</w:t>
            </w:r>
            <w:r>
              <w:rPr>
                <w:rFonts w:cs="宋体"/>
                <w:b/>
                <w:bCs/>
                <w:color w:val="000000" w:themeColor="text1"/>
              </w:rPr>
              <w:t>名称</w:t>
            </w:r>
          </w:p>
        </w:tc>
        <w:tc>
          <w:tcPr>
            <w:tcW w:w="5041" w:type="dxa"/>
            <w:gridSpan w:val="4"/>
            <w:vAlign w:val="center"/>
          </w:tcPr>
          <w:p w:rsidR="00C861DA" w:rsidRDefault="0044752E">
            <w:pPr>
              <w:pStyle w:val="TableParagraph"/>
              <w:jc w:val="center"/>
              <w:rPr>
                <w:rFonts w:cs="宋体"/>
                <w:b/>
                <w:bCs/>
                <w:color w:val="000000" w:themeColor="text1"/>
              </w:rPr>
            </w:pPr>
            <w:r>
              <w:rPr>
                <w:rFonts w:cs="宋体" w:hint="eastAsia"/>
                <w:b/>
                <w:bCs/>
                <w:color w:val="000000" w:themeColor="text1"/>
              </w:rPr>
              <w:t>厂界</w:t>
            </w:r>
          </w:p>
        </w:tc>
      </w:tr>
      <w:tr w:rsidR="00C861DA">
        <w:trPr>
          <w:trHeight w:val="397"/>
        </w:trPr>
        <w:tc>
          <w:tcPr>
            <w:tcW w:w="957" w:type="dxa"/>
            <w:vMerge/>
          </w:tcPr>
          <w:p w:rsidR="00C861DA" w:rsidRDefault="00C861DA">
            <w:pPr>
              <w:pStyle w:val="TableParagraph"/>
              <w:jc w:val="center"/>
              <w:rPr>
                <w:color w:val="000000" w:themeColor="text1"/>
              </w:rPr>
            </w:pPr>
          </w:p>
        </w:tc>
        <w:tc>
          <w:tcPr>
            <w:tcW w:w="2298" w:type="dxa"/>
            <w:vMerge/>
            <w:vAlign w:val="center"/>
          </w:tcPr>
          <w:p w:rsidR="00C861DA" w:rsidRDefault="00C861DA">
            <w:pPr>
              <w:pStyle w:val="TableParagraph"/>
              <w:jc w:val="center"/>
              <w:rPr>
                <w:color w:val="000000" w:themeColor="text1"/>
              </w:rPr>
            </w:pPr>
          </w:p>
        </w:tc>
        <w:tc>
          <w:tcPr>
            <w:tcW w:w="1419" w:type="dxa"/>
            <w:vAlign w:val="center"/>
          </w:tcPr>
          <w:p w:rsidR="00C861DA" w:rsidRDefault="0044752E">
            <w:pPr>
              <w:pStyle w:val="TableParagraph"/>
              <w:jc w:val="center"/>
              <w:rPr>
                <w:rFonts w:cs="宋体"/>
                <w:b/>
                <w:bCs/>
                <w:color w:val="000000" w:themeColor="text1"/>
              </w:rPr>
            </w:pPr>
            <w:r>
              <w:rPr>
                <w:rFonts w:cs="宋体" w:hint="eastAsia"/>
                <w:b/>
                <w:bCs/>
                <w:color w:val="000000" w:themeColor="text1"/>
              </w:rPr>
              <w:t>东</w:t>
            </w:r>
          </w:p>
        </w:tc>
        <w:tc>
          <w:tcPr>
            <w:tcW w:w="1274" w:type="dxa"/>
            <w:vAlign w:val="center"/>
          </w:tcPr>
          <w:p w:rsidR="00C861DA" w:rsidRDefault="0044752E">
            <w:pPr>
              <w:pStyle w:val="TableParagraph"/>
              <w:jc w:val="center"/>
              <w:rPr>
                <w:rFonts w:cs="宋体"/>
                <w:b/>
                <w:bCs/>
                <w:color w:val="000000" w:themeColor="text1"/>
              </w:rPr>
            </w:pPr>
            <w:r>
              <w:rPr>
                <w:rFonts w:cs="宋体" w:hint="eastAsia"/>
                <w:b/>
                <w:bCs/>
                <w:color w:val="000000" w:themeColor="text1"/>
              </w:rPr>
              <w:t>南</w:t>
            </w:r>
          </w:p>
        </w:tc>
        <w:tc>
          <w:tcPr>
            <w:tcW w:w="1135" w:type="dxa"/>
            <w:vAlign w:val="center"/>
          </w:tcPr>
          <w:p w:rsidR="00C861DA" w:rsidRDefault="0044752E">
            <w:pPr>
              <w:pStyle w:val="TableParagraph"/>
              <w:jc w:val="center"/>
              <w:rPr>
                <w:rFonts w:cs="宋体"/>
                <w:b/>
                <w:bCs/>
                <w:color w:val="000000" w:themeColor="text1"/>
              </w:rPr>
            </w:pPr>
            <w:r>
              <w:rPr>
                <w:rFonts w:cs="宋体" w:hint="eastAsia"/>
                <w:b/>
                <w:bCs/>
                <w:color w:val="000000" w:themeColor="text1"/>
              </w:rPr>
              <w:t>西</w:t>
            </w:r>
          </w:p>
        </w:tc>
        <w:tc>
          <w:tcPr>
            <w:tcW w:w="1213" w:type="dxa"/>
            <w:vAlign w:val="center"/>
          </w:tcPr>
          <w:p w:rsidR="00C861DA" w:rsidRDefault="0044752E">
            <w:pPr>
              <w:pStyle w:val="TableParagraph"/>
              <w:jc w:val="center"/>
              <w:rPr>
                <w:rFonts w:cs="宋体"/>
                <w:b/>
                <w:bCs/>
                <w:color w:val="000000" w:themeColor="text1"/>
              </w:rPr>
            </w:pPr>
            <w:r>
              <w:rPr>
                <w:rFonts w:cs="宋体" w:hint="eastAsia"/>
                <w:b/>
                <w:bCs/>
                <w:color w:val="000000" w:themeColor="text1"/>
              </w:rPr>
              <w:t>北</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一</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稀硝酸生产</w:t>
            </w:r>
          </w:p>
        </w:tc>
        <w:tc>
          <w:tcPr>
            <w:tcW w:w="1419" w:type="dxa"/>
            <w:vAlign w:val="center"/>
          </w:tcPr>
          <w:p w:rsidR="00C861DA" w:rsidRDefault="00C861DA">
            <w:pPr>
              <w:pStyle w:val="TableParagraph"/>
              <w:jc w:val="center"/>
              <w:rPr>
                <w:rFonts w:cs="宋体"/>
                <w:color w:val="000000" w:themeColor="text1"/>
              </w:rPr>
            </w:pPr>
          </w:p>
        </w:tc>
        <w:tc>
          <w:tcPr>
            <w:tcW w:w="1274" w:type="dxa"/>
            <w:vAlign w:val="center"/>
          </w:tcPr>
          <w:p w:rsidR="00C861DA" w:rsidRDefault="00C861DA">
            <w:pPr>
              <w:pStyle w:val="TableParagraph"/>
              <w:jc w:val="center"/>
              <w:rPr>
                <w:rFonts w:cs="宋体"/>
                <w:color w:val="000000" w:themeColor="text1"/>
              </w:rPr>
            </w:pPr>
          </w:p>
        </w:tc>
        <w:tc>
          <w:tcPr>
            <w:tcW w:w="1135" w:type="dxa"/>
            <w:vAlign w:val="center"/>
          </w:tcPr>
          <w:p w:rsidR="00C861DA" w:rsidRDefault="00C861DA">
            <w:pPr>
              <w:pStyle w:val="TableParagraph"/>
              <w:jc w:val="center"/>
              <w:rPr>
                <w:rFonts w:cs="宋体"/>
                <w:color w:val="000000" w:themeColor="text1"/>
              </w:rPr>
            </w:pPr>
          </w:p>
        </w:tc>
        <w:tc>
          <w:tcPr>
            <w:tcW w:w="1213" w:type="dxa"/>
            <w:vAlign w:val="center"/>
          </w:tcPr>
          <w:p w:rsidR="00C861DA" w:rsidRDefault="00C861DA">
            <w:pPr>
              <w:pStyle w:val="TableParagraph"/>
              <w:jc w:val="center"/>
              <w:rPr>
                <w:rFonts w:cs="宋体"/>
                <w:color w:val="000000" w:themeColor="text1"/>
              </w:rPr>
            </w:pP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1</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氨蒸发器</w:t>
            </w:r>
          </w:p>
        </w:tc>
        <w:tc>
          <w:tcPr>
            <w:tcW w:w="1419" w:type="dxa"/>
            <w:vAlign w:val="center"/>
          </w:tcPr>
          <w:p w:rsidR="00C861DA" w:rsidRDefault="0044752E">
            <w:pPr>
              <w:pStyle w:val="TableParagraph"/>
              <w:spacing w:before="14"/>
              <w:jc w:val="center"/>
              <w:rPr>
                <w:rFonts w:cs="宋体"/>
                <w:color w:val="000000" w:themeColor="text1"/>
              </w:rPr>
            </w:pPr>
            <w:r>
              <w:rPr>
                <w:rFonts w:cs="宋体"/>
                <w:color w:val="000000" w:themeColor="text1"/>
              </w:rPr>
              <w:t>1</w:t>
            </w:r>
            <w:r>
              <w:rPr>
                <w:rFonts w:cs="宋体" w:hint="eastAsia"/>
                <w:color w:val="000000" w:themeColor="text1"/>
              </w:rPr>
              <w:t>9</w:t>
            </w:r>
          </w:p>
        </w:tc>
        <w:tc>
          <w:tcPr>
            <w:tcW w:w="1274"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310</w:t>
            </w:r>
          </w:p>
        </w:tc>
        <w:tc>
          <w:tcPr>
            <w:tcW w:w="1135"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78</w:t>
            </w:r>
          </w:p>
        </w:tc>
        <w:tc>
          <w:tcPr>
            <w:tcW w:w="1213"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25</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2</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四合一机组</w:t>
            </w:r>
          </w:p>
        </w:tc>
        <w:tc>
          <w:tcPr>
            <w:tcW w:w="1419" w:type="dxa"/>
            <w:vAlign w:val="center"/>
          </w:tcPr>
          <w:p w:rsidR="00C861DA" w:rsidRDefault="0044752E">
            <w:pPr>
              <w:pStyle w:val="TableParagraph"/>
              <w:spacing w:before="14"/>
              <w:jc w:val="center"/>
              <w:rPr>
                <w:rFonts w:cs="宋体"/>
                <w:color w:val="000000" w:themeColor="text1"/>
              </w:rPr>
            </w:pPr>
            <w:r>
              <w:rPr>
                <w:rFonts w:cs="宋体"/>
                <w:color w:val="000000" w:themeColor="text1"/>
              </w:rPr>
              <w:t>1</w:t>
            </w:r>
            <w:r>
              <w:rPr>
                <w:rFonts w:cs="宋体" w:hint="eastAsia"/>
                <w:color w:val="000000" w:themeColor="text1"/>
              </w:rPr>
              <w:t>7</w:t>
            </w:r>
          </w:p>
        </w:tc>
        <w:tc>
          <w:tcPr>
            <w:tcW w:w="1274" w:type="dxa"/>
            <w:vAlign w:val="center"/>
          </w:tcPr>
          <w:p w:rsidR="00C861DA" w:rsidRDefault="0044752E">
            <w:pPr>
              <w:pStyle w:val="TableParagraph"/>
              <w:spacing w:before="14"/>
              <w:jc w:val="center"/>
              <w:rPr>
                <w:rFonts w:cs="宋体"/>
                <w:color w:val="000000" w:themeColor="text1"/>
              </w:rPr>
            </w:pPr>
            <w:r>
              <w:rPr>
                <w:rFonts w:cs="宋体"/>
                <w:color w:val="000000" w:themeColor="text1"/>
              </w:rPr>
              <w:t>2</w:t>
            </w:r>
            <w:r>
              <w:rPr>
                <w:rFonts w:cs="宋体" w:hint="eastAsia"/>
                <w:color w:val="000000" w:themeColor="text1"/>
              </w:rPr>
              <w:t>52</w:t>
            </w:r>
          </w:p>
        </w:tc>
        <w:tc>
          <w:tcPr>
            <w:tcW w:w="1135"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78</w:t>
            </w:r>
          </w:p>
        </w:tc>
        <w:tc>
          <w:tcPr>
            <w:tcW w:w="1213"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18</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3</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蒸汽透平</w:t>
            </w:r>
          </w:p>
        </w:tc>
        <w:tc>
          <w:tcPr>
            <w:tcW w:w="1419"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1</w:t>
            </w:r>
            <w:r>
              <w:rPr>
                <w:rFonts w:cs="宋体"/>
                <w:color w:val="000000" w:themeColor="text1"/>
              </w:rPr>
              <w:t>5</w:t>
            </w:r>
          </w:p>
        </w:tc>
        <w:tc>
          <w:tcPr>
            <w:tcW w:w="1274"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2</w:t>
            </w:r>
            <w:r>
              <w:rPr>
                <w:rFonts w:cs="宋体"/>
                <w:color w:val="000000" w:themeColor="text1"/>
              </w:rPr>
              <w:t>98</w:t>
            </w:r>
          </w:p>
        </w:tc>
        <w:tc>
          <w:tcPr>
            <w:tcW w:w="1135"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8</w:t>
            </w:r>
            <w:r>
              <w:rPr>
                <w:rFonts w:cs="宋体"/>
                <w:color w:val="000000" w:themeColor="text1"/>
              </w:rPr>
              <w:t>4</w:t>
            </w:r>
          </w:p>
        </w:tc>
        <w:tc>
          <w:tcPr>
            <w:tcW w:w="1213"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3</w:t>
            </w:r>
            <w:r>
              <w:rPr>
                <w:rFonts w:cs="宋体"/>
                <w:color w:val="000000" w:themeColor="text1"/>
              </w:rPr>
              <w:t>0</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4</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尾气膨胀机</w:t>
            </w:r>
          </w:p>
        </w:tc>
        <w:tc>
          <w:tcPr>
            <w:tcW w:w="1419"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1</w:t>
            </w:r>
            <w:r>
              <w:rPr>
                <w:rFonts w:cs="宋体"/>
                <w:color w:val="000000" w:themeColor="text1"/>
              </w:rPr>
              <w:t>0</w:t>
            </w:r>
          </w:p>
        </w:tc>
        <w:tc>
          <w:tcPr>
            <w:tcW w:w="1274"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3</w:t>
            </w:r>
            <w:r>
              <w:rPr>
                <w:rFonts w:cs="宋体"/>
                <w:color w:val="000000" w:themeColor="text1"/>
              </w:rPr>
              <w:t>08</w:t>
            </w:r>
          </w:p>
        </w:tc>
        <w:tc>
          <w:tcPr>
            <w:tcW w:w="1135"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8</w:t>
            </w:r>
            <w:r>
              <w:rPr>
                <w:rFonts w:cs="宋体"/>
                <w:color w:val="000000" w:themeColor="text1"/>
              </w:rPr>
              <w:t>1</w:t>
            </w:r>
          </w:p>
        </w:tc>
        <w:tc>
          <w:tcPr>
            <w:tcW w:w="1213"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2</w:t>
            </w:r>
            <w:r>
              <w:rPr>
                <w:rFonts w:cs="宋体"/>
                <w:color w:val="000000" w:themeColor="text1"/>
              </w:rPr>
              <w:t>6</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5</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空气压缩机</w:t>
            </w:r>
          </w:p>
        </w:tc>
        <w:tc>
          <w:tcPr>
            <w:tcW w:w="1419" w:type="dxa"/>
            <w:vAlign w:val="center"/>
          </w:tcPr>
          <w:p w:rsidR="00C861DA" w:rsidRDefault="0044752E">
            <w:pPr>
              <w:pStyle w:val="TableParagraph"/>
              <w:jc w:val="center"/>
              <w:rPr>
                <w:rFonts w:cs="宋体"/>
                <w:color w:val="000000" w:themeColor="text1"/>
              </w:rPr>
            </w:pPr>
            <w:r>
              <w:rPr>
                <w:rFonts w:cs="宋体" w:hint="eastAsia"/>
                <w:color w:val="000000" w:themeColor="text1"/>
              </w:rPr>
              <w:t>80</w:t>
            </w:r>
          </w:p>
        </w:tc>
        <w:tc>
          <w:tcPr>
            <w:tcW w:w="1274" w:type="dxa"/>
            <w:vAlign w:val="center"/>
          </w:tcPr>
          <w:p w:rsidR="00C861DA" w:rsidRDefault="0044752E">
            <w:pPr>
              <w:pStyle w:val="TableParagraph"/>
              <w:jc w:val="center"/>
              <w:rPr>
                <w:rFonts w:cs="宋体"/>
                <w:color w:val="000000" w:themeColor="text1"/>
              </w:rPr>
            </w:pPr>
            <w:r>
              <w:rPr>
                <w:rFonts w:cs="宋体" w:hint="eastAsia"/>
                <w:color w:val="000000" w:themeColor="text1"/>
              </w:rPr>
              <w:t>177</w:t>
            </w:r>
          </w:p>
        </w:tc>
        <w:tc>
          <w:tcPr>
            <w:tcW w:w="1135" w:type="dxa"/>
            <w:vAlign w:val="center"/>
          </w:tcPr>
          <w:p w:rsidR="00C861DA" w:rsidRDefault="0044752E">
            <w:pPr>
              <w:pStyle w:val="TableParagraph"/>
              <w:jc w:val="center"/>
              <w:rPr>
                <w:rFonts w:cs="宋体"/>
                <w:color w:val="000000" w:themeColor="text1"/>
              </w:rPr>
            </w:pPr>
            <w:r>
              <w:rPr>
                <w:rFonts w:cs="宋体"/>
                <w:color w:val="000000" w:themeColor="text1"/>
              </w:rPr>
              <w:t>2</w:t>
            </w:r>
            <w:r>
              <w:rPr>
                <w:rFonts w:cs="宋体" w:hint="eastAsia"/>
                <w:color w:val="000000" w:themeColor="text1"/>
              </w:rPr>
              <w:t>61</w:t>
            </w:r>
          </w:p>
        </w:tc>
        <w:tc>
          <w:tcPr>
            <w:tcW w:w="1213" w:type="dxa"/>
            <w:vAlign w:val="center"/>
          </w:tcPr>
          <w:p w:rsidR="00C861DA" w:rsidRDefault="0044752E">
            <w:pPr>
              <w:pStyle w:val="TableParagraph"/>
              <w:jc w:val="center"/>
              <w:rPr>
                <w:rFonts w:cs="宋体"/>
                <w:color w:val="000000" w:themeColor="text1"/>
              </w:rPr>
            </w:pPr>
            <w:r>
              <w:rPr>
                <w:rFonts w:cs="宋体"/>
                <w:color w:val="000000" w:themeColor="text1"/>
              </w:rPr>
              <w:t>2</w:t>
            </w:r>
            <w:r>
              <w:rPr>
                <w:rFonts w:cs="宋体" w:hint="eastAsia"/>
                <w:color w:val="000000" w:themeColor="text1"/>
              </w:rPr>
              <w:t>90</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6</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氧化氮压缩机</w:t>
            </w:r>
          </w:p>
        </w:tc>
        <w:tc>
          <w:tcPr>
            <w:tcW w:w="1419"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54</w:t>
            </w:r>
          </w:p>
        </w:tc>
        <w:tc>
          <w:tcPr>
            <w:tcW w:w="1274" w:type="dxa"/>
            <w:vAlign w:val="center"/>
          </w:tcPr>
          <w:p w:rsidR="00C861DA" w:rsidRDefault="0044752E">
            <w:pPr>
              <w:pStyle w:val="TableParagraph"/>
              <w:spacing w:before="14"/>
              <w:jc w:val="center"/>
              <w:rPr>
                <w:rFonts w:cs="宋体"/>
                <w:color w:val="000000" w:themeColor="text1"/>
              </w:rPr>
            </w:pPr>
            <w:r>
              <w:rPr>
                <w:rFonts w:cs="宋体"/>
                <w:color w:val="000000" w:themeColor="text1"/>
              </w:rPr>
              <w:t>2</w:t>
            </w:r>
            <w:r>
              <w:rPr>
                <w:rFonts w:cs="宋体" w:hint="eastAsia"/>
                <w:color w:val="000000" w:themeColor="text1"/>
              </w:rPr>
              <w:t>58</w:t>
            </w:r>
          </w:p>
        </w:tc>
        <w:tc>
          <w:tcPr>
            <w:tcW w:w="1135" w:type="dxa"/>
            <w:vAlign w:val="center"/>
          </w:tcPr>
          <w:p w:rsidR="00C861DA" w:rsidRDefault="0044752E">
            <w:pPr>
              <w:pStyle w:val="TableParagraph"/>
              <w:spacing w:before="14"/>
              <w:jc w:val="center"/>
              <w:rPr>
                <w:rFonts w:cs="宋体"/>
                <w:color w:val="000000" w:themeColor="text1"/>
              </w:rPr>
            </w:pPr>
            <w:r>
              <w:rPr>
                <w:rFonts w:cs="宋体"/>
                <w:color w:val="000000" w:themeColor="text1"/>
              </w:rPr>
              <w:t>2</w:t>
            </w:r>
            <w:r>
              <w:rPr>
                <w:rFonts w:cs="宋体" w:hint="eastAsia"/>
                <w:color w:val="000000" w:themeColor="text1"/>
              </w:rPr>
              <w:t>90</w:t>
            </w:r>
          </w:p>
        </w:tc>
        <w:tc>
          <w:tcPr>
            <w:tcW w:w="1213" w:type="dxa"/>
            <w:vAlign w:val="center"/>
          </w:tcPr>
          <w:p w:rsidR="00C861DA" w:rsidRDefault="0044752E">
            <w:pPr>
              <w:pStyle w:val="TableParagraph"/>
              <w:spacing w:before="14"/>
              <w:jc w:val="center"/>
              <w:rPr>
                <w:rFonts w:cs="宋体"/>
                <w:color w:val="000000" w:themeColor="text1"/>
              </w:rPr>
            </w:pPr>
            <w:r>
              <w:rPr>
                <w:rFonts w:cs="宋体"/>
                <w:color w:val="000000" w:themeColor="text1"/>
              </w:rPr>
              <w:t>2</w:t>
            </w:r>
            <w:r>
              <w:rPr>
                <w:rFonts w:cs="宋体" w:hint="eastAsia"/>
                <w:color w:val="000000" w:themeColor="text1"/>
              </w:rPr>
              <w:t>67</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7</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尾气透平</w:t>
            </w:r>
          </w:p>
        </w:tc>
        <w:tc>
          <w:tcPr>
            <w:tcW w:w="1419"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67</w:t>
            </w:r>
          </w:p>
        </w:tc>
        <w:tc>
          <w:tcPr>
            <w:tcW w:w="1274"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341</w:t>
            </w:r>
          </w:p>
        </w:tc>
        <w:tc>
          <w:tcPr>
            <w:tcW w:w="1135" w:type="dxa"/>
            <w:vAlign w:val="center"/>
          </w:tcPr>
          <w:p w:rsidR="00C861DA" w:rsidRDefault="0044752E">
            <w:pPr>
              <w:pStyle w:val="TableParagraph"/>
              <w:spacing w:before="14"/>
              <w:jc w:val="center"/>
              <w:rPr>
                <w:rFonts w:cs="宋体"/>
                <w:color w:val="000000" w:themeColor="text1"/>
              </w:rPr>
            </w:pPr>
            <w:r>
              <w:rPr>
                <w:rFonts w:cs="宋体"/>
                <w:color w:val="000000" w:themeColor="text1"/>
              </w:rPr>
              <w:t>2</w:t>
            </w:r>
            <w:r>
              <w:rPr>
                <w:rFonts w:cs="宋体" w:hint="eastAsia"/>
                <w:color w:val="000000" w:themeColor="text1"/>
              </w:rPr>
              <w:t>92</w:t>
            </w:r>
          </w:p>
        </w:tc>
        <w:tc>
          <w:tcPr>
            <w:tcW w:w="1213"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280</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二</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硝酸铵生产</w:t>
            </w:r>
          </w:p>
        </w:tc>
        <w:tc>
          <w:tcPr>
            <w:tcW w:w="1419" w:type="dxa"/>
            <w:vAlign w:val="center"/>
          </w:tcPr>
          <w:p w:rsidR="00C861DA" w:rsidRDefault="00C861DA">
            <w:pPr>
              <w:pStyle w:val="TableParagraph"/>
              <w:spacing w:before="14"/>
              <w:jc w:val="center"/>
              <w:rPr>
                <w:rFonts w:cs="宋体"/>
                <w:color w:val="000000" w:themeColor="text1"/>
              </w:rPr>
            </w:pPr>
          </w:p>
        </w:tc>
        <w:tc>
          <w:tcPr>
            <w:tcW w:w="1274" w:type="dxa"/>
            <w:vAlign w:val="center"/>
          </w:tcPr>
          <w:p w:rsidR="00C861DA" w:rsidRDefault="00C861DA">
            <w:pPr>
              <w:pStyle w:val="TableParagraph"/>
              <w:spacing w:before="14"/>
              <w:jc w:val="center"/>
              <w:rPr>
                <w:rFonts w:cs="宋体"/>
                <w:color w:val="000000" w:themeColor="text1"/>
              </w:rPr>
            </w:pPr>
          </w:p>
        </w:tc>
        <w:tc>
          <w:tcPr>
            <w:tcW w:w="1135" w:type="dxa"/>
            <w:vAlign w:val="center"/>
          </w:tcPr>
          <w:p w:rsidR="00C861DA" w:rsidRDefault="00C861DA">
            <w:pPr>
              <w:pStyle w:val="TableParagraph"/>
              <w:spacing w:before="14"/>
              <w:jc w:val="center"/>
              <w:rPr>
                <w:rFonts w:cs="宋体"/>
                <w:color w:val="000000" w:themeColor="text1"/>
              </w:rPr>
            </w:pPr>
          </w:p>
        </w:tc>
        <w:tc>
          <w:tcPr>
            <w:tcW w:w="1213" w:type="dxa"/>
            <w:vAlign w:val="center"/>
          </w:tcPr>
          <w:p w:rsidR="00C861DA" w:rsidRDefault="00C861DA">
            <w:pPr>
              <w:pStyle w:val="TableParagraph"/>
              <w:spacing w:before="14"/>
              <w:jc w:val="center"/>
              <w:rPr>
                <w:rFonts w:cs="宋体"/>
                <w:color w:val="000000" w:themeColor="text1"/>
              </w:rPr>
            </w:pP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1</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氨过热器</w:t>
            </w:r>
          </w:p>
        </w:tc>
        <w:tc>
          <w:tcPr>
            <w:tcW w:w="1419"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6</w:t>
            </w:r>
            <w:r>
              <w:rPr>
                <w:rFonts w:cs="宋体"/>
                <w:color w:val="000000" w:themeColor="text1"/>
              </w:rPr>
              <w:t>6</w:t>
            </w:r>
          </w:p>
        </w:tc>
        <w:tc>
          <w:tcPr>
            <w:tcW w:w="1274" w:type="dxa"/>
            <w:vAlign w:val="center"/>
          </w:tcPr>
          <w:p w:rsidR="00C861DA" w:rsidRDefault="0044752E">
            <w:pPr>
              <w:pStyle w:val="TableParagraph"/>
              <w:spacing w:before="14"/>
              <w:jc w:val="center"/>
              <w:rPr>
                <w:rFonts w:cs="宋体"/>
                <w:color w:val="000000" w:themeColor="text1"/>
              </w:rPr>
            </w:pPr>
            <w:r>
              <w:rPr>
                <w:rFonts w:cs="宋体"/>
                <w:color w:val="000000" w:themeColor="text1"/>
              </w:rPr>
              <w:t>146</w:t>
            </w:r>
          </w:p>
        </w:tc>
        <w:tc>
          <w:tcPr>
            <w:tcW w:w="1135" w:type="dxa"/>
            <w:vAlign w:val="center"/>
          </w:tcPr>
          <w:p w:rsidR="00C861DA" w:rsidRDefault="0044752E">
            <w:pPr>
              <w:pStyle w:val="TableParagraph"/>
              <w:spacing w:before="14"/>
              <w:jc w:val="center"/>
              <w:rPr>
                <w:rFonts w:cs="宋体"/>
                <w:color w:val="000000" w:themeColor="text1"/>
              </w:rPr>
            </w:pPr>
            <w:r>
              <w:rPr>
                <w:rFonts w:cs="宋体"/>
                <w:color w:val="000000" w:themeColor="text1"/>
              </w:rPr>
              <w:t>48</w:t>
            </w:r>
          </w:p>
        </w:tc>
        <w:tc>
          <w:tcPr>
            <w:tcW w:w="1213" w:type="dxa"/>
            <w:vAlign w:val="center"/>
          </w:tcPr>
          <w:p w:rsidR="00C861DA" w:rsidRDefault="0044752E">
            <w:pPr>
              <w:pStyle w:val="TableParagraph"/>
              <w:spacing w:before="14"/>
              <w:jc w:val="center"/>
              <w:rPr>
                <w:rFonts w:cs="宋体"/>
                <w:color w:val="000000" w:themeColor="text1"/>
              </w:rPr>
            </w:pPr>
            <w:r>
              <w:rPr>
                <w:rFonts w:cs="宋体"/>
                <w:color w:val="000000" w:themeColor="text1"/>
              </w:rPr>
              <w:t>36</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2</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高压气液混合反应器</w:t>
            </w:r>
          </w:p>
        </w:tc>
        <w:tc>
          <w:tcPr>
            <w:tcW w:w="1419"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45</w:t>
            </w:r>
          </w:p>
        </w:tc>
        <w:tc>
          <w:tcPr>
            <w:tcW w:w="1274"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112</w:t>
            </w:r>
          </w:p>
        </w:tc>
        <w:tc>
          <w:tcPr>
            <w:tcW w:w="1135"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58</w:t>
            </w:r>
          </w:p>
        </w:tc>
        <w:tc>
          <w:tcPr>
            <w:tcW w:w="1213"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36</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3</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反应器分离器</w:t>
            </w:r>
          </w:p>
        </w:tc>
        <w:tc>
          <w:tcPr>
            <w:tcW w:w="1419"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6</w:t>
            </w:r>
            <w:r>
              <w:rPr>
                <w:rFonts w:cs="宋体"/>
                <w:color w:val="000000" w:themeColor="text1"/>
              </w:rPr>
              <w:t>4</w:t>
            </w:r>
          </w:p>
        </w:tc>
        <w:tc>
          <w:tcPr>
            <w:tcW w:w="1274" w:type="dxa"/>
            <w:vAlign w:val="center"/>
          </w:tcPr>
          <w:p w:rsidR="00C861DA" w:rsidRDefault="0044752E">
            <w:pPr>
              <w:pStyle w:val="TableParagraph"/>
              <w:spacing w:before="14"/>
              <w:jc w:val="center"/>
              <w:rPr>
                <w:rFonts w:cs="宋体"/>
                <w:color w:val="000000" w:themeColor="text1"/>
              </w:rPr>
            </w:pPr>
            <w:r>
              <w:rPr>
                <w:rFonts w:cs="宋体"/>
                <w:color w:val="000000" w:themeColor="text1"/>
              </w:rPr>
              <w:t>238</w:t>
            </w:r>
          </w:p>
        </w:tc>
        <w:tc>
          <w:tcPr>
            <w:tcW w:w="1135"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2</w:t>
            </w:r>
            <w:r>
              <w:rPr>
                <w:rFonts w:cs="宋体"/>
                <w:color w:val="000000" w:themeColor="text1"/>
              </w:rPr>
              <w:t>77</w:t>
            </w:r>
          </w:p>
        </w:tc>
        <w:tc>
          <w:tcPr>
            <w:tcW w:w="1213"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2</w:t>
            </w:r>
            <w:r>
              <w:rPr>
                <w:rFonts w:cs="宋体"/>
                <w:color w:val="000000" w:themeColor="text1"/>
              </w:rPr>
              <w:t>64</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4</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hint="eastAsia"/>
                <w:color w:val="000000" w:themeColor="text1"/>
              </w:rPr>
              <w:t>氨</w:t>
            </w:r>
            <w:r>
              <w:rPr>
                <w:rFonts w:hAnsi="Times New Roman" w:cs="Times New Roman"/>
                <w:color w:val="000000" w:themeColor="text1"/>
              </w:rPr>
              <w:t>泵</w:t>
            </w:r>
          </w:p>
        </w:tc>
        <w:tc>
          <w:tcPr>
            <w:tcW w:w="1419" w:type="dxa"/>
            <w:vAlign w:val="center"/>
          </w:tcPr>
          <w:p w:rsidR="00C861DA" w:rsidRDefault="0044752E">
            <w:pPr>
              <w:pStyle w:val="TableParagraph"/>
              <w:spacing w:before="14"/>
              <w:jc w:val="center"/>
              <w:rPr>
                <w:rFonts w:cs="宋体"/>
                <w:color w:val="000000" w:themeColor="text1"/>
              </w:rPr>
            </w:pPr>
            <w:r>
              <w:rPr>
                <w:rFonts w:cs="宋体"/>
                <w:color w:val="000000" w:themeColor="text1"/>
              </w:rPr>
              <w:t>1</w:t>
            </w:r>
            <w:r>
              <w:rPr>
                <w:rFonts w:cs="宋体" w:hint="eastAsia"/>
                <w:color w:val="000000" w:themeColor="text1"/>
              </w:rPr>
              <w:t>1</w:t>
            </w:r>
          </w:p>
        </w:tc>
        <w:tc>
          <w:tcPr>
            <w:tcW w:w="1274" w:type="dxa"/>
            <w:vAlign w:val="center"/>
          </w:tcPr>
          <w:p w:rsidR="00C861DA" w:rsidRDefault="0044752E">
            <w:pPr>
              <w:pStyle w:val="TableParagraph"/>
              <w:spacing w:before="14"/>
              <w:jc w:val="center"/>
              <w:rPr>
                <w:rFonts w:cs="宋体"/>
                <w:color w:val="000000" w:themeColor="text1"/>
              </w:rPr>
            </w:pPr>
            <w:r>
              <w:rPr>
                <w:rFonts w:cs="宋体"/>
                <w:color w:val="000000" w:themeColor="text1"/>
              </w:rPr>
              <w:t>1</w:t>
            </w:r>
            <w:r>
              <w:rPr>
                <w:rFonts w:cs="宋体" w:hint="eastAsia"/>
                <w:color w:val="000000" w:themeColor="text1"/>
              </w:rPr>
              <w:t>19</w:t>
            </w:r>
          </w:p>
        </w:tc>
        <w:tc>
          <w:tcPr>
            <w:tcW w:w="1135"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97</w:t>
            </w:r>
          </w:p>
        </w:tc>
        <w:tc>
          <w:tcPr>
            <w:tcW w:w="1213"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34</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5</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风机</w:t>
            </w:r>
          </w:p>
        </w:tc>
        <w:tc>
          <w:tcPr>
            <w:tcW w:w="1419"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2</w:t>
            </w:r>
            <w:r>
              <w:rPr>
                <w:rFonts w:cs="宋体"/>
                <w:color w:val="000000" w:themeColor="text1"/>
              </w:rPr>
              <w:t>4</w:t>
            </w:r>
          </w:p>
        </w:tc>
        <w:tc>
          <w:tcPr>
            <w:tcW w:w="1274"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1</w:t>
            </w:r>
            <w:r>
              <w:rPr>
                <w:rFonts w:cs="宋体"/>
                <w:color w:val="000000" w:themeColor="text1"/>
              </w:rPr>
              <w:t>02</w:t>
            </w:r>
          </w:p>
        </w:tc>
        <w:tc>
          <w:tcPr>
            <w:tcW w:w="1135"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8</w:t>
            </w:r>
            <w:r>
              <w:rPr>
                <w:rFonts w:cs="宋体"/>
                <w:color w:val="000000" w:themeColor="text1"/>
              </w:rPr>
              <w:t>6</w:t>
            </w:r>
          </w:p>
        </w:tc>
        <w:tc>
          <w:tcPr>
            <w:tcW w:w="1213"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5</w:t>
            </w:r>
            <w:r>
              <w:rPr>
                <w:rFonts w:cs="宋体"/>
                <w:color w:val="000000" w:themeColor="text1"/>
              </w:rPr>
              <w:t>4</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三</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硝基复合肥</w:t>
            </w:r>
          </w:p>
        </w:tc>
        <w:tc>
          <w:tcPr>
            <w:tcW w:w="1419" w:type="dxa"/>
            <w:vAlign w:val="center"/>
          </w:tcPr>
          <w:p w:rsidR="00C861DA" w:rsidRDefault="00C861DA">
            <w:pPr>
              <w:pStyle w:val="TableParagraph"/>
              <w:spacing w:before="14"/>
              <w:jc w:val="center"/>
              <w:rPr>
                <w:rFonts w:cs="宋体"/>
                <w:color w:val="000000" w:themeColor="text1"/>
              </w:rPr>
            </w:pPr>
          </w:p>
        </w:tc>
        <w:tc>
          <w:tcPr>
            <w:tcW w:w="1274" w:type="dxa"/>
            <w:vAlign w:val="center"/>
          </w:tcPr>
          <w:p w:rsidR="00C861DA" w:rsidRDefault="00C861DA">
            <w:pPr>
              <w:pStyle w:val="TableParagraph"/>
              <w:spacing w:before="14"/>
              <w:jc w:val="center"/>
              <w:rPr>
                <w:rFonts w:cs="宋体"/>
                <w:color w:val="000000" w:themeColor="text1"/>
              </w:rPr>
            </w:pPr>
          </w:p>
        </w:tc>
        <w:tc>
          <w:tcPr>
            <w:tcW w:w="1135" w:type="dxa"/>
            <w:vAlign w:val="center"/>
          </w:tcPr>
          <w:p w:rsidR="00C861DA" w:rsidRDefault="00C861DA">
            <w:pPr>
              <w:pStyle w:val="TableParagraph"/>
              <w:spacing w:before="14"/>
              <w:jc w:val="center"/>
              <w:rPr>
                <w:rFonts w:cs="宋体"/>
                <w:color w:val="000000" w:themeColor="text1"/>
              </w:rPr>
            </w:pPr>
          </w:p>
        </w:tc>
        <w:tc>
          <w:tcPr>
            <w:tcW w:w="1213" w:type="dxa"/>
            <w:vAlign w:val="center"/>
          </w:tcPr>
          <w:p w:rsidR="00C861DA" w:rsidRDefault="00C861DA">
            <w:pPr>
              <w:pStyle w:val="TableParagraph"/>
              <w:spacing w:before="14"/>
              <w:jc w:val="center"/>
              <w:rPr>
                <w:rFonts w:cs="宋体"/>
                <w:color w:val="000000" w:themeColor="text1"/>
              </w:rPr>
            </w:pP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1</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造粒塔引风机</w:t>
            </w:r>
          </w:p>
        </w:tc>
        <w:tc>
          <w:tcPr>
            <w:tcW w:w="1419"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8</w:t>
            </w:r>
            <w:r>
              <w:rPr>
                <w:rFonts w:cs="宋体"/>
                <w:color w:val="000000" w:themeColor="text1"/>
              </w:rPr>
              <w:t>6</w:t>
            </w:r>
          </w:p>
        </w:tc>
        <w:tc>
          <w:tcPr>
            <w:tcW w:w="1274"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8</w:t>
            </w:r>
            <w:r>
              <w:rPr>
                <w:rFonts w:cs="宋体"/>
                <w:color w:val="000000" w:themeColor="text1"/>
              </w:rPr>
              <w:t>3</w:t>
            </w:r>
          </w:p>
        </w:tc>
        <w:tc>
          <w:tcPr>
            <w:tcW w:w="1135" w:type="dxa"/>
            <w:vAlign w:val="center"/>
          </w:tcPr>
          <w:p w:rsidR="00C861DA" w:rsidRDefault="0044752E">
            <w:pPr>
              <w:pStyle w:val="TableParagraph"/>
              <w:spacing w:before="14"/>
              <w:jc w:val="center"/>
              <w:rPr>
                <w:rFonts w:cs="宋体"/>
                <w:color w:val="000000" w:themeColor="text1"/>
              </w:rPr>
            </w:pPr>
            <w:r>
              <w:rPr>
                <w:rFonts w:cs="宋体"/>
                <w:color w:val="000000" w:themeColor="text1"/>
              </w:rPr>
              <w:t>15</w:t>
            </w:r>
          </w:p>
        </w:tc>
        <w:tc>
          <w:tcPr>
            <w:tcW w:w="1213"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1</w:t>
            </w:r>
            <w:r>
              <w:rPr>
                <w:rFonts w:cs="宋体"/>
                <w:color w:val="000000" w:themeColor="text1"/>
              </w:rPr>
              <w:t>25</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四</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尿素生产</w:t>
            </w:r>
          </w:p>
        </w:tc>
        <w:tc>
          <w:tcPr>
            <w:tcW w:w="1419" w:type="dxa"/>
            <w:vAlign w:val="center"/>
          </w:tcPr>
          <w:p w:rsidR="00C861DA" w:rsidRDefault="00C861DA">
            <w:pPr>
              <w:pStyle w:val="TableParagraph"/>
              <w:spacing w:before="14"/>
              <w:jc w:val="center"/>
              <w:rPr>
                <w:rFonts w:cs="宋体"/>
                <w:color w:val="000000" w:themeColor="text1"/>
              </w:rPr>
            </w:pPr>
          </w:p>
        </w:tc>
        <w:tc>
          <w:tcPr>
            <w:tcW w:w="1274" w:type="dxa"/>
            <w:vAlign w:val="center"/>
          </w:tcPr>
          <w:p w:rsidR="00C861DA" w:rsidRDefault="00C861DA">
            <w:pPr>
              <w:pStyle w:val="TableParagraph"/>
              <w:spacing w:before="14"/>
              <w:jc w:val="center"/>
              <w:rPr>
                <w:rFonts w:cs="宋体"/>
                <w:color w:val="000000" w:themeColor="text1"/>
              </w:rPr>
            </w:pPr>
          </w:p>
        </w:tc>
        <w:tc>
          <w:tcPr>
            <w:tcW w:w="1135" w:type="dxa"/>
            <w:vAlign w:val="center"/>
          </w:tcPr>
          <w:p w:rsidR="00C861DA" w:rsidRDefault="00C861DA">
            <w:pPr>
              <w:pStyle w:val="TableParagraph"/>
              <w:spacing w:before="14"/>
              <w:jc w:val="center"/>
              <w:rPr>
                <w:rFonts w:cs="宋体"/>
                <w:color w:val="000000" w:themeColor="text1"/>
              </w:rPr>
            </w:pPr>
          </w:p>
        </w:tc>
        <w:tc>
          <w:tcPr>
            <w:tcW w:w="1213" w:type="dxa"/>
            <w:vAlign w:val="center"/>
          </w:tcPr>
          <w:p w:rsidR="00C861DA" w:rsidRDefault="00C861DA">
            <w:pPr>
              <w:pStyle w:val="TableParagraph"/>
              <w:spacing w:before="14"/>
              <w:jc w:val="center"/>
              <w:rPr>
                <w:rFonts w:cs="宋体"/>
                <w:color w:val="000000" w:themeColor="text1"/>
              </w:rPr>
            </w:pP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1</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CO</w:t>
            </w:r>
            <w:r>
              <w:rPr>
                <w:rFonts w:hAnsi="Times New Roman" w:cs="Times New Roman"/>
                <w:color w:val="000000" w:themeColor="text1"/>
                <w:vertAlign w:val="subscript"/>
              </w:rPr>
              <w:t>2</w:t>
            </w:r>
            <w:r>
              <w:rPr>
                <w:rFonts w:hAnsi="Times New Roman" w:cs="Times New Roman"/>
                <w:color w:val="000000" w:themeColor="text1"/>
              </w:rPr>
              <w:t>压缩机</w:t>
            </w:r>
          </w:p>
        </w:tc>
        <w:tc>
          <w:tcPr>
            <w:tcW w:w="1419"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1</w:t>
            </w:r>
            <w:r>
              <w:rPr>
                <w:rFonts w:cs="宋体"/>
                <w:color w:val="000000" w:themeColor="text1"/>
              </w:rPr>
              <w:t>8</w:t>
            </w:r>
          </w:p>
        </w:tc>
        <w:tc>
          <w:tcPr>
            <w:tcW w:w="1274"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3</w:t>
            </w:r>
            <w:r>
              <w:rPr>
                <w:rFonts w:cs="宋体"/>
                <w:color w:val="000000" w:themeColor="text1"/>
              </w:rPr>
              <w:t>2</w:t>
            </w:r>
          </w:p>
        </w:tc>
        <w:tc>
          <w:tcPr>
            <w:tcW w:w="1135"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6</w:t>
            </w:r>
            <w:r>
              <w:rPr>
                <w:rFonts w:cs="宋体"/>
                <w:color w:val="000000" w:themeColor="text1"/>
              </w:rPr>
              <w:t>4</w:t>
            </w:r>
          </w:p>
        </w:tc>
        <w:tc>
          <w:tcPr>
            <w:tcW w:w="1213"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1</w:t>
            </w:r>
            <w:r>
              <w:rPr>
                <w:rFonts w:cs="宋体"/>
                <w:color w:val="000000" w:themeColor="text1"/>
              </w:rPr>
              <w:t>57</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2</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CO</w:t>
            </w:r>
            <w:r>
              <w:rPr>
                <w:rFonts w:hAnsi="Times New Roman" w:cs="Times New Roman"/>
                <w:color w:val="000000" w:themeColor="text1"/>
                <w:vertAlign w:val="subscript"/>
              </w:rPr>
              <w:t>2</w:t>
            </w:r>
            <w:r>
              <w:rPr>
                <w:rFonts w:hAnsi="Times New Roman" w:cs="Times New Roman"/>
                <w:color w:val="000000" w:themeColor="text1"/>
              </w:rPr>
              <w:t>泵</w:t>
            </w:r>
          </w:p>
        </w:tc>
        <w:tc>
          <w:tcPr>
            <w:tcW w:w="1419"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1</w:t>
            </w:r>
            <w:r>
              <w:rPr>
                <w:rFonts w:cs="宋体"/>
                <w:color w:val="000000" w:themeColor="text1"/>
              </w:rPr>
              <w:t>5</w:t>
            </w:r>
          </w:p>
        </w:tc>
        <w:tc>
          <w:tcPr>
            <w:tcW w:w="1274" w:type="dxa"/>
            <w:vAlign w:val="center"/>
          </w:tcPr>
          <w:p w:rsidR="00C861DA" w:rsidRDefault="0044752E">
            <w:pPr>
              <w:pStyle w:val="TableParagraph"/>
              <w:spacing w:before="14"/>
              <w:jc w:val="center"/>
              <w:rPr>
                <w:rFonts w:cs="宋体"/>
                <w:color w:val="000000" w:themeColor="text1"/>
              </w:rPr>
            </w:pPr>
            <w:r>
              <w:rPr>
                <w:rFonts w:cs="宋体"/>
                <w:color w:val="000000" w:themeColor="text1"/>
              </w:rPr>
              <w:t>27</w:t>
            </w:r>
          </w:p>
        </w:tc>
        <w:tc>
          <w:tcPr>
            <w:tcW w:w="1135"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8</w:t>
            </w:r>
            <w:r>
              <w:rPr>
                <w:rFonts w:cs="宋体"/>
                <w:color w:val="000000" w:themeColor="text1"/>
              </w:rPr>
              <w:t>6</w:t>
            </w:r>
          </w:p>
        </w:tc>
        <w:tc>
          <w:tcPr>
            <w:tcW w:w="1213"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1</w:t>
            </w:r>
            <w:r>
              <w:rPr>
                <w:rFonts w:cs="宋体"/>
                <w:color w:val="000000" w:themeColor="text1"/>
              </w:rPr>
              <w:t>67</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3</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除尘风机</w:t>
            </w:r>
          </w:p>
        </w:tc>
        <w:tc>
          <w:tcPr>
            <w:tcW w:w="1419"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2</w:t>
            </w:r>
            <w:r>
              <w:rPr>
                <w:rFonts w:cs="宋体"/>
                <w:color w:val="000000" w:themeColor="text1"/>
              </w:rPr>
              <w:t>6</w:t>
            </w:r>
          </w:p>
        </w:tc>
        <w:tc>
          <w:tcPr>
            <w:tcW w:w="1274"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2</w:t>
            </w:r>
            <w:r>
              <w:rPr>
                <w:rFonts w:cs="宋体"/>
                <w:color w:val="000000" w:themeColor="text1"/>
              </w:rPr>
              <w:t>9</w:t>
            </w:r>
          </w:p>
        </w:tc>
        <w:tc>
          <w:tcPr>
            <w:tcW w:w="1135"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7</w:t>
            </w:r>
            <w:r>
              <w:rPr>
                <w:rFonts w:cs="宋体"/>
                <w:color w:val="000000" w:themeColor="text1"/>
              </w:rPr>
              <w:t>7</w:t>
            </w:r>
          </w:p>
        </w:tc>
        <w:tc>
          <w:tcPr>
            <w:tcW w:w="1213"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1</w:t>
            </w:r>
            <w:r>
              <w:rPr>
                <w:rFonts w:cs="宋体"/>
                <w:color w:val="000000" w:themeColor="text1"/>
              </w:rPr>
              <w:t>79</w:t>
            </w: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五</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尿基复合肥生产</w:t>
            </w:r>
          </w:p>
        </w:tc>
        <w:tc>
          <w:tcPr>
            <w:tcW w:w="1419" w:type="dxa"/>
            <w:vAlign w:val="center"/>
          </w:tcPr>
          <w:p w:rsidR="00C861DA" w:rsidRDefault="00C861DA">
            <w:pPr>
              <w:pStyle w:val="TableParagraph"/>
              <w:spacing w:before="14"/>
              <w:jc w:val="center"/>
              <w:rPr>
                <w:rFonts w:cs="宋体"/>
                <w:color w:val="000000" w:themeColor="text1"/>
              </w:rPr>
            </w:pPr>
          </w:p>
        </w:tc>
        <w:tc>
          <w:tcPr>
            <w:tcW w:w="1274" w:type="dxa"/>
            <w:vAlign w:val="center"/>
          </w:tcPr>
          <w:p w:rsidR="00C861DA" w:rsidRDefault="00C861DA">
            <w:pPr>
              <w:pStyle w:val="TableParagraph"/>
              <w:spacing w:before="14"/>
              <w:jc w:val="center"/>
              <w:rPr>
                <w:rFonts w:cs="宋体"/>
                <w:color w:val="000000" w:themeColor="text1"/>
              </w:rPr>
            </w:pPr>
          </w:p>
        </w:tc>
        <w:tc>
          <w:tcPr>
            <w:tcW w:w="1135" w:type="dxa"/>
            <w:vAlign w:val="center"/>
          </w:tcPr>
          <w:p w:rsidR="00C861DA" w:rsidRDefault="00C861DA">
            <w:pPr>
              <w:pStyle w:val="TableParagraph"/>
              <w:spacing w:before="14"/>
              <w:jc w:val="center"/>
              <w:rPr>
                <w:rFonts w:cs="宋体"/>
                <w:color w:val="000000" w:themeColor="text1"/>
              </w:rPr>
            </w:pPr>
          </w:p>
        </w:tc>
        <w:tc>
          <w:tcPr>
            <w:tcW w:w="1213" w:type="dxa"/>
            <w:vAlign w:val="center"/>
          </w:tcPr>
          <w:p w:rsidR="00C861DA" w:rsidRDefault="00C861DA">
            <w:pPr>
              <w:pStyle w:val="TableParagraph"/>
              <w:spacing w:before="14"/>
              <w:jc w:val="center"/>
              <w:rPr>
                <w:rFonts w:cs="宋体"/>
                <w:color w:val="000000" w:themeColor="text1"/>
              </w:rPr>
            </w:pPr>
          </w:p>
        </w:tc>
      </w:tr>
      <w:tr w:rsidR="00C861DA">
        <w:trPr>
          <w:trHeight w:val="397"/>
        </w:trPr>
        <w:tc>
          <w:tcPr>
            <w:tcW w:w="957"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1</w:t>
            </w:r>
          </w:p>
        </w:tc>
        <w:tc>
          <w:tcPr>
            <w:tcW w:w="2298" w:type="dxa"/>
            <w:vAlign w:val="center"/>
          </w:tcPr>
          <w:p w:rsidR="00C861DA" w:rsidRDefault="0044752E">
            <w:pPr>
              <w:pStyle w:val="TableParagraph"/>
              <w:jc w:val="center"/>
              <w:rPr>
                <w:rFonts w:cs="宋体"/>
                <w:color w:val="000000" w:themeColor="text1"/>
              </w:rPr>
            </w:pPr>
            <w:r>
              <w:rPr>
                <w:rFonts w:hAnsi="Times New Roman" w:cs="Times New Roman"/>
                <w:color w:val="000000" w:themeColor="text1"/>
              </w:rPr>
              <w:t>造粒塔引风机</w:t>
            </w:r>
          </w:p>
        </w:tc>
        <w:tc>
          <w:tcPr>
            <w:tcW w:w="1419" w:type="dxa"/>
            <w:vAlign w:val="center"/>
          </w:tcPr>
          <w:p w:rsidR="00C861DA" w:rsidRDefault="0044752E">
            <w:pPr>
              <w:pStyle w:val="TableParagraph"/>
              <w:spacing w:before="14"/>
              <w:jc w:val="center"/>
              <w:rPr>
                <w:rFonts w:cs="宋体"/>
                <w:color w:val="000000" w:themeColor="text1"/>
              </w:rPr>
            </w:pPr>
            <w:r>
              <w:rPr>
                <w:rFonts w:cs="宋体"/>
                <w:color w:val="000000" w:themeColor="text1"/>
              </w:rPr>
              <w:t>38</w:t>
            </w:r>
          </w:p>
        </w:tc>
        <w:tc>
          <w:tcPr>
            <w:tcW w:w="1274"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3</w:t>
            </w:r>
            <w:r>
              <w:rPr>
                <w:rFonts w:cs="宋体"/>
                <w:color w:val="000000" w:themeColor="text1"/>
              </w:rPr>
              <w:t>8</w:t>
            </w:r>
          </w:p>
        </w:tc>
        <w:tc>
          <w:tcPr>
            <w:tcW w:w="1135"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5</w:t>
            </w:r>
            <w:r>
              <w:rPr>
                <w:rFonts w:cs="宋体"/>
                <w:color w:val="000000" w:themeColor="text1"/>
              </w:rPr>
              <w:t>9</w:t>
            </w:r>
          </w:p>
        </w:tc>
        <w:tc>
          <w:tcPr>
            <w:tcW w:w="1213" w:type="dxa"/>
            <w:vAlign w:val="center"/>
          </w:tcPr>
          <w:p w:rsidR="00C861DA" w:rsidRDefault="0044752E">
            <w:pPr>
              <w:pStyle w:val="TableParagraph"/>
              <w:spacing w:before="14"/>
              <w:jc w:val="center"/>
              <w:rPr>
                <w:rFonts w:cs="宋体"/>
                <w:color w:val="000000" w:themeColor="text1"/>
              </w:rPr>
            </w:pPr>
            <w:r>
              <w:rPr>
                <w:rFonts w:cs="宋体" w:hint="eastAsia"/>
                <w:color w:val="000000" w:themeColor="text1"/>
              </w:rPr>
              <w:t>2</w:t>
            </w:r>
            <w:r>
              <w:rPr>
                <w:rFonts w:cs="宋体"/>
                <w:color w:val="000000" w:themeColor="text1"/>
              </w:rPr>
              <w:t>67</w:t>
            </w:r>
          </w:p>
        </w:tc>
      </w:tr>
    </w:tbl>
    <w:p w:rsidR="00C861DA" w:rsidRDefault="00C861DA">
      <w:pPr>
        <w:pStyle w:val="afe"/>
        <w:pBdr>
          <w:bottom w:val="none" w:sz="0" w:space="0" w:color="auto"/>
        </w:pBdr>
        <w:rPr>
          <w:rFonts w:ascii="Times New Roman"/>
          <w:color w:val="000000" w:themeColor="text1"/>
          <w:sz w:val="21"/>
          <w:szCs w:val="21"/>
        </w:rPr>
      </w:pPr>
    </w:p>
    <w:p w:rsidR="00C861DA" w:rsidRDefault="0044752E">
      <w:pPr>
        <w:pStyle w:val="af4"/>
        <w:spacing w:before="5" w:after="0"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根据以上模式，得出拟建项目厂界噪声贡献值预测结果见表</w:t>
      </w:r>
      <w:r>
        <w:rPr>
          <w:rFonts w:ascii="Times New Roman" w:eastAsia="宋体" w:hAnsi="Times New Roman" w:cs="Times New Roman"/>
          <w:color w:val="000000" w:themeColor="text1"/>
          <w:kern w:val="0"/>
          <w:sz w:val="24"/>
          <w:szCs w:val="24"/>
        </w:rPr>
        <w:t>7.3-3</w:t>
      </w:r>
      <w:r>
        <w:rPr>
          <w:rFonts w:ascii="Times New Roman" w:eastAsia="宋体" w:hAnsi="Times New Roman" w:cs="Times New Roman"/>
          <w:color w:val="000000" w:themeColor="text1"/>
          <w:kern w:val="0"/>
          <w:sz w:val="24"/>
          <w:szCs w:val="24"/>
        </w:rPr>
        <w:t>。</w:t>
      </w:r>
    </w:p>
    <w:p w:rsidR="00C861DA" w:rsidRDefault="0044752E">
      <w:pPr>
        <w:tabs>
          <w:tab w:val="left" w:pos="2918"/>
          <w:tab w:val="left" w:pos="7214"/>
        </w:tabs>
        <w:spacing w:line="360" w:lineRule="auto"/>
        <w:jc w:val="center"/>
        <w:rPr>
          <w:rFonts w:ascii="Times New Roman" w:eastAsia="宋体" w:cs="宋体"/>
          <w:b/>
          <w:bCs/>
          <w:color w:val="000000" w:themeColor="text1"/>
          <w:sz w:val="24"/>
          <w:szCs w:val="24"/>
        </w:rPr>
      </w:pPr>
      <w:r>
        <w:rPr>
          <w:rFonts w:ascii="Times New Roman" w:eastAsia="宋体" w:cs="宋体"/>
          <w:b/>
          <w:bCs/>
          <w:color w:val="000000" w:themeColor="text1"/>
          <w:sz w:val="24"/>
          <w:szCs w:val="24"/>
        </w:rPr>
        <w:t>表</w:t>
      </w:r>
      <w:r>
        <w:rPr>
          <w:rFonts w:ascii="Times New Roman" w:eastAsia="宋体" w:cs="宋体" w:hint="eastAsia"/>
          <w:b/>
          <w:bCs/>
          <w:color w:val="000000" w:themeColor="text1"/>
          <w:sz w:val="24"/>
          <w:szCs w:val="24"/>
        </w:rPr>
        <w:t>7</w:t>
      </w:r>
      <w:r>
        <w:rPr>
          <w:rFonts w:ascii="Times New Roman" w:eastAsia="宋体" w:cs="宋体"/>
          <w:b/>
          <w:bCs/>
          <w:color w:val="000000" w:themeColor="text1"/>
          <w:sz w:val="24"/>
          <w:szCs w:val="24"/>
        </w:rPr>
        <w:t>.3-</w:t>
      </w:r>
      <w:r>
        <w:rPr>
          <w:rFonts w:ascii="Times New Roman" w:eastAsia="宋体" w:cs="宋体" w:hint="eastAsia"/>
          <w:b/>
          <w:bCs/>
          <w:color w:val="000000" w:themeColor="text1"/>
          <w:sz w:val="24"/>
          <w:szCs w:val="24"/>
        </w:rPr>
        <w:t xml:space="preserve">3  </w:t>
      </w:r>
      <w:r>
        <w:rPr>
          <w:rFonts w:ascii="Times New Roman" w:eastAsia="宋体" w:cs="宋体"/>
          <w:b/>
          <w:bCs/>
          <w:color w:val="000000" w:themeColor="text1"/>
          <w:sz w:val="24"/>
          <w:szCs w:val="24"/>
        </w:rPr>
        <w:t>厂界噪声预测结果表</w:t>
      </w:r>
      <w:r>
        <w:rPr>
          <w:rFonts w:ascii="Times New Roman" w:eastAsia="宋体" w:cs="宋体" w:hint="eastAsia"/>
          <w:b/>
          <w:bCs/>
          <w:color w:val="000000" w:themeColor="text1"/>
          <w:sz w:val="24"/>
          <w:szCs w:val="24"/>
        </w:rPr>
        <w:t xml:space="preserve">  </w:t>
      </w:r>
      <w:r>
        <w:rPr>
          <w:rFonts w:ascii="Times New Roman" w:eastAsia="宋体" w:cs="宋体"/>
          <w:b/>
          <w:bCs/>
          <w:color w:val="000000" w:themeColor="text1"/>
          <w:sz w:val="24"/>
          <w:szCs w:val="24"/>
        </w:rPr>
        <w:t>单位：</w:t>
      </w:r>
      <w:r>
        <w:rPr>
          <w:rFonts w:ascii="Times New Roman" w:eastAsia="宋体" w:cs="宋体"/>
          <w:b/>
          <w:bCs/>
          <w:color w:val="000000" w:themeColor="text1"/>
          <w:sz w:val="24"/>
          <w:szCs w:val="24"/>
        </w:rPr>
        <w:t xml:space="preserve"> dB</w:t>
      </w:r>
      <w:r>
        <w:rPr>
          <w:rFonts w:ascii="Times New Roman" w:eastAsia="宋体" w:cs="宋体" w:hint="eastAsia"/>
          <w:b/>
          <w:bCs/>
          <w:color w:val="000000" w:themeColor="text1"/>
          <w:sz w:val="24"/>
          <w:szCs w:val="24"/>
        </w:rPr>
        <w:t>（</w:t>
      </w:r>
      <w:r>
        <w:rPr>
          <w:rFonts w:ascii="Times New Roman" w:eastAsia="宋体" w:cs="宋体"/>
          <w:b/>
          <w:bCs/>
          <w:color w:val="000000" w:themeColor="text1"/>
          <w:sz w:val="24"/>
          <w:szCs w:val="24"/>
        </w:rPr>
        <w:t>A</w:t>
      </w:r>
      <w:r>
        <w:rPr>
          <w:rFonts w:ascii="Times New Roman" w:eastAsia="宋体" w:cs="宋体" w:hint="eastAsia"/>
          <w:b/>
          <w:bCs/>
          <w:color w:val="000000" w:themeColor="text1"/>
          <w:sz w:val="24"/>
          <w:szCs w:val="24"/>
        </w:rPr>
        <w:t>）</w:t>
      </w:r>
    </w:p>
    <w:p w:rsidR="00C861DA" w:rsidRDefault="00C861DA">
      <w:pPr>
        <w:spacing w:before="11" w:line="80" w:lineRule="exact"/>
        <w:rPr>
          <w:rFonts w:ascii="Times New Roman" w:eastAsia="宋体"/>
          <w:color w:val="000000" w:themeColor="text1"/>
          <w:sz w:val="8"/>
          <w:szCs w:val="8"/>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4"/>
        <w:gridCol w:w="920"/>
        <w:gridCol w:w="920"/>
        <w:gridCol w:w="1345"/>
        <w:gridCol w:w="1206"/>
        <w:gridCol w:w="954"/>
        <w:gridCol w:w="1461"/>
      </w:tblGrid>
      <w:tr w:rsidR="00C861DA">
        <w:trPr>
          <w:trHeight w:val="397"/>
        </w:trPr>
        <w:tc>
          <w:tcPr>
            <w:tcW w:w="1524" w:type="dxa"/>
            <w:vAlign w:val="center"/>
          </w:tcPr>
          <w:p w:rsidR="00C861DA" w:rsidRDefault="0044752E">
            <w:pPr>
              <w:pStyle w:val="TableParagraph"/>
              <w:jc w:val="center"/>
              <w:rPr>
                <w:rFonts w:cs="宋体"/>
                <w:b/>
                <w:bCs/>
                <w:color w:val="000000" w:themeColor="text1"/>
              </w:rPr>
            </w:pPr>
            <w:r>
              <w:rPr>
                <w:rFonts w:cs="宋体"/>
                <w:b/>
                <w:bCs/>
                <w:color w:val="000000" w:themeColor="text1"/>
              </w:rPr>
              <w:t>编号</w:t>
            </w:r>
          </w:p>
        </w:tc>
        <w:tc>
          <w:tcPr>
            <w:tcW w:w="1840" w:type="dxa"/>
            <w:gridSpan w:val="2"/>
            <w:vAlign w:val="center"/>
          </w:tcPr>
          <w:p w:rsidR="00C861DA" w:rsidRDefault="0044752E">
            <w:pPr>
              <w:pStyle w:val="TableParagraph"/>
              <w:jc w:val="center"/>
              <w:rPr>
                <w:rFonts w:cs="宋体"/>
                <w:b/>
                <w:bCs/>
                <w:color w:val="000000" w:themeColor="text1"/>
              </w:rPr>
            </w:pPr>
            <w:r>
              <w:rPr>
                <w:rFonts w:cs="宋体"/>
                <w:b/>
                <w:bCs/>
                <w:color w:val="000000" w:themeColor="text1"/>
              </w:rPr>
              <w:t>环境现状本底值</w:t>
            </w:r>
          </w:p>
        </w:tc>
        <w:tc>
          <w:tcPr>
            <w:tcW w:w="1345" w:type="dxa"/>
            <w:vAlign w:val="center"/>
          </w:tcPr>
          <w:p w:rsidR="00C861DA" w:rsidRDefault="0044752E">
            <w:pPr>
              <w:pStyle w:val="TableParagraph"/>
              <w:jc w:val="center"/>
              <w:rPr>
                <w:rFonts w:cs="宋体"/>
                <w:b/>
                <w:bCs/>
                <w:color w:val="000000" w:themeColor="text1"/>
              </w:rPr>
            </w:pPr>
            <w:r>
              <w:rPr>
                <w:rFonts w:cs="宋体"/>
                <w:b/>
                <w:bCs/>
                <w:color w:val="000000" w:themeColor="text1"/>
              </w:rPr>
              <w:t>贡献值</w:t>
            </w:r>
          </w:p>
        </w:tc>
        <w:tc>
          <w:tcPr>
            <w:tcW w:w="1206" w:type="dxa"/>
            <w:vAlign w:val="center"/>
          </w:tcPr>
          <w:p w:rsidR="00C861DA" w:rsidRDefault="0044752E">
            <w:pPr>
              <w:pStyle w:val="TableParagraph"/>
              <w:jc w:val="center"/>
              <w:rPr>
                <w:rFonts w:cs="宋体"/>
                <w:b/>
                <w:bCs/>
                <w:color w:val="000000" w:themeColor="text1"/>
              </w:rPr>
            </w:pPr>
            <w:r>
              <w:rPr>
                <w:rFonts w:cs="宋体"/>
                <w:b/>
                <w:bCs/>
                <w:color w:val="000000" w:themeColor="text1"/>
              </w:rPr>
              <w:t>预测值</w:t>
            </w:r>
          </w:p>
        </w:tc>
        <w:tc>
          <w:tcPr>
            <w:tcW w:w="954" w:type="dxa"/>
            <w:vAlign w:val="center"/>
          </w:tcPr>
          <w:p w:rsidR="00C861DA" w:rsidRDefault="0044752E">
            <w:pPr>
              <w:pStyle w:val="TableParagraph"/>
              <w:jc w:val="center"/>
              <w:rPr>
                <w:rFonts w:cs="宋体"/>
                <w:b/>
                <w:bCs/>
                <w:color w:val="000000" w:themeColor="text1"/>
              </w:rPr>
            </w:pPr>
            <w:r>
              <w:rPr>
                <w:rFonts w:cs="宋体"/>
                <w:b/>
                <w:bCs/>
                <w:color w:val="000000" w:themeColor="text1"/>
              </w:rPr>
              <w:t>标准</w:t>
            </w:r>
          </w:p>
        </w:tc>
        <w:tc>
          <w:tcPr>
            <w:tcW w:w="1461" w:type="dxa"/>
            <w:vAlign w:val="center"/>
          </w:tcPr>
          <w:p w:rsidR="00C861DA" w:rsidRDefault="0044752E">
            <w:pPr>
              <w:pStyle w:val="TableParagraph"/>
              <w:jc w:val="center"/>
              <w:rPr>
                <w:rFonts w:cs="宋体"/>
                <w:b/>
                <w:bCs/>
                <w:color w:val="000000" w:themeColor="text1"/>
              </w:rPr>
            </w:pPr>
            <w:r>
              <w:rPr>
                <w:rFonts w:cs="宋体"/>
                <w:b/>
                <w:bCs/>
                <w:color w:val="000000" w:themeColor="text1"/>
              </w:rPr>
              <w:t>是否达标</w:t>
            </w:r>
          </w:p>
        </w:tc>
      </w:tr>
      <w:tr w:rsidR="00C861DA">
        <w:trPr>
          <w:trHeight w:val="397"/>
        </w:trPr>
        <w:tc>
          <w:tcPr>
            <w:tcW w:w="1524" w:type="dxa"/>
            <w:vMerge w:val="restart"/>
            <w:vAlign w:val="center"/>
          </w:tcPr>
          <w:p w:rsidR="00C861DA" w:rsidRDefault="0044752E">
            <w:pPr>
              <w:pStyle w:val="TableParagraph"/>
              <w:jc w:val="center"/>
              <w:rPr>
                <w:rFonts w:cs="宋体"/>
                <w:color w:val="000000" w:themeColor="text1"/>
              </w:rPr>
            </w:pPr>
            <w:r>
              <w:rPr>
                <w:rFonts w:cs="宋体"/>
                <w:color w:val="000000" w:themeColor="text1"/>
              </w:rPr>
              <w:t>东厂界</w:t>
            </w:r>
          </w:p>
        </w:tc>
        <w:tc>
          <w:tcPr>
            <w:tcW w:w="920" w:type="dxa"/>
            <w:vAlign w:val="center"/>
          </w:tcPr>
          <w:p w:rsidR="00C861DA" w:rsidRDefault="0044752E">
            <w:pPr>
              <w:pStyle w:val="TableParagraph"/>
              <w:jc w:val="center"/>
              <w:rPr>
                <w:rFonts w:cs="宋体"/>
                <w:color w:val="000000" w:themeColor="text1"/>
              </w:rPr>
            </w:pPr>
            <w:r>
              <w:rPr>
                <w:rFonts w:cs="宋体"/>
                <w:color w:val="000000" w:themeColor="text1"/>
              </w:rPr>
              <w:t>昼间</w:t>
            </w:r>
          </w:p>
        </w:tc>
        <w:tc>
          <w:tcPr>
            <w:tcW w:w="920" w:type="dxa"/>
            <w:vAlign w:val="center"/>
          </w:tcPr>
          <w:p w:rsidR="00C861DA" w:rsidRDefault="0044752E">
            <w:pPr>
              <w:widowControl/>
              <w:jc w:val="center"/>
              <w:textAlignment w:val="center"/>
              <w:rPr>
                <w:rFonts w:ascii="Times New Roman" w:eastAsia="宋体" w:cs="宋体"/>
                <w:color w:val="000000" w:themeColor="text1"/>
              </w:rPr>
            </w:pPr>
            <w:r>
              <w:rPr>
                <w:rFonts w:ascii="Times New Roman" w:eastAsia="宋体"/>
                <w:color w:val="000000" w:themeColor="text1"/>
                <w:lang w:bidi="ar"/>
              </w:rPr>
              <w:t xml:space="preserve">55.3 </w:t>
            </w:r>
          </w:p>
        </w:tc>
        <w:tc>
          <w:tcPr>
            <w:tcW w:w="1345" w:type="dxa"/>
            <w:vAlign w:val="center"/>
          </w:tcPr>
          <w:p w:rsidR="00C861DA" w:rsidRDefault="0044752E">
            <w:pPr>
              <w:widowControl/>
              <w:jc w:val="center"/>
              <w:textAlignment w:val="center"/>
              <w:rPr>
                <w:rFonts w:ascii="Times New Roman" w:eastAsia="宋体"/>
                <w:color w:val="000000" w:themeColor="text1"/>
                <w:lang w:bidi="ar"/>
              </w:rPr>
            </w:pPr>
            <w:r>
              <w:rPr>
                <w:rFonts w:ascii="Times New Roman" w:eastAsia="宋体"/>
                <w:color w:val="000000" w:themeColor="text1"/>
                <w:lang w:bidi="ar"/>
              </w:rPr>
              <w:t xml:space="preserve">47.7 </w:t>
            </w:r>
          </w:p>
        </w:tc>
        <w:tc>
          <w:tcPr>
            <w:tcW w:w="1206" w:type="dxa"/>
            <w:vAlign w:val="center"/>
          </w:tcPr>
          <w:p w:rsidR="00C861DA" w:rsidRDefault="0044752E">
            <w:pPr>
              <w:widowControl/>
              <w:jc w:val="center"/>
              <w:textAlignment w:val="center"/>
              <w:rPr>
                <w:rFonts w:ascii="Times New Roman" w:eastAsia="宋体"/>
                <w:color w:val="000000" w:themeColor="text1"/>
                <w:lang w:bidi="ar"/>
              </w:rPr>
            </w:pPr>
            <w:r>
              <w:rPr>
                <w:rFonts w:ascii="Times New Roman" w:eastAsia="宋体"/>
                <w:color w:val="000000" w:themeColor="text1"/>
                <w:lang w:bidi="ar"/>
              </w:rPr>
              <w:t xml:space="preserve">56.0 </w:t>
            </w:r>
          </w:p>
        </w:tc>
        <w:tc>
          <w:tcPr>
            <w:tcW w:w="954" w:type="dxa"/>
            <w:vAlign w:val="center"/>
          </w:tcPr>
          <w:p w:rsidR="00C861DA" w:rsidRDefault="0044752E">
            <w:pPr>
              <w:pStyle w:val="TableParagraph"/>
              <w:jc w:val="center"/>
              <w:rPr>
                <w:rFonts w:cs="宋体"/>
                <w:color w:val="000000" w:themeColor="text1"/>
              </w:rPr>
            </w:pPr>
            <w:r>
              <w:rPr>
                <w:rFonts w:cs="宋体"/>
                <w:color w:val="000000" w:themeColor="text1"/>
              </w:rPr>
              <w:t>6</w:t>
            </w:r>
            <w:r>
              <w:rPr>
                <w:rFonts w:cs="宋体" w:hint="eastAsia"/>
                <w:color w:val="000000" w:themeColor="text1"/>
              </w:rPr>
              <w:t>5</w:t>
            </w:r>
          </w:p>
        </w:tc>
        <w:tc>
          <w:tcPr>
            <w:tcW w:w="1461" w:type="dxa"/>
            <w:vAlign w:val="center"/>
          </w:tcPr>
          <w:p w:rsidR="00C861DA" w:rsidRDefault="0044752E">
            <w:pPr>
              <w:pStyle w:val="TableParagraph"/>
              <w:jc w:val="center"/>
              <w:rPr>
                <w:rFonts w:cs="宋体"/>
                <w:color w:val="000000" w:themeColor="text1"/>
              </w:rPr>
            </w:pPr>
            <w:r>
              <w:rPr>
                <w:rFonts w:cs="宋体"/>
                <w:color w:val="000000" w:themeColor="text1"/>
              </w:rPr>
              <w:t>达标</w:t>
            </w:r>
          </w:p>
        </w:tc>
      </w:tr>
      <w:tr w:rsidR="00C861DA">
        <w:trPr>
          <w:trHeight w:val="397"/>
        </w:trPr>
        <w:tc>
          <w:tcPr>
            <w:tcW w:w="1524" w:type="dxa"/>
            <w:vMerge/>
            <w:vAlign w:val="center"/>
          </w:tcPr>
          <w:p w:rsidR="00C861DA" w:rsidRDefault="00C861DA">
            <w:pPr>
              <w:jc w:val="center"/>
              <w:rPr>
                <w:rFonts w:ascii="Times New Roman" w:eastAsia="宋体" w:cs="宋体"/>
                <w:color w:val="000000" w:themeColor="text1"/>
              </w:rPr>
            </w:pPr>
          </w:p>
        </w:tc>
        <w:tc>
          <w:tcPr>
            <w:tcW w:w="920" w:type="dxa"/>
            <w:vAlign w:val="center"/>
          </w:tcPr>
          <w:p w:rsidR="00C861DA" w:rsidRDefault="0044752E">
            <w:pPr>
              <w:pStyle w:val="TableParagraph"/>
              <w:jc w:val="center"/>
              <w:rPr>
                <w:rFonts w:cs="宋体"/>
                <w:color w:val="000000" w:themeColor="text1"/>
              </w:rPr>
            </w:pPr>
            <w:r>
              <w:rPr>
                <w:rFonts w:cs="宋体"/>
                <w:color w:val="000000" w:themeColor="text1"/>
              </w:rPr>
              <w:t>夜间</w:t>
            </w:r>
          </w:p>
        </w:tc>
        <w:tc>
          <w:tcPr>
            <w:tcW w:w="920" w:type="dxa"/>
            <w:vAlign w:val="center"/>
          </w:tcPr>
          <w:p w:rsidR="00C861DA" w:rsidRDefault="0044752E">
            <w:pPr>
              <w:widowControl/>
              <w:jc w:val="center"/>
              <w:textAlignment w:val="center"/>
              <w:rPr>
                <w:rFonts w:ascii="Times New Roman" w:eastAsia="宋体" w:cs="宋体"/>
                <w:color w:val="000000" w:themeColor="text1"/>
              </w:rPr>
            </w:pPr>
            <w:r>
              <w:rPr>
                <w:rFonts w:ascii="Times New Roman" w:eastAsia="宋体"/>
                <w:color w:val="000000" w:themeColor="text1"/>
                <w:lang w:bidi="ar"/>
              </w:rPr>
              <w:t xml:space="preserve">47.0 </w:t>
            </w:r>
          </w:p>
        </w:tc>
        <w:tc>
          <w:tcPr>
            <w:tcW w:w="1345" w:type="dxa"/>
            <w:vAlign w:val="center"/>
          </w:tcPr>
          <w:p w:rsidR="00C861DA" w:rsidRDefault="0044752E">
            <w:pPr>
              <w:widowControl/>
              <w:jc w:val="center"/>
              <w:textAlignment w:val="center"/>
              <w:rPr>
                <w:rFonts w:ascii="Times New Roman" w:eastAsia="宋体"/>
                <w:color w:val="000000" w:themeColor="text1"/>
                <w:lang w:bidi="ar"/>
              </w:rPr>
            </w:pPr>
            <w:r>
              <w:rPr>
                <w:rFonts w:ascii="Times New Roman" w:eastAsia="宋体"/>
                <w:color w:val="000000" w:themeColor="text1"/>
                <w:lang w:bidi="ar"/>
              </w:rPr>
              <w:t xml:space="preserve">47.7 </w:t>
            </w:r>
          </w:p>
        </w:tc>
        <w:tc>
          <w:tcPr>
            <w:tcW w:w="1206" w:type="dxa"/>
            <w:vAlign w:val="center"/>
          </w:tcPr>
          <w:p w:rsidR="00C861DA" w:rsidRDefault="0044752E">
            <w:pPr>
              <w:widowControl/>
              <w:jc w:val="center"/>
              <w:textAlignment w:val="center"/>
              <w:rPr>
                <w:rFonts w:ascii="Times New Roman" w:eastAsia="宋体"/>
                <w:color w:val="000000" w:themeColor="text1"/>
                <w:lang w:bidi="ar"/>
              </w:rPr>
            </w:pPr>
            <w:r>
              <w:rPr>
                <w:rFonts w:ascii="Times New Roman" w:eastAsia="宋体"/>
                <w:color w:val="000000" w:themeColor="text1"/>
                <w:lang w:bidi="ar"/>
              </w:rPr>
              <w:t xml:space="preserve">50.4 </w:t>
            </w:r>
          </w:p>
        </w:tc>
        <w:tc>
          <w:tcPr>
            <w:tcW w:w="954" w:type="dxa"/>
            <w:vAlign w:val="center"/>
          </w:tcPr>
          <w:p w:rsidR="00C861DA" w:rsidRDefault="0044752E">
            <w:pPr>
              <w:pStyle w:val="TableParagraph"/>
              <w:spacing w:before="33"/>
              <w:jc w:val="center"/>
              <w:rPr>
                <w:rFonts w:cs="宋体"/>
                <w:color w:val="000000" w:themeColor="text1"/>
              </w:rPr>
            </w:pPr>
            <w:r>
              <w:rPr>
                <w:rFonts w:cs="宋体" w:hint="eastAsia"/>
                <w:color w:val="000000" w:themeColor="text1"/>
              </w:rPr>
              <w:t>55</w:t>
            </w:r>
          </w:p>
        </w:tc>
        <w:tc>
          <w:tcPr>
            <w:tcW w:w="1461" w:type="dxa"/>
            <w:vAlign w:val="center"/>
          </w:tcPr>
          <w:p w:rsidR="00C861DA" w:rsidRDefault="0044752E">
            <w:pPr>
              <w:pStyle w:val="TableParagraph"/>
              <w:jc w:val="center"/>
              <w:rPr>
                <w:rFonts w:cs="宋体"/>
                <w:color w:val="000000" w:themeColor="text1"/>
              </w:rPr>
            </w:pPr>
            <w:r>
              <w:rPr>
                <w:rFonts w:cs="宋体"/>
                <w:color w:val="000000" w:themeColor="text1"/>
              </w:rPr>
              <w:t>达标</w:t>
            </w:r>
          </w:p>
        </w:tc>
      </w:tr>
      <w:tr w:rsidR="00C861DA">
        <w:trPr>
          <w:trHeight w:val="397"/>
        </w:trPr>
        <w:tc>
          <w:tcPr>
            <w:tcW w:w="1524" w:type="dxa"/>
            <w:vMerge w:val="restart"/>
            <w:vAlign w:val="center"/>
          </w:tcPr>
          <w:p w:rsidR="00C861DA" w:rsidRDefault="0044752E">
            <w:pPr>
              <w:pStyle w:val="TableParagraph"/>
              <w:jc w:val="center"/>
              <w:rPr>
                <w:rFonts w:cs="宋体"/>
                <w:color w:val="000000" w:themeColor="text1"/>
              </w:rPr>
            </w:pPr>
            <w:r>
              <w:rPr>
                <w:rFonts w:cs="宋体"/>
                <w:color w:val="000000" w:themeColor="text1"/>
              </w:rPr>
              <w:t>南厂界</w:t>
            </w:r>
          </w:p>
        </w:tc>
        <w:tc>
          <w:tcPr>
            <w:tcW w:w="920" w:type="dxa"/>
            <w:vAlign w:val="center"/>
          </w:tcPr>
          <w:p w:rsidR="00C861DA" w:rsidRDefault="0044752E">
            <w:pPr>
              <w:pStyle w:val="TableParagraph"/>
              <w:jc w:val="center"/>
              <w:rPr>
                <w:rFonts w:cs="宋体"/>
                <w:color w:val="000000" w:themeColor="text1"/>
              </w:rPr>
            </w:pPr>
            <w:r>
              <w:rPr>
                <w:rFonts w:cs="宋体"/>
                <w:color w:val="000000" w:themeColor="text1"/>
              </w:rPr>
              <w:t>昼间</w:t>
            </w:r>
          </w:p>
        </w:tc>
        <w:tc>
          <w:tcPr>
            <w:tcW w:w="920" w:type="dxa"/>
            <w:vAlign w:val="center"/>
          </w:tcPr>
          <w:p w:rsidR="00C861DA" w:rsidRDefault="0044752E">
            <w:pPr>
              <w:widowControl/>
              <w:jc w:val="center"/>
              <w:textAlignment w:val="center"/>
              <w:rPr>
                <w:rFonts w:ascii="Times New Roman" w:eastAsia="宋体" w:cs="宋体"/>
                <w:color w:val="000000" w:themeColor="text1"/>
              </w:rPr>
            </w:pPr>
            <w:r>
              <w:rPr>
                <w:rFonts w:ascii="Times New Roman" w:eastAsia="宋体"/>
                <w:color w:val="000000" w:themeColor="text1"/>
                <w:lang w:bidi="ar"/>
              </w:rPr>
              <w:t xml:space="preserve">53.6 </w:t>
            </w:r>
          </w:p>
        </w:tc>
        <w:tc>
          <w:tcPr>
            <w:tcW w:w="1345" w:type="dxa"/>
            <w:vAlign w:val="center"/>
          </w:tcPr>
          <w:p w:rsidR="00C861DA" w:rsidRDefault="0044752E">
            <w:pPr>
              <w:widowControl/>
              <w:jc w:val="center"/>
              <w:textAlignment w:val="center"/>
              <w:rPr>
                <w:rFonts w:ascii="Times New Roman" w:eastAsia="宋体"/>
                <w:color w:val="000000" w:themeColor="text1"/>
                <w:lang w:bidi="ar"/>
              </w:rPr>
            </w:pPr>
            <w:r>
              <w:rPr>
                <w:rFonts w:ascii="Times New Roman" w:eastAsia="宋体"/>
                <w:color w:val="000000" w:themeColor="text1"/>
                <w:lang w:bidi="ar"/>
              </w:rPr>
              <w:t xml:space="preserve">39.9 </w:t>
            </w:r>
          </w:p>
        </w:tc>
        <w:tc>
          <w:tcPr>
            <w:tcW w:w="1206" w:type="dxa"/>
            <w:vAlign w:val="center"/>
          </w:tcPr>
          <w:p w:rsidR="00C861DA" w:rsidRDefault="0044752E">
            <w:pPr>
              <w:widowControl/>
              <w:jc w:val="center"/>
              <w:textAlignment w:val="center"/>
              <w:rPr>
                <w:rFonts w:ascii="Times New Roman" w:eastAsia="宋体"/>
                <w:color w:val="000000" w:themeColor="text1"/>
                <w:lang w:bidi="ar"/>
              </w:rPr>
            </w:pPr>
            <w:r>
              <w:rPr>
                <w:rFonts w:ascii="Times New Roman" w:eastAsia="宋体"/>
                <w:color w:val="000000" w:themeColor="text1"/>
                <w:lang w:bidi="ar"/>
              </w:rPr>
              <w:t xml:space="preserve">53.8 </w:t>
            </w:r>
          </w:p>
        </w:tc>
        <w:tc>
          <w:tcPr>
            <w:tcW w:w="954" w:type="dxa"/>
            <w:vAlign w:val="center"/>
          </w:tcPr>
          <w:p w:rsidR="00C861DA" w:rsidRDefault="0044752E">
            <w:pPr>
              <w:pStyle w:val="TableParagraph"/>
              <w:jc w:val="center"/>
              <w:rPr>
                <w:rFonts w:cs="宋体"/>
                <w:color w:val="000000" w:themeColor="text1"/>
              </w:rPr>
            </w:pPr>
            <w:r>
              <w:rPr>
                <w:rFonts w:cs="宋体"/>
                <w:color w:val="000000" w:themeColor="text1"/>
              </w:rPr>
              <w:t>6</w:t>
            </w:r>
            <w:r>
              <w:rPr>
                <w:rFonts w:cs="宋体" w:hint="eastAsia"/>
                <w:color w:val="000000" w:themeColor="text1"/>
              </w:rPr>
              <w:t>5</w:t>
            </w:r>
          </w:p>
        </w:tc>
        <w:tc>
          <w:tcPr>
            <w:tcW w:w="1461" w:type="dxa"/>
            <w:vAlign w:val="center"/>
          </w:tcPr>
          <w:p w:rsidR="00C861DA" w:rsidRDefault="0044752E">
            <w:pPr>
              <w:pStyle w:val="TableParagraph"/>
              <w:jc w:val="center"/>
              <w:rPr>
                <w:rFonts w:cs="宋体"/>
                <w:color w:val="000000" w:themeColor="text1"/>
              </w:rPr>
            </w:pPr>
            <w:r>
              <w:rPr>
                <w:rFonts w:cs="宋体"/>
                <w:color w:val="000000" w:themeColor="text1"/>
              </w:rPr>
              <w:t>达标</w:t>
            </w:r>
          </w:p>
        </w:tc>
      </w:tr>
      <w:tr w:rsidR="00C861DA">
        <w:trPr>
          <w:trHeight w:val="397"/>
        </w:trPr>
        <w:tc>
          <w:tcPr>
            <w:tcW w:w="1524" w:type="dxa"/>
            <w:vMerge/>
            <w:vAlign w:val="center"/>
          </w:tcPr>
          <w:p w:rsidR="00C861DA" w:rsidRDefault="00C861DA">
            <w:pPr>
              <w:jc w:val="center"/>
              <w:rPr>
                <w:rFonts w:ascii="Times New Roman" w:eastAsia="宋体" w:cs="宋体"/>
                <w:color w:val="000000" w:themeColor="text1"/>
              </w:rPr>
            </w:pPr>
          </w:p>
        </w:tc>
        <w:tc>
          <w:tcPr>
            <w:tcW w:w="920" w:type="dxa"/>
            <w:vAlign w:val="center"/>
          </w:tcPr>
          <w:p w:rsidR="00C861DA" w:rsidRDefault="0044752E">
            <w:pPr>
              <w:pStyle w:val="TableParagraph"/>
              <w:jc w:val="center"/>
              <w:rPr>
                <w:rFonts w:cs="宋体"/>
                <w:color w:val="000000" w:themeColor="text1"/>
              </w:rPr>
            </w:pPr>
            <w:r>
              <w:rPr>
                <w:rFonts w:cs="宋体"/>
                <w:color w:val="000000" w:themeColor="text1"/>
              </w:rPr>
              <w:t>夜间</w:t>
            </w:r>
          </w:p>
        </w:tc>
        <w:tc>
          <w:tcPr>
            <w:tcW w:w="920" w:type="dxa"/>
            <w:vAlign w:val="center"/>
          </w:tcPr>
          <w:p w:rsidR="00C861DA" w:rsidRDefault="0044752E">
            <w:pPr>
              <w:widowControl/>
              <w:jc w:val="center"/>
              <w:textAlignment w:val="center"/>
              <w:rPr>
                <w:rFonts w:ascii="Times New Roman" w:eastAsia="宋体" w:cs="宋体"/>
                <w:color w:val="000000" w:themeColor="text1"/>
              </w:rPr>
            </w:pPr>
            <w:r>
              <w:rPr>
                <w:rFonts w:ascii="Times New Roman" w:eastAsia="宋体"/>
                <w:color w:val="000000" w:themeColor="text1"/>
                <w:lang w:bidi="ar"/>
              </w:rPr>
              <w:t xml:space="preserve">45.9 </w:t>
            </w:r>
          </w:p>
        </w:tc>
        <w:tc>
          <w:tcPr>
            <w:tcW w:w="1345" w:type="dxa"/>
            <w:vAlign w:val="center"/>
          </w:tcPr>
          <w:p w:rsidR="00C861DA" w:rsidRDefault="0044752E">
            <w:pPr>
              <w:widowControl/>
              <w:jc w:val="center"/>
              <w:textAlignment w:val="center"/>
              <w:rPr>
                <w:rFonts w:ascii="Times New Roman" w:eastAsia="宋体"/>
                <w:color w:val="000000" w:themeColor="text1"/>
                <w:lang w:bidi="ar"/>
              </w:rPr>
            </w:pPr>
            <w:r>
              <w:rPr>
                <w:rFonts w:ascii="Times New Roman" w:eastAsia="宋体"/>
                <w:color w:val="000000" w:themeColor="text1"/>
                <w:lang w:bidi="ar"/>
              </w:rPr>
              <w:t xml:space="preserve">39.9 </w:t>
            </w:r>
          </w:p>
        </w:tc>
        <w:tc>
          <w:tcPr>
            <w:tcW w:w="1206" w:type="dxa"/>
            <w:vAlign w:val="center"/>
          </w:tcPr>
          <w:p w:rsidR="00C861DA" w:rsidRDefault="0044752E">
            <w:pPr>
              <w:widowControl/>
              <w:jc w:val="center"/>
              <w:textAlignment w:val="center"/>
              <w:rPr>
                <w:rFonts w:ascii="Times New Roman" w:eastAsia="宋体"/>
                <w:color w:val="000000" w:themeColor="text1"/>
                <w:lang w:bidi="ar"/>
              </w:rPr>
            </w:pPr>
            <w:r>
              <w:rPr>
                <w:rFonts w:ascii="Times New Roman" w:eastAsia="宋体"/>
                <w:color w:val="000000" w:themeColor="text1"/>
                <w:lang w:bidi="ar"/>
              </w:rPr>
              <w:t xml:space="preserve">46.9 </w:t>
            </w:r>
          </w:p>
        </w:tc>
        <w:tc>
          <w:tcPr>
            <w:tcW w:w="954" w:type="dxa"/>
            <w:vAlign w:val="center"/>
          </w:tcPr>
          <w:p w:rsidR="00C861DA" w:rsidRDefault="0044752E">
            <w:pPr>
              <w:pStyle w:val="TableParagraph"/>
              <w:spacing w:before="33"/>
              <w:jc w:val="center"/>
              <w:rPr>
                <w:rFonts w:cs="宋体"/>
                <w:color w:val="000000" w:themeColor="text1"/>
              </w:rPr>
            </w:pPr>
            <w:r>
              <w:rPr>
                <w:rFonts w:cs="宋体" w:hint="eastAsia"/>
                <w:color w:val="000000" w:themeColor="text1"/>
              </w:rPr>
              <w:t>55</w:t>
            </w:r>
          </w:p>
        </w:tc>
        <w:tc>
          <w:tcPr>
            <w:tcW w:w="1461" w:type="dxa"/>
            <w:vAlign w:val="center"/>
          </w:tcPr>
          <w:p w:rsidR="00C861DA" w:rsidRDefault="0044752E">
            <w:pPr>
              <w:pStyle w:val="TableParagraph"/>
              <w:jc w:val="center"/>
              <w:rPr>
                <w:rFonts w:cs="宋体"/>
                <w:color w:val="000000" w:themeColor="text1"/>
              </w:rPr>
            </w:pPr>
            <w:r>
              <w:rPr>
                <w:rFonts w:cs="宋体"/>
                <w:color w:val="000000" w:themeColor="text1"/>
              </w:rPr>
              <w:t>达标</w:t>
            </w:r>
          </w:p>
        </w:tc>
      </w:tr>
      <w:tr w:rsidR="00C861DA">
        <w:trPr>
          <w:trHeight w:val="397"/>
        </w:trPr>
        <w:tc>
          <w:tcPr>
            <w:tcW w:w="1524" w:type="dxa"/>
            <w:vMerge w:val="restart"/>
            <w:vAlign w:val="center"/>
          </w:tcPr>
          <w:p w:rsidR="00C861DA" w:rsidRDefault="0044752E">
            <w:pPr>
              <w:pStyle w:val="TableParagraph"/>
              <w:jc w:val="center"/>
              <w:rPr>
                <w:rFonts w:cs="宋体"/>
                <w:color w:val="000000" w:themeColor="text1"/>
              </w:rPr>
            </w:pPr>
            <w:r>
              <w:rPr>
                <w:rFonts w:cs="宋体"/>
                <w:color w:val="000000" w:themeColor="text1"/>
              </w:rPr>
              <w:t>西厂界</w:t>
            </w:r>
          </w:p>
        </w:tc>
        <w:tc>
          <w:tcPr>
            <w:tcW w:w="920" w:type="dxa"/>
            <w:vAlign w:val="center"/>
          </w:tcPr>
          <w:p w:rsidR="00C861DA" w:rsidRDefault="0044752E">
            <w:pPr>
              <w:pStyle w:val="TableParagraph"/>
              <w:jc w:val="center"/>
              <w:rPr>
                <w:rFonts w:cs="宋体"/>
                <w:color w:val="000000" w:themeColor="text1"/>
              </w:rPr>
            </w:pPr>
            <w:r>
              <w:rPr>
                <w:rFonts w:cs="宋体"/>
                <w:color w:val="000000" w:themeColor="text1"/>
              </w:rPr>
              <w:t>昼间</w:t>
            </w:r>
          </w:p>
        </w:tc>
        <w:tc>
          <w:tcPr>
            <w:tcW w:w="920" w:type="dxa"/>
            <w:vAlign w:val="center"/>
          </w:tcPr>
          <w:p w:rsidR="00C861DA" w:rsidRDefault="0044752E">
            <w:pPr>
              <w:widowControl/>
              <w:jc w:val="center"/>
              <w:textAlignment w:val="center"/>
              <w:rPr>
                <w:rFonts w:ascii="Times New Roman" w:eastAsia="宋体" w:cs="宋体"/>
                <w:color w:val="000000" w:themeColor="text1"/>
              </w:rPr>
            </w:pPr>
            <w:r>
              <w:rPr>
                <w:rFonts w:ascii="Times New Roman" w:eastAsia="宋体"/>
                <w:color w:val="000000" w:themeColor="text1"/>
                <w:lang w:bidi="ar"/>
              </w:rPr>
              <w:t xml:space="preserve">53.9 </w:t>
            </w:r>
          </w:p>
        </w:tc>
        <w:tc>
          <w:tcPr>
            <w:tcW w:w="1345" w:type="dxa"/>
            <w:vAlign w:val="center"/>
          </w:tcPr>
          <w:p w:rsidR="00C861DA" w:rsidRDefault="0044752E">
            <w:pPr>
              <w:widowControl/>
              <w:jc w:val="center"/>
              <w:textAlignment w:val="center"/>
              <w:rPr>
                <w:rFonts w:ascii="Times New Roman" w:eastAsia="宋体"/>
                <w:color w:val="000000" w:themeColor="text1"/>
                <w:lang w:bidi="ar"/>
              </w:rPr>
            </w:pPr>
            <w:r>
              <w:rPr>
                <w:rFonts w:ascii="Times New Roman" w:eastAsia="宋体"/>
                <w:color w:val="000000" w:themeColor="text1"/>
                <w:lang w:bidi="ar"/>
              </w:rPr>
              <w:t xml:space="preserve">47.6 </w:t>
            </w:r>
          </w:p>
        </w:tc>
        <w:tc>
          <w:tcPr>
            <w:tcW w:w="1206" w:type="dxa"/>
            <w:vAlign w:val="center"/>
          </w:tcPr>
          <w:p w:rsidR="00C861DA" w:rsidRDefault="0044752E">
            <w:pPr>
              <w:widowControl/>
              <w:jc w:val="center"/>
              <w:textAlignment w:val="center"/>
              <w:rPr>
                <w:rFonts w:ascii="Times New Roman" w:eastAsia="宋体"/>
                <w:color w:val="000000" w:themeColor="text1"/>
                <w:lang w:bidi="ar"/>
              </w:rPr>
            </w:pPr>
            <w:r>
              <w:rPr>
                <w:rFonts w:ascii="Times New Roman" w:eastAsia="宋体"/>
                <w:color w:val="000000" w:themeColor="text1"/>
                <w:lang w:bidi="ar"/>
              </w:rPr>
              <w:t xml:space="preserve">54.8 </w:t>
            </w:r>
          </w:p>
        </w:tc>
        <w:tc>
          <w:tcPr>
            <w:tcW w:w="954" w:type="dxa"/>
            <w:vAlign w:val="center"/>
          </w:tcPr>
          <w:p w:rsidR="00C861DA" w:rsidRDefault="0044752E">
            <w:pPr>
              <w:pStyle w:val="TableParagraph"/>
              <w:jc w:val="center"/>
              <w:rPr>
                <w:rFonts w:cs="宋体"/>
                <w:color w:val="000000" w:themeColor="text1"/>
              </w:rPr>
            </w:pPr>
            <w:r>
              <w:rPr>
                <w:rFonts w:cs="宋体"/>
                <w:color w:val="000000" w:themeColor="text1"/>
              </w:rPr>
              <w:t>6</w:t>
            </w:r>
            <w:r>
              <w:rPr>
                <w:rFonts w:cs="宋体" w:hint="eastAsia"/>
                <w:color w:val="000000" w:themeColor="text1"/>
              </w:rPr>
              <w:t>5</w:t>
            </w:r>
          </w:p>
        </w:tc>
        <w:tc>
          <w:tcPr>
            <w:tcW w:w="1461" w:type="dxa"/>
            <w:vAlign w:val="center"/>
          </w:tcPr>
          <w:p w:rsidR="00C861DA" w:rsidRDefault="0044752E">
            <w:pPr>
              <w:pStyle w:val="TableParagraph"/>
              <w:jc w:val="center"/>
              <w:rPr>
                <w:rFonts w:cs="宋体"/>
                <w:color w:val="000000" w:themeColor="text1"/>
              </w:rPr>
            </w:pPr>
            <w:r>
              <w:rPr>
                <w:rFonts w:cs="宋体"/>
                <w:color w:val="000000" w:themeColor="text1"/>
              </w:rPr>
              <w:t>达标</w:t>
            </w:r>
          </w:p>
        </w:tc>
      </w:tr>
      <w:tr w:rsidR="00C861DA">
        <w:trPr>
          <w:trHeight w:val="397"/>
        </w:trPr>
        <w:tc>
          <w:tcPr>
            <w:tcW w:w="1524" w:type="dxa"/>
            <w:vMerge/>
            <w:vAlign w:val="center"/>
          </w:tcPr>
          <w:p w:rsidR="00C861DA" w:rsidRDefault="00C861DA">
            <w:pPr>
              <w:jc w:val="center"/>
              <w:rPr>
                <w:rFonts w:ascii="Times New Roman" w:eastAsia="宋体" w:cs="宋体"/>
                <w:color w:val="000000" w:themeColor="text1"/>
              </w:rPr>
            </w:pPr>
          </w:p>
        </w:tc>
        <w:tc>
          <w:tcPr>
            <w:tcW w:w="920" w:type="dxa"/>
            <w:vAlign w:val="center"/>
          </w:tcPr>
          <w:p w:rsidR="00C861DA" w:rsidRDefault="0044752E">
            <w:pPr>
              <w:pStyle w:val="TableParagraph"/>
              <w:jc w:val="center"/>
              <w:rPr>
                <w:rFonts w:cs="宋体"/>
                <w:color w:val="000000" w:themeColor="text1"/>
              </w:rPr>
            </w:pPr>
            <w:r>
              <w:rPr>
                <w:rFonts w:cs="宋体"/>
                <w:color w:val="000000" w:themeColor="text1"/>
              </w:rPr>
              <w:t>夜间</w:t>
            </w:r>
          </w:p>
        </w:tc>
        <w:tc>
          <w:tcPr>
            <w:tcW w:w="920" w:type="dxa"/>
            <w:vAlign w:val="center"/>
          </w:tcPr>
          <w:p w:rsidR="00C861DA" w:rsidRDefault="0044752E">
            <w:pPr>
              <w:widowControl/>
              <w:jc w:val="center"/>
              <w:textAlignment w:val="center"/>
              <w:rPr>
                <w:rFonts w:ascii="Times New Roman" w:eastAsia="宋体" w:cs="宋体"/>
                <w:color w:val="000000" w:themeColor="text1"/>
              </w:rPr>
            </w:pPr>
            <w:r>
              <w:rPr>
                <w:rFonts w:ascii="Times New Roman" w:eastAsia="宋体"/>
                <w:color w:val="000000" w:themeColor="text1"/>
                <w:lang w:bidi="ar"/>
              </w:rPr>
              <w:t xml:space="preserve">44.6 </w:t>
            </w:r>
          </w:p>
        </w:tc>
        <w:tc>
          <w:tcPr>
            <w:tcW w:w="1345" w:type="dxa"/>
            <w:vAlign w:val="center"/>
          </w:tcPr>
          <w:p w:rsidR="00C861DA" w:rsidRDefault="0044752E">
            <w:pPr>
              <w:widowControl/>
              <w:jc w:val="center"/>
              <w:textAlignment w:val="center"/>
              <w:rPr>
                <w:rFonts w:ascii="Times New Roman" w:eastAsia="宋体"/>
                <w:color w:val="000000" w:themeColor="text1"/>
                <w:lang w:bidi="ar"/>
              </w:rPr>
            </w:pPr>
            <w:r>
              <w:rPr>
                <w:rFonts w:ascii="Times New Roman" w:eastAsia="宋体"/>
                <w:color w:val="000000" w:themeColor="text1"/>
                <w:lang w:bidi="ar"/>
              </w:rPr>
              <w:t xml:space="preserve">47.6 </w:t>
            </w:r>
          </w:p>
        </w:tc>
        <w:tc>
          <w:tcPr>
            <w:tcW w:w="1206" w:type="dxa"/>
            <w:vAlign w:val="center"/>
          </w:tcPr>
          <w:p w:rsidR="00C861DA" w:rsidRDefault="0044752E">
            <w:pPr>
              <w:widowControl/>
              <w:jc w:val="center"/>
              <w:textAlignment w:val="center"/>
              <w:rPr>
                <w:rFonts w:ascii="Times New Roman" w:eastAsia="宋体"/>
                <w:color w:val="000000" w:themeColor="text1"/>
                <w:lang w:bidi="ar"/>
              </w:rPr>
            </w:pPr>
            <w:r>
              <w:rPr>
                <w:rFonts w:ascii="Times New Roman" w:eastAsia="宋体"/>
                <w:color w:val="000000" w:themeColor="text1"/>
                <w:lang w:bidi="ar"/>
              </w:rPr>
              <w:t xml:space="preserve">49.4 </w:t>
            </w:r>
          </w:p>
        </w:tc>
        <w:tc>
          <w:tcPr>
            <w:tcW w:w="954" w:type="dxa"/>
            <w:vAlign w:val="center"/>
          </w:tcPr>
          <w:p w:rsidR="00C861DA" w:rsidRDefault="0044752E">
            <w:pPr>
              <w:pStyle w:val="TableParagraph"/>
              <w:spacing w:before="33"/>
              <w:jc w:val="center"/>
              <w:rPr>
                <w:rFonts w:cs="宋体"/>
                <w:color w:val="000000" w:themeColor="text1"/>
              </w:rPr>
            </w:pPr>
            <w:r>
              <w:rPr>
                <w:rFonts w:cs="宋体" w:hint="eastAsia"/>
                <w:color w:val="000000" w:themeColor="text1"/>
              </w:rPr>
              <w:t>55</w:t>
            </w:r>
          </w:p>
        </w:tc>
        <w:tc>
          <w:tcPr>
            <w:tcW w:w="1461" w:type="dxa"/>
            <w:vAlign w:val="center"/>
          </w:tcPr>
          <w:p w:rsidR="00C861DA" w:rsidRDefault="0044752E">
            <w:pPr>
              <w:pStyle w:val="TableParagraph"/>
              <w:jc w:val="center"/>
              <w:rPr>
                <w:rFonts w:cs="宋体"/>
                <w:color w:val="000000" w:themeColor="text1"/>
              </w:rPr>
            </w:pPr>
            <w:r>
              <w:rPr>
                <w:rFonts w:cs="宋体"/>
                <w:color w:val="000000" w:themeColor="text1"/>
              </w:rPr>
              <w:t>达标</w:t>
            </w:r>
          </w:p>
        </w:tc>
      </w:tr>
      <w:tr w:rsidR="00C861DA">
        <w:trPr>
          <w:trHeight w:val="397"/>
        </w:trPr>
        <w:tc>
          <w:tcPr>
            <w:tcW w:w="1524" w:type="dxa"/>
            <w:vMerge w:val="restart"/>
            <w:vAlign w:val="center"/>
          </w:tcPr>
          <w:p w:rsidR="00C861DA" w:rsidRDefault="0044752E">
            <w:pPr>
              <w:pStyle w:val="TableParagraph"/>
              <w:jc w:val="center"/>
              <w:rPr>
                <w:rFonts w:cs="宋体"/>
                <w:color w:val="000000" w:themeColor="text1"/>
              </w:rPr>
            </w:pPr>
            <w:r>
              <w:rPr>
                <w:rFonts w:cs="宋体"/>
                <w:color w:val="000000" w:themeColor="text1"/>
              </w:rPr>
              <w:t>北厂界</w:t>
            </w:r>
          </w:p>
        </w:tc>
        <w:tc>
          <w:tcPr>
            <w:tcW w:w="920" w:type="dxa"/>
            <w:vAlign w:val="center"/>
          </w:tcPr>
          <w:p w:rsidR="00C861DA" w:rsidRDefault="0044752E">
            <w:pPr>
              <w:pStyle w:val="TableParagraph"/>
              <w:jc w:val="center"/>
              <w:rPr>
                <w:rFonts w:cs="宋体"/>
                <w:color w:val="000000" w:themeColor="text1"/>
              </w:rPr>
            </w:pPr>
            <w:r>
              <w:rPr>
                <w:rFonts w:cs="宋体"/>
                <w:color w:val="000000" w:themeColor="text1"/>
              </w:rPr>
              <w:t>昼间</w:t>
            </w:r>
          </w:p>
        </w:tc>
        <w:tc>
          <w:tcPr>
            <w:tcW w:w="920" w:type="dxa"/>
            <w:vAlign w:val="center"/>
          </w:tcPr>
          <w:p w:rsidR="00C861DA" w:rsidRDefault="0044752E">
            <w:pPr>
              <w:widowControl/>
              <w:jc w:val="center"/>
              <w:textAlignment w:val="center"/>
              <w:rPr>
                <w:rFonts w:ascii="Times New Roman" w:eastAsia="宋体" w:cs="宋体"/>
                <w:color w:val="000000" w:themeColor="text1"/>
              </w:rPr>
            </w:pPr>
            <w:r>
              <w:rPr>
                <w:rFonts w:ascii="Times New Roman" w:eastAsia="宋体"/>
                <w:color w:val="000000" w:themeColor="text1"/>
                <w:lang w:bidi="ar"/>
              </w:rPr>
              <w:t xml:space="preserve">52.3 </w:t>
            </w:r>
          </w:p>
        </w:tc>
        <w:tc>
          <w:tcPr>
            <w:tcW w:w="1345" w:type="dxa"/>
            <w:vAlign w:val="center"/>
          </w:tcPr>
          <w:p w:rsidR="00C861DA" w:rsidRDefault="0044752E">
            <w:pPr>
              <w:widowControl/>
              <w:jc w:val="center"/>
              <w:textAlignment w:val="center"/>
              <w:rPr>
                <w:rFonts w:ascii="Times New Roman" w:eastAsia="宋体"/>
                <w:color w:val="000000" w:themeColor="text1"/>
                <w:lang w:bidi="ar"/>
              </w:rPr>
            </w:pPr>
            <w:r>
              <w:rPr>
                <w:rFonts w:ascii="Times New Roman" w:eastAsia="宋体"/>
                <w:color w:val="000000" w:themeColor="text1"/>
                <w:lang w:bidi="ar"/>
              </w:rPr>
              <w:t xml:space="preserve">51.4 </w:t>
            </w:r>
          </w:p>
        </w:tc>
        <w:tc>
          <w:tcPr>
            <w:tcW w:w="1206" w:type="dxa"/>
            <w:vAlign w:val="center"/>
          </w:tcPr>
          <w:p w:rsidR="00C861DA" w:rsidRDefault="0044752E">
            <w:pPr>
              <w:widowControl/>
              <w:jc w:val="center"/>
              <w:textAlignment w:val="center"/>
              <w:rPr>
                <w:rFonts w:ascii="Times New Roman" w:eastAsia="宋体"/>
                <w:color w:val="000000" w:themeColor="text1"/>
                <w:lang w:bidi="ar"/>
              </w:rPr>
            </w:pPr>
            <w:r>
              <w:rPr>
                <w:rFonts w:ascii="Times New Roman" w:eastAsia="宋体"/>
                <w:color w:val="000000" w:themeColor="text1"/>
                <w:lang w:bidi="ar"/>
              </w:rPr>
              <w:t xml:space="preserve">54.9 </w:t>
            </w:r>
          </w:p>
        </w:tc>
        <w:tc>
          <w:tcPr>
            <w:tcW w:w="954" w:type="dxa"/>
            <w:vAlign w:val="center"/>
          </w:tcPr>
          <w:p w:rsidR="00C861DA" w:rsidRDefault="0044752E">
            <w:pPr>
              <w:pStyle w:val="TableParagraph"/>
              <w:jc w:val="center"/>
              <w:rPr>
                <w:rFonts w:cs="宋体"/>
                <w:color w:val="000000" w:themeColor="text1"/>
              </w:rPr>
            </w:pPr>
            <w:r>
              <w:rPr>
                <w:rFonts w:cs="宋体"/>
                <w:color w:val="000000" w:themeColor="text1"/>
              </w:rPr>
              <w:t>6</w:t>
            </w:r>
            <w:r>
              <w:rPr>
                <w:rFonts w:cs="宋体" w:hint="eastAsia"/>
                <w:color w:val="000000" w:themeColor="text1"/>
              </w:rPr>
              <w:t>5</w:t>
            </w:r>
          </w:p>
        </w:tc>
        <w:tc>
          <w:tcPr>
            <w:tcW w:w="1461" w:type="dxa"/>
            <w:vAlign w:val="center"/>
          </w:tcPr>
          <w:p w:rsidR="00C861DA" w:rsidRDefault="0044752E">
            <w:pPr>
              <w:pStyle w:val="TableParagraph"/>
              <w:jc w:val="center"/>
              <w:rPr>
                <w:rFonts w:cs="宋体"/>
                <w:color w:val="000000" w:themeColor="text1"/>
              </w:rPr>
            </w:pPr>
            <w:r>
              <w:rPr>
                <w:rFonts w:cs="宋体"/>
                <w:color w:val="000000" w:themeColor="text1"/>
              </w:rPr>
              <w:t>达标</w:t>
            </w:r>
          </w:p>
        </w:tc>
      </w:tr>
      <w:tr w:rsidR="00C861DA">
        <w:trPr>
          <w:trHeight w:val="397"/>
        </w:trPr>
        <w:tc>
          <w:tcPr>
            <w:tcW w:w="1524" w:type="dxa"/>
            <w:vMerge/>
            <w:vAlign w:val="center"/>
          </w:tcPr>
          <w:p w:rsidR="00C861DA" w:rsidRDefault="00C861DA">
            <w:pPr>
              <w:jc w:val="center"/>
              <w:rPr>
                <w:rFonts w:ascii="Times New Roman" w:eastAsia="宋体" w:cs="宋体"/>
                <w:color w:val="000000" w:themeColor="text1"/>
              </w:rPr>
            </w:pPr>
          </w:p>
        </w:tc>
        <w:tc>
          <w:tcPr>
            <w:tcW w:w="920" w:type="dxa"/>
            <w:vAlign w:val="center"/>
          </w:tcPr>
          <w:p w:rsidR="00C861DA" w:rsidRDefault="0044752E">
            <w:pPr>
              <w:pStyle w:val="TableParagraph"/>
              <w:jc w:val="center"/>
              <w:rPr>
                <w:rFonts w:cs="宋体"/>
                <w:color w:val="000000" w:themeColor="text1"/>
              </w:rPr>
            </w:pPr>
            <w:r>
              <w:rPr>
                <w:rFonts w:cs="宋体"/>
                <w:color w:val="000000" w:themeColor="text1"/>
              </w:rPr>
              <w:t>夜间</w:t>
            </w:r>
          </w:p>
        </w:tc>
        <w:tc>
          <w:tcPr>
            <w:tcW w:w="920" w:type="dxa"/>
            <w:vAlign w:val="center"/>
          </w:tcPr>
          <w:p w:rsidR="00C861DA" w:rsidRDefault="0044752E">
            <w:pPr>
              <w:widowControl/>
              <w:jc w:val="center"/>
              <w:textAlignment w:val="center"/>
              <w:rPr>
                <w:rFonts w:ascii="Times New Roman" w:eastAsia="宋体" w:cs="宋体"/>
                <w:color w:val="000000" w:themeColor="text1"/>
              </w:rPr>
            </w:pPr>
            <w:r>
              <w:rPr>
                <w:rFonts w:ascii="Times New Roman" w:eastAsia="宋体"/>
                <w:color w:val="000000" w:themeColor="text1"/>
                <w:lang w:bidi="ar"/>
              </w:rPr>
              <w:t xml:space="preserve">43.8 </w:t>
            </w:r>
          </w:p>
        </w:tc>
        <w:tc>
          <w:tcPr>
            <w:tcW w:w="1345" w:type="dxa"/>
            <w:vAlign w:val="center"/>
          </w:tcPr>
          <w:p w:rsidR="00C861DA" w:rsidRDefault="0044752E">
            <w:pPr>
              <w:widowControl/>
              <w:jc w:val="center"/>
              <w:textAlignment w:val="center"/>
              <w:rPr>
                <w:rFonts w:ascii="Times New Roman" w:eastAsia="宋体"/>
                <w:color w:val="000000" w:themeColor="text1"/>
                <w:lang w:bidi="ar"/>
              </w:rPr>
            </w:pPr>
            <w:r>
              <w:rPr>
                <w:rFonts w:ascii="Times New Roman" w:eastAsia="宋体"/>
                <w:color w:val="000000" w:themeColor="text1"/>
                <w:lang w:bidi="ar"/>
              </w:rPr>
              <w:t xml:space="preserve">51.4 </w:t>
            </w:r>
          </w:p>
        </w:tc>
        <w:tc>
          <w:tcPr>
            <w:tcW w:w="1206" w:type="dxa"/>
            <w:vAlign w:val="center"/>
          </w:tcPr>
          <w:p w:rsidR="00C861DA" w:rsidRDefault="0044752E">
            <w:pPr>
              <w:widowControl/>
              <w:jc w:val="center"/>
              <w:textAlignment w:val="center"/>
              <w:rPr>
                <w:rFonts w:ascii="Times New Roman" w:eastAsia="宋体"/>
                <w:color w:val="000000" w:themeColor="text1"/>
                <w:lang w:bidi="ar"/>
              </w:rPr>
            </w:pPr>
            <w:r>
              <w:rPr>
                <w:rFonts w:ascii="Times New Roman" w:eastAsia="宋体"/>
                <w:color w:val="000000" w:themeColor="text1"/>
                <w:lang w:bidi="ar"/>
              </w:rPr>
              <w:t xml:space="preserve">52.1 </w:t>
            </w:r>
          </w:p>
        </w:tc>
        <w:tc>
          <w:tcPr>
            <w:tcW w:w="954" w:type="dxa"/>
            <w:vAlign w:val="center"/>
          </w:tcPr>
          <w:p w:rsidR="00C861DA" w:rsidRDefault="0044752E">
            <w:pPr>
              <w:pStyle w:val="TableParagraph"/>
              <w:spacing w:before="33"/>
              <w:jc w:val="center"/>
              <w:rPr>
                <w:rFonts w:cs="宋体"/>
                <w:color w:val="000000" w:themeColor="text1"/>
              </w:rPr>
            </w:pPr>
            <w:r>
              <w:rPr>
                <w:rFonts w:cs="宋体" w:hint="eastAsia"/>
                <w:color w:val="000000" w:themeColor="text1"/>
              </w:rPr>
              <w:t>55</w:t>
            </w:r>
          </w:p>
        </w:tc>
        <w:tc>
          <w:tcPr>
            <w:tcW w:w="1461" w:type="dxa"/>
            <w:vAlign w:val="center"/>
          </w:tcPr>
          <w:p w:rsidR="00C861DA" w:rsidRDefault="0044752E">
            <w:pPr>
              <w:pStyle w:val="TableParagraph"/>
              <w:jc w:val="center"/>
              <w:rPr>
                <w:rFonts w:cs="宋体"/>
                <w:color w:val="000000" w:themeColor="text1"/>
              </w:rPr>
            </w:pPr>
            <w:r>
              <w:rPr>
                <w:rFonts w:cs="宋体"/>
                <w:color w:val="000000" w:themeColor="text1"/>
              </w:rPr>
              <w:t>达标</w:t>
            </w:r>
          </w:p>
        </w:tc>
      </w:tr>
    </w:tbl>
    <w:p w:rsidR="00C861DA" w:rsidRDefault="0044752E">
      <w:pPr>
        <w:pStyle w:val="af4"/>
        <w:spacing w:beforeLines="100" w:before="312"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根据以上预测结果可知，项目东、南、西、北面厂界昼、夜噪声贡献值均可达《工业企业厂界环境噪声排放标准》（</w:t>
      </w:r>
      <w:r>
        <w:rPr>
          <w:rFonts w:ascii="Times New Roman" w:eastAsia="宋体" w:hAnsi="Times New Roman" w:cs="Times New Roman"/>
          <w:color w:val="000000" w:themeColor="text1"/>
          <w:sz w:val="24"/>
          <w:szCs w:val="24"/>
        </w:rPr>
        <w:t>GB12348-2008</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类标准，在采取降噪措施后，项目厂界噪声预测值可以达到区域环境功能区划的噪声要求。</w:t>
      </w:r>
    </w:p>
    <w:p w:rsidR="00C861DA" w:rsidRDefault="0044752E">
      <w:pPr>
        <w:pStyle w:val="af4"/>
        <w:spacing w:before="48"/>
        <w:ind w:left="635"/>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项目噪声对敏感目标的噪声贡献值见表</w:t>
      </w:r>
      <w:r>
        <w:rPr>
          <w:rFonts w:ascii="Times New Roman" w:eastAsia="宋体" w:hAnsi="Times New Roman" w:cs="Times New Roman"/>
          <w:color w:val="000000" w:themeColor="text1"/>
          <w:sz w:val="24"/>
          <w:szCs w:val="24"/>
        </w:rPr>
        <w:t>7.3-4</w:t>
      </w:r>
      <w:r>
        <w:rPr>
          <w:rFonts w:ascii="Times New Roman" w:eastAsia="宋体" w:hAnsi="Times New Roman" w:cs="Times New Roman"/>
          <w:color w:val="000000" w:themeColor="text1"/>
          <w:sz w:val="24"/>
          <w:szCs w:val="24"/>
        </w:rPr>
        <w:t>。</w:t>
      </w:r>
    </w:p>
    <w:p w:rsidR="00C861DA" w:rsidRDefault="0044752E">
      <w:pPr>
        <w:tabs>
          <w:tab w:val="left" w:pos="2421"/>
          <w:tab w:val="left" w:pos="6515"/>
        </w:tabs>
        <w:spacing w:before="137"/>
        <w:jc w:val="center"/>
        <w:rPr>
          <w:rFonts w:ascii="Times New Roman" w:eastAsia="宋体"/>
          <w:color w:val="000000" w:themeColor="text1"/>
          <w:sz w:val="24"/>
          <w:szCs w:val="24"/>
        </w:rPr>
      </w:pPr>
      <w:r>
        <w:rPr>
          <w:rFonts w:ascii="Times New Roman" w:eastAsia="宋体" w:cs="宋体"/>
          <w:b/>
          <w:bCs/>
          <w:color w:val="000000" w:themeColor="text1"/>
          <w:sz w:val="24"/>
          <w:szCs w:val="24"/>
        </w:rPr>
        <w:t>表</w:t>
      </w:r>
      <w:r>
        <w:rPr>
          <w:rFonts w:ascii="Times New Roman" w:eastAsia="宋体" w:hint="eastAsia"/>
          <w:b/>
          <w:bCs/>
          <w:color w:val="000000" w:themeColor="text1"/>
          <w:sz w:val="24"/>
          <w:szCs w:val="24"/>
        </w:rPr>
        <w:t>7</w:t>
      </w:r>
      <w:r>
        <w:rPr>
          <w:rFonts w:ascii="Times New Roman" w:eastAsia="宋体"/>
          <w:b/>
          <w:bCs/>
          <w:color w:val="000000" w:themeColor="text1"/>
          <w:sz w:val="24"/>
          <w:szCs w:val="24"/>
        </w:rPr>
        <w:t>.3-</w:t>
      </w:r>
      <w:r>
        <w:rPr>
          <w:rFonts w:ascii="Times New Roman" w:eastAsia="宋体" w:hint="eastAsia"/>
          <w:b/>
          <w:bCs/>
          <w:color w:val="000000" w:themeColor="text1"/>
          <w:sz w:val="24"/>
          <w:szCs w:val="24"/>
        </w:rPr>
        <w:t xml:space="preserve">4  </w:t>
      </w:r>
      <w:r>
        <w:rPr>
          <w:rFonts w:ascii="Times New Roman" w:eastAsia="宋体" w:cs="宋体"/>
          <w:b/>
          <w:bCs/>
          <w:color w:val="000000" w:themeColor="text1"/>
          <w:sz w:val="24"/>
          <w:szCs w:val="24"/>
        </w:rPr>
        <w:t>项目噪声对敏感目标的噪声贡献值</w:t>
      </w:r>
      <w:r>
        <w:rPr>
          <w:rFonts w:ascii="Times New Roman" w:eastAsia="宋体" w:cs="宋体" w:hint="eastAsia"/>
          <w:b/>
          <w:bCs/>
          <w:color w:val="000000" w:themeColor="text1"/>
          <w:sz w:val="24"/>
          <w:szCs w:val="24"/>
        </w:rPr>
        <w:t xml:space="preserve">  </w:t>
      </w:r>
      <w:r>
        <w:rPr>
          <w:rFonts w:ascii="Times New Roman" w:eastAsia="宋体" w:cs="宋体"/>
          <w:b/>
          <w:bCs/>
          <w:color w:val="000000" w:themeColor="text1"/>
          <w:sz w:val="24"/>
          <w:szCs w:val="24"/>
        </w:rPr>
        <w:t>单位：</w:t>
      </w:r>
      <w:r>
        <w:rPr>
          <w:rFonts w:ascii="Times New Roman" w:eastAsia="宋体"/>
          <w:b/>
          <w:bCs/>
          <w:color w:val="000000" w:themeColor="text1"/>
          <w:sz w:val="24"/>
          <w:szCs w:val="24"/>
        </w:rPr>
        <w:t>dB</w:t>
      </w:r>
      <w:r>
        <w:rPr>
          <w:rFonts w:ascii="Times New Roman" w:eastAsia="宋体" w:hint="eastAsia"/>
          <w:b/>
          <w:bCs/>
          <w:color w:val="000000" w:themeColor="text1"/>
          <w:sz w:val="24"/>
          <w:szCs w:val="24"/>
        </w:rPr>
        <w:t>（</w:t>
      </w:r>
      <w:r>
        <w:rPr>
          <w:rFonts w:ascii="Times New Roman" w:eastAsia="宋体"/>
          <w:b/>
          <w:bCs/>
          <w:color w:val="000000" w:themeColor="text1"/>
          <w:sz w:val="24"/>
          <w:szCs w:val="24"/>
        </w:rPr>
        <w:t>A</w:t>
      </w:r>
      <w:r>
        <w:rPr>
          <w:rFonts w:ascii="Times New Roman" w:eastAsia="宋体" w:hint="eastAsia"/>
          <w:b/>
          <w:bCs/>
          <w:color w:val="000000" w:themeColor="text1"/>
          <w:sz w:val="24"/>
          <w:szCs w:val="24"/>
        </w:rPr>
        <w:t>）</w:t>
      </w:r>
    </w:p>
    <w:p w:rsidR="00C861DA" w:rsidRDefault="00C861DA">
      <w:pPr>
        <w:spacing w:before="16" w:line="80" w:lineRule="exact"/>
        <w:rPr>
          <w:rFonts w:ascii="Times New Roman" w:eastAsia="宋体"/>
          <w:color w:val="000000" w:themeColor="text1"/>
          <w:sz w:val="8"/>
          <w:szCs w:val="8"/>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31"/>
        <w:gridCol w:w="1883"/>
        <w:gridCol w:w="992"/>
        <w:gridCol w:w="850"/>
        <w:gridCol w:w="874"/>
        <w:gridCol w:w="759"/>
        <w:gridCol w:w="759"/>
        <w:gridCol w:w="982"/>
      </w:tblGrid>
      <w:tr w:rsidR="00C861DA">
        <w:trPr>
          <w:trHeight w:val="454"/>
        </w:trPr>
        <w:tc>
          <w:tcPr>
            <w:tcW w:w="1231" w:type="dxa"/>
            <w:vAlign w:val="center"/>
          </w:tcPr>
          <w:p w:rsidR="00C861DA" w:rsidRDefault="0044752E">
            <w:pPr>
              <w:pStyle w:val="TableParagraph"/>
              <w:jc w:val="center"/>
              <w:rPr>
                <w:rFonts w:cs="宋体"/>
                <w:b/>
                <w:bCs/>
                <w:color w:val="000000" w:themeColor="text1"/>
              </w:rPr>
            </w:pPr>
            <w:r>
              <w:rPr>
                <w:rFonts w:cs="宋体"/>
                <w:b/>
                <w:bCs/>
                <w:color w:val="000000" w:themeColor="text1"/>
              </w:rPr>
              <w:t>环境敏感点</w:t>
            </w:r>
          </w:p>
        </w:tc>
        <w:tc>
          <w:tcPr>
            <w:tcW w:w="1883" w:type="dxa"/>
            <w:vAlign w:val="center"/>
          </w:tcPr>
          <w:p w:rsidR="00C861DA" w:rsidRDefault="0044752E">
            <w:pPr>
              <w:pStyle w:val="TableParagraph"/>
              <w:jc w:val="center"/>
              <w:rPr>
                <w:rFonts w:cs="宋体"/>
                <w:b/>
                <w:bCs/>
                <w:color w:val="000000" w:themeColor="text1"/>
              </w:rPr>
            </w:pPr>
            <w:r>
              <w:rPr>
                <w:rFonts w:cs="宋体"/>
                <w:b/>
                <w:bCs/>
                <w:color w:val="000000" w:themeColor="text1"/>
              </w:rPr>
              <w:t>厂界与敏感点</w:t>
            </w:r>
          </w:p>
          <w:p w:rsidR="00C861DA" w:rsidRDefault="0044752E">
            <w:pPr>
              <w:pStyle w:val="TableParagraph"/>
              <w:jc w:val="center"/>
              <w:rPr>
                <w:rFonts w:cs="宋体"/>
                <w:b/>
                <w:bCs/>
                <w:color w:val="000000" w:themeColor="text1"/>
              </w:rPr>
            </w:pPr>
            <w:r>
              <w:rPr>
                <w:rFonts w:cs="宋体"/>
                <w:b/>
                <w:bCs/>
                <w:color w:val="000000" w:themeColor="text1"/>
              </w:rPr>
              <w:t>的距离及方位</w:t>
            </w:r>
          </w:p>
        </w:tc>
        <w:tc>
          <w:tcPr>
            <w:tcW w:w="1842" w:type="dxa"/>
            <w:gridSpan w:val="2"/>
            <w:vAlign w:val="center"/>
          </w:tcPr>
          <w:p w:rsidR="00C861DA" w:rsidRDefault="0044752E">
            <w:pPr>
              <w:pStyle w:val="TableParagraph"/>
              <w:jc w:val="center"/>
              <w:rPr>
                <w:rFonts w:cs="宋体"/>
                <w:b/>
                <w:bCs/>
                <w:color w:val="000000" w:themeColor="text1"/>
              </w:rPr>
            </w:pPr>
            <w:r>
              <w:rPr>
                <w:rFonts w:cs="宋体"/>
                <w:b/>
                <w:bCs/>
                <w:color w:val="000000" w:themeColor="text1"/>
              </w:rPr>
              <w:t>现状本底值</w:t>
            </w:r>
          </w:p>
        </w:tc>
        <w:tc>
          <w:tcPr>
            <w:tcW w:w="874" w:type="dxa"/>
            <w:vAlign w:val="center"/>
          </w:tcPr>
          <w:p w:rsidR="00C861DA" w:rsidRDefault="0044752E">
            <w:pPr>
              <w:pStyle w:val="TableParagraph"/>
              <w:jc w:val="center"/>
              <w:rPr>
                <w:rFonts w:cs="宋体"/>
                <w:b/>
                <w:bCs/>
                <w:color w:val="000000" w:themeColor="text1"/>
              </w:rPr>
            </w:pPr>
            <w:r>
              <w:rPr>
                <w:rFonts w:cs="宋体"/>
                <w:b/>
                <w:bCs/>
                <w:color w:val="000000" w:themeColor="text1"/>
              </w:rPr>
              <w:t>贡献值</w:t>
            </w:r>
          </w:p>
        </w:tc>
        <w:tc>
          <w:tcPr>
            <w:tcW w:w="759" w:type="dxa"/>
            <w:vAlign w:val="center"/>
          </w:tcPr>
          <w:p w:rsidR="00C861DA" w:rsidRDefault="0044752E">
            <w:pPr>
              <w:pStyle w:val="TableParagraph"/>
              <w:jc w:val="center"/>
              <w:rPr>
                <w:rFonts w:cs="宋体"/>
                <w:b/>
                <w:bCs/>
                <w:color w:val="000000" w:themeColor="text1"/>
              </w:rPr>
            </w:pPr>
            <w:r>
              <w:rPr>
                <w:rFonts w:cs="宋体"/>
                <w:b/>
                <w:bCs/>
                <w:color w:val="000000" w:themeColor="text1"/>
              </w:rPr>
              <w:t>预测值</w:t>
            </w:r>
          </w:p>
        </w:tc>
        <w:tc>
          <w:tcPr>
            <w:tcW w:w="759" w:type="dxa"/>
            <w:vAlign w:val="center"/>
          </w:tcPr>
          <w:p w:rsidR="00C861DA" w:rsidRDefault="0044752E">
            <w:pPr>
              <w:pStyle w:val="TableParagraph"/>
              <w:jc w:val="center"/>
              <w:rPr>
                <w:rFonts w:cs="宋体"/>
                <w:b/>
                <w:bCs/>
                <w:color w:val="000000" w:themeColor="text1"/>
              </w:rPr>
            </w:pPr>
            <w:r>
              <w:rPr>
                <w:rFonts w:cs="宋体"/>
                <w:b/>
                <w:bCs/>
                <w:color w:val="000000" w:themeColor="text1"/>
              </w:rPr>
              <w:t>标准</w:t>
            </w:r>
          </w:p>
        </w:tc>
        <w:tc>
          <w:tcPr>
            <w:tcW w:w="982" w:type="dxa"/>
            <w:vAlign w:val="center"/>
          </w:tcPr>
          <w:p w:rsidR="00C861DA" w:rsidRDefault="0044752E">
            <w:pPr>
              <w:pStyle w:val="TableParagraph"/>
              <w:jc w:val="center"/>
              <w:rPr>
                <w:rFonts w:cs="宋体"/>
                <w:b/>
                <w:bCs/>
                <w:color w:val="000000" w:themeColor="text1"/>
              </w:rPr>
            </w:pPr>
            <w:r>
              <w:rPr>
                <w:rFonts w:cs="宋体"/>
                <w:b/>
                <w:bCs/>
                <w:color w:val="000000" w:themeColor="text1"/>
              </w:rPr>
              <w:t>是否达标</w:t>
            </w:r>
          </w:p>
        </w:tc>
      </w:tr>
      <w:tr w:rsidR="00C861DA">
        <w:trPr>
          <w:trHeight w:val="454"/>
        </w:trPr>
        <w:tc>
          <w:tcPr>
            <w:tcW w:w="1231" w:type="dxa"/>
            <w:vMerge w:val="restart"/>
            <w:vAlign w:val="center"/>
          </w:tcPr>
          <w:p w:rsidR="00C861DA" w:rsidRDefault="0044752E">
            <w:pPr>
              <w:pStyle w:val="TableParagraph"/>
              <w:jc w:val="center"/>
              <w:rPr>
                <w:rFonts w:cs="宋体"/>
                <w:color w:val="000000" w:themeColor="text1"/>
              </w:rPr>
            </w:pPr>
            <w:r>
              <w:rPr>
                <w:rFonts w:cs="宋体" w:hint="eastAsia"/>
                <w:color w:val="000000" w:themeColor="text1"/>
              </w:rPr>
              <w:t>大哨</w:t>
            </w:r>
          </w:p>
        </w:tc>
        <w:tc>
          <w:tcPr>
            <w:tcW w:w="1883" w:type="dxa"/>
            <w:vMerge w:val="restart"/>
            <w:vAlign w:val="center"/>
          </w:tcPr>
          <w:p w:rsidR="00C861DA" w:rsidRDefault="0044752E">
            <w:pPr>
              <w:pStyle w:val="TableParagraph"/>
              <w:jc w:val="center"/>
              <w:rPr>
                <w:rFonts w:cs="宋体"/>
                <w:color w:val="000000" w:themeColor="text1"/>
              </w:rPr>
            </w:pPr>
            <w:r>
              <w:rPr>
                <w:rFonts w:cs="宋体" w:hint="eastAsia"/>
                <w:color w:val="000000" w:themeColor="text1"/>
              </w:rPr>
              <w:t>南厂</w:t>
            </w:r>
            <w:r>
              <w:rPr>
                <w:rFonts w:cs="宋体"/>
                <w:color w:val="000000" w:themeColor="text1"/>
              </w:rPr>
              <w:t>面</w:t>
            </w:r>
            <w:r>
              <w:rPr>
                <w:rFonts w:cs="宋体"/>
                <w:color w:val="000000" w:themeColor="text1"/>
              </w:rPr>
              <w:t>1100m</w:t>
            </w:r>
          </w:p>
        </w:tc>
        <w:tc>
          <w:tcPr>
            <w:tcW w:w="992" w:type="dxa"/>
            <w:vAlign w:val="center"/>
          </w:tcPr>
          <w:p w:rsidR="00C861DA" w:rsidRDefault="0044752E">
            <w:pPr>
              <w:pStyle w:val="TableParagraph"/>
              <w:jc w:val="center"/>
              <w:rPr>
                <w:rFonts w:cs="宋体"/>
                <w:color w:val="000000" w:themeColor="text1"/>
              </w:rPr>
            </w:pPr>
            <w:r>
              <w:rPr>
                <w:rFonts w:cs="宋体"/>
                <w:color w:val="000000" w:themeColor="text1"/>
              </w:rPr>
              <w:t>昼间</w:t>
            </w:r>
          </w:p>
        </w:tc>
        <w:tc>
          <w:tcPr>
            <w:tcW w:w="850" w:type="dxa"/>
            <w:vAlign w:val="center"/>
          </w:tcPr>
          <w:p w:rsidR="00C861DA" w:rsidRDefault="0044752E">
            <w:pPr>
              <w:pStyle w:val="TableParagraph"/>
              <w:jc w:val="center"/>
              <w:rPr>
                <w:rFonts w:cs="宋体"/>
                <w:color w:val="000000" w:themeColor="text1"/>
              </w:rPr>
            </w:pPr>
            <w:r>
              <w:rPr>
                <w:rFonts w:cs="宋体"/>
                <w:color w:val="000000" w:themeColor="text1"/>
              </w:rPr>
              <w:t xml:space="preserve">53.9 </w:t>
            </w:r>
          </w:p>
        </w:tc>
        <w:tc>
          <w:tcPr>
            <w:tcW w:w="874" w:type="dxa"/>
            <w:vAlign w:val="center"/>
          </w:tcPr>
          <w:p w:rsidR="00C861DA" w:rsidRDefault="0044752E">
            <w:pPr>
              <w:pStyle w:val="TableParagraph"/>
              <w:jc w:val="center"/>
              <w:rPr>
                <w:rFonts w:cs="宋体"/>
                <w:color w:val="000000" w:themeColor="text1"/>
              </w:rPr>
            </w:pPr>
            <w:r>
              <w:rPr>
                <w:rFonts w:cs="宋体"/>
                <w:color w:val="000000" w:themeColor="text1"/>
              </w:rPr>
              <w:t xml:space="preserve">35.3 </w:t>
            </w:r>
          </w:p>
        </w:tc>
        <w:tc>
          <w:tcPr>
            <w:tcW w:w="759" w:type="dxa"/>
            <w:vAlign w:val="center"/>
          </w:tcPr>
          <w:p w:rsidR="00C861DA" w:rsidRDefault="0044752E">
            <w:pPr>
              <w:pStyle w:val="TableParagraph"/>
              <w:jc w:val="center"/>
              <w:rPr>
                <w:rFonts w:cs="宋体"/>
                <w:color w:val="000000" w:themeColor="text1"/>
              </w:rPr>
            </w:pPr>
            <w:r>
              <w:rPr>
                <w:rFonts w:cs="宋体"/>
                <w:color w:val="000000" w:themeColor="text1"/>
              </w:rPr>
              <w:t xml:space="preserve">54.0 </w:t>
            </w:r>
          </w:p>
        </w:tc>
        <w:tc>
          <w:tcPr>
            <w:tcW w:w="759" w:type="dxa"/>
            <w:vAlign w:val="center"/>
          </w:tcPr>
          <w:p w:rsidR="00C861DA" w:rsidRDefault="0044752E">
            <w:pPr>
              <w:pStyle w:val="TableParagraph"/>
              <w:jc w:val="center"/>
              <w:rPr>
                <w:rFonts w:cs="宋体"/>
                <w:color w:val="000000" w:themeColor="text1"/>
              </w:rPr>
            </w:pPr>
            <w:r>
              <w:rPr>
                <w:rFonts w:cs="宋体"/>
                <w:color w:val="000000" w:themeColor="text1"/>
              </w:rPr>
              <w:t>60</w:t>
            </w:r>
          </w:p>
        </w:tc>
        <w:tc>
          <w:tcPr>
            <w:tcW w:w="982" w:type="dxa"/>
            <w:vAlign w:val="center"/>
          </w:tcPr>
          <w:p w:rsidR="00C861DA" w:rsidRDefault="0044752E">
            <w:pPr>
              <w:pStyle w:val="TableParagraph"/>
              <w:jc w:val="center"/>
              <w:rPr>
                <w:rFonts w:cs="宋体"/>
                <w:color w:val="000000" w:themeColor="text1"/>
              </w:rPr>
            </w:pPr>
            <w:r>
              <w:rPr>
                <w:rFonts w:cs="宋体"/>
                <w:color w:val="000000" w:themeColor="text1"/>
              </w:rPr>
              <w:t>达标</w:t>
            </w:r>
          </w:p>
        </w:tc>
      </w:tr>
      <w:tr w:rsidR="00C861DA">
        <w:trPr>
          <w:trHeight w:val="454"/>
        </w:trPr>
        <w:tc>
          <w:tcPr>
            <w:tcW w:w="1231" w:type="dxa"/>
            <w:vMerge/>
            <w:vAlign w:val="center"/>
          </w:tcPr>
          <w:p w:rsidR="00C861DA" w:rsidRDefault="00C861DA">
            <w:pPr>
              <w:jc w:val="center"/>
              <w:rPr>
                <w:rFonts w:ascii="Times New Roman" w:eastAsia="宋体" w:cs="宋体"/>
                <w:color w:val="000000" w:themeColor="text1"/>
              </w:rPr>
            </w:pPr>
          </w:p>
        </w:tc>
        <w:tc>
          <w:tcPr>
            <w:tcW w:w="1883" w:type="dxa"/>
            <w:vMerge/>
            <w:vAlign w:val="center"/>
          </w:tcPr>
          <w:p w:rsidR="00C861DA" w:rsidRDefault="00C861DA">
            <w:pPr>
              <w:jc w:val="center"/>
              <w:rPr>
                <w:rFonts w:ascii="Times New Roman" w:eastAsia="宋体" w:cs="宋体"/>
                <w:color w:val="000000" w:themeColor="text1"/>
              </w:rPr>
            </w:pPr>
          </w:p>
        </w:tc>
        <w:tc>
          <w:tcPr>
            <w:tcW w:w="992" w:type="dxa"/>
            <w:vAlign w:val="center"/>
          </w:tcPr>
          <w:p w:rsidR="00C861DA" w:rsidRDefault="0044752E">
            <w:pPr>
              <w:pStyle w:val="TableParagraph"/>
              <w:jc w:val="center"/>
              <w:rPr>
                <w:rFonts w:cs="宋体"/>
                <w:color w:val="000000" w:themeColor="text1"/>
              </w:rPr>
            </w:pPr>
            <w:r>
              <w:rPr>
                <w:rFonts w:cs="宋体"/>
                <w:color w:val="000000" w:themeColor="text1"/>
              </w:rPr>
              <w:t>夜间</w:t>
            </w:r>
          </w:p>
        </w:tc>
        <w:tc>
          <w:tcPr>
            <w:tcW w:w="850" w:type="dxa"/>
            <w:vAlign w:val="center"/>
          </w:tcPr>
          <w:p w:rsidR="00C861DA" w:rsidRDefault="0044752E">
            <w:pPr>
              <w:pStyle w:val="TableParagraph"/>
              <w:jc w:val="center"/>
              <w:rPr>
                <w:rFonts w:cs="宋体"/>
                <w:color w:val="000000" w:themeColor="text1"/>
              </w:rPr>
            </w:pPr>
            <w:r>
              <w:rPr>
                <w:rFonts w:cs="宋体"/>
                <w:color w:val="000000" w:themeColor="text1"/>
              </w:rPr>
              <w:t xml:space="preserve">43.5 </w:t>
            </w:r>
          </w:p>
        </w:tc>
        <w:tc>
          <w:tcPr>
            <w:tcW w:w="874" w:type="dxa"/>
            <w:vAlign w:val="center"/>
          </w:tcPr>
          <w:p w:rsidR="00C861DA" w:rsidRDefault="0044752E">
            <w:pPr>
              <w:pStyle w:val="TableParagraph"/>
              <w:jc w:val="center"/>
              <w:rPr>
                <w:rFonts w:cs="宋体"/>
                <w:color w:val="000000" w:themeColor="text1"/>
              </w:rPr>
            </w:pPr>
            <w:r>
              <w:rPr>
                <w:rFonts w:cs="宋体"/>
                <w:color w:val="000000" w:themeColor="text1"/>
              </w:rPr>
              <w:t xml:space="preserve">35.3 </w:t>
            </w:r>
          </w:p>
        </w:tc>
        <w:tc>
          <w:tcPr>
            <w:tcW w:w="759" w:type="dxa"/>
            <w:vAlign w:val="center"/>
          </w:tcPr>
          <w:p w:rsidR="00C861DA" w:rsidRDefault="0044752E">
            <w:pPr>
              <w:pStyle w:val="TableParagraph"/>
              <w:jc w:val="center"/>
              <w:rPr>
                <w:rFonts w:cs="宋体"/>
                <w:color w:val="000000" w:themeColor="text1"/>
              </w:rPr>
            </w:pPr>
            <w:r>
              <w:rPr>
                <w:rFonts w:cs="宋体"/>
                <w:color w:val="000000" w:themeColor="text1"/>
              </w:rPr>
              <w:t xml:space="preserve">44.1 </w:t>
            </w:r>
          </w:p>
        </w:tc>
        <w:tc>
          <w:tcPr>
            <w:tcW w:w="759" w:type="dxa"/>
            <w:vAlign w:val="center"/>
          </w:tcPr>
          <w:p w:rsidR="00C861DA" w:rsidRDefault="0044752E">
            <w:pPr>
              <w:pStyle w:val="TableParagraph"/>
              <w:jc w:val="center"/>
              <w:rPr>
                <w:rFonts w:cs="宋体"/>
                <w:color w:val="000000" w:themeColor="text1"/>
              </w:rPr>
            </w:pPr>
            <w:r>
              <w:rPr>
                <w:rFonts w:cs="宋体"/>
                <w:color w:val="000000" w:themeColor="text1"/>
              </w:rPr>
              <w:t>50</w:t>
            </w:r>
          </w:p>
        </w:tc>
        <w:tc>
          <w:tcPr>
            <w:tcW w:w="982" w:type="dxa"/>
            <w:vAlign w:val="center"/>
          </w:tcPr>
          <w:p w:rsidR="00C861DA" w:rsidRDefault="0044752E">
            <w:pPr>
              <w:pStyle w:val="TableParagraph"/>
              <w:jc w:val="center"/>
              <w:rPr>
                <w:rFonts w:cs="宋体"/>
                <w:color w:val="000000" w:themeColor="text1"/>
              </w:rPr>
            </w:pPr>
            <w:r>
              <w:rPr>
                <w:rFonts w:cs="宋体"/>
                <w:color w:val="000000" w:themeColor="text1"/>
              </w:rPr>
              <w:t>达标</w:t>
            </w:r>
          </w:p>
        </w:tc>
      </w:tr>
      <w:tr w:rsidR="00C861DA">
        <w:trPr>
          <w:trHeight w:val="454"/>
        </w:trPr>
        <w:tc>
          <w:tcPr>
            <w:tcW w:w="1231" w:type="dxa"/>
            <w:vMerge w:val="restart"/>
            <w:vAlign w:val="center"/>
          </w:tcPr>
          <w:p w:rsidR="00C861DA" w:rsidRDefault="0044752E">
            <w:pPr>
              <w:pStyle w:val="TableParagraph"/>
              <w:jc w:val="center"/>
              <w:rPr>
                <w:rFonts w:cs="宋体"/>
                <w:color w:val="000000" w:themeColor="text1"/>
              </w:rPr>
            </w:pPr>
            <w:r>
              <w:rPr>
                <w:rFonts w:cs="宋体" w:hint="eastAsia"/>
                <w:color w:val="000000" w:themeColor="text1"/>
              </w:rPr>
              <w:t>禄脿村</w:t>
            </w:r>
          </w:p>
        </w:tc>
        <w:tc>
          <w:tcPr>
            <w:tcW w:w="1883" w:type="dxa"/>
            <w:vMerge w:val="restart"/>
            <w:vAlign w:val="center"/>
          </w:tcPr>
          <w:p w:rsidR="00C861DA" w:rsidRDefault="0044752E">
            <w:pPr>
              <w:pStyle w:val="TableParagraph"/>
              <w:jc w:val="center"/>
              <w:rPr>
                <w:rFonts w:cs="宋体"/>
                <w:color w:val="000000" w:themeColor="text1"/>
              </w:rPr>
            </w:pPr>
            <w:r>
              <w:rPr>
                <w:rFonts w:cs="宋体" w:hint="eastAsia"/>
                <w:color w:val="000000" w:themeColor="text1"/>
              </w:rPr>
              <w:t>西厂</w:t>
            </w:r>
            <w:r>
              <w:rPr>
                <w:rFonts w:cs="宋体"/>
                <w:color w:val="000000" w:themeColor="text1"/>
              </w:rPr>
              <w:t>面</w:t>
            </w:r>
            <w:r>
              <w:rPr>
                <w:rFonts w:cs="宋体"/>
                <w:color w:val="000000" w:themeColor="text1"/>
              </w:rPr>
              <w:t>11</w:t>
            </w:r>
            <w:r>
              <w:rPr>
                <w:rFonts w:cs="宋体" w:hint="eastAsia"/>
                <w:color w:val="000000" w:themeColor="text1"/>
              </w:rPr>
              <w:t>1</w:t>
            </w:r>
            <w:r>
              <w:rPr>
                <w:rFonts w:cs="宋体"/>
                <w:color w:val="000000" w:themeColor="text1"/>
              </w:rPr>
              <w:t>0m</w:t>
            </w:r>
          </w:p>
        </w:tc>
        <w:tc>
          <w:tcPr>
            <w:tcW w:w="992" w:type="dxa"/>
            <w:vAlign w:val="center"/>
          </w:tcPr>
          <w:p w:rsidR="00C861DA" w:rsidRDefault="0044752E">
            <w:pPr>
              <w:pStyle w:val="TableParagraph"/>
              <w:jc w:val="center"/>
              <w:rPr>
                <w:rFonts w:cs="宋体"/>
                <w:color w:val="000000" w:themeColor="text1"/>
              </w:rPr>
            </w:pPr>
            <w:r>
              <w:rPr>
                <w:rFonts w:cs="宋体"/>
                <w:color w:val="000000" w:themeColor="text1"/>
              </w:rPr>
              <w:t>昼间</w:t>
            </w:r>
          </w:p>
        </w:tc>
        <w:tc>
          <w:tcPr>
            <w:tcW w:w="850" w:type="dxa"/>
            <w:vAlign w:val="center"/>
          </w:tcPr>
          <w:p w:rsidR="00C861DA" w:rsidRDefault="0044752E">
            <w:pPr>
              <w:pStyle w:val="TableParagraph"/>
              <w:jc w:val="center"/>
              <w:rPr>
                <w:rFonts w:cs="宋体"/>
                <w:color w:val="000000" w:themeColor="text1"/>
              </w:rPr>
            </w:pPr>
            <w:r>
              <w:rPr>
                <w:rFonts w:cs="宋体"/>
                <w:color w:val="000000" w:themeColor="text1"/>
              </w:rPr>
              <w:t xml:space="preserve">54.3 </w:t>
            </w:r>
          </w:p>
        </w:tc>
        <w:tc>
          <w:tcPr>
            <w:tcW w:w="874" w:type="dxa"/>
            <w:vAlign w:val="center"/>
          </w:tcPr>
          <w:p w:rsidR="00C861DA" w:rsidRDefault="0044752E">
            <w:pPr>
              <w:pStyle w:val="TableParagraph"/>
              <w:jc w:val="center"/>
              <w:rPr>
                <w:rFonts w:cs="宋体"/>
                <w:color w:val="000000" w:themeColor="text1"/>
              </w:rPr>
            </w:pPr>
            <w:r>
              <w:rPr>
                <w:rFonts w:cs="宋体"/>
                <w:color w:val="000000" w:themeColor="text1"/>
              </w:rPr>
              <w:t xml:space="preserve">44.4 </w:t>
            </w:r>
          </w:p>
        </w:tc>
        <w:tc>
          <w:tcPr>
            <w:tcW w:w="759" w:type="dxa"/>
            <w:vAlign w:val="center"/>
          </w:tcPr>
          <w:p w:rsidR="00C861DA" w:rsidRDefault="0044752E">
            <w:pPr>
              <w:pStyle w:val="TableParagraph"/>
              <w:jc w:val="center"/>
              <w:rPr>
                <w:rFonts w:cs="宋体"/>
                <w:color w:val="000000" w:themeColor="text1"/>
              </w:rPr>
            </w:pPr>
            <w:r>
              <w:rPr>
                <w:rFonts w:cs="宋体"/>
                <w:color w:val="000000" w:themeColor="text1"/>
              </w:rPr>
              <w:t xml:space="preserve">54.7 </w:t>
            </w:r>
          </w:p>
        </w:tc>
        <w:tc>
          <w:tcPr>
            <w:tcW w:w="759" w:type="dxa"/>
            <w:vAlign w:val="center"/>
          </w:tcPr>
          <w:p w:rsidR="00C861DA" w:rsidRDefault="0044752E">
            <w:pPr>
              <w:pStyle w:val="TableParagraph"/>
              <w:jc w:val="center"/>
              <w:rPr>
                <w:rFonts w:cs="宋体"/>
                <w:color w:val="000000" w:themeColor="text1"/>
              </w:rPr>
            </w:pPr>
            <w:r>
              <w:rPr>
                <w:rFonts w:cs="宋体"/>
                <w:color w:val="000000" w:themeColor="text1"/>
              </w:rPr>
              <w:t>60</w:t>
            </w:r>
          </w:p>
        </w:tc>
        <w:tc>
          <w:tcPr>
            <w:tcW w:w="982" w:type="dxa"/>
            <w:vAlign w:val="center"/>
          </w:tcPr>
          <w:p w:rsidR="00C861DA" w:rsidRDefault="0044752E">
            <w:pPr>
              <w:pStyle w:val="TableParagraph"/>
              <w:jc w:val="center"/>
              <w:rPr>
                <w:rFonts w:cs="宋体"/>
                <w:color w:val="000000" w:themeColor="text1"/>
              </w:rPr>
            </w:pPr>
            <w:r>
              <w:rPr>
                <w:rFonts w:cs="宋体"/>
                <w:color w:val="000000" w:themeColor="text1"/>
              </w:rPr>
              <w:t>达标</w:t>
            </w:r>
          </w:p>
        </w:tc>
      </w:tr>
      <w:tr w:rsidR="00C861DA">
        <w:trPr>
          <w:trHeight w:val="454"/>
        </w:trPr>
        <w:tc>
          <w:tcPr>
            <w:tcW w:w="1231" w:type="dxa"/>
            <w:vMerge/>
            <w:vAlign w:val="center"/>
          </w:tcPr>
          <w:p w:rsidR="00C861DA" w:rsidRDefault="00C861DA">
            <w:pPr>
              <w:jc w:val="center"/>
              <w:rPr>
                <w:rFonts w:ascii="Times New Roman" w:eastAsia="宋体" w:cs="宋体"/>
                <w:color w:val="000000" w:themeColor="text1"/>
              </w:rPr>
            </w:pPr>
          </w:p>
        </w:tc>
        <w:tc>
          <w:tcPr>
            <w:tcW w:w="1883" w:type="dxa"/>
            <w:vMerge/>
            <w:vAlign w:val="center"/>
          </w:tcPr>
          <w:p w:rsidR="00C861DA" w:rsidRDefault="00C861DA">
            <w:pPr>
              <w:jc w:val="center"/>
              <w:rPr>
                <w:rFonts w:ascii="Times New Roman" w:eastAsia="宋体" w:cs="宋体"/>
                <w:color w:val="000000" w:themeColor="text1"/>
              </w:rPr>
            </w:pPr>
          </w:p>
        </w:tc>
        <w:tc>
          <w:tcPr>
            <w:tcW w:w="992" w:type="dxa"/>
            <w:vAlign w:val="center"/>
          </w:tcPr>
          <w:p w:rsidR="00C861DA" w:rsidRDefault="0044752E">
            <w:pPr>
              <w:pStyle w:val="TableParagraph"/>
              <w:jc w:val="center"/>
              <w:rPr>
                <w:rFonts w:cs="宋体"/>
                <w:color w:val="000000" w:themeColor="text1"/>
              </w:rPr>
            </w:pPr>
            <w:r>
              <w:rPr>
                <w:rFonts w:cs="宋体"/>
                <w:color w:val="000000" w:themeColor="text1"/>
              </w:rPr>
              <w:t>夜间</w:t>
            </w:r>
          </w:p>
        </w:tc>
        <w:tc>
          <w:tcPr>
            <w:tcW w:w="850" w:type="dxa"/>
            <w:vAlign w:val="center"/>
          </w:tcPr>
          <w:p w:rsidR="00C861DA" w:rsidRDefault="0044752E">
            <w:pPr>
              <w:pStyle w:val="TableParagraph"/>
              <w:jc w:val="center"/>
              <w:rPr>
                <w:rFonts w:cs="宋体"/>
                <w:color w:val="000000" w:themeColor="text1"/>
              </w:rPr>
            </w:pPr>
            <w:r>
              <w:rPr>
                <w:rFonts w:cs="宋体"/>
                <w:color w:val="000000" w:themeColor="text1"/>
              </w:rPr>
              <w:t xml:space="preserve">44.9 </w:t>
            </w:r>
          </w:p>
        </w:tc>
        <w:tc>
          <w:tcPr>
            <w:tcW w:w="874" w:type="dxa"/>
            <w:vAlign w:val="center"/>
          </w:tcPr>
          <w:p w:rsidR="00C861DA" w:rsidRDefault="0044752E">
            <w:pPr>
              <w:pStyle w:val="TableParagraph"/>
              <w:jc w:val="center"/>
              <w:rPr>
                <w:rFonts w:cs="宋体"/>
                <w:color w:val="000000" w:themeColor="text1"/>
              </w:rPr>
            </w:pPr>
            <w:r>
              <w:rPr>
                <w:rFonts w:cs="宋体"/>
                <w:color w:val="000000" w:themeColor="text1"/>
              </w:rPr>
              <w:t xml:space="preserve">44.4 </w:t>
            </w:r>
          </w:p>
        </w:tc>
        <w:tc>
          <w:tcPr>
            <w:tcW w:w="759" w:type="dxa"/>
            <w:vAlign w:val="center"/>
          </w:tcPr>
          <w:p w:rsidR="00C861DA" w:rsidRDefault="0044752E">
            <w:pPr>
              <w:pStyle w:val="TableParagraph"/>
              <w:jc w:val="center"/>
              <w:rPr>
                <w:rFonts w:cs="宋体"/>
                <w:color w:val="000000" w:themeColor="text1"/>
              </w:rPr>
            </w:pPr>
            <w:r>
              <w:rPr>
                <w:rFonts w:cs="宋体"/>
                <w:color w:val="000000" w:themeColor="text1"/>
              </w:rPr>
              <w:t xml:space="preserve">47.7 </w:t>
            </w:r>
          </w:p>
        </w:tc>
        <w:tc>
          <w:tcPr>
            <w:tcW w:w="759" w:type="dxa"/>
            <w:vAlign w:val="center"/>
          </w:tcPr>
          <w:p w:rsidR="00C861DA" w:rsidRDefault="0044752E">
            <w:pPr>
              <w:pStyle w:val="TableParagraph"/>
              <w:jc w:val="center"/>
              <w:rPr>
                <w:rFonts w:cs="宋体"/>
                <w:color w:val="000000" w:themeColor="text1"/>
              </w:rPr>
            </w:pPr>
            <w:r>
              <w:rPr>
                <w:rFonts w:cs="宋体"/>
                <w:color w:val="000000" w:themeColor="text1"/>
              </w:rPr>
              <w:t>50</w:t>
            </w:r>
          </w:p>
        </w:tc>
        <w:tc>
          <w:tcPr>
            <w:tcW w:w="982" w:type="dxa"/>
            <w:vAlign w:val="center"/>
          </w:tcPr>
          <w:p w:rsidR="00C861DA" w:rsidRDefault="0044752E">
            <w:pPr>
              <w:pStyle w:val="TableParagraph"/>
              <w:jc w:val="center"/>
              <w:rPr>
                <w:rFonts w:cs="宋体"/>
                <w:color w:val="000000" w:themeColor="text1"/>
              </w:rPr>
            </w:pPr>
            <w:r>
              <w:rPr>
                <w:rFonts w:cs="宋体"/>
                <w:color w:val="000000" w:themeColor="text1"/>
              </w:rPr>
              <w:t>达标</w:t>
            </w:r>
          </w:p>
        </w:tc>
      </w:tr>
      <w:tr w:rsidR="00C861DA">
        <w:trPr>
          <w:trHeight w:val="454"/>
        </w:trPr>
        <w:tc>
          <w:tcPr>
            <w:tcW w:w="1231" w:type="dxa"/>
            <w:vMerge w:val="restart"/>
            <w:vAlign w:val="center"/>
          </w:tcPr>
          <w:p w:rsidR="00C861DA" w:rsidRDefault="0044752E">
            <w:pPr>
              <w:pStyle w:val="TableParagraph"/>
              <w:jc w:val="center"/>
              <w:rPr>
                <w:rFonts w:cs="宋体"/>
                <w:color w:val="000000" w:themeColor="text1"/>
              </w:rPr>
            </w:pPr>
            <w:r>
              <w:rPr>
                <w:rFonts w:cs="宋体" w:hint="eastAsia"/>
                <w:color w:val="000000" w:themeColor="text1"/>
              </w:rPr>
              <w:t>罗鸣</w:t>
            </w:r>
          </w:p>
        </w:tc>
        <w:tc>
          <w:tcPr>
            <w:tcW w:w="1883" w:type="dxa"/>
            <w:vMerge w:val="restart"/>
            <w:vAlign w:val="center"/>
          </w:tcPr>
          <w:p w:rsidR="00C861DA" w:rsidRDefault="0044752E">
            <w:pPr>
              <w:pStyle w:val="TableParagraph"/>
              <w:jc w:val="center"/>
              <w:rPr>
                <w:rFonts w:cs="宋体"/>
                <w:color w:val="000000" w:themeColor="text1"/>
              </w:rPr>
            </w:pPr>
            <w:r>
              <w:rPr>
                <w:rFonts w:cs="宋体" w:hint="eastAsia"/>
                <w:color w:val="000000" w:themeColor="text1"/>
              </w:rPr>
              <w:t>东厂</w:t>
            </w:r>
            <w:r>
              <w:rPr>
                <w:rFonts w:cs="宋体"/>
                <w:color w:val="000000" w:themeColor="text1"/>
              </w:rPr>
              <w:t>面</w:t>
            </w:r>
            <w:r>
              <w:rPr>
                <w:rFonts w:cs="宋体" w:hint="eastAsia"/>
                <w:color w:val="000000" w:themeColor="text1"/>
              </w:rPr>
              <w:t>1</w:t>
            </w:r>
            <w:r>
              <w:rPr>
                <w:rFonts w:cs="宋体"/>
                <w:color w:val="000000" w:themeColor="text1"/>
              </w:rPr>
              <w:t>2</w:t>
            </w:r>
            <w:r>
              <w:rPr>
                <w:rFonts w:cs="宋体" w:hint="eastAsia"/>
                <w:color w:val="000000" w:themeColor="text1"/>
              </w:rPr>
              <w:t>15</w:t>
            </w:r>
            <w:r>
              <w:rPr>
                <w:rFonts w:cs="宋体"/>
                <w:color w:val="000000" w:themeColor="text1"/>
              </w:rPr>
              <w:t>m</w:t>
            </w:r>
          </w:p>
        </w:tc>
        <w:tc>
          <w:tcPr>
            <w:tcW w:w="992" w:type="dxa"/>
            <w:vAlign w:val="center"/>
          </w:tcPr>
          <w:p w:rsidR="00C861DA" w:rsidRDefault="0044752E">
            <w:pPr>
              <w:pStyle w:val="TableParagraph"/>
              <w:jc w:val="center"/>
              <w:rPr>
                <w:rFonts w:cs="宋体"/>
                <w:color w:val="000000" w:themeColor="text1"/>
              </w:rPr>
            </w:pPr>
            <w:r>
              <w:rPr>
                <w:rFonts w:cs="宋体"/>
                <w:color w:val="000000" w:themeColor="text1"/>
              </w:rPr>
              <w:t>昼间</w:t>
            </w:r>
          </w:p>
        </w:tc>
        <w:tc>
          <w:tcPr>
            <w:tcW w:w="850" w:type="dxa"/>
            <w:vAlign w:val="center"/>
          </w:tcPr>
          <w:p w:rsidR="00C861DA" w:rsidRDefault="0044752E">
            <w:pPr>
              <w:pStyle w:val="TableParagraph"/>
              <w:jc w:val="center"/>
              <w:rPr>
                <w:rFonts w:cs="宋体"/>
                <w:color w:val="000000" w:themeColor="text1"/>
              </w:rPr>
            </w:pPr>
            <w:r>
              <w:rPr>
                <w:rFonts w:cs="宋体"/>
                <w:color w:val="000000" w:themeColor="text1"/>
              </w:rPr>
              <w:t xml:space="preserve">52.2 </w:t>
            </w:r>
          </w:p>
        </w:tc>
        <w:tc>
          <w:tcPr>
            <w:tcW w:w="874" w:type="dxa"/>
            <w:vAlign w:val="center"/>
          </w:tcPr>
          <w:p w:rsidR="00C861DA" w:rsidRDefault="0044752E">
            <w:pPr>
              <w:pStyle w:val="TableParagraph"/>
              <w:jc w:val="center"/>
              <w:rPr>
                <w:rFonts w:cs="宋体"/>
                <w:color w:val="000000" w:themeColor="text1"/>
              </w:rPr>
            </w:pPr>
            <w:r>
              <w:rPr>
                <w:rFonts w:cs="宋体"/>
                <w:color w:val="000000" w:themeColor="text1"/>
              </w:rPr>
              <w:t xml:space="preserve">46.1 </w:t>
            </w:r>
          </w:p>
        </w:tc>
        <w:tc>
          <w:tcPr>
            <w:tcW w:w="759" w:type="dxa"/>
            <w:vAlign w:val="center"/>
          </w:tcPr>
          <w:p w:rsidR="00C861DA" w:rsidRDefault="0044752E">
            <w:pPr>
              <w:pStyle w:val="TableParagraph"/>
              <w:jc w:val="center"/>
              <w:rPr>
                <w:rFonts w:cs="宋体"/>
                <w:color w:val="000000" w:themeColor="text1"/>
              </w:rPr>
            </w:pPr>
            <w:r>
              <w:rPr>
                <w:rFonts w:cs="宋体"/>
                <w:color w:val="000000" w:themeColor="text1"/>
              </w:rPr>
              <w:t xml:space="preserve">53.6 </w:t>
            </w:r>
          </w:p>
        </w:tc>
        <w:tc>
          <w:tcPr>
            <w:tcW w:w="759" w:type="dxa"/>
            <w:vAlign w:val="center"/>
          </w:tcPr>
          <w:p w:rsidR="00C861DA" w:rsidRDefault="0044752E">
            <w:pPr>
              <w:pStyle w:val="TableParagraph"/>
              <w:jc w:val="center"/>
              <w:rPr>
                <w:rFonts w:cs="宋体"/>
                <w:color w:val="000000" w:themeColor="text1"/>
              </w:rPr>
            </w:pPr>
            <w:r>
              <w:rPr>
                <w:rFonts w:cs="宋体"/>
                <w:color w:val="000000" w:themeColor="text1"/>
              </w:rPr>
              <w:t>60</w:t>
            </w:r>
          </w:p>
        </w:tc>
        <w:tc>
          <w:tcPr>
            <w:tcW w:w="982" w:type="dxa"/>
            <w:vAlign w:val="center"/>
          </w:tcPr>
          <w:p w:rsidR="00C861DA" w:rsidRDefault="0044752E">
            <w:pPr>
              <w:pStyle w:val="TableParagraph"/>
              <w:jc w:val="center"/>
              <w:rPr>
                <w:rFonts w:cs="宋体"/>
                <w:color w:val="000000" w:themeColor="text1"/>
              </w:rPr>
            </w:pPr>
            <w:r>
              <w:rPr>
                <w:rFonts w:cs="宋体"/>
                <w:color w:val="000000" w:themeColor="text1"/>
              </w:rPr>
              <w:t>达标</w:t>
            </w:r>
          </w:p>
        </w:tc>
      </w:tr>
      <w:tr w:rsidR="00C861DA">
        <w:trPr>
          <w:trHeight w:val="454"/>
        </w:trPr>
        <w:tc>
          <w:tcPr>
            <w:tcW w:w="1231" w:type="dxa"/>
            <w:vMerge/>
            <w:vAlign w:val="center"/>
          </w:tcPr>
          <w:p w:rsidR="00C861DA" w:rsidRDefault="00C861DA">
            <w:pPr>
              <w:jc w:val="center"/>
              <w:rPr>
                <w:rFonts w:ascii="Times New Roman" w:eastAsia="宋体" w:cs="宋体"/>
                <w:color w:val="000000" w:themeColor="text1"/>
              </w:rPr>
            </w:pPr>
          </w:p>
        </w:tc>
        <w:tc>
          <w:tcPr>
            <w:tcW w:w="1883" w:type="dxa"/>
            <w:vMerge/>
            <w:vAlign w:val="center"/>
          </w:tcPr>
          <w:p w:rsidR="00C861DA" w:rsidRDefault="00C861DA">
            <w:pPr>
              <w:jc w:val="center"/>
              <w:rPr>
                <w:rFonts w:ascii="Times New Roman" w:eastAsia="宋体" w:cs="宋体"/>
                <w:color w:val="000000" w:themeColor="text1"/>
              </w:rPr>
            </w:pPr>
          </w:p>
        </w:tc>
        <w:tc>
          <w:tcPr>
            <w:tcW w:w="992" w:type="dxa"/>
            <w:vAlign w:val="center"/>
          </w:tcPr>
          <w:p w:rsidR="00C861DA" w:rsidRDefault="0044752E">
            <w:pPr>
              <w:pStyle w:val="TableParagraph"/>
              <w:jc w:val="center"/>
              <w:rPr>
                <w:rFonts w:cs="宋体"/>
                <w:color w:val="000000" w:themeColor="text1"/>
              </w:rPr>
            </w:pPr>
            <w:r>
              <w:rPr>
                <w:rFonts w:cs="宋体"/>
                <w:color w:val="000000" w:themeColor="text1"/>
              </w:rPr>
              <w:t>夜间</w:t>
            </w:r>
          </w:p>
        </w:tc>
        <w:tc>
          <w:tcPr>
            <w:tcW w:w="850" w:type="dxa"/>
            <w:vAlign w:val="center"/>
          </w:tcPr>
          <w:p w:rsidR="00C861DA" w:rsidRDefault="0044752E">
            <w:pPr>
              <w:pStyle w:val="TableParagraph"/>
              <w:jc w:val="center"/>
              <w:rPr>
                <w:rFonts w:cs="宋体"/>
                <w:color w:val="000000" w:themeColor="text1"/>
              </w:rPr>
            </w:pPr>
            <w:r>
              <w:rPr>
                <w:rFonts w:cs="宋体"/>
                <w:color w:val="000000" w:themeColor="text1"/>
              </w:rPr>
              <w:t xml:space="preserve">46.4 </w:t>
            </w:r>
          </w:p>
        </w:tc>
        <w:tc>
          <w:tcPr>
            <w:tcW w:w="874" w:type="dxa"/>
            <w:vAlign w:val="center"/>
          </w:tcPr>
          <w:p w:rsidR="00C861DA" w:rsidRDefault="0044752E">
            <w:pPr>
              <w:pStyle w:val="TableParagraph"/>
              <w:jc w:val="center"/>
              <w:rPr>
                <w:rFonts w:cs="宋体"/>
                <w:color w:val="000000" w:themeColor="text1"/>
              </w:rPr>
            </w:pPr>
            <w:r>
              <w:rPr>
                <w:rFonts w:cs="宋体"/>
                <w:color w:val="000000" w:themeColor="text1"/>
              </w:rPr>
              <w:t xml:space="preserve">46.1 </w:t>
            </w:r>
          </w:p>
        </w:tc>
        <w:tc>
          <w:tcPr>
            <w:tcW w:w="759" w:type="dxa"/>
            <w:vAlign w:val="center"/>
          </w:tcPr>
          <w:p w:rsidR="00C861DA" w:rsidRDefault="0044752E">
            <w:pPr>
              <w:pStyle w:val="TableParagraph"/>
              <w:jc w:val="center"/>
              <w:rPr>
                <w:rFonts w:cs="宋体"/>
                <w:color w:val="000000" w:themeColor="text1"/>
              </w:rPr>
            </w:pPr>
            <w:r>
              <w:rPr>
                <w:rFonts w:cs="宋体"/>
                <w:color w:val="000000" w:themeColor="text1"/>
              </w:rPr>
              <w:t xml:space="preserve">49.2 </w:t>
            </w:r>
          </w:p>
        </w:tc>
        <w:tc>
          <w:tcPr>
            <w:tcW w:w="759" w:type="dxa"/>
            <w:vAlign w:val="center"/>
          </w:tcPr>
          <w:p w:rsidR="00C861DA" w:rsidRDefault="0044752E">
            <w:pPr>
              <w:pStyle w:val="TableParagraph"/>
              <w:jc w:val="center"/>
              <w:rPr>
                <w:rFonts w:cs="宋体"/>
                <w:color w:val="000000" w:themeColor="text1"/>
              </w:rPr>
            </w:pPr>
            <w:r>
              <w:rPr>
                <w:rFonts w:cs="宋体"/>
                <w:color w:val="000000" w:themeColor="text1"/>
              </w:rPr>
              <w:t>50</w:t>
            </w:r>
          </w:p>
        </w:tc>
        <w:tc>
          <w:tcPr>
            <w:tcW w:w="982" w:type="dxa"/>
            <w:vAlign w:val="center"/>
          </w:tcPr>
          <w:p w:rsidR="00C861DA" w:rsidRDefault="0044752E">
            <w:pPr>
              <w:pStyle w:val="TableParagraph"/>
              <w:jc w:val="center"/>
              <w:rPr>
                <w:rFonts w:cs="宋体"/>
                <w:color w:val="000000" w:themeColor="text1"/>
              </w:rPr>
            </w:pPr>
            <w:r>
              <w:rPr>
                <w:rFonts w:cs="宋体"/>
                <w:color w:val="000000" w:themeColor="text1"/>
              </w:rPr>
              <w:t>达标</w:t>
            </w:r>
          </w:p>
        </w:tc>
      </w:tr>
    </w:tbl>
    <w:p w:rsidR="00C861DA" w:rsidRDefault="0044752E">
      <w:pPr>
        <w:pStyle w:val="af4"/>
        <w:spacing w:beforeLines="100" w:before="312"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根据以上预测结果可知，本项目噪声对声环境敏感点影响较小，声环境敏感点能达到《声环境质量标准》（</w:t>
      </w:r>
      <w:r>
        <w:rPr>
          <w:rFonts w:ascii="Times New Roman" w:eastAsia="宋体" w:hAnsi="Times New Roman" w:cs="Times New Roman"/>
          <w:color w:val="000000" w:themeColor="text1"/>
          <w:sz w:val="24"/>
          <w:szCs w:val="24"/>
        </w:rPr>
        <w:t>GB12348-2008</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 xml:space="preserve">2 </w:t>
      </w:r>
      <w:r>
        <w:rPr>
          <w:rFonts w:ascii="Times New Roman" w:eastAsia="宋体" w:hAnsi="Times New Roman" w:cs="Times New Roman"/>
          <w:color w:val="000000" w:themeColor="text1"/>
          <w:sz w:val="24"/>
          <w:szCs w:val="24"/>
        </w:rPr>
        <w:t>类区标准。</w:t>
      </w:r>
    </w:p>
    <w:p w:rsidR="00C861DA" w:rsidRDefault="0044752E">
      <w:pPr>
        <w:pStyle w:val="32"/>
        <w:rPr>
          <w:rFonts w:ascii="Times New Roman" w:eastAsia="宋体"/>
          <w:bCs w:val="0"/>
          <w:color w:val="000000" w:themeColor="text1"/>
          <w:sz w:val="24"/>
          <w:szCs w:val="24"/>
        </w:rPr>
      </w:pPr>
      <w:bookmarkStart w:id="472" w:name="_Toc7886"/>
      <w:bookmarkStart w:id="473" w:name="_Toc6826853"/>
      <w:r>
        <w:rPr>
          <w:rFonts w:ascii="Times New Roman" w:eastAsia="宋体"/>
          <w:bCs w:val="0"/>
          <w:color w:val="000000" w:themeColor="text1"/>
          <w:sz w:val="24"/>
          <w:szCs w:val="24"/>
        </w:rPr>
        <w:t>7.3.5</w:t>
      </w:r>
      <w:r>
        <w:rPr>
          <w:rFonts w:ascii="Times New Roman" w:eastAsia="宋体"/>
          <w:bCs w:val="0"/>
          <w:color w:val="000000" w:themeColor="text1"/>
          <w:sz w:val="24"/>
          <w:szCs w:val="24"/>
        </w:rPr>
        <w:t>小结</w:t>
      </w:r>
      <w:bookmarkEnd w:id="472"/>
      <w:bookmarkEnd w:id="473"/>
    </w:p>
    <w:p w:rsidR="00C861DA" w:rsidRDefault="0044752E">
      <w:pPr>
        <w:pStyle w:val="21"/>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本项目采取有效的噪声防治措施后，根据预测分析结果可知，项目厂界昼夜噪声预测值均可达《工业企业厂界环境噪声排放标准》</w:t>
      </w:r>
      <w:r>
        <w:rPr>
          <w:rFonts w:ascii="Times New Roman" w:eastAsia="宋体" w:hAnsi="Times New Roman" w:cs="Times New Roman"/>
          <w:color w:val="000000" w:themeColor="text1"/>
          <w:sz w:val="24"/>
          <w:szCs w:val="24"/>
        </w:rPr>
        <w:t>GB12348-2008</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类区标准，项目噪声对声环境敏感点影响较小。</w:t>
      </w:r>
    </w:p>
    <w:p w:rsidR="00C861DA" w:rsidRDefault="00C861DA">
      <w:pPr>
        <w:pStyle w:val="21"/>
        <w:rPr>
          <w:rFonts w:ascii="Times New Roman" w:eastAsia="宋体" w:hAnsi="Times New Roman" w:cs="Times New Roman"/>
          <w:color w:val="000000" w:themeColor="text1"/>
        </w:rPr>
      </w:pPr>
    </w:p>
    <w:bookmarkStart w:id="474" w:name="_Toc20732"/>
    <w:bookmarkStart w:id="475" w:name="_Toc9710"/>
    <w:bookmarkStart w:id="476" w:name="_Toc28311"/>
    <w:bookmarkStart w:id="477" w:name="_Toc17100"/>
    <w:p w:rsidR="00C861DA" w:rsidRDefault="0044752E">
      <w:pPr>
        <w:pStyle w:val="22"/>
        <w:rPr>
          <w:rFonts w:ascii="Times New Roman" w:eastAsia="宋体" w:hAnsi="Times New Roman"/>
          <w:bCs w:val="0"/>
          <w:color w:val="000000" w:themeColor="text1"/>
          <w:sz w:val="28"/>
          <w:szCs w:val="28"/>
        </w:rPr>
      </w:pPr>
      <w:r>
        <w:rPr>
          <w:rFonts w:ascii="Times New Roman" w:eastAsia="宋体" w:hAnsi="Times New Roman"/>
          <w:bCs w:val="0"/>
          <w:color w:val="000000" w:themeColor="text1"/>
          <w:sz w:val="28"/>
          <w:szCs w:val="28"/>
        </w:rPr>
        <w:fldChar w:fldCharType="begin"/>
      </w:r>
      <w:r>
        <w:rPr>
          <w:rFonts w:ascii="Times New Roman" w:eastAsia="宋体" w:hAnsi="Times New Roman"/>
          <w:bCs w:val="0"/>
          <w:color w:val="000000" w:themeColor="text1"/>
          <w:sz w:val="28"/>
          <w:szCs w:val="28"/>
        </w:rPr>
        <w:instrText xml:space="preserve"> HYPERLINK \l "_Toc512505484</w:instrText>
      </w:r>
      <w:r>
        <w:rPr>
          <w:rFonts w:ascii="Times New Roman" w:eastAsia="宋体" w:hAnsi="Times New Roman"/>
          <w:bCs w:val="0"/>
          <w:color w:val="000000" w:themeColor="text1"/>
          <w:sz w:val="28"/>
          <w:szCs w:val="28"/>
        </w:rPr>
        <w:instrText xml:space="preserve">" </w:instrText>
      </w:r>
      <w:r>
        <w:rPr>
          <w:rFonts w:ascii="Times New Roman" w:eastAsia="宋体" w:hAnsi="Times New Roman"/>
          <w:bCs w:val="0"/>
          <w:color w:val="000000" w:themeColor="text1"/>
          <w:sz w:val="28"/>
          <w:szCs w:val="28"/>
        </w:rPr>
        <w:fldChar w:fldCharType="separate"/>
      </w:r>
      <w:bookmarkStart w:id="478" w:name="_Toc6826854"/>
      <w:r>
        <w:rPr>
          <w:rFonts w:ascii="Times New Roman" w:eastAsia="宋体" w:hAnsi="Times New Roman"/>
          <w:bCs w:val="0"/>
          <w:color w:val="000000" w:themeColor="text1"/>
          <w:sz w:val="28"/>
          <w:szCs w:val="28"/>
        </w:rPr>
        <w:t>7.4</w:t>
      </w:r>
      <w:r>
        <w:rPr>
          <w:rFonts w:ascii="Times New Roman" w:eastAsia="宋体" w:hAnsi="Times New Roman"/>
          <w:bCs w:val="0"/>
          <w:color w:val="000000" w:themeColor="text1"/>
          <w:sz w:val="28"/>
          <w:szCs w:val="28"/>
        </w:rPr>
        <w:t>地下水环境影响评价</w:t>
      </w:r>
      <w:bookmarkEnd w:id="478"/>
      <w:r>
        <w:rPr>
          <w:rFonts w:ascii="Times New Roman" w:eastAsia="宋体" w:hAnsi="Times New Roman"/>
          <w:bCs w:val="0"/>
          <w:color w:val="000000" w:themeColor="text1"/>
          <w:sz w:val="28"/>
          <w:szCs w:val="28"/>
        </w:rPr>
        <w:fldChar w:fldCharType="end"/>
      </w:r>
      <w:bookmarkEnd w:id="474"/>
      <w:bookmarkEnd w:id="475"/>
      <w:bookmarkEnd w:id="476"/>
      <w:bookmarkEnd w:id="477"/>
    </w:p>
    <w:p w:rsidR="00C861DA" w:rsidRDefault="0044752E">
      <w:pPr>
        <w:pStyle w:val="32"/>
        <w:rPr>
          <w:rFonts w:ascii="Times New Roman" w:eastAsia="宋体"/>
          <w:bCs w:val="0"/>
          <w:color w:val="000000" w:themeColor="text1"/>
          <w:sz w:val="24"/>
          <w:szCs w:val="24"/>
        </w:rPr>
      </w:pPr>
      <w:bookmarkStart w:id="479" w:name="_Toc7203"/>
      <w:bookmarkStart w:id="480" w:name="_Toc874"/>
      <w:bookmarkStart w:id="481" w:name="_Toc13307"/>
      <w:bookmarkStart w:id="482" w:name="_Toc25179"/>
      <w:bookmarkStart w:id="483" w:name="_Toc6826855"/>
      <w:r>
        <w:rPr>
          <w:rFonts w:ascii="Times New Roman" w:eastAsia="宋体" w:hint="eastAsia"/>
          <w:bCs w:val="0"/>
          <w:color w:val="000000" w:themeColor="text1"/>
          <w:sz w:val="24"/>
          <w:szCs w:val="24"/>
        </w:rPr>
        <w:t>7.4.1</w:t>
      </w:r>
      <w:r>
        <w:rPr>
          <w:rFonts w:ascii="Times New Roman" w:eastAsia="宋体" w:hint="eastAsia"/>
          <w:bCs w:val="0"/>
          <w:color w:val="000000" w:themeColor="text1"/>
          <w:sz w:val="24"/>
          <w:szCs w:val="24"/>
        </w:rPr>
        <w:t>项目区地质条件</w:t>
      </w:r>
      <w:bookmarkEnd w:id="479"/>
      <w:bookmarkEnd w:id="480"/>
      <w:bookmarkEnd w:id="481"/>
      <w:bookmarkEnd w:id="482"/>
      <w:bookmarkEnd w:id="483"/>
    </w:p>
    <w:p w:rsidR="00C861DA" w:rsidRDefault="0044752E">
      <w:pPr>
        <w:tabs>
          <w:tab w:val="left" w:pos="2610"/>
        </w:tabs>
        <w:spacing w:line="360" w:lineRule="auto"/>
        <w:ind w:firstLineChars="200" w:firstLine="480"/>
        <w:textAlignment w:val="baseline"/>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调查区地处康滇古陆地轴东缘，大地构造位于扬子地台西南缘，属滇东台褶皱区。经多期构造活动影响，使区内褶皱及断裂十分发育，构造较为复杂。受东西两侧南北向一级构造普渡河断裂和罗茨</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易门断裂两大断裂夹持，区内南北两端受东西向和北东向断裂控制，使区内断陷盆地发育，断裂构造线主要呈北东向及东西向展布。区内一级断裂为罗茨</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易门断裂</w:t>
      </w:r>
      <w:r>
        <w:rPr>
          <w:rFonts w:ascii="Times New Roman" w:eastAsia="宋体" w:hAnsi="Times New Roman" w:cs="Times New Roman"/>
          <w:color w:val="000000" w:themeColor="text1"/>
          <w:sz w:val="24"/>
        </w:rPr>
        <w:t>(F</w:t>
      </w:r>
      <w:r>
        <w:rPr>
          <w:rFonts w:ascii="Times New Roman" w:eastAsia="宋体" w:hAnsi="Times New Roman" w:cs="Times New Roman"/>
          <w:color w:val="000000" w:themeColor="text1"/>
          <w:sz w:val="24"/>
          <w:vertAlign w:val="subscript"/>
        </w:rPr>
        <w:t>1</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，其它均为二级或次级断裂。</w:t>
      </w:r>
    </w:p>
    <w:p w:rsidR="00C861DA" w:rsidRDefault="0044752E">
      <w:pPr>
        <w:tabs>
          <w:tab w:val="left" w:pos="2610"/>
        </w:tabs>
        <w:spacing w:line="360" w:lineRule="auto"/>
        <w:ind w:firstLineChars="200" w:firstLine="480"/>
        <w:textAlignment w:val="baseline"/>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罗茨</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易门断裂</w:t>
      </w:r>
      <w:r>
        <w:rPr>
          <w:rFonts w:ascii="Times New Roman" w:eastAsia="宋体" w:hAnsi="Times New Roman" w:cs="Times New Roman"/>
          <w:color w:val="000000" w:themeColor="text1"/>
          <w:sz w:val="24"/>
        </w:rPr>
        <w:t>(F</w:t>
      </w:r>
      <w:r>
        <w:rPr>
          <w:rFonts w:ascii="Times New Roman" w:eastAsia="宋体" w:hAnsi="Times New Roman" w:cs="Times New Roman"/>
          <w:color w:val="000000" w:themeColor="text1"/>
          <w:sz w:val="24"/>
          <w:vertAlign w:val="subscript"/>
        </w:rPr>
        <w:t>1</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呈近南北向展布，由区内西北部入境经禄脿岀境至易门。该断裂全长</w:t>
      </w:r>
      <w:r>
        <w:rPr>
          <w:rFonts w:ascii="Times New Roman" w:eastAsia="宋体" w:hAnsi="Times New Roman" w:cs="Times New Roman"/>
          <w:color w:val="000000" w:themeColor="text1"/>
          <w:sz w:val="24"/>
        </w:rPr>
        <w:t>180km</w:t>
      </w:r>
      <w:r>
        <w:rPr>
          <w:rFonts w:ascii="Times New Roman" w:eastAsia="宋体" w:hAnsi="Times New Roman" w:cs="Times New Roman"/>
          <w:color w:val="000000" w:themeColor="text1"/>
          <w:sz w:val="24"/>
        </w:rPr>
        <w:t>，是一条多期活动的断裂，新构造活动具继承性，控制罗茨、禄脿和易门等盆地及槽谷的发育，沿构造线有温泉岀露。断裂总体呈单一结构特征，罗茨以北平直延伸，左旋张扭特征表现明显，以南转为北北东向，在罗茨盆地附近与多条北东向断层交切，断裂中南段新构造活动显示左旋压扭性特征，南端于易门北被北西向断裂所交截。该断裂由北部进入区内禄脿，南延至易门北部，区内长约</w:t>
      </w:r>
      <w:r>
        <w:rPr>
          <w:rFonts w:ascii="Times New Roman" w:eastAsia="宋体" w:hAnsi="Times New Roman" w:cs="Times New Roman"/>
          <w:color w:val="000000" w:themeColor="text1"/>
          <w:sz w:val="24"/>
        </w:rPr>
        <w:t>8.0km</w:t>
      </w:r>
      <w:r>
        <w:rPr>
          <w:rFonts w:ascii="Times New Roman" w:eastAsia="宋体" w:hAnsi="Times New Roman" w:cs="Times New Roman"/>
          <w:color w:val="000000" w:themeColor="text1"/>
          <w:sz w:val="24"/>
        </w:rPr>
        <w:t>，断层带岩石破碎，角砾岩、糜棱岩发育，沿断层有辉长岩侵入及温泉岀露，断层受多期活动明显</w:t>
      </w:r>
      <w:r>
        <w:rPr>
          <w:rFonts w:ascii="Times New Roman" w:eastAsia="宋体" w:hAnsi="Times New Roman" w:cs="Times New Roman"/>
          <w:color w:val="000000" w:themeColor="text1"/>
          <w:sz w:val="24"/>
        </w:rPr>
        <w:t>，晋宁期断层东盘下降，沉积厚约千余米震旦系澄江组砂岩。寒武世后期西盘再次上升</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古生代沉积仅限于断层以东，挽近期该断层与早期作反向运动，形成东高西低的构造剥蚀地形。区内次级构造十分发育，主要有北部禄脿帚状构造及禄脿</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温泉逆掩断层和南部温水营平移断层等。</w:t>
      </w:r>
    </w:p>
    <w:p w:rsidR="00C861DA" w:rsidRDefault="0044752E">
      <w:pPr>
        <w:tabs>
          <w:tab w:val="left" w:pos="2610"/>
        </w:tabs>
        <w:spacing w:line="360" w:lineRule="auto"/>
        <w:ind w:firstLineChars="200" w:firstLine="480"/>
        <w:textAlignment w:val="baseline"/>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禄脿帚状构造</w:t>
      </w:r>
      <w:r>
        <w:rPr>
          <w:rFonts w:ascii="Times New Roman" w:eastAsia="宋体" w:hAnsi="Times New Roman" w:cs="Times New Roman"/>
          <w:color w:val="000000" w:themeColor="text1"/>
          <w:sz w:val="24"/>
        </w:rPr>
        <w:t>(F</w:t>
      </w:r>
      <w:r>
        <w:rPr>
          <w:rFonts w:ascii="Times New Roman" w:eastAsia="宋体" w:hAnsi="Times New Roman" w:cs="Times New Roman"/>
          <w:color w:val="000000" w:themeColor="text1"/>
          <w:sz w:val="24"/>
          <w:vertAlign w:val="subscript"/>
        </w:rPr>
        <w:t>2</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，在南北向及东西向联合应力作用下，安宁盆形向斜围绕西部昆阳群地层按顺时针方向扭动，旋扭面多沿地层界线发生或微斜交地层界线，如邵光屯</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昆格大坡，青龙哨</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上权甫，庙子顶</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瓦耳坡，安丰营</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大龙山等旋扭面，构造线具一定规律向东南撒开，向北西收敛，收</w:t>
      </w:r>
      <w:r>
        <w:rPr>
          <w:rFonts w:ascii="Times New Roman" w:eastAsia="宋体" w:hAnsi="Times New Roman" w:cs="Times New Roman"/>
          <w:color w:val="000000" w:themeColor="text1"/>
          <w:sz w:val="24"/>
        </w:rPr>
        <w:t>敛区大肚子山一带有一系列向北突岀的弧形断层，构造挤压强烈，震旦系灯影组白云岩极为破碎，局部呈糜棱状。构造向东与安宁盆形向斜复合。</w:t>
      </w:r>
    </w:p>
    <w:p w:rsidR="00C861DA" w:rsidRDefault="0044752E">
      <w:pPr>
        <w:tabs>
          <w:tab w:val="left" w:pos="2610"/>
        </w:tabs>
        <w:spacing w:line="360" w:lineRule="auto"/>
        <w:ind w:firstLineChars="200" w:firstLine="480"/>
        <w:textAlignment w:val="baseline"/>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禄脿</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温泉逆掩断层</w:t>
      </w:r>
      <w:r>
        <w:rPr>
          <w:rFonts w:ascii="Times New Roman" w:eastAsia="宋体" w:hAnsi="Times New Roman" w:cs="Times New Roman"/>
          <w:color w:val="000000" w:themeColor="text1"/>
          <w:sz w:val="24"/>
        </w:rPr>
        <w:t>(F</w:t>
      </w:r>
      <w:r>
        <w:rPr>
          <w:rFonts w:ascii="Times New Roman" w:eastAsia="宋体" w:hAnsi="Times New Roman" w:cs="Times New Roman"/>
          <w:color w:val="000000" w:themeColor="text1"/>
          <w:sz w:val="24"/>
          <w:vertAlign w:val="subscript"/>
        </w:rPr>
        <w:t>3</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由</w:t>
      </w:r>
      <w:r>
        <w:rPr>
          <w:rFonts w:ascii="Times New Roman" w:eastAsia="宋体" w:hAnsi="Times New Roman" w:cs="Times New Roman"/>
          <w:color w:val="000000" w:themeColor="text1"/>
          <w:sz w:val="24"/>
        </w:rPr>
        <w:t>1~3</w:t>
      </w:r>
      <w:r>
        <w:rPr>
          <w:rFonts w:ascii="Times New Roman" w:eastAsia="宋体" w:hAnsi="Times New Roman" w:cs="Times New Roman"/>
          <w:color w:val="000000" w:themeColor="text1"/>
          <w:sz w:val="24"/>
        </w:rPr>
        <w:t>条平行断层组成，走向近东西，中部向南突岀，为温泉南北向断层错断，断层两端较陡，中部平缓。断层带呈挤压状，北部昆阳群逆复于中生代地层之上，中部震旦系地层逆复于二叠之上，南部二叠系逆复于中生代红层之上，经后期剥蚀作用在七孔山一带形成飞来峰。侏罗系地层发生倒转，并显千枚状构造。</w:t>
      </w:r>
    </w:p>
    <w:p w:rsidR="00C861DA" w:rsidRDefault="0044752E">
      <w:pPr>
        <w:tabs>
          <w:tab w:val="left" w:pos="2610"/>
        </w:tabs>
        <w:spacing w:line="360" w:lineRule="auto"/>
        <w:ind w:firstLineChars="200" w:firstLine="480"/>
        <w:textAlignment w:val="baseline"/>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温水营平移断层</w:t>
      </w:r>
      <w:r>
        <w:rPr>
          <w:rFonts w:ascii="Times New Roman" w:eastAsia="宋体" w:hAnsi="Times New Roman" w:cs="Times New Roman"/>
          <w:color w:val="000000" w:themeColor="text1"/>
          <w:sz w:val="24"/>
        </w:rPr>
        <w:t>(F</w:t>
      </w:r>
      <w:r>
        <w:rPr>
          <w:rFonts w:ascii="Times New Roman" w:eastAsia="宋体" w:hAnsi="Times New Roman" w:cs="Times New Roman"/>
          <w:color w:val="000000" w:themeColor="text1"/>
          <w:sz w:val="24"/>
          <w:vertAlign w:val="subscript"/>
        </w:rPr>
        <w:t>4</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，呈东西向展布于南部温水营一带</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断裂西起德滋断坳盆地</w:t>
      </w:r>
      <w:r>
        <w:rPr>
          <w:rFonts w:ascii="Times New Roman" w:eastAsia="宋体" w:hAnsi="Times New Roman" w:cs="Times New Roman"/>
          <w:color w:val="000000" w:themeColor="text1"/>
          <w:sz w:val="24"/>
        </w:rPr>
        <w:t>以北小营村，经南东温水营出调查区，在地形上形成一宽阔沟谷，但多被第四系覆盖。断层穿切昆阳群及震旦系，并使温水营附近的震旦系澄江组水平错动约</w:t>
      </w:r>
      <w:r>
        <w:rPr>
          <w:rFonts w:ascii="Times New Roman" w:eastAsia="宋体" w:hAnsi="Times New Roman" w:cs="Times New Roman"/>
          <w:color w:val="000000" w:themeColor="text1"/>
          <w:sz w:val="24"/>
        </w:rPr>
        <w:t>6.0km</w:t>
      </w:r>
      <w:r>
        <w:rPr>
          <w:rFonts w:ascii="Times New Roman" w:eastAsia="宋体" w:hAnsi="Times New Roman" w:cs="Times New Roman"/>
          <w:color w:val="000000" w:themeColor="text1"/>
          <w:sz w:val="24"/>
        </w:rPr>
        <w:t>，其错动方向为北盘向西位移，南盘相对向东位移。温水营西北主断层南侧发育北西向支断层，与主断层斜交，根据支断层切穿中生代德滋构造盆地，说明温水营断层可能形成于燕山期。温水营村附近有温泉出露，此断层近期仍在活动。</w:t>
      </w:r>
    </w:p>
    <w:p w:rsidR="00C861DA" w:rsidRDefault="0044752E">
      <w:pPr>
        <w:spacing w:line="360" w:lineRule="auto"/>
        <w:ind w:firstLineChars="200" w:firstLine="480"/>
        <w:textAlignment w:val="baseline"/>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区域褶皱构造主要有安宁盆形向斜、窝铺母向斜和大龙洞复式褶皱等。安宁盆形向斜长轴近东西向，向斜西南翼宽缓，北东翼略陡，向斜轴由中生代红层组成，其形成与北东向及北西向断层活动挤压有关。窝铺母向斜位于南部温水营北东附近，轴向北北东，由震旦系陡山沱组所构成对称开阔向斜。大龙洞复式褶皱位于德滋盆地及甸中盆地之间的大龙洞一带，包括两个向斜和两个背斜，褶雏轴向呈北西向平行排列，由昆阳群大龙口组和美党组构成。褶皱翼部倾角变化较大，垂直复式褶皱轴向发育数条横向断层。区内南部温水营一带构造十分发育。调查区主要地质构造分布见图</w:t>
      </w:r>
      <w:r>
        <w:rPr>
          <w:rFonts w:ascii="Times New Roman" w:eastAsia="宋体" w:hAnsi="Times New Roman" w:cs="Times New Roman"/>
          <w:color w:val="000000" w:themeColor="text1"/>
          <w:sz w:val="24"/>
        </w:rPr>
        <w:t>7</w:t>
      </w:r>
      <w:r>
        <w:rPr>
          <w:rFonts w:ascii="Times New Roman" w:eastAsia="宋体" w:hAnsi="Times New Roman" w:cs="Times New Roman"/>
          <w:color w:val="000000" w:themeColor="text1"/>
          <w:sz w:val="24"/>
        </w:rPr>
        <w:t>.4-1</w:t>
      </w:r>
      <w:r>
        <w:rPr>
          <w:rFonts w:ascii="Times New Roman" w:eastAsia="宋体" w:hAnsi="Times New Roman" w:cs="Times New Roman"/>
          <w:color w:val="000000" w:themeColor="text1"/>
          <w:sz w:val="24"/>
        </w:rPr>
        <w:t>。</w:t>
      </w:r>
    </w:p>
    <w:p w:rsidR="00C861DA" w:rsidRDefault="0044752E">
      <w:pPr>
        <w:spacing w:line="360" w:lineRule="auto"/>
        <w:textAlignment w:val="baseline"/>
        <w:rPr>
          <w:color w:val="000000" w:themeColor="text1"/>
          <w:sz w:val="28"/>
          <w:szCs w:val="28"/>
        </w:rPr>
      </w:pPr>
      <w:r>
        <w:rPr>
          <w:noProof/>
          <w:color w:val="000000" w:themeColor="text1"/>
          <w:sz w:val="28"/>
          <w:szCs w:val="28"/>
        </w:rPr>
        <w:drawing>
          <wp:inline distT="0" distB="0" distL="0" distR="0">
            <wp:extent cx="5160010" cy="5044440"/>
            <wp:effectExtent l="0" t="0" r="0" b="0"/>
            <wp:docPr id="52" name="图片 14" descr="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descr="1212"/>
                    <pic:cNvPicPr>
                      <a:picLocks noChangeAspect="1" noChangeArrowheads="1"/>
                    </pic:cNvPicPr>
                  </pic:nvPicPr>
                  <pic:blipFill>
                    <a:blip r:embed="rId46" cstate="screen"/>
                    <a:srcRect/>
                    <a:stretch>
                      <a:fillRect/>
                    </a:stretch>
                  </pic:blipFill>
                  <pic:spPr>
                    <a:xfrm>
                      <a:off x="0" y="0"/>
                      <a:ext cx="5160010" cy="5044440"/>
                    </a:xfrm>
                    <a:prstGeom prst="rect">
                      <a:avLst/>
                    </a:prstGeom>
                    <a:noFill/>
                    <a:ln>
                      <a:noFill/>
                    </a:ln>
                  </pic:spPr>
                </pic:pic>
              </a:graphicData>
            </a:graphic>
          </wp:inline>
        </w:drawing>
      </w:r>
    </w:p>
    <w:p w:rsidR="00C861DA" w:rsidRDefault="0044752E">
      <w:pPr>
        <w:spacing w:line="360" w:lineRule="auto"/>
        <w:ind w:firstLineChars="200" w:firstLine="482"/>
        <w:jc w:val="center"/>
        <w:textAlignment w:val="baseline"/>
        <w:rPr>
          <w:rFonts w:ascii="Times New Roman" w:eastAsia="宋体" w:hAnsi="Times New Roman" w:cs="Times New Roman"/>
          <w:b/>
          <w:bCs/>
          <w:color w:val="000000" w:themeColor="text1"/>
          <w:sz w:val="24"/>
        </w:rPr>
      </w:pPr>
      <w:r>
        <w:rPr>
          <w:rFonts w:ascii="Times New Roman" w:eastAsia="宋体" w:hAnsi="Times New Roman" w:cs="Times New Roman"/>
          <w:b/>
          <w:bCs/>
          <w:color w:val="000000" w:themeColor="text1"/>
          <w:kern w:val="18"/>
          <w:sz w:val="24"/>
        </w:rPr>
        <w:t>图</w:t>
      </w:r>
      <w:r>
        <w:rPr>
          <w:rFonts w:ascii="Times New Roman" w:eastAsia="宋体" w:hAnsi="Times New Roman" w:cs="Times New Roman"/>
          <w:b/>
          <w:bCs/>
          <w:color w:val="000000" w:themeColor="text1"/>
          <w:kern w:val="18"/>
          <w:sz w:val="24"/>
        </w:rPr>
        <w:t xml:space="preserve">7.4-1  </w:t>
      </w:r>
      <w:r>
        <w:rPr>
          <w:rFonts w:ascii="Times New Roman" w:eastAsia="宋体" w:hAnsi="Times New Roman" w:cs="Times New Roman"/>
          <w:b/>
          <w:bCs/>
          <w:color w:val="000000" w:themeColor="text1"/>
          <w:kern w:val="18"/>
          <w:sz w:val="24"/>
        </w:rPr>
        <w:t>构造纲要图</w:t>
      </w:r>
    </w:p>
    <w:p w:rsidR="00C861DA" w:rsidRDefault="0044752E">
      <w:pPr>
        <w:spacing w:line="360" w:lineRule="auto"/>
        <w:ind w:firstLineChars="200" w:firstLine="482"/>
        <w:rPr>
          <w:rFonts w:ascii="Times New Roman" w:eastAsia="宋体" w:hAnsi="Times New Roman" w:cs="Times New Roman"/>
          <w:b/>
          <w:color w:val="000000" w:themeColor="text1"/>
          <w:sz w:val="24"/>
        </w:rPr>
      </w:pPr>
      <w:bookmarkStart w:id="484" w:name="_Toc23488"/>
      <w:r>
        <w:rPr>
          <w:rFonts w:ascii="Times New Roman" w:eastAsia="宋体" w:hAnsi="Times New Roman" w:cs="Times New Roman"/>
          <w:b/>
          <w:color w:val="000000" w:themeColor="text1"/>
          <w:sz w:val="24"/>
        </w:rPr>
        <w:t>（</w:t>
      </w:r>
      <w:r>
        <w:rPr>
          <w:rFonts w:ascii="Times New Roman" w:eastAsia="宋体" w:hAnsi="Times New Roman" w:cs="Times New Roman"/>
          <w:b/>
          <w:color w:val="000000" w:themeColor="text1"/>
          <w:sz w:val="24"/>
        </w:rPr>
        <w:t>3</w:t>
      </w:r>
      <w:r>
        <w:rPr>
          <w:rFonts w:ascii="Times New Roman" w:eastAsia="宋体" w:hAnsi="Times New Roman" w:cs="Times New Roman"/>
          <w:b/>
          <w:color w:val="000000" w:themeColor="text1"/>
          <w:sz w:val="24"/>
        </w:rPr>
        <w:t>）区域水文地质条件</w:t>
      </w:r>
      <w:bookmarkEnd w:id="484"/>
    </w:p>
    <w:p w:rsidR="00C861DA" w:rsidRDefault="0044752E">
      <w:pPr>
        <w:spacing w:line="360" w:lineRule="auto"/>
        <w:ind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fldChar w:fldCharType="begin"/>
      </w:r>
      <w:r>
        <w:rPr>
          <w:rFonts w:ascii="Times New Roman" w:eastAsia="宋体" w:hAnsi="Times New Roman" w:cs="Times New Roman"/>
          <w:b/>
          <w:color w:val="000000" w:themeColor="text1"/>
          <w:sz w:val="24"/>
        </w:rPr>
        <w:instrText xml:space="preserve"> = 1 \* GB3 </w:instrText>
      </w:r>
      <w:r>
        <w:rPr>
          <w:rFonts w:ascii="Times New Roman" w:eastAsia="宋体" w:hAnsi="Times New Roman" w:cs="Times New Roman"/>
          <w:b/>
          <w:color w:val="000000" w:themeColor="text1"/>
          <w:sz w:val="24"/>
        </w:rPr>
        <w:fldChar w:fldCharType="separate"/>
      </w:r>
      <w:r>
        <w:rPr>
          <w:rFonts w:ascii="宋体" w:eastAsia="宋体" w:hAnsi="宋体" w:cs="宋体" w:hint="eastAsia"/>
          <w:b/>
          <w:color w:val="000000" w:themeColor="text1"/>
          <w:sz w:val="24"/>
        </w:rPr>
        <w:t>①</w:t>
      </w:r>
      <w:r>
        <w:rPr>
          <w:rFonts w:ascii="Times New Roman" w:eastAsia="宋体" w:hAnsi="Times New Roman" w:cs="Times New Roman"/>
          <w:b/>
          <w:color w:val="000000" w:themeColor="text1"/>
          <w:sz w:val="24"/>
        </w:rPr>
        <w:fldChar w:fldCharType="end"/>
      </w:r>
      <w:r>
        <w:rPr>
          <w:rFonts w:ascii="Times New Roman" w:eastAsia="宋体" w:hAnsi="Times New Roman" w:cs="Times New Roman"/>
          <w:b/>
          <w:color w:val="000000" w:themeColor="text1"/>
          <w:sz w:val="24"/>
        </w:rPr>
        <w:t>水文地质单元划分</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评价区属于一个较为完整的水文地质单元。属浅切割的中山地貌类型，山脊总体走向与构造线一致，北侧出露的地层主要为元古界昆阳群美党组（</w:t>
      </w:r>
      <w:r>
        <w:rPr>
          <w:rFonts w:ascii="Times New Roman" w:eastAsia="宋体" w:hAnsi="Times New Roman" w:cs="Times New Roman"/>
          <w:color w:val="000000" w:themeColor="text1"/>
          <w:sz w:val="24"/>
        </w:rPr>
        <w:t>Pt1m</w:t>
      </w:r>
      <w:r>
        <w:rPr>
          <w:rFonts w:ascii="Times New Roman" w:eastAsia="宋体" w:hAnsi="Times New Roman" w:cs="Times New Roman"/>
          <w:color w:val="000000" w:themeColor="text1"/>
          <w:sz w:val="24"/>
        </w:rPr>
        <w:t>）地层，该层上部为深灰、灰色板岩及砂岩、中部为灰岩透镜体；下部为灰、深灰色板岩夹砾状灰岩、藻灰岩、薄层灰岩、泥灰岩和炭质板岩等。评价区东北则为三叠系和侏罗系禄丰群地层，岩性主要为深红、暗棕红、暗紫色泥岩、泥质粉砂岩夹泥岩，底为砾岩。泥岩含钙质结核。单元中部主要出露第四系地层，由于整体上评价区为北、东、南三侧高西南低，地下水由北、东、南三侧向西南低处汇集，汇入螃蟹河水库。评价</w:t>
      </w:r>
      <w:r>
        <w:rPr>
          <w:rFonts w:ascii="Times New Roman" w:eastAsia="宋体" w:hAnsi="Times New Roman" w:cs="Times New Roman"/>
          <w:color w:val="000000" w:themeColor="text1"/>
          <w:sz w:val="24"/>
        </w:rPr>
        <w:t>区海拔在</w:t>
      </w:r>
      <w:r>
        <w:rPr>
          <w:rFonts w:ascii="Times New Roman" w:eastAsia="宋体" w:hAnsi="Times New Roman" w:cs="Times New Roman"/>
          <w:color w:val="000000" w:themeColor="text1"/>
          <w:sz w:val="24"/>
        </w:rPr>
        <w:t>1900~2030m</w:t>
      </w:r>
      <w:r>
        <w:rPr>
          <w:rFonts w:ascii="Times New Roman" w:eastAsia="宋体" w:hAnsi="Times New Roman" w:cs="Times New Roman"/>
          <w:color w:val="000000" w:themeColor="text1"/>
          <w:sz w:val="24"/>
        </w:rPr>
        <w:t>，相对高差</w:t>
      </w:r>
      <w:r>
        <w:rPr>
          <w:rFonts w:ascii="Times New Roman" w:eastAsia="宋体" w:hAnsi="Times New Roman" w:cs="Times New Roman"/>
          <w:color w:val="000000" w:themeColor="text1"/>
          <w:sz w:val="24"/>
        </w:rPr>
        <w:t>130m</w:t>
      </w:r>
      <w:r>
        <w:rPr>
          <w:rFonts w:ascii="Times New Roman" w:eastAsia="宋体" w:hAnsi="Times New Roman" w:cs="Times New Roman"/>
          <w:color w:val="000000" w:themeColor="text1"/>
          <w:sz w:val="24"/>
        </w:rPr>
        <w:t>。北、东、南三侧山区多呈浑圆状，坡度在</w:t>
      </w:r>
      <w:r>
        <w:rPr>
          <w:rFonts w:ascii="Times New Roman" w:eastAsia="宋体" w:hAnsi="Times New Roman" w:cs="Times New Roman"/>
          <w:color w:val="000000" w:themeColor="text1"/>
          <w:sz w:val="24"/>
        </w:rPr>
        <w:t>15°</w:t>
      </w:r>
      <w:r>
        <w:rPr>
          <w:rFonts w:ascii="Times New Roman" w:eastAsia="宋体" w:hAnsi="Times New Roman" w:cs="Times New Roman"/>
          <w:color w:val="000000" w:themeColor="text1"/>
          <w:sz w:val="24"/>
        </w:rPr>
        <w:t>以下，第四系堆积地层厚</w:t>
      </w:r>
      <w:r>
        <w:rPr>
          <w:rFonts w:ascii="Times New Roman" w:eastAsia="宋体" w:hAnsi="Times New Roman" w:cs="Times New Roman"/>
          <w:color w:val="000000" w:themeColor="text1"/>
          <w:sz w:val="24"/>
        </w:rPr>
        <w:t>0</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45m</w:t>
      </w:r>
      <w:r>
        <w:rPr>
          <w:rFonts w:ascii="Times New Roman" w:eastAsia="宋体" w:hAnsi="Times New Roman" w:cs="Times New Roman"/>
          <w:color w:val="000000" w:themeColor="text1"/>
          <w:sz w:val="24"/>
        </w:rPr>
        <w:t>左右，堆体坡度</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5°</w:t>
      </w:r>
      <w:r>
        <w:rPr>
          <w:rFonts w:ascii="Times New Roman" w:eastAsia="宋体" w:hAnsi="Times New Roman" w:cs="Times New Roman"/>
          <w:color w:val="000000" w:themeColor="text1"/>
          <w:sz w:val="24"/>
        </w:rPr>
        <w:t>，地形利于地表水和地下水的排泄。评价区为一个简单、独立、完整的水文地质单元，地下水的补给区与迳流区分布基本一致，主要接受大气降水的补给，通过裂隙系统向下渗入的形式由西南径流排泄，最终汇入螃蟹河水库。</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2 \* GB3 </w:instrText>
      </w:r>
      <w:r>
        <w:rPr>
          <w:rFonts w:ascii="Times New Roman" w:eastAsia="宋体" w:hAnsi="Times New Roman" w:cs="Times New Roman"/>
          <w:color w:val="000000" w:themeColor="text1"/>
          <w:sz w:val="24"/>
        </w:rPr>
        <w:fldChar w:fldCharType="separate"/>
      </w:r>
      <w:r>
        <w:rPr>
          <w:rFonts w:ascii="宋体" w:eastAsia="宋体" w:hAnsi="宋体" w:cs="宋体" w:hint="eastAsia"/>
          <w:color w:val="000000" w:themeColor="text1"/>
          <w:sz w:val="24"/>
        </w:rPr>
        <w:t>②</w:t>
      </w:r>
      <w:r>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t>区域地下水类型</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评价区内的地形地貌条件、地质构造及岩性特征对地下水形成、运移、赋存及分布等具有明显控制作用。按照地下水类型的划分依据，将区内含水层类型分为松散岩类孔隙水、基岩裂隙水，结合调查区实际情况，对区域各类型地下水含水层阐述如下：</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A</w:t>
      </w:r>
      <w:r>
        <w:rPr>
          <w:rFonts w:ascii="Times New Roman" w:eastAsia="宋体" w:hAnsi="Times New Roman" w:cs="Times New Roman"/>
          <w:color w:val="000000" w:themeColor="text1"/>
          <w:sz w:val="24"/>
        </w:rPr>
        <w:t>、孔隙水</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分布于地形坡度较为平缓的山麓斜坡地带表层，主要赋存于第四系松散堆积物</w:t>
      </w:r>
      <w:r>
        <w:rPr>
          <w:rFonts w:ascii="Times New Roman" w:eastAsia="宋体" w:hAnsi="Times New Roman" w:cs="Times New Roman"/>
          <w:color w:val="000000" w:themeColor="text1"/>
          <w:sz w:val="24"/>
        </w:rPr>
        <w:t>(Q)</w:t>
      </w:r>
      <w:r>
        <w:rPr>
          <w:rFonts w:ascii="Times New Roman" w:eastAsia="宋体" w:hAnsi="Times New Roman" w:cs="Times New Roman"/>
          <w:color w:val="000000" w:themeColor="text1"/>
          <w:sz w:val="24"/>
        </w:rPr>
        <w:t>中，</w:t>
      </w:r>
      <w:r>
        <w:rPr>
          <w:rFonts w:ascii="Times New Roman" w:eastAsia="宋体" w:hAnsi="Times New Roman" w:cs="Times New Roman"/>
          <w:color w:val="000000" w:themeColor="text1"/>
          <w:sz w:val="24"/>
          <w:lang w:val="en-GB"/>
        </w:rPr>
        <w:t>含水介质为粉质粘土层，含水层</w:t>
      </w:r>
      <w:r>
        <w:rPr>
          <w:rFonts w:ascii="Times New Roman" w:eastAsia="宋体" w:hAnsi="Times New Roman" w:cs="Times New Roman"/>
          <w:color w:val="000000" w:themeColor="text1"/>
          <w:sz w:val="24"/>
        </w:rPr>
        <w:t>厚度一般较厚，</w:t>
      </w:r>
      <w:r>
        <w:rPr>
          <w:rFonts w:ascii="Times New Roman" w:eastAsia="宋体" w:hAnsi="Times New Roman" w:cs="Times New Roman"/>
          <w:color w:val="000000" w:themeColor="text1"/>
          <w:sz w:val="24"/>
          <w:lang w:val="en-GB"/>
        </w:rPr>
        <w:t>粘土、碎石颗粒孔隙中虽有少量地下水分布，但受其含量小且颗粒间有粘土充填的影响，仅含有微量的地下水，总体富水性弱。</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B</w:t>
      </w:r>
      <w:r>
        <w:rPr>
          <w:rFonts w:ascii="Times New Roman" w:eastAsia="宋体" w:hAnsi="Times New Roman" w:cs="Times New Roman"/>
          <w:color w:val="000000" w:themeColor="text1"/>
          <w:sz w:val="24"/>
        </w:rPr>
        <w:t>、裂隙水</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区域上裂隙水主要赋水介质为昆阳群</w:t>
      </w:r>
      <w:r>
        <w:rPr>
          <w:rFonts w:ascii="Times New Roman" w:eastAsia="宋体" w:hAnsi="Times New Roman" w:cs="Times New Roman"/>
          <w:color w:val="000000" w:themeColor="text1"/>
          <w:sz w:val="24"/>
        </w:rPr>
        <w:t>美党组（</w:t>
      </w:r>
      <w:r>
        <w:rPr>
          <w:rFonts w:ascii="Times New Roman" w:eastAsia="宋体" w:hAnsi="Times New Roman" w:cs="Times New Roman"/>
          <w:color w:val="000000" w:themeColor="text1"/>
          <w:sz w:val="24"/>
        </w:rPr>
        <w:t>P</w:t>
      </w:r>
      <w:r>
        <w:rPr>
          <w:rFonts w:ascii="Times New Roman" w:eastAsia="宋体" w:hAnsi="Times New Roman" w:cs="Times New Roman"/>
          <w:color w:val="000000" w:themeColor="text1"/>
          <w:sz w:val="24"/>
          <w:vertAlign w:val="subscript"/>
        </w:rPr>
        <w:t>t1</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rPr>
        <w:t>）砂岩。地下水主要赋存于裂隙之中。其富水性为中等，补给来源主要为大气降水、地表水、外围基岩裂隙水等，动态变化相对稳定。据区域水文地质资料该含水层地下泉流量一般</w:t>
      </w:r>
      <w:r>
        <w:rPr>
          <w:rFonts w:ascii="Times New Roman" w:eastAsia="宋体" w:hAnsi="Times New Roman" w:cs="Times New Roman"/>
          <w:color w:val="000000" w:themeColor="text1"/>
          <w:sz w:val="24"/>
        </w:rPr>
        <w:t>0.02</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1.0L/s</w:t>
      </w:r>
      <w:r>
        <w:rPr>
          <w:rFonts w:ascii="Times New Roman" w:eastAsia="宋体" w:hAnsi="Times New Roman" w:cs="Times New Roman"/>
          <w:color w:val="000000" w:themeColor="text1"/>
          <w:sz w:val="24"/>
        </w:rPr>
        <w:t>。地下水迳流模数一般</w:t>
      </w:r>
      <w:r>
        <w:rPr>
          <w:rFonts w:ascii="Times New Roman" w:eastAsia="宋体" w:hAnsi="Times New Roman" w:cs="Times New Roman"/>
          <w:color w:val="000000" w:themeColor="text1"/>
          <w:sz w:val="24"/>
        </w:rPr>
        <w:t>0.5</w:t>
      </w:r>
      <w:r>
        <w:rPr>
          <w:rFonts w:ascii="Times New Roman" w:eastAsia="宋体" w:hAnsi="Times New Roman" w:cs="Times New Roman"/>
          <w:color w:val="000000" w:themeColor="text1"/>
          <w:sz w:val="24"/>
          <w:lang w:val="en-GB"/>
        </w:rPr>
        <w:t>～</w:t>
      </w:r>
      <w:r>
        <w:rPr>
          <w:rFonts w:ascii="Times New Roman" w:eastAsia="宋体" w:hAnsi="Times New Roman" w:cs="Times New Roman"/>
          <w:color w:val="000000" w:themeColor="text1"/>
          <w:sz w:val="24"/>
        </w:rPr>
        <w:t>1.0L/s.km</w:t>
      </w:r>
      <w:r>
        <w:rPr>
          <w:rFonts w:ascii="Times New Roman" w:eastAsia="宋体" w:hAnsi="Times New Roman" w:cs="Times New Roman"/>
          <w:color w:val="000000" w:themeColor="text1"/>
          <w:sz w:val="24"/>
          <w:vertAlign w:val="superscript"/>
        </w:rPr>
        <w:t>2</w:t>
      </w:r>
      <w:r>
        <w:rPr>
          <w:rFonts w:ascii="Times New Roman" w:eastAsia="宋体" w:hAnsi="Times New Roman" w:cs="Times New Roman"/>
          <w:color w:val="000000" w:themeColor="text1"/>
          <w:sz w:val="24"/>
        </w:rPr>
        <w:t>，富水性弱</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中等，水化学类型以</w:t>
      </w:r>
      <w:r>
        <w:rPr>
          <w:rFonts w:ascii="Times New Roman" w:eastAsia="宋体" w:hAnsi="Times New Roman" w:cs="Times New Roman"/>
          <w:color w:val="000000" w:themeColor="text1"/>
          <w:sz w:val="24"/>
        </w:rPr>
        <w:t>HCO3-Ca</w:t>
      </w:r>
      <w:r>
        <w:rPr>
          <w:rFonts w:ascii="Times New Roman" w:eastAsia="宋体" w:hAnsi="Times New Roman" w:cs="Times New Roman"/>
          <w:color w:val="000000" w:themeColor="text1"/>
          <w:sz w:val="24"/>
        </w:rPr>
        <w:t>型为主，矿化度小于一般小于</w:t>
      </w:r>
      <w:r>
        <w:rPr>
          <w:rFonts w:ascii="Times New Roman" w:eastAsia="宋体" w:hAnsi="Times New Roman" w:cs="Times New Roman"/>
          <w:color w:val="000000" w:themeColor="text1"/>
          <w:sz w:val="24"/>
        </w:rPr>
        <w:t>0.3g/ L</w:t>
      </w:r>
      <w:r>
        <w:rPr>
          <w:rFonts w:ascii="Times New Roman" w:eastAsia="宋体" w:hAnsi="Times New Roman" w:cs="Times New Roman"/>
          <w:color w:val="000000" w:themeColor="text1"/>
          <w:sz w:val="24"/>
        </w:rPr>
        <w:t>，水量随季节变化而变化。</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3 \* GB3 </w:instrText>
      </w:r>
      <w:r>
        <w:rPr>
          <w:rFonts w:ascii="Times New Roman" w:eastAsia="宋体" w:hAnsi="Times New Roman" w:cs="Times New Roman"/>
          <w:color w:val="000000" w:themeColor="text1"/>
          <w:sz w:val="24"/>
        </w:rPr>
        <w:fldChar w:fldCharType="separate"/>
      </w:r>
      <w:r>
        <w:rPr>
          <w:rFonts w:ascii="宋体" w:eastAsia="宋体" w:hAnsi="宋体" w:cs="宋体" w:hint="eastAsia"/>
          <w:color w:val="000000" w:themeColor="text1"/>
          <w:sz w:val="24"/>
        </w:rPr>
        <w:t>③</w:t>
      </w:r>
      <w:r>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t>地下水的补、径、排特征</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A</w:t>
      </w:r>
      <w:r>
        <w:rPr>
          <w:rFonts w:ascii="Times New Roman" w:eastAsia="宋体" w:hAnsi="Times New Roman" w:cs="Times New Roman"/>
          <w:color w:val="000000" w:themeColor="text1"/>
          <w:sz w:val="24"/>
        </w:rPr>
        <w:t>、地下水的补给</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区域地下水补给主要有大气降水的垂向补给和地表水直接转化为地下水补给两种形式。本区年平均降水量</w:t>
      </w:r>
      <w:r>
        <w:rPr>
          <w:rFonts w:ascii="Times New Roman" w:eastAsia="宋体" w:hAnsi="Times New Roman" w:cs="Times New Roman"/>
          <w:color w:val="000000" w:themeColor="text1"/>
          <w:sz w:val="24"/>
        </w:rPr>
        <w:t>886.5mm</w:t>
      </w:r>
      <w:r>
        <w:rPr>
          <w:rFonts w:ascii="Times New Roman" w:eastAsia="宋体" w:hAnsi="Times New Roman" w:cs="Times New Roman"/>
          <w:color w:val="000000" w:themeColor="text1"/>
          <w:sz w:val="24"/>
        </w:rPr>
        <w:t>，雨量较充沛，是区域地下水主要补给源。螃蟹河水库水文地质单元补给面积约为</w:t>
      </w:r>
      <w:r>
        <w:rPr>
          <w:rFonts w:ascii="Times New Roman" w:eastAsia="宋体" w:hAnsi="Times New Roman" w:cs="Times New Roman"/>
          <w:color w:val="000000" w:themeColor="text1"/>
          <w:sz w:val="24"/>
        </w:rPr>
        <w:t>1.0km</w:t>
      </w:r>
      <w:r>
        <w:rPr>
          <w:rFonts w:ascii="Times New Roman" w:eastAsia="宋体" w:hAnsi="Times New Roman" w:cs="Times New Roman"/>
          <w:color w:val="000000" w:themeColor="text1"/>
          <w:sz w:val="24"/>
          <w:vertAlign w:val="superscript"/>
        </w:rPr>
        <w:t>2</w:t>
      </w:r>
      <w:r>
        <w:rPr>
          <w:rFonts w:ascii="Times New Roman" w:eastAsia="宋体" w:hAnsi="Times New Roman" w:cs="Times New Roman"/>
          <w:color w:val="000000" w:themeColor="text1"/>
          <w:sz w:val="24"/>
        </w:rPr>
        <w:t>，区内地层以元古界昆阳群美党组（</w:t>
      </w:r>
      <w:r>
        <w:rPr>
          <w:rFonts w:ascii="Times New Roman" w:eastAsia="宋体" w:hAnsi="Times New Roman" w:cs="Times New Roman"/>
          <w:color w:val="000000" w:themeColor="text1"/>
          <w:sz w:val="24"/>
        </w:rPr>
        <w:t>Pt1m</w:t>
      </w:r>
      <w:r>
        <w:rPr>
          <w:rFonts w:ascii="Times New Roman" w:eastAsia="宋体" w:hAnsi="Times New Roman" w:cs="Times New Roman"/>
          <w:color w:val="000000" w:themeColor="text1"/>
          <w:sz w:val="24"/>
        </w:rPr>
        <w:t>）地层和三叠系</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侏罗系禄丰群地层为主。昆阳群美党组上部为深灰、灰色板岩及砂岩、中部为灰岩透镜体；下部为灰、深灰色板岩夹砾状灰岩、藻灰岩、薄层灰岩、泥灰岩和炭质板岩等。三叠系和侏罗系禄丰群地层主要为深红、暗棕红、暗紫色泥岩、泥质粉砂岩夹泥岩，底部有薄层砾岩。由于含粘土矿物较多，表层岩</w:t>
      </w:r>
      <w:r>
        <w:rPr>
          <w:rFonts w:ascii="Times New Roman" w:eastAsia="宋体" w:hAnsi="Times New Roman" w:cs="Times New Roman"/>
          <w:color w:val="000000" w:themeColor="text1"/>
          <w:sz w:val="24"/>
        </w:rPr>
        <w:t>体风化强烈，风化裂隙发育，风化裂隙表层常呈张性，向深部渐闭合，是大气降雨入渗补给地下水的主要通道，以入渗系数</w:t>
      </w:r>
      <w:r>
        <w:rPr>
          <w:rFonts w:ascii="Times New Roman" w:eastAsia="宋体" w:hAnsi="Times New Roman" w:cs="Times New Roman"/>
          <w:color w:val="000000" w:themeColor="text1"/>
          <w:sz w:val="24"/>
        </w:rPr>
        <w:t>0.4</w:t>
      </w:r>
      <w:r>
        <w:rPr>
          <w:rFonts w:ascii="Times New Roman" w:eastAsia="宋体" w:hAnsi="Times New Roman" w:cs="Times New Roman"/>
          <w:color w:val="000000" w:themeColor="text1"/>
          <w:sz w:val="24"/>
        </w:rPr>
        <w:t>计，该地下水水文单元年入渗补给水量约</w:t>
      </w:r>
      <w:r>
        <w:rPr>
          <w:rFonts w:ascii="Times New Roman" w:eastAsia="宋体" w:hAnsi="Times New Roman" w:cs="Times New Roman"/>
          <w:color w:val="000000" w:themeColor="text1"/>
          <w:sz w:val="24"/>
        </w:rPr>
        <w:t>350000m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B</w:t>
      </w:r>
      <w:r>
        <w:rPr>
          <w:rFonts w:ascii="Times New Roman" w:eastAsia="宋体" w:hAnsi="Times New Roman" w:cs="Times New Roman"/>
          <w:color w:val="000000" w:themeColor="text1"/>
          <w:sz w:val="24"/>
        </w:rPr>
        <w:t>、地下水的径流</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由于北、东、南三面高而西南低，海拔</w:t>
      </w:r>
      <w:r>
        <w:rPr>
          <w:rFonts w:ascii="Times New Roman" w:eastAsia="宋体" w:hAnsi="Times New Roman" w:cs="Times New Roman"/>
          <w:color w:val="000000" w:themeColor="text1"/>
          <w:sz w:val="24"/>
        </w:rPr>
        <w:t>1900-2030m</w:t>
      </w:r>
      <w:r>
        <w:rPr>
          <w:rFonts w:ascii="Times New Roman" w:eastAsia="宋体" w:hAnsi="Times New Roman" w:cs="Times New Roman"/>
          <w:color w:val="000000" w:themeColor="text1"/>
          <w:sz w:val="24"/>
        </w:rPr>
        <w:t>，以西南螃蟹河水库水面为基点，考虑风化层厚度</w:t>
      </w:r>
      <w:r>
        <w:rPr>
          <w:rFonts w:ascii="Times New Roman" w:eastAsia="宋体" w:hAnsi="Times New Roman" w:cs="Times New Roman"/>
          <w:color w:val="000000" w:themeColor="text1"/>
          <w:sz w:val="24"/>
        </w:rPr>
        <w:t>5</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10m</w:t>
      </w:r>
      <w:r>
        <w:rPr>
          <w:rFonts w:ascii="Times New Roman" w:eastAsia="宋体" w:hAnsi="Times New Roman" w:cs="Times New Roman"/>
          <w:color w:val="000000" w:themeColor="text1"/>
          <w:sz w:val="24"/>
        </w:rPr>
        <w:t>，预测最大可形成</w:t>
      </w:r>
      <w:r>
        <w:rPr>
          <w:rFonts w:ascii="Times New Roman" w:eastAsia="宋体" w:hAnsi="Times New Roman" w:cs="Times New Roman"/>
          <w:color w:val="000000" w:themeColor="text1"/>
          <w:sz w:val="24"/>
        </w:rPr>
        <w:t>120m</w:t>
      </w:r>
      <w:r>
        <w:rPr>
          <w:rFonts w:ascii="Times New Roman" w:eastAsia="宋体" w:hAnsi="Times New Roman" w:cs="Times New Roman"/>
          <w:color w:val="000000" w:themeColor="text1"/>
          <w:sz w:val="24"/>
        </w:rPr>
        <w:t>的相对水头，致使该水文单元地下水自北、东、南三侧向中心汇聚后向西南低处径流。径流区和补给区基本重合。</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C</w:t>
      </w:r>
      <w:r>
        <w:rPr>
          <w:rFonts w:ascii="Times New Roman" w:eastAsia="宋体" w:hAnsi="Times New Roman" w:cs="Times New Roman"/>
          <w:color w:val="000000" w:themeColor="text1"/>
          <w:sz w:val="24"/>
        </w:rPr>
        <w:t>、地下水的排泄</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螃蟹河水库水文单元基岩以泥质岩为主，属相对隔水层，地下水以松散层孔隙水为</w:t>
      </w:r>
      <w:r>
        <w:rPr>
          <w:rFonts w:ascii="Times New Roman" w:eastAsia="宋体" w:hAnsi="Times New Roman" w:cs="Times New Roman"/>
          <w:color w:val="000000" w:themeColor="text1"/>
          <w:sz w:val="24"/>
        </w:rPr>
        <w:t>主要地下水类型，主要以第四系松散层孔隙为主要储水空间，在水头作用下自北、东、南三侧向西南低处径流，于螃蟹河水库一线排泄。</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D</w:t>
      </w:r>
      <w:r>
        <w:rPr>
          <w:rFonts w:ascii="Times New Roman" w:eastAsia="宋体" w:hAnsi="Times New Roman" w:cs="Times New Roman"/>
          <w:color w:val="000000" w:themeColor="text1"/>
          <w:sz w:val="24"/>
        </w:rPr>
        <w:t>、地下水水位现状</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根据区域水文地质报告可知，评价区内原有地下水位与单元范围内地形高程密切相关，在螃蟹河水库水文单元中心部位第四系孔隙含水层中，由于北、东</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南三侧裂隙含水层地下水补给，中心位置孔隙含水层水位较高，在雨季会有散浸状溢出。</w:t>
      </w:r>
    </w:p>
    <w:p w:rsidR="00C861DA" w:rsidRDefault="0044752E">
      <w:pPr>
        <w:spacing w:line="360" w:lineRule="auto"/>
        <w:ind w:firstLineChars="200" w:firstLine="480"/>
        <w:rPr>
          <w:rFonts w:ascii="Times New Roman" w:eastAsia="宋体" w:hAnsi="Times New Roman" w:cs="Times New Roman"/>
          <w:color w:val="000000" w:themeColor="text1"/>
          <w:sz w:val="28"/>
        </w:rPr>
      </w:pPr>
      <w:r>
        <w:rPr>
          <w:rFonts w:ascii="Times New Roman" w:eastAsia="宋体" w:hAnsi="Times New Roman" w:cs="Times New Roman"/>
          <w:color w:val="000000" w:themeColor="text1"/>
          <w:sz w:val="24"/>
        </w:rPr>
        <w:t>评价区为一个简单、独立、完整的水文地质单元地下水的补给区与迳流区分布基本一致，主要接受大气降水的补给，通过裂隙系统向下渗入的形式补给地下水，地下水相对水头</w:t>
      </w:r>
      <w:r>
        <w:rPr>
          <w:rFonts w:ascii="Times New Roman" w:eastAsia="宋体" w:hAnsi="Times New Roman" w:cs="Times New Roman"/>
          <w:color w:val="000000" w:themeColor="text1"/>
          <w:sz w:val="24"/>
        </w:rPr>
        <w:t>较高，径流排泄条件良好。</w:t>
      </w:r>
    </w:p>
    <w:p w:rsidR="00C861DA" w:rsidRDefault="0044752E">
      <w:pPr>
        <w:pStyle w:val="32"/>
        <w:rPr>
          <w:rFonts w:ascii="Times New Roman" w:eastAsia="宋体"/>
          <w:bCs w:val="0"/>
          <w:color w:val="000000" w:themeColor="text1"/>
          <w:sz w:val="24"/>
          <w:szCs w:val="24"/>
        </w:rPr>
      </w:pPr>
      <w:bookmarkStart w:id="485" w:name="_Toc6826856"/>
      <w:bookmarkStart w:id="486" w:name="_Toc16257"/>
      <w:r>
        <w:rPr>
          <w:rFonts w:ascii="Times New Roman" w:eastAsia="宋体"/>
          <w:bCs w:val="0"/>
          <w:color w:val="000000" w:themeColor="text1"/>
          <w:sz w:val="24"/>
          <w:szCs w:val="24"/>
        </w:rPr>
        <w:t>7.4.2</w:t>
      </w:r>
      <w:r>
        <w:rPr>
          <w:rFonts w:ascii="Times New Roman" w:eastAsia="宋体"/>
          <w:bCs w:val="0"/>
          <w:color w:val="000000" w:themeColor="text1"/>
          <w:sz w:val="24"/>
          <w:szCs w:val="24"/>
        </w:rPr>
        <w:t>拟建厂区水文地质条件</w:t>
      </w:r>
      <w:bookmarkEnd w:id="485"/>
      <w:bookmarkEnd w:id="486"/>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）根据场址区出露地层主要为元古界昆阳群美党组（</w:t>
      </w:r>
      <w:r>
        <w:rPr>
          <w:rFonts w:ascii="Times New Roman" w:eastAsia="宋体" w:hAnsi="Times New Roman" w:cs="Times New Roman"/>
          <w:color w:val="000000" w:themeColor="text1"/>
          <w:sz w:val="24"/>
        </w:rPr>
        <w:t>Pt1m</w:t>
      </w:r>
      <w:r>
        <w:rPr>
          <w:rFonts w:ascii="Times New Roman" w:eastAsia="宋体" w:hAnsi="Times New Roman" w:cs="Times New Roman"/>
          <w:color w:val="000000" w:themeColor="text1"/>
          <w:sz w:val="24"/>
        </w:rPr>
        <w:t>）地层，该层以板岩为主，表层风化强烈，地下水类型主要松散层孔隙水和基岩裂隙水两类，分述如下：</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1 \* GB3 </w:instrText>
      </w:r>
      <w:r>
        <w:rPr>
          <w:rFonts w:ascii="Times New Roman" w:eastAsia="宋体" w:hAnsi="Times New Roman" w:cs="Times New Roman"/>
          <w:color w:val="000000" w:themeColor="text1"/>
          <w:sz w:val="24"/>
        </w:rPr>
        <w:fldChar w:fldCharType="separate"/>
      </w:r>
      <w:r>
        <w:rPr>
          <w:rFonts w:ascii="宋体" w:eastAsia="宋体" w:hAnsi="宋体" w:cs="宋体" w:hint="eastAsia"/>
          <w:color w:val="000000" w:themeColor="text1"/>
          <w:sz w:val="24"/>
        </w:rPr>
        <w:t>①</w:t>
      </w:r>
      <w:r>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t>松散层孔隙水</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含水层主要为第四系残积层、坡积层（</w:t>
      </w:r>
      <w:r>
        <w:rPr>
          <w:rFonts w:ascii="Times New Roman" w:eastAsia="宋体" w:hAnsi="Times New Roman" w:cs="Times New Roman"/>
          <w:color w:val="000000" w:themeColor="text1"/>
          <w:sz w:val="24"/>
        </w:rPr>
        <w:t>Q</w:t>
      </w:r>
      <w:r>
        <w:rPr>
          <w:rFonts w:ascii="Times New Roman" w:eastAsia="宋体" w:hAnsi="Times New Roman" w:cs="Times New Roman"/>
          <w:color w:val="000000" w:themeColor="text1"/>
          <w:sz w:val="24"/>
        </w:rPr>
        <w:t>），含水层厚</w:t>
      </w:r>
      <w:r>
        <w:rPr>
          <w:rFonts w:ascii="Times New Roman" w:eastAsia="宋体" w:hAnsi="Times New Roman" w:cs="Times New Roman"/>
          <w:color w:val="000000" w:themeColor="text1"/>
          <w:sz w:val="24"/>
        </w:rPr>
        <w:t>0.2~0.7m</w:t>
      </w:r>
      <w:r>
        <w:rPr>
          <w:rFonts w:ascii="Times New Roman" w:eastAsia="宋体" w:hAnsi="Times New Roman" w:cs="Times New Roman"/>
          <w:color w:val="000000" w:themeColor="text1"/>
          <w:sz w:val="24"/>
        </w:rPr>
        <w:t>，富水性弱，水位随季节变化较大，无常年水位线，多在岩土界面形成上层滞水，在场地内未见有该类型地下水泉点出露。</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2 \* GB3 </w:instrText>
      </w:r>
      <w:r>
        <w:rPr>
          <w:rFonts w:ascii="Times New Roman" w:eastAsia="宋体" w:hAnsi="Times New Roman" w:cs="Times New Roman"/>
          <w:color w:val="000000" w:themeColor="text1"/>
          <w:sz w:val="24"/>
        </w:rPr>
        <w:fldChar w:fldCharType="separate"/>
      </w:r>
      <w:r>
        <w:rPr>
          <w:rFonts w:ascii="宋体" w:eastAsia="宋体" w:hAnsi="宋体" w:cs="宋体" w:hint="eastAsia"/>
          <w:color w:val="000000" w:themeColor="text1"/>
          <w:sz w:val="24"/>
        </w:rPr>
        <w:t>②</w:t>
      </w:r>
      <w:r>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t>基岩裂隙水</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含水层为元古界昆阳群美党组（</w:t>
      </w:r>
      <w:r>
        <w:rPr>
          <w:rFonts w:ascii="Times New Roman" w:eastAsia="宋体" w:hAnsi="Times New Roman" w:cs="Times New Roman"/>
          <w:color w:val="000000" w:themeColor="text1"/>
          <w:sz w:val="24"/>
        </w:rPr>
        <w:t>Pt1m</w:t>
      </w:r>
      <w:r>
        <w:rPr>
          <w:rFonts w:ascii="Times New Roman" w:eastAsia="宋体" w:hAnsi="Times New Roman" w:cs="Times New Roman"/>
          <w:color w:val="000000" w:themeColor="text1"/>
          <w:sz w:val="24"/>
        </w:rPr>
        <w:t>）砂质板岩、板岩，浇层风化裂隙发育，地下水主要赋存于基岩风化裂隙及节理裂隙中。据区域水文地质资料，昆阳群美党组（</w:t>
      </w:r>
      <w:r>
        <w:rPr>
          <w:rFonts w:ascii="Times New Roman" w:eastAsia="宋体" w:hAnsi="Times New Roman" w:cs="Times New Roman"/>
          <w:color w:val="000000" w:themeColor="text1"/>
          <w:sz w:val="24"/>
        </w:rPr>
        <w:t>Pt1m</w:t>
      </w:r>
      <w:r>
        <w:rPr>
          <w:rFonts w:ascii="Times New Roman" w:eastAsia="宋体" w:hAnsi="Times New Roman" w:cs="Times New Roman"/>
          <w:color w:val="000000" w:themeColor="text1"/>
          <w:sz w:val="24"/>
        </w:rPr>
        <w:t>）泉水流量</w:t>
      </w:r>
      <w:r>
        <w:rPr>
          <w:rFonts w:ascii="Times New Roman" w:eastAsia="宋体" w:hAnsi="Times New Roman" w:cs="Times New Roman"/>
          <w:color w:val="000000" w:themeColor="text1"/>
          <w:sz w:val="24"/>
        </w:rPr>
        <w:t>0.14</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2.0L/s</w:t>
      </w:r>
      <w:r>
        <w:rPr>
          <w:rFonts w:ascii="Times New Roman" w:eastAsia="宋体" w:hAnsi="Times New Roman" w:cs="Times New Roman"/>
          <w:color w:val="000000" w:themeColor="text1"/>
          <w:sz w:val="24"/>
        </w:rPr>
        <w:t>以上，地下水径流模数在</w:t>
      </w:r>
      <w:r>
        <w:rPr>
          <w:rFonts w:ascii="Times New Roman" w:eastAsia="宋体" w:hAnsi="Times New Roman" w:cs="Times New Roman"/>
          <w:color w:val="000000" w:themeColor="text1"/>
          <w:sz w:val="24"/>
        </w:rPr>
        <w:t>0.4</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0.9L/s·km</w:t>
      </w:r>
      <w:r>
        <w:rPr>
          <w:rFonts w:ascii="Times New Roman" w:eastAsia="宋体" w:hAnsi="Times New Roman" w:cs="Times New Roman"/>
          <w:color w:val="000000" w:themeColor="text1"/>
          <w:sz w:val="24"/>
          <w:vertAlign w:val="superscript"/>
        </w:rPr>
        <w:t>2</w:t>
      </w:r>
      <w:r>
        <w:rPr>
          <w:rFonts w:ascii="Times New Roman" w:eastAsia="宋体" w:hAnsi="Times New Roman" w:cs="Times New Roman"/>
          <w:color w:val="000000" w:themeColor="text1"/>
          <w:sz w:val="24"/>
        </w:rPr>
        <w:t>左右，富水性较弱，同时具有随着深度增大富水性减弱的特点。岩层富水性弱，补给条件差，场地附近未见有基岩裂隙水泉点出露，也不存在稳定地下水。</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）拟建场区地下水补给、径流、排泄</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场地区地下水补给主要有大气降水的垂向补给。拟建项目区内无地表水体存在，区内年平均降水量</w:t>
      </w:r>
      <w:r>
        <w:rPr>
          <w:rFonts w:ascii="Times New Roman" w:eastAsia="宋体" w:hAnsi="Times New Roman" w:cs="Times New Roman"/>
          <w:color w:val="000000" w:themeColor="text1"/>
          <w:sz w:val="24"/>
        </w:rPr>
        <w:t>886.5mm</w:t>
      </w:r>
      <w:r>
        <w:rPr>
          <w:rFonts w:ascii="Times New Roman" w:eastAsia="宋体" w:hAnsi="Times New Roman" w:cs="Times New Roman"/>
          <w:color w:val="000000" w:themeColor="text1"/>
          <w:sz w:val="24"/>
        </w:rPr>
        <w:t>，雨量较充沛，是场地地下水主要补给来源。</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拟建场地区位于螃蟹河水库水文单元东北边缘补给区，高程</w:t>
      </w:r>
      <w:r>
        <w:rPr>
          <w:rFonts w:ascii="Times New Roman" w:eastAsia="宋体" w:hAnsi="Times New Roman" w:cs="Times New Roman"/>
          <w:color w:val="000000" w:themeColor="text1"/>
          <w:sz w:val="24"/>
        </w:rPr>
        <w:t>2000m</w:t>
      </w:r>
      <w:r>
        <w:rPr>
          <w:rFonts w:ascii="Times New Roman" w:eastAsia="宋体" w:hAnsi="Times New Roman" w:cs="Times New Roman"/>
          <w:color w:val="000000" w:themeColor="text1"/>
          <w:sz w:val="24"/>
        </w:rPr>
        <w:t>，高出西南螃蟹河水库水面</w:t>
      </w:r>
      <w:r>
        <w:rPr>
          <w:rFonts w:ascii="Times New Roman" w:eastAsia="宋体" w:hAnsi="Times New Roman" w:cs="Times New Roman"/>
          <w:color w:val="000000" w:themeColor="text1"/>
          <w:sz w:val="24"/>
        </w:rPr>
        <w:t>100m</w:t>
      </w:r>
      <w:r>
        <w:rPr>
          <w:rFonts w:ascii="Times New Roman" w:eastAsia="宋体" w:hAnsi="Times New Roman" w:cs="Times New Roman"/>
          <w:color w:val="000000" w:themeColor="text1"/>
          <w:sz w:val="24"/>
        </w:rPr>
        <w:t>，场地内地下水以松散层孔隙水为主要地下水类型，向西南螃蟹河水库径流排泄，水头较大，径流条件良好。</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）地下水脆弱性</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拟建场地内地下水以松散岩类孔隙水为主要地下水类型，属潜水，水位随季节变化大，无稳定固定水位。基岩以板岩为主，属相对隔水层，区内松散层孔隙水向西南低处径流排泄。</w:t>
      </w:r>
      <w:r>
        <w:rPr>
          <w:rFonts w:ascii="Times New Roman" w:eastAsia="宋体" w:hAnsi="Times New Roman" w:cs="Times New Roman"/>
          <w:color w:val="000000" w:themeColor="text1"/>
          <w:sz w:val="24"/>
        </w:rPr>
        <w:t>拟建场地内未发育与邻近谷相通的强导水构造，项目区周边现状污染源少，区内地下水脆弱性总体较低。</w:t>
      </w:r>
    </w:p>
    <w:p w:rsidR="00C861DA" w:rsidRDefault="0044752E">
      <w:pPr>
        <w:pStyle w:val="32"/>
        <w:rPr>
          <w:rFonts w:ascii="Times New Roman" w:eastAsia="宋体"/>
          <w:bCs w:val="0"/>
          <w:color w:val="000000" w:themeColor="text1"/>
          <w:sz w:val="24"/>
          <w:szCs w:val="24"/>
        </w:rPr>
      </w:pPr>
      <w:bookmarkStart w:id="487" w:name="_Toc15250"/>
      <w:bookmarkStart w:id="488" w:name="_Toc6826857"/>
      <w:r>
        <w:rPr>
          <w:rFonts w:ascii="Times New Roman" w:eastAsia="宋体"/>
          <w:bCs w:val="0"/>
          <w:color w:val="000000" w:themeColor="text1"/>
          <w:sz w:val="24"/>
          <w:szCs w:val="24"/>
        </w:rPr>
        <w:t>7.4.3</w:t>
      </w:r>
      <w:r>
        <w:rPr>
          <w:rFonts w:ascii="Times New Roman" w:eastAsia="宋体"/>
          <w:bCs w:val="0"/>
          <w:color w:val="000000" w:themeColor="text1"/>
          <w:sz w:val="24"/>
          <w:szCs w:val="24"/>
        </w:rPr>
        <w:t>测区内泉（眼）点的分布及特征</w:t>
      </w:r>
      <w:bookmarkEnd w:id="487"/>
      <w:bookmarkEnd w:id="488"/>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通过对拟建场地及其周边进行水文地质、工程地质走访调查及测绘，本项目评价区域内无泉点。</w:t>
      </w:r>
    </w:p>
    <w:p w:rsidR="00C861DA" w:rsidRDefault="0044752E">
      <w:pPr>
        <w:pStyle w:val="32"/>
        <w:rPr>
          <w:rFonts w:ascii="Times New Roman" w:eastAsia="宋体"/>
          <w:bCs w:val="0"/>
          <w:color w:val="000000" w:themeColor="text1"/>
          <w:sz w:val="24"/>
          <w:szCs w:val="24"/>
        </w:rPr>
      </w:pPr>
      <w:bookmarkStart w:id="489" w:name="_Toc11862"/>
      <w:bookmarkStart w:id="490" w:name="_Toc6826858"/>
      <w:r>
        <w:rPr>
          <w:rFonts w:ascii="Times New Roman" w:eastAsia="宋体"/>
          <w:bCs w:val="0"/>
          <w:color w:val="000000" w:themeColor="text1"/>
          <w:sz w:val="24"/>
          <w:szCs w:val="24"/>
        </w:rPr>
        <w:t>7.4.4</w:t>
      </w:r>
      <w:r>
        <w:rPr>
          <w:rFonts w:ascii="Times New Roman" w:eastAsia="宋体"/>
          <w:bCs w:val="0"/>
          <w:color w:val="000000" w:themeColor="text1"/>
          <w:sz w:val="24"/>
          <w:szCs w:val="24"/>
        </w:rPr>
        <w:t>环境水文地质问题及区域污染源状况</w:t>
      </w:r>
      <w:bookmarkEnd w:id="489"/>
      <w:bookmarkEnd w:id="490"/>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评估区现状环境水文地质问题目前较轻，虽然局部有生活及工业污染源分布，且有零散放牧现象，由于天然含水层具有一定的防污性能，维护着当前的地下水环境质量仍然达到</w:t>
      </w:r>
      <w:r>
        <w:rPr>
          <w:rFonts w:ascii="宋体" w:eastAsia="宋体" w:hAnsi="宋体" w:cs="宋体" w:hint="eastAsia"/>
          <w:color w:val="000000" w:themeColor="text1"/>
          <w:sz w:val="24"/>
        </w:rPr>
        <w:t>Ⅲ</w:t>
      </w:r>
      <w:r>
        <w:rPr>
          <w:rFonts w:ascii="Times New Roman" w:eastAsia="宋体" w:hAnsi="Times New Roman" w:cs="Times New Roman"/>
          <w:color w:val="000000" w:themeColor="text1"/>
          <w:sz w:val="24"/>
        </w:rPr>
        <w:t>类水质标准。</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由于项目区及厂区存在含氨等生产装置。长期存放及运营期间可能发生的泄漏则有可能对地下水环境造成一定影响。</w:t>
      </w:r>
    </w:p>
    <w:p w:rsidR="00C861DA" w:rsidRDefault="0044752E">
      <w:pPr>
        <w:pStyle w:val="32"/>
        <w:rPr>
          <w:rFonts w:ascii="Times New Roman" w:eastAsia="宋体"/>
          <w:bCs w:val="0"/>
          <w:color w:val="000000" w:themeColor="text1"/>
          <w:sz w:val="24"/>
          <w:szCs w:val="24"/>
        </w:rPr>
      </w:pPr>
      <w:bookmarkStart w:id="491" w:name="_Toc6826859"/>
      <w:r>
        <w:rPr>
          <w:rFonts w:ascii="Times New Roman" w:eastAsia="宋体"/>
          <w:bCs w:val="0"/>
          <w:color w:val="000000" w:themeColor="text1"/>
          <w:sz w:val="24"/>
          <w:szCs w:val="24"/>
        </w:rPr>
        <w:t>7.4.5</w:t>
      </w:r>
      <w:r>
        <w:rPr>
          <w:rFonts w:ascii="Times New Roman" w:eastAsia="宋体"/>
          <w:bCs w:val="0"/>
          <w:color w:val="000000" w:themeColor="text1"/>
          <w:sz w:val="24"/>
          <w:szCs w:val="24"/>
        </w:rPr>
        <w:t>影响分析</w:t>
      </w:r>
      <w:bookmarkEnd w:id="491"/>
    </w:p>
    <w:p w:rsidR="00C861DA" w:rsidRDefault="0044752E">
      <w:pPr>
        <w:spacing w:line="360" w:lineRule="auto"/>
        <w:ind w:firstLineChars="200" w:firstLine="480"/>
        <w:rPr>
          <w:rFonts w:ascii="Times New Roman" w:eastAsia="宋体" w:hAnsi="Times New Roman" w:cs="Times New Roman"/>
          <w:color w:val="000000" w:themeColor="text1"/>
          <w:sz w:val="24"/>
        </w:rPr>
      </w:pPr>
      <w:bookmarkStart w:id="492" w:name="_Toc24064"/>
      <w:bookmarkStart w:id="493" w:name="_Toc511303782"/>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）评价因子选取</w:t>
      </w:r>
      <w:bookmarkEnd w:id="492"/>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液氨，又称为无水氨，是一种无色液体，有强烈刺激性气味。液氨易溶于水，溶于水后形成铵根离子</w:t>
      </w:r>
      <w:r>
        <w:rPr>
          <w:rFonts w:ascii="Times New Roman" w:eastAsia="宋体" w:hAnsi="Times New Roman" w:cs="Times New Roman"/>
          <w:color w:val="000000" w:themeColor="text1"/>
          <w:sz w:val="24"/>
        </w:rPr>
        <w:t>NH</w:t>
      </w:r>
      <w:r>
        <w:rPr>
          <w:rFonts w:ascii="Times New Roman" w:eastAsia="宋体" w:hAnsi="Times New Roman" w:cs="Times New Roman"/>
          <w:color w:val="000000" w:themeColor="text1"/>
          <w:sz w:val="24"/>
          <w:vertAlign w:val="superscript"/>
        </w:rPr>
        <w:t>4+</w:t>
      </w:r>
      <w:r>
        <w:rPr>
          <w:rFonts w:ascii="Times New Roman" w:eastAsia="宋体" w:hAnsi="Times New Roman" w:cs="Times New Roman"/>
          <w:color w:val="000000" w:themeColor="text1"/>
          <w:sz w:val="24"/>
        </w:rPr>
        <w:t>、氢氧根离子</w:t>
      </w:r>
      <w:r>
        <w:rPr>
          <w:rFonts w:ascii="Times New Roman" w:eastAsia="宋体" w:hAnsi="Times New Roman" w:cs="Times New Roman"/>
          <w:color w:val="000000" w:themeColor="text1"/>
          <w:sz w:val="24"/>
        </w:rPr>
        <w:t>OH</w:t>
      </w:r>
      <w:r>
        <w:rPr>
          <w:rFonts w:ascii="Times New Roman" w:eastAsia="宋体" w:hAnsi="Times New Roman" w:cs="Times New Roman"/>
          <w:color w:val="000000" w:themeColor="text1"/>
          <w:sz w:val="24"/>
          <w:vertAlign w:val="superscript"/>
        </w:rPr>
        <w:t>-</w:t>
      </w:r>
      <w:r>
        <w:rPr>
          <w:rFonts w:ascii="Times New Roman" w:eastAsia="宋体" w:hAnsi="Times New Roman" w:cs="Times New Roman"/>
          <w:color w:val="000000" w:themeColor="text1"/>
          <w:sz w:val="24"/>
        </w:rPr>
        <w:t>，溶液呈碱性。根据项目工程分析，本项目正常情况无水污染物排放。事故条件下，喷洒水、醋酸或其他稀酸进行中和，会产生事故废水，主要污染物为氨氮，因此事故条件下，采用氨氮作为预测因子。</w:t>
      </w:r>
    </w:p>
    <w:p w:rsidR="00C861DA" w:rsidRDefault="0044752E">
      <w:pPr>
        <w:spacing w:line="360" w:lineRule="auto"/>
        <w:ind w:firstLineChars="200" w:firstLine="480"/>
        <w:rPr>
          <w:rFonts w:ascii="Times New Roman" w:eastAsia="宋体" w:hAnsi="Times New Roman" w:cs="Times New Roman"/>
          <w:color w:val="000000" w:themeColor="text1"/>
          <w:sz w:val="24"/>
        </w:rPr>
      </w:pPr>
      <w:bookmarkStart w:id="494" w:name="_Toc24264"/>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）污染源强</w:t>
      </w:r>
      <w:bookmarkEnd w:id="493"/>
      <w:bookmarkEnd w:id="494"/>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本项目正常情况下不排放污染物，不进行污染物源强核算。事故条件下，根据《环境风险评价实用技术和方法》介绍的典型泄漏案例，本次泄漏选用</w:t>
      </w:r>
      <w:r>
        <w:rPr>
          <w:rFonts w:ascii="Times New Roman" w:eastAsia="宋体" w:hAnsi="Times New Roman" w:cs="Times New Roman" w:hint="eastAsia"/>
          <w:color w:val="000000" w:themeColor="text1"/>
          <w:sz w:val="24"/>
        </w:rPr>
        <w:t>全管道破裂</w:t>
      </w:r>
      <w:r>
        <w:rPr>
          <w:rFonts w:ascii="Times New Roman" w:eastAsia="宋体" w:hAnsi="Times New Roman" w:cs="Times New Roman"/>
          <w:color w:val="000000" w:themeColor="text1"/>
          <w:sz w:val="24"/>
        </w:rPr>
        <w:t>。液氨管道直径为</w:t>
      </w:r>
      <w:r>
        <w:rPr>
          <w:rFonts w:ascii="Times New Roman" w:eastAsia="宋体" w:hAnsi="Times New Roman" w:cs="Times New Roman"/>
          <w:color w:val="000000" w:themeColor="text1"/>
          <w:sz w:val="24"/>
        </w:rPr>
        <w:t>150mm</w:t>
      </w:r>
      <w:r>
        <w:rPr>
          <w:rFonts w:ascii="Times New Roman" w:eastAsia="宋体" w:hAnsi="Times New Roman" w:cs="Times New Roman"/>
          <w:color w:val="000000" w:themeColor="text1"/>
          <w:sz w:val="24"/>
        </w:rPr>
        <w:t>。泄漏量采用《建设项目环境风险评价技术导则》（</w:t>
      </w:r>
      <w:r>
        <w:rPr>
          <w:rFonts w:ascii="Times New Roman" w:eastAsia="宋体" w:hAnsi="Times New Roman" w:cs="Times New Roman"/>
          <w:color w:val="000000" w:themeColor="text1"/>
          <w:sz w:val="24"/>
        </w:rPr>
        <w:t>HJ/T169-2018</w:t>
      </w:r>
      <w:r>
        <w:rPr>
          <w:rFonts w:ascii="Times New Roman" w:eastAsia="宋体" w:hAnsi="Times New Roman" w:cs="Times New Roman"/>
          <w:color w:val="000000" w:themeColor="text1"/>
          <w:sz w:val="24"/>
        </w:rPr>
        <w:t>）推荐的液体泄漏公式进行计算：</w:t>
      </w:r>
    </w:p>
    <w:p w:rsidR="00C861DA" w:rsidRDefault="0044752E">
      <w:pPr>
        <w:ind w:firstLine="480"/>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extent cx="1909445" cy="452120"/>
            <wp:effectExtent l="0" t="0" r="0" b="0"/>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noChangeArrowheads="1"/>
                    </pic:cNvPicPr>
                  </pic:nvPicPr>
                  <pic:blipFill>
                    <a:blip r:embed="rId47"/>
                    <a:srcRect/>
                    <a:stretch>
                      <a:fillRect/>
                    </a:stretch>
                  </pic:blipFill>
                  <pic:spPr>
                    <a:xfrm>
                      <a:off x="0" y="0"/>
                      <a:ext cx="1909445" cy="452120"/>
                    </a:xfrm>
                    <a:prstGeom prst="rect">
                      <a:avLst/>
                    </a:prstGeom>
                    <a:noFill/>
                    <a:ln>
                      <a:noFill/>
                    </a:ln>
                  </pic:spPr>
                </pic:pic>
              </a:graphicData>
            </a:graphic>
          </wp:inline>
        </w:drawing>
      </w:r>
    </w:p>
    <w:p w:rsidR="00C861DA" w:rsidRDefault="0044752E">
      <w:pPr>
        <w:ind w:firstLineChars="400" w:firstLine="840"/>
        <w:rPr>
          <w:rFonts w:ascii="Times New Roman" w:eastAsia="宋体" w:hAnsi="Times New Roman" w:cs="Times New Roman"/>
          <w:color w:val="000000" w:themeColor="text1"/>
        </w:rPr>
      </w:pPr>
      <w:r>
        <w:rPr>
          <w:rFonts w:ascii="Times New Roman" w:eastAsia="宋体" w:hAnsi="Times New Roman" w:cs="Times New Roman"/>
          <w:color w:val="000000" w:themeColor="text1"/>
        </w:rPr>
        <w:t>式中：</w:t>
      </w:r>
      <w:r>
        <w:rPr>
          <w:rFonts w:ascii="Times New Roman" w:eastAsia="宋体" w:hAnsi="Times New Roman" w:cs="Times New Roman"/>
          <w:color w:val="000000" w:themeColor="text1"/>
        </w:rPr>
        <w:t>Q</w:t>
      </w:r>
      <w:r>
        <w:rPr>
          <w:rFonts w:ascii="Times New Roman" w:eastAsia="宋体" w:hAnsi="Times New Roman" w:cs="Times New Roman"/>
          <w:color w:val="000000" w:themeColor="text1"/>
          <w:vertAlign w:val="subscript"/>
        </w:rPr>
        <w:t>L</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液体泄漏速度，</w:t>
      </w:r>
      <w:r>
        <w:rPr>
          <w:rFonts w:ascii="Times New Roman" w:eastAsia="宋体" w:hAnsi="Times New Roman" w:cs="Times New Roman"/>
          <w:color w:val="000000" w:themeColor="text1"/>
        </w:rPr>
        <w:t>kg/s</w:t>
      </w:r>
      <w:r>
        <w:rPr>
          <w:rFonts w:ascii="Times New Roman" w:eastAsia="宋体" w:hAnsi="Times New Roman" w:cs="Times New Roman"/>
          <w:color w:val="000000" w:themeColor="text1"/>
        </w:rPr>
        <w:t>；</w:t>
      </w:r>
    </w:p>
    <w:p w:rsidR="00C861DA" w:rsidRDefault="0044752E">
      <w:pPr>
        <w:ind w:firstLineChars="400" w:firstLine="840"/>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C</w:t>
      </w:r>
      <w:r>
        <w:rPr>
          <w:rFonts w:ascii="Times New Roman" w:eastAsia="宋体" w:hAnsi="Times New Roman" w:cs="Times New Roman"/>
          <w:color w:val="000000" w:themeColor="text1"/>
          <w:vertAlign w:val="subscript"/>
        </w:rPr>
        <w:t>d</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液体泄漏系数；</w:t>
      </w:r>
    </w:p>
    <w:p w:rsidR="00C861DA" w:rsidRDefault="0044752E">
      <w:pPr>
        <w:ind w:firstLineChars="400" w:firstLine="840"/>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A——</w:t>
      </w:r>
      <w:r>
        <w:rPr>
          <w:rFonts w:ascii="Times New Roman" w:eastAsia="宋体" w:hAnsi="Times New Roman" w:cs="Times New Roman"/>
          <w:color w:val="000000" w:themeColor="text1"/>
        </w:rPr>
        <w:t>裂口面积，</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w:t>
      </w:r>
    </w:p>
    <w:p w:rsidR="00C861DA" w:rsidRDefault="0044752E">
      <w:pPr>
        <w:ind w:firstLineChars="400" w:firstLine="840"/>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P——</w:t>
      </w:r>
      <w:r>
        <w:rPr>
          <w:rFonts w:ascii="Times New Roman" w:eastAsia="宋体" w:hAnsi="Times New Roman" w:cs="Times New Roman"/>
          <w:color w:val="000000" w:themeColor="text1"/>
        </w:rPr>
        <w:t>泄漏液体密度，</w:t>
      </w:r>
      <w:r>
        <w:rPr>
          <w:rFonts w:ascii="Times New Roman" w:eastAsia="宋体" w:hAnsi="Times New Roman" w:cs="Times New Roman"/>
          <w:color w:val="000000" w:themeColor="text1"/>
        </w:rPr>
        <w:t>kg/m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p>
    <w:p w:rsidR="00C861DA" w:rsidRDefault="0044752E">
      <w:pPr>
        <w:ind w:firstLineChars="400" w:firstLine="840"/>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P——</w:t>
      </w:r>
      <w:r>
        <w:rPr>
          <w:rFonts w:ascii="Times New Roman" w:eastAsia="宋体" w:hAnsi="Times New Roman" w:cs="Times New Roman"/>
          <w:color w:val="000000" w:themeColor="text1"/>
        </w:rPr>
        <w:t>容器内介质压力，</w:t>
      </w:r>
      <w:r>
        <w:rPr>
          <w:rFonts w:ascii="Times New Roman" w:eastAsia="宋体" w:hAnsi="Times New Roman" w:cs="Times New Roman"/>
          <w:color w:val="000000" w:themeColor="text1"/>
        </w:rPr>
        <w:t>Pa;</w:t>
      </w:r>
    </w:p>
    <w:p w:rsidR="00C861DA" w:rsidRDefault="0044752E">
      <w:pPr>
        <w:ind w:firstLineChars="400" w:firstLine="840"/>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P</w:t>
      </w:r>
      <w:r>
        <w:rPr>
          <w:rFonts w:ascii="Times New Roman" w:eastAsia="宋体" w:hAnsi="Times New Roman" w:cs="Times New Roman"/>
          <w:color w:val="000000" w:themeColor="text1"/>
          <w:vertAlign w:val="subscript"/>
        </w:rPr>
        <w:t>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环境压力，</w:t>
      </w:r>
      <w:r>
        <w:rPr>
          <w:rFonts w:ascii="Times New Roman" w:eastAsia="宋体" w:hAnsi="Times New Roman" w:cs="Times New Roman"/>
          <w:color w:val="000000" w:themeColor="text1"/>
        </w:rPr>
        <w:t>Pa</w:t>
      </w:r>
      <w:r>
        <w:rPr>
          <w:rFonts w:ascii="Times New Roman" w:eastAsia="宋体" w:hAnsi="Times New Roman" w:cs="Times New Roman"/>
          <w:color w:val="000000" w:themeColor="text1"/>
        </w:rPr>
        <w:t>；</w:t>
      </w:r>
    </w:p>
    <w:p w:rsidR="00C861DA" w:rsidRDefault="0044752E">
      <w:pPr>
        <w:ind w:firstLineChars="400" w:firstLine="840"/>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g——</w:t>
      </w:r>
      <w:r>
        <w:rPr>
          <w:rFonts w:ascii="Times New Roman" w:eastAsia="宋体" w:hAnsi="Times New Roman" w:cs="Times New Roman"/>
          <w:color w:val="000000" w:themeColor="text1"/>
        </w:rPr>
        <w:t>重力加速度；</w:t>
      </w:r>
    </w:p>
    <w:p w:rsidR="00C861DA" w:rsidRDefault="0044752E">
      <w:pPr>
        <w:ind w:firstLineChars="400" w:firstLine="840"/>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h——</w:t>
      </w:r>
      <w:r>
        <w:rPr>
          <w:rFonts w:ascii="Times New Roman" w:eastAsia="宋体" w:hAnsi="Times New Roman" w:cs="Times New Roman"/>
          <w:color w:val="000000" w:themeColor="text1"/>
        </w:rPr>
        <w:t>裂口之上液位高度，本项目取</w:t>
      </w:r>
      <w:r>
        <w:rPr>
          <w:rFonts w:ascii="Times New Roman" w:eastAsia="宋体" w:hAnsi="Times New Roman" w:cs="Times New Roman"/>
          <w:color w:val="000000" w:themeColor="text1"/>
        </w:rPr>
        <w:t>2m</w:t>
      </w:r>
      <w:r>
        <w:rPr>
          <w:rFonts w:ascii="Times New Roman" w:eastAsia="宋体" w:hAnsi="Times New Roman" w:cs="Times New Roman"/>
          <w:color w:val="000000" w:themeColor="text1"/>
        </w:rPr>
        <w:t>。</w:t>
      </w:r>
    </w:p>
    <w:p w:rsidR="00C861DA" w:rsidRDefault="0044752E">
      <w:pPr>
        <w:spacing w:line="360" w:lineRule="auto"/>
        <w:ind w:firstLineChars="200" w:firstLine="420"/>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泄漏量计算结果见下表：</w:t>
      </w:r>
    </w:p>
    <w:p w:rsidR="00C861DA" w:rsidRDefault="0044752E">
      <w:pPr>
        <w:ind w:firstLine="482"/>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表</w:t>
      </w:r>
      <w:r>
        <w:rPr>
          <w:rFonts w:ascii="Times New Roman" w:eastAsia="宋体" w:hAnsi="Times New Roman" w:cs="Times New Roman"/>
          <w:b/>
          <w:color w:val="000000" w:themeColor="text1"/>
        </w:rPr>
        <w:t xml:space="preserve">7.4-1  </w:t>
      </w:r>
      <w:r>
        <w:rPr>
          <w:rFonts w:ascii="Times New Roman" w:eastAsia="宋体" w:hAnsi="Times New Roman" w:cs="Times New Roman" w:hint="eastAsia"/>
          <w:b/>
          <w:color w:val="000000" w:themeColor="text1"/>
        </w:rPr>
        <w:t>液氨输送管线</w:t>
      </w:r>
      <w:r>
        <w:rPr>
          <w:rFonts w:ascii="Times New Roman" w:eastAsia="宋体" w:hAnsi="Times New Roman" w:cs="Times New Roman"/>
          <w:b/>
          <w:color w:val="000000" w:themeColor="text1"/>
        </w:rPr>
        <w:t>泄漏量计算结果表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7"/>
        <w:gridCol w:w="4189"/>
      </w:tblGrid>
      <w:tr w:rsidR="00C861DA">
        <w:trPr>
          <w:trHeight w:val="369"/>
          <w:jc w:val="center"/>
        </w:trPr>
        <w:tc>
          <w:tcPr>
            <w:tcW w:w="4107"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泄漏源</w:t>
            </w:r>
          </w:p>
        </w:tc>
        <w:tc>
          <w:tcPr>
            <w:tcW w:w="4189"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液氨输送管</w:t>
            </w:r>
          </w:p>
        </w:tc>
      </w:tr>
      <w:tr w:rsidR="00C861DA">
        <w:trPr>
          <w:trHeight w:val="369"/>
          <w:jc w:val="center"/>
        </w:trPr>
        <w:tc>
          <w:tcPr>
            <w:tcW w:w="4107"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温度（</w:t>
            </w:r>
            <w:r>
              <w:rPr>
                <w:rFonts w:ascii="Times New Roman" w:eastAsia="宋体" w:hAnsi="Times New Roman" w:cs="Times New Roman"/>
                <w:color w:val="000000" w:themeColor="text1"/>
                <w:kern w:val="0"/>
                <w:szCs w:val="20"/>
              </w:rPr>
              <w:t>K</w:t>
            </w:r>
            <w:r>
              <w:rPr>
                <w:rFonts w:ascii="Times New Roman" w:eastAsia="宋体" w:hAnsi="Times New Roman" w:cs="Times New Roman"/>
                <w:color w:val="000000" w:themeColor="text1"/>
                <w:kern w:val="0"/>
                <w:szCs w:val="20"/>
              </w:rPr>
              <w:t>）</w:t>
            </w:r>
          </w:p>
        </w:tc>
        <w:tc>
          <w:tcPr>
            <w:tcW w:w="4189"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298</w:t>
            </w:r>
          </w:p>
        </w:tc>
      </w:tr>
      <w:tr w:rsidR="00C861DA">
        <w:trPr>
          <w:trHeight w:val="369"/>
          <w:jc w:val="center"/>
        </w:trPr>
        <w:tc>
          <w:tcPr>
            <w:tcW w:w="4107"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容器内压力（</w:t>
            </w:r>
            <w:r>
              <w:rPr>
                <w:rFonts w:ascii="Times New Roman" w:eastAsia="宋体" w:hAnsi="Times New Roman" w:cs="Times New Roman"/>
                <w:color w:val="000000" w:themeColor="text1"/>
                <w:kern w:val="0"/>
                <w:szCs w:val="20"/>
              </w:rPr>
              <w:t>MPa</w:t>
            </w:r>
            <w:r>
              <w:rPr>
                <w:rFonts w:ascii="Times New Roman" w:eastAsia="宋体" w:hAnsi="Times New Roman" w:cs="Times New Roman"/>
                <w:color w:val="000000" w:themeColor="text1"/>
                <w:kern w:val="0"/>
                <w:szCs w:val="20"/>
              </w:rPr>
              <w:t>）</w:t>
            </w:r>
          </w:p>
        </w:tc>
        <w:tc>
          <w:tcPr>
            <w:tcW w:w="4189"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1.2</w:t>
            </w:r>
          </w:p>
        </w:tc>
      </w:tr>
      <w:tr w:rsidR="00C861DA">
        <w:trPr>
          <w:trHeight w:val="369"/>
          <w:jc w:val="center"/>
        </w:trPr>
        <w:tc>
          <w:tcPr>
            <w:tcW w:w="4107"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环境压力（</w:t>
            </w:r>
            <w:r>
              <w:rPr>
                <w:rFonts w:ascii="Times New Roman" w:eastAsia="宋体" w:hAnsi="Times New Roman" w:cs="Times New Roman"/>
                <w:color w:val="000000" w:themeColor="text1"/>
                <w:kern w:val="0"/>
                <w:szCs w:val="20"/>
              </w:rPr>
              <w:t>MPa</w:t>
            </w:r>
            <w:r>
              <w:rPr>
                <w:rFonts w:ascii="Times New Roman" w:eastAsia="宋体" w:hAnsi="Times New Roman" w:cs="Times New Roman"/>
                <w:color w:val="000000" w:themeColor="text1"/>
                <w:kern w:val="0"/>
                <w:szCs w:val="20"/>
              </w:rPr>
              <w:t>）</w:t>
            </w:r>
          </w:p>
        </w:tc>
        <w:tc>
          <w:tcPr>
            <w:tcW w:w="4189"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0.101</w:t>
            </w:r>
          </w:p>
        </w:tc>
      </w:tr>
      <w:tr w:rsidR="00C861DA">
        <w:trPr>
          <w:trHeight w:val="369"/>
          <w:jc w:val="center"/>
        </w:trPr>
        <w:tc>
          <w:tcPr>
            <w:tcW w:w="4107"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裂口面积（</w:t>
            </w:r>
            <w:r>
              <w:rPr>
                <w:rFonts w:ascii="Times New Roman" w:eastAsia="宋体" w:hAnsi="Times New Roman" w:cs="Times New Roman"/>
                <w:color w:val="000000" w:themeColor="text1"/>
                <w:kern w:val="0"/>
                <w:szCs w:val="20"/>
              </w:rPr>
              <w:t>m</w:t>
            </w:r>
            <w:r>
              <w:rPr>
                <w:rFonts w:ascii="Times New Roman" w:eastAsia="宋体" w:hAnsi="Times New Roman" w:cs="Times New Roman"/>
                <w:color w:val="000000" w:themeColor="text1"/>
                <w:kern w:val="0"/>
                <w:szCs w:val="20"/>
                <w:vertAlign w:val="superscript"/>
              </w:rPr>
              <w:t>2</w:t>
            </w:r>
            <w:r>
              <w:rPr>
                <w:rFonts w:ascii="Times New Roman" w:eastAsia="宋体" w:hAnsi="Times New Roman" w:cs="Times New Roman"/>
                <w:color w:val="000000" w:themeColor="text1"/>
                <w:kern w:val="0"/>
                <w:szCs w:val="20"/>
              </w:rPr>
              <w:t>）</w:t>
            </w:r>
          </w:p>
        </w:tc>
        <w:tc>
          <w:tcPr>
            <w:tcW w:w="4189"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0.0017</w:t>
            </w:r>
          </w:p>
        </w:tc>
      </w:tr>
      <w:tr w:rsidR="00C861DA">
        <w:trPr>
          <w:trHeight w:val="369"/>
          <w:jc w:val="center"/>
        </w:trPr>
        <w:tc>
          <w:tcPr>
            <w:tcW w:w="4107"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液体密度（</w:t>
            </w:r>
            <w:r>
              <w:rPr>
                <w:rFonts w:ascii="Times New Roman" w:eastAsia="宋体" w:hAnsi="Times New Roman" w:cs="Times New Roman"/>
                <w:color w:val="000000" w:themeColor="text1"/>
                <w:kern w:val="0"/>
                <w:szCs w:val="20"/>
              </w:rPr>
              <w:t>kg/m</w:t>
            </w:r>
            <w:r>
              <w:rPr>
                <w:rFonts w:ascii="Times New Roman" w:eastAsia="宋体" w:hAnsi="Times New Roman" w:cs="Times New Roman"/>
                <w:color w:val="000000" w:themeColor="text1"/>
                <w:kern w:val="0"/>
                <w:szCs w:val="20"/>
                <w:vertAlign w:val="superscript"/>
              </w:rPr>
              <w:t>3</w:t>
            </w:r>
            <w:r>
              <w:rPr>
                <w:rFonts w:ascii="Times New Roman" w:eastAsia="宋体" w:hAnsi="Times New Roman" w:cs="Times New Roman"/>
                <w:color w:val="000000" w:themeColor="text1"/>
                <w:kern w:val="0"/>
                <w:szCs w:val="20"/>
              </w:rPr>
              <w:t>）</w:t>
            </w:r>
          </w:p>
        </w:tc>
        <w:tc>
          <w:tcPr>
            <w:tcW w:w="4189"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617</w:t>
            </w:r>
          </w:p>
        </w:tc>
      </w:tr>
      <w:tr w:rsidR="00C861DA">
        <w:trPr>
          <w:trHeight w:val="369"/>
          <w:jc w:val="center"/>
        </w:trPr>
        <w:tc>
          <w:tcPr>
            <w:tcW w:w="4107"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裂口形状</w:t>
            </w:r>
          </w:p>
        </w:tc>
        <w:tc>
          <w:tcPr>
            <w:tcW w:w="4189"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圆形</w:t>
            </w:r>
          </w:p>
        </w:tc>
      </w:tr>
      <w:tr w:rsidR="00C861DA">
        <w:trPr>
          <w:trHeight w:val="369"/>
          <w:jc w:val="center"/>
        </w:trPr>
        <w:tc>
          <w:tcPr>
            <w:tcW w:w="4107"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液体泄漏系数</w:t>
            </w:r>
          </w:p>
        </w:tc>
        <w:tc>
          <w:tcPr>
            <w:tcW w:w="4189"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0.62</w:t>
            </w:r>
          </w:p>
        </w:tc>
      </w:tr>
      <w:tr w:rsidR="00C861DA">
        <w:trPr>
          <w:trHeight w:val="369"/>
          <w:jc w:val="center"/>
        </w:trPr>
        <w:tc>
          <w:tcPr>
            <w:tcW w:w="4107"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泄露速率（</w:t>
            </w:r>
            <w:r>
              <w:rPr>
                <w:rFonts w:ascii="Times New Roman" w:eastAsia="宋体" w:hAnsi="Times New Roman" w:cs="Times New Roman"/>
                <w:color w:val="000000" w:themeColor="text1"/>
                <w:kern w:val="0"/>
                <w:szCs w:val="20"/>
              </w:rPr>
              <w:t>kg/s</w:t>
            </w:r>
            <w:r>
              <w:rPr>
                <w:rFonts w:ascii="Times New Roman" w:eastAsia="宋体" w:hAnsi="Times New Roman" w:cs="Times New Roman"/>
                <w:color w:val="000000" w:themeColor="text1"/>
                <w:kern w:val="0"/>
                <w:szCs w:val="20"/>
              </w:rPr>
              <w:t>）</w:t>
            </w:r>
          </w:p>
        </w:tc>
        <w:tc>
          <w:tcPr>
            <w:tcW w:w="4189"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1.3392</w:t>
            </w:r>
          </w:p>
        </w:tc>
      </w:tr>
      <w:tr w:rsidR="00C861DA">
        <w:trPr>
          <w:trHeight w:val="369"/>
          <w:jc w:val="center"/>
        </w:trPr>
        <w:tc>
          <w:tcPr>
            <w:tcW w:w="4107"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泄露持续时间（</w:t>
            </w:r>
            <w:r>
              <w:rPr>
                <w:rFonts w:ascii="Times New Roman" w:eastAsia="宋体" w:hAnsi="Times New Roman" w:cs="Times New Roman"/>
                <w:color w:val="000000" w:themeColor="text1"/>
                <w:kern w:val="0"/>
                <w:szCs w:val="20"/>
              </w:rPr>
              <w:t>min</w:t>
            </w:r>
            <w:r>
              <w:rPr>
                <w:rFonts w:ascii="Times New Roman" w:eastAsia="宋体" w:hAnsi="Times New Roman" w:cs="Times New Roman"/>
                <w:color w:val="000000" w:themeColor="text1"/>
                <w:kern w:val="0"/>
                <w:szCs w:val="20"/>
              </w:rPr>
              <w:t>）</w:t>
            </w:r>
          </w:p>
        </w:tc>
        <w:tc>
          <w:tcPr>
            <w:tcW w:w="4189"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10</w:t>
            </w:r>
          </w:p>
        </w:tc>
      </w:tr>
      <w:tr w:rsidR="00C861DA">
        <w:trPr>
          <w:trHeight w:val="369"/>
          <w:jc w:val="center"/>
        </w:trPr>
        <w:tc>
          <w:tcPr>
            <w:tcW w:w="4107"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泄漏量（</w:t>
            </w:r>
            <w:r>
              <w:rPr>
                <w:rFonts w:ascii="Times New Roman" w:eastAsia="宋体" w:hAnsi="Times New Roman" w:cs="Times New Roman"/>
                <w:color w:val="000000" w:themeColor="text1"/>
                <w:kern w:val="0"/>
                <w:szCs w:val="20"/>
              </w:rPr>
              <w:t>t</w:t>
            </w:r>
            <w:r>
              <w:rPr>
                <w:rFonts w:ascii="Times New Roman" w:eastAsia="宋体" w:hAnsi="Times New Roman" w:cs="Times New Roman"/>
                <w:color w:val="000000" w:themeColor="text1"/>
                <w:kern w:val="0"/>
                <w:szCs w:val="20"/>
              </w:rPr>
              <w:t>）</w:t>
            </w:r>
          </w:p>
        </w:tc>
        <w:tc>
          <w:tcPr>
            <w:tcW w:w="4189" w:type="dxa"/>
            <w:shd w:val="clear" w:color="auto" w:fill="auto"/>
            <w:vAlign w:val="center"/>
          </w:tcPr>
          <w:p w:rsidR="00C861DA" w:rsidRDefault="0044752E">
            <w:pPr>
              <w:widowControl/>
              <w:autoSpaceDE/>
              <w:autoSpaceDN/>
              <w:adjustRightInd/>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0.804</w:t>
            </w:r>
          </w:p>
        </w:tc>
      </w:tr>
    </w:tbl>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考虑到企业对</w:t>
      </w:r>
      <w:r>
        <w:rPr>
          <w:rFonts w:ascii="Times New Roman" w:eastAsia="宋体" w:hAnsi="Times New Roman" w:cs="Times New Roman" w:hint="eastAsia"/>
          <w:color w:val="000000" w:themeColor="text1"/>
          <w:sz w:val="24"/>
        </w:rPr>
        <w:t>液氨输送管线</w:t>
      </w:r>
      <w:r>
        <w:rPr>
          <w:rFonts w:ascii="Times New Roman" w:eastAsia="宋体" w:hAnsi="Times New Roman" w:cs="Times New Roman"/>
          <w:color w:val="000000" w:themeColor="text1"/>
          <w:sz w:val="24"/>
        </w:rPr>
        <w:t>采取了泄漏气体报警和水喷淋吸收等应急措施，有</w:t>
      </w:r>
      <w:r>
        <w:rPr>
          <w:rFonts w:ascii="Times New Roman" w:eastAsia="宋体" w:hAnsi="Times New Roman" w:cs="Times New Roman"/>
          <w:color w:val="000000" w:themeColor="text1"/>
          <w:sz w:val="24"/>
        </w:rPr>
        <w:t>50%</w:t>
      </w:r>
      <w:r>
        <w:rPr>
          <w:rFonts w:ascii="Times New Roman" w:eastAsia="宋体" w:hAnsi="Times New Roman" w:cs="Times New Roman"/>
          <w:color w:val="000000" w:themeColor="text1"/>
          <w:sz w:val="24"/>
        </w:rPr>
        <w:t>的氨气被水吸收，有</w:t>
      </w:r>
      <w:r>
        <w:rPr>
          <w:rFonts w:ascii="Times New Roman" w:eastAsia="宋体" w:hAnsi="Times New Roman" w:cs="Times New Roman"/>
          <w:color w:val="000000" w:themeColor="text1"/>
          <w:sz w:val="24"/>
        </w:rPr>
        <w:t>50%</w:t>
      </w:r>
      <w:r>
        <w:rPr>
          <w:rFonts w:ascii="Times New Roman" w:eastAsia="宋体" w:hAnsi="Times New Roman" w:cs="Times New Roman"/>
          <w:color w:val="000000" w:themeColor="text1"/>
          <w:sz w:val="24"/>
        </w:rPr>
        <w:t>的氨气挥发到大气中。假定被吸收的氨氮有</w:t>
      </w:r>
      <w:r>
        <w:rPr>
          <w:rFonts w:ascii="Times New Roman" w:eastAsia="宋体" w:hAnsi="Times New Roman" w:cs="Times New Roman"/>
          <w:color w:val="000000" w:themeColor="text1"/>
          <w:sz w:val="24"/>
        </w:rPr>
        <w:t>5%</w:t>
      </w:r>
      <w:r>
        <w:rPr>
          <w:rFonts w:ascii="Times New Roman" w:eastAsia="宋体" w:hAnsi="Times New Roman" w:cs="Times New Roman"/>
          <w:color w:val="000000" w:themeColor="text1"/>
          <w:sz w:val="24"/>
        </w:rPr>
        <w:t>透过失效的防渗层渗入地下，则入渗至地下的氨氮的质量为</w:t>
      </w:r>
      <w:r>
        <w:rPr>
          <w:rFonts w:ascii="Times New Roman" w:eastAsia="宋体" w:hAnsi="Times New Roman" w:cs="Times New Roman"/>
          <w:color w:val="000000" w:themeColor="text1"/>
          <w:sz w:val="24"/>
        </w:rPr>
        <w:t>0.804t</w:t>
      </w:r>
      <w:r>
        <w:rPr>
          <w:rFonts w:ascii="宋体" w:eastAsia="宋体" w:hAnsi="宋体" w:cs="Times New Roman" w:hint="eastAsia"/>
          <w:color w:val="000000" w:themeColor="text1"/>
          <w:sz w:val="24"/>
        </w:rPr>
        <w:t>×</w:t>
      </w:r>
      <w:r>
        <w:rPr>
          <w:rFonts w:ascii="Times New Roman" w:eastAsia="宋体" w:hAnsi="Times New Roman" w:cs="Times New Roman"/>
          <w:color w:val="000000" w:themeColor="text1"/>
          <w:sz w:val="24"/>
        </w:rPr>
        <w:t>50%</w:t>
      </w:r>
      <w:r>
        <w:rPr>
          <w:rFonts w:ascii="宋体" w:eastAsia="宋体" w:hAnsi="宋体" w:cs="Times New Roman" w:hint="eastAsia"/>
          <w:color w:val="000000" w:themeColor="text1"/>
          <w:sz w:val="24"/>
        </w:rPr>
        <w:t>×</w:t>
      </w:r>
      <w:r>
        <w:rPr>
          <w:rFonts w:ascii="Times New Roman" w:eastAsia="宋体" w:hAnsi="Times New Roman" w:cs="Times New Roman"/>
          <w:color w:val="000000" w:themeColor="text1"/>
          <w:sz w:val="24"/>
        </w:rPr>
        <w:t>5%=20.1kg</w:t>
      </w:r>
      <w:r>
        <w:rPr>
          <w:rFonts w:ascii="Times New Roman" w:eastAsia="宋体" w:hAnsi="Times New Roman" w:cs="Times New Roman"/>
          <w:color w:val="000000" w:themeColor="text1"/>
          <w:sz w:val="24"/>
        </w:rPr>
        <w:t>。</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自动喷淋装置流速为</w:t>
      </w:r>
      <w:r>
        <w:rPr>
          <w:rFonts w:ascii="Times New Roman" w:eastAsia="宋体" w:hAnsi="Times New Roman" w:cs="Times New Roman"/>
          <w:color w:val="000000" w:themeColor="text1"/>
          <w:sz w:val="24"/>
        </w:rPr>
        <w:t>4m/s</w:t>
      </w:r>
      <w:r>
        <w:rPr>
          <w:rFonts w:ascii="Times New Roman" w:eastAsia="宋体" w:hAnsi="Times New Roman" w:cs="Times New Roman"/>
          <w:color w:val="000000" w:themeColor="text1"/>
          <w:sz w:val="24"/>
        </w:rPr>
        <w:t>，管道直径</w:t>
      </w:r>
      <w:r>
        <w:rPr>
          <w:rFonts w:ascii="Times New Roman" w:eastAsia="宋体" w:hAnsi="Times New Roman" w:cs="Times New Roman"/>
          <w:color w:val="000000" w:themeColor="text1"/>
          <w:sz w:val="24"/>
        </w:rPr>
        <w:t>400mm</w:t>
      </w:r>
      <w:r>
        <w:rPr>
          <w:rFonts w:ascii="Times New Roman" w:eastAsia="宋体" w:hAnsi="Times New Roman" w:cs="Times New Roman"/>
          <w:color w:val="000000" w:themeColor="text1"/>
          <w:sz w:val="24"/>
        </w:rPr>
        <w:t>，泄露持续时间</w:t>
      </w:r>
      <w:r>
        <w:rPr>
          <w:rFonts w:ascii="Times New Roman" w:eastAsia="宋体" w:hAnsi="Times New Roman" w:cs="Times New Roman"/>
          <w:color w:val="000000" w:themeColor="text1"/>
          <w:sz w:val="24"/>
        </w:rPr>
        <w:t>10min</w:t>
      </w:r>
      <w:r>
        <w:rPr>
          <w:rFonts w:ascii="Times New Roman" w:eastAsia="宋体" w:hAnsi="Times New Roman" w:cs="Times New Roman"/>
          <w:color w:val="000000" w:themeColor="text1"/>
          <w:sz w:val="24"/>
        </w:rPr>
        <w:t>，则入渗至地下的氨氮的初始浓度为</w:t>
      </w:r>
      <w:r>
        <w:rPr>
          <w:rFonts w:ascii="Times New Roman" w:eastAsia="宋体" w:hAnsi="Times New Roman" w:cs="Times New Roman"/>
          <w:color w:val="000000" w:themeColor="text1"/>
          <w:sz w:val="24"/>
        </w:rPr>
        <w:t>66.67mg/L</w:t>
      </w:r>
      <w:r>
        <w:rPr>
          <w:rFonts w:ascii="Times New Roman" w:eastAsia="宋体" w:hAnsi="Times New Roman" w:cs="Times New Roman"/>
          <w:color w:val="000000" w:themeColor="text1"/>
          <w:sz w:val="24"/>
        </w:rPr>
        <w:t>。</w:t>
      </w:r>
    </w:p>
    <w:p w:rsidR="00C861DA" w:rsidRDefault="0044752E">
      <w:pPr>
        <w:spacing w:line="360" w:lineRule="auto"/>
        <w:ind w:firstLineChars="200" w:firstLine="480"/>
        <w:rPr>
          <w:rFonts w:ascii="Times New Roman" w:eastAsia="宋体" w:hAnsi="Times New Roman" w:cs="Times New Roman"/>
          <w:color w:val="000000" w:themeColor="text1"/>
          <w:sz w:val="24"/>
        </w:rPr>
      </w:pPr>
      <w:bookmarkStart w:id="495" w:name="_Toc4308"/>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）预测工况设置</w:t>
      </w:r>
      <w:bookmarkEnd w:id="495"/>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本项目正常情况下不排放污染物，不进行正常工况地下水预测评价。</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项目泄漏事故工况下，会启动氨喷淋系统及周围消防水炮等应急措施，吸收泄漏氨气，大量喷淋废水及消防</w:t>
      </w:r>
      <w:r>
        <w:rPr>
          <w:rFonts w:ascii="Times New Roman" w:eastAsia="宋体" w:hAnsi="Times New Roman" w:cs="Times New Roman"/>
          <w:color w:val="000000" w:themeColor="text1"/>
          <w:sz w:val="24"/>
        </w:rPr>
        <w:t>废水全部收集至罐区周边设置的围堰内。本次主要考虑该条件下地下水环境保护措施因系统老化、腐蚀等原因不能正常运行或保护效果达不到设计要求时，导致废水渗漏，污染地下水的工况。</w:t>
      </w:r>
    </w:p>
    <w:p w:rsidR="00C861DA" w:rsidRDefault="0044752E">
      <w:pPr>
        <w:spacing w:line="360" w:lineRule="auto"/>
        <w:ind w:firstLineChars="200" w:firstLine="480"/>
        <w:rPr>
          <w:rFonts w:ascii="Times New Roman" w:eastAsia="宋体" w:hAnsi="Times New Roman" w:cs="Times New Roman"/>
          <w:color w:val="000000" w:themeColor="text1"/>
          <w:sz w:val="24"/>
        </w:rPr>
      </w:pPr>
      <w:bookmarkStart w:id="496" w:name="_Toc26037"/>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）预测模型及参数选择</w:t>
      </w:r>
      <w:bookmarkEnd w:id="496"/>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kern w:val="24"/>
          <w:sz w:val="24"/>
        </w:rPr>
        <w:t>本次预测评价主要考虑浅层地下水，项目区出露地层为昆阳群美党组（</w:t>
      </w:r>
      <w:r>
        <w:rPr>
          <w:rFonts w:ascii="Times New Roman" w:eastAsia="宋体" w:hAnsi="Times New Roman" w:cs="Times New Roman"/>
          <w:color w:val="000000" w:themeColor="text1"/>
          <w:kern w:val="24"/>
          <w:sz w:val="24"/>
        </w:rPr>
        <w:t>Ptm</w:t>
      </w:r>
      <w:r>
        <w:rPr>
          <w:rFonts w:ascii="Times New Roman" w:eastAsia="宋体" w:hAnsi="Times New Roman" w:cs="Times New Roman"/>
          <w:color w:val="000000" w:themeColor="text1"/>
          <w:kern w:val="24"/>
          <w:sz w:val="24"/>
        </w:rPr>
        <w:t>），岩性为绢云板岩，含砂条带、夹少量粉砂质板岩或粉砂岩、粉砂质绢云母板岩、夹薄层板岩或砂质板岩、板岩，属于变质岩裂隙水，富水性中等。本次主要考虑浅层裂隙水含水层中污染物的迁移，采用解析法预测地下水的环境影响。按照风险最大化的原则，计算时不考虑水流的</w:t>
      </w:r>
      <w:r>
        <w:rPr>
          <w:rFonts w:ascii="Times New Roman" w:eastAsia="宋体" w:hAnsi="Times New Roman" w:cs="Times New Roman"/>
          <w:color w:val="000000" w:themeColor="text1"/>
          <w:kern w:val="24"/>
          <w:sz w:val="24"/>
        </w:rPr>
        <w:t>源汇项目，且对污染物在含水层的吸附、挥发、生物化学反应等不做考虑。将污染物视为连续稳定释放的点源。</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项目区的地下水环境影响预测采用</w:t>
      </w:r>
      <w:r>
        <w:rPr>
          <w:rFonts w:ascii="Times New Roman" w:eastAsia="宋体" w:hAnsi="Times New Roman" w:cs="Times New Roman"/>
          <w:color w:val="000000" w:themeColor="text1"/>
          <w:sz w:val="24"/>
        </w:rPr>
        <w:t>HJ610-2016</w:t>
      </w:r>
      <w:r>
        <w:rPr>
          <w:rFonts w:ascii="Times New Roman" w:eastAsia="宋体" w:hAnsi="Times New Roman" w:cs="Times New Roman"/>
          <w:color w:val="000000" w:themeColor="text1"/>
          <w:sz w:val="24"/>
        </w:rPr>
        <w:t>《环境影响评价技术导则地下水环境》推荐的一维稳定流动一维水力弥散问题，概化条件为一维半无限长多孔介质柱体，一端为定浓度边界，则一维连续污染物运迁预测方程为下：</w:t>
      </w:r>
    </w:p>
    <w:p w:rsidR="00C861DA" w:rsidRDefault="0044752E">
      <w:pPr>
        <w:ind w:firstLine="480"/>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extent cx="2567305" cy="562610"/>
            <wp:effectExtent l="0" t="0" r="0" b="0"/>
            <wp:docPr id="5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6"/>
                    <pic:cNvPicPr>
                      <a:picLocks noChangeAspect="1" noChangeArrowheads="1"/>
                    </pic:cNvPicPr>
                  </pic:nvPicPr>
                  <pic:blipFill>
                    <a:blip r:embed="rId48"/>
                    <a:srcRect/>
                    <a:stretch>
                      <a:fillRect/>
                    </a:stretch>
                  </pic:blipFill>
                  <pic:spPr>
                    <a:xfrm>
                      <a:off x="0" y="0"/>
                      <a:ext cx="2567305" cy="562610"/>
                    </a:xfrm>
                    <a:prstGeom prst="rect">
                      <a:avLst/>
                    </a:prstGeom>
                    <a:noFill/>
                    <a:ln>
                      <a:noFill/>
                    </a:ln>
                  </pic:spPr>
                </pic:pic>
              </a:graphicData>
            </a:graphic>
          </wp:inline>
        </w:drawing>
      </w:r>
    </w:p>
    <w:p w:rsidR="00C861DA" w:rsidRDefault="0044752E">
      <w:pPr>
        <w:ind w:firstLine="480"/>
        <w:rPr>
          <w:rFonts w:ascii="Times New Roman" w:eastAsia="宋体" w:hAnsi="Times New Roman" w:cs="Times New Roman"/>
          <w:color w:val="000000" w:themeColor="text1"/>
        </w:rPr>
      </w:pPr>
      <w:r>
        <w:rPr>
          <w:rFonts w:ascii="Times New Roman" w:eastAsia="宋体" w:hAnsi="Times New Roman" w:cs="Times New Roman"/>
          <w:color w:val="000000" w:themeColor="text1"/>
        </w:rPr>
        <w:t>式中：</w:t>
      </w:r>
    </w:p>
    <w:p w:rsidR="00C861DA" w:rsidRDefault="0044752E">
      <w:pPr>
        <w:ind w:firstLineChars="400" w:firstLine="840"/>
        <w:rPr>
          <w:rFonts w:ascii="Times New Roman" w:eastAsia="宋体" w:hAnsi="Times New Roman" w:cs="Times New Roman"/>
          <w:color w:val="000000" w:themeColor="text1"/>
        </w:rPr>
      </w:pPr>
      <w:r>
        <w:rPr>
          <w:rFonts w:ascii="Times New Roman" w:eastAsia="宋体" w:hAnsi="Times New Roman" w:cs="Times New Roman"/>
          <w:color w:val="000000" w:themeColor="text1"/>
        </w:rPr>
        <w:t>x—</w:t>
      </w:r>
      <w:r>
        <w:rPr>
          <w:rFonts w:ascii="Times New Roman" w:eastAsia="宋体" w:hAnsi="Times New Roman" w:cs="Times New Roman"/>
          <w:color w:val="000000" w:themeColor="text1"/>
        </w:rPr>
        <w:t>距注入点的距离：</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rPr>
        <w:t>；</w:t>
      </w:r>
    </w:p>
    <w:p w:rsidR="00C861DA" w:rsidRDefault="0044752E">
      <w:pPr>
        <w:ind w:firstLineChars="400" w:firstLine="840"/>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color w:val="000000" w:themeColor="text1"/>
        </w:rPr>
        <w:t>时间，</w:t>
      </w:r>
      <w:r>
        <w:rPr>
          <w:rFonts w:ascii="Times New Roman" w:eastAsia="宋体" w:hAnsi="Times New Roman" w:cs="Times New Roman"/>
          <w:color w:val="000000" w:themeColor="text1"/>
        </w:rPr>
        <w:t>d</w:t>
      </w:r>
      <w:r>
        <w:rPr>
          <w:rFonts w:ascii="Times New Roman" w:eastAsia="宋体" w:hAnsi="Times New Roman" w:cs="Times New Roman"/>
          <w:color w:val="000000" w:themeColor="text1"/>
        </w:rPr>
        <w:t>；</w:t>
      </w:r>
    </w:p>
    <w:p w:rsidR="00C861DA" w:rsidRDefault="0044752E">
      <w:pPr>
        <w:ind w:firstLineChars="400" w:firstLine="840"/>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x</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t</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—t</w:t>
      </w:r>
      <w:r>
        <w:rPr>
          <w:rFonts w:ascii="Times New Roman" w:eastAsia="宋体" w:hAnsi="Times New Roman" w:cs="Times New Roman"/>
          <w:color w:val="000000" w:themeColor="text1"/>
        </w:rPr>
        <w:t>时刻</w:t>
      </w:r>
      <w:r>
        <w:rPr>
          <w:rFonts w:ascii="Times New Roman" w:eastAsia="宋体" w:hAnsi="Times New Roman" w:cs="Times New Roman"/>
          <w:color w:val="000000" w:themeColor="text1"/>
        </w:rPr>
        <w:t>x</w:t>
      </w:r>
      <w:r>
        <w:rPr>
          <w:rFonts w:ascii="Times New Roman" w:eastAsia="宋体" w:hAnsi="Times New Roman" w:cs="Times New Roman"/>
          <w:color w:val="000000" w:themeColor="text1"/>
        </w:rPr>
        <w:t>处的示踪剂浓度，</w:t>
      </w:r>
      <w:r>
        <w:rPr>
          <w:rFonts w:ascii="Times New Roman" w:eastAsia="宋体" w:hAnsi="Times New Roman" w:cs="Times New Roman"/>
          <w:color w:val="000000" w:themeColor="text1"/>
        </w:rPr>
        <w:t>g/L</w:t>
      </w:r>
      <w:r>
        <w:rPr>
          <w:rFonts w:ascii="Times New Roman" w:eastAsia="宋体" w:hAnsi="Times New Roman" w:cs="Times New Roman"/>
          <w:color w:val="000000" w:themeColor="text1"/>
        </w:rPr>
        <w:t>；</w:t>
      </w:r>
    </w:p>
    <w:p w:rsidR="00C861DA" w:rsidRDefault="0044752E">
      <w:pPr>
        <w:ind w:firstLineChars="400" w:firstLine="840"/>
        <w:rPr>
          <w:rFonts w:ascii="Times New Roman" w:eastAsia="宋体" w:hAnsi="Times New Roman" w:cs="Times New Roman"/>
          <w:color w:val="000000" w:themeColor="text1"/>
        </w:rPr>
      </w:pPr>
      <w:r>
        <w:rPr>
          <w:rFonts w:ascii="Times New Roman" w:eastAsia="宋体" w:hAnsi="Times New Roman" w:cs="Times New Roman"/>
          <w:color w:val="000000" w:themeColor="text1"/>
        </w:rPr>
        <w:t>C</w:t>
      </w:r>
      <w:r>
        <w:rPr>
          <w:rFonts w:ascii="Times New Roman" w:eastAsia="宋体" w:hAnsi="Times New Roman" w:cs="Times New Roman"/>
          <w:color w:val="000000" w:themeColor="text1"/>
          <w:vertAlign w:val="subscript"/>
        </w:rPr>
        <w:t>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注入的示踪剂浓度，</w:t>
      </w:r>
      <w:r>
        <w:rPr>
          <w:rFonts w:ascii="Times New Roman" w:eastAsia="宋体" w:hAnsi="Times New Roman" w:cs="Times New Roman"/>
          <w:color w:val="000000" w:themeColor="text1"/>
        </w:rPr>
        <w:t>g/L</w:t>
      </w:r>
      <w:r>
        <w:rPr>
          <w:rFonts w:ascii="Times New Roman" w:eastAsia="宋体" w:hAnsi="Times New Roman" w:cs="Times New Roman"/>
          <w:color w:val="000000" w:themeColor="text1"/>
        </w:rPr>
        <w:t>；</w:t>
      </w:r>
    </w:p>
    <w:p w:rsidR="00C861DA" w:rsidRDefault="0044752E">
      <w:pPr>
        <w:ind w:firstLineChars="400" w:firstLine="840"/>
        <w:rPr>
          <w:rFonts w:ascii="Times New Roman" w:eastAsia="宋体" w:hAnsi="Times New Roman" w:cs="Times New Roman"/>
          <w:color w:val="000000" w:themeColor="text1"/>
        </w:rPr>
      </w:pPr>
      <w:r>
        <w:rPr>
          <w:rFonts w:ascii="Times New Roman" w:eastAsia="宋体" w:hAnsi="Times New Roman" w:cs="Times New Roman"/>
          <w:color w:val="000000" w:themeColor="text1"/>
        </w:rPr>
        <w:t>u—</w:t>
      </w:r>
      <w:r>
        <w:rPr>
          <w:rFonts w:ascii="Times New Roman" w:eastAsia="宋体" w:hAnsi="Times New Roman" w:cs="Times New Roman"/>
          <w:color w:val="000000" w:themeColor="text1"/>
        </w:rPr>
        <w:t>水流速度，</w:t>
      </w:r>
      <w:r>
        <w:rPr>
          <w:rFonts w:ascii="Times New Roman" w:eastAsia="宋体" w:hAnsi="Times New Roman" w:cs="Times New Roman"/>
          <w:color w:val="000000" w:themeColor="text1"/>
        </w:rPr>
        <w:t>m/d</w:t>
      </w:r>
      <w:r>
        <w:rPr>
          <w:rFonts w:ascii="Times New Roman" w:eastAsia="宋体" w:hAnsi="Times New Roman" w:cs="Times New Roman"/>
          <w:color w:val="000000" w:themeColor="text1"/>
        </w:rPr>
        <w:t>；</w:t>
      </w:r>
    </w:p>
    <w:p w:rsidR="00C861DA" w:rsidRDefault="0044752E">
      <w:pPr>
        <w:ind w:firstLineChars="400" w:firstLine="840"/>
        <w:rPr>
          <w:rFonts w:ascii="Times New Roman" w:eastAsia="宋体" w:hAnsi="Times New Roman" w:cs="Times New Roman"/>
          <w:color w:val="000000" w:themeColor="text1"/>
        </w:rPr>
      </w:pPr>
      <w:r>
        <w:rPr>
          <w:rFonts w:ascii="Times New Roman" w:eastAsia="宋体" w:hAnsi="Times New Roman" w:cs="Times New Roman"/>
          <w:color w:val="000000" w:themeColor="text1"/>
        </w:rPr>
        <w:t>D</w:t>
      </w:r>
      <w:r>
        <w:rPr>
          <w:rFonts w:ascii="Times New Roman" w:eastAsia="宋体" w:hAnsi="Times New Roman" w:cs="Times New Roman"/>
          <w:color w:val="000000" w:themeColor="text1"/>
          <w:vertAlign w:val="subscript"/>
        </w:rPr>
        <w:t>L</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纵向弥散系数，</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/d</w:t>
      </w:r>
      <w:r>
        <w:rPr>
          <w:rFonts w:ascii="Times New Roman" w:eastAsia="宋体" w:hAnsi="Times New Roman" w:cs="Times New Roman"/>
          <w:color w:val="000000" w:themeColor="text1"/>
        </w:rPr>
        <w:t>；</w:t>
      </w:r>
    </w:p>
    <w:p w:rsidR="00C861DA" w:rsidRDefault="0044752E">
      <w:pPr>
        <w:ind w:firstLineChars="400" w:firstLine="840"/>
        <w:rPr>
          <w:rFonts w:ascii="Times New Roman" w:eastAsia="宋体" w:hAnsi="Times New Roman" w:cs="Times New Roman"/>
          <w:color w:val="000000" w:themeColor="text1"/>
        </w:rPr>
      </w:pPr>
      <w:r>
        <w:rPr>
          <w:rFonts w:ascii="Times New Roman" w:eastAsia="宋体" w:hAnsi="Times New Roman" w:cs="Times New Roman"/>
          <w:color w:val="000000" w:themeColor="text1"/>
        </w:rPr>
        <w:t>erfc</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余误差函数；</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参数确定</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a</w:t>
      </w:r>
      <w:r>
        <w:rPr>
          <w:rFonts w:ascii="Times New Roman" w:eastAsia="宋体" w:hAnsi="Times New Roman" w:cs="Times New Roman"/>
          <w:color w:val="000000" w:themeColor="text1"/>
          <w:sz w:val="24"/>
        </w:rPr>
        <w:t>、渗透系数</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项目区的地下水类型主要为基岩裂隙水，出露地层为昆阳群美党组（</w:t>
      </w:r>
      <w:r>
        <w:rPr>
          <w:rFonts w:ascii="Times New Roman" w:eastAsia="宋体" w:hAnsi="Times New Roman" w:cs="Times New Roman"/>
          <w:color w:val="000000" w:themeColor="text1"/>
          <w:sz w:val="24"/>
        </w:rPr>
        <w:t>Ptm</w:t>
      </w:r>
      <w:r>
        <w:rPr>
          <w:rFonts w:ascii="Times New Roman" w:eastAsia="宋体" w:hAnsi="Times New Roman" w:cs="Times New Roman"/>
          <w:color w:val="000000" w:themeColor="text1"/>
          <w:sz w:val="24"/>
        </w:rPr>
        <w:t>），岩性以板岩为主</w:t>
      </w:r>
      <w:r>
        <w:rPr>
          <w:rFonts w:ascii="Times New Roman" w:eastAsia="宋体" w:hAnsi="Times New Roman" w:cs="Times New Roman"/>
          <w:color w:val="000000" w:themeColor="text1"/>
          <w:kern w:val="24"/>
          <w:sz w:val="24"/>
        </w:rPr>
        <w:t>，其渗透系数为</w:t>
      </w:r>
      <w:r>
        <w:rPr>
          <w:rFonts w:ascii="Times New Roman" w:eastAsia="宋体" w:hAnsi="Times New Roman" w:cs="Times New Roman"/>
          <w:color w:val="000000" w:themeColor="text1"/>
          <w:kern w:val="24"/>
          <w:sz w:val="24"/>
        </w:rPr>
        <w:t>5x10</w:t>
      </w:r>
      <w:r>
        <w:rPr>
          <w:rFonts w:ascii="Times New Roman" w:eastAsia="宋体" w:hAnsi="Times New Roman" w:cs="Times New Roman"/>
          <w:color w:val="000000" w:themeColor="text1"/>
          <w:kern w:val="24"/>
          <w:sz w:val="24"/>
          <w:vertAlign w:val="superscript"/>
        </w:rPr>
        <w:t>-4</w:t>
      </w:r>
      <w:r>
        <w:rPr>
          <w:rFonts w:ascii="Times New Roman" w:eastAsia="宋体" w:hAnsi="Times New Roman" w:cs="Times New Roman"/>
          <w:color w:val="000000" w:themeColor="text1"/>
          <w:kern w:val="24"/>
          <w:sz w:val="24"/>
        </w:rPr>
        <w:t>cm/s</w:t>
      </w:r>
      <w:r>
        <w:rPr>
          <w:rFonts w:ascii="Times New Roman" w:eastAsia="宋体" w:hAnsi="Times New Roman" w:cs="Times New Roman"/>
          <w:color w:val="000000" w:themeColor="text1"/>
          <w:kern w:val="24"/>
          <w:sz w:val="24"/>
        </w:rPr>
        <w:t>，弱透水层，按风险最大化考虑，计算时可取</w:t>
      </w:r>
      <w:r>
        <w:rPr>
          <w:rFonts w:ascii="Times New Roman" w:eastAsia="宋体" w:hAnsi="Times New Roman" w:cs="Times New Roman"/>
          <w:color w:val="000000" w:themeColor="text1"/>
          <w:kern w:val="24"/>
          <w:sz w:val="24"/>
        </w:rPr>
        <w:t>0.432m/d</w:t>
      </w:r>
      <w:r>
        <w:rPr>
          <w:rFonts w:ascii="Times New Roman" w:eastAsia="宋体" w:hAnsi="Times New Roman" w:cs="Times New Roman"/>
          <w:color w:val="000000" w:themeColor="text1"/>
          <w:kern w:val="24"/>
          <w:sz w:val="24"/>
        </w:rPr>
        <w:t>。</w:t>
      </w:r>
    </w:p>
    <w:p w:rsidR="00C861DA" w:rsidRDefault="0044752E">
      <w:pPr>
        <w:spacing w:line="360" w:lineRule="auto"/>
        <w:ind w:firstLineChars="200" w:firstLine="480"/>
        <w:rPr>
          <w:rFonts w:ascii="Times New Roman" w:eastAsia="宋体" w:hAnsi="Times New Roman" w:cs="Times New Roman"/>
          <w:color w:val="000000" w:themeColor="text1"/>
          <w:kern w:val="24"/>
          <w:sz w:val="24"/>
        </w:rPr>
      </w:pPr>
      <w:r>
        <w:rPr>
          <w:rFonts w:ascii="Times New Roman" w:eastAsia="宋体" w:hAnsi="Times New Roman" w:cs="Times New Roman"/>
          <w:color w:val="000000" w:themeColor="text1"/>
          <w:kern w:val="24"/>
          <w:sz w:val="24"/>
        </w:rPr>
        <w:t>b</w:t>
      </w:r>
      <w:r>
        <w:rPr>
          <w:rFonts w:ascii="Times New Roman" w:eastAsia="宋体" w:hAnsi="Times New Roman" w:cs="Times New Roman"/>
          <w:color w:val="000000" w:themeColor="text1"/>
          <w:kern w:val="24"/>
          <w:sz w:val="24"/>
        </w:rPr>
        <w:t>、水力坡度及水流速度</w:t>
      </w:r>
    </w:p>
    <w:p w:rsidR="00C861DA" w:rsidRDefault="0044752E">
      <w:pPr>
        <w:spacing w:line="360" w:lineRule="auto"/>
        <w:ind w:firstLineChars="200" w:firstLine="480"/>
        <w:rPr>
          <w:rFonts w:ascii="Times New Roman" w:eastAsia="宋体" w:hAnsi="Times New Roman" w:cs="Times New Roman"/>
          <w:color w:val="000000" w:themeColor="text1"/>
          <w:kern w:val="24"/>
          <w:sz w:val="24"/>
        </w:rPr>
      </w:pPr>
      <w:r>
        <w:rPr>
          <w:rFonts w:ascii="Times New Roman" w:eastAsia="宋体" w:hAnsi="Times New Roman" w:cs="Times New Roman"/>
          <w:color w:val="000000" w:themeColor="text1"/>
          <w:sz w:val="24"/>
        </w:rPr>
        <w:t>类比周边相似资料，项目区的水力坡度为</w:t>
      </w:r>
      <w:r>
        <w:rPr>
          <w:rFonts w:ascii="Times New Roman" w:eastAsia="宋体" w:hAnsi="Times New Roman" w:cs="Times New Roman"/>
          <w:color w:val="000000" w:themeColor="text1"/>
          <w:sz w:val="24"/>
        </w:rPr>
        <w:t>0.1418</w:t>
      </w:r>
      <w:r>
        <w:rPr>
          <w:rFonts w:ascii="Times New Roman" w:eastAsia="宋体" w:hAnsi="Times New Roman" w:cs="Times New Roman"/>
          <w:color w:val="000000" w:themeColor="text1"/>
          <w:sz w:val="24"/>
        </w:rPr>
        <w:t>，根据渗透系数和水力坡度，由以上公式计算得出项目区的地下水流速</w:t>
      </w:r>
      <w:r>
        <w:rPr>
          <w:rFonts w:ascii="Times New Roman" w:eastAsia="宋体" w:hAnsi="Times New Roman" w:cs="Times New Roman"/>
          <w:color w:val="000000" w:themeColor="text1"/>
          <w:sz w:val="24"/>
        </w:rPr>
        <w:t>u</w:t>
      </w:r>
      <w:r>
        <w:rPr>
          <w:rFonts w:ascii="Times New Roman" w:eastAsia="宋体" w:hAnsi="Times New Roman" w:cs="Times New Roman"/>
          <w:color w:val="000000" w:themeColor="text1"/>
          <w:sz w:val="24"/>
        </w:rPr>
        <w:t>约为</w:t>
      </w:r>
      <w:r>
        <w:rPr>
          <w:rFonts w:ascii="Times New Roman" w:eastAsia="宋体" w:hAnsi="Times New Roman" w:cs="Times New Roman"/>
          <w:color w:val="000000" w:themeColor="text1"/>
          <w:sz w:val="24"/>
        </w:rPr>
        <w:t>0.061</w:t>
      </w:r>
      <w:r>
        <w:rPr>
          <w:rFonts w:ascii="Times New Roman" w:eastAsia="宋体" w:hAnsi="Times New Roman" w:cs="Times New Roman"/>
          <w:color w:val="000000" w:themeColor="text1"/>
          <w:kern w:val="24"/>
          <w:sz w:val="24"/>
        </w:rPr>
        <w:t>m/d</w:t>
      </w:r>
      <w:r>
        <w:rPr>
          <w:rFonts w:ascii="Times New Roman" w:eastAsia="宋体" w:hAnsi="Times New Roman" w:cs="Times New Roman"/>
          <w:color w:val="000000" w:themeColor="text1"/>
          <w:kern w:val="24"/>
          <w:sz w:val="24"/>
        </w:rPr>
        <w:t>。</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c</w:t>
      </w:r>
      <w:r>
        <w:rPr>
          <w:rFonts w:ascii="Times New Roman" w:eastAsia="宋体" w:hAnsi="Times New Roman" w:cs="Times New Roman"/>
          <w:color w:val="000000" w:themeColor="text1"/>
          <w:sz w:val="24"/>
        </w:rPr>
        <w:t>、弥散度及弥散系数</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D.S.Makuch</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2005</w:t>
      </w:r>
      <w:r>
        <w:rPr>
          <w:rFonts w:ascii="Times New Roman" w:eastAsia="宋体" w:hAnsi="Times New Roman" w:cs="Times New Roman"/>
          <w:color w:val="000000" w:themeColor="text1"/>
          <w:sz w:val="24"/>
        </w:rPr>
        <w:t>）综合了其他人的研究成果，对不同岩性和不同尺度条件下介质的弥散度大小进行了统计，获得了污染物在不同岩性中迁移的纵向弥散度，并存在尺度效应现象。根据项目区岩土体透水性、地层岩性、颗粒大小、颗粒均匀度和排列情况类比，本次评价粉质黏土和砂岩地层的纵向弥散度</w:t>
      </w:r>
      <w:r>
        <w:rPr>
          <w:rFonts w:ascii="Times New Roman" w:eastAsia="宋体" w:hAnsi="Times New Roman" w:cs="Times New Roman"/>
          <w:color w:val="000000" w:themeColor="text1"/>
          <w:sz w:val="24"/>
        </w:rPr>
        <w:t>a</w:t>
      </w:r>
      <w:r>
        <w:rPr>
          <w:rFonts w:ascii="Times New Roman" w:eastAsia="宋体" w:hAnsi="Times New Roman" w:cs="Times New Roman"/>
          <w:color w:val="000000" w:themeColor="text1"/>
          <w:sz w:val="24"/>
          <w:vertAlign w:val="subscript"/>
        </w:rPr>
        <w:t>L</w:t>
      </w:r>
      <w:r>
        <w:rPr>
          <w:rFonts w:ascii="Times New Roman" w:eastAsia="宋体" w:hAnsi="Times New Roman" w:cs="Times New Roman"/>
          <w:color w:val="000000" w:themeColor="text1"/>
          <w:sz w:val="24"/>
        </w:rPr>
        <w:t>取</w:t>
      </w:r>
      <w:r>
        <w:rPr>
          <w:rFonts w:ascii="Times New Roman" w:eastAsia="宋体" w:hAnsi="Times New Roman" w:cs="Times New Roman"/>
          <w:color w:val="000000" w:themeColor="text1"/>
          <w:sz w:val="24"/>
        </w:rPr>
        <w:t>30m</w:t>
      </w:r>
      <w:r>
        <w:rPr>
          <w:rFonts w:ascii="Times New Roman" w:eastAsia="宋体" w:hAnsi="Times New Roman" w:cs="Times New Roman"/>
          <w:color w:val="000000" w:themeColor="text1"/>
          <w:sz w:val="24"/>
        </w:rPr>
        <w:t>。</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根据纵向弥散度及地下水流速，由上述公式可计算出纵向弥散度系数</w:t>
      </w:r>
      <w:r>
        <w:rPr>
          <w:rFonts w:ascii="Times New Roman" w:eastAsia="宋体" w:hAnsi="Times New Roman" w:cs="Times New Roman"/>
          <w:color w:val="000000" w:themeColor="text1"/>
          <w:sz w:val="24"/>
        </w:rPr>
        <w:t>D</w:t>
      </w:r>
      <w:r>
        <w:rPr>
          <w:rFonts w:ascii="Times New Roman" w:eastAsia="宋体" w:hAnsi="Times New Roman" w:cs="Times New Roman"/>
          <w:color w:val="000000" w:themeColor="text1"/>
          <w:sz w:val="24"/>
          <w:vertAlign w:val="subscript"/>
        </w:rPr>
        <w:t>L</w:t>
      </w:r>
      <w:r>
        <w:rPr>
          <w:rFonts w:ascii="Times New Roman" w:eastAsia="宋体" w:hAnsi="Times New Roman" w:cs="Times New Roman"/>
          <w:color w:val="000000" w:themeColor="text1"/>
          <w:sz w:val="24"/>
        </w:rPr>
        <w:t>为</w:t>
      </w:r>
      <w:r>
        <w:rPr>
          <w:rFonts w:ascii="Times New Roman" w:eastAsia="宋体" w:hAnsi="Times New Roman" w:cs="Times New Roman"/>
          <w:color w:val="000000" w:themeColor="text1"/>
          <w:sz w:val="24"/>
        </w:rPr>
        <w:t>1.84m</w:t>
      </w:r>
      <w:r>
        <w:rPr>
          <w:rFonts w:ascii="Times New Roman" w:eastAsia="宋体" w:hAnsi="Times New Roman" w:cs="Times New Roman"/>
          <w:color w:val="000000" w:themeColor="text1"/>
          <w:sz w:val="24"/>
          <w:vertAlign w:val="superscript"/>
        </w:rPr>
        <w:t>2</w:t>
      </w:r>
      <w:r>
        <w:rPr>
          <w:rFonts w:ascii="Times New Roman" w:eastAsia="宋体" w:hAnsi="Times New Roman" w:cs="Times New Roman"/>
          <w:color w:val="000000" w:themeColor="text1"/>
          <w:sz w:val="24"/>
        </w:rPr>
        <w:t>/d</w:t>
      </w:r>
      <w:r>
        <w:rPr>
          <w:rFonts w:ascii="Times New Roman" w:eastAsia="宋体" w:hAnsi="Times New Roman" w:cs="Times New Roman"/>
          <w:color w:val="000000" w:themeColor="text1"/>
          <w:sz w:val="24"/>
        </w:rPr>
        <w:t>。</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d</w:t>
      </w:r>
      <w:r>
        <w:rPr>
          <w:rFonts w:ascii="Times New Roman" w:eastAsia="宋体" w:hAnsi="Times New Roman" w:cs="Times New Roman"/>
          <w:color w:val="000000" w:themeColor="text1"/>
          <w:sz w:val="24"/>
        </w:rPr>
        <w:t>、计算时参数取值统计</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计算时渗透系数、水力坡度、水流速度、纵向弥散度、纵向弥散系数及污染源强统计见表</w:t>
      </w:r>
      <w:r>
        <w:rPr>
          <w:rFonts w:ascii="Times New Roman" w:eastAsia="宋体" w:hAnsi="Times New Roman" w:cs="Times New Roman"/>
          <w:color w:val="000000" w:themeColor="text1"/>
          <w:sz w:val="24"/>
        </w:rPr>
        <w:t>7.4-2</w:t>
      </w:r>
      <w:r>
        <w:rPr>
          <w:rFonts w:ascii="Times New Roman" w:eastAsia="宋体" w:hAnsi="Times New Roman" w:cs="Times New Roman"/>
          <w:color w:val="000000" w:themeColor="text1"/>
          <w:sz w:val="24"/>
        </w:rPr>
        <w:t>。</w:t>
      </w:r>
    </w:p>
    <w:p w:rsidR="00C861DA" w:rsidRDefault="0044752E">
      <w:pPr>
        <w:ind w:firstLine="482"/>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7.4-2 </w:t>
      </w:r>
      <w:r>
        <w:rPr>
          <w:rFonts w:ascii="Times New Roman" w:eastAsia="宋体" w:hAnsi="Times New Roman" w:cs="Times New Roman"/>
          <w:b/>
          <w:color w:val="000000" w:themeColor="text1"/>
          <w:sz w:val="24"/>
        </w:rPr>
        <w:t xml:space="preserve"> </w:t>
      </w:r>
      <w:r>
        <w:rPr>
          <w:rFonts w:ascii="Times New Roman" w:eastAsia="宋体" w:hAnsi="Times New Roman" w:cs="Times New Roman"/>
          <w:b/>
          <w:color w:val="000000" w:themeColor="text1"/>
          <w:sz w:val="24"/>
        </w:rPr>
        <w:t>计算参数一览表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6"/>
        <w:gridCol w:w="931"/>
        <w:gridCol w:w="1280"/>
        <w:gridCol w:w="1124"/>
        <w:gridCol w:w="1711"/>
        <w:gridCol w:w="2290"/>
      </w:tblGrid>
      <w:tr w:rsidR="00C861DA">
        <w:trPr>
          <w:trHeight w:val="369"/>
          <w:jc w:val="center"/>
        </w:trPr>
        <w:tc>
          <w:tcPr>
            <w:tcW w:w="1186"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渗透系数</w:t>
            </w:r>
            <w:r>
              <w:rPr>
                <w:rFonts w:ascii="Times New Roman" w:eastAsia="宋体" w:hAnsi="Times New Roman" w:cs="Times New Roman"/>
                <w:color w:val="000000" w:themeColor="text1"/>
              </w:rPr>
              <w:t>K</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m/d</w:t>
            </w:r>
            <w:r>
              <w:rPr>
                <w:rFonts w:ascii="Times New Roman" w:eastAsia="宋体" w:hAnsi="Times New Roman" w:cs="Times New Roman"/>
                <w:color w:val="000000" w:themeColor="text1"/>
              </w:rPr>
              <w:t>）</w:t>
            </w:r>
          </w:p>
        </w:tc>
        <w:tc>
          <w:tcPr>
            <w:tcW w:w="931"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水力坡度</w:t>
            </w:r>
            <w:r>
              <w:rPr>
                <w:rFonts w:ascii="Times New Roman" w:eastAsia="宋体" w:hAnsi="Times New Roman" w:cs="Times New Roman"/>
                <w:color w:val="000000" w:themeColor="text1"/>
              </w:rPr>
              <w:t>I</w:t>
            </w:r>
          </w:p>
        </w:tc>
        <w:tc>
          <w:tcPr>
            <w:tcW w:w="1280"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纵向弥散度</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vertAlign w:val="subscript"/>
              </w:rPr>
              <w:t>L</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rPr>
              <w:t>）</w:t>
            </w:r>
          </w:p>
        </w:tc>
        <w:tc>
          <w:tcPr>
            <w:tcW w:w="1124"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水流速度</w:t>
            </w:r>
            <w:r>
              <w:rPr>
                <w:rFonts w:ascii="Times New Roman" w:eastAsia="宋体" w:hAnsi="Times New Roman" w:cs="Times New Roman"/>
                <w:color w:val="000000" w:themeColor="text1"/>
              </w:rPr>
              <w:t>u</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m/d</w:t>
            </w:r>
            <w:r>
              <w:rPr>
                <w:rFonts w:ascii="Times New Roman" w:eastAsia="宋体" w:hAnsi="Times New Roman" w:cs="Times New Roman"/>
                <w:color w:val="000000" w:themeColor="text1"/>
              </w:rPr>
              <w:t>）</w:t>
            </w:r>
          </w:p>
        </w:tc>
        <w:tc>
          <w:tcPr>
            <w:tcW w:w="1711"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纵向弥散度系数</w:t>
            </w:r>
            <w:r>
              <w:rPr>
                <w:rFonts w:ascii="Times New Roman" w:eastAsia="宋体" w:hAnsi="Times New Roman" w:cs="Times New Roman"/>
                <w:color w:val="000000" w:themeColor="text1"/>
              </w:rPr>
              <w:t>D</w:t>
            </w:r>
            <w:r>
              <w:rPr>
                <w:rFonts w:ascii="Times New Roman" w:eastAsia="宋体" w:hAnsi="Times New Roman" w:cs="Times New Roman"/>
                <w:color w:val="000000" w:themeColor="text1"/>
                <w:vertAlign w:val="subscript"/>
              </w:rPr>
              <w:t>L</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/d</w:t>
            </w:r>
            <w:r>
              <w:rPr>
                <w:rFonts w:ascii="Times New Roman" w:eastAsia="宋体" w:hAnsi="Times New Roman" w:cs="Times New Roman"/>
                <w:color w:val="000000" w:themeColor="text1"/>
              </w:rPr>
              <w:t>）</w:t>
            </w:r>
          </w:p>
        </w:tc>
        <w:tc>
          <w:tcPr>
            <w:tcW w:w="229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污染源强</w:t>
            </w:r>
            <w:r>
              <w:rPr>
                <w:rFonts w:ascii="Times New Roman" w:eastAsia="宋体" w:hAnsi="Times New Roman" w:cs="Times New Roman"/>
                <w:color w:val="000000" w:themeColor="text1"/>
              </w:rPr>
              <w:t>C</w:t>
            </w:r>
            <w:r>
              <w:rPr>
                <w:rFonts w:ascii="Times New Roman" w:eastAsia="宋体" w:hAnsi="Times New Roman" w:cs="Times New Roman"/>
                <w:color w:val="000000" w:themeColor="text1"/>
                <w:vertAlign w:val="subscript"/>
              </w:rPr>
              <w:t>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mg/L</w:t>
            </w:r>
            <w:r>
              <w:rPr>
                <w:rFonts w:ascii="Times New Roman" w:eastAsia="宋体" w:hAnsi="Times New Roman" w:cs="Times New Roman"/>
                <w:color w:val="000000" w:themeColor="text1"/>
              </w:rPr>
              <w:t>）</w:t>
            </w:r>
          </w:p>
        </w:tc>
      </w:tr>
      <w:tr w:rsidR="00C861DA">
        <w:trPr>
          <w:trHeight w:val="369"/>
          <w:jc w:val="center"/>
        </w:trPr>
        <w:tc>
          <w:tcPr>
            <w:tcW w:w="1186" w:type="dxa"/>
            <w:vMerge/>
            <w:vAlign w:val="center"/>
          </w:tcPr>
          <w:p w:rsidR="00C861DA" w:rsidRDefault="00C861DA">
            <w:pPr>
              <w:jc w:val="center"/>
              <w:rPr>
                <w:rFonts w:ascii="Times New Roman" w:eastAsia="宋体" w:hAnsi="Times New Roman" w:cs="Times New Roman"/>
                <w:color w:val="000000" w:themeColor="text1"/>
              </w:rPr>
            </w:pPr>
          </w:p>
        </w:tc>
        <w:tc>
          <w:tcPr>
            <w:tcW w:w="931" w:type="dxa"/>
            <w:vMerge/>
            <w:vAlign w:val="center"/>
          </w:tcPr>
          <w:p w:rsidR="00C861DA" w:rsidRDefault="00C861DA">
            <w:pPr>
              <w:jc w:val="center"/>
              <w:rPr>
                <w:rFonts w:ascii="Times New Roman" w:eastAsia="宋体" w:hAnsi="Times New Roman" w:cs="Times New Roman"/>
                <w:color w:val="000000" w:themeColor="text1"/>
              </w:rPr>
            </w:pPr>
          </w:p>
        </w:tc>
        <w:tc>
          <w:tcPr>
            <w:tcW w:w="1280" w:type="dxa"/>
            <w:vMerge/>
            <w:vAlign w:val="center"/>
          </w:tcPr>
          <w:p w:rsidR="00C861DA" w:rsidRDefault="00C861DA">
            <w:pPr>
              <w:jc w:val="center"/>
              <w:rPr>
                <w:rFonts w:ascii="Times New Roman" w:eastAsia="宋体" w:hAnsi="Times New Roman" w:cs="Times New Roman"/>
                <w:color w:val="000000" w:themeColor="text1"/>
              </w:rPr>
            </w:pPr>
          </w:p>
        </w:tc>
        <w:tc>
          <w:tcPr>
            <w:tcW w:w="1124" w:type="dxa"/>
            <w:vMerge/>
            <w:vAlign w:val="center"/>
          </w:tcPr>
          <w:p w:rsidR="00C861DA" w:rsidRDefault="00C861DA">
            <w:pPr>
              <w:jc w:val="center"/>
              <w:rPr>
                <w:rFonts w:ascii="Times New Roman" w:eastAsia="宋体" w:hAnsi="Times New Roman" w:cs="Times New Roman"/>
                <w:color w:val="000000" w:themeColor="text1"/>
              </w:rPr>
            </w:pPr>
          </w:p>
        </w:tc>
        <w:tc>
          <w:tcPr>
            <w:tcW w:w="1711" w:type="dxa"/>
            <w:vMerge/>
            <w:vAlign w:val="center"/>
          </w:tcPr>
          <w:p w:rsidR="00C861DA" w:rsidRDefault="00C861DA">
            <w:pPr>
              <w:jc w:val="center"/>
              <w:rPr>
                <w:rFonts w:ascii="Times New Roman" w:eastAsia="宋体" w:hAnsi="Times New Roman" w:cs="Times New Roman"/>
                <w:color w:val="000000" w:themeColor="text1"/>
              </w:rPr>
            </w:pPr>
          </w:p>
        </w:tc>
        <w:tc>
          <w:tcPr>
            <w:tcW w:w="229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氨氮</w:t>
            </w:r>
          </w:p>
        </w:tc>
      </w:tr>
      <w:tr w:rsidR="00C861DA">
        <w:trPr>
          <w:trHeight w:val="369"/>
          <w:jc w:val="center"/>
        </w:trPr>
        <w:tc>
          <w:tcPr>
            <w:tcW w:w="118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24"/>
              </w:rPr>
              <w:t>0.432</w:t>
            </w:r>
          </w:p>
        </w:tc>
        <w:tc>
          <w:tcPr>
            <w:tcW w:w="931"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0.1418</w:t>
            </w:r>
          </w:p>
        </w:tc>
        <w:tc>
          <w:tcPr>
            <w:tcW w:w="128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30</w:t>
            </w:r>
          </w:p>
        </w:tc>
        <w:tc>
          <w:tcPr>
            <w:tcW w:w="1124"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0.061</w:t>
            </w:r>
          </w:p>
        </w:tc>
        <w:tc>
          <w:tcPr>
            <w:tcW w:w="1711"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1.84</w:t>
            </w:r>
          </w:p>
        </w:tc>
        <w:tc>
          <w:tcPr>
            <w:tcW w:w="2290"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666.7</w:t>
            </w:r>
          </w:p>
        </w:tc>
      </w:tr>
    </w:tbl>
    <w:p w:rsidR="00C861DA" w:rsidRDefault="0044752E">
      <w:pPr>
        <w:pStyle w:val="32"/>
        <w:rPr>
          <w:rFonts w:ascii="Times New Roman" w:eastAsia="宋体"/>
          <w:bCs w:val="0"/>
          <w:color w:val="000000" w:themeColor="text1"/>
          <w:sz w:val="24"/>
          <w:szCs w:val="24"/>
        </w:rPr>
      </w:pPr>
      <w:bookmarkStart w:id="497" w:name="_Toc6826860"/>
      <w:bookmarkStart w:id="498" w:name="_Toc19832"/>
      <w:r>
        <w:rPr>
          <w:rFonts w:ascii="Times New Roman" w:eastAsia="宋体"/>
          <w:bCs w:val="0"/>
          <w:color w:val="000000" w:themeColor="text1"/>
          <w:sz w:val="24"/>
          <w:szCs w:val="24"/>
        </w:rPr>
        <w:t>7.4.6</w:t>
      </w:r>
      <w:r>
        <w:rPr>
          <w:rFonts w:ascii="Times New Roman" w:eastAsia="宋体"/>
          <w:bCs w:val="0"/>
          <w:color w:val="000000" w:themeColor="text1"/>
          <w:sz w:val="24"/>
          <w:szCs w:val="24"/>
        </w:rPr>
        <w:t>地下水环境影响预测评价</w:t>
      </w:r>
      <w:bookmarkEnd w:id="497"/>
      <w:bookmarkEnd w:id="498"/>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根据导则要求以及污染情形分析，预测期为</w:t>
      </w:r>
      <w:r>
        <w:rPr>
          <w:rFonts w:ascii="Times New Roman" w:eastAsia="宋体" w:hAnsi="Times New Roman" w:cs="Times New Roman"/>
          <w:color w:val="000000" w:themeColor="text1"/>
          <w:sz w:val="24"/>
        </w:rPr>
        <w:t>20</w:t>
      </w:r>
      <w:r>
        <w:rPr>
          <w:rFonts w:ascii="Times New Roman" w:eastAsia="宋体" w:hAnsi="Times New Roman" w:cs="Times New Roman"/>
          <w:color w:val="000000" w:themeColor="text1"/>
          <w:sz w:val="24"/>
        </w:rPr>
        <w:t>年，利用解析法进行分析，分别按照固定时间，污染物污染迁移的不同距离以及固定距离，污染物迁移时间分别进行预测评价，其中迁移距离按照</w:t>
      </w:r>
      <w:r>
        <w:rPr>
          <w:rFonts w:ascii="Times New Roman" w:eastAsia="宋体" w:hAnsi="Times New Roman" w:cs="Times New Roman"/>
          <w:color w:val="000000" w:themeColor="text1"/>
          <w:sz w:val="24"/>
        </w:rPr>
        <w:t>50m</w:t>
      </w:r>
      <w:r>
        <w:rPr>
          <w:rFonts w:ascii="Times New Roman" w:eastAsia="宋体" w:hAnsi="Times New Roman" w:cs="Times New Roman"/>
          <w:color w:val="000000" w:themeColor="text1"/>
          <w:sz w:val="24"/>
        </w:rPr>
        <w:t>步长考虑，共</w:t>
      </w:r>
      <w:r>
        <w:rPr>
          <w:rFonts w:ascii="Times New Roman" w:eastAsia="宋体" w:hAnsi="Times New Roman" w:cs="Times New Roman"/>
          <w:color w:val="000000" w:themeColor="text1"/>
          <w:sz w:val="24"/>
        </w:rPr>
        <w:t>1000m</w:t>
      </w:r>
      <w:r>
        <w:rPr>
          <w:rFonts w:ascii="Times New Roman" w:eastAsia="宋体" w:hAnsi="Times New Roman" w:cs="Times New Roman"/>
          <w:color w:val="000000" w:themeColor="text1"/>
          <w:sz w:val="24"/>
        </w:rPr>
        <w:t>，共</w:t>
      </w:r>
      <w:r>
        <w:rPr>
          <w:rFonts w:ascii="Times New Roman" w:eastAsia="宋体" w:hAnsi="Times New Roman" w:cs="Times New Roman"/>
          <w:color w:val="000000" w:themeColor="text1"/>
          <w:sz w:val="24"/>
        </w:rPr>
        <w:t>20</w:t>
      </w:r>
      <w:r>
        <w:rPr>
          <w:rFonts w:ascii="Times New Roman" w:eastAsia="宋体" w:hAnsi="Times New Roman" w:cs="Times New Roman"/>
          <w:color w:val="000000" w:themeColor="text1"/>
          <w:sz w:val="24"/>
        </w:rPr>
        <w:t>个步长；时间以</w:t>
      </w:r>
      <w:r>
        <w:rPr>
          <w:rFonts w:ascii="Times New Roman" w:eastAsia="宋体" w:hAnsi="Times New Roman" w:cs="Times New Roman"/>
          <w:color w:val="000000" w:themeColor="text1"/>
          <w:sz w:val="24"/>
        </w:rPr>
        <w:t>100</w:t>
      </w:r>
      <w:r>
        <w:rPr>
          <w:rFonts w:ascii="Times New Roman" w:eastAsia="宋体" w:hAnsi="Times New Roman" w:cs="Times New Roman"/>
          <w:color w:val="000000" w:themeColor="text1"/>
          <w:sz w:val="24"/>
        </w:rPr>
        <w:t>天为时间步长，共预测</w:t>
      </w:r>
      <w:r>
        <w:rPr>
          <w:rFonts w:ascii="Times New Roman" w:eastAsia="宋体" w:hAnsi="Times New Roman" w:cs="Times New Roman"/>
          <w:color w:val="000000" w:themeColor="text1"/>
          <w:sz w:val="24"/>
        </w:rPr>
        <w:t>72</w:t>
      </w:r>
      <w:r>
        <w:rPr>
          <w:rFonts w:ascii="Times New Roman" w:eastAsia="宋体" w:hAnsi="Times New Roman" w:cs="Times New Roman"/>
          <w:color w:val="000000" w:themeColor="text1"/>
          <w:sz w:val="24"/>
        </w:rPr>
        <w:t>个时期，曲线图选取的主要时段</w:t>
      </w:r>
      <w:r>
        <w:rPr>
          <w:rFonts w:ascii="Times New Roman" w:eastAsia="宋体" w:hAnsi="Times New Roman" w:cs="Times New Roman"/>
          <w:color w:val="000000" w:themeColor="text1"/>
          <w:sz w:val="24"/>
        </w:rPr>
        <w:t>100</w:t>
      </w:r>
      <w:r>
        <w:rPr>
          <w:rFonts w:ascii="Times New Roman" w:eastAsia="宋体" w:hAnsi="Times New Roman" w:cs="Times New Roman"/>
          <w:color w:val="000000" w:themeColor="text1"/>
          <w:sz w:val="24"/>
        </w:rPr>
        <w:t>天、</w:t>
      </w:r>
      <w:r>
        <w:rPr>
          <w:rFonts w:ascii="Times New Roman" w:eastAsia="宋体" w:hAnsi="Times New Roman" w:cs="Times New Roman"/>
          <w:color w:val="000000" w:themeColor="text1"/>
          <w:sz w:val="24"/>
        </w:rPr>
        <w:t>500</w:t>
      </w:r>
      <w:r>
        <w:rPr>
          <w:rFonts w:ascii="Times New Roman" w:eastAsia="宋体" w:hAnsi="Times New Roman" w:cs="Times New Roman"/>
          <w:color w:val="000000" w:themeColor="text1"/>
          <w:sz w:val="24"/>
        </w:rPr>
        <w:t>天、</w:t>
      </w:r>
      <w:r>
        <w:rPr>
          <w:rFonts w:ascii="Times New Roman" w:eastAsia="宋体" w:hAnsi="Times New Roman" w:cs="Times New Roman"/>
          <w:color w:val="000000" w:themeColor="text1"/>
          <w:sz w:val="24"/>
        </w:rPr>
        <w:t>1000</w:t>
      </w:r>
      <w:r>
        <w:rPr>
          <w:rFonts w:ascii="Times New Roman" w:eastAsia="宋体" w:hAnsi="Times New Roman" w:cs="Times New Roman"/>
          <w:color w:val="000000" w:themeColor="text1"/>
          <w:sz w:val="24"/>
        </w:rPr>
        <w:t>天、</w:t>
      </w:r>
      <w:r>
        <w:rPr>
          <w:rFonts w:ascii="Times New Roman" w:eastAsia="宋体" w:hAnsi="Times New Roman" w:cs="Times New Roman"/>
          <w:color w:val="000000" w:themeColor="text1"/>
          <w:sz w:val="24"/>
        </w:rPr>
        <w:t>2000</w:t>
      </w:r>
      <w:r>
        <w:rPr>
          <w:rFonts w:ascii="Times New Roman" w:eastAsia="宋体" w:hAnsi="Times New Roman" w:cs="Times New Roman"/>
          <w:color w:val="000000" w:themeColor="text1"/>
          <w:sz w:val="24"/>
        </w:rPr>
        <w:t>天、</w:t>
      </w:r>
      <w:r>
        <w:rPr>
          <w:rFonts w:ascii="Times New Roman" w:eastAsia="宋体" w:hAnsi="Times New Roman" w:cs="Times New Roman"/>
          <w:color w:val="000000" w:themeColor="text1"/>
          <w:sz w:val="24"/>
        </w:rPr>
        <w:t>5000</w:t>
      </w:r>
      <w:r>
        <w:rPr>
          <w:rFonts w:ascii="Times New Roman" w:eastAsia="宋体" w:hAnsi="Times New Roman" w:cs="Times New Roman"/>
          <w:color w:val="000000" w:themeColor="text1"/>
          <w:sz w:val="24"/>
        </w:rPr>
        <w:t>天、</w:t>
      </w:r>
      <w:r>
        <w:rPr>
          <w:rFonts w:ascii="Times New Roman" w:eastAsia="宋体" w:hAnsi="Times New Roman" w:cs="Times New Roman"/>
          <w:color w:val="000000" w:themeColor="text1"/>
          <w:sz w:val="24"/>
        </w:rPr>
        <w:t>7200</w:t>
      </w:r>
      <w:r>
        <w:rPr>
          <w:rFonts w:ascii="Times New Roman" w:eastAsia="宋体" w:hAnsi="Times New Roman" w:cs="Times New Roman"/>
          <w:color w:val="000000" w:themeColor="text1"/>
          <w:sz w:val="24"/>
        </w:rPr>
        <w:t>天污染物浓度进行评价。</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非正常工矿情景下：如污染物发生泄漏，按照固定时间</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不同距离预测氨氮扩散浓度。预测</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天时预测超标距离最远为</w:t>
      </w:r>
      <w:r>
        <w:rPr>
          <w:rFonts w:ascii="Times New Roman" w:eastAsia="宋体" w:hAnsi="Times New Roman" w:cs="Times New Roman"/>
          <w:color w:val="000000" w:themeColor="text1"/>
          <w:sz w:val="24"/>
        </w:rPr>
        <w:t>5m</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rPr>
        <w:t>天时预测超标距离最远为</w:t>
      </w:r>
      <w:r>
        <w:rPr>
          <w:rFonts w:ascii="Times New Roman" w:eastAsia="宋体" w:hAnsi="Times New Roman" w:cs="Times New Roman"/>
          <w:color w:val="000000" w:themeColor="text1"/>
          <w:sz w:val="24"/>
        </w:rPr>
        <w:t>12m</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28</w:t>
      </w:r>
      <w:r>
        <w:rPr>
          <w:rFonts w:ascii="Times New Roman" w:eastAsia="宋体" w:hAnsi="Times New Roman" w:cs="Times New Roman"/>
          <w:color w:val="000000" w:themeColor="text1"/>
          <w:sz w:val="24"/>
        </w:rPr>
        <w:t>天时预测超标距离最远为</w:t>
      </w:r>
      <w:r>
        <w:rPr>
          <w:rFonts w:ascii="Times New Roman" w:eastAsia="宋体" w:hAnsi="Times New Roman" w:cs="Times New Roman"/>
          <w:color w:val="000000" w:themeColor="text1"/>
          <w:sz w:val="24"/>
        </w:rPr>
        <w:t>11m</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29</w:t>
      </w:r>
      <w:r>
        <w:rPr>
          <w:rFonts w:ascii="Times New Roman" w:eastAsia="宋体" w:hAnsi="Times New Roman" w:cs="Times New Roman"/>
          <w:color w:val="000000" w:themeColor="text1"/>
          <w:sz w:val="24"/>
        </w:rPr>
        <w:t>天以后预测结果均不超标。预测结果见图表。</w:t>
      </w:r>
    </w:p>
    <w:p w:rsidR="00C861DA" w:rsidRDefault="0044752E">
      <w:pPr>
        <w:widowControl/>
        <w:jc w:val="center"/>
        <w:rPr>
          <w:rFonts w:ascii="Times New Roman" w:eastAsia="宋体" w:hAnsi="Times New Roman" w:cs="Times New Roman"/>
          <w:color w:val="000000" w:themeColor="text1"/>
          <w:kern w:val="0"/>
        </w:rPr>
      </w:pPr>
      <w:r>
        <w:rPr>
          <w:rFonts w:ascii="Times New Roman" w:eastAsia="宋体" w:hAnsi="Times New Roman" w:cs="Times New Roman"/>
          <w:noProof/>
          <w:color w:val="000000" w:themeColor="text1"/>
          <w:kern w:val="0"/>
        </w:rPr>
        <w:drawing>
          <wp:inline distT="0" distB="0" distL="0" distR="0">
            <wp:extent cx="3964305" cy="2451735"/>
            <wp:effectExtent l="0" t="0" r="0" b="0"/>
            <wp:docPr id="5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descr="IMG_256"/>
                    <pic:cNvPicPr>
                      <a:picLocks noChangeAspect="1" noChangeArrowheads="1"/>
                    </pic:cNvPicPr>
                  </pic:nvPicPr>
                  <pic:blipFill>
                    <a:blip r:embed="rId49" cstate="screen"/>
                    <a:srcRect/>
                    <a:stretch>
                      <a:fillRect/>
                    </a:stretch>
                  </pic:blipFill>
                  <pic:spPr>
                    <a:xfrm>
                      <a:off x="0" y="0"/>
                      <a:ext cx="3964305" cy="2451735"/>
                    </a:xfrm>
                    <a:prstGeom prst="rect">
                      <a:avLst/>
                    </a:prstGeom>
                    <a:noFill/>
                    <a:ln>
                      <a:noFill/>
                    </a:ln>
                  </pic:spPr>
                </pic:pic>
              </a:graphicData>
            </a:graphic>
          </wp:inline>
        </w:drawing>
      </w:r>
    </w:p>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7.4-2  </w:t>
      </w:r>
      <w:r>
        <w:rPr>
          <w:rFonts w:ascii="Times New Roman" w:eastAsia="宋体" w:hAnsi="Times New Roman" w:cs="Times New Roman"/>
          <w:b/>
          <w:color w:val="000000" w:themeColor="text1"/>
        </w:rPr>
        <w:t>非正常工况下，固定时间（</w:t>
      </w:r>
      <w:r>
        <w:rPr>
          <w:rFonts w:ascii="Times New Roman" w:eastAsia="宋体" w:hAnsi="Times New Roman" w:cs="Times New Roman"/>
          <w:b/>
          <w:color w:val="000000" w:themeColor="text1"/>
        </w:rPr>
        <w:t>1</w:t>
      </w:r>
      <w:r>
        <w:rPr>
          <w:rFonts w:ascii="Times New Roman" w:eastAsia="宋体" w:hAnsi="Times New Roman" w:cs="Times New Roman"/>
          <w:b/>
          <w:color w:val="000000" w:themeColor="text1"/>
        </w:rPr>
        <w:t>天）</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不同距离氨氮浓度预测</w:t>
      </w:r>
      <w:r>
        <w:rPr>
          <w:rFonts w:ascii="Times New Roman" w:eastAsia="宋体" w:hAnsi="Times New Roman" w:cs="Times New Roman"/>
          <w:b/>
          <w:color w:val="000000" w:themeColor="text1"/>
        </w:rPr>
        <w:t>mg/L</w:t>
      </w:r>
    </w:p>
    <w:p w:rsidR="00C861DA" w:rsidRDefault="00C861DA">
      <w:pPr>
        <w:ind w:firstLine="482"/>
        <w:jc w:val="center"/>
        <w:rPr>
          <w:rFonts w:ascii="Times New Roman" w:eastAsia="宋体" w:hAnsi="Times New Roman" w:cs="Times New Roman"/>
          <w:b/>
          <w:color w:val="000000" w:themeColor="text1"/>
        </w:rPr>
      </w:pPr>
    </w:p>
    <w:p w:rsidR="00C861DA" w:rsidRDefault="0044752E">
      <w:pPr>
        <w:ind w:firstLine="480"/>
        <w:jc w:val="center"/>
        <w:rPr>
          <w:rFonts w:ascii="Times New Roman" w:eastAsia="宋体" w:hAnsi="Times New Roman" w:cs="Times New Roman"/>
          <w:b/>
          <w:color w:val="000000" w:themeColor="text1"/>
        </w:rPr>
      </w:pPr>
      <w:r>
        <w:rPr>
          <w:rFonts w:ascii="Times New Roman" w:eastAsia="宋体" w:hAnsi="Times New Roman" w:cs="Times New Roman"/>
          <w:noProof/>
          <w:color w:val="000000" w:themeColor="text1"/>
        </w:rPr>
        <w:drawing>
          <wp:inline distT="0" distB="0" distL="0" distR="0">
            <wp:extent cx="4114800" cy="2426970"/>
            <wp:effectExtent l="0" t="0" r="0"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noChangeArrowheads="1"/>
                    </pic:cNvPicPr>
                  </pic:nvPicPr>
                  <pic:blipFill>
                    <a:blip r:embed="rId50" cstate="screen"/>
                    <a:srcRect/>
                    <a:stretch>
                      <a:fillRect/>
                    </a:stretch>
                  </pic:blipFill>
                  <pic:spPr>
                    <a:xfrm>
                      <a:off x="0" y="0"/>
                      <a:ext cx="4127841" cy="2434526"/>
                    </a:xfrm>
                    <a:prstGeom prst="rect">
                      <a:avLst/>
                    </a:prstGeom>
                    <a:noFill/>
                    <a:ln>
                      <a:noFill/>
                    </a:ln>
                  </pic:spPr>
                </pic:pic>
              </a:graphicData>
            </a:graphic>
          </wp:inline>
        </w:drawing>
      </w:r>
    </w:p>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7.4-3  </w:t>
      </w:r>
      <w:r>
        <w:rPr>
          <w:rFonts w:ascii="Times New Roman" w:eastAsia="宋体" w:hAnsi="Times New Roman" w:cs="Times New Roman"/>
          <w:b/>
          <w:color w:val="000000" w:themeColor="text1"/>
        </w:rPr>
        <w:t>非正常工况下，固定时间（</w:t>
      </w:r>
      <w:r>
        <w:rPr>
          <w:rFonts w:ascii="Times New Roman" w:eastAsia="宋体" w:hAnsi="Times New Roman" w:cs="Times New Roman"/>
          <w:b/>
          <w:color w:val="000000" w:themeColor="text1"/>
        </w:rPr>
        <w:t>10</w:t>
      </w:r>
      <w:r>
        <w:rPr>
          <w:rFonts w:ascii="Times New Roman" w:eastAsia="宋体" w:hAnsi="Times New Roman" w:cs="Times New Roman"/>
          <w:b/>
          <w:color w:val="000000" w:themeColor="text1"/>
        </w:rPr>
        <w:t>天）</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不同距离氨氮浓度预测</w:t>
      </w:r>
      <w:r>
        <w:rPr>
          <w:rFonts w:ascii="Times New Roman" w:eastAsia="宋体" w:hAnsi="Times New Roman" w:cs="Times New Roman"/>
          <w:b/>
          <w:color w:val="000000" w:themeColor="text1"/>
        </w:rPr>
        <w:t>mg/L</w:t>
      </w:r>
    </w:p>
    <w:p w:rsidR="00C861DA" w:rsidRDefault="0044752E">
      <w:pPr>
        <w:ind w:firstLine="480"/>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extent cx="3898900" cy="2401570"/>
            <wp:effectExtent l="0" t="0" r="0" b="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noChangeArrowheads="1"/>
                    </pic:cNvPicPr>
                  </pic:nvPicPr>
                  <pic:blipFill>
                    <a:blip r:embed="rId51" cstate="screen"/>
                    <a:srcRect l="1572"/>
                    <a:stretch>
                      <a:fillRect/>
                    </a:stretch>
                  </pic:blipFill>
                  <pic:spPr>
                    <a:xfrm>
                      <a:off x="0" y="0"/>
                      <a:ext cx="3898900" cy="2401570"/>
                    </a:xfrm>
                    <a:prstGeom prst="rect">
                      <a:avLst/>
                    </a:prstGeom>
                    <a:noFill/>
                    <a:ln>
                      <a:noFill/>
                    </a:ln>
                  </pic:spPr>
                </pic:pic>
              </a:graphicData>
            </a:graphic>
          </wp:inline>
        </w:drawing>
      </w:r>
    </w:p>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7.4-4  </w:t>
      </w:r>
      <w:r>
        <w:rPr>
          <w:rFonts w:ascii="Times New Roman" w:eastAsia="宋体" w:hAnsi="Times New Roman" w:cs="Times New Roman"/>
          <w:b/>
          <w:color w:val="000000" w:themeColor="text1"/>
        </w:rPr>
        <w:t>非正常工况下，固定时间（</w:t>
      </w:r>
      <w:r>
        <w:rPr>
          <w:rFonts w:ascii="Times New Roman" w:eastAsia="宋体" w:hAnsi="Times New Roman" w:cs="Times New Roman"/>
          <w:b/>
          <w:color w:val="000000" w:themeColor="text1"/>
        </w:rPr>
        <w:t>28</w:t>
      </w:r>
      <w:r>
        <w:rPr>
          <w:rFonts w:ascii="Times New Roman" w:eastAsia="宋体" w:hAnsi="Times New Roman" w:cs="Times New Roman"/>
          <w:b/>
          <w:color w:val="000000" w:themeColor="text1"/>
        </w:rPr>
        <w:t>天）</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不同距离氨氮浓度预测</w:t>
      </w:r>
      <w:r>
        <w:rPr>
          <w:rFonts w:ascii="Times New Roman" w:eastAsia="宋体" w:hAnsi="Times New Roman" w:cs="Times New Roman"/>
          <w:b/>
          <w:color w:val="000000" w:themeColor="text1"/>
        </w:rPr>
        <w:t>mg/L</w:t>
      </w:r>
    </w:p>
    <w:p w:rsidR="00C861DA" w:rsidRDefault="0044752E">
      <w:pPr>
        <w:ind w:firstLine="480"/>
        <w:jc w:val="center"/>
        <w:rPr>
          <w:rFonts w:ascii="Times New Roman" w:eastAsia="宋体" w:hAnsi="Times New Roman" w:cs="Times New Roman"/>
          <w:b/>
          <w:color w:val="000000" w:themeColor="text1"/>
        </w:rPr>
      </w:pPr>
      <w:r>
        <w:rPr>
          <w:rFonts w:ascii="Times New Roman" w:eastAsia="宋体" w:hAnsi="Times New Roman" w:cs="Times New Roman"/>
          <w:noProof/>
          <w:color w:val="000000" w:themeColor="text1"/>
        </w:rPr>
        <w:drawing>
          <wp:inline distT="0" distB="0" distL="0" distR="0">
            <wp:extent cx="3964305" cy="2466975"/>
            <wp:effectExtent l="0" t="0" r="0" b="0"/>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noChangeArrowheads="1"/>
                    </pic:cNvPicPr>
                  </pic:nvPicPr>
                  <pic:blipFill>
                    <a:blip r:embed="rId52" cstate="screen"/>
                    <a:srcRect/>
                    <a:stretch>
                      <a:fillRect/>
                    </a:stretch>
                  </pic:blipFill>
                  <pic:spPr>
                    <a:xfrm>
                      <a:off x="0" y="0"/>
                      <a:ext cx="3964305" cy="2466975"/>
                    </a:xfrm>
                    <a:prstGeom prst="rect">
                      <a:avLst/>
                    </a:prstGeom>
                    <a:noFill/>
                    <a:ln>
                      <a:noFill/>
                    </a:ln>
                  </pic:spPr>
                </pic:pic>
              </a:graphicData>
            </a:graphic>
          </wp:inline>
        </w:drawing>
      </w:r>
    </w:p>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7.4-5  </w:t>
      </w:r>
      <w:r>
        <w:rPr>
          <w:rFonts w:ascii="Times New Roman" w:eastAsia="宋体" w:hAnsi="Times New Roman" w:cs="Times New Roman"/>
          <w:b/>
          <w:color w:val="000000" w:themeColor="text1"/>
        </w:rPr>
        <w:t>非正常工况下，固</w:t>
      </w:r>
      <w:r>
        <w:rPr>
          <w:rFonts w:ascii="Times New Roman" w:eastAsia="宋体" w:hAnsi="Times New Roman" w:cs="Times New Roman"/>
          <w:b/>
          <w:color w:val="000000" w:themeColor="text1"/>
        </w:rPr>
        <w:t>定时间（</w:t>
      </w:r>
      <w:r>
        <w:rPr>
          <w:rFonts w:ascii="Times New Roman" w:eastAsia="宋体" w:hAnsi="Times New Roman" w:cs="Times New Roman"/>
          <w:b/>
          <w:color w:val="000000" w:themeColor="text1"/>
        </w:rPr>
        <w:t>29</w:t>
      </w:r>
      <w:r>
        <w:rPr>
          <w:rFonts w:ascii="Times New Roman" w:eastAsia="宋体" w:hAnsi="Times New Roman" w:cs="Times New Roman"/>
          <w:b/>
          <w:color w:val="000000" w:themeColor="text1"/>
        </w:rPr>
        <w:t>天）</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不同距离氨氮浓度预测</w:t>
      </w:r>
      <w:r>
        <w:rPr>
          <w:rFonts w:ascii="Times New Roman" w:eastAsia="宋体" w:hAnsi="Times New Roman" w:cs="Times New Roman"/>
          <w:b/>
          <w:color w:val="000000" w:themeColor="text1"/>
        </w:rPr>
        <w:t>mg/L</w:t>
      </w:r>
    </w:p>
    <w:p w:rsidR="00C861DA" w:rsidRDefault="00C861DA">
      <w:pPr>
        <w:ind w:firstLine="480"/>
        <w:jc w:val="center"/>
        <w:rPr>
          <w:rFonts w:ascii="Times New Roman" w:eastAsia="宋体" w:hAnsi="Times New Roman" w:cs="Times New Roman"/>
          <w:color w:val="000000" w:themeColor="text1"/>
        </w:rPr>
      </w:pPr>
    </w:p>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extent cx="5266690" cy="2651125"/>
            <wp:effectExtent l="0" t="0" r="0" b="0"/>
            <wp:docPr id="5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861DA" w:rsidRDefault="0044752E">
      <w:pPr>
        <w:ind w:firstLine="482"/>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7.4-6  </w:t>
      </w:r>
      <w:r>
        <w:rPr>
          <w:rFonts w:ascii="Times New Roman" w:eastAsia="宋体" w:hAnsi="Times New Roman" w:cs="Times New Roman"/>
          <w:b/>
          <w:color w:val="000000" w:themeColor="text1"/>
        </w:rPr>
        <w:t>非正常工况下，固定时间（</w:t>
      </w:r>
      <w:r>
        <w:rPr>
          <w:rFonts w:ascii="Times New Roman" w:eastAsia="宋体" w:hAnsi="Times New Roman" w:cs="Times New Roman"/>
          <w:b/>
          <w:color w:val="000000" w:themeColor="text1"/>
        </w:rPr>
        <w:t>100-7200</w:t>
      </w:r>
      <w:r>
        <w:rPr>
          <w:rFonts w:ascii="Times New Roman" w:eastAsia="宋体" w:hAnsi="Times New Roman" w:cs="Times New Roman"/>
          <w:b/>
          <w:color w:val="000000" w:themeColor="text1"/>
        </w:rPr>
        <w:t>天）</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不同距离氨氮浓度预测</w:t>
      </w:r>
      <w:r>
        <w:rPr>
          <w:rFonts w:ascii="Times New Roman" w:eastAsia="宋体" w:hAnsi="Times New Roman" w:cs="Times New Roman"/>
          <w:b/>
          <w:color w:val="000000" w:themeColor="text1"/>
        </w:rPr>
        <w:t>mg/L</w:t>
      </w:r>
    </w:p>
    <w:p w:rsidR="00C861DA" w:rsidRDefault="00C861DA">
      <w:pPr>
        <w:ind w:firstLine="482"/>
        <w:jc w:val="center"/>
        <w:rPr>
          <w:rFonts w:ascii="Times New Roman" w:eastAsia="宋体" w:hAnsi="Times New Roman" w:cs="Times New Roman"/>
          <w:b/>
          <w:color w:val="000000" w:themeColor="text1"/>
        </w:rPr>
      </w:pP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非正常工矿情景下：如污染物发生泄漏，按照固定距离</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不同时间预测氨氮扩散浓度。边界</w:t>
      </w:r>
      <w:r>
        <w:rPr>
          <w:rFonts w:ascii="Times New Roman" w:eastAsia="宋体" w:hAnsi="Times New Roman" w:cs="Times New Roman"/>
          <w:color w:val="000000" w:themeColor="text1"/>
          <w:sz w:val="24"/>
        </w:rPr>
        <w:t>1m</w:t>
      </w:r>
      <w:r>
        <w:rPr>
          <w:rFonts w:ascii="Times New Roman" w:eastAsia="宋体" w:hAnsi="Times New Roman" w:cs="Times New Roman"/>
          <w:color w:val="000000" w:themeColor="text1"/>
          <w:sz w:val="24"/>
        </w:rPr>
        <w:t>处预测超标时间为</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rPr>
        <w:t>天；</w:t>
      </w:r>
      <w:r>
        <w:rPr>
          <w:rFonts w:ascii="Times New Roman" w:eastAsia="宋体" w:hAnsi="Times New Roman" w:cs="Times New Roman"/>
          <w:color w:val="000000" w:themeColor="text1"/>
          <w:sz w:val="24"/>
        </w:rPr>
        <w:t>5m</w:t>
      </w:r>
      <w:r>
        <w:rPr>
          <w:rFonts w:ascii="Times New Roman" w:eastAsia="宋体" w:hAnsi="Times New Roman" w:cs="Times New Roman"/>
          <w:color w:val="000000" w:themeColor="text1"/>
          <w:sz w:val="24"/>
        </w:rPr>
        <w:t>处预测超标时间为</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天至</w:t>
      </w:r>
      <w:r>
        <w:rPr>
          <w:rFonts w:ascii="Times New Roman" w:eastAsia="宋体" w:hAnsi="Times New Roman" w:cs="Times New Roman"/>
          <w:color w:val="000000" w:themeColor="text1"/>
          <w:sz w:val="24"/>
        </w:rPr>
        <w:t>23</w:t>
      </w:r>
      <w:r>
        <w:rPr>
          <w:rFonts w:ascii="Times New Roman" w:eastAsia="宋体" w:hAnsi="Times New Roman" w:cs="Times New Roman"/>
          <w:color w:val="000000" w:themeColor="text1"/>
          <w:sz w:val="24"/>
        </w:rPr>
        <w:t>天；</w:t>
      </w:r>
      <w:r>
        <w:rPr>
          <w:rFonts w:ascii="Times New Roman" w:eastAsia="宋体" w:hAnsi="Times New Roman" w:cs="Times New Roman"/>
          <w:color w:val="000000" w:themeColor="text1"/>
          <w:sz w:val="24"/>
        </w:rPr>
        <w:t>10m</w:t>
      </w:r>
      <w:r>
        <w:rPr>
          <w:rFonts w:ascii="Times New Roman" w:eastAsia="宋体" w:hAnsi="Times New Roman" w:cs="Times New Roman"/>
          <w:color w:val="000000" w:themeColor="text1"/>
          <w:sz w:val="24"/>
        </w:rPr>
        <w:t>处预测超标时间为</w:t>
      </w:r>
      <w:r>
        <w:rPr>
          <w:rFonts w:ascii="Times New Roman" w:eastAsia="宋体" w:hAnsi="Times New Roman" w:cs="Times New Roman"/>
          <w:color w:val="000000" w:themeColor="text1"/>
          <w:sz w:val="24"/>
        </w:rPr>
        <w:t>5</w:t>
      </w:r>
      <w:r>
        <w:rPr>
          <w:rFonts w:ascii="Times New Roman" w:eastAsia="宋体" w:hAnsi="Times New Roman" w:cs="Times New Roman"/>
          <w:color w:val="000000" w:themeColor="text1"/>
          <w:sz w:val="24"/>
        </w:rPr>
        <w:t>天至</w:t>
      </w:r>
      <w:r>
        <w:rPr>
          <w:rFonts w:ascii="Times New Roman" w:eastAsia="宋体" w:hAnsi="Times New Roman" w:cs="Times New Roman"/>
          <w:color w:val="000000" w:themeColor="text1"/>
          <w:sz w:val="24"/>
        </w:rPr>
        <w:t>29</w:t>
      </w:r>
      <w:r>
        <w:rPr>
          <w:rFonts w:ascii="Times New Roman" w:eastAsia="宋体" w:hAnsi="Times New Roman" w:cs="Times New Roman"/>
          <w:color w:val="000000" w:themeColor="text1"/>
          <w:sz w:val="24"/>
        </w:rPr>
        <w:t>天；</w:t>
      </w:r>
      <w:r>
        <w:rPr>
          <w:rFonts w:ascii="Times New Roman" w:eastAsia="宋体" w:hAnsi="Times New Roman" w:cs="Times New Roman"/>
          <w:color w:val="000000" w:themeColor="text1"/>
          <w:sz w:val="24"/>
        </w:rPr>
        <w:t>14m</w:t>
      </w:r>
      <w:r>
        <w:rPr>
          <w:rFonts w:ascii="Times New Roman" w:eastAsia="宋体" w:hAnsi="Times New Roman" w:cs="Times New Roman"/>
          <w:color w:val="000000" w:themeColor="text1"/>
          <w:sz w:val="24"/>
        </w:rPr>
        <w:t>处预测超标时间为</w:t>
      </w:r>
      <w:r>
        <w:rPr>
          <w:rFonts w:ascii="Times New Roman" w:eastAsia="宋体" w:hAnsi="Times New Roman" w:cs="Times New Roman"/>
          <w:color w:val="000000" w:themeColor="text1"/>
          <w:sz w:val="24"/>
        </w:rPr>
        <w:t>18</w:t>
      </w:r>
      <w:r>
        <w:rPr>
          <w:rFonts w:ascii="Times New Roman" w:eastAsia="宋体" w:hAnsi="Times New Roman" w:cs="Times New Roman"/>
          <w:color w:val="000000" w:themeColor="text1"/>
          <w:sz w:val="24"/>
        </w:rPr>
        <w:t>天至</w:t>
      </w:r>
      <w:r>
        <w:rPr>
          <w:rFonts w:ascii="Times New Roman" w:eastAsia="宋体" w:hAnsi="Times New Roman" w:cs="Times New Roman"/>
          <w:color w:val="000000" w:themeColor="text1"/>
          <w:sz w:val="24"/>
        </w:rPr>
        <w:t>21</w:t>
      </w:r>
      <w:r>
        <w:rPr>
          <w:rFonts w:ascii="Times New Roman" w:eastAsia="宋体" w:hAnsi="Times New Roman" w:cs="Times New Roman"/>
          <w:color w:val="000000" w:themeColor="text1"/>
          <w:sz w:val="24"/>
        </w:rPr>
        <w:t>天。自</w:t>
      </w:r>
      <w:r>
        <w:rPr>
          <w:rFonts w:ascii="Times New Roman" w:eastAsia="宋体" w:hAnsi="Times New Roman" w:cs="Times New Roman"/>
          <w:color w:val="000000" w:themeColor="text1"/>
          <w:sz w:val="24"/>
        </w:rPr>
        <w:t>15m</w:t>
      </w:r>
      <w:r>
        <w:rPr>
          <w:rFonts w:ascii="Times New Roman" w:eastAsia="宋体" w:hAnsi="Times New Roman" w:cs="Times New Roman"/>
          <w:color w:val="000000" w:themeColor="text1"/>
          <w:sz w:val="24"/>
        </w:rPr>
        <w:t>以外，均未超标。预测结果见图表。</w:t>
      </w:r>
    </w:p>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extent cx="3964305" cy="2461895"/>
            <wp:effectExtent l="0" t="0" r="0" b="0"/>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noChangeArrowheads="1"/>
                    </pic:cNvPicPr>
                  </pic:nvPicPr>
                  <pic:blipFill>
                    <a:blip r:embed="rId54" cstate="screen"/>
                    <a:srcRect/>
                    <a:stretch>
                      <a:fillRect/>
                    </a:stretch>
                  </pic:blipFill>
                  <pic:spPr>
                    <a:xfrm>
                      <a:off x="0" y="0"/>
                      <a:ext cx="3964305" cy="2461895"/>
                    </a:xfrm>
                    <a:prstGeom prst="rect">
                      <a:avLst/>
                    </a:prstGeom>
                    <a:noFill/>
                    <a:ln>
                      <a:noFill/>
                    </a:ln>
                  </pic:spPr>
                </pic:pic>
              </a:graphicData>
            </a:graphic>
          </wp:inline>
        </w:drawing>
      </w:r>
    </w:p>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7.4-7  </w:t>
      </w:r>
      <w:r>
        <w:rPr>
          <w:rFonts w:ascii="Times New Roman" w:eastAsia="宋体" w:hAnsi="Times New Roman" w:cs="Times New Roman"/>
          <w:b/>
          <w:color w:val="000000" w:themeColor="text1"/>
        </w:rPr>
        <w:t>非正常工况，固定距离（</w:t>
      </w:r>
      <w:r>
        <w:rPr>
          <w:rFonts w:ascii="Times New Roman" w:eastAsia="宋体" w:hAnsi="Times New Roman" w:cs="Times New Roman"/>
          <w:b/>
          <w:color w:val="000000" w:themeColor="text1"/>
        </w:rPr>
        <w:t>1m</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不同时间氨氮浓度预测</w:t>
      </w:r>
      <w:r>
        <w:rPr>
          <w:rFonts w:ascii="Times New Roman" w:eastAsia="宋体" w:hAnsi="Times New Roman" w:cs="Times New Roman"/>
          <w:b/>
          <w:color w:val="000000" w:themeColor="text1"/>
        </w:rPr>
        <w:t>mg/L</w:t>
      </w:r>
    </w:p>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extent cx="3959225" cy="2446655"/>
            <wp:effectExtent l="0" t="0" r="0" b="0"/>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noChangeArrowheads="1"/>
                    </pic:cNvPicPr>
                  </pic:nvPicPr>
                  <pic:blipFill>
                    <a:blip r:embed="rId55" cstate="screen"/>
                    <a:srcRect l="2023" t="7375" r="1591" b="3253"/>
                    <a:stretch>
                      <a:fillRect/>
                    </a:stretch>
                  </pic:blipFill>
                  <pic:spPr>
                    <a:xfrm>
                      <a:off x="0" y="0"/>
                      <a:ext cx="3959225" cy="2446655"/>
                    </a:xfrm>
                    <a:prstGeom prst="rect">
                      <a:avLst/>
                    </a:prstGeom>
                    <a:noFill/>
                    <a:ln>
                      <a:noFill/>
                    </a:ln>
                  </pic:spPr>
                </pic:pic>
              </a:graphicData>
            </a:graphic>
          </wp:inline>
        </w:drawing>
      </w:r>
    </w:p>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7.4-8  </w:t>
      </w:r>
      <w:r>
        <w:rPr>
          <w:rFonts w:ascii="Times New Roman" w:eastAsia="宋体" w:hAnsi="Times New Roman" w:cs="Times New Roman"/>
          <w:b/>
          <w:color w:val="000000" w:themeColor="text1"/>
        </w:rPr>
        <w:t>非正常工况，固定距离（</w:t>
      </w:r>
      <w:r>
        <w:rPr>
          <w:rFonts w:ascii="Times New Roman" w:eastAsia="宋体" w:hAnsi="Times New Roman" w:cs="Times New Roman"/>
          <w:b/>
          <w:color w:val="000000" w:themeColor="text1"/>
        </w:rPr>
        <w:t>14m</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不同时间氨氮浓度预测</w:t>
      </w:r>
      <w:r>
        <w:rPr>
          <w:rFonts w:ascii="Times New Roman" w:eastAsia="宋体" w:hAnsi="Times New Roman" w:cs="Times New Roman"/>
          <w:b/>
          <w:color w:val="000000" w:themeColor="text1"/>
        </w:rPr>
        <w:t>mg/L</w:t>
      </w:r>
    </w:p>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noProof/>
          <w:color w:val="000000" w:themeColor="text1"/>
        </w:rPr>
        <w:drawing>
          <wp:inline distT="0" distB="0" distL="0" distR="0">
            <wp:extent cx="3964305" cy="2456815"/>
            <wp:effectExtent l="0" t="0" r="0" b="0"/>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noChangeArrowheads="1"/>
                    </pic:cNvPicPr>
                  </pic:nvPicPr>
                  <pic:blipFill>
                    <a:blip r:embed="rId56" cstate="screen"/>
                    <a:srcRect/>
                    <a:stretch>
                      <a:fillRect/>
                    </a:stretch>
                  </pic:blipFill>
                  <pic:spPr>
                    <a:xfrm>
                      <a:off x="0" y="0"/>
                      <a:ext cx="3964305" cy="2456815"/>
                    </a:xfrm>
                    <a:prstGeom prst="rect">
                      <a:avLst/>
                    </a:prstGeom>
                    <a:noFill/>
                    <a:ln>
                      <a:noFill/>
                    </a:ln>
                  </pic:spPr>
                </pic:pic>
              </a:graphicData>
            </a:graphic>
          </wp:inline>
        </w:drawing>
      </w:r>
    </w:p>
    <w:p w:rsidR="00C861DA" w:rsidRDefault="0044752E">
      <w:pPr>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7.4-9  </w:t>
      </w:r>
      <w:r>
        <w:rPr>
          <w:rFonts w:ascii="Times New Roman" w:eastAsia="宋体" w:hAnsi="Times New Roman" w:cs="Times New Roman"/>
          <w:b/>
          <w:color w:val="000000" w:themeColor="text1"/>
        </w:rPr>
        <w:t>非正常工况，固定距离（</w:t>
      </w:r>
      <w:r>
        <w:rPr>
          <w:rFonts w:ascii="Times New Roman" w:eastAsia="宋体" w:hAnsi="Times New Roman" w:cs="Times New Roman"/>
          <w:b/>
          <w:color w:val="000000" w:themeColor="text1"/>
        </w:rPr>
        <w:t>15m</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不同时间氨氮浓度预测</w:t>
      </w:r>
      <w:r>
        <w:rPr>
          <w:rFonts w:ascii="Times New Roman" w:eastAsia="宋体" w:hAnsi="Times New Roman" w:cs="Times New Roman"/>
          <w:b/>
          <w:color w:val="000000" w:themeColor="text1"/>
        </w:rPr>
        <w:t>mg/L</w:t>
      </w:r>
    </w:p>
    <w:p w:rsidR="00C861DA" w:rsidRDefault="00C861DA">
      <w:pPr>
        <w:ind w:firstLine="482"/>
        <w:jc w:val="center"/>
        <w:rPr>
          <w:rFonts w:ascii="Times New Roman" w:eastAsia="宋体" w:hAnsi="Times New Roman" w:cs="Times New Roman"/>
          <w:b/>
          <w:color w:val="000000" w:themeColor="text1"/>
        </w:rPr>
      </w:pPr>
    </w:p>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extent cx="5272405" cy="3272155"/>
            <wp:effectExtent l="0" t="0" r="0" b="0"/>
            <wp:docPr id="6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861DA" w:rsidRDefault="0044752E">
      <w:pPr>
        <w:ind w:firstLine="482"/>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图</w:t>
      </w:r>
      <w:r>
        <w:rPr>
          <w:rFonts w:ascii="Times New Roman" w:eastAsia="宋体" w:hAnsi="Times New Roman" w:cs="Times New Roman"/>
          <w:b/>
          <w:color w:val="000000" w:themeColor="text1"/>
        </w:rPr>
        <w:t xml:space="preserve">7.4-10  </w:t>
      </w:r>
      <w:r>
        <w:rPr>
          <w:rFonts w:ascii="Times New Roman" w:eastAsia="宋体" w:hAnsi="Times New Roman" w:cs="Times New Roman"/>
          <w:b/>
          <w:color w:val="000000" w:themeColor="text1"/>
        </w:rPr>
        <w:t>非正常工况，固定距离（</w:t>
      </w:r>
      <w:r>
        <w:rPr>
          <w:rFonts w:ascii="Times New Roman" w:eastAsia="宋体" w:hAnsi="Times New Roman" w:cs="Times New Roman"/>
          <w:b/>
          <w:color w:val="000000" w:themeColor="text1"/>
        </w:rPr>
        <w:t>50-1000m</w:t>
      </w:r>
      <w:r>
        <w:rPr>
          <w:rFonts w:ascii="Times New Roman" w:eastAsia="宋体" w:hAnsi="Times New Roman" w:cs="Times New Roman"/>
          <w:b/>
          <w:color w:val="000000" w:themeColor="text1"/>
        </w:rPr>
        <w:t>）不同时间氨氮浓度预测</w:t>
      </w:r>
      <w:r>
        <w:rPr>
          <w:rFonts w:ascii="Times New Roman" w:eastAsia="宋体" w:hAnsi="Times New Roman" w:cs="Times New Roman"/>
          <w:b/>
          <w:color w:val="000000" w:themeColor="text1"/>
        </w:rPr>
        <w:t>mg/L</w:t>
      </w:r>
    </w:p>
    <w:p w:rsidR="00C861DA" w:rsidRDefault="0044752E">
      <w:pPr>
        <w:spacing w:line="360" w:lineRule="auto"/>
        <w:ind w:firstLineChars="200" w:firstLine="482"/>
        <w:rPr>
          <w:rFonts w:ascii="Times New Roman" w:eastAsia="宋体" w:hAnsi="Times New Roman" w:cs="Times New Roman"/>
          <w:b/>
          <w:color w:val="000000" w:themeColor="text1"/>
          <w:sz w:val="24"/>
        </w:rPr>
      </w:pPr>
      <w:bookmarkStart w:id="499" w:name="_Toc11435"/>
      <w:r>
        <w:rPr>
          <w:rFonts w:ascii="Times New Roman" w:eastAsia="宋体" w:hAnsi="Times New Roman" w:cs="Times New Roman"/>
          <w:b/>
          <w:color w:val="000000" w:themeColor="text1"/>
          <w:sz w:val="24"/>
        </w:rPr>
        <w:t>地下水预测小结</w:t>
      </w:r>
      <w:bookmarkEnd w:id="499"/>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根据上述预测评价可知，如发生泄漏，按照固定时间</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不同距离预测氨氮扩散浓度显示：预测</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天时预测超标距离最远为</w:t>
      </w:r>
      <w:r>
        <w:rPr>
          <w:rFonts w:ascii="Times New Roman" w:eastAsia="宋体" w:hAnsi="Times New Roman" w:cs="Times New Roman"/>
          <w:color w:val="000000" w:themeColor="text1"/>
          <w:sz w:val="24"/>
        </w:rPr>
        <w:t>5m</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rPr>
        <w:t>天时预测超标距离最远为</w:t>
      </w:r>
      <w:r>
        <w:rPr>
          <w:rFonts w:ascii="Times New Roman" w:eastAsia="宋体" w:hAnsi="Times New Roman" w:cs="Times New Roman"/>
          <w:color w:val="000000" w:themeColor="text1"/>
          <w:sz w:val="24"/>
        </w:rPr>
        <w:t>12m</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28</w:t>
      </w:r>
      <w:r>
        <w:rPr>
          <w:rFonts w:ascii="Times New Roman" w:eastAsia="宋体" w:hAnsi="Times New Roman" w:cs="Times New Roman"/>
          <w:color w:val="000000" w:themeColor="text1"/>
          <w:sz w:val="24"/>
        </w:rPr>
        <w:t>天时预测超标距离最远为</w:t>
      </w:r>
      <w:r>
        <w:rPr>
          <w:rFonts w:ascii="Times New Roman" w:eastAsia="宋体" w:hAnsi="Times New Roman" w:cs="Times New Roman"/>
          <w:color w:val="000000" w:themeColor="text1"/>
          <w:sz w:val="24"/>
        </w:rPr>
        <w:t>11m</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29</w:t>
      </w:r>
      <w:r>
        <w:rPr>
          <w:rFonts w:ascii="Times New Roman" w:eastAsia="宋体" w:hAnsi="Times New Roman" w:cs="Times New Roman"/>
          <w:color w:val="000000" w:themeColor="text1"/>
          <w:sz w:val="24"/>
        </w:rPr>
        <w:t>天以后预测结果均不超标。按照固定距离</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不同时间预测氨氮扩散浓度显示：边界</w:t>
      </w:r>
      <w:r>
        <w:rPr>
          <w:rFonts w:ascii="Times New Roman" w:eastAsia="宋体" w:hAnsi="Times New Roman" w:cs="Times New Roman"/>
          <w:color w:val="000000" w:themeColor="text1"/>
          <w:sz w:val="24"/>
        </w:rPr>
        <w:t>1m</w:t>
      </w:r>
      <w:r>
        <w:rPr>
          <w:rFonts w:ascii="Times New Roman" w:eastAsia="宋体" w:hAnsi="Times New Roman" w:cs="Times New Roman"/>
          <w:color w:val="000000" w:themeColor="text1"/>
          <w:sz w:val="24"/>
        </w:rPr>
        <w:t>处预测超标时间为</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rPr>
        <w:t>天；</w:t>
      </w:r>
      <w:r>
        <w:rPr>
          <w:rFonts w:ascii="Times New Roman" w:eastAsia="宋体" w:hAnsi="Times New Roman" w:cs="Times New Roman"/>
          <w:color w:val="000000" w:themeColor="text1"/>
          <w:sz w:val="24"/>
        </w:rPr>
        <w:t>5m</w:t>
      </w:r>
      <w:r>
        <w:rPr>
          <w:rFonts w:ascii="Times New Roman" w:eastAsia="宋体" w:hAnsi="Times New Roman" w:cs="Times New Roman"/>
          <w:color w:val="000000" w:themeColor="text1"/>
          <w:sz w:val="24"/>
        </w:rPr>
        <w:t>处预测超标时间为</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天至</w:t>
      </w:r>
      <w:r>
        <w:rPr>
          <w:rFonts w:ascii="Times New Roman" w:eastAsia="宋体" w:hAnsi="Times New Roman" w:cs="Times New Roman"/>
          <w:color w:val="000000" w:themeColor="text1"/>
          <w:sz w:val="24"/>
        </w:rPr>
        <w:t>23</w:t>
      </w:r>
      <w:r>
        <w:rPr>
          <w:rFonts w:ascii="Times New Roman" w:eastAsia="宋体" w:hAnsi="Times New Roman" w:cs="Times New Roman"/>
          <w:color w:val="000000" w:themeColor="text1"/>
          <w:sz w:val="24"/>
        </w:rPr>
        <w:t>天；</w:t>
      </w:r>
      <w:r>
        <w:rPr>
          <w:rFonts w:ascii="Times New Roman" w:eastAsia="宋体" w:hAnsi="Times New Roman" w:cs="Times New Roman"/>
          <w:color w:val="000000" w:themeColor="text1"/>
          <w:sz w:val="24"/>
        </w:rPr>
        <w:t>10m</w:t>
      </w:r>
      <w:r>
        <w:rPr>
          <w:rFonts w:ascii="Times New Roman" w:eastAsia="宋体" w:hAnsi="Times New Roman" w:cs="Times New Roman"/>
          <w:color w:val="000000" w:themeColor="text1"/>
          <w:sz w:val="24"/>
        </w:rPr>
        <w:t>处预测超标时间为</w:t>
      </w:r>
      <w:r>
        <w:rPr>
          <w:rFonts w:ascii="Times New Roman" w:eastAsia="宋体" w:hAnsi="Times New Roman" w:cs="Times New Roman"/>
          <w:color w:val="000000" w:themeColor="text1"/>
          <w:sz w:val="24"/>
        </w:rPr>
        <w:t>5</w:t>
      </w:r>
      <w:r>
        <w:rPr>
          <w:rFonts w:ascii="Times New Roman" w:eastAsia="宋体" w:hAnsi="Times New Roman" w:cs="Times New Roman"/>
          <w:color w:val="000000" w:themeColor="text1"/>
          <w:sz w:val="24"/>
        </w:rPr>
        <w:t>天至</w:t>
      </w:r>
      <w:r>
        <w:rPr>
          <w:rFonts w:ascii="Times New Roman" w:eastAsia="宋体" w:hAnsi="Times New Roman" w:cs="Times New Roman"/>
          <w:color w:val="000000" w:themeColor="text1"/>
          <w:sz w:val="24"/>
        </w:rPr>
        <w:t>29</w:t>
      </w:r>
      <w:r>
        <w:rPr>
          <w:rFonts w:ascii="Times New Roman" w:eastAsia="宋体" w:hAnsi="Times New Roman" w:cs="Times New Roman"/>
          <w:color w:val="000000" w:themeColor="text1"/>
          <w:sz w:val="24"/>
        </w:rPr>
        <w:t>天；</w:t>
      </w:r>
      <w:r>
        <w:rPr>
          <w:rFonts w:ascii="Times New Roman" w:eastAsia="宋体" w:hAnsi="Times New Roman" w:cs="Times New Roman"/>
          <w:color w:val="000000" w:themeColor="text1"/>
          <w:sz w:val="24"/>
        </w:rPr>
        <w:t>14m</w:t>
      </w:r>
      <w:r>
        <w:rPr>
          <w:rFonts w:ascii="Times New Roman" w:eastAsia="宋体" w:hAnsi="Times New Roman" w:cs="Times New Roman"/>
          <w:color w:val="000000" w:themeColor="text1"/>
          <w:sz w:val="24"/>
        </w:rPr>
        <w:t>处预测超标时间为</w:t>
      </w:r>
      <w:r>
        <w:rPr>
          <w:rFonts w:ascii="Times New Roman" w:eastAsia="宋体" w:hAnsi="Times New Roman" w:cs="Times New Roman"/>
          <w:color w:val="000000" w:themeColor="text1"/>
          <w:sz w:val="24"/>
        </w:rPr>
        <w:t>18</w:t>
      </w:r>
      <w:r>
        <w:rPr>
          <w:rFonts w:ascii="Times New Roman" w:eastAsia="宋体" w:hAnsi="Times New Roman" w:cs="Times New Roman"/>
          <w:color w:val="000000" w:themeColor="text1"/>
          <w:sz w:val="24"/>
        </w:rPr>
        <w:t>天至</w:t>
      </w:r>
      <w:r>
        <w:rPr>
          <w:rFonts w:ascii="Times New Roman" w:eastAsia="宋体" w:hAnsi="Times New Roman" w:cs="Times New Roman"/>
          <w:color w:val="000000" w:themeColor="text1"/>
          <w:sz w:val="24"/>
        </w:rPr>
        <w:t>21</w:t>
      </w:r>
      <w:r>
        <w:rPr>
          <w:rFonts w:ascii="Times New Roman" w:eastAsia="宋体" w:hAnsi="Times New Roman" w:cs="Times New Roman"/>
          <w:color w:val="000000" w:themeColor="text1"/>
          <w:sz w:val="24"/>
        </w:rPr>
        <w:t>天。自</w:t>
      </w:r>
      <w:r>
        <w:rPr>
          <w:rFonts w:ascii="Times New Roman" w:eastAsia="宋体" w:hAnsi="Times New Roman" w:cs="Times New Roman"/>
          <w:color w:val="000000" w:themeColor="text1"/>
          <w:sz w:val="24"/>
        </w:rPr>
        <w:t>15m</w:t>
      </w:r>
      <w:r>
        <w:rPr>
          <w:rFonts w:ascii="Times New Roman" w:eastAsia="宋体" w:hAnsi="Times New Roman" w:cs="Times New Roman"/>
          <w:color w:val="000000" w:themeColor="text1"/>
          <w:sz w:val="24"/>
        </w:rPr>
        <w:t>以外，各预测时段范围内均未超标。主要影响区在场区附近，总体对地下水影响小。</w:t>
      </w:r>
    </w:p>
    <w:p w:rsidR="00C861DA" w:rsidRDefault="0044752E">
      <w:pPr>
        <w:pStyle w:val="32"/>
        <w:rPr>
          <w:rFonts w:ascii="Times New Roman" w:eastAsia="宋体" w:hAnsi="Times New Roman" w:cs="Times New Roman"/>
          <w:b w:val="0"/>
          <w:bCs w:val="0"/>
          <w:color w:val="000000" w:themeColor="text1"/>
          <w:sz w:val="24"/>
          <w:szCs w:val="24"/>
        </w:rPr>
      </w:pPr>
      <w:bookmarkStart w:id="500" w:name="_Toc6826861"/>
      <w:bookmarkStart w:id="501" w:name="_Toc11919"/>
      <w:r>
        <w:rPr>
          <w:rFonts w:ascii="Times New Roman" w:eastAsia="宋体"/>
          <w:bCs w:val="0"/>
          <w:color w:val="000000" w:themeColor="text1"/>
          <w:sz w:val="24"/>
          <w:szCs w:val="24"/>
        </w:rPr>
        <w:t>7.4.7</w:t>
      </w:r>
      <w:r>
        <w:rPr>
          <w:rFonts w:ascii="Times New Roman" w:eastAsia="宋体"/>
          <w:bCs w:val="0"/>
          <w:color w:val="000000" w:themeColor="text1"/>
          <w:sz w:val="24"/>
          <w:szCs w:val="24"/>
        </w:rPr>
        <w:t>地下水污染防治措施</w:t>
      </w:r>
      <w:bookmarkEnd w:id="500"/>
      <w:bookmarkEnd w:id="501"/>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针对项</w:t>
      </w:r>
      <w:r>
        <w:rPr>
          <w:rFonts w:ascii="Times New Roman" w:eastAsia="宋体" w:hAnsi="Times New Roman" w:cs="Times New Roman"/>
          <w:color w:val="000000" w:themeColor="text1"/>
          <w:sz w:val="24"/>
        </w:rPr>
        <w:t>目可能发生的地下水污染，地下水污染防治措施按照</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源头控制、末端防治、污染监控、应急响应</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相结合的原则，从污染物的产生。入渗、扩散、应急响应全阶段进行控制。</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源头控制措施</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严格按照国家相关规范要求，对罐区构筑物采取相应的措施，将污染物泄漏的环境风险事故降到最低程度；</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末端控制措施</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主要包括厂内罐区地面的防渗措施，</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泄漏、渗漏污染物收集措施，即在污染区地面进行防渗处理，防止洒落地面的污染物渗入地下，并把滞留在地面的污染物收集起来，集中收集处理，末端控制采取分区防渗原则。</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地下水监控措施</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建立覆盖厂区及厂界</w:t>
      </w:r>
      <w:r>
        <w:rPr>
          <w:rFonts w:ascii="Times New Roman" w:eastAsia="宋体" w:hAnsi="Times New Roman" w:cs="Times New Roman"/>
          <w:color w:val="000000" w:themeColor="text1"/>
          <w:sz w:val="24"/>
        </w:rPr>
        <w:t>边的地下水污染监控体系，在厂界周围设置一定数量的地下水污染监控井，建立完善的监测制度做到能及时发现地下水污染。</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应急响应措施</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将地下水污染事故纳入氨站事故应急预案中，在一旦发现地下水受到污染时，</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能立即启动应急预案、</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采取相应的应急措施，</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避免污染事故扩大，</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并尽快消除污染。</w:t>
      </w:r>
    </w:p>
    <w:p w:rsidR="00C861DA" w:rsidRDefault="0044752E">
      <w:pPr>
        <w:spacing w:line="360" w:lineRule="auto"/>
        <w:ind w:firstLineChars="200" w:firstLine="482"/>
        <w:rPr>
          <w:rFonts w:ascii="Times New Roman" w:eastAsia="宋体" w:hAnsi="Times New Roman" w:cs="Times New Roman"/>
          <w:b/>
          <w:color w:val="000000" w:themeColor="text1"/>
          <w:sz w:val="24"/>
        </w:rPr>
      </w:pPr>
      <w:bookmarkStart w:id="502" w:name="_Toc24991"/>
      <w:r>
        <w:rPr>
          <w:rFonts w:ascii="Times New Roman" w:eastAsia="宋体" w:hAnsi="Times New Roman" w:cs="Times New Roman"/>
          <w:b/>
          <w:color w:val="000000" w:themeColor="text1"/>
          <w:sz w:val="24"/>
        </w:rPr>
        <w:t>（</w:t>
      </w:r>
      <w:r>
        <w:rPr>
          <w:rFonts w:ascii="Times New Roman" w:eastAsia="宋体" w:hAnsi="Times New Roman" w:cs="Times New Roman"/>
          <w:b/>
          <w:color w:val="000000" w:themeColor="text1"/>
          <w:sz w:val="24"/>
        </w:rPr>
        <w:t>1</w:t>
      </w:r>
      <w:r>
        <w:rPr>
          <w:rFonts w:ascii="Times New Roman" w:eastAsia="宋体" w:hAnsi="Times New Roman" w:cs="Times New Roman"/>
          <w:b/>
          <w:color w:val="000000" w:themeColor="text1"/>
          <w:sz w:val="24"/>
        </w:rPr>
        <w:t>）污染防治分区</w:t>
      </w:r>
      <w:bookmarkEnd w:id="502"/>
    </w:p>
    <w:p w:rsidR="00C861DA" w:rsidRDefault="0044752E">
      <w:pPr>
        <w:spacing w:line="360" w:lineRule="auto"/>
        <w:ind w:firstLineChars="200" w:firstLine="480"/>
        <w:rPr>
          <w:rFonts w:ascii="Times New Roman" w:eastAsia="宋体" w:hAnsi="Times New Roman" w:cs="Times New Roman"/>
          <w:b/>
          <w:color w:val="000000" w:themeColor="text1"/>
          <w:kern w:val="0"/>
          <w:sz w:val="32"/>
        </w:rPr>
      </w:pPr>
      <w:r>
        <w:rPr>
          <w:rFonts w:ascii="Times New Roman" w:eastAsia="宋体" w:hAnsi="Times New Roman" w:cs="Times New Roman"/>
          <w:color w:val="000000" w:themeColor="text1"/>
          <w:sz w:val="24"/>
        </w:rPr>
        <w:t>根据工程分析提供的厂内可能泄漏物质，参照《石油化工工程防渗技术规范》</w:t>
      </w:r>
      <w:r>
        <w:rPr>
          <w:rFonts w:ascii="Times New Roman" w:eastAsia="宋体" w:hAnsi="Times New Roman" w:cs="Times New Roman"/>
          <w:color w:val="000000" w:themeColor="text1"/>
          <w:sz w:val="24"/>
        </w:rPr>
        <w:t xml:space="preserve"> (GBT 50934-2013)</w:t>
      </w:r>
      <w:r>
        <w:rPr>
          <w:rFonts w:ascii="Times New Roman" w:eastAsia="宋体" w:hAnsi="Times New Roman" w:cs="Times New Roman"/>
          <w:color w:val="000000" w:themeColor="text1"/>
          <w:sz w:val="24"/>
        </w:rPr>
        <w:t>对于防渗分区的要求，同时考虑氨站所在的工程地质、水文地质条件，将本次项目划分为重点污染防治区和一般防治区，</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具体见表</w:t>
      </w:r>
      <w:r>
        <w:rPr>
          <w:rFonts w:ascii="Times New Roman" w:eastAsia="宋体" w:hAnsi="Times New Roman" w:cs="Times New Roman"/>
          <w:color w:val="000000" w:themeColor="text1"/>
          <w:sz w:val="24"/>
        </w:rPr>
        <w:t xml:space="preserve"> 7</w:t>
      </w:r>
      <w:r>
        <w:rPr>
          <w:rFonts w:ascii="Times New Roman" w:eastAsia="宋体" w:hAnsi="Times New Roman" w:cs="Times New Roman"/>
          <w:color w:val="000000" w:themeColor="text1"/>
          <w:sz w:val="24"/>
        </w:rPr>
        <w:t>。</w:t>
      </w:r>
    </w:p>
    <w:p w:rsidR="00C861DA" w:rsidRDefault="0044752E">
      <w:pPr>
        <w:jc w:val="center"/>
        <w:rPr>
          <w:rFonts w:ascii="Times New Roman" w:eastAsia="宋体" w:hAnsi="Times New Roman" w:cs="Times New Roman"/>
          <w:b/>
          <w:color w:val="000000" w:themeColor="text1"/>
          <w:kern w:val="0"/>
          <w:sz w:val="24"/>
        </w:rPr>
      </w:pPr>
      <w:r>
        <w:rPr>
          <w:rFonts w:ascii="Times New Roman" w:eastAsia="宋体" w:hAnsi="Times New Roman" w:cs="Times New Roman"/>
          <w:b/>
          <w:color w:val="000000" w:themeColor="text1"/>
          <w:kern w:val="0"/>
          <w:sz w:val="24"/>
        </w:rPr>
        <w:t>表</w:t>
      </w:r>
      <w:r>
        <w:rPr>
          <w:rFonts w:ascii="Times New Roman" w:eastAsia="宋体" w:hAnsi="Times New Roman" w:cs="Times New Roman"/>
          <w:b/>
          <w:color w:val="000000" w:themeColor="text1"/>
          <w:kern w:val="0"/>
          <w:sz w:val="24"/>
        </w:rPr>
        <w:t xml:space="preserve">7.4-1  </w:t>
      </w:r>
      <w:r>
        <w:rPr>
          <w:rFonts w:ascii="Times New Roman" w:eastAsia="宋体" w:hAnsi="Times New Roman" w:cs="Times New Roman"/>
          <w:b/>
          <w:color w:val="000000" w:themeColor="text1"/>
          <w:kern w:val="0"/>
          <w:sz w:val="24"/>
        </w:rPr>
        <w:t>氨站污染防治分区一览表</w:t>
      </w:r>
    </w:p>
    <w:tbl>
      <w:tblPr>
        <w:tblW w:w="85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42"/>
        <w:gridCol w:w="2940"/>
        <w:gridCol w:w="2940"/>
      </w:tblGrid>
      <w:tr w:rsidR="00C861DA">
        <w:trPr>
          <w:trHeight w:val="369"/>
          <w:jc w:val="center"/>
        </w:trPr>
        <w:tc>
          <w:tcPr>
            <w:tcW w:w="2642"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区域名称</w:t>
            </w:r>
          </w:p>
        </w:tc>
        <w:tc>
          <w:tcPr>
            <w:tcW w:w="2940"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分区类别</w:t>
            </w:r>
          </w:p>
        </w:tc>
        <w:tc>
          <w:tcPr>
            <w:tcW w:w="2940"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防渗区域及部位</w:t>
            </w:r>
          </w:p>
        </w:tc>
      </w:tr>
      <w:tr w:rsidR="00C861DA">
        <w:trPr>
          <w:trHeight w:val="369"/>
          <w:jc w:val="center"/>
        </w:trPr>
        <w:tc>
          <w:tcPr>
            <w:tcW w:w="2642"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rPr>
              <w:t>液氨输送管线</w:t>
            </w:r>
          </w:p>
        </w:tc>
        <w:tc>
          <w:tcPr>
            <w:tcW w:w="2940" w:type="dxa"/>
            <w:vMerge w:val="restart"/>
            <w:tcBorders>
              <w:top w:val="single" w:sz="4" w:space="0" w:color="auto"/>
              <w:left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重点污染防治区</w:t>
            </w:r>
          </w:p>
        </w:tc>
        <w:tc>
          <w:tcPr>
            <w:tcW w:w="2940"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管线地面</w:t>
            </w:r>
          </w:p>
        </w:tc>
      </w:tr>
      <w:tr w:rsidR="00C861DA">
        <w:trPr>
          <w:trHeight w:val="369"/>
          <w:jc w:val="center"/>
        </w:trPr>
        <w:tc>
          <w:tcPr>
            <w:tcW w:w="2642"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硝酸生产装置</w:t>
            </w:r>
          </w:p>
        </w:tc>
        <w:tc>
          <w:tcPr>
            <w:tcW w:w="2940" w:type="dxa"/>
            <w:vMerge/>
            <w:tcBorders>
              <w:left w:val="single" w:sz="4" w:space="0" w:color="auto"/>
              <w:right w:val="single" w:sz="4" w:space="0" w:color="auto"/>
            </w:tcBorders>
            <w:vAlign w:val="center"/>
          </w:tcPr>
          <w:p w:rsidR="00C861DA" w:rsidRDefault="00C861DA">
            <w:pPr>
              <w:jc w:val="center"/>
              <w:rPr>
                <w:rFonts w:ascii="Times New Roman" w:eastAsia="宋体" w:hAnsi="Times New Roman" w:cs="Times New Roman"/>
                <w:color w:val="000000" w:themeColor="text1"/>
                <w:kern w:val="0"/>
              </w:rPr>
            </w:pPr>
          </w:p>
        </w:tc>
        <w:tc>
          <w:tcPr>
            <w:tcW w:w="2940"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装置所在</w:t>
            </w:r>
            <w:r>
              <w:rPr>
                <w:rFonts w:ascii="Times New Roman" w:eastAsia="宋体" w:hAnsi="Times New Roman" w:cs="Times New Roman"/>
                <w:color w:val="000000" w:themeColor="text1"/>
                <w:kern w:val="0"/>
              </w:rPr>
              <w:t>地地面</w:t>
            </w:r>
          </w:p>
        </w:tc>
      </w:tr>
      <w:tr w:rsidR="00C861DA">
        <w:trPr>
          <w:trHeight w:val="369"/>
          <w:jc w:val="center"/>
        </w:trPr>
        <w:tc>
          <w:tcPr>
            <w:tcW w:w="2642"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硝酸铵生产装置</w:t>
            </w:r>
          </w:p>
        </w:tc>
        <w:tc>
          <w:tcPr>
            <w:tcW w:w="2940" w:type="dxa"/>
            <w:vMerge/>
            <w:tcBorders>
              <w:left w:val="single" w:sz="4" w:space="0" w:color="auto"/>
              <w:right w:val="single" w:sz="4" w:space="0" w:color="auto"/>
            </w:tcBorders>
            <w:vAlign w:val="center"/>
          </w:tcPr>
          <w:p w:rsidR="00C861DA" w:rsidRDefault="00C861DA">
            <w:pPr>
              <w:jc w:val="center"/>
              <w:rPr>
                <w:rFonts w:ascii="Times New Roman" w:eastAsia="宋体" w:hAnsi="Times New Roman" w:cs="Times New Roman"/>
                <w:color w:val="000000" w:themeColor="text1"/>
                <w:kern w:val="0"/>
              </w:rPr>
            </w:pPr>
          </w:p>
        </w:tc>
        <w:tc>
          <w:tcPr>
            <w:tcW w:w="2940"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装置所在</w:t>
            </w:r>
            <w:r>
              <w:rPr>
                <w:rFonts w:ascii="Times New Roman" w:eastAsia="宋体" w:hAnsi="Times New Roman" w:cs="Times New Roman"/>
                <w:color w:val="000000" w:themeColor="text1"/>
                <w:kern w:val="0"/>
              </w:rPr>
              <w:t>地地面</w:t>
            </w:r>
          </w:p>
        </w:tc>
      </w:tr>
      <w:tr w:rsidR="00C861DA">
        <w:trPr>
          <w:trHeight w:val="369"/>
          <w:jc w:val="center"/>
        </w:trPr>
        <w:tc>
          <w:tcPr>
            <w:tcW w:w="2642"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尿素生产装置</w:t>
            </w:r>
          </w:p>
        </w:tc>
        <w:tc>
          <w:tcPr>
            <w:tcW w:w="2940" w:type="dxa"/>
            <w:vMerge/>
            <w:tcBorders>
              <w:left w:val="single" w:sz="4" w:space="0" w:color="auto"/>
              <w:bottom w:val="single" w:sz="4" w:space="0" w:color="auto"/>
              <w:right w:val="single" w:sz="4" w:space="0" w:color="auto"/>
            </w:tcBorders>
            <w:vAlign w:val="center"/>
          </w:tcPr>
          <w:p w:rsidR="00C861DA" w:rsidRDefault="00C861DA">
            <w:pPr>
              <w:jc w:val="center"/>
              <w:rPr>
                <w:rFonts w:ascii="Times New Roman" w:eastAsia="宋体" w:hAnsi="Times New Roman" w:cs="Times New Roman"/>
                <w:color w:val="000000" w:themeColor="text1"/>
                <w:kern w:val="0"/>
              </w:rPr>
            </w:pPr>
          </w:p>
        </w:tc>
        <w:tc>
          <w:tcPr>
            <w:tcW w:w="2940"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装置所在</w:t>
            </w:r>
            <w:r>
              <w:rPr>
                <w:rFonts w:ascii="Times New Roman" w:eastAsia="宋体" w:hAnsi="Times New Roman" w:cs="Times New Roman"/>
                <w:color w:val="000000" w:themeColor="text1"/>
                <w:kern w:val="0"/>
              </w:rPr>
              <w:t>地地面</w:t>
            </w:r>
          </w:p>
        </w:tc>
      </w:tr>
      <w:tr w:rsidR="00C861DA">
        <w:trPr>
          <w:trHeight w:val="369"/>
          <w:jc w:val="center"/>
        </w:trPr>
        <w:tc>
          <w:tcPr>
            <w:tcW w:w="2642"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其他区域</w:t>
            </w:r>
          </w:p>
        </w:tc>
        <w:tc>
          <w:tcPr>
            <w:tcW w:w="2940"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一般防治区</w:t>
            </w:r>
          </w:p>
        </w:tc>
        <w:tc>
          <w:tcPr>
            <w:tcW w:w="2940" w:type="dxa"/>
            <w:tcBorders>
              <w:top w:val="single" w:sz="4" w:space="0" w:color="auto"/>
              <w:left w:val="single" w:sz="4" w:space="0" w:color="auto"/>
              <w:bottom w:val="single" w:sz="4" w:space="0" w:color="auto"/>
              <w:right w:val="single" w:sz="4" w:space="0" w:color="auto"/>
            </w:tcBorders>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区域地面</w:t>
            </w:r>
          </w:p>
        </w:tc>
      </w:tr>
    </w:tbl>
    <w:p w:rsidR="00C861DA" w:rsidRDefault="0044752E">
      <w:pPr>
        <w:spacing w:line="360" w:lineRule="auto"/>
        <w:ind w:firstLineChars="200" w:firstLine="482"/>
        <w:rPr>
          <w:rFonts w:ascii="Times New Roman" w:eastAsia="宋体" w:hAnsi="Times New Roman" w:cs="Times New Roman"/>
          <w:b/>
          <w:color w:val="000000" w:themeColor="text1"/>
          <w:sz w:val="24"/>
        </w:rPr>
      </w:pPr>
      <w:bookmarkStart w:id="503" w:name="_Toc6315"/>
      <w:r>
        <w:rPr>
          <w:rFonts w:ascii="Times New Roman" w:eastAsia="宋体" w:hAnsi="Times New Roman" w:cs="Times New Roman"/>
          <w:b/>
          <w:color w:val="000000" w:themeColor="text1"/>
          <w:sz w:val="24"/>
        </w:rPr>
        <w:t>（</w:t>
      </w:r>
      <w:r>
        <w:rPr>
          <w:rFonts w:ascii="Times New Roman" w:eastAsia="宋体" w:hAnsi="Times New Roman" w:cs="Times New Roman"/>
          <w:b/>
          <w:color w:val="000000" w:themeColor="text1"/>
          <w:sz w:val="24"/>
        </w:rPr>
        <w:t>2</w:t>
      </w:r>
      <w:r>
        <w:rPr>
          <w:rFonts w:ascii="Times New Roman" w:eastAsia="宋体" w:hAnsi="Times New Roman" w:cs="Times New Roman"/>
          <w:b/>
          <w:color w:val="000000" w:themeColor="text1"/>
          <w:sz w:val="24"/>
        </w:rPr>
        <w:t>）防渗材料选择</w:t>
      </w:r>
      <w:bookmarkEnd w:id="503"/>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根据《石油化工工程防渗技术规范》</w:t>
      </w:r>
      <w:r>
        <w:rPr>
          <w:rFonts w:ascii="Times New Roman" w:eastAsia="宋体" w:hAnsi="Times New Roman" w:cs="Times New Roman"/>
          <w:color w:val="000000" w:themeColor="text1"/>
          <w:sz w:val="24"/>
        </w:rPr>
        <w:t xml:space="preserve"> (GBT 50934-2013)</w:t>
      </w:r>
      <w:r>
        <w:rPr>
          <w:rFonts w:ascii="Times New Roman" w:eastAsia="宋体" w:hAnsi="Times New Roman" w:cs="Times New Roman"/>
          <w:color w:val="000000" w:themeColor="text1"/>
          <w:sz w:val="24"/>
        </w:rPr>
        <w:t>中对防渗的规定，重点污染防治区</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部位，其防渗性能不应低于</w:t>
      </w:r>
      <w:r>
        <w:rPr>
          <w:rFonts w:ascii="Times New Roman" w:eastAsia="宋体" w:hAnsi="Times New Roman" w:cs="Times New Roman"/>
          <w:color w:val="000000" w:themeColor="text1"/>
          <w:sz w:val="24"/>
        </w:rPr>
        <w:t>6.0m</w:t>
      </w:r>
      <w:r>
        <w:rPr>
          <w:rFonts w:ascii="Times New Roman" w:eastAsia="宋体" w:hAnsi="Times New Roman" w:cs="Times New Roman"/>
          <w:color w:val="000000" w:themeColor="text1"/>
          <w:sz w:val="24"/>
        </w:rPr>
        <w:t>厚渗透系数为</w:t>
      </w:r>
      <w:r>
        <w:rPr>
          <w:rFonts w:ascii="Times New Roman" w:eastAsia="宋体" w:hAnsi="Times New Roman" w:cs="Times New Roman"/>
          <w:color w:val="000000" w:themeColor="text1"/>
          <w:sz w:val="24"/>
        </w:rPr>
        <w:t>1.0×10</w:t>
      </w:r>
      <w:r>
        <w:rPr>
          <w:rFonts w:ascii="Times New Roman" w:eastAsia="宋体" w:hAnsi="Times New Roman" w:cs="Times New Roman"/>
          <w:color w:val="000000" w:themeColor="text1"/>
          <w:sz w:val="24"/>
          <w:vertAlign w:val="superscript"/>
        </w:rPr>
        <w:t>-7</w:t>
      </w:r>
      <w:r>
        <w:rPr>
          <w:rFonts w:ascii="Times New Roman" w:eastAsia="宋体" w:hAnsi="Times New Roman" w:cs="Times New Roman"/>
          <w:color w:val="000000" w:themeColor="text1"/>
          <w:sz w:val="24"/>
        </w:rPr>
        <w:t>cm/s</w:t>
      </w:r>
      <w:r>
        <w:rPr>
          <w:rFonts w:ascii="Times New Roman" w:eastAsia="宋体" w:hAnsi="Times New Roman" w:cs="Times New Roman"/>
          <w:color w:val="000000" w:themeColor="text1"/>
          <w:sz w:val="24"/>
        </w:rPr>
        <w:t>的粘土层的防渗性能。</w:t>
      </w:r>
    </w:p>
    <w:p w:rsidR="00C861DA" w:rsidRDefault="0044752E">
      <w:pPr>
        <w:spacing w:line="360" w:lineRule="auto"/>
        <w:ind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w:t>
      </w:r>
      <w:r>
        <w:rPr>
          <w:rFonts w:ascii="Times New Roman" w:eastAsia="宋体" w:hAnsi="Times New Roman" w:cs="Times New Roman"/>
          <w:b/>
          <w:color w:val="000000" w:themeColor="text1"/>
          <w:sz w:val="24"/>
        </w:rPr>
        <w:t>3</w:t>
      </w:r>
      <w:r>
        <w:rPr>
          <w:rFonts w:ascii="Times New Roman" w:eastAsia="宋体" w:hAnsi="Times New Roman" w:cs="Times New Roman"/>
          <w:b/>
          <w:color w:val="000000" w:themeColor="text1"/>
          <w:sz w:val="24"/>
        </w:rPr>
        <w:t>）防渗设计要求及设计方案：</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1 \* GB3 </w:instrText>
      </w:r>
      <w:r>
        <w:rPr>
          <w:rFonts w:ascii="Times New Roman" w:eastAsia="宋体" w:hAnsi="Times New Roman" w:cs="Times New Roman"/>
          <w:color w:val="000000" w:themeColor="text1"/>
          <w:sz w:val="24"/>
        </w:rPr>
        <w:fldChar w:fldCharType="separate"/>
      </w:r>
      <w:r>
        <w:rPr>
          <w:rFonts w:ascii="宋体" w:eastAsia="宋体" w:hAnsi="宋体" w:cs="宋体" w:hint="eastAsia"/>
          <w:color w:val="000000" w:themeColor="text1"/>
          <w:sz w:val="24"/>
        </w:rPr>
        <w:t>①</w:t>
      </w:r>
      <w:r>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t>围堰内地面防渗层的要求</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地面防渗层可采用黏土、抗渗混凝土、高密度聚乙烯（</w:t>
      </w:r>
      <w:r>
        <w:rPr>
          <w:rFonts w:ascii="Times New Roman" w:eastAsia="宋体" w:hAnsi="Times New Roman" w:cs="Times New Roman"/>
          <w:color w:val="000000" w:themeColor="text1"/>
          <w:sz w:val="24"/>
        </w:rPr>
        <w:t>HDPE</w:t>
      </w:r>
      <w:r>
        <w:rPr>
          <w:rFonts w:ascii="Times New Roman" w:eastAsia="宋体" w:hAnsi="Times New Roman" w:cs="Times New Roman"/>
          <w:color w:val="000000" w:themeColor="text1"/>
          <w:sz w:val="24"/>
        </w:rPr>
        <w:t>）膜、钠基膨润土防水毯或其他防渗性能的材料。</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采用混凝土防渗层，其混凝土耐久性应符合现行国家标准《混凝土结构设计规范》（</w:t>
      </w:r>
      <w:r>
        <w:rPr>
          <w:rFonts w:ascii="Times New Roman" w:eastAsia="宋体" w:hAnsi="Times New Roman" w:cs="Times New Roman"/>
          <w:color w:val="000000" w:themeColor="text1"/>
          <w:sz w:val="24"/>
        </w:rPr>
        <w:t>GB50010</w:t>
      </w:r>
      <w:r>
        <w:rPr>
          <w:rFonts w:ascii="Times New Roman" w:eastAsia="宋体" w:hAnsi="Times New Roman" w:cs="Times New Roman"/>
          <w:color w:val="000000" w:themeColor="text1"/>
          <w:sz w:val="24"/>
        </w:rPr>
        <w:t>）的有关规定，并应符合下列规定：</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A</w:t>
      </w:r>
      <w:r>
        <w:rPr>
          <w:rFonts w:ascii="Times New Roman" w:eastAsia="宋体" w:hAnsi="Times New Roman" w:cs="Times New Roman"/>
          <w:color w:val="000000" w:themeColor="text1"/>
          <w:sz w:val="24"/>
        </w:rPr>
        <w:t>、混凝土的强度等级不应低于</w:t>
      </w:r>
      <w:r>
        <w:rPr>
          <w:rFonts w:ascii="Times New Roman" w:eastAsia="宋体" w:hAnsi="Times New Roman" w:cs="Times New Roman"/>
          <w:color w:val="000000" w:themeColor="text1"/>
          <w:sz w:val="24"/>
        </w:rPr>
        <w:t>C25</w:t>
      </w:r>
      <w:r>
        <w:rPr>
          <w:rFonts w:ascii="Times New Roman" w:eastAsia="宋体" w:hAnsi="Times New Roman" w:cs="Times New Roman"/>
          <w:color w:val="000000" w:themeColor="text1"/>
          <w:sz w:val="24"/>
        </w:rPr>
        <w:t>，抗渗等级不应低于</w:t>
      </w:r>
      <w:r>
        <w:rPr>
          <w:rFonts w:ascii="Times New Roman" w:eastAsia="宋体" w:hAnsi="Times New Roman" w:cs="Times New Roman"/>
          <w:color w:val="000000" w:themeColor="text1"/>
          <w:sz w:val="24"/>
        </w:rPr>
        <w:t>1.5</w:t>
      </w:r>
      <m:oMath>
        <m:r>
          <m:rPr>
            <m:sty m:val="p"/>
          </m:rPr>
          <w:rPr>
            <w:rFonts w:ascii="Cambria Math" w:eastAsia="宋体" w:hAnsi="Cambria Math" w:cs="Times New Roman"/>
            <w:color w:val="000000" w:themeColor="text1"/>
          </w:rPr>
          <m:t>×</m:t>
        </m:r>
      </m:oMath>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vertAlign w:val="superscript"/>
        </w:rPr>
        <w:t>-5</w:t>
      </w:r>
      <w:r>
        <w:rPr>
          <w:rFonts w:ascii="Times New Roman" w:eastAsia="宋体" w:hAnsi="Times New Roman" w:cs="Times New Roman"/>
          <w:color w:val="000000" w:themeColor="text1"/>
          <w:sz w:val="24"/>
        </w:rPr>
        <w:t>m/</w:t>
      </w:r>
      <w:r>
        <w:rPr>
          <w:rFonts w:ascii="Times New Roman" w:eastAsia="宋体" w:hAnsi="Times New Roman" w:cs="Times New Roman"/>
          <w:color w:val="000000" w:themeColor="text1"/>
          <w:sz w:val="24"/>
        </w:rPr>
        <w:t>昼夜，厚度不应小于</w:t>
      </w:r>
      <w:r>
        <w:rPr>
          <w:rFonts w:ascii="Times New Roman" w:eastAsia="宋体" w:hAnsi="Times New Roman" w:cs="Times New Roman"/>
          <w:color w:val="000000" w:themeColor="text1"/>
          <w:sz w:val="24"/>
        </w:rPr>
        <w:t>100mm</w:t>
      </w:r>
      <w:r>
        <w:rPr>
          <w:rFonts w:ascii="Times New Roman" w:eastAsia="宋体" w:hAnsi="Times New Roman" w:cs="Times New Roman"/>
          <w:color w:val="000000" w:themeColor="text1"/>
          <w:sz w:val="24"/>
        </w:rPr>
        <w:t>；</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B</w:t>
      </w:r>
      <w:r>
        <w:rPr>
          <w:rFonts w:ascii="Times New Roman" w:eastAsia="宋体" w:hAnsi="Times New Roman" w:cs="Times New Roman"/>
          <w:color w:val="000000" w:themeColor="text1"/>
          <w:sz w:val="24"/>
        </w:rPr>
        <w:t>、钢纤维体积率宜为</w:t>
      </w:r>
      <w:r>
        <w:rPr>
          <w:rFonts w:ascii="Times New Roman" w:eastAsia="宋体" w:hAnsi="Times New Roman" w:cs="Times New Roman"/>
          <w:color w:val="000000" w:themeColor="text1"/>
          <w:sz w:val="24"/>
        </w:rPr>
        <w:t>0.25%~1.0%</w:t>
      </w:r>
      <w:r>
        <w:rPr>
          <w:rFonts w:ascii="Times New Roman" w:eastAsia="宋体" w:hAnsi="Times New Roman" w:cs="Times New Roman"/>
          <w:color w:val="000000" w:themeColor="text1"/>
          <w:sz w:val="24"/>
        </w:rPr>
        <w:t>；</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C</w:t>
      </w:r>
      <w:r>
        <w:rPr>
          <w:rFonts w:ascii="Times New Roman" w:eastAsia="宋体" w:hAnsi="Times New Roman" w:cs="Times New Roman"/>
          <w:color w:val="000000" w:themeColor="text1"/>
          <w:sz w:val="24"/>
        </w:rPr>
        <w:t>、合成纤维体积率宜为</w:t>
      </w:r>
      <w:r>
        <w:rPr>
          <w:rFonts w:ascii="Times New Roman" w:eastAsia="宋体" w:hAnsi="Times New Roman" w:cs="Times New Roman"/>
          <w:color w:val="000000" w:themeColor="text1"/>
          <w:sz w:val="24"/>
        </w:rPr>
        <w:t>0.1%~0.2%</w:t>
      </w:r>
      <w:r>
        <w:rPr>
          <w:rFonts w:ascii="Times New Roman" w:eastAsia="宋体" w:hAnsi="Times New Roman" w:cs="Times New Roman"/>
          <w:color w:val="000000" w:themeColor="text1"/>
          <w:sz w:val="24"/>
        </w:rPr>
        <w:t>；</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D</w:t>
      </w:r>
      <w:r>
        <w:rPr>
          <w:rFonts w:ascii="Times New Roman" w:eastAsia="宋体" w:hAnsi="Times New Roman" w:cs="Times New Roman"/>
          <w:color w:val="000000" w:themeColor="text1"/>
          <w:sz w:val="24"/>
        </w:rPr>
        <w:t>、混凝土的配合比设计应符合《不同混泥土配合比设计规程》</w:t>
      </w:r>
      <w:r>
        <w:rPr>
          <w:rFonts w:ascii="Times New Roman" w:eastAsia="宋体" w:hAnsi="Times New Roman" w:cs="Times New Roman"/>
          <w:color w:val="000000" w:themeColor="text1"/>
          <w:sz w:val="24"/>
        </w:rPr>
        <w:t>JGJ55</w:t>
      </w:r>
      <w:r>
        <w:rPr>
          <w:rFonts w:ascii="Times New Roman" w:eastAsia="宋体" w:hAnsi="Times New Roman" w:cs="Times New Roman"/>
          <w:color w:val="000000" w:themeColor="text1"/>
          <w:sz w:val="24"/>
        </w:rPr>
        <w:t>和《纤维混凝土应用技术规范》</w:t>
      </w:r>
      <w:r>
        <w:rPr>
          <w:rFonts w:ascii="Times New Roman" w:eastAsia="宋体" w:hAnsi="Times New Roman" w:cs="Times New Roman"/>
          <w:color w:val="000000" w:themeColor="text1"/>
          <w:sz w:val="24"/>
        </w:rPr>
        <w:t>JG/T221</w:t>
      </w:r>
      <w:r>
        <w:rPr>
          <w:rFonts w:ascii="Times New Roman" w:eastAsia="宋体" w:hAnsi="Times New Roman" w:cs="Times New Roman"/>
          <w:color w:val="000000" w:themeColor="text1"/>
          <w:sz w:val="24"/>
        </w:rPr>
        <w:t>的有关规定。</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2 \* GB3 </w:instrText>
      </w:r>
      <w:r>
        <w:rPr>
          <w:rFonts w:ascii="Times New Roman" w:eastAsia="宋体" w:hAnsi="Times New Roman" w:cs="Times New Roman"/>
          <w:color w:val="000000" w:themeColor="text1"/>
          <w:sz w:val="24"/>
        </w:rPr>
        <w:fldChar w:fldCharType="separate"/>
      </w:r>
      <w:r>
        <w:rPr>
          <w:rFonts w:ascii="宋体" w:eastAsia="宋体" w:hAnsi="宋体" w:cs="宋体" w:hint="eastAsia"/>
          <w:color w:val="000000" w:themeColor="text1"/>
          <w:sz w:val="24"/>
        </w:rPr>
        <w:t>②</w:t>
      </w:r>
      <w:r>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t>采用高密度聚乙烯（</w:t>
      </w:r>
      <w:r>
        <w:rPr>
          <w:rFonts w:ascii="Times New Roman" w:eastAsia="宋体" w:hAnsi="Times New Roman" w:cs="Times New Roman"/>
          <w:color w:val="000000" w:themeColor="text1"/>
          <w:sz w:val="24"/>
        </w:rPr>
        <w:t>HDPE</w:t>
      </w:r>
      <w:r>
        <w:rPr>
          <w:rFonts w:ascii="Times New Roman" w:eastAsia="宋体" w:hAnsi="Times New Roman" w:cs="Times New Roman"/>
          <w:color w:val="000000" w:themeColor="text1"/>
          <w:sz w:val="24"/>
        </w:rPr>
        <w:t>）膜防渗层应符合下列规定：</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A</w:t>
      </w:r>
      <w:r>
        <w:rPr>
          <w:rFonts w:ascii="Times New Roman" w:eastAsia="宋体" w:hAnsi="Times New Roman" w:cs="Times New Roman"/>
          <w:color w:val="000000" w:themeColor="text1"/>
          <w:sz w:val="24"/>
        </w:rPr>
        <w:t>、高密度聚乙烯膜，厚度不宜小于</w:t>
      </w:r>
      <w:r>
        <w:rPr>
          <w:rFonts w:ascii="Times New Roman" w:eastAsia="宋体" w:hAnsi="Times New Roman" w:cs="Times New Roman"/>
          <w:color w:val="000000" w:themeColor="text1"/>
          <w:sz w:val="24"/>
        </w:rPr>
        <w:t>1.5mm</w:t>
      </w:r>
      <w:r>
        <w:rPr>
          <w:rFonts w:ascii="Times New Roman" w:eastAsia="宋体" w:hAnsi="Times New Roman" w:cs="Times New Roman"/>
          <w:color w:val="000000" w:themeColor="text1"/>
          <w:sz w:val="24"/>
        </w:rPr>
        <w:t>，埋深不宜小于</w:t>
      </w:r>
      <w:r>
        <w:rPr>
          <w:rFonts w:ascii="Times New Roman" w:eastAsia="宋体" w:hAnsi="Times New Roman" w:cs="Times New Roman"/>
          <w:color w:val="000000" w:themeColor="text1"/>
          <w:sz w:val="24"/>
        </w:rPr>
        <w:t>300mm</w:t>
      </w:r>
      <w:r>
        <w:rPr>
          <w:rFonts w:ascii="Times New Roman" w:eastAsia="宋体" w:hAnsi="Times New Roman" w:cs="Times New Roman"/>
          <w:color w:val="000000" w:themeColor="text1"/>
          <w:sz w:val="24"/>
        </w:rPr>
        <w:t>；</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B</w:t>
      </w:r>
      <w:r>
        <w:rPr>
          <w:rFonts w:ascii="Times New Roman" w:eastAsia="宋体" w:hAnsi="Times New Roman" w:cs="Times New Roman"/>
          <w:color w:val="000000" w:themeColor="text1"/>
          <w:sz w:val="24"/>
        </w:rPr>
        <w:t>、膜上、膜下应设置保护层，保护层可采用长丝无纺土工布，膜下保护层也可采用不含尖锐颗粒的砂石层，厚度不宜小于</w:t>
      </w:r>
      <w:r>
        <w:rPr>
          <w:rFonts w:ascii="Times New Roman" w:eastAsia="宋体" w:hAnsi="Times New Roman" w:cs="Times New Roman"/>
          <w:color w:val="000000" w:themeColor="text1"/>
          <w:sz w:val="24"/>
        </w:rPr>
        <w:t>100mm</w:t>
      </w:r>
      <w:r>
        <w:rPr>
          <w:rFonts w:ascii="Times New Roman" w:eastAsia="宋体" w:hAnsi="Times New Roman" w:cs="Times New Roman"/>
          <w:color w:val="000000" w:themeColor="text1"/>
          <w:sz w:val="24"/>
        </w:rPr>
        <w:t>；</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C</w:t>
      </w:r>
      <w:r>
        <w:rPr>
          <w:rFonts w:ascii="Times New Roman" w:eastAsia="宋体" w:hAnsi="Times New Roman" w:cs="Times New Roman"/>
          <w:color w:val="000000" w:themeColor="text1"/>
          <w:sz w:val="24"/>
        </w:rPr>
        <w:t>、膜上保护层以上应设置砂石层，厚度不宜小于</w:t>
      </w:r>
      <w:r>
        <w:rPr>
          <w:rFonts w:ascii="Times New Roman" w:eastAsia="宋体" w:hAnsi="Times New Roman" w:cs="Times New Roman"/>
          <w:color w:val="000000" w:themeColor="text1"/>
          <w:sz w:val="24"/>
        </w:rPr>
        <w:t>200mm</w:t>
      </w:r>
      <w:r>
        <w:rPr>
          <w:rFonts w:ascii="Times New Roman" w:eastAsia="宋体" w:hAnsi="Times New Roman" w:cs="Times New Roman"/>
          <w:color w:val="000000" w:themeColor="text1"/>
          <w:sz w:val="24"/>
        </w:rPr>
        <w:t>；</w:t>
      </w:r>
    </w:p>
    <w:p w:rsidR="00C861DA" w:rsidRDefault="0044752E">
      <w:pPr>
        <w:spacing w:line="360" w:lineRule="auto"/>
        <w:ind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w:t>
      </w:r>
      <w:r>
        <w:rPr>
          <w:rFonts w:ascii="Times New Roman" w:eastAsia="宋体" w:hAnsi="Times New Roman" w:cs="Times New Roman"/>
          <w:b/>
          <w:color w:val="000000" w:themeColor="text1"/>
          <w:sz w:val="24"/>
        </w:rPr>
        <w:t>4</w:t>
      </w:r>
      <w:r>
        <w:rPr>
          <w:rFonts w:ascii="Times New Roman" w:eastAsia="宋体" w:hAnsi="Times New Roman" w:cs="Times New Roman"/>
          <w:b/>
          <w:color w:val="000000" w:themeColor="text1"/>
          <w:sz w:val="24"/>
        </w:rPr>
        <w:t>）围堰设计要求</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围堰采用抗渗钢筋混凝土，抗渗等级不应低于</w:t>
      </w:r>
      <w:r>
        <w:rPr>
          <w:rFonts w:ascii="Times New Roman" w:eastAsia="宋体" w:hAnsi="Times New Roman" w:cs="Times New Roman"/>
          <w:color w:val="000000" w:themeColor="text1"/>
          <w:sz w:val="24"/>
        </w:rPr>
        <w:t>P6</w:t>
      </w:r>
      <w:r>
        <w:rPr>
          <w:rFonts w:ascii="Times New Roman" w:eastAsia="宋体" w:hAnsi="Times New Roman" w:cs="Times New Roman"/>
          <w:color w:val="000000" w:themeColor="text1"/>
          <w:sz w:val="24"/>
        </w:rPr>
        <w:t>；</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围堰的变形缝应设置不锈钢板止水带，厚度不应小于</w:t>
      </w:r>
      <w:r>
        <w:rPr>
          <w:rFonts w:ascii="Times New Roman" w:eastAsia="宋体" w:hAnsi="Times New Roman" w:cs="Times New Roman"/>
          <w:color w:val="000000" w:themeColor="text1"/>
          <w:sz w:val="24"/>
        </w:rPr>
        <w:t>2.0mm</w:t>
      </w:r>
      <w:r>
        <w:rPr>
          <w:rFonts w:ascii="Times New Roman" w:eastAsia="宋体" w:hAnsi="Times New Roman" w:cs="Times New Roman"/>
          <w:color w:val="000000" w:themeColor="text1"/>
          <w:sz w:val="24"/>
        </w:rPr>
        <w:t>；</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围堰变形缝内应设置嵌缝板、背衬材料和嵌缝密封料；</w:t>
      </w:r>
    </w:p>
    <w:p w:rsidR="00C861DA" w:rsidRDefault="0044752E">
      <w:pPr>
        <w:spacing w:line="360" w:lineRule="auto"/>
        <w:ind w:firstLineChars="200" w:firstLine="480"/>
        <w:rPr>
          <w:rFonts w:ascii="Times New Roman" w:eastAsia="宋体" w:hAnsi="Times New Roman" w:cs="Times New Roman"/>
          <w:color w:val="000000" w:themeColor="text1"/>
          <w:sz w:val="24"/>
        </w:rPr>
      </w:pPr>
      <w:bookmarkStart w:id="504" w:name="_Toc21378"/>
      <w:r>
        <w:rPr>
          <w:rFonts w:ascii="Times New Roman" w:eastAsia="宋体" w:hAnsi="Times New Roman" w:cs="Times New Roman"/>
          <w:color w:val="000000" w:themeColor="text1"/>
          <w:sz w:val="24"/>
        </w:rPr>
        <w:t>本项目具体实施防渗措施</w:t>
      </w:r>
      <w:bookmarkEnd w:id="504"/>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根据《石油化工工程防渗技术规范》</w:t>
      </w:r>
      <w:r>
        <w:rPr>
          <w:rFonts w:ascii="Times New Roman" w:eastAsia="宋体" w:hAnsi="Times New Roman" w:cs="Times New Roman"/>
          <w:color w:val="000000" w:themeColor="text1"/>
          <w:sz w:val="24"/>
        </w:rPr>
        <w:t xml:space="preserve"> (GBT 50934-2013)</w:t>
      </w:r>
      <w:r>
        <w:rPr>
          <w:rFonts w:ascii="Times New Roman" w:eastAsia="宋体" w:hAnsi="Times New Roman" w:cs="Times New Roman"/>
          <w:color w:val="000000" w:themeColor="text1"/>
          <w:sz w:val="24"/>
        </w:rPr>
        <w:t>防渗要求，本项目具体实施防渗措施如下。</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1 \* GB3 </w:instrText>
      </w:r>
      <w:r>
        <w:rPr>
          <w:rFonts w:ascii="Times New Roman" w:eastAsia="宋体" w:hAnsi="Times New Roman" w:cs="Times New Roman"/>
          <w:color w:val="000000" w:themeColor="text1"/>
          <w:sz w:val="24"/>
        </w:rPr>
        <w:fldChar w:fldCharType="separate"/>
      </w:r>
      <w:r>
        <w:rPr>
          <w:rFonts w:ascii="宋体" w:eastAsia="宋体" w:hAnsi="宋体" w:cs="宋体" w:hint="eastAsia"/>
          <w:color w:val="000000" w:themeColor="text1"/>
          <w:sz w:val="24"/>
        </w:rPr>
        <w:t>①</w:t>
      </w:r>
      <w:r>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t>重点污染防治区防渗措施：</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本项目地面采用抗渗混凝土刚性防渗结构，抗渗等级不小于</w:t>
      </w:r>
      <w:r>
        <w:rPr>
          <w:rFonts w:ascii="Times New Roman" w:eastAsia="宋体" w:hAnsi="Times New Roman" w:cs="Times New Roman"/>
          <w:color w:val="000000" w:themeColor="text1"/>
          <w:sz w:val="24"/>
        </w:rPr>
        <w:t>P6</w:t>
      </w:r>
      <w:r>
        <w:rPr>
          <w:rFonts w:ascii="Times New Roman" w:eastAsia="宋体" w:hAnsi="Times New Roman" w:cs="Times New Roman"/>
          <w:color w:val="000000" w:themeColor="text1"/>
          <w:sz w:val="24"/>
        </w:rPr>
        <w:t>，防渗层渗透系数小于</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vertAlign w:val="superscript"/>
        </w:rPr>
        <w:t>-7</w:t>
      </w:r>
      <w:r>
        <w:rPr>
          <w:rFonts w:ascii="Times New Roman" w:eastAsia="宋体" w:hAnsi="Times New Roman" w:cs="Times New Roman"/>
          <w:color w:val="000000" w:themeColor="text1"/>
          <w:sz w:val="24"/>
        </w:rPr>
        <w:t>cm/s</w:t>
      </w:r>
      <w:r>
        <w:rPr>
          <w:rFonts w:ascii="Times New Roman" w:eastAsia="宋体" w:hAnsi="Times New Roman" w:cs="Times New Roman"/>
          <w:color w:val="000000" w:themeColor="text1"/>
          <w:sz w:val="24"/>
        </w:rPr>
        <w:t>。</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围堰采用抗渗钢筋混凝土，抗渗等级不应低于</w:t>
      </w:r>
      <w:r>
        <w:rPr>
          <w:rFonts w:ascii="Times New Roman" w:eastAsia="宋体" w:hAnsi="Times New Roman" w:cs="Times New Roman"/>
          <w:color w:val="000000" w:themeColor="text1"/>
          <w:sz w:val="24"/>
        </w:rPr>
        <w:t>P6</w:t>
      </w:r>
      <w:r>
        <w:rPr>
          <w:rFonts w:ascii="Times New Roman" w:eastAsia="宋体" w:hAnsi="Times New Roman" w:cs="Times New Roman"/>
          <w:color w:val="000000" w:themeColor="text1"/>
          <w:sz w:val="24"/>
        </w:rPr>
        <w:t>。</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2 \* GB3 </w:instrText>
      </w:r>
      <w:r>
        <w:rPr>
          <w:rFonts w:ascii="Times New Roman" w:eastAsia="宋体" w:hAnsi="Times New Roman" w:cs="Times New Roman"/>
          <w:color w:val="000000" w:themeColor="text1"/>
          <w:sz w:val="24"/>
        </w:rPr>
        <w:fldChar w:fldCharType="separate"/>
      </w:r>
      <w:r>
        <w:rPr>
          <w:rFonts w:ascii="宋体" w:eastAsia="宋体" w:hAnsi="宋体" w:cs="宋体" w:hint="eastAsia"/>
          <w:color w:val="000000" w:themeColor="text1"/>
          <w:sz w:val="24"/>
        </w:rPr>
        <w:t>②</w:t>
      </w:r>
      <w:r>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t>一般防治区</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厂区其它地面除绿化用地，道路等采取灰土铺底，上层铺</w:t>
      </w:r>
      <w:r>
        <w:rPr>
          <w:rFonts w:ascii="Times New Roman" w:eastAsia="宋体" w:hAnsi="Times New Roman" w:cs="Times New Roman"/>
          <w:color w:val="000000" w:themeColor="text1"/>
          <w:sz w:val="24"/>
        </w:rPr>
        <w:t>10~15cm</w:t>
      </w:r>
      <w:r>
        <w:rPr>
          <w:rFonts w:ascii="Times New Roman" w:eastAsia="宋体" w:hAnsi="Times New Roman" w:cs="Times New Roman"/>
          <w:color w:val="000000" w:themeColor="text1"/>
          <w:sz w:val="24"/>
        </w:rPr>
        <w:t>的混凝土进行硬化。</w:t>
      </w:r>
    </w:p>
    <w:p w:rsidR="00C861DA" w:rsidRDefault="0044752E">
      <w:pPr>
        <w:spacing w:line="360" w:lineRule="auto"/>
        <w:ind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w:t>
      </w:r>
      <w:r>
        <w:rPr>
          <w:rFonts w:ascii="Times New Roman" w:eastAsia="宋体" w:hAnsi="Times New Roman" w:cs="Times New Roman"/>
          <w:b/>
          <w:color w:val="000000" w:themeColor="text1"/>
          <w:sz w:val="24"/>
        </w:rPr>
        <w:t>5</w:t>
      </w:r>
      <w:r>
        <w:rPr>
          <w:rFonts w:ascii="Times New Roman" w:eastAsia="宋体" w:hAnsi="Times New Roman" w:cs="Times New Roman"/>
          <w:b/>
          <w:color w:val="000000" w:themeColor="text1"/>
          <w:sz w:val="24"/>
        </w:rPr>
        <w:t>）建立地下水监控计划</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为了及时准确地掌握厂址周围地下水污染控制状况，要求建设单位建立站区的地下水监控体系，包括建立完善的监测制度，科学、合理设置地下水污染监控井，及时发现，及时控制。</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1 \* GB3 </w:instrText>
      </w:r>
      <w:r>
        <w:rPr>
          <w:rFonts w:ascii="Times New Roman" w:eastAsia="宋体" w:hAnsi="Times New Roman" w:cs="Times New Roman"/>
          <w:color w:val="000000" w:themeColor="text1"/>
          <w:sz w:val="24"/>
        </w:rPr>
        <w:fldChar w:fldCharType="separate"/>
      </w:r>
      <w:r>
        <w:rPr>
          <w:rFonts w:ascii="宋体" w:eastAsia="宋体" w:hAnsi="宋体" w:cs="宋体" w:hint="eastAsia"/>
          <w:color w:val="000000" w:themeColor="text1"/>
          <w:sz w:val="24"/>
        </w:rPr>
        <w:t>①</w:t>
      </w:r>
      <w:r>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t>地下水跟踪监测点数量布置要求</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本次评价按照导则要求设置</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处地下水跟踪监测点。背景值监测井应位于站区上游，布置在厂区上游设一处监测井，用于监测站区地下水未受项目影响的自然状况</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背景值监控井；站区下游监测点布置在下游约</w:t>
      </w:r>
      <w:r>
        <w:rPr>
          <w:rFonts w:ascii="Times New Roman" w:eastAsia="宋体" w:hAnsi="Times New Roman" w:cs="Times New Roman"/>
          <w:color w:val="000000" w:themeColor="text1"/>
          <w:sz w:val="24"/>
        </w:rPr>
        <w:t>15~20m</w:t>
      </w:r>
      <w:r>
        <w:rPr>
          <w:rFonts w:ascii="Times New Roman" w:eastAsia="宋体" w:hAnsi="Times New Roman" w:cs="Times New Roman"/>
          <w:color w:val="000000" w:themeColor="text1"/>
          <w:sz w:val="24"/>
        </w:rPr>
        <w:t>处设</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处水井，用于监测氨站内发生环境污染事故、罐区的防渗结构出现破坏的情况下对地下水的污染情况</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污染扩散监测井；罐区下游</w:t>
      </w:r>
      <w:r>
        <w:rPr>
          <w:rFonts w:ascii="Times New Roman" w:eastAsia="宋体" w:hAnsi="Times New Roman" w:cs="Times New Roman"/>
          <w:color w:val="000000" w:themeColor="text1"/>
          <w:sz w:val="24"/>
        </w:rPr>
        <w:t>15-20m</w:t>
      </w:r>
      <w:r>
        <w:rPr>
          <w:rFonts w:ascii="Times New Roman" w:eastAsia="宋体" w:hAnsi="Times New Roman" w:cs="Times New Roman"/>
          <w:color w:val="000000" w:themeColor="text1"/>
          <w:sz w:val="24"/>
        </w:rPr>
        <w:t>，装车区下游</w:t>
      </w:r>
      <w:r>
        <w:rPr>
          <w:rFonts w:ascii="Times New Roman" w:eastAsia="宋体" w:hAnsi="Times New Roman" w:cs="Times New Roman"/>
          <w:color w:val="000000" w:themeColor="text1"/>
          <w:sz w:val="24"/>
        </w:rPr>
        <w:t>15-20m</w:t>
      </w:r>
      <w:r>
        <w:rPr>
          <w:rFonts w:ascii="Times New Roman" w:eastAsia="宋体" w:hAnsi="Times New Roman" w:cs="Times New Roman"/>
          <w:color w:val="000000" w:themeColor="text1"/>
          <w:sz w:val="24"/>
        </w:rPr>
        <w:t>各设</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个点，作为监测站区地下水水位、水质受项目影响的状况</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跟踪监测井。应结合污染物特征和水文地质条件进行布设，请有资格单位进行设计和施工。</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2 \* GB</w:instrText>
      </w:r>
      <w:r>
        <w:rPr>
          <w:rFonts w:ascii="Times New Roman" w:eastAsia="宋体" w:hAnsi="Times New Roman" w:cs="Times New Roman"/>
          <w:color w:val="000000" w:themeColor="text1"/>
          <w:sz w:val="24"/>
        </w:rPr>
        <w:instrText xml:space="preserve">3 </w:instrText>
      </w:r>
      <w:r>
        <w:rPr>
          <w:rFonts w:ascii="Times New Roman" w:eastAsia="宋体" w:hAnsi="Times New Roman" w:cs="Times New Roman"/>
          <w:color w:val="000000" w:themeColor="text1"/>
          <w:sz w:val="24"/>
        </w:rPr>
        <w:fldChar w:fldCharType="separate"/>
      </w:r>
      <w:r>
        <w:rPr>
          <w:rFonts w:ascii="宋体" w:eastAsia="宋体" w:hAnsi="宋体" w:cs="宋体" w:hint="eastAsia"/>
          <w:color w:val="000000" w:themeColor="text1"/>
          <w:sz w:val="24"/>
        </w:rPr>
        <w:t>②</w:t>
      </w:r>
      <w:r>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t>地下水监测计划</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为了及时准确地掌握站区周围地下水质量状况和地下水体中污染物的动态变化，</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应根据《地下水环境监测技术规范》（</w:t>
      </w:r>
      <w:r>
        <w:rPr>
          <w:rFonts w:ascii="Times New Roman" w:eastAsia="宋体" w:hAnsi="Times New Roman" w:cs="Times New Roman"/>
          <w:color w:val="000000" w:themeColor="text1"/>
          <w:sz w:val="24"/>
        </w:rPr>
        <w:t>HJ/T164-2004</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的要求对项目所在区域地下水质量进行长期监测。</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3 \* GB3 </w:instrText>
      </w:r>
      <w:r>
        <w:rPr>
          <w:rFonts w:ascii="Times New Roman" w:eastAsia="宋体" w:hAnsi="Times New Roman" w:cs="Times New Roman"/>
          <w:color w:val="000000" w:themeColor="text1"/>
          <w:sz w:val="24"/>
        </w:rPr>
        <w:fldChar w:fldCharType="separate"/>
      </w:r>
      <w:r>
        <w:rPr>
          <w:rFonts w:ascii="宋体" w:eastAsia="宋体" w:hAnsi="宋体" w:cs="宋体" w:hint="eastAsia"/>
          <w:color w:val="000000" w:themeColor="text1"/>
          <w:sz w:val="24"/>
        </w:rPr>
        <w:t>③</w:t>
      </w:r>
      <w:r>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t>地下水监测因子</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pH</w:t>
      </w:r>
      <w:r>
        <w:rPr>
          <w:rFonts w:ascii="Times New Roman" w:eastAsia="宋体" w:hAnsi="Times New Roman" w:cs="Times New Roman"/>
          <w:color w:val="000000" w:themeColor="text1"/>
          <w:sz w:val="24"/>
        </w:rPr>
        <w:t>、氨氮。</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4 \* GB3 </w:instrText>
      </w:r>
      <w:r>
        <w:rPr>
          <w:rFonts w:ascii="Times New Roman" w:eastAsia="宋体" w:hAnsi="Times New Roman" w:cs="Times New Roman"/>
          <w:color w:val="000000" w:themeColor="text1"/>
          <w:sz w:val="24"/>
        </w:rPr>
        <w:fldChar w:fldCharType="separate"/>
      </w:r>
      <w:r>
        <w:rPr>
          <w:rFonts w:ascii="宋体" w:eastAsia="宋体" w:hAnsi="宋体" w:cs="宋体" w:hint="eastAsia"/>
          <w:color w:val="000000" w:themeColor="text1"/>
          <w:sz w:val="24"/>
        </w:rPr>
        <w:t>④</w:t>
      </w:r>
      <w:r>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t>监测数据管理</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监测结果应按项目有关规定及时建立档案，</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并定期向当地环保部门汇报，</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对于常规监测数据应该进行公开，</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满足法律中关于知情权的要求。</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综上，</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在采取全面的防渗措施之后，</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项目可有效的防止物料下渗造成地</w:t>
      </w:r>
      <w:r>
        <w:rPr>
          <w:rFonts w:ascii="Times New Roman" w:eastAsia="宋体" w:hAnsi="Times New Roman" w:cs="Times New Roman"/>
          <w:color w:val="000000" w:themeColor="text1"/>
          <w:sz w:val="24"/>
        </w:rPr>
        <w:t>下水污染的问题。</w:t>
      </w:r>
    </w:p>
    <w:p w:rsidR="00C861DA" w:rsidRDefault="0044752E">
      <w:pPr>
        <w:pStyle w:val="32"/>
        <w:rPr>
          <w:rFonts w:ascii="Times New Roman" w:eastAsia="宋体"/>
          <w:bCs w:val="0"/>
          <w:color w:val="000000" w:themeColor="text1"/>
          <w:sz w:val="24"/>
          <w:szCs w:val="24"/>
        </w:rPr>
      </w:pPr>
      <w:bookmarkStart w:id="505" w:name="_Toc9405"/>
      <w:bookmarkStart w:id="506" w:name="_Toc6826862"/>
      <w:r>
        <w:rPr>
          <w:rFonts w:ascii="Times New Roman" w:eastAsia="宋体"/>
          <w:bCs w:val="0"/>
          <w:color w:val="000000" w:themeColor="text1"/>
          <w:sz w:val="24"/>
          <w:szCs w:val="24"/>
        </w:rPr>
        <w:t>7.4.8</w:t>
      </w:r>
      <w:r>
        <w:rPr>
          <w:rFonts w:ascii="Times New Roman" w:eastAsia="宋体"/>
          <w:bCs w:val="0"/>
          <w:color w:val="000000" w:themeColor="text1"/>
          <w:sz w:val="24"/>
          <w:szCs w:val="24"/>
        </w:rPr>
        <w:t>地下水评价结论</w:t>
      </w:r>
      <w:bookmarkEnd w:id="505"/>
      <w:bookmarkEnd w:id="506"/>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）评价区出露地层主要为元古界昆阳群美党组（</w:t>
      </w:r>
      <w:r>
        <w:rPr>
          <w:rFonts w:ascii="Times New Roman" w:eastAsia="宋体" w:hAnsi="Times New Roman" w:cs="Times New Roman"/>
          <w:color w:val="000000" w:themeColor="text1"/>
          <w:sz w:val="24"/>
        </w:rPr>
        <w:t>Pt1m</w:t>
      </w:r>
      <w:r>
        <w:rPr>
          <w:rFonts w:ascii="Times New Roman" w:eastAsia="宋体" w:hAnsi="Times New Roman" w:cs="Times New Roman"/>
          <w:color w:val="000000" w:themeColor="text1"/>
          <w:sz w:val="24"/>
        </w:rPr>
        <w:t>）地层，该层以板岩为主，表层风化强烈，地下水类型主要松散层孔隙水和基岩裂隙水两类。松散层孔隙水：含水层主要为第四系残积层、坡积层（</w:t>
      </w:r>
      <w:r>
        <w:rPr>
          <w:rFonts w:ascii="Times New Roman" w:eastAsia="宋体" w:hAnsi="Times New Roman" w:cs="Times New Roman"/>
          <w:color w:val="000000" w:themeColor="text1"/>
          <w:sz w:val="24"/>
        </w:rPr>
        <w:t>Q</w:t>
      </w:r>
      <w:r>
        <w:rPr>
          <w:rFonts w:ascii="Times New Roman" w:eastAsia="宋体" w:hAnsi="Times New Roman" w:cs="Times New Roman"/>
          <w:color w:val="000000" w:themeColor="text1"/>
          <w:sz w:val="24"/>
        </w:rPr>
        <w:t>），含水层厚</w:t>
      </w:r>
      <w:r>
        <w:rPr>
          <w:rFonts w:ascii="Times New Roman" w:eastAsia="宋体" w:hAnsi="Times New Roman" w:cs="Times New Roman"/>
          <w:color w:val="000000" w:themeColor="text1"/>
          <w:sz w:val="24"/>
        </w:rPr>
        <w:t>0.2~0.7m</w:t>
      </w:r>
      <w:r>
        <w:rPr>
          <w:rFonts w:ascii="Times New Roman" w:eastAsia="宋体" w:hAnsi="Times New Roman" w:cs="Times New Roman"/>
          <w:color w:val="000000" w:themeColor="text1"/>
          <w:sz w:val="24"/>
        </w:rPr>
        <w:t>，富水性弱，水位随季节变化较大，无常年水位线，多在岩土界面形成上层滞水。基岩裂隙水：含水层为元古界昆阳群美党组（</w:t>
      </w:r>
      <w:r>
        <w:rPr>
          <w:rFonts w:ascii="Times New Roman" w:eastAsia="宋体" w:hAnsi="Times New Roman" w:cs="Times New Roman"/>
          <w:color w:val="000000" w:themeColor="text1"/>
          <w:sz w:val="24"/>
        </w:rPr>
        <w:t>Pt1m</w:t>
      </w:r>
      <w:r>
        <w:rPr>
          <w:rFonts w:ascii="Times New Roman" w:eastAsia="宋体" w:hAnsi="Times New Roman" w:cs="Times New Roman"/>
          <w:color w:val="000000" w:themeColor="text1"/>
          <w:sz w:val="24"/>
        </w:rPr>
        <w:t>）砂质板岩、板岩，浇层风化裂隙发育，地下水主要赋存于基岩风化裂隙及节理裂隙中。据区域水文地质资料，昆阳群美党组（</w:t>
      </w:r>
      <w:r>
        <w:rPr>
          <w:rFonts w:ascii="Times New Roman" w:eastAsia="宋体" w:hAnsi="Times New Roman" w:cs="Times New Roman"/>
          <w:color w:val="000000" w:themeColor="text1"/>
          <w:sz w:val="24"/>
        </w:rPr>
        <w:t>Pt1m</w:t>
      </w:r>
      <w:r>
        <w:rPr>
          <w:rFonts w:ascii="Times New Roman" w:eastAsia="宋体" w:hAnsi="Times New Roman" w:cs="Times New Roman"/>
          <w:color w:val="000000" w:themeColor="text1"/>
          <w:sz w:val="24"/>
        </w:rPr>
        <w:t>）泉水流量</w:t>
      </w:r>
      <w:r>
        <w:rPr>
          <w:rFonts w:ascii="Times New Roman" w:eastAsia="宋体" w:hAnsi="Times New Roman" w:cs="Times New Roman"/>
          <w:color w:val="000000" w:themeColor="text1"/>
          <w:sz w:val="24"/>
        </w:rPr>
        <w:t>0.14</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2.0L/s</w:t>
      </w:r>
      <w:r>
        <w:rPr>
          <w:rFonts w:ascii="Times New Roman" w:eastAsia="宋体" w:hAnsi="Times New Roman" w:cs="Times New Roman"/>
          <w:color w:val="000000" w:themeColor="text1"/>
          <w:sz w:val="24"/>
        </w:rPr>
        <w:t>以上，地下水径流模数在</w:t>
      </w:r>
      <w:r>
        <w:rPr>
          <w:rFonts w:ascii="Times New Roman" w:eastAsia="宋体" w:hAnsi="Times New Roman" w:cs="Times New Roman"/>
          <w:color w:val="000000" w:themeColor="text1"/>
          <w:sz w:val="24"/>
        </w:rPr>
        <w:t>0.</w:t>
      </w:r>
      <w:r>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0.9L/s·km</w:t>
      </w:r>
      <w:r>
        <w:rPr>
          <w:rFonts w:ascii="Times New Roman" w:eastAsia="宋体" w:hAnsi="Times New Roman" w:cs="Times New Roman"/>
          <w:color w:val="000000" w:themeColor="text1"/>
          <w:sz w:val="24"/>
          <w:vertAlign w:val="superscript"/>
        </w:rPr>
        <w:t>2</w:t>
      </w:r>
      <w:r>
        <w:rPr>
          <w:rFonts w:ascii="Times New Roman" w:eastAsia="宋体" w:hAnsi="Times New Roman" w:cs="Times New Roman"/>
          <w:color w:val="000000" w:themeColor="text1"/>
          <w:sz w:val="24"/>
        </w:rPr>
        <w:t>左右，富水性较弱，同时具有随着深度增大富水性减弱的特点。岩层富水性弱，补给条件差，场地附近未见有基岩裂隙水泉点出露，也不存在稳定地下水。</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）根据上述预测评价可知，如发生泄漏，按照固定时间</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不同距离预测氨氮扩散浓度显示：预测</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天时预测超标距离最远为</w:t>
      </w:r>
      <w:r>
        <w:rPr>
          <w:rFonts w:ascii="Times New Roman" w:eastAsia="宋体" w:hAnsi="Times New Roman" w:cs="Times New Roman"/>
          <w:color w:val="000000" w:themeColor="text1"/>
          <w:sz w:val="24"/>
        </w:rPr>
        <w:t>5m</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rPr>
        <w:t>天时预测超标距离最远为</w:t>
      </w:r>
      <w:r>
        <w:rPr>
          <w:rFonts w:ascii="Times New Roman" w:eastAsia="宋体" w:hAnsi="Times New Roman" w:cs="Times New Roman"/>
          <w:color w:val="000000" w:themeColor="text1"/>
          <w:sz w:val="24"/>
        </w:rPr>
        <w:t>12m</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28</w:t>
      </w:r>
      <w:r>
        <w:rPr>
          <w:rFonts w:ascii="Times New Roman" w:eastAsia="宋体" w:hAnsi="Times New Roman" w:cs="Times New Roman"/>
          <w:color w:val="000000" w:themeColor="text1"/>
          <w:sz w:val="24"/>
        </w:rPr>
        <w:t>天时预测超标距离最远为</w:t>
      </w:r>
      <w:r>
        <w:rPr>
          <w:rFonts w:ascii="Times New Roman" w:eastAsia="宋体" w:hAnsi="Times New Roman" w:cs="Times New Roman"/>
          <w:color w:val="000000" w:themeColor="text1"/>
          <w:sz w:val="24"/>
        </w:rPr>
        <w:t>11m</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29</w:t>
      </w:r>
      <w:r>
        <w:rPr>
          <w:rFonts w:ascii="Times New Roman" w:eastAsia="宋体" w:hAnsi="Times New Roman" w:cs="Times New Roman"/>
          <w:color w:val="000000" w:themeColor="text1"/>
          <w:sz w:val="24"/>
        </w:rPr>
        <w:t>天以后预测结果均不超标。按照固定距离</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不同时间预测氨氮扩散浓度显示：边界</w:t>
      </w:r>
      <w:r>
        <w:rPr>
          <w:rFonts w:ascii="Times New Roman" w:eastAsia="宋体" w:hAnsi="Times New Roman" w:cs="Times New Roman"/>
          <w:color w:val="000000" w:themeColor="text1"/>
          <w:sz w:val="24"/>
        </w:rPr>
        <w:t>1m</w:t>
      </w:r>
      <w:r>
        <w:rPr>
          <w:rFonts w:ascii="Times New Roman" w:eastAsia="宋体" w:hAnsi="Times New Roman" w:cs="Times New Roman"/>
          <w:color w:val="000000" w:themeColor="text1"/>
          <w:sz w:val="24"/>
        </w:rPr>
        <w:t>处预测超标时间为</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rPr>
        <w:t>天；</w:t>
      </w:r>
      <w:r>
        <w:rPr>
          <w:rFonts w:ascii="Times New Roman" w:eastAsia="宋体" w:hAnsi="Times New Roman" w:cs="Times New Roman"/>
          <w:color w:val="000000" w:themeColor="text1"/>
          <w:sz w:val="24"/>
        </w:rPr>
        <w:t>5m</w:t>
      </w:r>
      <w:r>
        <w:rPr>
          <w:rFonts w:ascii="Times New Roman" w:eastAsia="宋体" w:hAnsi="Times New Roman" w:cs="Times New Roman"/>
          <w:color w:val="000000" w:themeColor="text1"/>
          <w:sz w:val="24"/>
        </w:rPr>
        <w:t>处预测超标时间为</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天至</w:t>
      </w:r>
      <w:r>
        <w:rPr>
          <w:rFonts w:ascii="Times New Roman" w:eastAsia="宋体" w:hAnsi="Times New Roman" w:cs="Times New Roman"/>
          <w:color w:val="000000" w:themeColor="text1"/>
          <w:sz w:val="24"/>
        </w:rPr>
        <w:t>23</w:t>
      </w:r>
      <w:r>
        <w:rPr>
          <w:rFonts w:ascii="Times New Roman" w:eastAsia="宋体" w:hAnsi="Times New Roman" w:cs="Times New Roman"/>
          <w:color w:val="000000" w:themeColor="text1"/>
          <w:sz w:val="24"/>
        </w:rPr>
        <w:t>天；</w:t>
      </w:r>
      <w:r>
        <w:rPr>
          <w:rFonts w:ascii="Times New Roman" w:eastAsia="宋体" w:hAnsi="Times New Roman" w:cs="Times New Roman"/>
          <w:color w:val="000000" w:themeColor="text1"/>
          <w:sz w:val="24"/>
        </w:rPr>
        <w:t>10m</w:t>
      </w:r>
      <w:r>
        <w:rPr>
          <w:rFonts w:ascii="Times New Roman" w:eastAsia="宋体" w:hAnsi="Times New Roman" w:cs="Times New Roman"/>
          <w:color w:val="000000" w:themeColor="text1"/>
          <w:sz w:val="24"/>
        </w:rPr>
        <w:t>处预测超标时间为</w:t>
      </w:r>
      <w:r>
        <w:rPr>
          <w:rFonts w:ascii="Times New Roman" w:eastAsia="宋体" w:hAnsi="Times New Roman" w:cs="Times New Roman"/>
          <w:color w:val="000000" w:themeColor="text1"/>
          <w:sz w:val="24"/>
        </w:rPr>
        <w:t>5</w:t>
      </w:r>
      <w:r>
        <w:rPr>
          <w:rFonts w:ascii="Times New Roman" w:eastAsia="宋体" w:hAnsi="Times New Roman" w:cs="Times New Roman"/>
          <w:color w:val="000000" w:themeColor="text1"/>
          <w:sz w:val="24"/>
        </w:rPr>
        <w:t>天</w:t>
      </w:r>
      <w:r>
        <w:rPr>
          <w:rFonts w:ascii="Times New Roman" w:eastAsia="宋体" w:hAnsi="Times New Roman" w:cs="Times New Roman"/>
          <w:color w:val="000000" w:themeColor="text1"/>
          <w:sz w:val="24"/>
        </w:rPr>
        <w:t>至</w:t>
      </w:r>
      <w:r>
        <w:rPr>
          <w:rFonts w:ascii="Times New Roman" w:eastAsia="宋体" w:hAnsi="Times New Roman" w:cs="Times New Roman"/>
          <w:color w:val="000000" w:themeColor="text1"/>
          <w:sz w:val="24"/>
        </w:rPr>
        <w:t>29</w:t>
      </w:r>
      <w:r>
        <w:rPr>
          <w:rFonts w:ascii="Times New Roman" w:eastAsia="宋体" w:hAnsi="Times New Roman" w:cs="Times New Roman"/>
          <w:color w:val="000000" w:themeColor="text1"/>
          <w:sz w:val="24"/>
        </w:rPr>
        <w:t>天；</w:t>
      </w:r>
      <w:r>
        <w:rPr>
          <w:rFonts w:ascii="Times New Roman" w:eastAsia="宋体" w:hAnsi="Times New Roman" w:cs="Times New Roman"/>
          <w:color w:val="000000" w:themeColor="text1"/>
          <w:sz w:val="24"/>
        </w:rPr>
        <w:t>14m</w:t>
      </w:r>
      <w:r>
        <w:rPr>
          <w:rFonts w:ascii="Times New Roman" w:eastAsia="宋体" w:hAnsi="Times New Roman" w:cs="Times New Roman"/>
          <w:color w:val="000000" w:themeColor="text1"/>
          <w:sz w:val="24"/>
        </w:rPr>
        <w:t>处预测超标时间为</w:t>
      </w:r>
      <w:r>
        <w:rPr>
          <w:rFonts w:ascii="Times New Roman" w:eastAsia="宋体" w:hAnsi="Times New Roman" w:cs="Times New Roman"/>
          <w:color w:val="000000" w:themeColor="text1"/>
          <w:sz w:val="24"/>
        </w:rPr>
        <w:t>18</w:t>
      </w:r>
      <w:r>
        <w:rPr>
          <w:rFonts w:ascii="Times New Roman" w:eastAsia="宋体" w:hAnsi="Times New Roman" w:cs="Times New Roman"/>
          <w:color w:val="000000" w:themeColor="text1"/>
          <w:sz w:val="24"/>
        </w:rPr>
        <w:t>天至</w:t>
      </w:r>
      <w:r>
        <w:rPr>
          <w:rFonts w:ascii="Times New Roman" w:eastAsia="宋体" w:hAnsi="Times New Roman" w:cs="Times New Roman"/>
          <w:color w:val="000000" w:themeColor="text1"/>
          <w:sz w:val="24"/>
        </w:rPr>
        <w:t>21</w:t>
      </w:r>
      <w:r>
        <w:rPr>
          <w:rFonts w:ascii="Times New Roman" w:eastAsia="宋体" w:hAnsi="Times New Roman" w:cs="Times New Roman"/>
          <w:color w:val="000000" w:themeColor="text1"/>
          <w:sz w:val="24"/>
        </w:rPr>
        <w:t>天。自</w:t>
      </w:r>
      <w:r>
        <w:rPr>
          <w:rFonts w:ascii="Times New Roman" w:eastAsia="宋体" w:hAnsi="Times New Roman" w:cs="Times New Roman"/>
          <w:color w:val="000000" w:themeColor="text1"/>
          <w:sz w:val="24"/>
        </w:rPr>
        <w:t>15m</w:t>
      </w:r>
      <w:r>
        <w:rPr>
          <w:rFonts w:ascii="Times New Roman" w:eastAsia="宋体" w:hAnsi="Times New Roman" w:cs="Times New Roman"/>
          <w:color w:val="000000" w:themeColor="text1"/>
          <w:sz w:val="24"/>
        </w:rPr>
        <w:t>以外，各预测时段范围内均未超标。主要影响区在场区附近，总体对地下水影响小。</w:t>
      </w:r>
    </w:p>
    <w:p w:rsidR="00C861DA" w:rsidRDefault="0044752E">
      <w:pPr>
        <w:spacing w:line="360" w:lineRule="auto"/>
        <w:ind w:firstLineChars="200" w:firstLine="480"/>
        <w:rPr>
          <w:rFonts w:ascii="Times New Roman" w:eastAsia="宋体" w:hAnsi="Times New Roman" w:cs="Times New Roman"/>
          <w:color w:val="000000" w:themeColor="text1"/>
          <w:kern w:val="24"/>
          <w:sz w:val="24"/>
        </w:rPr>
      </w:pPr>
      <w:r>
        <w:rPr>
          <w:rFonts w:ascii="Times New Roman" w:eastAsia="宋体" w:hAnsi="Times New Roman" w:cs="Times New Roman"/>
          <w:color w:val="000000" w:themeColor="text1"/>
          <w:kern w:val="24"/>
          <w:sz w:val="24"/>
        </w:rPr>
        <w:t>（</w:t>
      </w:r>
      <w:r>
        <w:rPr>
          <w:rFonts w:ascii="Times New Roman" w:eastAsia="宋体" w:hAnsi="Times New Roman" w:cs="Times New Roman"/>
          <w:color w:val="000000" w:themeColor="text1"/>
          <w:kern w:val="24"/>
          <w:sz w:val="24"/>
        </w:rPr>
        <w:t>3</w:t>
      </w:r>
      <w:r>
        <w:rPr>
          <w:rFonts w:ascii="Times New Roman" w:eastAsia="宋体" w:hAnsi="Times New Roman" w:cs="Times New Roman"/>
          <w:color w:val="000000" w:themeColor="text1"/>
          <w:kern w:val="24"/>
          <w:sz w:val="24"/>
        </w:rPr>
        <w:t>）</w:t>
      </w:r>
      <w:r>
        <w:rPr>
          <w:rFonts w:ascii="Times New Roman" w:eastAsia="宋体" w:hAnsi="Times New Roman" w:cs="Times New Roman"/>
          <w:color w:val="000000" w:themeColor="text1"/>
          <w:sz w:val="24"/>
        </w:rPr>
        <w:t>本项目场地地面采用抗渗混凝土刚性防渗结构，抗渗等级不小于</w:t>
      </w:r>
      <w:r>
        <w:rPr>
          <w:rFonts w:ascii="Times New Roman" w:eastAsia="宋体" w:hAnsi="Times New Roman" w:cs="Times New Roman"/>
          <w:color w:val="000000" w:themeColor="text1"/>
          <w:sz w:val="24"/>
        </w:rPr>
        <w:t>P6</w:t>
      </w:r>
      <w:r>
        <w:rPr>
          <w:rFonts w:ascii="Times New Roman" w:eastAsia="宋体" w:hAnsi="Times New Roman" w:cs="Times New Roman"/>
          <w:color w:val="000000" w:themeColor="text1"/>
          <w:sz w:val="24"/>
        </w:rPr>
        <w:t>，防渗层渗透系数小于</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vertAlign w:val="superscript"/>
        </w:rPr>
        <w:t>-7</w:t>
      </w:r>
      <w:r>
        <w:rPr>
          <w:rFonts w:ascii="Times New Roman" w:eastAsia="宋体" w:hAnsi="Times New Roman" w:cs="Times New Roman"/>
          <w:color w:val="000000" w:themeColor="text1"/>
          <w:sz w:val="24"/>
        </w:rPr>
        <w:t>cm/s</w:t>
      </w:r>
      <w:r>
        <w:rPr>
          <w:rFonts w:ascii="Times New Roman" w:eastAsia="宋体" w:hAnsi="Times New Roman" w:cs="Times New Roman"/>
          <w:color w:val="000000" w:themeColor="text1"/>
          <w:sz w:val="24"/>
        </w:rPr>
        <w:t>。围堰采用抗渗钢筋混凝土，抗渗等级不应低于</w:t>
      </w:r>
      <w:r>
        <w:rPr>
          <w:rFonts w:ascii="Times New Roman" w:eastAsia="宋体" w:hAnsi="Times New Roman" w:cs="Times New Roman"/>
          <w:color w:val="000000" w:themeColor="text1"/>
          <w:sz w:val="24"/>
        </w:rPr>
        <w:t>P6</w:t>
      </w:r>
      <w:r>
        <w:rPr>
          <w:rFonts w:ascii="Times New Roman" w:eastAsia="宋体" w:hAnsi="Times New Roman" w:cs="Times New Roman"/>
          <w:color w:val="000000" w:themeColor="text1"/>
          <w:sz w:val="24"/>
        </w:rPr>
        <w:t>。本项目冰机厂房等其他区域采用钢筋混凝土结构。厂区其它地面除绿化用地，道路等采取灰土铺底，上层铺</w:t>
      </w:r>
      <w:r>
        <w:rPr>
          <w:rFonts w:ascii="Times New Roman" w:eastAsia="宋体" w:hAnsi="Times New Roman" w:cs="Times New Roman"/>
          <w:color w:val="000000" w:themeColor="text1"/>
          <w:sz w:val="24"/>
        </w:rPr>
        <w:t>10~15cm</w:t>
      </w:r>
      <w:r>
        <w:rPr>
          <w:rFonts w:ascii="Times New Roman" w:eastAsia="宋体" w:hAnsi="Times New Roman" w:cs="Times New Roman"/>
          <w:color w:val="000000" w:themeColor="text1"/>
          <w:sz w:val="24"/>
        </w:rPr>
        <w:t>的混凝土进行硬化。</w:t>
      </w:r>
    </w:p>
    <w:p w:rsidR="00C861DA" w:rsidRDefault="0044752E">
      <w:pPr>
        <w:spacing w:line="360" w:lineRule="auto"/>
        <w:ind w:firstLineChars="200" w:firstLine="480"/>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sz w:val="24"/>
        </w:rPr>
        <w:t>拟建项目在强化地下水防渗措施，采取清洁生产措施，从源头上、过程中、各环节、各分区防治，减少污染物的产生和排放，并加强末端治理措施，同时强化跟踪监测、环境风险防范应急措施的基础上，</w:t>
      </w:r>
      <w:r>
        <w:rPr>
          <w:rFonts w:ascii="Times New Roman" w:eastAsia="宋体" w:hAnsi="Times New Roman" w:cs="Times New Roman"/>
          <w:color w:val="000000" w:themeColor="text1"/>
          <w:kern w:val="0"/>
          <w:sz w:val="24"/>
        </w:rPr>
        <w:t>项目对地下水环境影响可以接受。</w:t>
      </w:r>
      <w:r>
        <w:rPr>
          <w:rFonts w:ascii="Times New Roman" w:eastAsia="宋体" w:hAnsi="Times New Roman" w:cs="Times New Roman"/>
          <w:color w:val="000000" w:themeColor="text1"/>
          <w:kern w:val="0"/>
          <w:sz w:val="24"/>
        </w:rPr>
        <w:t xml:space="preserve"> </w:t>
      </w:r>
    </w:p>
    <w:p w:rsidR="00C861DA" w:rsidRDefault="00C861DA">
      <w:pPr>
        <w:ind w:leftChars="50" w:left="105" w:rightChars="50" w:right="105"/>
        <w:rPr>
          <w:color w:val="000000" w:themeColor="text1"/>
        </w:rPr>
      </w:pPr>
    </w:p>
    <w:bookmarkStart w:id="507" w:name="_Toc20813"/>
    <w:bookmarkStart w:id="508" w:name="_Toc12065"/>
    <w:bookmarkStart w:id="509" w:name="_Toc12888"/>
    <w:bookmarkStart w:id="510" w:name="_Toc30273"/>
    <w:p w:rsidR="00C861DA" w:rsidRDefault="0044752E">
      <w:pPr>
        <w:pStyle w:val="22"/>
        <w:rPr>
          <w:rFonts w:ascii="Times New Roman" w:eastAsia="宋体" w:hAnsi="Times New Roman"/>
          <w:bCs w:val="0"/>
          <w:color w:val="000000" w:themeColor="text1"/>
          <w:sz w:val="28"/>
          <w:szCs w:val="28"/>
        </w:rPr>
      </w:pPr>
      <w:r>
        <w:rPr>
          <w:rFonts w:ascii="Times New Roman" w:eastAsia="宋体" w:hAnsi="Times New Roman"/>
          <w:bCs w:val="0"/>
          <w:color w:val="000000" w:themeColor="text1"/>
          <w:sz w:val="28"/>
          <w:szCs w:val="28"/>
        </w:rPr>
        <w:fldChar w:fldCharType="begin"/>
      </w:r>
      <w:r>
        <w:rPr>
          <w:rFonts w:ascii="Times New Roman" w:eastAsia="宋体" w:hAnsi="Times New Roman"/>
          <w:bCs w:val="0"/>
          <w:color w:val="000000" w:themeColor="text1"/>
          <w:sz w:val="28"/>
          <w:szCs w:val="28"/>
        </w:rPr>
        <w:instrText xml:space="preserve"> HYPERLINK \l "_Toc512505489" </w:instrText>
      </w:r>
      <w:r>
        <w:rPr>
          <w:rFonts w:ascii="Times New Roman" w:eastAsia="宋体" w:hAnsi="Times New Roman"/>
          <w:bCs w:val="0"/>
          <w:color w:val="000000" w:themeColor="text1"/>
          <w:sz w:val="28"/>
          <w:szCs w:val="28"/>
        </w:rPr>
        <w:fldChar w:fldCharType="separate"/>
      </w:r>
      <w:bookmarkStart w:id="511" w:name="_Toc6826863"/>
      <w:r>
        <w:rPr>
          <w:rFonts w:ascii="Times New Roman" w:eastAsia="宋体" w:hAnsi="Times New Roman"/>
          <w:bCs w:val="0"/>
          <w:color w:val="000000" w:themeColor="text1"/>
          <w:sz w:val="28"/>
          <w:szCs w:val="28"/>
        </w:rPr>
        <w:t>7.5</w:t>
      </w:r>
      <w:r>
        <w:rPr>
          <w:rFonts w:ascii="Times New Roman" w:eastAsia="宋体" w:hAnsi="Times New Roman"/>
          <w:bCs w:val="0"/>
          <w:color w:val="000000" w:themeColor="text1"/>
          <w:sz w:val="28"/>
          <w:szCs w:val="28"/>
        </w:rPr>
        <w:t>固体废物对环境的影响分析</w:t>
      </w:r>
      <w:bookmarkEnd w:id="511"/>
      <w:r>
        <w:rPr>
          <w:rFonts w:ascii="Times New Roman" w:eastAsia="宋体" w:hAnsi="Times New Roman"/>
          <w:bCs w:val="0"/>
          <w:color w:val="000000" w:themeColor="text1"/>
          <w:sz w:val="28"/>
          <w:szCs w:val="28"/>
        </w:rPr>
        <w:fldChar w:fldCharType="end"/>
      </w:r>
      <w:bookmarkEnd w:id="507"/>
      <w:bookmarkEnd w:id="508"/>
      <w:bookmarkEnd w:id="509"/>
      <w:bookmarkEnd w:id="510"/>
    </w:p>
    <w:bookmarkStart w:id="512" w:name="_Toc14369"/>
    <w:bookmarkStart w:id="513" w:name="_Toc25216"/>
    <w:bookmarkStart w:id="514" w:name="_Toc8431"/>
    <w:bookmarkStart w:id="515" w:name="_Toc30679"/>
    <w:p w:rsidR="00C861DA" w:rsidRDefault="0044752E">
      <w:pPr>
        <w:pStyle w:val="32"/>
        <w:jc w:val="both"/>
        <w:rPr>
          <w:rFonts w:ascii="Times New Roman" w:eastAsia="宋体"/>
          <w:bCs w:val="0"/>
          <w:color w:val="000000" w:themeColor="text1"/>
          <w:sz w:val="24"/>
          <w:szCs w:val="24"/>
        </w:rPr>
      </w:pPr>
      <w:r>
        <w:rPr>
          <w:rFonts w:ascii="Times New Roman" w:eastAsia="宋体" w:hAnsi="Times New Roman" w:cs="Times New Roman"/>
          <w:color w:val="000000" w:themeColor="text1"/>
          <w:sz w:val="24"/>
          <w:szCs w:val="24"/>
        </w:rPr>
        <w:fldChar w:fldCharType="begin"/>
      </w:r>
      <w:r>
        <w:rPr>
          <w:rFonts w:ascii="Times New Roman" w:eastAsia="宋体" w:hAnsi="Times New Roman" w:cs="Times New Roman"/>
          <w:color w:val="000000" w:themeColor="text1"/>
          <w:sz w:val="24"/>
          <w:szCs w:val="24"/>
        </w:rPr>
        <w:instrText xml:space="preserve"> HYPERLINK \l "_Toc512505490" </w:instrText>
      </w:r>
      <w:r>
        <w:rPr>
          <w:rFonts w:ascii="Times New Roman" w:eastAsia="宋体" w:hAnsi="Times New Roman" w:cs="Times New Roman"/>
          <w:color w:val="000000" w:themeColor="text1"/>
          <w:sz w:val="24"/>
          <w:szCs w:val="24"/>
        </w:rPr>
        <w:fldChar w:fldCharType="separate"/>
      </w:r>
      <w:bookmarkStart w:id="516" w:name="_Toc6826864"/>
      <w:r>
        <w:rPr>
          <w:rFonts w:ascii="Times New Roman" w:eastAsia="宋体" w:hAnsi="Times New Roman" w:cs="Times New Roman"/>
          <w:color w:val="000000" w:themeColor="text1"/>
          <w:sz w:val="24"/>
          <w:szCs w:val="24"/>
        </w:rPr>
        <w:t>7.</w:t>
      </w:r>
      <w:r>
        <w:rPr>
          <w:rFonts w:ascii="Times New Roman" w:eastAsia="宋体"/>
          <w:bCs w:val="0"/>
          <w:color w:val="000000" w:themeColor="text1"/>
          <w:sz w:val="24"/>
          <w:szCs w:val="24"/>
        </w:rPr>
        <w:t>5.1</w:t>
      </w:r>
      <w:r>
        <w:rPr>
          <w:rFonts w:ascii="Times New Roman" w:eastAsia="宋体"/>
          <w:bCs w:val="0"/>
          <w:color w:val="000000" w:themeColor="text1"/>
          <w:sz w:val="24"/>
          <w:szCs w:val="24"/>
        </w:rPr>
        <w:t>固体废物的产生量及种类</w:t>
      </w:r>
      <w:bookmarkEnd w:id="512"/>
      <w:bookmarkEnd w:id="513"/>
      <w:bookmarkEnd w:id="514"/>
      <w:bookmarkEnd w:id="515"/>
      <w:bookmarkEnd w:id="516"/>
    </w:p>
    <w:p w:rsidR="00C861DA" w:rsidRDefault="0044752E">
      <w:pPr>
        <w:spacing w:line="360" w:lineRule="auto"/>
        <w:ind w:firstLineChars="200" w:firstLine="420"/>
        <w:jc w:val="both"/>
        <w:rPr>
          <w:rStyle w:val="afff5"/>
          <w:rFonts w:ascii="Times New Roman" w:eastAsia="宋体" w:hAnsi="Times New Roman" w:cs="Times New Roman"/>
          <w:iCs/>
          <w:color w:val="000000" w:themeColor="text1"/>
          <w:sz w:val="24"/>
          <w:szCs w:val="24"/>
          <w:u w:val="none"/>
        </w:rPr>
      </w:pPr>
      <w:r>
        <w:rPr>
          <w:b/>
          <w:bCs/>
          <w:color w:val="000000" w:themeColor="text1"/>
        </w:rPr>
        <w:fldChar w:fldCharType="end"/>
      </w:r>
      <w:r>
        <w:rPr>
          <w:rStyle w:val="afff5"/>
          <w:rFonts w:ascii="Times New Roman" w:eastAsia="宋体" w:hAnsi="Times New Roman" w:cs="Times New Roman"/>
          <w:iCs/>
          <w:color w:val="000000" w:themeColor="text1"/>
          <w:sz w:val="24"/>
          <w:szCs w:val="24"/>
          <w:u w:val="none"/>
        </w:rPr>
        <w:t>根据工程分析可知，建设项目产生的固体废物主要包括一般工业固体废物、危险废物和生活垃圾。一般工业固体废物主要有</w:t>
      </w:r>
      <w:r>
        <w:rPr>
          <w:rFonts w:ascii="Times New Roman" w:eastAsia="宋体" w:hAnsi="Times New Roman" w:cs="Times New Roman"/>
          <w:color w:val="000000" w:themeColor="text1"/>
          <w:kern w:val="1"/>
          <w:sz w:val="24"/>
          <w:szCs w:val="24"/>
        </w:rPr>
        <w:t>硝基复合肥除尘器收尘</w:t>
      </w:r>
      <w:r>
        <w:rPr>
          <w:rStyle w:val="afff5"/>
          <w:rFonts w:ascii="Times New Roman" w:eastAsia="宋体" w:hAnsi="Times New Roman" w:cs="Times New Roman"/>
          <w:iCs/>
          <w:color w:val="000000" w:themeColor="text1"/>
          <w:sz w:val="24"/>
          <w:szCs w:val="24"/>
          <w:u w:val="none"/>
        </w:rPr>
        <w:t>、</w:t>
      </w:r>
      <w:r>
        <w:rPr>
          <w:rFonts w:ascii="Times New Roman" w:eastAsia="宋体" w:hAnsi="Times New Roman" w:cs="Times New Roman"/>
          <w:color w:val="000000" w:themeColor="text1"/>
          <w:kern w:val="1"/>
          <w:sz w:val="24"/>
          <w:szCs w:val="24"/>
        </w:rPr>
        <w:t>硝基复合肥造粒塔布袋除尘器收尘</w:t>
      </w:r>
      <w:r>
        <w:rPr>
          <w:rStyle w:val="afff5"/>
          <w:rFonts w:ascii="Times New Roman" w:eastAsia="宋体" w:hAnsi="Times New Roman" w:cs="Times New Roman"/>
          <w:iCs/>
          <w:color w:val="000000" w:themeColor="text1"/>
          <w:sz w:val="24"/>
          <w:szCs w:val="24"/>
          <w:u w:val="none"/>
        </w:rPr>
        <w:t>、</w:t>
      </w:r>
      <w:r>
        <w:rPr>
          <w:rFonts w:ascii="Times New Roman" w:eastAsia="宋体" w:hAnsi="Times New Roman" w:cs="Times New Roman"/>
          <w:color w:val="000000" w:themeColor="text1"/>
          <w:kern w:val="1"/>
          <w:sz w:val="24"/>
          <w:szCs w:val="24"/>
        </w:rPr>
        <w:t>基复合肥产品筛分冷却除尘器收尘、尿基复合肥配料除尘器收尘、尿复合肥造粒塔布袋除尘器收尘</w:t>
      </w:r>
      <w:r>
        <w:rPr>
          <w:rStyle w:val="afff5"/>
          <w:rFonts w:ascii="Times New Roman" w:eastAsia="宋体" w:hAnsi="Times New Roman" w:cs="Times New Roman"/>
          <w:iCs/>
          <w:color w:val="000000" w:themeColor="text1"/>
          <w:sz w:val="24"/>
          <w:szCs w:val="24"/>
          <w:u w:val="none"/>
        </w:rPr>
        <w:t>等。危险废物主要为</w:t>
      </w:r>
      <w:r>
        <w:rPr>
          <w:rFonts w:ascii="Times New Roman" w:eastAsia="宋体" w:hAnsi="Times New Roman" w:cs="Times New Roman"/>
          <w:color w:val="000000" w:themeColor="text1"/>
          <w:kern w:val="1"/>
          <w:sz w:val="24"/>
          <w:szCs w:val="24"/>
        </w:rPr>
        <w:t>S2</w:t>
      </w:r>
      <w:r>
        <w:rPr>
          <w:rFonts w:ascii="Times New Roman" w:eastAsia="宋体" w:hAnsi="Times New Roman" w:cs="Times New Roman"/>
          <w:color w:val="000000" w:themeColor="text1"/>
          <w:kern w:val="1"/>
          <w:sz w:val="24"/>
          <w:szCs w:val="24"/>
        </w:rPr>
        <w:t>：氧化炉废催化剂</w:t>
      </w:r>
      <w:r>
        <w:rPr>
          <w:rStyle w:val="afff5"/>
          <w:rFonts w:ascii="Times New Roman" w:eastAsia="宋体" w:hAnsi="Times New Roman" w:cs="Times New Roman"/>
          <w:iCs/>
          <w:color w:val="000000" w:themeColor="text1"/>
          <w:sz w:val="24"/>
          <w:szCs w:val="24"/>
          <w:u w:val="none"/>
        </w:rPr>
        <w:t>、</w:t>
      </w:r>
      <w:r>
        <w:rPr>
          <w:rFonts w:ascii="Times New Roman" w:eastAsia="宋体" w:hAnsi="Times New Roman" w:cs="Times New Roman"/>
          <w:color w:val="000000" w:themeColor="text1"/>
          <w:kern w:val="1"/>
          <w:sz w:val="24"/>
          <w:szCs w:val="24"/>
        </w:rPr>
        <w:t>S1</w:t>
      </w:r>
      <w:r>
        <w:rPr>
          <w:rFonts w:ascii="Times New Roman" w:eastAsia="宋体" w:hAnsi="Times New Roman" w:cs="Times New Roman"/>
          <w:color w:val="000000" w:themeColor="text1"/>
          <w:kern w:val="1"/>
          <w:sz w:val="24"/>
          <w:szCs w:val="24"/>
        </w:rPr>
        <w:t>：液氨</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color w:val="000000" w:themeColor="text1"/>
          <w:kern w:val="1"/>
          <w:sz w:val="24"/>
          <w:szCs w:val="24"/>
        </w:rPr>
        <w:t>气氨过滤废滤料</w:t>
      </w:r>
      <w:r>
        <w:rPr>
          <w:rStyle w:val="afff5"/>
          <w:rFonts w:ascii="Times New Roman" w:eastAsia="宋体" w:hAnsi="Times New Roman" w:cs="Times New Roman"/>
          <w:iCs/>
          <w:color w:val="000000" w:themeColor="text1"/>
          <w:sz w:val="24"/>
          <w:szCs w:val="24"/>
          <w:u w:val="none"/>
        </w:rPr>
        <w:t>、</w:t>
      </w:r>
      <w:r>
        <w:rPr>
          <w:rFonts w:ascii="Times New Roman" w:eastAsia="宋体" w:hAnsi="Times New Roman" w:cs="Times New Roman"/>
          <w:color w:val="000000" w:themeColor="text1"/>
          <w:kern w:val="1"/>
          <w:sz w:val="24"/>
          <w:szCs w:val="24"/>
        </w:rPr>
        <w:t>二氧化碳脱氢废催化剂</w:t>
      </w:r>
      <w:r>
        <w:rPr>
          <w:rStyle w:val="afff5"/>
          <w:rFonts w:ascii="Times New Roman" w:eastAsia="宋体" w:hAnsi="Times New Roman" w:cs="Times New Roman"/>
          <w:iCs/>
          <w:color w:val="000000" w:themeColor="text1"/>
          <w:sz w:val="24"/>
          <w:szCs w:val="24"/>
          <w:u w:val="none"/>
        </w:rPr>
        <w:t>。项目产生的各种废物的产生量及废物处置措施见工程分析章节表</w:t>
      </w:r>
      <w:r>
        <w:rPr>
          <w:rStyle w:val="afff5"/>
          <w:rFonts w:ascii="Times New Roman" w:eastAsia="宋体" w:hAnsi="Times New Roman" w:cs="Times New Roman"/>
          <w:iCs/>
          <w:color w:val="000000" w:themeColor="text1"/>
          <w:sz w:val="24"/>
          <w:szCs w:val="24"/>
          <w:u w:val="none"/>
        </w:rPr>
        <w:t>4.4-3</w:t>
      </w:r>
      <w:r>
        <w:rPr>
          <w:rStyle w:val="afff5"/>
          <w:rFonts w:ascii="Times New Roman" w:eastAsia="宋体" w:hAnsi="Times New Roman" w:cs="Times New Roman"/>
          <w:iCs/>
          <w:color w:val="000000" w:themeColor="text1"/>
          <w:sz w:val="24"/>
          <w:szCs w:val="24"/>
          <w:u w:val="none"/>
        </w:rPr>
        <w:t>。</w:t>
      </w:r>
    </w:p>
    <w:bookmarkStart w:id="517" w:name="_Toc27519"/>
    <w:bookmarkStart w:id="518" w:name="_Toc19594"/>
    <w:bookmarkStart w:id="519" w:name="_Toc8932"/>
    <w:bookmarkStart w:id="520" w:name="_Toc13079"/>
    <w:p w:rsidR="00C861DA" w:rsidRDefault="0044752E">
      <w:pPr>
        <w:pStyle w:val="32"/>
        <w:rPr>
          <w:rFonts w:ascii="Times New Roman" w:eastAsia="宋体"/>
          <w:bCs w:val="0"/>
          <w:color w:val="000000" w:themeColor="text1"/>
          <w:sz w:val="24"/>
          <w:szCs w:val="24"/>
        </w:rPr>
      </w:pPr>
      <w:r>
        <w:rPr>
          <w:rFonts w:ascii="Times New Roman" w:eastAsia="宋体"/>
          <w:bCs w:val="0"/>
          <w:color w:val="000000" w:themeColor="text1"/>
          <w:sz w:val="24"/>
          <w:szCs w:val="24"/>
        </w:rPr>
        <w:fldChar w:fldCharType="begin"/>
      </w:r>
      <w:r>
        <w:rPr>
          <w:rFonts w:ascii="Times New Roman" w:eastAsia="宋体"/>
          <w:bCs w:val="0"/>
          <w:color w:val="000000" w:themeColor="text1"/>
          <w:sz w:val="24"/>
          <w:szCs w:val="24"/>
        </w:rPr>
        <w:instrText xml:space="preserve"> HYPERLINK \l "_Toc512505491" </w:instrText>
      </w:r>
      <w:r>
        <w:rPr>
          <w:rFonts w:ascii="Times New Roman" w:eastAsia="宋体"/>
          <w:bCs w:val="0"/>
          <w:color w:val="000000" w:themeColor="text1"/>
          <w:sz w:val="24"/>
          <w:szCs w:val="24"/>
        </w:rPr>
        <w:fldChar w:fldCharType="separate"/>
      </w:r>
      <w:bookmarkStart w:id="521" w:name="_Toc6826865"/>
      <w:r>
        <w:rPr>
          <w:rFonts w:ascii="Times New Roman" w:eastAsia="宋体"/>
          <w:bCs w:val="0"/>
          <w:color w:val="000000" w:themeColor="text1"/>
          <w:sz w:val="24"/>
          <w:szCs w:val="24"/>
        </w:rPr>
        <w:t>7.5.2</w:t>
      </w:r>
      <w:r>
        <w:rPr>
          <w:rFonts w:ascii="Times New Roman" w:eastAsia="宋体"/>
          <w:bCs w:val="0"/>
          <w:color w:val="000000" w:themeColor="text1"/>
          <w:sz w:val="24"/>
          <w:szCs w:val="24"/>
        </w:rPr>
        <w:t>固体废物的</w:t>
      </w:r>
      <w:r>
        <w:rPr>
          <w:rFonts w:ascii="Times New Roman" w:eastAsia="宋体"/>
          <w:bCs w:val="0"/>
          <w:color w:val="000000" w:themeColor="text1"/>
          <w:sz w:val="24"/>
          <w:szCs w:val="24"/>
        </w:rPr>
        <w:fldChar w:fldCharType="end"/>
      </w:r>
      <w:r>
        <w:rPr>
          <w:rFonts w:ascii="Times New Roman" w:eastAsia="宋体"/>
          <w:bCs w:val="0"/>
          <w:color w:val="000000" w:themeColor="text1"/>
          <w:sz w:val="24"/>
          <w:szCs w:val="24"/>
        </w:rPr>
        <w:t>影响分析</w:t>
      </w:r>
      <w:bookmarkEnd w:id="517"/>
      <w:bookmarkEnd w:id="518"/>
      <w:bookmarkEnd w:id="519"/>
      <w:bookmarkEnd w:id="520"/>
      <w:bookmarkEnd w:id="521"/>
    </w:p>
    <w:p w:rsidR="00C861DA" w:rsidRDefault="0044752E">
      <w:pPr>
        <w:spacing w:line="360" w:lineRule="auto"/>
        <w:ind w:firstLineChars="200" w:firstLine="480"/>
        <w:jc w:val="both"/>
        <w:rPr>
          <w:rStyle w:val="afff5"/>
          <w:rFonts w:ascii="Times New Roman" w:eastAsia="宋体" w:hAnsi="Times New Roman" w:cs="Times New Roman"/>
          <w:color w:val="000000" w:themeColor="text1"/>
          <w:kern w:val="0"/>
          <w:sz w:val="24"/>
          <w:szCs w:val="24"/>
          <w:u w:val="none"/>
        </w:rPr>
      </w:pPr>
      <w:r>
        <w:rPr>
          <w:rStyle w:val="afff5"/>
          <w:rFonts w:ascii="Times New Roman" w:eastAsia="宋体" w:hAnsi="Times New Roman" w:cs="Times New Roman"/>
          <w:color w:val="000000" w:themeColor="text1"/>
          <w:kern w:val="0"/>
          <w:sz w:val="24"/>
          <w:szCs w:val="24"/>
          <w:u w:val="none"/>
        </w:rPr>
        <w:t>固体废物对环境的影响主要是由于固体废物的堆存及处置方式不当，造成占用土地，破坏景观，污染环境空气、污染土壤、污染地表水、地下水等。因此，固体废物需经妥善处置，才可以减少对环境的影响。</w:t>
      </w:r>
    </w:p>
    <w:p w:rsidR="00C861DA" w:rsidRDefault="0044752E">
      <w:pPr>
        <w:spacing w:line="360" w:lineRule="auto"/>
        <w:ind w:firstLineChars="200" w:firstLine="480"/>
        <w:jc w:val="both"/>
        <w:rPr>
          <w:rStyle w:val="afff5"/>
          <w:rFonts w:ascii="Times New Roman" w:eastAsia="宋体" w:hAnsi="Times New Roman" w:cs="Times New Roman"/>
          <w:color w:val="000000" w:themeColor="text1"/>
          <w:kern w:val="0"/>
          <w:sz w:val="24"/>
          <w:szCs w:val="24"/>
          <w:u w:val="none"/>
        </w:rPr>
      </w:pPr>
      <w:r>
        <w:rPr>
          <w:rStyle w:val="afff5"/>
          <w:rFonts w:ascii="Times New Roman" w:eastAsia="宋体" w:hAnsi="Times New Roman" w:cs="Times New Roman"/>
          <w:color w:val="000000" w:themeColor="text1"/>
          <w:kern w:val="0"/>
          <w:sz w:val="24"/>
          <w:szCs w:val="24"/>
          <w:u w:val="none"/>
        </w:rPr>
        <w:t>本项目产生的固体废弃物含有一般工业固废、危险废物、生活垃圾。其中危险废物的产生种类较多，产生量也不少。固体废物在综合利用或处置前，必须在厂内堆存一段时间。由于企业产生的固体废物成分复杂，分类收集、分类堆存及管理不当，均有可能对周围景观和环境空气产生一定影响，废物中的有害物质被雨水淋溶排入环境，污染周围地下水和土壤。为防止固体废弃物无序堆放，企业产生的固体废物应分类收集暂存并及时进行综合利用或处置。</w:t>
      </w:r>
    </w:p>
    <w:p w:rsidR="00C861DA" w:rsidRDefault="0044752E">
      <w:pPr>
        <w:pStyle w:val="32"/>
        <w:rPr>
          <w:rFonts w:ascii="Times New Roman" w:eastAsia="宋体"/>
          <w:bCs w:val="0"/>
          <w:color w:val="000000" w:themeColor="text1"/>
          <w:sz w:val="24"/>
          <w:szCs w:val="24"/>
        </w:rPr>
      </w:pPr>
      <w:bookmarkStart w:id="522" w:name="_Toc6826866"/>
      <w:bookmarkStart w:id="523" w:name="_Toc32431"/>
      <w:bookmarkStart w:id="524" w:name="_Toc17019"/>
      <w:bookmarkStart w:id="525" w:name="_Toc13950"/>
      <w:bookmarkStart w:id="526" w:name="_Toc32028"/>
      <w:r>
        <w:rPr>
          <w:rFonts w:ascii="Times New Roman" w:eastAsia="宋体"/>
          <w:bCs w:val="0"/>
          <w:color w:val="000000" w:themeColor="text1"/>
          <w:sz w:val="24"/>
          <w:szCs w:val="24"/>
        </w:rPr>
        <w:t>7.5.3</w:t>
      </w:r>
      <w:r>
        <w:rPr>
          <w:rFonts w:ascii="Times New Roman" w:eastAsia="宋体"/>
          <w:bCs w:val="0"/>
          <w:color w:val="000000" w:themeColor="text1"/>
          <w:sz w:val="24"/>
          <w:szCs w:val="24"/>
        </w:rPr>
        <w:t>固体废物的处置</w:t>
      </w:r>
      <w:bookmarkEnd w:id="522"/>
      <w:bookmarkEnd w:id="523"/>
      <w:bookmarkEnd w:id="524"/>
      <w:bookmarkEnd w:id="525"/>
      <w:bookmarkEnd w:id="526"/>
    </w:p>
    <w:p w:rsidR="00C861DA" w:rsidRDefault="0044752E">
      <w:pPr>
        <w:spacing w:line="360" w:lineRule="auto"/>
        <w:ind w:firstLineChars="200" w:firstLine="480"/>
        <w:rPr>
          <w:rStyle w:val="afff5"/>
          <w:rFonts w:ascii="Times New Roman" w:eastAsia="宋体" w:hAnsi="Times New Roman" w:cs="Times New Roman"/>
          <w:color w:val="000000" w:themeColor="text1"/>
          <w:sz w:val="24"/>
          <w:szCs w:val="24"/>
          <w:u w:val="none"/>
        </w:rPr>
      </w:pPr>
      <w:r>
        <w:rPr>
          <w:rFonts w:ascii="Times New Roman" w:eastAsia="宋体" w:hAnsi="Times New Roman" w:cs="Times New Roman"/>
          <w:color w:val="000000" w:themeColor="text1"/>
          <w:sz w:val="24"/>
          <w:szCs w:val="22"/>
        </w:rPr>
        <w:t>（</w:t>
      </w:r>
      <w:r>
        <w:rPr>
          <w:rFonts w:ascii="Times New Roman" w:eastAsia="宋体" w:hAnsi="Times New Roman" w:cs="Times New Roman"/>
          <w:color w:val="000000" w:themeColor="text1"/>
          <w:sz w:val="24"/>
          <w:szCs w:val="22"/>
        </w:rPr>
        <w:t>1</w:t>
      </w:r>
      <w:r>
        <w:rPr>
          <w:rFonts w:ascii="Times New Roman" w:eastAsia="宋体" w:hAnsi="Times New Roman" w:cs="Times New Roman"/>
          <w:color w:val="000000" w:themeColor="text1"/>
          <w:sz w:val="24"/>
          <w:szCs w:val="22"/>
        </w:rPr>
        <w:t>）</w:t>
      </w:r>
      <w:r>
        <w:rPr>
          <w:rStyle w:val="afff5"/>
          <w:rFonts w:ascii="Times New Roman" w:eastAsia="宋体" w:hAnsi="Times New Roman" w:cs="Times New Roman"/>
          <w:color w:val="000000" w:themeColor="text1"/>
          <w:sz w:val="24"/>
          <w:szCs w:val="24"/>
          <w:u w:val="none"/>
        </w:rPr>
        <w:t>一般工业固体废物</w:t>
      </w:r>
    </w:p>
    <w:p w:rsidR="00C861DA" w:rsidRDefault="0044752E">
      <w:pPr>
        <w:spacing w:line="360" w:lineRule="auto"/>
        <w:ind w:firstLineChars="200" w:firstLine="480"/>
        <w:rPr>
          <w:rStyle w:val="afff5"/>
          <w:rFonts w:ascii="Times New Roman" w:eastAsia="宋体" w:hAnsi="Times New Roman" w:cs="Times New Roman"/>
          <w:color w:val="000000" w:themeColor="text1"/>
          <w:sz w:val="24"/>
          <w:szCs w:val="24"/>
          <w:u w:val="none"/>
        </w:rPr>
      </w:pPr>
      <w:r>
        <w:rPr>
          <w:rStyle w:val="afff5"/>
          <w:rFonts w:ascii="Times New Roman" w:eastAsia="宋体" w:hAnsi="Times New Roman" w:cs="Times New Roman"/>
          <w:color w:val="000000" w:themeColor="text1"/>
          <w:sz w:val="24"/>
          <w:szCs w:val="24"/>
          <w:u w:val="none"/>
        </w:rPr>
        <w:t>本项目产生的一般工业固体废物主要</w:t>
      </w:r>
      <w:r>
        <w:rPr>
          <w:rStyle w:val="afff5"/>
          <w:rFonts w:ascii="Times New Roman" w:eastAsia="宋体" w:hAnsi="Times New Roman" w:cs="Times New Roman" w:hint="eastAsia"/>
          <w:color w:val="000000" w:themeColor="text1"/>
          <w:sz w:val="24"/>
          <w:szCs w:val="24"/>
          <w:u w:val="none"/>
        </w:rPr>
        <w:t>为布袋除尘器的收尘，成分为本项目化肥造粒原料，均可用回用于生产，由建设方定期收集后混入原料，不外排。</w:t>
      </w:r>
    </w:p>
    <w:p w:rsidR="00C861DA" w:rsidRDefault="0044752E">
      <w:pPr>
        <w:spacing w:line="360" w:lineRule="auto"/>
        <w:ind w:firstLineChars="200" w:firstLine="480"/>
        <w:rPr>
          <w:rFonts w:ascii="Times New Roman" w:eastAsia="宋体" w:hAnsi="Times New Roman" w:cs="Times New Roman"/>
          <w:color w:val="000000" w:themeColor="text1"/>
          <w:sz w:val="24"/>
          <w:szCs w:val="22"/>
        </w:rPr>
      </w:pPr>
      <w:r>
        <w:rPr>
          <w:rFonts w:ascii="Times New Roman" w:eastAsia="宋体" w:hAnsi="Times New Roman" w:cs="Times New Roman"/>
          <w:color w:val="000000" w:themeColor="text1"/>
          <w:sz w:val="24"/>
          <w:szCs w:val="22"/>
        </w:rPr>
        <w:t>（</w:t>
      </w:r>
      <w:r>
        <w:rPr>
          <w:rFonts w:ascii="Times New Roman" w:eastAsia="宋体" w:hAnsi="Times New Roman" w:cs="Times New Roman"/>
          <w:color w:val="000000" w:themeColor="text1"/>
          <w:sz w:val="24"/>
          <w:szCs w:val="22"/>
        </w:rPr>
        <w:t>2</w:t>
      </w:r>
      <w:r>
        <w:rPr>
          <w:rFonts w:ascii="Times New Roman" w:eastAsia="宋体" w:hAnsi="Times New Roman" w:cs="Times New Roman"/>
          <w:color w:val="000000" w:themeColor="text1"/>
          <w:sz w:val="24"/>
          <w:szCs w:val="22"/>
        </w:rPr>
        <w:t>）危险废物</w:t>
      </w:r>
    </w:p>
    <w:p w:rsidR="00C861DA" w:rsidRDefault="0044752E">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本项目产生的危险废物主要为</w:t>
      </w:r>
      <w:r>
        <w:rPr>
          <w:rFonts w:ascii="Times New Roman" w:eastAsia="宋体" w:hAnsi="Times New Roman" w:cs="Times New Roman" w:hint="eastAsia"/>
          <w:color w:val="000000" w:themeColor="text1"/>
          <w:sz w:val="24"/>
          <w:szCs w:val="24"/>
        </w:rPr>
        <w:t>废弃催化剂，根据《国家危险废物名录》（</w:t>
      </w:r>
      <w:r>
        <w:rPr>
          <w:rFonts w:ascii="Times New Roman" w:eastAsia="宋体" w:hAnsi="Times New Roman" w:cs="Times New Roman" w:hint="eastAsia"/>
          <w:color w:val="000000" w:themeColor="text1"/>
          <w:sz w:val="24"/>
          <w:szCs w:val="24"/>
        </w:rPr>
        <w:t>2</w:t>
      </w:r>
      <w:r>
        <w:rPr>
          <w:rFonts w:ascii="Times New Roman" w:eastAsia="宋体" w:hAnsi="Times New Roman" w:cs="Times New Roman"/>
          <w:color w:val="000000" w:themeColor="text1"/>
          <w:sz w:val="24"/>
          <w:szCs w:val="24"/>
        </w:rPr>
        <w:t>016</w:t>
      </w:r>
      <w:r>
        <w:rPr>
          <w:rFonts w:ascii="Times New Roman" w:eastAsia="宋体" w:hAnsi="Times New Roman" w:cs="Times New Roman" w:hint="eastAsia"/>
          <w:color w:val="000000" w:themeColor="text1"/>
          <w:sz w:val="24"/>
          <w:szCs w:val="24"/>
        </w:rPr>
        <w:t>版），此部分为危险废物，归入</w:t>
      </w:r>
      <w:r>
        <w:rPr>
          <w:rFonts w:ascii="Times New Roman" w:eastAsia="宋体" w:hAnsi="Times New Roman" w:cs="Times New Roman" w:hint="eastAsia"/>
          <w:color w:val="000000" w:themeColor="text1"/>
          <w:sz w:val="24"/>
          <w:szCs w:val="24"/>
        </w:rPr>
        <w:t>HW</w:t>
      </w:r>
      <w:r>
        <w:rPr>
          <w:rFonts w:ascii="Times New Roman" w:eastAsia="宋体" w:hAnsi="Times New Roman" w:cs="Times New Roman"/>
          <w:color w:val="000000" w:themeColor="text1"/>
          <w:sz w:val="24"/>
          <w:szCs w:val="24"/>
        </w:rPr>
        <w:t>50</w:t>
      </w:r>
      <w:r>
        <w:rPr>
          <w:rFonts w:ascii="Times New Roman" w:eastAsia="宋体" w:hAnsi="Times New Roman" w:cs="Times New Roman" w:hint="eastAsia"/>
          <w:color w:val="000000" w:themeColor="text1"/>
          <w:sz w:val="24"/>
          <w:szCs w:val="24"/>
        </w:rPr>
        <w:t>废弃催化剂，本项目使用的催化剂寿命一般为</w:t>
      </w:r>
      <w:r>
        <w:rPr>
          <w:rFonts w:ascii="Times New Roman" w:eastAsia="宋体" w:hAnsi="Times New Roman" w:cs="Times New Roman" w:hint="eastAsia"/>
          <w:color w:val="000000" w:themeColor="text1"/>
          <w:sz w:val="24"/>
          <w:szCs w:val="24"/>
        </w:rPr>
        <w:t>1</w:t>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3</w:t>
      </w:r>
      <w:r>
        <w:rPr>
          <w:rFonts w:ascii="Times New Roman" w:eastAsia="宋体" w:hAnsi="Times New Roman" w:cs="Times New Roman" w:hint="eastAsia"/>
          <w:color w:val="000000" w:themeColor="text1"/>
          <w:sz w:val="24"/>
          <w:szCs w:val="24"/>
        </w:rPr>
        <w:t>年，到期后由生产厂家更换并带走处置废弃催化剂，故本项目不对废弃催化剂进行处置。仅处置少量检修时产生的含油抹布和油桶，均暂存在“</w:t>
      </w:r>
      <w:r>
        <w:rPr>
          <w:rFonts w:ascii="Times New Roman" w:eastAsia="宋体" w:hAnsi="Times New Roman" w:cs="Times New Roman" w:hint="eastAsia"/>
          <w:color w:val="000000" w:themeColor="text1"/>
          <w:sz w:val="24"/>
          <w:szCs w:val="24"/>
        </w:rPr>
        <w:t>3</w:t>
      </w:r>
      <w:r>
        <w:rPr>
          <w:rFonts w:ascii="Times New Roman" w:eastAsia="宋体" w:hAnsi="Times New Roman" w:cs="Times New Roman"/>
          <w:color w:val="000000" w:themeColor="text1"/>
          <w:sz w:val="24"/>
          <w:szCs w:val="24"/>
        </w:rPr>
        <w:t>0</w:t>
      </w:r>
      <w:r>
        <w:rPr>
          <w:rFonts w:ascii="Times New Roman" w:eastAsia="宋体" w:hAnsi="Times New Roman" w:cs="Times New Roman" w:hint="eastAsia"/>
          <w:color w:val="000000" w:themeColor="text1"/>
          <w:sz w:val="24"/>
          <w:szCs w:val="24"/>
        </w:rPr>
        <w:t>万吨合成氨装置项目”危废暂存间，由祥丰石化有限公司统一处置。</w:t>
      </w:r>
    </w:p>
    <w:p w:rsidR="00C861DA" w:rsidRDefault="0044752E">
      <w:pPr>
        <w:spacing w:line="360" w:lineRule="auto"/>
        <w:ind w:firstLineChars="200" w:firstLine="480"/>
        <w:rPr>
          <w:rFonts w:ascii="Times New Roman" w:eastAsia="宋体" w:hAnsi="Times New Roman" w:cs="Times New Roman"/>
          <w:color w:val="000000" w:themeColor="text1"/>
          <w:sz w:val="24"/>
          <w:szCs w:val="22"/>
        </w:rPr>
      </w:pPr>
      <w:r>
        <w:rPr>
          <w:rFonts w:ascii="Times New Roman" w:eastAsia="宋体" w:hAnsi="Times New Roman" w:cs="Times New Roman"/>
          <w:color w:val="000000" w:themeColor="text1"/>
          <w:sz w:val="24"/>
          <w:szCs w:val="22"/>
        </w:rPr>
        <w:t>本项目所产生的危险废物定期交由有资质的危险废物处置单位运输处置，危废转移严格按照《危险废物收集</w:t>
      </w:r>
      <w:r>
        <w:rPr>
          <w:rFonts w:ascii="Times New Roman" w:eastAsia="宋体" w:hAnsi="Times New Roman" w:cs="Times New Roman"/>
          <w:color w:val="000000" w:themeColor="text1"/>
          <w:sz w:val="24"/>
          <w:szCs w:val="22"/>
        </w:rPr>
        <w:t xml:space="preserve"> </w:t>
      </w:r>
      <w:r>
        <w:rPr>
          <w:rFonts w:ascii="Times New Roman" w:eastAsia="宋体" w:hAnsi="Times New Roman" w:cs="Times New Roman"/>
          <w:color w:val="000000" w:themeColor="text1"/>
          <w:sz w:val="24"/>
          <w:szCs w:val="22"/>
        </w:rPr>
        <w:t>贮存</w:t>
      </w:r>
      <w:r>
        <w:rPr>
          <w:rFonts w:ascii="Times New Roman" w:eastAsia="宋体" w:hAnsi="Times New Roman" w:cs="Times New Roman"/>
          <w:color w:val="000000" w:themeColor="text1"/>
          <w:sz w:val="24"/>
          <w:szCs w:val="22"/>
        </w:rPr>
        <w:t xml:space="preserve"> </w:t>
      </w:r>
      <w:r>
        <w:rPr>
          <w:rFonts w:ascii="Times New Roman" w:eastAsia="宋体" w:hAnsi="Times New Roman" w:cs="Times New Roman"/>
          <w:color w:val="000000" w:themeColor="text1"/>
          <w:sz w:val="24"/>
          <w:szCs w:val="22"/>
        </w:rPr>
        <w:t>运输技术规范》（</w:t>
      </w:r>
      <w:r>
        <w:rPr>
          <w:rFonts w:ascii="Times New Roman" w:eastAsia="宋体" w:hAnsi="Times New Roman" w:cs="Times New Roman"/>
          <w:color w:val="000000" w:themeColor="text1"/>
          <w:sz w:val="24"/>
          <w:szCs w:val="22"/>
        </w:rPr>
        <w:t>HJ2025-2012</w:t>
      </w:r>
      <w:r>
        <w:rPr>
          <w:rFonts w:ascii="Times New Roman" w:eastAsia="宋体" w:hAnsi="Times New Roman" w:cs="Times New Roman"/>
          <w:color w:val="000000" w:themeColor="text1"/>
          <w:sz w:val="24"/>
          <w:szCs w:val="22"/>
        </w:rPr>
        <w:t>）和《危险废物转移联单管理办法》的要求进行，危险废物产生单位在转移危险废物前，须制定好危险废物转移运输途中的污染防范及事故应急措施，按照国家有关规定报批危险废物转移计划；经批准后，产生单位应当向移出地环境保护行政主管部门申请领取联单，并办理相关转移运输手续。</w:t>
      </w:r>
    </w:p>
    <w:p w:rsidR="00C861DA" w:rsidRDefault="0044752E">
      <w:pPr>
        <w:spacing w:line="360" w:lineRule="auto"/>
        <w:ind w:firstLineChars="200" w:firstLine="480"/>
        <w:rPr>
          <w:rFonts w:ascii="Times New Roman" w:eastAsia="宋体" w:hAnsi="Times New Roman" w:cs="Times New Roman"/>
          <w:color w:val="000000" w:themeColor="text1"/>
          <w:sz w:val="24"/>
          <w:szCs w:val="22"/>
        </w:rPr>
      </w:pPr>
      <w:r>
        <w:rPr>
          <w:rFonts w:ascii="Times New Roman" w:eastAsia="宋体" w:hAnsi="Times New Roman" w:cs="Times New Roman"/>
          <w:color w:val="000000" w:themeColor="text1"/>
          <w:sz w:val="24"/>
          <w:szCs w:val="22"/>
        </w:rPr>
        <w:t>通过严格的管理和分类，产生的固体废物可得到妥善的处置，则对环境造成的影响较小。</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）废弃的含油抹布全过程不按危</w:t>
      </w:r>
      <w:r>
        <w:rPr>
          <w:rFonts w:ascii="Times New Roman" w:eastAsia="宋体" w:hAnsi="Times New Roman" w:cs="Times New Roman"/>
          <w:color w:val="000000" w:themeColor="text1"/>
          <w:sz w:val="24"/>
          <w:szCs w:val="24"/>
        </w:rPr>
        <w:t>险废物管理，可混入生活垃圾，集中收集后，由环卫部门清运处置。</w:t>
      </w:r>
    </w:p>
    <w:p w:rsidR="00C861DA" w:rsidRDefault="0044752E">
      <w:pPr>
        <w:spacing w:line="360" w:lineRule="auto"/>
        <w:ind w:firstLineChars="200" w:firstLine="480"/>
        <w:rPr>
          <w:rStyle w:val="afff5"/>
          <w:rFonts w:ascii="Times New Roman" w:eastAsia="宋体" w:hAnsi="Times New Roman" w:cs="Times New Roman"/>
          <w:color w:val="000000" w:themeColor="text1"/>
          <w:sz w:val="24"/>
          <w:szCs w:val="24"/>
          <w:u w:val="none"/>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w:t>
      </w:r>
      <w:bookmarkStart w:id="527" w:name="_Toc5645"/>
      <w:bookmarkStart w:id="528" w:name="_Toc19619"/>
      <w:bookmarkStart w:id="529" w:name="_Toc7097"/>
      <w:bookmarkStart w:id="530" w:name="_Toc27872"/>
      <w:r>
        <w:rPr>
          <w:rStyle w:val="afff5"/>
          <w:rFonts w:ascii="Times New Roman" w:eastAsia="宋体" w:hAnsi="Times New Roman" w:cs="Times New Roman"/>
          <w:color w:val="000000" w:themeColor="text1"/>
          <w:sz w:val="24"/>
          <w:szCs w:val="24"/>
          <w:u w:val="none"/>
        </w:rPr>
        <w:t>其它固体废物</w:t>
      </w:r>
    </w:p>
    <w:p w:rsidR="00C861DA" w:rsidRDefault="0044752E">
      <w:pPr>
        <w:spacing w:line="360" w:lineRule="auto"/>
        <w:ind w:firstLineChars="200" w:firstLine="480"/>
        <w:rPr>
          <w:rStyle w:val="afff5"/>
          <w:rFonts w:ascii="Times New Roman" w:eastAsia="宋体" w:hAnsi="Times New Roman" w:cs="Times New Roman"/>
          <w:color w:val="000000" w:themeColor="text1"/>
          <w:sz w:val="24"/>
          <w:szCs w:val="24"/>
        </w:rPr>
      </w:pPr>
      <w:r>
        <w:rPr>
          <w:rStyle w:val="afff5"/>
          <w:rFonts w:ascii="Times New Roman" w:eastAsia="宋体" w:hAnsi="Times New Roman" w:cs="Times New Roman"/>
          <w:color w:val="000000" w:themeColor="text1"/>
          <w:sz w:val="24"/>
          <w:szCs w:val="24"/>
          <w:u w:val="none"/>
        </w:rPr>
        <w:t>生活垃圾由办公区和生产区设置的生活垃圾收集桶收集，由环卫部门垃圾清运车每天进行清运。化粪池污泥定期清掏，不在厂区暂存。食堂油渣暂存于餐厨垃圾桶，定期交由指定单位处理。做到及时清运，对环境影响不大。</w:t>
      </w:r>
    </w:p>
    <w:p w:rsidR="00C861DA" w:rsidRDefault="0044752E">
      <w:pPr>
        <w:pStyle w:val="32"/>
        <w:rPr>
          <w:rFonts w:ascii="Times New Roman" w:eastAsia="宋体"/>
          <w:bCs w:val="0"/>
          <w:color w:val="000000" w:themeColor="text1"/>
          <w:sz w:val="24"/>
          <w:szCs w:val="24"/>
        </w:rPr>
      </w:pPr>
      <w:hyperlink w:anchor="_Toc512505494" w:history="1">
        <w:bookmarkStart w:id="531" w:name="_Toc6826867"/>
        <w:r>
          <w:rPr>
            <w:rFonts w:ascii="Times New Roman" w:eastAsia="宋体"/>
            <w:bCs w:val="0"/>
            <w:color w:val="000000" w:themeColor="text1"/>
            <w:sz w:val="24"/>
            <w:szCs w:val="24"/>
          </w:rPr>
          <w:t>7.5.4</w:t>
        </w:r>
        <w:r>
          <w:rPr>
            <w:rFonts w:ascii="Times New Roman" w:eastAsia="宋体"/>
            <w:bCs w:val="0"/>
            <w:color w:val="000000" w:themeColor="text1"/>
            <w:sz w:val="24"/>
            <w:szCs w:val="24"/>
          </w:rPr>
          <w:t>小结</w:t>
        </w:r>
        <w:bookmarkEnd w:id="531"/>
      </w:hyperlink>
      <w:bookmarkEnd w:id="527"/>
      <w:bookmarkEnd w:id="528"/>
      <w:bookmarkEnd w:id="529"/>
      <w:bookmarkEnd w:id="530"/>
    </w:p>
    <w:p w:rsidR="00C861DA" w:rsidRDefault="0044752E">
      <w:pPr>
        <w:spacing w:line="360" w:lineRule="auto"/>
        <w:ind w:firstLineChars="200" w:firstLine="480"/>
        <w:rPr>
          <w:rFonts w:ascii="Times New Roman" w:eastAsia="宋体" w:hAnsi="Times New Roman" w:cs="Times New Roman"/>
          <w:b/>
          <w:color w:val="000000" w:themeColor="text1"/>
          <w:sz w:val="24"/>
          <w:szCs w:val="24"/>
        </w:rPr>
      </w:pPr>
      <w:r>
        <w:rPr>
          <w:rFonts w:ascii="Times New Roman" w:eastAsia="宋体" w:hAnsi="Times New Roman" w:cs="Times New Roman"/>
          <w:color w:val="000000" w:themeColor="text1"/>
          <w:sz w:val="24"/>
        </w:rPr>
        <w:t>本项目固体废物的收集、贮存和处置严格按照《一般工业固体废物贮存、处置场污染控制标准》（</w:t>
      </w:r>
      <w:r>
        <w:rPr>
          <w:rFonts w:ascii="Times New Roman" w:eastAsia="宋体" w:hAnsi="Times New Roman" w:cs="Times New Roman"/>
          <w:color w:val="000000" w:themeColor="text1"/>
          <w:sz w:val="24"/>
        </w:rPr>
        <w:t>GBl8599-2001</w:t>
      </w:r>
      <w:r>
        <w:rPr>
          <w:rFonts w:ascii="Times New Roman" w:eastAsia="宋体" w:hAnsi="Times New Roman" w:cs="Times New Roman"/>
          <w:color w:val="000000" w:themeColor="text1"/>
          <w:sz w:val="24"/>
        </w:rPr>
        <w:t>）及其修改单标准、《危险废物贮存污染控制标准》（</w:t>
      </w:r>
      <w:r>
        <w:rPr>
          <w:rFonts w:ascii="Times New Roman" w:eastAsia="宋体" w:hAnsi="Times New Roman" w:cs="Times New Roman"/>
          <w:color w:val="000000" w:themeColor="text1"/>
          <w:sz w:val="24"/>
        </w:rPr>
        <w:t>GB18597-2001</w:t>
      </w:r>
      <w:r>
        <w:rPr>
          <w:rFonts w:ascii="Times New Roman" w:eastAsia="宋体" w:hAnsi="Times New Roman" w:cs="Times New Roman"/>
          <w:color w:val="000000" w:themeColor="text1"/>
          <w:sz w:val="24"/>
        </w:rPr>
        <w:t>）及其修改单标准以及《危险废物收集</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贮存</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运输技术规范》（</w:t>
      </w:r>
      <w:r>
        <w:rPr>
          <w:rFonts w:ascii="Times New Roman" w:eastAsia="宋体" w:hAnsi="Times New Roman" w:cs="Times New Roman"/>
          <w:color w:val="000000" w:themeColor="text1"/>
          <w:sz w:val="24"/>
        </w:rPr>
        <w:t>HJ2025-2012</w:t>
      </w:r>
      <w:r>
        <w:rPr>
          <w:rFonts w:ascii="Times New Roman" w:eastAsia="宋体" w:hAnsi="Times New Roman" w:cs="Times New Roman"/>
          <w:color w:val="000000" w:themeColor="text1"/>
          <w:sz w:val="24"/>
        </w:rPr>
        <w:t>）等相关规范进行，在加强管理并落实好各项污染防治措施和安全处置措施的前提下，项目产生的固体废物对周围环境的影响较小。</w:t>
      </w:r>
    </w:p>
    <w:bookmarkStart w:id="532" w:name="_Toc28585"/>
    <w:bookmarkStart w:id="533" w:name="_Toc15780"/>
    <w:bookmarkStart w:id="534" w:name="_Toc15627"/>
    <w:bookmarkStart w:id="535" w:name="_Toc18038"/>
    <w:p w:rsidR="00C861DA" w:rsidRDefault="0044752E">
      <w:pPr>
        <w:pStyle w:val="22"/>
        <w:rPr>
          <w:rFonts w:ascii="Times New Roman" w:eastAsia="宋体" w:hAnsi="Times New Roman"/>
          <w:bCs w:val="0"/>
          <w:color w:val="000000" w:themeColor="text1"/>
          <w:sz w:val="28"/>
          <w:szCs w:val="28"/>
        </w:rPr>
      </w:pPr>
      <w:r>
        <w:rPr>
          <w:rFonts w:ascii="Times New Roman" w:eastAsia="宋体" w:hAnsi="Times New Roman"/>
          <w:bCs w:val="0"/>
          <w:color w:val="000000" w:themeColor="text1"/>
          <w:sz w:val="28"/>
          <w:szCs w:val="28"/>
        </w:rPr>
        <w:fldChar w:fldCharType="begin"/>
      </w:r>
      <w:r>
        <w:rPr>
          <w:rFonts w:ascii="Times New Roman" w:eastAsia="宋体" w:hAnsi="Times New Roman"/>
          <w:bCs w:val="0"/>
          <w:color w:val="000000" w:themeColor="text1"/>
          <w:sz w:val="28"/>
          <w:szCs w:val="28"/>
        </w:rPr>
        <w:instrText xml:space="preserve"> HYPERLINK \l "_Toc512505495" </w:instrText>
      </w:r>
      <w:r>
        <w:rPr>
          <w:rFonts w:ascii="Times New Roman" w:eastAsia="宋体" w:hAnsi="Times New Roman"/>
          <w:bCs w:val="0"/>
          <w:color w:val="000000" w:themeColor="text1"/>
          <w:sz w:val="28"/>
          <w:szCs w:val="28"/>
        </w:rPr>
        <w:fldChar w:fldCharType="separate"/>
      </w:r>
      <w:bookmarkStart w:id="536" w:name="_Toc6826868"/>
      <w:r>
        <w:rPr>
          <w:rFonts w:ascii="Times New Roman" w:eastAsia="宋体" w:hAnsi="Times New Roman"/>
          <w:bCs w:val="0"/>
          <w:color w:val="000000" w:themeColor="text1"/>
          <w:sz w:val="28"/>
          <w:szCs w:val="28"/>
        </w:rPr>
        <w:t>7.6</w:t>
      </w:r>
      <w:r>
        <w:rPr>
          <w:rFonts w:ascii="Times New Roman" w:eastAsia="宋体" w:hAnsi="Times New Roman"/>
          <w:bCs w:val="0"/>
          <w:color w:val="000000" w:themeColor="text1"/>
          <w:sz w:val="28"/>
          <w:szCs w:val="28"/>
        </w:rPr>
        <w:t>土壤环境影响分析</w:t>
      </w:r>
      <w:bookmarkEnd w:id="536"/>
      <w:r>
        <w:rPr>
          <w:rFonts w:ascii="Times New Roman" w:eastAsia="宋体" w:hAnsi="Times New Roman"/>
          <w:bCs w:val="0"/>
          <w:color w:val="000000" w:themeColor="text1"/>
          <w:sz w:val="28"/>
          <w:szCs w:val="28"/>
        </w:rPr>
        <w:fldChar w:fldCharType="end"/>
      </w:r>
      <w:bookmarkEnd w:id="532"/>
      <w:bookmarkEnd w:id="533"/>
      <w:bookmarkEnd w:id="534"/>
      <w:bookmarkEnd w:id="535"/>
    </w:p>
    <w:p w:rsidR="00C861DA" w:rsidRDefault="0044752E">
      <w:pPr>
        <w:spacing w:line="360" w:lineRule="auto"/>
        <w:ind w:firstLineChars="200" w:firstLine="480"/>
        <w:rPr>
          <w:rFonts w:ascii="Times New Roman" w:eastAsia="宋体" w:hAnsi="Times New Roman" w:cs="Times New Roman"/>
          <w:color w:val="000000" w:themeColor="text1"/>
          <w:sz w:val="24"/>
          <w:szCs w:val="22"/>
        </w:rPr>
      </w:pPr>
      <w:r>
        <w:rPr>
          <w:rFonts w:ascii="Times New Roman" w:eastAsia="宋体" w:hAnsi="Times New Roman" w:cs="Times New Roman"/>
          <w:color w:val="000000" w:themeColor="text1"/>
          <w:sz w:val="24"/>
          <w:szCs w:val="22"/>
        </w:rPr>
        <w:t>土壤污染是指人类活动所产生的物质（污染物），通过各种途径进入土壤，其数量和速度超过了土壤的容纳能力和净化速度的现象。土壤污染可使土壤的性质、组成及性状等发生变化，使污染物质的积累过程逐渐占据优势，破坏土壤的自然动态平衡，从而导致土壤自然正常功能失调，土壤质量恶化，影响作物的生长发育，以致造成产量和质量的下降，并可通过食物链危害生物和人类健康。</w:t>
      </w:r>
    </w:p>
    <w:p w:rsidR="00C861DA" w:rsidRDefault="0044752E">
      <w:pPr>
        <w:spacing w:line="360" w:lineRule="auto"/>
        <w:ind w:firstLineChars="200" w:firstLine="480"/>
        <w:rPr>
          <w:rFonts w:ascii="Times New Roman" w:eastAsia="宋体" w:hAnsi="Times New Roman" w:cs="Times New Roman"/>
          <w:color w:val="000000" w:themeColor="text1"/>
          <w:sz w:val="24"/>
          <w:szCs w:val="22"/>
        </w:rPr>
      </w:pPr>
      <w:r>
        <w:rPr>
          <w:rFonts w:ascii="Times New Roman" w:eastAsia="宋体" w:hAnsi="Times New Roman" w:cs="Times New Roman"/>
          <w:color w:val="000000" w:themeColor="text1"/>
          <w:sz w:val="24"/>
          <w:szCs w:val="22"/>
        </w:rPr>
        <w:t>污染物可以通过多种途径进入土壤，主要类型有以下三种：</w:t>
      </w:r>
    </w:p>
    <w:p w:rsidR="00C861DA" w:rsidRDefault="0044752E">
      <w:pPr>
        <w:spacing w:line="360" w:lineRule="auto"/>
        <w:ind w:firstLineChars="200" w:firstLine="480"/>
        <w:rPr>
          <w:rFonts w:ascii="Times New Roman" w:eastAsia="宋体" w:hAnsi="Times New Roman" w:cs="Times New Roman"/>
          <w:color w:val="000000" w:themeColor="text1"/>
          <w:sz w:val="24"/>
          <w:szCs w:val="22"/>
        </w:rPr>
      </w:pPr>
      <w:r>
        <w:rPr>
          <w:rFonts w:ascii="Times New Roman" w:eastAsia="宋体" w:hAnsi="Times New Roman" w:cs="Times New Roman"/>
          <w:color w:val="000000" w:themeColor="text1"/>
          <w:sz w:val="24"/>
          <w:szCs w:val="22"/>
        </w:rPr>
        <w:t>大气污染型：污染物来源于被污染的大气，主要集中在土壤表层，污染物降落到地表可引起土壤土质发生变化，破坏土壤肥力与</w:t>
      </w:r>
      <w:r>
        <w:rPr>
          <w:rFonts w:ascii="Times New Roman" w:eastAsia="宋体" w:hAnsi="Times New Roman" w:cs="Times New Roman"/>
          <w:color w:val="000000" w:themeColor="text1"/>
          <w:sz w:val="24"/>
          <w:szCs w:val="22"/>
        </w:rPr>
        <w:t>生态系统的平衡。</w:t>
      </w:r>
    </w:p>
    <w:p w:rsidR="00C861DA" w:rsidRDefault="0044752E">
      <w:pPr>
        <w:spacing w:line="360" w:lineRule="auto"/>
        <w:ind w:firstLineChars="200" w:firstLine="480"/>
        <w:rPr>
          <w:rFonts w:ascii="Times New Roman" w:eastAsia="宋体" w:hAnsi="Times New Roman" w:cs="Times New Roman"/>
          <w:color w:val="000000" w:themeColor="text1"/>
          <w:sz w:val="24"/>
          <w:szCs w:val="22"/>
        </w:rPr>
      </w:pPr>
      <w:r>
        <w:rPr>
          <w:rFonts w:ascii="Times New Roman" w:eastAsia="宋体" w:hAnsi="Times New Roman" w:cs="Times New Roman"/>
          <w:color w:val="000000" w:themeColor="text1"/>
          <w:sz w:val="24"/>
          <w:szCs w:val="22"/>
        </w:rPr>
        <w:t>水污染型：拟建项目产生的废水事故状态下直接排入外环境，致使土壤受到无机盐、有机物和病原体的污染。</w:t>
      </w:r>
    </w:p>
    <w:p w:rsidR="00C861DA" w:rsidRDefault="0044752E">
      <w:pPr>
        <w:spacing w:line="360" w:lineRule="auto"/>
        <w:ind w:firstLineChars="200" w:firstLine="480"/>
        <w:rPr>
          <w:rFonts w:ascii="Times New Roman" w:eastAsia="宋体" w:hAnsi="Times New Roman" w:cs="Times New Roman"/>
          <w:color w:val="000000" w:themeColor="text1"/>
          <w:sz w:val="24"/>
          <w:szCs w:val="22"/>
        </w:rPr>
      </w:pPr>
      <w:r>
        <w:rPr>
          <w:rFonts w:ascii="Times New Roman" w:eastAsia="宋体" w:hAnsi="Times New Roman" w:cs="Times New Roman"/>
          <w:color w:val="000000" w:themeColor="text1"/>
          <w:sz w:val="24"/>
          <w:szCs w:val="22"/>
        </w:rPr>
        <w:t>固体废物污染型：拟建项目污水处理产生的污泥、危废等在运输、堆放过程中散落、降水淋洗等直接或间接的影响土壤。</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本项目废水不外排，固体废弃物处置率</w:t>
      </w:r>
      <w:r>
        <w:rPr>
          <w:rFonts w:ascii="Times New Roman" w:eastAsia="宋体" w:hAnsi="Times New Roman" w:cs="Times New Roman"/>
          <w:color w:val="000000" w:themeColor="text1"/>
          <w:sz w:val="24"/>
        </w:rPr>
        <w:t>100%</w:t>
      </w:r>
      <w:r>
        <w:rPr>
          <w:rFonts w:ascii="Times New Roman" w:eastAsia="宋体" w:hAnsi="Times New Roman" w:cs="Times New Roman"/>
          <w:color w:val="000000" w:themeColor="text1"/>
          <w:sz w:val="24"/>
        </w:rPr>
        <w:t>，产生的大气污染物为氨，产生量较小，不会对土壤产生较大危害。</w:t>
      </w:r>
    </w:p>
    <w:p w:rsidR="00C861DA" w:rsidRDefault="0044752E">
      <w:pPr>
        <w:spacing w:line="360" w:lineRule="auto"/>
        <w:ind w:firstLineChars="200" w:firstLine="480"/>
        <w:rPr>
          <w:rFonts w:ascii="Times New Roman" w:eastAsia="宋体" w:hAnsi="Times New Roman" w:cs="Times New Roman"/>
          <w:color w:val="000000" w:themeColor="text1"/>
          <w:sz w:val="24"/>
          <w:szCs w:val="22"/>
        </w:rPr>
      </w:pPr>
      <w:r>
        <w:rPr>
          <w:rFonts w:ascii="Times New Roman" w:eastAsia="宋体" w:hAnsi="Times New Roman" w:cs="Times New Roman"/>
          <w:color w:val="000000" w:themeColor="text1"/>
          <w:sz w:val="24"/>
          <w:szCs w:val="22"/>
        </w:rPr>
        <w:t>综上，污染物进入土壤环境的机率较小，对土壤影响较小。</w:t>
      </w:r>
    </w:p>
    <w:bookmarkStart w:id="537" w:name="_Toc21965"/>
    <w:bookmarkStart w:id="538" w:name="_Toc14793"/>
    <w:bookmarkStart w:id="539" w:name="_Toc15453"/>
    <w:bookmarkStart w:id="540" w:name="_Toc32372"/>
    <w:p w:rsidR="00C861DA" w:rsidRDefault="0044752E">
      <w:pPr>
        <w:pStyle w:val="22"/>
        <w:rPr>
          <w:rFonts w:ascii="Times New Roman" w:eastAsia="宋体" w:hAnsi="Times New Roman"/>
          <w:bCs w:val="0"/>
          <w:color w:val="000000" w:themeColor="text1"/>
          <w:sz w:val="28"/>
          <w:szCs w:val="28"/>
        </w:rPr>
      </w:pPr>
      <w:r>
        <w:rPr>
          <w:rFonts w:ascii="Times New Roman" w:eastAsia="宋体" w:hAnsi="Times New Roman"/>
          <w:bCs w:val="0"/>
          <w:color w:val="000000" w:themeColor="text1"/>
          <w:sz w:val="28"/>
          <w:szCs w:val="28"/>
        </w:rPr>
        <w:fldChar w:fldCharType="begin"/>
      </w:r>
      <w:r>
        <w:rPr>
          <w:rFonts w:ascii="Times New Roman" w:eastAsia="宋体" w:hAnsi="Times New Roman"/>
          <w:bCs w:val="0"/>
          <w:color w:val="000000" w:themeColor="text1"/>
          <w:sz w:val="28"/>
          <w:szCs w:val="28"/>
        </w:rPr>
        <w:instrText xml:space="preserve"> HYPERLINK \l "_Toc512505495" </w:instrText>
      </w:r>
      <w:r>
        <w:rPr>
          <w:rFonts w:ascii="Times New Roman" w:eastAsia="宋体" w:hAnsi="Times New Roman"/>
          <w:bCs w:val="0"/>
          <w:color w:val="000000" w:themeColor="text1"/>
          <w:sz w:val="28"/>
          <w:szCs w:val="28"/>
        </w:rPr>
        <w:fldChar w:fldCharType="separate"/>
      </w:r>
      <w:bookmarkStart w:id="541" w:name="_Toc6826869"/>
      <w:r>
        <w:rPr>
          <w:rFonts w:ascii="Times New Roman" w:eastAsia="宋体" w:hAnsi="Times New Roman"/>
          <w:bCs w:val="0"/>
          <w:color w:val="000000" w:themeColor="text1"/>
          <w:sz w:val="28"/>
          <w:szCs w:val="28"/>
        </w:rPr>
        <w:t>7.7</w:t>
      </w:r>
      <w:r>
        <w:rPr>
          <w:rFonts w:ascii="Times New Roman" w:eastAsia="宋体" w:hAnsi="Times New Roman"/>
          <w:bCs w:val="0"/>
          <w:color w:val="000000" w:themeColor="text1"/>
          <w:sz w:val="28"/>
          <w:szCs w:val="28"/>
        </w:rPr>
        <w:t>生态环境影响分析</w:t>
      </w:r>
      <w:bookmarkEnd w:id="541"/>
      <w:r>
        <w:rPr>
          <w:rFonts w:ascii="Times New Roman" w:eastAsia="宋体" w:hAnsi="Times New Roman"/>
          <w:bCs w:val="0"/>
          <w:color w:val="000000" w:themeColor="text1"/>
          <w:sz w:val="28"/>
          <w:szCs w:val="28"/>
        </w:rPr>
        <w:fldChar w:fldCharType="end"/>
      </w:r>
      <w:bookmarkEnd w:id="537"/>
      <w:bookmarkEnd w:id="538"/>
      <w:bookmarkEnd w:id="539"/>
      <w:bookmarkEnd w:id="540"/>
    </w:p>
    <w:p w:rsidR="00C861DA" w:rsidRDefault="0044752E">
      <w:pPr>
        <w:spacing w:line="360" w:lineRule="auto"/>
        <w:ind w:firstLineChars="200" w:firstLine="480"/>
        <w:jc w:val="both"/>
        <w:rPr>
          <w:rFonts w:ascii="Times New Roman" w:eastAsia="宋体" w:hAnsi="Times New Roman" w:cs="Times New Roman"/>
          <w:color w:val="000000" w:themeColor="text1"/>
        </w:rPr>
      </w:pPr>
      <w:r>
        <w:rPr>
          <w:rFonts w:ascii="Times New Roman" w:eastAsia="宋体" w:hAnsi="Times New Roman" w:cs="Times New Roman"/>
          <w:color w:val="000000" w:themeColor="text1"/>
          <w:sz w:val="24"/>
          <w:szCs w:val="22"/>
        </w:rPr>
        <w:t>本项目对生态环境的影响主要存在于施工期，项目建成后厂区内均为建筑物、道路和绿地所覆盖，因施工造成的水土流失将有效得到控制。厂区内的建筑物、道路和绿化建设完成后，施工造成的景观影响得以消除，厂区内干净、整洁的环境与周边的景观环境相协调，不会对景观造成影响。随着项目区内绿化的建设，将会改善区域植被覆盖率，但应注意在项目绿化过程中应优先选择乡土物种，不得引进外来物种，以免物种入侵情况的发生。项目运营期对生态环境的影响微小</w:t>
      </w:r>
    </w:p>
    <w:p w:rsidR="00C861DA" w:rsidRDefault="00C861DA">
      <w:pPr>
        <w:ind w:leftChars="50" w:left="105" w:rightChars="50" w:right="105"/>
        <w:rPr>
          <w:color w:val="000000" w:themeColor="text1"/>
        </w:rPr>
      </w:pPr>
    </w:p>
    <w:p w:rsidR="00C861DA" w:rsidRDefault="00C861DA">
      <w:pPr>
        <w:pStyle w:val="21"/>
        <w:rPr>
          <w:color w:val="000000" w:themeColor="text1"/>
        </w:rPr>
      </w:pPr>
    </w:p>
    <w:p w:rsidR="00C861DA" w:rsidRDefault="00C861DA">
      <w:pPr>
        <w:pStyle w:val="21"/>
        <w:rPr>
          <w:color w:val="000000" w:themeColor="text1"/>
        </w:rPr>
        <w:sectPr w:rsidR="00C861DA">
          <w:pgSz w:w="11906" w:h="16838"/>
          <w:pgMar w:top="1440" w:right="1800" w:bottom="1440" w:left="1800" w:header="851" w:footer="992" w:gutter="0"/>
          <w:cols w:space="425"/>
          <w:docGrid w:type="lines" w:linePitch="312"/>
        </w:sectPr>
      </w:pPr>
    </w:p>
    <w:p w:rsidR="00C861DA" w:rsidRDefault="0044752E">
      <w:pPr>
        <w:pStyle w:val="12"/>
        <w:jc w:val="center"/>
        <w:rPr>
          <w:rFonts w:ascii="Times New Roman" w:eastAsia="宋体"/>
          <w:b/>
          <w:color w:val="000000" w:themeColor="text1"/>
          <w:sz w:val="28"/>
          <w:szCs w:val="24"/>
        </w:rPr>
      </w:pPr>
      <w:bookmarkStart w:id="542" w:name="_Toc8261"/>
      <w:bookmarkStart w:id="543" w:name="_Toc22749"/>
      <w:bookmarkStart w:id="544" w:name="_Toc6704"/>
      <w:bookmarkStart w:id="545" w:name="_Toc12750"/>
      <w:bookmarkStart w:id="546" w:name="_Toc6826870"/>
      <w:r>
        <w:rPr>
          <w:rFonts w:ascii="Times New Roman" w:eastAsia="宋体"/>
          <w:b/>
          <w:color w:val="000000" w:themeColor="text1"/>
          <w:sz w:val="28"/>
          <w:szCs w:val="24"/>
        </w:rPr>
        <w:t>8</w:t>
      </w:r>
      <w:r>
        <w:rPr>
          <w:rFonts w:ascii="Times New Roman" w:eastAsia="宋体" w:hint="eastAsia"/>
          <w:b/>
          <w:color w:val="000000" w:themeColor="text1"/>
          <w:sz w:val="28"/>
          <w:szCs w:val="24"/>
        </w:rPr>
        <w:t>、</w:t>
      </w:r>
      <w:r>
        <w:rPr>
          <w:rFonts w:ascii="Times New Roman" w:eastAsia="宋体"/>
          <w:b/>
          <w:color w:val="000000" w:themeColor="text1"/>
          <w:sz w:val="28"/>
          <w:szCs w:val="24"/>
        </w:rPr>
        <w:t>环境风险评价</w:t>
      </w:r>
      <w:bookmarkEnd w:id="542"/>
      <w:bookmarkEnd w:id="543"/>
      <w:bookmarkEnd w:id="544"/>
      <w:bookmarkEnd w:id="545"/>
      <w:bookmarkEnd w:id="546"/>
    </w:p>
    <w:p w:rsidR="00C861DA" w:rsidRDefault="0044752E">
      <w:pPr>
        <w:pStyle w:val="22"/>
        <w:rPr>
          <w:rFonts w:ascii="Times New Roman" w:eastAsia="宋体" w:hAnsi="Times New Roman"/>
          <w:bCs w:val="0"/>
          <w:color w:val="000000" w:themeColor="text1"/>
          <w:sz w:val="28"/>
          <w:szCs w:val="28"/>
        </w:rPr>
      </w:pPr>
      <w:bookmarkStart w:id="547" w:name="_Toc331581641"/>
      <w:bookmarkStart w:id="548" w:name="_Toc6826871"/>
      <w:r>
        <w:rPr>
          <w:rFonts w:ascii="Times New Roman" w:eastAsia="宋体" w:hAnsi="Times New Roman"/>
          <w:bCs w:val="0"/>
          <w:color w:val="000000" w:themeColor="text1"/>
          <w:sz w:val="28"/>
          <w:szCs w:val="28"/>
        </w:rPr>
        <w:t>8.1</w:t>
      </w:r>
      <w:r>
        <w:rPr>
          <w:rFonts w:ascii="Times New Roman" w:eastAsia="宋体" w:hAnsi="Times New Roman" w:hint="eastAsia"/>
          <w:bCs w:val="0"/>
          <w:color w:val="000000" w:themeColor="text1"/>
          <w:sz w:val="28"/>
          <w:szCs w:val="28"/>
        </w:rPr>
        <w:t>、</w:t>
      </w:r>
      <w:r>
        <w:rPr>
          <w:rFonts w:ascii="Times New Roman" w:eastAsia="宋体" w:hAnsi="Times New Roman"/>
          <w:bCs w:val="0"/>
          <w:color w:val="000000" w:themeColor="text1"/>
          <w:sz w:val="28"/>
          <w:szCs w:val="28"/>
        </w:rPr>
        <w:t>风险识别</w:t>
      </w:r>
      <w:bookmarkEnd w:id="547"/>
      <w:bookmarkEnd w:id="548"/>
    </w:p>
    <w:p w:rsidR="00C861DA" w:rsidRDefault="0044752E">
      <w:pPr>
        <w:pStyle w:val="32"/>
        <w:rPr>
          <w:rFonts w:ascii="Times New Roman" w:eastAsia="宋体"/>
          <w:bCs w:val="0"/>
          <w:color w:val="000000" w:themeColor="text1"/>
          <w:sz w:val="24"/>
          <w:szCs w:val="24"/>
        </w:rPr>
      </w:pPr>
      <w:bookmarkStart w:id="549" w:name="_Toc331581642"/>
      <w:bookmarkStart w:id="550" w:name="_Toc6826872"/>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.1.1</w:t>
      </w:r>
      <w:r>
        <w:rPr>
          <w:rFonts w:ascii="Times New Roman" w:eastAsia="宋体"/>
          <w:bCs w:val="0"/>
          <w:color w:val="000000" w:themeColor="text1"/>
          <w:sz w:val="24"/>
          <w:szCs w:val="24"/>
        </w:rPr>
        <w:t>物质风险性识别</w:t>
      </w:r>
      <w:bookmarkEnd w:id="549"/>
      <w:bookmarkEnd w:id="550"/>
    </w:p>
    <w:p w:rsidR="00C861DA" w:rsidRDefault="0044752E">
      <w:pPr>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本项目主要原辅料为</w:t>
      </w:r>
      <w:r>
        <w:rPr>
          <w:rFonts w:ascii="Times New Roman" w:eastAsia="宋体" w:hAnsi="Times New Roman" w:cs="Times New Roman" w:hint="eastAsia"/>
          <w:color w:val="000000" w:themeColor="text1"/>
          <w:kern w:val="0"/>
          <w:sz w:val="24"/>
          <w:szCs w:val="24"/>
        </w:rPr>
        <w:t>液氨、磷酸一铵、硫酸钾、</w:t>
      </w:r>
      <w:r>
        <w:rPr>
          <w:rFonts w:ascii="Times New Roman" w:eastAsia="宋体" w:hAnsi="Times New Roman" w:cs="Times New Roman" w:hint="eastAsia"/>
          <w:color w:val="000000" w:themeColor="text1"/>
          <w:kern w:val="0"/>
          <w:sz w:val="24"/>
          <w:szCs w:val="24"/>
        </w:rPr>
        <w:t>CO</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hint="eastAsia"/>
          <w:color w:val="000000" w:themeColor="text1"/>
          <w:kern w:val="0"/>
          <w:sz w:val="24"/>
          <w:szCs w:val="24"/>
        </w:rPr>
        <w:t>和有机质，中间产物有硝酸铵、尿素和稀硝酸，产品有绿色有机硝基复合肥和绿色有机尿基复合肥。对照</w:t>
      </w:r>
      <w:r>
        <w:rPr>
          <w:rFonts w:ascii="Times New Roman" w:eastAsia="宋体" w:hAnsi="Times New Roman" w:cs="Times New Roman" w:hint="eastAsia"/>
          <w:color w:val="000000" w:themeColor="text1"/>
          <w:kern w:val="0"/>
          <w:sz w:val="24"/>
          <w:szCs w:val="24"/>
        </w:rPr>
        <w:t>HJ</w:t>
      </w:r>
      <w:r>
        <w:rPr>
          <w:rFonts w:ascii="Times New Roman" w:eastAsia="宋体" w:hAnsi="Times New Roman" w:cs="Times New Roman"/>
          <w:color w:val="000000" w:themeColor="text1"/>
          <w:kern w:val="0"/>
          <w:sz w:val="24"/>
          <w:szCs w:val="24"/>
        </w:rPr>
        <w:t>169-2018</w:t>
      </w:r>
      <w:r>
        <w:rPr>
          <w:rFonts w:ascii="Times New Roman" w:eastAsia="宋体" w:hAnsi="Times New Roman" w:cs="Times New Roman" w:hint="eastAsia"/>
          <w:color w:val="000000" w:themeColor="text1"/>
          <w:kern w:val="0"/>
          <w:sz w:val="24"/>
          <w:szCs w:val="24"/>
        </w:rPr>
        <w:t>《建设项目环境风险评价技术导则》附录</w:t>
      </w:r>
      <w:r>
        <w:rPr>
          <w:rFonts w:ascii="Times New Roman" w:eastAsia="宋体" w:hAnsi="Times New Roman" w:cs="Times New Roman" w:hint="eastAsia"/>
          <w:color w:val="000000" w:themeColor="text1"/>
          <w:kern w:val="0"/>
          <w:sz w:val="24"/>
          <w:szCs w:val="24"/>
        </w:rPr>
        <w:t>B</w:t>
      </w:r>
      <w:r>
        <w:rPr>
          <w:rFonts w:ascii="Times New Roman" w:eastAsia="宋体" w:hAnsi="Times New Roman" w:cs="Times New Roman"/>
          <w:color w:val="000000" w:themeColor="text1"/>
          <w:kern w:val="0"/>
          <w:sz w:val="24"/>
          <w:szCs w:val="24"/>
        </w:rPr>
        <w:t>对项目所涉及的原料、辅料、中间产品、产品及废物等物质进行筛选，本项目生产过程中涉及的</w:t>
      </w:r>
      <w:r>
        <w:rPr>
          <w:rFonts w:ascii="Times New Roman" w:eastAsia="宋体" w:hAnsi="Times New Roman" w:cs="Times New Roman" w:hint="eastAsia"/>
          <w:color w:val="000000" w:themeColor="text1"/>
          <w:kern w:val="0"/>
          <w:sz w:val="24"/>
          <w:szCs w:val="24"/>
        </w:rPr>
        <w:t>突发环境事件危险物质主要为液氨、硝酸铵和稀硝酸，据其</w:t>
      </w:r>
      <w:r>
        <w:rPr>
          <w:rFonts w:ascii="Times New Roman" w:eastAsia="宋体" w:hAnsi="Times New Roman" w:cs="Times New Roman"/>
          <w:color w:val="000000" w:themeColor="text1"/>
          <w:kern w:val="0"/>
          <w:sz w:val="24"/>
          <w:szCs w:val="24"/>
        </w:rPr>
        <w:t>化学品安全技术说明书</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hint="eastAsia"/>
          <w:color w:val="000000" w:themeColor="text1"/>
          <w:kern w:val="0"/>
          <w:sz w:val="24"/>
          <w:szCs w:val="24"/>
        </w:rPr>
        <w:t>MSDS</w:t>
      </w:r>
      <w:r>
        <w:rPr>
          <w:rFonts w:ascii="Times New Roman" w:eastAsia="宋体" w:hAnsi="Times New Roman" w:cs="Times New Roman" w:hint="eastAsia"/>
          <w:color w:val="000000" w:themeColor="text1"/>
          <w:kern w:val="0"/>
          <w:sz w:val="24"/>
          <w:szCs w:val="24"/>
        </w:rPr>
        <w:t>），其理化性质见下表</w:t>
      </w:r>
      <w:r>
        <w:rPr>
          <w:rFonts w:ascii="Times New Roman" w:eastAsia="宋体" w:hAnsi="Times New Roman" w:cs="Times New Roman"/>
          <w:color w:val="000000" w:themeColor="text1"/>
          <w:kern w:val="0"/>
          <w:sz w:val="24"/>
          <w:szCs w:val="24"/>
        </w:rPr>
        <w:t>。</w:t>
      </w:r>
    </w:p>
    <w:p w:rsidR="00C861DA" w:rsidRDefault="0044752E">
      <w:pPr>
        <w:snapToGrid w:val="0"/>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8.1-1  </w:t>
      </w:r>
      <w:r>
        <w:rPr>
          <w:rFonts w:ascii="Times New Roman" w:eastAsia="宋体" w:hAnsi="Times New Roman" w:cs="Times New Roman"/>
          <w:b/>
          <w:color w:val="000000" w:themeColor="text1"/>
          <w:sz w:val="24"/>
        </w:rPr>
        <w:t>原辅料理化性质和毒性一览表</w:t>
      </w:r>
      <w:r>
        <w:rPr>
          <w:rFonts w:ascii="Times New Roman" w:eastAsia="宋体" w:hAnsi="Times New Roman" w:cs="Times New Roman" w:hint="eastAsia"/>
          <w:b/>
          <w:color w:val="000000" w:themeColor="text1"/>
          <w:sz w:val="24"/>
        </w:rPr>
        <w:t>（液氨）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1546"/>
        <w:gridCol w:w="991"/>
        <w:gridCol w:w="536"/>
        <w:gridCol w:w="1258"/>
        <w:gridCol w:w="640"/>
        <w:gridCol w:w="53"/>
        <w:gridCol w:w="2188"/>
        <w:gridCol w:w="647"/>
      </w:tblGrid>
      <w:tr w:rsidR="00C861DA">
        <w:trPr>
          <w:cantSplit/>
          <w:trHeight w:val="340"/>
          <w:jc w:val="center"/>
        </w:trPr>
        <w:tc>
          <w:tcPr>
            <w:tcW w:w="437"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标识</w:t>
            </w:r>
          </w:p>
        </w:tc>
        <w:tc>
          <w:tcPr>
            <w:tcW w:w="5024" w:type="dxa"/>
            <w:gridSpan w:val="6"/>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中文名：液氨</w:t>
            </w:r>
          </w:p>
        </w:tc>
        <w:tc>
          <w:tcPr>
            <w:tcW w:w="2835"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危险货物编号：</w:t>
            </w:r>
            <w:r>
              <w:rPr>
                <w:rFonts w:ascii="Times New Roman" w:eastAsia="宋体" w:hAnsi="Times New Roman" w:cs="Times New Roman"/>
                <w:color w:val="000000" w:themeColor="text1"/>
              </w:rPr>
              <w:t>23003</w:t>
            </w:r>
          </w:p>
        </w:tc>
      </w:tr>
      <w:tr w:rsidR="00C861DA">
        <w:trPr>
          <w:cantSplit/>
          <w:trHeight w:val="340"/>
          <w:jc w:val="center"/>
        </w:trPr>
        <w:tc>
          <w:tcPr>
            <w:tcW w:w="437" w:type="dxa"/>
            <w:vMerge/>
            <w:vAlign w:val="center"/>
          </w:tcPr>
          <w:p w:rsidR="00C861DA" w:rsidRDefault="00C861DA">
            <w:pPr>
              <w:jc w:val="center"/>
              <w:rPr>
                <w:rFonts w:ascii="Times New Roman" w:eastAsia="宋体" w:hAnsi="Times New Roman" w:cs="Times New Roman"/>
                <w:color w:val="000000" w:themeColor="text1"/>
              </w:rPr>
            </w:pPr>
          </w:p>
        </w:tc>
        <w:tc>
          <w:tcPr>
            <w:tcW w:w="5024" w:type="dxa"/>
            <w:gridSpan w:val="6"/>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英文名：</w:t>
            </w:r>
            <w:r>
              <w:rPr>
                <w:rFonts w:ascii="Times New Roman" w:eastAsia="宋体" w:hAnsi="Times New Roman" w:cs="Times New Roman"/>
                <w:color w:val="000000" w:themeColor="text1"/>
              </w:rPr>
              <w:t xml:space="preserve"> ammonia </w:t>
            </w:r>
          </w:p>
        </w:tc>
        <w:tc>
          <w:tcPr>
            <w:tcW w:w="2835"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UN</w:t>
            </w:r>
            <w:r>
              <w:rPr>
                <w:rFonts w:ascii="Times New Roman" w:eastAsia="宋体" w:hAnsi="Times New Roman" w:cs="Times New Roman"/>
                <w:color w:val="000000" w:themeColor="text1"/>
              </w:rPr>
              <w:t>编号：</w:t>
            </w:r>
            <w:r>
              <w:rPr>
                <w:rFonts w:ascii="Times New Roman" w:eastAsia="宋体" w:hAnsi="Times New Roman" w:cs="Times New Roman"/>
                <w:color w:val="000000" w:themeColor="text1"/>
              </w:rPr>
              <w:t>1005</w:t>
            </w:r>
          </w:p>
        </w:tc>
      </w:tr>
      <w:tr w:rsidR="00C861DA">
        <w:trPr>
          <w:cantSplit/>
          <w:trHeight w:val="340"/>
          <w:jc w:val="center"/>
        </w:trPr>
        <w:tc>
          <w:tcPr>
            <w:tcW w:w="437" w:type="dxa"/>
            <w:vMerge/>
            <w:vAlign w:val="center"/>
          </w:tcPr>
          <w:p w:rsidR="00C861DA" w:rsidRDefault="00C861DA">
            <w:pPr>
              <w:jc w:val="center"/>
              <w:rPr>
                <w:rFonts w:ascii="Times New Roman" w:eastAsia="宋体" w:hAnsi="Times New Roman" w:cs="Times New Roman"/>
                <w:color w:val="000000" w:themeColor="text1"/>
              </w:rPr>
            </w:pPr>
          </w:p>
        </w:tc>
        <w:tc>
          <w:tcPr>
            <w:tcW w:w="2537"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分子式：</w:t>
            </w:r>
            <w:r>
              <w:rPr>
                <w:rFonts w:ascii="Times New Roman" w:eastAsia="宋体" w:hAnsi="Times New Roman" w:cs="Times New Roman"/>
                <w:color w:val="000000" w:themeColor="text1"/>
              </w:rPr>
              <w:t>NH</w:t>
            </w:r>
            <w:r>
              <w:rPr>
                <w:rFonts w:ascii="Times New Roman" w:eastAsia="宋体" w:hAnsi="Times New Roman" w:cs="Times New Roman"/>
                <w:color w:val="000000" w:themeColor="text1"/>
                <w:vertAlign w:val="subscript"/>
              </w:rPr>
              <w:t>3</w:t>
            </w:r>
          </w:p>
        </w:tc>
        <w:tc>
          <w:tcPr>
            <w:tcW w:w="2487" w:type="dxa"/>
            <w:gridSpan w:val="4"/>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分子量：</w:t>
            </w:r>
            <w:r>
              <w:rPr>
                <w:rFonts w:ascii="Times New Roman" w:eastAsia="宋体" w:hAnsi="Times New Roman" w:cs="Times New Roman"/>
                <w:color w:val="000000" w:themeColor="text1"/>
              </w:rPr>
              <w:t>17.03</w:t>
            </w:r>
          </w:p>
        </w:tc>
        <w:tc>
          <w:tcPr>
            <w:tcW w:w="2835"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CAS</w:t>
            </w:r>
            <w:r>
              <w:rPr>
                <w:rFonts w:ascii="Times New Roman" w:eastAsia="宋体" w:hAnsi="Times New Roman" w:cs="Times New Roman"/>
                <w:color w:val="000000" w:themeColor="text1"/>
              </w:rPr>
              <w:t>号：</w:t>
            </w:r>
            <w:r>
              <w:rPr>
                <w:rFonts w:ascii="Times New Roman" w:eastAsia="宋体" w:hAnsi="Times New Roman" w:cs="Times New Roman"/>
                <w:color w:val="000000" w:themeColor="text1"/>
              </w:rPr>
              <w:t xml:space="preserve">7664-41-7 </w:t>
            </w:r>
          </w:p>
        </w:tc>
      </w:tr>
      <w:tr w:rsidR="00C861DA">
        <w:trPr>
          <w:cantSplit/>
          <w:trHeight w:val="340"/>
          <w:jc w:val="center"/>
        </w:trPr>
        <w:tc>
          <w:tcPr>
            <w:tcW w:w="437"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理化性质</w:t>
            </w:r>
          </w:p>
        </w:tc>
        <w:tc>
          <w:tcPr>
            <w:tcW w:w="154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外观与性状</w:t>
            </w:r>
          </w:p>
        </w:tc>
        <w:tc>
          <w:tcPr>
            <w:tcW w:w="6313" w:type="dxa"/>
            <w:gridSpan w:val="7"/>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无色、有刺激性恶臭的气体。</w:t>
            </w:r>
          </w:p>
        </w:tc>
      </w:tr>
      <w:tr w:rsidR="00C861DA">
        <w:trPr>
          <w:cantSplit/>
          <w:trHeight w:val="340"/>
          <w:jc w:val="center"/>
        </w:trPr>
        <w:tc>
          <w:tcPr>
            <w:tcW w:w="437" w:type="dxa"/>
            <w:vMerge/>
            <w:vAlign w:val="center"/>
          </w:tcPr>
          <w:p w:rsidR="00C861DA" w:rsidRDefault="00C861DA">
            <w:pPr>
              <w:jc w:val="center"/>
              <w:rPr>
                <w:rFonts w:ascii="Times New Roman" w:eastAsia="宋体" w:hAnsi="Times New Roman" w:cs="Times New Roman"/>
                <w:color w:val="000000" w:themeColor="text1"/>
              </w:rPr>
            </w:pPr>
          </w:p>
        </w:tc>
        <w:tc>
          <w:tcPr>
            <w:tcW w:w="154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熔点（</w:t>
            </w:r>
            <w:r>
              <w:rPr>
                <w:rFonts w:ascii="宋体" w:eastAsia="宋体" w:hAnsi="宋体" w:cs="宋体" w:hint="eastAsia"/>
                <w:color w:val="000000" w:themeColor="text1"/>
              </w:rPr>
              <w:t>℃</w:t>
            </w:r>
            <w:r>
              <w:rPr>
                <w:rFonts w:ascii="Times New Roman" w:eastAsia="宋体" w:hAnsi="Times New Roman" w:cs="Times New Roman"/>
                <w:color w:val="000000" w:themeColor="text1"/>
              </w:rPr>
              <w:t>）</w:t>
            </w:r>
          </w:p>
        </w:tc>
        <w:tc>
          <w:tcPr>
            <w:tcW w:w="991"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-77.7</w:t>
            </w:r>
          </w:p>
        </w:tc>
        <w:tc>
          <w:tcPr>
            <w:tcW w:w="1794"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相对密度（水</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w:t>
            </w:r>
          </w:p>
        </w:tc>
        <w:tc>
          <w:tcPr>
            <w:tcW w:w="693"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0.617</w:t>
            </w:r>
          </w:p>
        </w:tc>
        <w:tc>
          <w:tcPr>
            <w:tcW w:w="2188"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相对密度（空气</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w:t>
            </w:r>
          </w:p>
        </w:tc>
        <w:tc>
          <w:tcPr>
            <w:tcW w:w="647"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0.59</w:t>
            </w:r>
          </w:p>
        </w:tc>
      </w:tr>
      <w:tr w:rsidR="00C861DA">
        <w:trPr>
          <w:cantSplit/>
          <w:trHeight w:val="340"/>
          <w:jc w:val="center"/>
        </w:trPr>
        <w:tc>
          <w:tcPr>
            <w:tcW w:w="437" w:type="dxa"/>
            <w:vMerge/>
            <w:vAlign w:val="center"/>
          </w:tcPr>
          <w:p w:rsidR="00C861DA" w:rsidRDefault="00C861DA">
            <w:pPr>
              <w:jc w:val="center"/>
              <w:rPr>
                <w:rFonts w:ascii="Times New Roman" w:eastAsia="宋体" w:hAnsi="Times New Roman" w:cs="Times New Roman"/>
                <w:color w:val="000000" w:themeColor="text1"/>
              </w:rPr>
            </w:pPr>
          </w:p>
        </w:tc>
        <w:tc>
          <w:tcPr>
            <w:tcW w:w="154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沸点（</w:t>
            </w:r>
            <w:r>
              <w:rPr>
                <w:rFonts w:ascii="宋体" w:eastAsia="宋体" w:hAnsi="宋体" w:cs="宋体" w:hint="eastAsia"/>
                <w:color w:val="000000" w:themeColor="text1"/>
              </w:rPr>
              <w:t>℃</w:t>
            </w:r>
            <w:r>
              <w:rPr>
                <w:rFonts w:ascii="Times New Roman" w:eastAsia="宋体" w:hAnsi="Times New Roman" w:cs="Times New Roman"/>
                <w:color w:val="000000" w:themeColor="text1"/>
              </w:rPr>
              <w:t>）</w:t>
            </w:r>
          </w:p>
        </w:tc>
        <w:tc>
          <w:tcPr>
            <w:tcW w:w="991"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-33.5</w:t>
            </w:r>
            <w:r>
              <w:rPr>
                <w:rFonts w:ascii="宋体" w:eastAsia="宋体" w:hAnsi="宋体" w:cs="宋体" w:hint="eastAsia"/>
                <w:color w:val="000000" w:themeColor="text1"/>
              </w:rPr>
              <w:t>℃</w:t>
            </w:r>
          </w:p>
        </w:tc>
        <w:tc>
          <w:tcPr>
            <w:tcW w:w="2487" w:type="dxa"/>
            <w:gridSpan w:val="4"/>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饱和蒸气压（</w:t>
            </w:r>
            <w:r>
              <w:rPr>
                <w:rFonts w:ascii="Times New Roman" w:eastAsia="宋体" w:hAnsi="Times New Roman" w:cs="Times New Roman"/>
                <w:color w:val="000000" w:themeColor="text1"/>
              </w:rPr>
              <w:t>kPa</w:t>
            </w:r>
            <w:r>
              <w:rPr>
                <w:rFonts w:ascii="Times New Roman" w:eastAsia="宋体" w:hAnsi="Times New Roman" w:cs="Times New Roman"/>
                <w:color w:val="000000" w:themeColor="text1"/>
              </w:rPr>
              <w:t>）</w:t>
            </w:r>
          </w:p>
        </w:tc>
        <w:tc>
          <w:tcPr>
            <w:tcW w:w="2835"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506.62</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4.7</w:t>
            </w:r>
            <w:r>
              <w:rPr>
                <w:rFonts w:ascii="宋体" w:eastAsia="宋体" w:hAnsi="宋体" w:cs="宋体" w:hint="eastAsia"/>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 xml:space="preserve"> </w:t>
            </w:r>
          </w:p>
        </w:tc>
      </w:tr>
      <w:tr w:rsidR="00C861DA">
        <w:trPr>
          <w:cantSplit/>
          <w:trHeight w:val="340"/>
          <w:jc w:val="center"/>
        </w:trPr>
        <w:tc>
          <w:tcPr>
            <w:tcW w:w="437" w:type="dxa"/>
            <w:vMerge/>
            <w:vAlign w:val="center"/>
          </w:tcPr>
          <w:p w:rsidR="00C861DA" w:rsidRDefault="00C861DA">
            <w:pPr>
              <w:jc w:val="center"/>
              <w:rPr>
                <w:rFonts w:ascii="Times New Roman" w:eastAsia="宋体" w:hAnsi="Times New Roman" w:cs="Times New Roman"/>
                <w:color w:val="000000" w:themeColor="text1"/>
              </w:rPr>
            </w:pPr>
          </w:p>
        </w:tc>
        <w:tc>
          <w:tcPr>
            <w:tcW w:w="154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溶解性</w:t>
            </w:r>
          </w:p>
        </w:tc>
        <w:tc>
          <w:tcPr>
            <w:tcW w:w="6313" w:type="dxa"/>
            <w:gridSpan w:val="7"/>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易溶于乙醇、乙醚。</w:t>
            </w:r>
          </w:p>
        </w:tc>
      </w:tr>
      <w:tr w:rsidR="00C861DA">
        <w:trPr>
          <w:cantSplit/>
          <w:trHeight w:val="340"/>
          <w:jc w:val="center"/>
        </w:trPr>
        <w:tc>
          <w:tcPr>
            <w:tcW w:w="437"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毒性及健康危害</w:t>
            </w:r>
          </w:p>
        </w:tc>
        <w:tc>
          <w:tcPr>
            <w:tcW w:w="154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侵入途径</w:t>
            </w:r>
          </w:p>
        </w:tc>
        <w:tc>
          <w:tcPr>
            <w:tcW w:w="6313" w:type="dxa"/>
            <w:gridSpan w:val="7"/>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吸入、食入、经皮吸收。</w:t>
            </w:r>
          </w:p>
        </w:tc>
      </w:tr>
      <w:tr w:rsidR="00C861DA">
        <w:trPr>
          <w:cantSplit/>
          <w:trHeight w:val="340"/>
          <w:jc w:val="center"/>
        </w:trPr>
        <w:tc>
          <w:tcPr>
            <w:tcW w:w="437" w:type="dxa"/>
            <w:vMerge/>
            <w:vAlign w:val="center"/>
          </w:tcPr>
          <w:p w:rsidR="00C861DA" w:rsidRDefault="00C861DA">
            <w:pPr>
              <w:jc w:val="center"/>
              <w:rPr>
                <w:rFonts w:ascii="Times New Roman" w:eastAsia="宋体" w:hAnsi="Times New Roman" w:cs="Times New Roman"/>
                <w:color w:val="000000" w:themeColor="text1"/>
              </w:rPr>
            </w:pPr>
          </w:p>
        </w:tc>
        <w:tc>
          <w:tcPr>
            <w:tcW w:w="154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毒性</w:t>
            </w:r>
          </w:p>
        </w:tc>
        <w:tc>
          <w:tcPr>
            <w:tcW w:w="6313" w:type="dxa"/>
            <w:gridSpan w:val="7"/>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LD50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350mg/kg(</w:t>
            </w:r>
            <w:r>
              <w:rPr>
                <w:rFonts w:ascii="Times New Roman" w:eastAsia="宋体" w:hAnsi="Times New Roman" w:cs="Times New Roman"/>
                <w:color w:val="000000" w:themeColor="text1"/>
              </w:rPr>
              <w:t>大鼠经口</w:t>
            </w:r>
            <w:r>
              <w:rPr>
                <w:rFonts w:ascii="Times New Roman" w:eastAsia="宋体" w:hAnsi="Times New Roman" w:cs="Times New Roman"/>
                <w:color w:val="000000" w:themeColor="text1"/>
              </w:rPr>
              <w:t>)</w:t>
            </w:r>
          </w:p>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LC50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1390mg/m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 xml:space="preserve"> 4</w:t>
            </w:r>
            <w:r>
              <w:rPr>
                <w:rFonts w:ascii="Times New Roman" w:eastAsia="宋体" w:hAnsi="Times New Roman" w:cs="Times New Roman"/>
                <w:color w:val="000000" w:themeColor="text1"/>
              </w:rPr>
              <w:t>小时</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大鼠吸入</w:t>
            </w:r>
            <w:r>
              <w:rPr>
                <w:rFonts w:ascii="Times New Roman" w:eastAsia="宋体" w:hAnsi="Times New Roman" w:cs="Times New Roman"/>
                <w:color w:val="000000" w:themeColor="text1"/>
              </w:rPr>
              <w:t>)</w:t>
            </w:r>
          </w:p>
          <w:p w:rsidR="00C861DA" w:rsidRDefault="0044752E">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P</w:t>
            </w:r>
            <w:r>
              <w:rPr>
                <w:rFonts w:ascii="Times New Roman" w:eastAsia="宋体" w:hAnsi="Times New Roman" w:cs="Times New Roman"/>
                <w:color w:val="000000" w:themeColor="text1"/>
              </w:rPr>
              <w:t>AC-1:770 mg/m</w:t>
            </w:r>
            <w:r>
              <w:rPr>
                <w:rFonts w:ascii="Times New Roman" w:eastAsia="宋体" w:hAnsi="Times New Roman" w:cs="Times New Roman"/>
                <w:color w:val="000000" w:themeColor="text1"/>
                <w:vertAlign w:val="superscript"/>
              </w:rPr>
              <w:t>3</w:t>
            </w:r>
          </w:p>
          <w:p w:rsidR="00C861DA" w:rsidRDefault="0044752E">
            <w:pP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P</w:t>
            </w:r>
            <w:r>
              <w:rPr>
                <w:rFonts w:ascii="Times New Roman" w:eastAsia="宋体" w:hAnsi="Times New Roman" w:cs="Times New Roman"/>
                <w:color w:val="000000" w:themeColor="text1"/>
              </w:rPr>
              <w:t>AC-2:110 mg/m</w:t>
            </w:r>
            <w:r>
              <w:rPr>
                <w:rFonts w:ascii="Times New Roman" w:eastAsia="宋体" w:hAnsi="Times New Roman" w:cs="Times New Roman"/>
                <w:color w:val="000000" w:themeColor="text1"/>
                <w:vertAlign w:val="superscript"/>
              </w:rPr>
              <w:t>3</w:t>
            </w:r>
          </w:p>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立即威胁生命和健康浓度（</w:t>
            </w:r>
            <w:r>
              <w:rPr>
                <w:rFonts w:ascii="Times New Roman" w:eastAsia="宋体" w:hAnsi="Times New Roman" w:cs="Times New Roman"/>
                <w:color w:val="000000" w:themeColor="text1"/>
              </w:rPr>
              <w:t>IDLH</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360mg/m</w:t>
            </w:r>
            <w:r>
              <w:rPr>
                <w:rFonts w:ascii="Times New Roman" w:eastAsia="宋体" w:hAnsi="Times New Roman" w:cs="Times New Roman"/>
                <w:color w:val="000000" w:themeColor="text1"/>
                <w:vertAlign w:val="superscript"/>
              </w:rPr>
              <w:t>3</w:t>
            </w:r>
          </w:p>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最高短时允许接触浓度（</w:t>
            </w:r>
            <w:r>
              <w:rPr>
                <w:rFonts w:ascii="Times New Roman" w:eastAsia="宋体" w:hAnsi="Times New Roman" w:cs="Times New Roman"/>
                <w:color w:val="000000" w:themeColor="text1"/>
              </w:rPr>
              <w:t>MAC</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30mg/m</w:t>
            </w:r>
            <w:r>
              <w:rPr>
                <w:rFonts w:ascii="Times New Roman" w:eastAsia="宋体" w:hAnsi="Times New Roman" w:cs="Times New Roman"/>
                <w:color w:val="000000" w:themeColor="text1"/>
                <w:vertAlign w:val="superscript"/>
              </w:rPr>
              <w:t>3</w:t>
            </w:r>
          </w:p>
        </w:tc>
      </w:tr>
      <w:tr w:rsidR="00C861DA">
        <w:trPr>
          <w:cantSplit/>
          <w:trHeight w:val="340"/>
          <w:jc w:val="center"/>
        </w:trPr>
        <w:tc>
          <w:tcPr>
            <w:tcW w:w="437" w:type="dxa"/>
            <w:vMerge/>
            <w:vAlign w:val="center"/>
          </w:tcPr>
          <w:p w:rsidR="00C861DA" w:rsidRDefault="00C861DA">
            <w:pPr>
              <w:jc w:val="center"/>
              <w:rPr>
                <w:rFonts w:ascii="Times New Roman" w:eastAsia="宋体" w:hAnsi="Times New Roman" w:cs="Times New Roman"/>
                <w:color w:val="000000" w:themeColor="text1"/>
              </w:rPr>
            </w:pPr>
          </w:p>
        </w:tc>
        <w:tc>
          <w:tcPr>
            <w:tcW w:w="154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健康危害</w:t>
            </w:r>
          </w:p>
        </w:tc>
        <w:tc>
          <w:tcPr>
            <w:tcW w:w="6313" w:type="dxa"/>
            <w:gridSpan w:val="7"/>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低浓度氨对粘膜有刺激作用，高浓度可造成组织溶解坏死。急性中毒：轻度者出现流泪、咽痛、声音嘶哑、咳嗽、咯痰等；眼结膜、鼻粘膜、咽部充血、水肿；胸部</w:t>
            </w:r>
            <w:r>
              <w:rPr>
                <w:rFonts w:ascii="Times New Roman" w:eastAsia="宋体" w:hAnsi="Times New Roman" w:cs="Times New Roman"/>
                <w:color w:val="000000" w:themeColor="text1"/>
              </w:rPr>
              <w:t>X</w:t>
            </w:r>
            <w:r>
              <w:rPr>
                <w:rFonts w:ascii="Times New Roman" w:eastAsia="宋体" w:hAnsi="Times New Roman" w:cs="Times New Roman"/>
                <w:color w:val="000000" w:themeColor="text1"/>
              </w:rPr>
              <w:t>线征象符合支气管炎或支气管周围炎。中度中毒上述症状加剧，出现呼吸困难、紫绀；胸部</w:t>
            </w:r>
            <w:r>
              <w:rPr>
                <w:rFonts w:ascii="Times New Roman" w:eastAsia="宋体" w:hAnsi="Times New Roman" w:cs="Times New Roman"/>
                <w:color w:val="000000" w:themeColor="text1"/>
              </w:rPr>
              <w:t>X</w:t>
            </w:r>
            <w:r>
              <w:rPr>
                <w:rFonts w:ascii="Times New Roman" w:eastAsia="宋体" w:hAnsi="Times New Roman" w:cs="Times New Roman"/>
                <w:color w:val="000000" w:themeColor="text1"/>
              </w:rPr>
              <w:t>线征象符合肺炎或间质性肺炎。严重者可发生中毒性肺水肿，或有呼吸窘迫综合征，患者剧烈咳嗽、咯大量粉红色泡沫痰、呼吸窘迫、谵妄、昏迷、休克等。可发生喉头水肿或支气管粘膜坏死脱落窒息。高浓度氨可引起反射性呼吸停止。液氨或高浓度氨可致眼灼伤；液氨可致皮肤灼伤。</w:t>
            </w:r>
          </w:p>
        </w:tc>
      </w:tr>
      <w:tr w:rsidR="00C861DA">
        <w:trPr>
          <w:cantSplit/>
          <w:trHeight w:val="340"/>
          <w:jc w:val="center"/>
        </w:trPr>
        <w:tc>
          <w:tcPr>
            <w:tcW w:w="437" w:type="dxa"/>
            <w:vMerge/>
            <w:vAlign w:val="center"/>
          </w:tcPr>
          <w:p w:rsidR="00C861DA" w:rsidRDefault="00C861DA">
            <w:pPr>
              <w:jc w:val="center"/>
              <w:rPr>
                <w:rFonts w:ascii="Times New Roman" w:eastAsia="宋体" w:hAnsi="Times New Roman" w:cs="Times New Roman"/>
                <w:color w:val="000000" w:themeColor="text1"/>
              </w:rPr>
            </w:pPr>
          </w:p>
        </w:tc>
        <w:tc>
          <w:tcPr>
            <w:tcW w:w="154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急救方法</w:t>
            </w:r>
          </w:p>
        </w:tc>
        <w:tc>
          <w:tcPr>
            <w:tcW w:w="6313" w:type="dxa"/>
            <w:gridSpan w:val="7"/>
            <w:vAlign w:val="center"/>
          </w:tcPr>
          <w:p w:rsidR="00C861DA" w:rsidRDefault="0044752E">
            <w:pPr>
              <w:ind w:firstLineChars="200" w:firstLine="422"/>
              <w:rPr>
                <w:rFonts w:ascii="Times New Roman" w:eastAsia="宋体" w:hAnsi="Times New Roman" w:cs="Times New Roman"/>
                <w:color w:val="000000" w:themeColor="text1"/>
              </w:rPr>
            </w:pPr>
            <w:r>
              <w:rPr>
                <w:rFonts w:ascii="Times New Roman" w:eastAsia="宋体" w:hAnsi="Times New Roman" w:cs="Times New Roman"/>
                <w:b/>
                <w:color w:val="000000" w:themeColor="text1"/>
              </w:rPr>
              <w:t>皮肤接触：</w:t>
            </w:r>
            <w:r>
              <w:rPr>
                <w:rFonts w:ascii="Times New Roman" w:eastAsia="宋体" w:hAnsi="Times New Roman" w:cs="Times New Roman"/>
                <w:color w:val="000000" w:themeColor="text1"/>
              </w:rPr>
              <w:t>立即脱去污染的衣着，应用</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硼酸液或大量清水彻底冲洗，就医。</w:t>
            </w:r>
          </w:p>
          <w:p w:rsidR="00C861DA" w:rsidRDefault="0044752E">
            <w:pPr>
              <w:ind w:firstLineChars="200" w:firstLine="422"/>
              <w:rPr>
                <w:rFonts w:ascii="Times New Roman" w:eastAsia="宋体" w:hAnsi="Times New Roman" w:cs="Times New Roman"/>
                <w:color w:val="000000" w:themeColor="text1"/>
              </w:rPr>
            </w:pPr>
            <w:r>
              <w:rPr>
                <w:rFonts w:ascii="Times New Roman" w:eastAsia="宋体" w:hAnsi="Times New Roman" w:cs="Times New Roman"/>
                <w:b/>
                <w:color w:val="000000" w:themeColor="text1"/>
              </w:rPr>
              <w:t>眼睛接触：</w:t>
            </w:r>
            <w:r>
              <w:rPr>
                <w:rFonts w:ascii="Times New Roman" w:eastAsia="宋体" w:hAnsi="Times New Roman" w:cs="Times New Roman"/>
                <w:color w:val="000000" w:themeColor="text1"/>
              </w:rPr>
              <w:t>立即提起眼睑，用大量流动清水或生理盐水彻底冲洗至少</w:t>
            </w:r>
            <w:r>
              <w:rPr>
                <w:rFonts w:ascii="Times New Roman" w:eastAsia="宋体" w:hAnsi="Times New Roman" w:cs="Times New Roman"/>
                <w:color w:val="000000" w:themeColor="text1"/>
              </w:rPr>
              <w:t>15</w:t>
            </w:r>
            <w:r>
              <w:rPr>
                <w:rFonts w:ascii="Times New Roman" w:eastAsia="宋体" w:hAnsi="Times New Roman" w:cs="Times New Roman"/>
                <w:color w:val="000000" w:themeColor="text1"/>
              </w:rPr>
              <w:t>分钟，就医。</w:t>
            </w:r>
          </w:p>
          <w:p w:rsidR="00C861DA" w:rsidRDefault="0044752E">
            <w:pPr>
              <w:ind w:firstLineChars="200" w:firstLine="422"/>
              <w:rPr>
                <w:rFonts w:ascii="Times New Roman" w:eastAsia="宋体" w:hAnsi="Times New Roman" w:cs="Times New Roman"/>
                <w:color w:val="000000" w:themeColor="text1"/>
              </w:rPr>
            </w:pPr>
            <w:r>
              <w:rPr>
                <w:rFonts w:ascii="Times New Roman" w:eastAsia="宋体" w:hAnsi="Times New Roman" w:cs="Times New Roman"/>
                <w:b/>
                <w:color w:val="000000" w:themeColor="text1"/>
              </w:rPr>
              <w:t>吸入：</w:t>
            </w:r>
            <w:r>
              <w:rPr>
                <w:rFonts w:ascii="Times New Roman" w:eastAsia="宋体" w:hAnsi="Times New Roman" w:cs="Times New Roman"/>
                <w:color w:val="000000" w:themeColor="text1"/>
              </w:rPr>
              <w:t>迅速脱离现场至空气新鲜处。保持呼吸道通畅。如呼吸困难，给输氧。如呼吸停止，立即进行人工呼吸，就医。</w:t>
            </w:r>
          </w:p>
        </w:tc>
      </w:tr>
      <w:tr w:rsidR="00C861DA">
        <w:trPr>
          <w:cantSplit/>
          <w:trHeight w:val="340"/>
          <w:jc w:val="center"/>
        </w:trPr>
        <w:tc>
          <w:tcPr>
            <w:tcW w:w="437"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燃烧爆炸危险性</w:t>
            </w:r>
          </w:p>
        </w:tc>
        <w:tc>
          <w:tcPr>
            <w:tcW w:w="154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燃烧性</w:t>
            </w:r>
          </w:p>
        </w:tc>
        <w:tc>
          <w:tcPr>
            <w:tcW w:w="1527"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易燃</w:t>
            </w:r>
          </w:p>
        </w:tc>
        <w:tc>
          <w:tcPr>
            <w:tcW w:w="1898"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燃烧分解物</w:t>
            </w:r>
          </w:p>
        </w:tc>
        <w:tc>
          <w:tcPr>
            <w:tcW w:w="2888" w:type="dxa"/>
            <w:gridSpan w:val="3"/>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cantSplit/>
          <w:trHeight w:val="340"/>
          <w:jc w:val="center"/>
        </w:trPr>
        <w:tc>
          <w:tcPr>
            <w:tcW w:w="437" w:type="dxa"/>
            <w:vMerge/>
            <w:vAlign w:val="center"/>
          </w:tcPr>
          <w:p w:rsidR="00C861DA" w:rsidRDefault="00C861DA">
            <w:pPr>
              <w:jc w:val="center"/>
              <w:rPr>
                <w:rFonts w:ascii="Times New Roman" w:eastAsia="宋体" w:hAnsi="Times New Roman" w:cs="Times New Roman"/>
                <w:color w:val="000000" w:themeColor="text1"/>
              </w:rPr>
            </w:pPr>
          </w:p>
        </w:tc>
        <w:tc>
          <w:tcPr>
            <w:tcW w:w="154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闪点（</w:t>
            </w:r>
            <w:r>
              <w:rPr>
                <w:rFonts w:ascii="宋体" w:eastAsia="宋体" w:hAnsi="宋体" w:cs="宋体" w:hint="eastAsia"/>
                <w:color w:val="000000" w:themeColor="text1"/>
              </w:rPr>
              <w:t>℃</w:t>
            </w:r>
            <w:r>
              <w:rPr>
                <w:rFonts w:ascii="Times New Roman" w:eastAsia="宋体" w:hAnsi="Times New Roman" w:cs="Times New Roman"/>
                <w:color w:val="000000" w:themeColor="text1"/>
              </w:rPr>
              <w:t>）</w:t>
            </w:r>
          </w:p>
        </w:tc>
        <w:tc>
          <w:tcPr>
            <w:tcW w:w="1527"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1898"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爆炸上限（</w:t>
            </w:r>
            <w:r>
              <w:rPr>
                <w:rFonts w:ascii="Times New Roman" w:eastAsia="宋体" w:hAnsi="Times New Roman" w:cs="Times New Roman"/>
                <w:color w:val="000000" w:themeColor="text1"/>
              </w:rPr>
              <w:t>v%</w:t>
            </w:r>
            <w:r>
              <w:rPr>
                <w:rFonts w:ascii="Times New Roman" w:eastAsia="宋体" w:hAnsi="Times New Roman" w:cs="Times New Roman"/>
                <w:color w:val="000000" w:themeColor="text1"/>
              </w:rPr>
              <w:t>）</w:t>
            </w:r>
          </w:p>
        </w:tc>
        <w:tc>
          <w:tcPr>
            <w:tcW w:w="2888" w:type="dxa"/>
            <w:gridSpan w:val="3"/>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27.4</w:t>
            </w:r>
          </w:p>
        </w:tc>
      </w:tr>
      <w:tr w:rsidR="00C861DA">
        <w:trPr>
          <w:cantSplit/>
          <w:trHeight w:val="340"/>
          <w:jc w:val="center"/>
        </w:trPr>
        <w:tc>
          <w:tcPr>
            <w:tcW w:w="437" w:type="dxa"/>
            <w:vMerge/>
            <w:vAlign w:val="center"/>
          </w:tcPr>
          <w:p w:rsidR="00C861DA" w:rsidRDefault="00C861DA">
            <w:pPr>
              <w:jc w:val="center"/>
              <w:rPr>
                <w:rFonts w:ascii="Times New Roman" w:eastAsia="宋体" w:hAnsi="Times New Roman" w:cs="Times New Roman"/>
                <w:color w:val="000000" w:themeColor="text1"/>
              </w:rPr>
            </w:pPr>
          </w:p>
        </w:tc>
        <w:tc>
          <w:tcPr>
            <w:tcW w:w="154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引燃温度（</w:t>
            </w:r>
            <w:r>
              <w:rPr>
                <w:rFonts w:ascii="宋体" w:eastAsia="宋体" w:hAnsi="宋体" w:cs="宋体" w:hint="eastAsia"/>
                <w:color w:val="000000" w:themeColor="text1"/>
              </w:rPr>
              <w:t>℃</w:t>
            </w:r>
            <w:r>
              <w:rPr>
                <w:rFonts w:ascii="Times New Roman" w:eastAsia="宋体" w:hAnsi="Times New Roman" w:cs="Times New Roman"/>
                <w:color w:val="000000" w:themeColor="text1"/>
              </w:rPr>
              <w:t>）</w:t>
            </w:r>
          </w:p>
        </w:tc>
        <w:tc>
          <w:tcPr>
            <w:tcW w:w="1527"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651</w:t>
            </w:r>
          </w:p>
        </w:tc>
        <w:tc>
          <w:tcPr>
            <w:tcW w:w="1898"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爆炸下限（</w:t>
            </w:r>
            <w:r>
              <w:rPr>
                <w:rFonts w:ascii="Times New Roman" w:eastAsia="宋体" w:hAnsi="Times New Roman" w:cs="Times New Roman"/>
                <w:color w:val="000000" w:themeColor="text1"/>
              </w:rPr>
              <w:t>v%</w:t>
            </w:r>
            <w:r>
              <w:rPr>
                <w:rFonts w:ascii="Times New Roman" w:eastAsia="宋体" w:hAnsi="Times New Roman" w:cs="Times New Roman"/>
                <w:color w:val="000000" w:themeColor="text1"/>
              </w:rPr>
              <w:t>）</w:t>
            </w:r>
          </w:p>
        </w:tc>
        <w:tc>
          <w:tcPr>
            <w:tcW w:w="2888" w:type="dxa"/>
            <w:gridSpan w:val="3"/>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15.7</w:t>
            </w:r>
          </w:p>
        </w:tc>
      </w:tr>
      <w:tr w:rsidR="00C861DA">
        <w:trPr>
          <w:cantSplit/>
          <w:trHeight w:val="340"/>
          <w:jc w:val="center"/>
        </w:trPr>
        <w:tc>
          <w:tcPr>
            <w:tcW w:w="437" w:type="dxa"/>
            <w:vMerge/>
            <w:vAlign w:val="center"/>
          </w:tcPr>
          <w:p w:rsidR="00C861DA" w:rsidRDefault="00C861DA">
            <w:pPr>
              <w:jc w:val="center"/>
              <w:rPr>
                <w:rFonts w:ascii="Times New Roman" w:eastAsia="宋体" w:hAnsi="Times New Roman" w:cs="Times New Roman"/>
                <w:color w:val="000000" w:themeColor="text1"/>
              </w:rPr>
            </w:pPr>
          </w:p>
        </w:tc>
        <w:tc>
          <w:tcPr>
            <w:tcW w:w="154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危险特性</w:t>
            </w:r>
          </w:p>
        </w:tc>
        <w:tc>
          <w:tcPr>
            <w:tcW w:w="6313" w:type="dxa"/>
            <w:gridSpan w:val="7"/>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与空气混合能形成爆炸性混合物。遇明火、高热能引起燃烧爆炸。与氟、氯等接触会发生剧烈的化学反应。若遇高热，容器内压增大，有开裂和爆炸的危险。</w:t>
            </w:r>
          </w:p>
        </w:tc>
      </w:tr>
      <w:tr w:rsidR="00C861DA">
        <w:trPr>
          <w:cantSplit/>
          <w:trHeight w:val="340"/>
          <w:jc w:val="center"/>
        </w:trPr>
        <w:tc>
          <w:tcPr>
            <w:tcW w:w="437" w:type="dxa"/>
            <w:vMerge/>
            <w:vAlign w:val="center"/>
          </w:tcPr>
          <w:p w:rsidR="00C861DA" w:rsidRDefault="00C861DA">
            <w:pPr>
              <w:jc w:val="center"/>
              <w:rPr>
                <w:rFonts w:ascii="Times New Roman" w:eastAsia="宋体" w:hAnsi="Times New Roman" w:cs="Times New Roman"/>
                <w:color w:val="000000" w:themeColor="text1"/>
              </w:rPr>
            </w:pPr>
          </w:p>
        </w:tc>
        <w:tc>
          <w:tcPr>
            <w:tcW w:w="154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储运条件</w:t>
            </w:r>
          </w:p>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与泄漏处理</w:t>
            </w:r>
          </w:p>
        </w:tc>
        <w:tc>
          <w:tcPr>
            <w:tcW w:w="6313" w:type="dxa"/>
            <w:gridSpan w:val="7"/>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储运条件：储存在阴凉、通风良好的专用库房内或大型气柜，远离容易起火的地方。与氧化剂、酸类、卤素接触隔离储运。泄漏处理：切断火源，勿使其燃烧，同时关闭阀门等，制止渗漏；并用雾状水保护阀门人员；操作时必须穿戴防毒面具与手套。对残余废气或钢瓶泄漏出气要用排风机排至空旷地方。</w:t>
            </w:r>
          </w:p>
        </w:tc>
      </w:tr>
      <w:tr w:rsidR="00C861DA">
        <w:trPr>
          <w:cantSplit/>
          <w:trHeight w:val="340"/>
          <w:jc w:val="center"/>
        </w:trPr>
        <w:tc>
          <w:tcPr>
            <w:tcW w:w="437" w:type="dxa"/>
            <w:vMerge/>
            <w:vAlign w:val="center"/>
          </w:tcPr>
          <w:p w:rsidR="00C861DA" w:rsidRDefault="00C861DA">
            <w:pPr>
              <w:jc w:val="center"/>
              <w:rPr>
                <w:rFonts w:ascii="Times New Roman" w:eastAsia="宋体" w:hAnsi="Times New Roman" w:cs="Times New Roman"/>
                <w:color w:val="000000" w:themeColor="text1"/>
              </w:rPr>
            </w:pPr>
          </w:p>
        </w:tc>
        <w:tc>
          <w:tcPr>
            <w:tcW w:w="1546"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灭火方法</w:t>
            </w:r>
          </w:p>
        </w:tc>
        <w:tc>
          <w:tcPr>
            <w:tcW w:w="6313" w:type="dxa"/>
            <w:gridSpan w:val="7"/>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消防人员必须穿全身防火防毒服，在上风向灭火。切断气源。若不能切断气源，则不允许熄灭泄漏处的火焰。喷水冷却容器，可能的话将容器从火场移至空旷处。灭火剂：雾状水、抗溶性泡沫、二氧化碳、砂土。</w:t>
            </w:r>
          </w:p>
        </w:tc>
      </w:tr>
    </w:tbl>
    <w:p w:rsidR="00C861DA" w:rsidRDefault="00C861DA">
      <w:pPr>
        <w:spacing w:line="360" w:lineRule="auto"/>
        <w:ind w:firstLineChars="200" w:firstLine="480"/>
        <w:jc w:val="both"/>
        <w:rPr>
          <w:rFonts w:ascii="Times New Roman" w:eastAsia="宋体" w:hAnsi="Times New Roman" w:cs="Times New Roman"/>
          <w:color w:val="000000" w:themeColor="text1"/>
          <w:sz w:val="24"/>
        </w:rPr>
      </w:pPr>
    </w:p>
    <w:p w:rsidR="00C861DA" w:rsidRDefault="0044752E">
      <w:pPr>
        <w:snapToGrid w:val="0"/>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8.1-2  </w:t>
      </w:r>
      <w:r>
        <w:rPr>
          <w:rFonts w:ascii="Times New Roman" w:eastAsia="宋体" w:hAnsi="Times New Roman" w:cs="Times New Roman" w:hint="eastAsia"/>
          <w:b/>
          <w:color w:val="000000" w:themeColor="text1"/>
          <w:sz w:val="24"/>
        </w:rPr>
        <w:t>中间产物</w:t>
      </w:r>
      <w:r>
        <w:rPr>
          <w:rFonts w:ascii="Times New Roman" w:eastAsia="宋体" w:hAnsi="Times New Roman" w:cs="Times New Roman"/>
          <w:b/>
          <w:color w:val="000000" w:themeColor="text1"/>
          <w:sz w:val="24"/>
        </w:rPr>
        <w:t>理化性质和毒性一览表</w:t>
      </w:r>
      <w:r>
        <w:rPr>
          <w:rFonts w:ascii="Times New Roman" w:eastAsia="宋体" w:hAnsi="Times New Roman" w:cs="Times New Roman" w:hint="eastAsia"/>
          <w:b/>
          <w:color w:val="000000" w:themeColor="text1"/>
          <w:sz w:val="24"/>
        </w:rPr>
        <w:t>（硝酸铵）</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1689"/>
        <w:gridCol w:w="984"/>
        <w:gridCol w:w="400"/>
        <w:gridCol w:w="1256"/>
        <w:gridCol w:w="642"/>
        <w:gridCol w:w="51"/>
        <w:gridCol w:w="1984"/>
        <w:gridCol w:w="854"/>
      </w:tblGrid>
      <w:tr w:rsidR="00C861DA">
        <w:trPr>
          <w:cantSplit/>
          <w:trHeight w:val="340"/>
          <w:jc w:val="center"/>
        </w:trPr>
        <w:tc>
          <w:tcPr>
            <w:tcW w:w="436"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标识</w:t>
            </w:r>
          </w:p>
        </w:tc>
        <w:tc>
          <w:tcPr>
            <w:tcW w:w="5022" w:type="dxa"/>
            <w:gridSpan w:val="6"/>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中文名：硝酸铵、硝铵</w:t>
            </w:r>
          </w:p>
        </w:tc>
        <w:tc>
          <w:tcPr>
            <w:tcW w:w="2838" w:type="dxa"/>
            <w:gridSpan w:val="2"/>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危险货物编号：</w:t>
            </w:r>
            <w:r>
              <w:rPr>
                <w:rFonts w:ascii="Times New Roman" w:eastAsia="宋体" w:hAnsi="Times New Roman" w:cs="Times New Roman"/>
                <w:color w:val="000000" w:themeColor="text1"/>
              </w:rPr>
              <w:t>51069</w:t>
            </w:r>
          </w:p>
        </w:tc>
      </w:tr>
      <w:tr w:rsidR="00C861DA">
        <w:trPr>
          <w:cantSplit/>
          <w:trHeight w:val="340"/>
          <w:jc w:val="center"/>
        </w:trPr>
        <w:tc>
          <w:tcPr>
            <w:tcW w:w="436" w:type="dxa"/>
            <w:vMerge/>
            <w:vAlign w:val="center"/>
          </w:tcPr>
          <w:p w:rsidR="00C861DA" w:rsidRDefault="00C861DA">
            <w:pPr>
              <w:jc w:val="center"/>
              <w:rPr>
                <w:rFonts w:ascii="Times New Roman" w:eastAsia="宋体" w:hAnsi="Times New Roman" w:cs="Times New Roman"/>
                <w:color w:val="000000" w:themeColor="text1"/>
              </w:rPr>
            </w:pPr>
          </w:p>
        </w:tc>
        <w:tc>
          <w:tcPr>
            <w:tcW w:w="5022" w:type="dxa"/>
            <w:gridSpan w:val="6"/>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英文名：</w:t>
            </w:r>
            <w:r>
              <w:rPr>
                <w:rFonts w:ascii="Times New Roman" w:eastAsia="宋体" w:hAnsi="Times New Roman" w:cs="Times New Roman"/>
                <w:color w:val="000000" w:themeColor="text1"/>
              </w:rPr>
              <w:t>ammonium nitrate </w:t>
            </w:r>
          </w:p>
        </w:tc>
        <w:tc>
          <w:tcPr>
            <w:tcW w:w="2838" w:type="dxa"/>
            <w:gridSpan w:val="2"/>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UN</w:t>
            </w:r>
            <w:r>
              <w:rPr>
                <w:rFonts w:ascii="Times New Roman" w:eastAsia="宋体" w:hAnsi="Times New Roman" w:cs="Times New Roman"/>
                <w:color w:val="000000" w:themeColor="text1"/>
              </w:rPr>
              <w:t>编号：</w:t>
            </w:r>
            <w:r>
              <w:rPr>
                <w:rFonts w:ascii="Times New Roman" w:eastAsia="宋体" w:hAnsi="Times New Roman" w:cs="Times New Roman"/>
                <w:color w:val="000000" w:themeColor="text1"/>
              </w:rPr>
              <w:t>1942</w:t>
            </w:r>
          </w:p>
        </w:tc>
      </w:tr>
      <w:tr w:rsidR="00C861DA">
        <w:trPr>
          <w:cantSplit/>
          <w:trHeight w:val="340"/>
          <w:jc w:val="center"/>
        </w:trPr>
        <w:tc>
          <w:tcPr>
            <w:tcW w:w="436" w:type="dxa"/>
            <w:vMerge/>
            <w:vAlign w:val="center"/>
          </w:tcPr>
          <w:p w:rsidR="00C861DA" w:rsidRDefault="00C861DA">
            <w:pPr>
              <w:jc w:val="center"/>
              <w:rPr>
                <w:rFonts w:ascii="Times New Roman" w:eastAsia="宋体" w:hAnsi="Times New Roman" w:cs="Times New Roman"/>
                <w:color w:val="000000" w:themeColor="text1"/>
              </w:rPr>
            </w:pPr>
          </w:p>
        </w:tc>
        <w:tc>
          <w:tcPr>
            <w:tcW w:w="2673"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分子式：</w:t>
            </w:r>
            <w:r>
              <w:rPr>
                <w:rFonts w:ascii="Times New Roman" w:eastAsia="宋体" w:hAnsi="Times New Roman" w:cs="Times New Roman"/>
                <w:color w:val="000000" w:themeColor="text1"/>
              </w:rPr>
              <w:t>NH</w:t>
            </w:r>
            <w:r>
              <w:rPr>
                <w:rFonts w:ascii="Times New Roman" w:eastAsia="宋体" w:hAnsi="Times New Roman" w:cs="Times New Roman"/>
                <w:color w:val="000000" w:themeColor="text1"/>
                <w:vertAlign w:val="subscript"/>
              </w:rPr>
              <w:t>4</w:t>
            </w:r>
            <w:r>
              <w:rPr>
                <w:rFonts w:ascii="Times New Roman" w:eastAsia="宋体" w:hAnsi="Times New Roman" w:cs="Times New Roman"/>
                <w:color w:val="000000" w:themeColor="text1"/>
              </w:rPr>
              <w:t>NO</w:t>
            </w:r>
            <w:r>
              <w:rPr>
                <w:rFonts w:ascii="Times New Roman" w:eastAsia="宋体" w:hAnsi="Times New Roman" w:cs="Times New Roman"/>
                <w:color w:val="000000" w:themeColor="text1"/>
                <w:vertAlign w:val="subscript"/>
              </w:rPr>
              <w:t>3</w:t>
            </w:r>
          </w:p>
        </w:tc>
        <w:tc>
          <w:tcPr>
            <w:tcW w:w="2349" w:type="dxa"/>
            <w:gridSpan w:val="4"/>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分子量：</w:t>
            </w:r>
            <w:r>
              <w:rPr>
                <w:rFonts w:ascii="Times New Roman" w:eastAsia="宋体" w:hAnsi="Times New Roman" w:cs="Times New Roman"/>
                <w:color w:val="000000" w:themeColor="text1"/>
              </w:rPr>
              <w:t>80</w:t>
            </w:r>
          </w:p>
        </w:tc>
        <w:tc>
          <w:tcPr>
            <w:tcW w:w="2838"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CAS</w:t>
            </w:r>
            <w:r>
              <w:rPr>
                <w:rFonts w:ascii="Times New Roman" w:eastAsia="宋体" w:hAnsi="Times New Roman" w:cs="Times New Roman"/>
                <w:color w:val="000000" w:themeColor="text1"/>
              </w:rPr>
              <w:t>号：</w:t>
            </w:r>
            <w:r>
              <w:rPr>
                <w:rFonts w:ascii="Times New Roman" w:eastAsia="宋体" w:hAnsi="Times New Roman" w:cs="Times New Roman"/>
                <w:color w:val="000000" w:themeColor="text1"/>
              </w:rPr>
              <w:t>6484-52-2</w:t>
            </w:r>
          </w:p>
        </w:tc>
      </w:tr>
      <w:tr w:rsidR="00C861DA">
        <w:trPr>
          <w:cantSplit/>
          <w:trHeight w:val="340"/>
          <w:jc w:val="center"/>
        </w:trPr>
        <w:tc>
          <w:tcPr>
            <w:tcW w:w="436"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理化性质</w:t>
            </w: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外观与性状</w:t>
            </w:r>
          </w:p>
        </w:tc>
        <w:tc>
          <w:tcPr>
            <w:tcW w:w="6171" w:type="dxa"/>
            <w:gridSpan w:val="7"/>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无色无臭的透明结晶或呈白色的小颗粒，有潮解性</w:t>
            </w:r>
          </w:p>
        </w:tc>
      </w:tr>
      <w:tr w:rsidR="00C861DA">
        <w:trPr>
          <w:cantSplit/>
          <w:trHeight w:val="340"/>
          <w:jc w:val="center"/>
        </w:trPr>
        <w:tc>
          <w:tcPr>
            <w:tcW w:w="436" w:type="dxa"/>
            <w:vMerge/>
            <w:vAlign w:val="center"/>
          </w:tcPr>
          <w:p w:rsidR="00C861DA" w:rsidRDefault="00C861DA">
            <w:pPr>
              <w:jc w:val="cente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熔点（</w:t>
            </w:r>
            <w:r>
              <w:rPr>
                <w:rFonts w:ascii="宋体" w:eastAsia="宋体" w:hAnsi="宋体" w:cs="宋体" w:hint="eastAsia"/>
                <w:color w:val="000000" w:themeColor="text1"/>
              </w:rPr>
              <w:t>℃</w:t>
            </w:r>
            <w:r>
              <w:rPr>
                <w:rFonts w:ascii="Times New Roman" w:eastAsia="宋体" w:hAnsi="Times New Roman" w:cs="Times New Roman"/>
                <w:color w:val="000000" w:themeColor="text1"/>
              </w:rPr>
              <w:t>）</w:t>
            </w:r>
          </w:p>
        </w:tc>
        <w:tc>
          <w:tcPr>
            <w:tcW w:w="984"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169.6</w:t>
            </w:r>
          </w:p>
        </w:tc>
        <w:tc>
          <w:tcPr>
            <w:tcW w:w="1656"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相对密度（水</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w:t>
            </w:r>
          </w:p>
        </w:tc>
        <w:tc>
          <w:tcPr>
            <w:tcW w:w="693"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1.72</w:t>
            </w:r>
          </w:p>
        </w:tc>
        <w:tc>
          <w:tcPr>
            <w:tcW w:w="1984"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相对密度（空气</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w:t>
            </w:r>
          </w:p>
        </w:tc>
        <w:tc>
          <w:tcPr>
            <w:tcW w:w="854"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cantSplit/>
          <w:trHeight w:val="340"/>
          <w:jc w:val="center"/>
        </w:trPr>
        <w:tc>
          <w:tcPr>
            <w:tcW w:w="436" w:type="dxa"/>
            <w:vMerge/>
            <w:vAlign w:val="center"/>
          </w:tcPr>
          <w:p w:rsidR="00C861DA" w:rsidRDefault="00C861DA">
            <w:pPr>
              <w:jc w:val="cente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沸点（</w:t>
            </w:r>
            <w:r>
              <w:rPr>
                <w:rFonts w:ascii="宋体" w:eastAsia="宋体" w:hAnsi="宋体" w:cs="宋体" w:hint="eastAsia"/>
                <w:color w:val="000000" w:themeColor="text1"/>
              </w:rPr>
              <w:t>℃</w:t>
            </w:r>
            <w:r>
              <w:rPr>
                <w:rFonts w:ascii="Times New Roman" w:eastAsia="宋体" w:hAnsi="Times New Roman" w:cs="Times New Roman"/>
                <w:color w:val="000000" w:themeColor="text1"/>
              </w:rPr>
              <w:t>）</w:t>
            </w:r>
          </w:p>
        </w:tc>
        <w:tc>
          <w:tcPr>
            <w:tcW w:w="984"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210</w:t>
            </w:r>
          </w:p>
        </w:tc>
        <w:tc>
          <w:tcPr>
            <w:tcW w:w="2349" w:type="dxa"/>
            <w:gridSpan w:val="4"/>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饱和蒸气压（</w:t>
            </w:r>
            <w:r>
              <w:rPr>
                <w:rFonts w:ascii="Times New Roman" w:eastAsia="宋体" w:hAnsi="Times New Roman" w:cs="Times New Roman"/>
                <w:color w:val="000000" w:themeColor="text1"/>
              </w:rPr>
              <w:t>kPa</w:t>
            </w:r>
            <w:r>
              <w:rPr>
                <w:rFonts w:ascii="Times New Roman" w:eastAsia="宋体" w:hAnsi="Times New Roman" w:cs="Times New Roman"/>
                <w:color w:val="000000" w:themeColor="text1"/>
              </w:rPr>
              <w:t>）</w:t>
            </w:r>
          </w:p>
        </w:tc>
        <w:tc>
          <w:tcPr>
            <w:tcW w:w="2838"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 </w:t>
            </w:r>
          </w:p>
        </w:tc>
      </w:tr>
      <w:tr w:rsidR="00C861DA">
        <w:trPr>
          <w:cantSplit/>
          <w:trHeight w:val="340"/>
          <w:jc w:val="center"/>
        </w:trPr>
        <w:tc>
          <w:tcPr>
            <w:tcW w:w="436" w:type="dxa"/>
            <w:vMerge/>
            <w:vAlign w:val="center"/>
          </w:tcPr>
          <w:p w:rsidR="00C861DA" w:rsidRDefault="00C861DA">
            <w:pPr>
              <w:jc w:val="cente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溶解性</w:t>
            </w:r>
          </w:p>
        </w:tc>
        <w:tc>
          <w:tcPr>
            <w:tcW w:w="6171" w:type="dxa"/>
            <w:gridSpan w:val="7"/>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易溶于乙醇、乙醚。</w:t>
            </w:r>
          </w:p>
        </w:tc>
      </w:tr>
      <w:tr w:rsidR="00C861DA">
        <w:trPr>
          <w:cantSplit/>
          <w:trHeight w:val="340"/>
          <w:jc w:val="center"/>
        </w:trPr>
        <w:tc>
          <w:tcPr>
            <w:tcW w:w="436"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毒性及健康危害</w:t>
            </w: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侵入途径</w:t>
            </w:r>
          </w:p>
        </w:tc>
        <w:tc>
          <w:tcPr>
            <w:tcW w:w="6171" w:type="dxa"/>
            <w:gridSpan w:val="7"/>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吸入、食入、经皮吸收。</w:t>
            </w:r>
          </w:p>
        </w:tc>
      </w:tr>
      <w:tr w:rsidR="00C861DA">
        <w:trPr>
          <w:cantSplit/>
          <w:trHeight w:val="340"/>
          <w:jc w:val="center"/>
        </w:trPr>
        <w:tc>
          <w:tcPr>
            <w:tcW w:w="436" w:type="dxa"/>
            <w:vMerge/>
            <w:vAlign w:val="center"/>
          </w:tcPr>
          <w:p w:rsidR="00C861DA" w:rsidRDefault="00C861DA">
            <w:pPr>
              <w:jc w:val="cente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毒性</w:t>
            </w:r>
          </w:p>
        </w:tc>
        <w:tc>
          <w:tcPr>
            <w:tcW w:w="6171" w:type="dxa"/>
            <w:gridSpan w:val="7"/>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LD</w:t>
            </w:r>
            <w:r>
              <w:rPr>
                <w:rFonts w:ascii="Times New Roman" w:eastAsia="宋体" w:hAnsi="Times New Roman" w:cs="Times New Roman"/>
                <w:color w:val="000000" w:themeColor="text1"/>
                <w:vertAlign w:val="subscript"/>
              </w:rPr>
              <w:t>50</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4820mg/kg(</w:t>
            </w:r>
            <w:r>
              <w:rPr>
                <w:rFonts w:ascii="Times New Roman" w:eastAsia="宋体" w:hAnsi="Times New Roman" w:cs="Times New Roman"/>
                <w:color w:val="000000" w:themeColor="text1"/>
              </w:rPr>
              <w:t>大鼠经口</w:t>
            </w:r>
            <w:r>
              <w:rPr>
                <w:rFonts w:ascii="Times New Roman" w:eastAsia="宋体" w:hAnsi="Times New Roman" w:cs="Times New Roman"/>
                <w:color w:val="000000" w:themeColor="text1"/>
              </w:rPr>
              <w:t>)</w:t>
            </w:r>
          </w:p>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PAC-1:440mg/kg</w:t>
            </w:r>
          </w:p>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PAC-2:73 mg/kg</w:t>
            </w:r>
          </w:p>
        </w:tc>
      </w:tr>
      <w:tr w:rsidR="00C861DA">
        <w:trPr>
          <w:cantSplit/>
          <w:trHeight w:val="340"/>
          <w:jc w:val="center"/>
        </w:trPr>
        <w:tc>
          <w:tcPr>
            <w:tcW w:w="436" w:type="dxa"/>
            <w:vMerge/>
            <w:vAlign w:val="center"/>
          </w:tcPr>
          <w:p w:rsidR="00C861DA" w:rsidRDefault="00C861DA">
            <w:pPr>
              <w:jc w:val="cente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健康危害</w:t>
            </w:r>
          </w:p>
        </w:tc>
        <w:tc>
          <w:tcPr>
            <w:tcW w:w="6171" w:type="dxa"/>
            <w:gridSpan w:val="7"/>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对呼吸道、眼及皮肤有刺激性。接触后可引起恶心、呕吐、头痛、虚弱、无力和虚脱等。大量接触可引起高铁血红蛋白血症，影响血液的携氧能力，出现紫绀、头痛、头晕、虚脱，甚至死亡。口服引起剧烈腹痛、呕吐、血便、休克、全身抽搐、昏迷，甚至死亡。</w:t>
            </w:r>
          </w:p>
        </w:tc>
      </w:tr>
      <w:tr w:rsidR="00C861DA">
        <w:trPr>
          <w:cantSplit/>
          <w:trHeight w:val="340"/>
          <w:jc w:val="center"/>
        </w:trPr>
        <w:tc>
          <w:tcPr>
            <w:tcW w:w="436" w:type="dxa"/>
            <w:vMerge/>
            <w:vAlign w:val="center"/>
          </w:tcPr>
          <w:p w:rsidR="00C861DA" w:rsidRDefault="00C861DA">
            <w:pPr>
              <w:jc w:val="cente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急救方法</w:t>
            </w:r>
          </w:p>
        </w:tc>
        <w:tc>
          <w:tcPr>
            <w:tcW w:w="6171" w:type="dxa"/>
            <w:gridSpan w:val="7"/>
            <w:vAlign w:val="center"/>
          </w:tcPr>
          <w:p w:rsidR="00C861DA" w:rsidRDefault="0044752E">
            <w:pPr>
              <w:ind w:firstLineChars="200" w:firstLine="422"/>
              <w:rPr>
                <w:rFonts w:ascii="Times New Roman" w:eastAsia="宋体" w:hAnsi="Times New Roman" w:cs="Times New Roman"/>
                <w:color w:val="000000" w:themeColor="text1"/>
              </w:rPr>
            </w:pPr>
            <w:r>
              <w:rPr>
                <w:rFonts w:ascii="Times New Roman" w:eastAsia="宋体" w:hAnsi="Times New Roman" w:cs="Times New Roman"/>
                <w:b/>
                <w:color w:val="000000" w:themeColor="text1"/>
              </w:rPr>
              <w:t>皮肤接触：</w:t>
            </w:r>
            <w:r>
              <w:rPr>
                <w:rFonts w:ascii="Times New Roman" w:eastAsia="宋体" w:hAnsi="Times New Roman" w:cs="Times New Roman"/>
                <w:color w:val="000000" w:themeColor="text1"/>
              </w:rPr>
              <w:t>脱去污染的衣着，用大量流动清水冲洗。</w:t>
            </w:r>
          </w:p>
          <w:p w:rsidR="00C861DA" w:rsidRDefault="0044752E">
            <w:pPr>
              <w:ind w:firstLineChars="200" w:firstLine="422"/>
              <w:rPr>
                <w:rFonts w:ascii="Times New Roman" w:eastAsia="宋体" w:hAnsi="Times New Roman" w:cs="Times New Roman"/>
                <w:color w:val="000000" w:themeColor="text1"/>
              </w:rPr>
            </w:pPr>
            <w:r>
              <w:rPr>
                <w:rFonts w:ascii="Times New Roman" w:eastAsia="宋体" w:hAnsi="Times New Roman" w:cs="Times New Roman"/>
                <w:b/>
                <w:color w:val="000000" w:themeColor="text1"/>
              </w:rPr>
              <w:t>眼睛接触：</w:t>
            </w:r>
            <w:r>
              <w:rPr>
                <w:rFonts w:ascii="Times New Roman" w:eastAsia="宋体" w:hAnsi="Times New Roman" w:cs="Times New Roman"/>
                <w:color w:val="000000" w:themeColor="text1"/>
              </w:rPr>
              <w:t>提起眼睑，用流动清水或生理盐水冲洗。就医。</w:t>
            </w:r>
          </w:p>
          <w:p w:rsidR="00C861DA" w:rsidRDefault="0044752E">
            <w:pPr>
              <w:ind w:firstLineChars="200" w:firstLine="422"/>
              <w:rPr>
                <w:rFonts w:ascii="Times New Roman" w:eastAsia="宋体" w:hAnsi="Times New Roman" w:cs="Times New Roman"/>
                <w:color w:val="000000" w:themeColor="text1"/>
              </w:rPr>
            </w:pPr>
            <w:r>
              <w:rPr>
                <w:rFonts w:ascii="Times New Roman" w:eastAsia="宋体" w:hAnsi="Times New Roman" w:cs="Times New Roman"/>
                <w:b/>
                <w:color w:val="000000" w:themeColor="text1"/>
              </w:rPr>
              <w:t>吸入：</w:t>
            </w:r>
            <w:r>
              <w:rPr>
                <w:rFonts w:ascii="Times New Roman" w:eastAsia="宋体" w:hAnsi="Times New Roman" w:cs="Times New Roman"/>
                <w:color w:val="000000" w:themeColor="text1"/>
              </w:rPr>
              <w:t>迅速脱离现场至空气新鲜处。保持呼吸道通畅。如呼吸困难，给输氧。如呼吸停止，立即进行人工呼吸就医。</w:t>
            </w:r>
          </w:p>
        </w:tc>
      </w:tr>
      <w:tr w:rsidR="00C861DA">
        <w:trPr>
          <w:cantSplit/>
          <w:trHeight w:val="340"/>
          <w:jc w:val="center"/>
        </w:trPr>
        <w:tc>
          <w:tcPr>
            <w:tcW w:w="436" w:type="dxa"/>
            <w:vMerge w:val="restart"/>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燃烧爆炸危险性</w:t>
            </w: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燃烧性</w:t>
            </w:r>
          </w:p>
        </w:tc>
        <w:tc>
          <w:tcPr>
            <w:tcW w:w="1384"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可燃</w:t>
            </w:r>
          </w:p>
        </w:tc>
        <w:tc>
          <w:tcPr>
            <w:tcW w:w="1898"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燃烧分解物</w:t>
            </w:r>
          </w:p>
        </w:tc>
        <w:tc>
          <w:tcPr>
            <w:tcW w:w="2889" w:type="dxa"/>
            <w:gridSpan w:val="3"/>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氮氧化物</w:t>
            </w:r>
          </w:p>
        </w:tc>
      </w:tr>
      <w:tr w:rsidR="00C861DA">
        <w:trPr>
          <w:cantSplit/>
          <w:trHeight w:val="340"/>
          <w:jc w:val="center"/>
        </w:trPr>
        <w:tc>
          <w:tcPr>
            <w:tcW w:w="436" w:type="dxa"/>
            <w:vMerge/>
            <w:vAlign w:val="center"/>
          </w:tcPr>
          <w:p w:rsidR="00C861DA" w:rsidRDefault="00C861DA">
            <w:pPr>
              <w:jc w:val="cente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闪点（</w:t>
            </w:r>
            <w:r>
              <w:rPr>
                <w:rFonts w:ascii="宋体" w:eastAsia="宋体" w:hAnsi="宋体" w:cs="宋体" w:hint="eastAsia"/>
                <w:color w:val="000000" w:themeColor="text1"/>
              </w:rPr>
              <w:t>℃</w:t>
            </w:r>
            <w:r>
              <w:rPr>
                <w:rFonts w:ascii="Times New Roman" w:eastAsia="宋体" w:hAnsi="Times New Roman" w:cs="Times New Roman"/>
                <w:color w:val="000000" w:themeColor="text1"/>
              </w:rPr>
              <w:t>）</w:t>
            </w:r>
          </w:p>
        </w:tc>
        <w:tc>
          <w:tcPr>
            <w:tcW w:w="1384"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1898"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爆炸上限（</w:t>
            </w:r>
            <w:r>
              <w:rPr>
                <w:rFonts w:ascii="Times New Roman" w:eastAsia="宋体" w:hAnsi="Times New Roman" w:cs="Times New Roman"/>
                <w:color w:val="000000" w:themeColor="text1"/>
              </w:rPr>
              <w:t>v%</w:t>
            </w:r>
            <w:r>
              <w:rPr>
                <w:rFonts w:ascii="Times New Roman" w:eastAsia="宋体" w:hAnsi="Times New Roman" w:cs="Times New Roman"/>
                <w:color w:val="000000" w:themeColor="text1"/>
              </w:rPr>
              <w:t>）</w:t>
            </w:r>
          </w:p>
        </w:tc>
        <w:tc>
          <w:tcPr>
            <w:tcW w:w="2889" w:type="dxa"/>
            <w:gridSpan w:val="3"/>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cantSplit/>
          <w:trHeight w:val="340"/>
          <w:jc w:val="center"/>
        </w:trPr>
        <w:tc>
          <w:tcPr>
            <w:tcW w:w="436" w:type="dxa"/>
            <w:vMerge/>
            <w:vAlign w:val="center"/>
          </w:tcPr>
          <w:p w:rsidR="00C861DA" w:rsidRDefault="00C861DA">
            <w:pPr>
              <w:jc w:val="cente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引燃温度（</w:t>
            </w:r>
            <w:r>
              <w:rPr>
                <w:rFonts w:ascii="宋体" w:eastAsia="宋体" w:hAnsi="宋体" w:cs="宋体" w:hint="eastAsia"/>
                <w:color w:val="000000" w:themeColor="text1"/>
              </w:rPr>
              <w:t>℃</w:t>
            </w:r>
            <w:r>
              <w:rPr>
                <w:rFonts w:ascii="Times New Roman" w:eastAsia="宋体" w:hAnsi="Times New Roman" w:cs="Times New Roman"/>
                <w:color w:val="000000" w:themeColor="text1"/>
              </w:rPr>
              <w:t>）</w:t>
            </w:r>
          </w:p>
        </w:tc>
        <w:tc>
          <w:tcPr>
            <w:tcW w:w="1384"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1898"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爆炸下限（</w:t>
            </w:r>
            <w:r>
              <w:rPr>
                <w:rFonts w:ascii="Times New Roman" w:eastAsia="宋体" w:hAnsi="Times New Roman" w:cs="Times New Roman"/>
                <w:color w:val="000000" w:themeColor="text1"/>
              </w:rPr>
              <w:t>v%</w:t>
            </w:r>
            <w:r>
              <w:rPr>
                <w:rFonts w:ascii="Times New Roman" w:eastAsia="宋体" w:hAnsi="Times New Roman" w:cs="Times New Roman"/>
                <w:color w:val="000000" w:themeColor="text1"/>
              </w:rPr>
              <w:t>）</w:t>
            </w:r>
          </w:p>
        </w:tc>
        <w:tc>
          <w:tcPr>
            <w:tcW w:w="2889" w:type="dxa"/>
            <w:gridSpan w:val="3"/>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cantSplit/>
          <w:trHeight w:val="340"/>
          <w:jc w:val="center"/>
        </w:trPr>
        <w:tc>
          <w:tcPr>
            <w:tcW w:w="436" w:type="dxa"/>
            <w:vMerge/>
            <w:vAlign w:val="center"/>
          </w:tcPr>
          <w:p w:rsidR="00C861DA" w:rsidRDefault="00C861DA">
            <w:pPr>
              <w:jc w:val="cente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危险特性</w:t>
            </w:r>
          </w:p>
        </w:tc>
        <w:tc>
          <w:tcPr>
            <w:tcW w:w="6171" w:type="dxa"/>
            <w:gridSpan w:val="7"/>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强氧化剂。遇可燃物着火时，能助长火势。与可燃物粉末混合能发生激烈反应而爆炸。受强烈震动也会起爆。急剧加热时可发生爆炸。与还原剂、有机物、易燃物如硫、磷或金属粉末等混合可形成爆炸性混合物</w:t>
            </w:r>
          </w:p>
        </w:tc>
      </w:tr>
      <w:tr w:rsidR="00C861DA">
        <w:trPr>
          <w:cantSplit/>
          <w:trHeight w:val="340"/>
          <w:jc w:val="center"/>
        </w:trPr>
        <w:tc>
          <w:tcPr>
            <w:tcW w:w="436" w:type="dxa"/>
            <w:vMerge/>
            <w:vAlign w:val="center"/>
          </w:tcPr>
          <w:p w:rsidR="00C861DA" w:rsidRDefault="00C861DA">
            <w:pPr>
              <w:jc w:val="cente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储运条件</w:t>
            </w:r>
          </w:p>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与泄漏处理</w:t>
            </w:r>
          </w:p>
        </w:tc>
        <w:tc>
          <w:tcPr>
            <w:tcW w:w="6171" w:type="dxa"/>
            <w:gridSpan w:val="7"/>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储存于阴凉、通风的库房。远离火种、热源。应与易（可）燃物、还原剂、酸类、活性金属粉末分开存放，切忌混储。储区应备有合适的材料收容泄漏物。禁止震动、撞击和摩擦。</w:t>
            </w:r>
          </w:p>
        </w:tc>
      </w:tr>
      <w:tr w:rsidR="00C861DA">
        <w:trPr>
          <w:cantSplit/>
          <w:trHeight w:val="340"/>
          <w:jc w:val="center"/>
        </w:trPr>
        <w:tc>
          <w:tcPr>
            <w:tcW w:w="436" w:type="dxa"/>
            <w:vMerge/>
            <w:vAlign w:val="center"/>
          </w:tcPr>
          <w:p w:rsidR="00C861DA" w:rsidRDefault="00C861DA">
            <w:pPr>
              <w:jc w:val="cente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灭火方法</w:t>
            </w:r>
          </w:p>
        </w:tc>
        <w:tc>
          <w:tcPr>
            <w:tcW w:w="6171" w:type="dxa"/>
            <w:gridSpan w:val="7"/>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消防人员须佩戴防毒面具、穿全身消防服，在上风向灭火。切勿将水流直接射至熔融物，以免引起严重的流淌火灾或引起剧烈的沸溅。遇大火，消防人员须在有防护掩蔽处操作。灭火剂：水、雾状水。</w:t>
            </w:r>
          </w:p>
        </w:tc>
      </w:tr>
    </w:tbl>
    <w:p w:rsidR="00C861DA" w:rsidRDefault="00C861DA">
      <w:pPr>
        <w:pStyle w:val="21"/>
        <w:rPr>
          <w:color w:val="000000" w:themeColor="text1"/>
        </w:rPr>
      </w:pPr>
    </w:p>
    <w:p w:rsidR="00C861DA" w:rsidRDefault="0044752E">
      <w:pPr>
        <w:snapToGrid w:val="0"/>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8.1-3  </w:t>
      </w:r>
      <w:r>
        <w:rPr>
          <w:rFonts w:ascii="Times New Roman" w:eastAsia="宋体" w:hAnsi="Times New Roman" w:cs="Times New Roman" w:hint="eastAsia"/>
          <w:b/>
          <w:color w:val="000000" w:themeColor="text1"/>
          <w:sz w:val="24"/>
        </w:rPr>
        <w:t>中间产物</w:t>
      </w:r>
      <w:r>
        <w:rPr>
          <w:rFonts w:ascii="Times New Roman" w:eastAsia="宋体" w:hAnsi="Times New Roman" w:cs="Times New Roman"/>
          <w:b/>
          <w:color w:val="000000" w:themeColor="text1"/>
          <w:sz w:val="24"/>
        </w:rPr>
        <w:t>理化性质和毒性一览表</w:t>
      </w:r>
      <w:r>
        <w:rPr>
          <w:rFonts w:ascii="Times New Roman" w:eastAsia="宋体" w:hAnsi="Times New Roman" w:cs="Times New Roman" w:hint="eastAsia"/>
          <w:b/>
          <w:color w:val="000000" w:themeColor="text1"/>
          <w:sz w:val="24"/>
        </w:rPr>
        <w:t>（稀硝酸）</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1689"/>
        <w:gridCol w:w="705"/>
        <w:gridCol w:w="679"/>
        <w:gridCol w:w="1256"/>
        <w:gridCol w:w="642"/>
        <w:gridCol w:w="51"/>
        <w:gridCol w:w="2192"/>
        <w:gridCol w:w="645"/>
      </w:tblGrid>
      <w:tr w:rsidR="00C861DA">
        <w:trPr>
          <w:cantSplit/>
          <w:trHeight w:val="340"/>
          <w:jc w:val="center"/>
        </w:trPr>
        <w:tc>
          <w:tcPr>
            <w:tcW w:w="437" w:type="dxa"/>
            <w:vMerge w:val="restart"/>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标识</w:t>
            </w:r>
          </w:p>
        </w:tc>
        <w:tc>
          <w:tcPr>
            <w:tcW w:w="5022" w:type="dxa"/>
            <w:gridSpan w:val="6"/>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中文名：硝酸</w:t>
            </w:r>
          </w:p>
        </w:tc>
        <w:tc>
          <w:tcPr>
            <w:tcW w:w="2837" w:type="dxa"/>
            <w:gridSpan w:val="2"/>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危险货物编号：</w:t>
            </w:r>
            <w:r>
              <w:rPr>
                <w:rFonts w:ascii="Times New Roman" w:eastAsia="宋体" w:hAnsi="Times New Roman" w:cs="Times New Roman"/>
                <w:color w:val="000000" w:themeColor="text1"/>
              </w:rPr>
              <w:t>81002</w:t>
            </w:r>
          </w:p>
        </w:tc>
      </w:tr>
      <w:tr w:rsidR="00C861DA">
        <w:trPr>
          <w:cantSplit/>
          <w:trHeight w:val="340"/>
          <w:jc w:val="center"/>
        </w:trPr>
        <w:tc>
          <w:tcPr>
            <w:tcW w:w="437" w:type="dxa"/>
            <w:vMerge/>
            <w:vAlign w:val="center"/>
          </w:tcPr>
          <w:p w:rsidR="00C861DA" w:rsidRDefault="00C861DA">
            <w:pPr>
              <w:rPr>
                <w:rFonts w:ascii="Times New Roman" w:eastAsia="宋体" w:hAnsi="Times New Roman" w:cs="Times New Roman"/>
                <w:color w:val="000000" w:themeColor="text1"/>
              </w:rPr>
            </w:pPr>
          </w:p>
        </w:tc>
        <w:tc>
          <w:tcPr>
            <w:tcW w:w="5022" w:type="dxa"/>
            <w:gridSpan w:val="6"/>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英文名：</w:t>
            </w:r>
            <w:r>
              <w:rPr>
                <w:rFonts w:ascii="Times New Roman" w:eastAsia="宋体" w:hAnsi="Times New Roman" w:cs="Times New Roman"/>
                <w:color w:val="000000" w:themeColor="text1"/>
              </w:rPr>
              <w:t>nitric acid</w:t>
            </w:r>
          </w:p>
        </w:tc>
        <w:tc>
          <w:tcPr>
            <w:tcW w:w="2837" w:type="dxa"/>
            <w:gridSpan w:val="2"/>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UN</w:t>
            </w:r>
            <w:r>
              <w:rPr>
                <w:rFonts w:ascii="Times New Roman" w:eastAsia="宋体" w:hAnsi="Times New Roman" w:cs="Times New Roman"/>
                <w:color w:val="000000" w:themeColor="text1"/>
              </w:rPr>
              <w:t>编号：</w:t>
            </w:r>
            <w:r>
              <w:rPr>
                <w:rFonts w:ascii="Times New Roman" w:eastAsia="宋体" w:hAnsi="Times New Roman" w:cs="Times New Roman"/>
                <w:color w:val="000000" w:themeColor="text1"/>
              </w:rPr>
              <w:t>2031</w:t>
            </w:r>
          </w:p>
        </w:tc>
      </w:tr>
      <w:tr w:rsidR="00C861DA">
        <w:trPr>
          <w:cantSplit/>
          <w:trHeight w:val="340"/>
          <w:jc w:val="center"/>
        </w:trPr>
        <w:tc>
          <w:tcPr>
            <w:tcW w:w="437" w:type="dxa"/>
            <w:vMerge/>
            <w:vAlign w:val="center"/>
          </w:tcPr>
          <w:p w:rsidR="00C861DA" w:rsidRDefault="00C861DA">
            <w:pPr>
              <w:rPr>
                <w:rFonts w:ascii="Times New Roman" w:eastAsia="宋体" w:hAnsi="Times New Roman" w:cs="Times New Roman"/>
                <w:color w:val="000000" w:themeColor="text1"/>
              </w:rPr>
            </w:pPr>
          </w:p>
        </w:tc>
        <w:tc>
          <w:tcPr>
            <w:tcW w:w="2394" w:type="dxa"/>
            <w:gridSpan w:val="2"/>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分子式：</w:t>
            </w:r>
            <w:r>
              <w:rPr>
                <w:rFonts w:ascii="Times New Roman" w:eastAsia="宋体" w:hAnsi="Times New Roman" w:cs="Times New Roman"/>
                <w:color w:val="000000" w:themeColor="text1"/>
              </w:rPr>
              <w:t>HNO3</w:t>
            </w:r>
          </w:p>
        </w:tc>
        <w:tc>
          <w:tcPr>
            <w:tcW w:w="2628" w:type="dxa"/>
            <w:gridSpan w:val="4"/>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分子量：</w:t>
            </w:r>
            <w:r>
              <w:rPr>
                <w:rFonts w:ascii="Times New Roman" w:eastAsia="宋体" w:hAnsi="Times New Roman" w:cs="Times New Roman"/>
                <w:color w:val="000000" w:themeColor="text1"/>
              </w:rPr>
              <w:t>63</w:t>
            </w:r>
          </w:p>
        </w:tc>
        <w:tc>
          <w:tcPr>
            <w:tcW w:w="2837" w:type="dxa"/>
            <w:gridSpan w:val="2"/>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CAS</w:t>
            </w:r>
            <w:r>
              <w:rPr>
                <w:rFonts w:ascii="Times New Roman" w:eastAsia="宋体" w:hAnsi="Times New Roman" w:cs="Times New Roman"/>
                <w:color w:val="000000" w:themeColor="text1"/>
              </w:rPr>
              <w:t>号：</w:t>
            </w:r>
            <w:r>
              <w:rPr>
                <w:rFonts w:ascii="Times New Roman" w:eastAsia="宋体" w:hAnsi="Times New Roman" w:cs="Times New Roman"/>
                <w:color w:val="000000" w:themeColor="text1"/>
              </w:rPr>
              <w:t>7697-37-2</w:t>
            </w:r>
          </w:p>
        </w:tc>
      </w:tr>
      <w:tr w:rsidR="00C861DA">
        <w:trPr>
          <w:cantSplit/>
          <w:trHeight w:val="340"/>
          <w:jc w:val="center"/>
        </w:trPr>
        <w:tc>
          <w:tcPr>
            <w:tcW w:w="437" w:type="dxa"/>
            <w:vMerge w:val="restart"/>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理化性质</w:t>
            </w:r>
          </w:p>
        </w:tc>
        <w:tc>
          <w:tcPr>
            <w:tcW w:w="1689" w:type="dxa"/>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外观与性状</w:t>
            </w:r>
          </w:p>
        </w:tc>
        <w:tc>
          <w:tcPr>
            <w:tcW w:w="6170" w:type="dxa"/>
            <w:gridSpan w:val="7"/>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无色无臭的透明结晶或呈白色的小颗粒，有潮解性</w:t>
            </w:r>
          </w:p>
        </w:tc>
      </w:tr>
      <w:tr w:rsidR="00C861DA">
        <w:trPr>
          <w:cantSplit/>
          <w:trHeight w:val="340"/>
          <w:jc w:val="center"/>
        </w:trPr>
        <w:tc>
          <w:tcPr>
            <w:tcW w:w="437" w:type="dxa"/>
            <w:vMerge/>
            <w:vAlign w:val="center"/>
          </w:tcPr>
          <w:p w:rsidR="00C861DA" w:rsidRDefault="00C861DA">
            <w:pPr>
              <w:rPr>
                <w:rFonts w:ascii="Times New Roman" w:eastAsia="宋体" w:hAnsi="Times New Roman" w:cs="Times New Roman"/>
                <w:color w:val="000000" w:themeColor="text1"/>
              </w:rPr>
            </w:pPr>
          </w:p>
        </w:tc>
        <w:tc>
          <w:tcPr>
            <w:tcW w:w="1689" w:type="dxa"/>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熔点（</w:t>
            </w:r>
            <w:r>
              <w:rPr>
                <w:rFonts w:ascii="宋体" w:eastAsia="宋体" w:hAnsi="宋体" w:cs="宋体" w:hint="eastAsia"/>
                <w:color w:val="000000" w:themeColor="text1"/>
              </w:rPr>
              <w:t>℃</w:t>
            </w:r>
            <w:r>
              <w:rPr>
                <w:rFonts w:ascii="Times New Roman" w:eastAsia="宋体" w:hAnsi="Times New Roman" w:cs="Times New Roman"/>
                <w:color w:val="000000" w:themeColor="text1"/>
              </w:rPr>
              <w:t>）</w:t>
            </w:r>
          </w:p>
        </w:tc>
        <w:tc>
          <w:tcPr>
            <w:tcW w:w="70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-42</w:t>
            </w:r>
          </w:p>
        </w:tc>
        <w:tc>
          <w:tcPr>
            <w:tcW w:w="1935" w:type="dxa"/>
            <w:gridSpan w:val="2"/>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相对密度（水</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w:t>
            </w:r>
          </w:p>
        </w:tc>
        <w:tc>
          <w:tcPr>
            <w:tcW w:w="693" w:type="dxa"/>
            <w:gridSpan w:val="2"/>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1.5</w:t>
            </w:r>
          </w:p>
        </w:tc>
        <w:tc>
          <w:tcPr>
            <w:tcW w:w="2192" w:type="dxa"/>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相对密度（空气</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w:t>
            </w:r>
          </w:p>
        </w:tc>
        <w:tc>
          <w:tcPr>
            <w:tcW w:w="645" w:type="dxa"/>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2.17</w:t>
            </w:r>
          </w:p>
        </w:tc>
      </w:tr>
      <w:tr w:rsidR="00C861DA">
        <w:trPr>
          <w:cantSplit/>
          <w:trHeight w:val="340"/>
          <w:jc w:val="center"/>
        </w:trPr>
        <w:tc>
          <w:tcPr>
            <w:tcW w:w="437" w:type="dxa"/>
            <w:vMerge/>
            <w:vAlign w:val="center"/>
          </w:tcPr>
          <w:p w:rsidR="00C861DA" w:rsidRDefault="00C861DA">
            <w:pPr>
              <w:rPr>
                <w:rFonts w:ascii="Times New Roman" w:eastAsia="宋体" w:hAnsi="Times New Roman" w:cs="Times New Roman"/>
                <w:color w:val="000000" w:themeColor="text1"/>
              </w:rPr>
            </w:pPr>
          </w:p>
        </w:tc>
        <w:tc>
          <w:tcPr>
            <w:tcW w:w="1689" w:type="dxa"/>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沸点（</w:t>
            </w:r>
            <w:r>
              <w:rPr>
                <w:rFonts w:ascii="宋体" w:eastAsia="宋体" w:hAnsi="宋体" w:cs="宋体" w:hint="eastAsia"/>
                <w:color w:val="000000" w:themeColor="text1"/>
              </w:rPr>
              <w:t>℃</w:t>
            </w:r>
            <w:r>
              <w:rPr>
                <w:rFonts w:ascii="Times New Roman" w:eastAsia="宋体" w:hAnsi="Times New Roman" w:cs="Times New Roman"/>
                <w:color w:val="000000" w:themeColor="text1"/>
              </w:rPr>
              <w:t>）</w:t>
            </w:r>
          </w:p>
        </w:tc>
        <w:tc>
          <w:tcPr>
            <w:tcW w:w="705"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86</w:t>
            </w:r>
          </w:p>
        </w:tc>
        <w:tc>
          <w:tcPr>
            <w:tcW w:w="2628" w:type="dxa"/>
            <w:gridSpan w:val="4"/>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饱和蒸气压（</w:t>
            </w:r>
            <w:r>
              <w:rPr>
                <w:rFonts w:ascii="Times New Roman" w:eastAsia="宋体" w:hAnsi="Times New Roman" w:cs="Times New Roman"/>
                <w:color w:val="000000" w:themeColor="text1"/>
              </w:rPr>
              <w:t>kPa</w:t>
            </w:r>
            <w:r>
              <w:rPr>
                <w:rFonts w:ascii="Times New Roman" w:eastAsia="宋体" w:hAnsi="Times New Roman" w:cs="Times New Roman"/>
                <w:color w:val="000000" w:themeColor="text1"/>
              </w:rPr>
              <w:t>）</w:t>
            </w:r>
          </w:p>
        </w:tc>
        <w:tc>
          <w:tcPr>
            <w:tcW w:w="2837" w:type="dxa"/>
            <w:gridSpan w:val="2"/>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4.4</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20</w:t>
            </w:r>
            <w:r>
              <w:rPr>
                <w:rFonts w:ascii="宋体" w:eastAsia="宋体" w:hAnsi="宋体" w:cs="宋体" w:hint="eastAsia"/>
                <w:color w:val="000000" w:themeColor="text1"/>
                <w:lang w:eastAsia="ja-JP"/>
              </w:rPr>
              <w:t>℃</w:t>
            </w:r>
            <w:r>
              <w:rPr>
                <w:rFonts w:ascii="Times New Roman" w:eastAsia="宋体" w:hAnsi="Times New Roman" w:cs="Times New Roman"/>
                <w:color w:val="000000" w:themeColor="text1"/>
              </w:rPr>
              <w:t>）</w:t>
            </w:r>
          </w:p>
        </w:tc>
      </w:tr>
      <w:tr w:rsidR="00C861DA">
        <w:trPr>
          <w:cantSplit/>
          <w:trHeight w:val="340"/>
          <w:jc w:val="center"/>
        </w:trPr>
        <w:tc>
          <w:tcPr>
            <w:tcW w:w="437" w:type="dxa"/>
            <w:vMerge/>
            <w:vAlign w:val="center"/>
          </w:tcPr>
          <w:p w:rsidR="00C861DA" w:rsidRDefault="00C861DA">
            <w:pPr>
              <w:rPr>
                <w:rFonts w:ascii="Times New Roman" w:eastAsia="宋体" w:hAnsi="Times New Roman" w:cs="Times New Roman"/>
                <w:color w:val="000000" w:themeColor="text1"/>
              </w:rPr>
            </w:pPr>
          </w:p>
        </w:tc>
        <w:tc>
          <w:tcPr>
            <w:tcW w:w="1689" w:type="dxa"/>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溶解性</w:t>
            </w:r>
          </w:p>
        </w:tc>
        <w:tc>
          <w:tcPr>
            <w:tcW w:w="6170" w:type="dxa"/>
            <w:gridSpan w:val="7"/>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与水任意比例互溶</w:t>
            </w:r>
          </w:p>
        </w:tc>
      </w:tr>
      <w:tr w:rsidR="00C861DA">
        <w:trPr>
          <w:cantSplit/>
          <w:trHeight w:val="340"/>
          <w:jc w:val="center"/>
        </w:trPr>
        <w:tc>
          <w:tcPr>
            <w:tcW w:w="437" w:type="dxa"/>
            <w:vMerge w:val="restart"/>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毒性及健康危害</w:t>
            </w:r>
          </w:p>
        </w:tc>
        <w:tc>
          <w:tcPr>
            <w:tcW w:w="1689" w:type="dxa"/>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侵入途径</w:t>
            </w:r>
          </w:p>
        </w:tc>
        <w:tc>
          <w:tcPr>
            <w:tcW w:w="6170" w:type="dxa"/>
            <w:gridSpan w:val="7"/>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吸入、食入、经皮吸收。</w:t>
            </w:r>
          </w:p>
        </w:tc>
      </w:tr>
      <w:tr w:rsidR="00C861DA">
        <w:trPr>
          <w:cantSplit/>
          <w:trHeight w:val="340"/>
          <w:jc w:val="center"/>
        </w:trPr>
        <w:tc>
          <w:tcPr>
            <w:tcW w:w="437" w:type="dxa"/>
            <w:vMerge/>
            <w:vAlign w:val="center"/>
          </w:tcPr>
          <w:p w:rsidR="00C861DA" w:rsidRDefault="00C861DA">
            <w:pP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毒性</w:t>
            </w:r>
          </w:p>
        </w:tc>
        <w:tc>
          <w:tcPr>
            <w:tcW w:w="6170" w:type="dxa"/>
            <w:gridSpan w:val="7"/>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PAC-1:240mg/kg</w:t>
            </w:r>
          </w:p>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PAC-2:62 mg/kg</w:t>
            </w:r>
          </w:p>
        </w:tc>
      </w:tr>
      <w:tr w:rsidR="00C861DA">
        <w:trPr>
          <w:cantSplit/>
          <w:trHeight w:val="340"/>
          <w:jc w:val="center"/>
        </w:trPr>
        <w:tc>
          <w:tcPr>
            <w:tcW w:w="437" w:type="dxa"/>
            <w:vMerge/>
            <w:vAlign w:val="center"/>
          </w:tcPr>
          <w:p w:rsidR="00C861DA" w:rsidRDefault="00C861DA">
            <w:pP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健康危害</w:t>
            </w:r>
          </w:p>
        </w:tc>
        <w:tc>
          <w:tcPr>
            <w:tcW w:w="6170" w:type="dxa"/>
            <w:gridSpan w:val="7"/>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其蒸气有刺激作用，引起眼和上呼吸道刺激症状，如流泪、咽喉刺激感、呛咳，并伴有头痛、头晕、胸闷等。口服引起腹部剧痛，严重者可有胃穿孔、腹膜炎、喉痉挛、肾损害、休克以及窒息。皮肤接触引起灼伤。</w:t>
            </w:r>
            <w:r>
              <w:rPr>
                <w:rFonts w:ascii="Times New Roman" w:eastAsia="宋体" w:hAnsi="Times New Roman" w:cs="Times New Roman"/>
                <w:color w:val="000000" w:themeColor="text1"/>
              </w:rPr>
              <w:t xml:space="preserve"> </w:t>
            </w:r>
            <w:r>
              <w:rPr>
                <w:rFonts w:ascii="Times New Roman" w:eastAsia="宋体" w:hAnsi="Times New Roman" w:cs="Times New Roman"/>
                <w:color w:val="000000" w:themeColor="text1"/>
              </w:rPr>
              <w:t>慢性影响：长期接触可引起牙齿酸蚀症。</w:t>
            </w:r>
          </w:p>
        </w:tc>
      </w:tr>
      <w:tr w:rsidR="00C861DA">
        <w:trPr>
          <w:cantSplit/>
          <w:trHeight w:val="340"/>
          <w:jc w:val="center"/>
        </w:trPr>
        <w:tc>
          <w:tcPr>
            <w:tcW w:w="437" w:type="dxa"/>
            <w:vMerge/>
            <w:vAlign w:val="center"/>
          </w:tcPr>
          <w:p w:rsidR="00C861DA" w:rsidRDefault="00C861DA">
            <w:pP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急救方法</w:t>
            </w:r>
          </w:p>
        </w:tc>
        <w:tc>
          <w:tcPr>
            <w:tcW w:w="6170" w:type="dxa"/>
            <w:gridSpan w:val="7"/>
            <w:vAlign w:val="center"/>
          </w:tcPr>
          <w:p w:rsidR="00C861DA" w:rsidRDefault="0044752E">
            <w:pPr>
              <w:ind w:firstLineChars="200" w:firstLine="422"/>
              <w:rPr>
                <w:rFonts w:ascii="Times New Roman" w:eastAsia="宋体" w:hAnsi="Times New Roman" w:cs="Times New Roman"/>
                <w:color w:val="000000" w:themeColor="text1"/>
              </w:rPr>
            </w:pPr>
            <w:r>
              <w:rPr>
                <w:rFonts w:ascii="Times New Roman" w:eastAsia="宋体" w:hAnsi="Times New Roman" w:cs="Times New Roman"/>
                <w:b/>
                <w:color w:val="000000" w:themeColor="text1"/>
              </w:rPr>
              <w:t>皮肤接触：</w:t>
            </w:r>
            <w:r>
              <w:rPr>
                <w:rFonts w:ascii="Times New Roman" w:eastAsia="宋体" w:hAnsi="Times New Roman" w:cs="Times New Roman"/>
                <w:color w:val="000000" w:themeColor="text1"/>
              </w:rPr>
              <w:t>立即脱去污染的衣着，用大量流动清水冲洗至少</w:t>
            </w:r>
            <w:r>
              <w:rPr>
                <w:rFonts w:ascii="Times New Roman" w:eastAsia="宋体" w:hAnsi="Times New Roman" w:cs="Times New Roman"/>
                <w:color w:val="000000" w:themeColor="text1"/>
              </w:rPr>
              <w:t>15</w:t>
            </w:r>
            <w:r>
              <w:rPr>
                <w:rFonts w:ascii="Times New Roman" w:eastAsia="宋体" w:hAnsi="Times New Roman" w:cs="Times New Roman"/>
                <w:color w:val="000000" w:themeColor="text1"/>
              </w:rPr>
              <w:t>分钟</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就医。</w:t>
            </w:r>
          </w:p>
          <w:p w:rsidR="00C861DA" w:rsidRDefault="0044752E">
            <w:pPr>
              <w:ind w:firstLineChars="200" w:firstLine="422"/>
              <w:rPr>
                <w:rFonts w:ascii="Times New Roman" w:eastAsia="宋体" w:hAnsi="Times New Roman" w:cs="Times New Roman"/>
                <w:color w:val="000000" w:themeColor="text1"/>
              </w:rPr>
            </w:pPr>
            <w:r>
              <w:rPr>
                <w:rFonts w:ascii="Times New Roman" w:eastAsia="宋体" w:hAnsi="Times New Roman" w:cs="Times New Roman"/>
                <w:b/>
                <w:color w:val="000000" w:themeColor="text1"/>
              </w:rPr>
              <w:t>眼睛接触：</w:t>
            </w:r>
            <w:r>
              <w:rPr>
                <w:rFonts w:ascii="Times New Roman" w:eastAsia="宋体" w:hAnsi="Times New Roman" w:cs="Times New Roman"/>
                <w:color w:val="000000" w:themeColor="text1"/>
              </w:rPr>
              <w:t>立即提起眼睑，用大量流动清水或生理盐水彻底冲洗至少</w:t>
            </w:r>
            <w:r>
              <w:rPr>
                <w:rFonts w:ascii="Times New Roman" w:eastAsia="宋体" w:hAnsi="Times New Roman" w:cs="Times New Roman"/>
                <w:color w:val="000000" w:themeColor="text1"/>
              </w:rPr>
              <w:t>15</w:t>
            </w:r>
            <w:r>
              <w:rPr>
                <w:rFonts w:ascii="Times New Roman" w:eastAsia="宋体" w:hAnsi="Times New Roman" w:cs="Times New Roman"/>
                <w:color w:val="000000" w:themeColor="text1"/>
              </w:rPr>
              <w:t>分钟</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就医。</w:t>
            </w:r>
          </w:p>
          <w:p w:rsidR="00C861DA" w:rsidRDefault="0044752E">
            <w:pPr>
              <w:ind w:firstLineChars="200" w:firstLine="422"/>
              <w:rPr>
                <w:rFonts w:ascii="Times New Roman" w:eastAsia="宋体" w:hAnsi="Times New Roman" w:cs="Times New Roman"/>
                <w:color w:val="000000" w:themeColor="text1"/>
              </w:rPr>
            </w:pPr>
            <w:r>
              <w:rPr>
                <w:rFonts w:ascii="Times New Roman" w:eastAsia="宋体" w:hAnsi="Times New Roman" w:cs="Times New Roman"/>
                <w:b/>
                <w:color w:val="000000" w:themeColor="text1"/>
              </w:rPr>
              <w:t>吸入：</w:t>
            </w:r>
            <w:r>
              <w:rPr>
                <w:rFonts w:ascii="Times New Roman" w:eastAsia="宋体" w:hAnsi="Times New Roman" w:cs="Times New Roman"/>
                <w:color w:val="000000" w:themeColor="text1"/>
              </w:rPr>
              <w:t>迅速脱离现场至空气新鲜处。保持呼吸道通畅。如呼吸困难，给输氧。如呼吸停止，立即进行人工呼吸</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就医。</w:t>
            </w:r>
          </w:p>
        </w:tc>
      </w:tr>
      <w:tr w:rsidR="00C861DA">
        <w:trPr>
          <w:cantSplit/>
          <w:trHeight w:val="340"/>
          <w:jc w:val="center"/>
        </w:trPr>
        <w:tc>
          <w:tcPr>
            <w:tcW w:w="437" w:type="dxa"/>
            <w:vMerge w:val="restart"/>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燃烧爆炸危险性</w:t>
            </w: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燃烧性</w:t>
            </w:r>
          </w:p>
        </w:tc>
        <w:tc>
          <w:tcPr>
            <w:tcW w:w="1384"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1898" w:type="dxa"/>
            <w:gridSpan w:val="2"/>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燃烧分解物</w:t>
            </w:r>
          </w:p>
        </w:tc>
        <w:tc>
          <w:tcPr>
            <w:tcW w:w="2888" w:type="dxa"/>
            <w:gridSpan w:val="3"/>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氮氧化物</w:t>
            </w:r>
          </w:p>
        </w:tc>
      </w:tr>
      <w:tr w:rsidR="00C861DA">
        <w:trPr>
          <w:cantSplit/>
          <w:trHeight w:val="340"/>
          <w:jc w:val="center"/>
        </w:trPr>
        <w:tc>
          <w:tcPr>
            <w:tcW w:w="437" w:type="dxa"/>
            <w:vMerge/>
            <w:vAlign w:val="center"/>
          </w:tcPr>
          <w:p w:rsidR="00C861DA" w:rsidRDefault="00C861DA">
            <w:pPr>
              <w:rPr>
                <w:rFonts w:ascii="Times New Roman" w:eastAsia="宋体" w:hAnsi="Times New Roman" w:cs="Times New Roman"/>
                <w:color w:val="000000" w:themeColor="text1"/>
              </w:rPr>
            </w:pPr>
          </w:p>
        </w:tc>
        <w:tc>
          <w:tcPr>
            <w:tcW w:w="1689" w:type="dxa"/>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闪点（</w:t>
            </w:r>
            <w:r>
              <w:rPr>
                <w:rFonts w:ascii="宋体" w:eastAsia="宋体" w:hAnsi="宋体" w:cs="宋体" w:hint="eastAsia"/>
                <w:color w:val="000000" w:themeColor="text1"/>
              </w:rPr>
              <w:t>℃</w:t>
            </w:r>
            <w:r>
              <w:rPr>
                <w:rFonts w:ascii="Times New Roman" w:eastAsia="宋体" w:hAnsi="Times New Roman" w:cs="Times New Roman"/>
                <w:color w:val="000000" w:themeColor="text1"/>
              </w:rPr>
              <w:t>）</w:t>
            </w:r>
          </w:p>
        </w:tc>
        <w:tc>
          <w:tcPr>
            <w:tcW w:w="1384"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1898" w:type="dxa"/>
            <w:gridSpan w:val="2"/>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爆炸上限（</w:t>
            </w:r>
            <w:r>
              <w:rPr>
                <w:rFonts w:ascii="Times New Roman" w:eastAsia="宋体" w:hAnsi="Times New Roman" w:cs="Times New Roman"/>
                <w:color w:val="000000" w:themeColor="text1"/>
              </w:rPr>
              <w:t>v%</w:t>
            </w:r>
            <w:r>
              <w:rPr>
                <w:rFonts w:ascii="Times New Roman" w:eastAsia="宋体" w:hAnsi="Times New Roman" w:cs="Times New Roman"/>
                <w:color w:val="000000" w:themeColor="text1"/>
              </w:rPr>
              <w:t>）</w:t>
            </w:r>
          </w:p>
        </w:tc>
        <w:tc>
          <w:tcPr>
            <w:tcW w:w="2888" w:type="dxa"/>
            <w:gridSpan w:val="3"/>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cantSplit/>
          <w:trHeight w:val="340"/>
          <w:jc w:val="center"/>
        </w:trPr>
        <w:tc>
          <w:tcPr>
            <w:tcW w:w="437" w:type="dxa"/>
            <w:vMerge/>
            <w:vAlign w:val="center"/>
          </w:tcPr>
          <w:p w:rsidR="00C861DA" w:rsidRDefault="00C861DA">
            <w:pPr>
              <w:rPr>
                <w:rFonts w:ascii="Times New Roman" w:eastAsia="宋体" w:hAnsi="Times New Roman" w:cs="Times New Roman"/>
                <w:color w:val="000000" w:themeColor="text1"/>
              </w:rPr>
            </w:pPr>
          </w:p>
        </w:tc>
        <w:tc>
          <w:tcPr>
            <w:tcW w:w="1689" w:type="dxa"/>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引燃温度（</w:t>
            </w:r>
            <w:r>
              <w:rPr>
                <w:rFonts w:ascii="宋体" w:eastAsia="宋体" w:hAnsi="宋体" w:cs="宋体" w:hint="eastAsia"/>
                <w:color w:val="000000" w:themeColor="text1"/>
              </w:rPr>
              <w:t>℃</w:t>
            </w:r>
            <w:r>
              <w:rPr>
                <w:rFonts w:ascii="Times New Roman" w:eastAsia="宋体" w:hAnsi="Times New Roman" w:cs="Times New Roman"/>
                <w:color w:val="000000" w:themeColor="text1"/>
              </w:rPr>
              <w:t>）</w:t>
            </w:r>
          </w:p>
        </w:tc>
        <w:tc>
          <w:tcPr>
            <w:tcW w:w="1384" w:type="dxa"/>
            <w:gridSpan w:val="2"/>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1898" w:type="dxa"/>
            <w:gridSpan w:val="2"/>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爆炸下限（</w:t>
            </w:r>
            <w:r>
              <w:rPr>
                <w:rFonts w:ascii="Times New Roman" w:eastAsia="宋体" w:hAnsi="Times New Roman" w:cs="Times New Roman"/>
                <w:color w:val="000000" w:themeColor="text1"/>
              </w:rPr>
              <w:t>v%</w:t>
            </w:r>
            <w:r>
              <w:rPr>
                <w:rFonts w:ascii="Times New Roman" w:eastAsia="宋体" w:hAnsi="Times New Roman" w:cs="Times New Roman"/>
                <w:color w:val="000000" w:themeColor="text1"/>
              </w:rPr>
              <w:t>）</w:t>
            </w:r>
          </w:p>
        </w:tc>
        <w:tc>
          <w:tcPr>
            <w:tcW w:w="2888" w:type="dxa"/>
            <w:gridSpan w:val="3"/>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C861DA">
        <w:trPr>
          <w:cantSplit/>
          <w:trHeight w:val="340"/>
          <w:jc w:val="center"/>
        </w:trPr>
        <w:tc>
          <w:tcPr>
            <w:tcW w:w="437" w:type="dxa"/>
            <w:vMerge/>
            <w:vAlign w:val="center"/>
          </w:tcPr>
          <w:p w:rsidR="00C861DA" w:rsidRDefault="00C861DA">
            <w:pP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危险特性</w:t>
            </w:r>
          </w:p>
        </w:tc>
        <w:tc>
          <w:tcPr>
            <w:tcW w:w="6170" w:type="dxa"/>
            <w:gridSpan w:val="7"/>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强氧化剂。能与多种物质如金属粉末、电石、硫化氢、松节油等猛烈反应，甚至发生爆炸。与还原剂、可燃物如糖、纤维素、木屑、棉花、稻草或废纱头等接触，引起燃烧并散发出剧毒的棕色烟雾。具有强腐蚀性。</w:t>
            </w:r>
          </w:p>
        </w:tc>
      </w:tr>
      <w:tr w:rsidR="00C861DA">
        <w:trPr>
          <w:cantSplit/>
          <w:trHeight w:val="340"/>
          <w:jc w:val="center"/>
        </w:trPr>
        <w:tc>
          <w:tcPr>
            <w:tcW w:w="437" w:type="dxa"/>
            <w:vMerge/>
            <w:vAlign w:val="center"/>
          </w:tcPr>
          <w:p w:rsidR="00C861DA" w:rsidRDefault="00C861DA">
            <w:pP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储运条件</w:t>
            </w:r>
          </w:p>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与泄漏处理</w:t>
            </w:r>
          </w:p>
        </w:tc>
        <w:tc>
          <w:tcPr>
            <w:tcW w:w="6170" w:type="dxa"/>
            <w:gridSpan w:val="7"/>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储存于阴凉、通风的库房。远离火种、热源。库温不宜超过</w:t>
            </w:r>
            <w:r>
              <w:rPr>
                <w:rFonts w:ascii="Times New Roman" w:eastAsia="宋体" w:hAnsi="Times New Roman" w:cs="Times New Roman"/>
                <w:color w:val="000000" w:themeColor="text1"/>
              </w:rPr>
              <w:t>30</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。保持容器密封。应与还原剂、碱类、醇类、碱金属等分开存放，切忌混储。储区应备有泄漏应急处理设备和合适的收容材料。</w:t>
            </w:r>
          </w:p>
        </w:tc>
      </w:tr>
      <w:tr w:rsidR="00C861DA">
        <w:trPr>
          <w:cantSplit/>
          <w:trHeight w:val="340"/>
          <w:jc w:val="center"/>
        </w:trPr>
        <w:tc>
          <w:tcPr>
            <w:tcW w:w="437" w:type="dxa"/>
            <w:vMerge/>
            <w:vAlign w:val="center"/>
          </w:tcPr>
          <w:p w:rsidR="00C861DA" w:rsidRDefault="00C861DA">
            <w:pPr>
              <w:rPr>
                <w:rFonts w:ascii="Times New Roman" w:eastAsia="宋体" w:hAnsi="Times New Roman" w:cs="Times New Roman"/>
                <w:color w:val="000000" w:themeColor="text1"/>
              </w:rPr>
            </w:pPr>
          </w:p>
        </w:tc>
        <w:tc>
          <w:tcPr>
            <w:tcW w:w="1689" w:type="dxa"/>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灭火方法</w:t>
            </w:r>
          </w:p>
        </w:tc>
        <w:tc>
          <w:tcPr>
            <w:tcW w:w="6170" w:type="dxa"/>
            <w:gridSpan w:val="7"/>
            <w:vAlign w:val="center"/>
          </w:tcPr>
          <w:p w:rsidR="00C861DA" w:rsidRDefault="0044752E">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消防人员必须穿全身耐酸碱消防服。灭火剂：雾状水、二氧化碳、砂土。</w:t>
            </w:r>
          </w:p>
        </w:tc>
      </w:tr>
    </w:tbl>
    <w:p w:rsidR="00C861DA" w:rsidRDefault="0044752E">
      <w:pPr>
        <w:pStyle w:val="32"/>
        <w:rPr>
          <w:rFonts w:ascii="Times New Roman" w:eastAsia="宋体"/>
          <w:bCs w:val="0"/>
          <w:color w:val="000000" w:themeColor="text1"/>
          <w:sz w:val="24"/>
          <w:szCs w:val="24"/>
        </w:rPr>
      </w:pPr>
      <w:bookmarkStart w:id="551" w:name="_Toc6826873"/>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.1.2</w:t>
      </w:r>
      <w:r>
        <w:rPr>
          <w:rFonts w:ascii="Times New Roman" w:eastAsia="宋体"/>
          <w:bCs w:val="0"/>
          <w:color w:val="000000" w:themeColor="text1"/>
          <w:sz w:val="24"/>
          <w:szCs w:val="24"/>
        </w:rPr>
        <w:t>生产系统危险性识别</w:t>
      </w:r>
      <w:bookmarkEnd w:id="551"/>
    </w:p>
    <w:p w:rsidR="00C861DA" w:rsidRDefault="0044752E">
      <w:pPr>
        <w:spacing w:beforeLines="50" w:before="156"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本项目为有机肥料制造项目，生产过程利用液氨、磷酸一铵、硫酸钾、有机质和</w:t>
      </w:r>
      <w:r>
        <w:rPr>
          <w:rFonts w:ascii="Times New Roman" w:eastAsia="宋体" w:hAnsi="Times New Roman" w:cs="Times New Roman" w:hint="eastAsia"/>
          <w:color w:val="000000" w:themeColor="text1"/>
          <w:sz w:val="24"/>
        </w:rPr>
        <w:t>CO</w:t>
      </w:r>
      <w:r>
        <w:rPr>
          <w:rFonts w:ascii="Times New Roman" w:eastAsia="宋体" w:hAnsi="Times New Roman" w:cs="Times New Roman"/>
          <w:color w:val="000000" w:themeColor="text1"/>
          <w:sz w:val="24"/>
          <w:vertAlign w:val="subscript"/>
        </w:rPr>
        <w:t>2</w:t>
      </w:r>
      <w:r>
        <w:rPr>
          <w:rFonts w:ascii="Times New Roman" w:eastAsia="宋体" w:hAnsi="Times New Roman" w:cs="Times New Roman" w:hint="eastAsia"/>
          <w:color w:val="000000" w:themeColor="text1"/>
          <w:sz w:val="24"/>
        </w:rPr>
        <w:t>制备绿色有机硝基复合肥和绿色有机尿基复合肥，</w:t>
      </w:r>
      <w:r>
        <w:rPr>
          <w:rFonts w:ascii="Times New Roman" w:eastAsia="宋体" w:hAnsi="Times New Roman" w:cs="Times New Roman"/>
          <w:color w:val="000000" w:themeColor="text1"/>
          <w:sz w:val="24"/>
        </w:rPr>
        <w:t>根据对环境风险物质的筛选和工艺流程确定风险单元主要为：</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1</w:t>
      </w:r>
      <w:r>
        <w:rPr>
          <w:rFonts w:ascii="Times New Roman" w:eastAsia="宋体" w:hAnsi="Times New Roman" w:cs="Times New Roman" w:hint="eastAsia"/>
          <w:color w:val="000000" w:themeColor="text1"/>
          <w:sz w:val="24"/>
        </w:rPr>
        <w:t>）液氨输送管道（液氨）</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2</w:t>
      </w:r>
      <w:r>
        <w:rPr>
          <w:rFonts w:ascii="Times New Roman" w:eastAsia="宋体" w:hAnsi="Times New Roman" w:cs="Times New Roman" w:hint="eastAsia"/>
          <w:color w:val="000000" w:themeColor="text1"/>
          <w:sz w:val="24"/>
        </w:rPr>
        <w:t>）硝酸生产装置（稀硝酸）</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3</w:t>
      </w:r>
      <w:r>
        <w:rPr>
          <w:rFonts w:ascii="Times New Roman" w:eastAsia="宋体" w:hAnsi="Times New Roman" w:cs="Times New Roman" w:hint="eastAsia"/>
          <w:color w:val="000000" w:themeColor="text1"/>
          <w:sz w:val="24"/>
        </w:rPr>
        <w:t>）硝酸铵生产装置（硝酸铵、稀硝酸、液氨）</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4</w:t>
      </w:r>
      <w:r>
        <w:rPr>
          <w:rFonts w:ascii="Times New Roman" w:eastAsia="宋体" w:hAnsi="Times New Roman" w:cs="Times New Roman" w:hint="eastAsia"/>
          <w:color w:val="000000" w:themeColor="text1"/>
          <w:sz w:val="24"/>
        </w:rPr>
        <w:t>）绿色有机硝基复合肥装置（硝酸铵）</w:t>
      </w:r>
    </w:p>
    <w:p w:rsidR="00C861DA" w:rsidRDefault="0044752E">
      <w:pPr>
        <w:pStyle w:val="21"/>
        <w:spacing w:beforeLines="50" w:before="156" w:line="240" w:lineRule="auto"/>
        <w:ind w:firstLine="0"/>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8</w:t>
      </w:r>
      <w:r>
        <w:rPr>
          <w:rFonts w:ascii="Times New Roman" w:eastAsia="宋体" w:hAnsi="Times New Roman" w:cs="Times New Roman"/>
          <w:b/>
          <w:color w:val="000000" w:themeColor="text1"/>
          <w:sz w:val="24"/>
        </w:rPr>
        <w:t xml:space="preserve">.1-4  </w:t>
      </w:r>
      <w:r>
        <w:rPr>
          <w:rFonts w:ascii="Times New Roman" w:eastAsia="宋体" w:hAnsi="Times New Roman" w:cs="Times New Roman" w:hint="eastAsia"/>
          <w:b/>
          <w:color w:val="000000" w:themeColor="text1"/>
          <w:sz w:val="24"/>
        </w:rPr>
        <w:t>项目区内危险单元及其危险物质存在量一览表</w:t>
      </w:r>
    </w:p>
    <w:tbl>
      <w:tblPr>
        <w:tblStyle w:val="affa"/>
        <w:tblW w:w="8296" w:type="dxa"/>
        <w:jc w:val="center"/>
        <w:tblLayout w:type="fixed"/>
        <w:tblLook w:val="04A0" w:firstRow="1" w:lastRow="0" w:firstColumn="1" w:lastColumn="0" w:noHBand="0" w:noVBand="1"/>
      </w:tblPr>
      <w:tblGrid>
        <w:gridCol w:w="1557"/>
        <w:gridCol w:w="2130"/>
        <w:gridCol w:w="1414"/>
        <w:gridCol w:w="1181"/>
        <w:gridCol w:w="1370"/>
        <w:gridCol w:w="644"/>
      </w:tblGrid>
      <w:tr w:rsidR="00C861DA">
        <w:trPr>
          <w:trHeight w:val="369"/>
          <w:jc w:val="center"/>
        </w:trPr>
        <w:tc>
          <w:tcPr>
            <w:tcW w:w="1557"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危险单元</w:t>
            </w:r>
          </w:p>
        </w:tc>
        <w:tc>
          <w:tcPr>
            <w:tcW w:w="2130"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工艺</w:t>
            </w:r>
          </w:p>
        </w:tc>
        <w:tc>
          <w:tcPr>
            <w:tcW w:w="1414"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主要含危险物质设备</w:t>
            </w:r>
          </w:p>
        </w:tc>
        <w:tc>
          <w:tcPr>
            <w:tcW w:w="1181"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危险物质</w:t>
            </w:r>
          </w:p>
        </w:tc>
        <w:tc>
          <w:tcPr>
            <w:tcW w:w="1370"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危险物质最大存在量</w:t>
            </w:r>
          </w:p>
        </w:tc>
        <w:tc>
          <w:tcPr>
            <w:tcW w:w="644"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单位</w:t>
            </w:r>
          </w:p>
        </w:tc>
      </w:tr>
      <w:tr w:rsidR="00C861DA">
        <w:trPr>
          <w:trHeight w:val="369"/>
          <w:jc w:val="center"/>
        </w:trPr>
        <w:tc>
          <w:tcPr>
            <w:tcW w:w="1557"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液氨输送管道</w:t>
            </w:r>
          </w:p>
        </w:tc>
        <w:tc>
          <w:tcPr>
            <w:tcW w:w="2130"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管道输送</w:t>
            </w:r>
          </w:p>
        </w:tc>
        <w:tc>
          <w:tcPr>
            <w:tcW w:w="1414"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1</w:t>
            </w:r>
            <w:r>
              <w:rPr>
                <w:rFonts w:ascii="Times New Roman" w:eastAsia="宋体" w:hAnsi="Times New Roman" w:cs="Times New Roman"/>
                <w:color w:val="000000" w:themeColor="text1"/>
                <w:kern w:val="0"/>
              </w:rPr>
              <w:t>50mm</w:t>
            </w:r>
            <w:r>
              <w:rPr>
                <w:rFonts w:ascii="Times New Roman" w:eastAsia="宋体" w:hAnsi="Times New Roman" w:cs="Times New Roman" w:hint="eastAsia"/>
                <w:color w:val="000000" w:themeColor="text1"/>
                <w:kern w:val="0"/>
              </w:rPr>
              <w:t>管道</w:t>
            </w:r>
          </w:p>
        </w:tc>
        <w:tc>
          <w:tcPr>
            <w:tcW w:w="1181"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液氨</w:t>
            </w:r>
          </w:p>
        </w:tc>
        <w:tc>
          <w:tcPr>
            <w:tcW w:w="1370"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0</w:t>
            </w:r>
            <w:r>
              <w:rPr>
                <w:rFonts w:ascii="Times New Roman" w:eastAsia="宋体" w:hAnsi="Times New Roman" w:cs="Times New Roman"/>
                <w:color w:val="000000" w:themeColor="text1"/>
                <w:kern w:val="0"/>
              </w:rPr>
              <w:t>.36</w:t>
            </w:r>
          </w:p>
        </w:tc>
        <w:tc>
          <w:tcPr>
            <w:tcW w:w="644"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t</w:t>
            </w:r>
          </w:p>
        </w:tc>
      </w:tr>
      <w:tr w:rsidR="00C861DA">
        <w:trPr>
          <w:trHeight w:val="369"/>
          <w:jc w:val="center"/>
        </w:trPr>
        <w:tc>
          <w:tcPr>
            <w:tcW w:w="1557"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硝酸生产装置</w:t>
            </w:r>
          </w:p>
        </w:tc>
        <w:tc>
          <w:tcPr>
            <w:tcW w:w="2130"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液氨在氨氧化炉氧化为硝酸</w:t>
            </w:r>
          </w:p>
        </w:tc>
        <w:tc>
          <w:tcPr>
            <w:tcW w:w="1414"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氨氧化炉</w:t>
            </w:r>
          </w:p>
        </w:tc>
        <w:tc>
          <w:tcPr>
            <w:tcW w:w="1181"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稀硝酸</w:t>
            </w:r>
          </w:p>
        </w:tc>
        <w:tc>
          <w:tcPr>
            <w:tcW w:w="1370"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sz w:val="20"/>
                <w:szCs w:val="20"/>
              </w:rPr>
              <w:t>6</w:t>
            </w:r>
            <w:r>
              <w:rPr>
                <w:rFonts w:ascii="Times New Roman" w:eastAsia="宋体" w:hAnsi="Times New Roman" w:cs="Times New Roman"/>
                <w:color w:val="000000" w:themeColor="text1"/>
                <w:kern w:val="0"/>
                <w:sz w:val="20"/>
                <w:szCs w:val="20"/>
              </w:rPr>
              <w:t>.75</w:t>
            </w:r>
          </w:p>
        </w:tc>
        <w:tc>
          <w:tcPr>
            <w:tcW w:w="644"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t</w:t>
            </w:r>
          </w:p>
        </w:tc>
      </w:tr>
      <w:tr w:rsidR="00C861DA">
        <w:trPr>
          <w:trHeight w:val="369"/>
          <w:jc w:val="center"/>
        </w:trPr>
        <w:tc>
          <w:tcPr>
            <w:tcW w:w="1557" w:type="dxa"/>
            <w:vMerge/>
            <w:vAlign w:val="center"/>
          </w:tcPr>
          <w:p w:rsidR="00C861DA" w:rsidRDefault="00C861DA">
            <w:pPr>
              <w:jc w:val="center"/>
              <w:rPr>
                <w:rFonts w:ascii="Times New Roman" w:eastAsia="宋体" w:hAnsi="Times New Roman" w:cs="Times New Roman"/>
                <w:color w:val="000000" w:themeColor="text1"/>
                <w:kern w:val="0"/>
                <w:sz w:val="20"/>
                <w:szCs w:val="20"/>
              </w:rPr>
            </w:pPr>
          </w:p>
        </w:tc>
        <w:tc>
          <w:tcPr>
            <w:tcW w:w="2130" w:type="dxa"/>
            <w:vAlign w:val="center"/>
          </w:tcPr>
          <w:p w:rsidR="00C861DA" w:rsidRDefault="0044752E">
            <w:pPr>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暂存稀硝酸</w:t>
            </w:r>
          </w:p>
        </w:tc>
        <w:tc>
          <w:tcPr>
            <w:tcW w:w="1414" w:type="dxa"/>
            <w:vAlign w:val="center"/>
          </w:tcPr>
          <w:p w:rsidR="00C861DA" w:rsidRDefault="0044752E">
            <w:pPr>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硝酸槽</w:t>
            </w:r>
          </w:p>
        </w:tc>
        <w:tc>
          <w:tcPr>
            <w:tcW w:w="1181" w:type="dxa"/>
            <w:vAlign w:val="center"/>
          </w:tcPr>
          <w:p w:rsidR="00C861DA" w:rsidRDefault="0044752E">
            <w:pPr>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稀硝酸</w:t>
            </w:r>
          </w:p>
        </w:tc>
        <w:tc>
          <w:tcPr>
            <w:tcW w:w="1370" w:type="dxa"/>
            <w:vAlign w:val="center"/>
          </w:tcPr>
          <w:p w:rsidR="00C861DA" w:rsidRDefault="0044752E">
            <w:pPr>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1</w:t>
            </w:r>
            <w:r>
              <w:rPr>
                <w:rFonts w:ascii="Times New Roman" w:eastAsia="宋体" w:hAnsi="Times New Roman" w:cs="Times New Roman"/>
                <w:color w:val="000000" w:themeColor="text1"/>
                <w:kern w:val="0"/>
                <w:sz w:val="20"/>
                <w:szCs w:val="20"/>
              </w:rPr>
              <w:t>3.8</w:t>
            </w:r>
          </w:p>
        </w:tc>
        <w:tc>
          <w:tcPr>
            <w:tcW w:w="644" w:type="dxa"/>
            <w:vAlign w:val="center"/>
          </w:tcPr>
          <w:p w:rsidR="00C861DA" w:rsidRDefault="0044752E">
            <w:pPr>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t</w:t>
            </w:r>
          </w:p>
        </w:tc>
      </w:tr>
      <w:tr w:rsidR="00C861DA">
        <w:trPr>
          <w:trHeight w:val="369"/>
          <w:jc w:val="center"/>
        </w:trPr>
        <w:tc>
          <w:tcPr>
            <w:tcW w:w="1557"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硝酸铵生产装置</w:t>
            </w:r>
          </w:p>
        </w:tc>
        <w:tc>
          <w:tcPr>
            <w:tcW w:w="2130"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稀硝酸和液氨在中和器内中和为硝酸铵</w:t>
            </w:r>
          </w:p>
        </w:tc>
        <w:tc>
          <w:tcPr>
            <w:tcW w:w="1414"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中和器</w:t>
            </w:r>
          </w:p>
        </w:tc>
        <w:tc>
          <w:tcPr>
            <w:tcW w:w="1181"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硝酸铵</w:t>
            </w:r>
          </w:p>
        </w:tc>
        <w:tc>
          <w:tcPr>
            <w:tcW w:w="1370"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1</w:t>
            </w:r>
            <w:r>
              <w:rPr>
                <w:rFonts w:ascii="Times New Roman" w:eastAsia="宋体" w:hAnsi="Times New Roman" w:cs="Times New Roman"/>
                <w:color w:val="000000" w:themeColor="text1"/>
                <w:kern w:val="0"/>
              </w:rPr>
              <w:t>2.5</w:t>
            </w:r>
          </w:p>
        </w:tc>
        <w:tc>
          <w:tcPr>
            <w:tcW w:w="644"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t</w:t>
            </w:r>
          </w:p>
        </w:tc>
      </w:tr>
      <w:tr w:rsidR="00C861DA">
        <w:trPr>
          <w:trHeight w:val="369"/>
          <w:jc w:val="center"/>
        </w:trPr>
        <w:tc>
          <w:tcPr>
            <w:tcW w:w="1557" w:type="dxa"/>
            <w:vMerge/>
            <w:vAlign w:val="center"/>
          </w:tcPr>
          <w:p w:rsidR="00C861DA" w:rsidRDefault="00C861DA">
            <w:pPr>
              <w:jc w:val="center"/>
              <w:rPr>
                <w:rFonts w:ascii="Times New Roman" w:eastAsia="宋体" w:hAnsi="Times New Roman" w:cs="Times New Roman"/>
                <w:color w:val="000000" w:themeColor="text1"/>
                <w:kern w:val="0"/>
                <w:sz w:val="20"/>
                <w:szCs w:val="20"/>
              </w:rPr>
            </w:pPr>
          </w:p>
        </w:tc>
        <w:tc>
          <w:tcPr>
            <w:tcW w:w="2130" w:type="dxa"/>
            <w:vMerge/>
            <w:vAlign w:val="center"/>
          </w:tcPr>
          <w:p w:rsidR="00C861DA" w:rsidRDefault="00C861DA">
            <w:pPr>
              <w:jc w:val="center"/>
              <w:rPr>
                <w:rFonts w:ascii="Times New Roman" w:eastAsia="宋体" w:hAnsi="Times New Roman" w:cs="Times New Roman"/>
                <w:color w:val="000000" w:themeColor="text1"/>
                <w:kern w:val="0"/>
                <w:sz w:val="20"/>
                <w:szCs w:val="20"/>
              </w:rPr>
            </w:pPr>
          </w:p>
        </w:tc>
        <w:tc>
          <w:tcPr>
            <w:tcW w:w="1414" w:type="dxa"/>
            <w:vMerge/>
            <w:vAlign w:val="center"/>
          </w:tcPr>
          <w:p w:rsidR="00C861DA" w:rsidRDefault="00C861DA">
            <w:pPr>
              <w:jc w:val="center"/>
              <w:rPr>
                <w:rFonts w:ascii="Times New Roman" w:eastAsia="宋体" w:hAnsi="Times New Roman" w:cs="Times New Roman"/>
                <w:color w:val="000000" w:themeColor="text1"/>
                <w:kern w:val="0"/>
                <w:sz w:val="20"/>
                <w:szCs w:val="20"/>
              </w:rPr>
            </w:pPr>
          </w:p>
        </w:tc>
        <w:tc>
          <w:tcPr>
            <w:tcW w:w="1181" w:type="dxa"/>
            <w:vAlign w:val="center"/>
          </w:tcPr>
          <w:p w:rsidR="00C861DA" w:rsidRDefault="0044752E">
            <w:pPr>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液氨</w:t>
            </w:r>
          </w:p>
        </w:tc>
        <w:tc>
          <w:tcPr>
            <w:tcW w:w="1370" w:type="dxa"/>
            <w:vAlign w:val="center"/>
          </w:tcPr>
          <w:p w:rsidR="00C861DA" w:rsidRDefault="0044752E">
            <w:pPr>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3</w:t>
            </w:r>
            <w:r>
              <w:rPr>
                <w:rFonts w:ascii="Times New Roman" w:eastAsia="宋体" w:hAnsi="Times New Roman" w:cs="Times New Roman"/>
                <w:color w:val="000000" w:themeColor="text1"/>
                <w:kern w:val="0"/>
                <w:sz w:val="20"/>
                <w:szCs w:val="20"/>
              </w:rPr>
              <w:t>.35</w:t>
            </w:r>
          </w:p>
        </w:tc>
        <w:tc>
          <w:tcPr>
            <w:tcW w:w="644" w:type="dxa"/>
            <w:vAlign w:val="center"/>
          </w:tcPr>
          <w:p w:rsidR="00C861DA" w:rsidRDefault="0044752E">
            <w:pPr>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t</w:t>
            </w:r>
          </w:p>
        </w:tc>
      </w:tr>
      <w:tr w:rsidR="00C861DA">
        <w:trPr>
          <w:trHeight w:val="369"/>
          <w:jc w:val="center"/>
        </w:trPr>
        <w:tc>
          <w:tcPr>
            <w:tcW w:w="1557" w:type="dxa"/>
            <w:vMerge/>
            <w:vAlign w:val="center"/>
          </w:tcPr>
          <w:p w:rsidR="00C861DA" w:rsidRDefault="00C861DA">
            <w:pPr>
              <w:jc w:val="center"/>
              <w:rPr>
                <w:rFonts w:ascii="Times New Roman" w:eastAsia="宋体" w:hAnsi="Times New Roman" w:cs="Times New Roman"/>
                <w:color w:val="000000" w:themeColor="text1"/>
                <w:kern w:val="0"/>
                <w:sz w:val="20"/>
                <w:szCs w:val="20"/>
              </w:rPr>
            </w:pPr>
          </w:p>
        </w:tc>
        <w:tc>
          <w:tcPr>
            <w:tcW w:w="2130" w:type="dxa"/>
            <w:vMerge/>
            <w:vAlign w:val="center"/>
          </w:tcPr>
          <w:p w:rsidR="00C861DA" w:rsidRDefault="00C861DA">
            <w:pPr>
              <w:jc w:val="center"/>
              <w:rPr>
                <w:rFonts w:ascii="Times New Roman" w:eastAsia="宋体" w:hAnsi="Times New Roman" w:cs="Times New Roman"/>
                <w:color w:val="000000" w:themeColor="text1"/>
                <w:kern w:val="0"/>
                <w:sz w:val="20"/>
                <w:szCs w:val="20"/>
              </w:rPr>
            </w:pPr>
          </w:p>
        </w:tc>
        <w:tc>
          <w:tcPr>
            <w:tcW w:w="1414" w:type="dxa"/>
            <w:vMerge/>
            <w:vAlign w:val="center"/>
          </w:tcPr>
          <w:p w:rsidR="00C861DA" w:rsidRDefault="00C861DA">
            <w:pPr>
              <w:jc w:val="center"/>
              <w:rPr>
                <w:rFonts w:ascii="Times New Roman" w:eastAsia="宋体" w:hAnsi="Times New Roman" w:cs="Times New Roman"/>
                <w:color w:val="000000" w:themeColor="text1"/>
                <w:kern w:val="0"/>
                <w:sz w:val="20"/>
                <w:szCs w:val="20"/>
              </w:rPr>
            </w:pPr>
          </w:p>
        </w:tc>
        <w:tc>
          <w:tcPr>
            <w:tcW w:w="1181" w:type="dxa"/>
            <w:vAlign w:val="center"/>
          </w:tcPr>
          <w:p w:rsidR="00C861DA" w:rsidRDefault="0044752E">
            <w:pPr>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稀硝酸</w:t>
            </w:r>
          </w:p>
        </w:tc>
        <w:tc>
          <w:tcPr>
            <w:tcW w:w="1370" w:type="dxa"/>
            <w:vAlign w:val="center"/>
          </w:tcPr>
          <w:p w:rsidR="00C861DA" w:rsidRDefault="0044752E">
            <w:pPr>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6</w:t>
            </w:r>
            <w:r>
              <w:rPr>
                <w:rFonts w:ascii="Times New Roman" w:eastAsia="宋体" w:hAnsi="Times New Roman" w:cs="Times New Roman"/>
                <w:color w:val="000000" w:themeColor="text1"/>
                <w:kern w:val="0"/>
                <w:sz w:val="20"/>
                <w:szCs w:val="20"/>
              </w:rPr>
              <w:t>.75</w:t>
            </w:r>
          </w:p>
        </w:tc>
        <w:tc>
          <w:tcPr>
            <w:tcW w:w="644" w:type="dxa"/>
            <w:vAlign w:val="center"/>
          </w:tcPr>
          <w:p w:rsidR="00C861DA" w:rsidRDefault="0044752E">
            <w:pPr>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t</w:t>
            </w:r>
          </w:p>
        </w:tc>
      </w:tr>
      <w:tr w:rsidR="00C861DA">
        <w:trPr>
          <w:trHeight w:val="369"/>
          <w:jc w:val="center"/>
        </w:trPr>
        <w:tc>
          <w:tcPr>
            <w:tcW w:w="1557"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绿色有机硝基复合肥装置</w:t>
            </w:r>
          </w:p>
        </w:tc>
        <w:tc>
          <w:tcPr>
            <w:tcW w:w="2130"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硝酸铵与有机质混合造粒</w:t>
            </w:r>
          </w:p>
        </w:tc>
        <w:tc>
          <w:tcPr>
            <w:tcW w:w="1414"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造粒塔</w:t>
            </w:r>
          </w:p>
        </w:tc>
        <w:tc>
          <w:tcPr>
            <w:tcW w:w="1181"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硝酸铵</w:t>
            </w:r>
          </w:p>
        </w:tc>
        <w:tc>
          <w:tcPr>
            <w:tcW w:w="1370"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1</w:t>
            </w:r>
            <w:r>
              <w:rPr>
                <w:rFonts w:ascii="Times New Roman" w:eastAsia="宋体" w:hAnsi="Times New Roman" w:cs="Times New Roman"/>
                <w:color w:val="000000" w:themeColor="text1"/>
                <w:kern w:val="0"/>
              </w:rPr>
              <w:t>0</w:t>
            </w:r>
          </w:p>
        </w:tc>
        <w:tc>
          <w:tcPr>
            <w:tcW w:w="644"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t</w:t>
            </w:r>
          </w:p>
        </w:tc>
      </w:tr>
    </w:tbl>
    <w:p w:rsidR="00C861DA" w:rsidRDefault="0044752E">
      <w:pPr>
        <w:pStyle w:val="32"/>
        <w:rPr>
          <w:rFonts w:ascii="Times New Roman" w:eastAsia="宋体"/>
          <w:bCs w:val="0"/>
          <w:color w:val="000000" w:themeColor="text1"/>
          <w:sz w:val="24"/>
          <w:szCs w:val="24"/>
        </w:rPr>
      </w:pPr>
      <w:bookmarkStart w:id="552" w:name="_Toc6826874"/>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.1.3</w:t>
      </w:r>
      <w:r>
        <w:rPr>
          <w:rFonts w:ascii="Times New Roman" w:eastAsia="宋体" w:hint="eastAsia"/>
          <w:bCs w:val="0"/>
          <w:color w:val="000000" w:themeColor="text1"/>
          <w:sz w:val="24"/>
          <w:szCs w:val="24"/>
        </w:rPr>
        <w:t>危险物质向环境转移途径识别</w:t>
      </w:r>
      <w:bookmarkEnd w:id="552"/>
    </w:p>
    <w:p w:rsidR="00C861DA" w:rsidRDefault="0044752E">
      <w:pPr>
        <w:pStyle w:val="21"/>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w:t>
      </w:r>
      <w:r>
        <w:rPr>
          <w:rFonts w:ascii="Times New Roman" w:eastAsia="宋体" w:hAnsi="Times New Roman" w:cs="Times New Roman" w:hint="eastAsia"/>
          <w:b/>
          <w:color w:val="000000" w:themeColor="text1"/>
          <w:sz w:val="24"/>
        </w:rPr>
        <w:t>1</w:t>
      </w:r>
      <w:r>
        <w:rPr>
          <w:rFonts w:ascii="Times New Roman" w:eastAsia="宋体" w:hAnsi="Times New Roman" w:cs="Times New Roman" w:hint="eastAsia"/>
          <w:b/>
          <w:color w:val="000000" w:themeColor="text1"/>
          <w:sz w:val="24"/>
        </w:rPr>
        <w:t>）液氨</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本项目使用液氨使用液氨的生产装置有液氨输送管道和中和器两处。</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中和器中使用的液氨通过由液氨输送主管道分流出的连接管进入中和器，连接管长</w:t>
      </w:r>
      <w:r>
        <w:rPr>
          <w:rFonts w:ascii="Times New Roman" w:eastAsia="宋体" w:hAnsi="Times New Roman" w:cs="Times New Roman" w:hint="eastAsia"/>
          <w:color w:val="000000" w:themeColor="text1"/>
          <w:sz w:val="24"/>
        </w:rPr>
        <w:t>3</w:t>
      </w:r>
      <w:r>
        <w:rPr>
          <w:rFonts w:ascii="Times New Roman" w:eastAsia="宋体" w:hAnsi="Times New Roman" w:cs="Times New Roman"/>
          <w:color w:val="000000" w:themeColor="text1"/>
          <w:sz w:val="24"/>
        </w:rPr>
        <w:t>m</w:t>
      </w:r>
      <w:r>
        <w:rPr>
          <w:rFonts w:ascii="Times New Roman" w:eastAsia="宋体" w:hAnsi="Times New Roman" w:cs="Times New Roman" w:hint="eastAsia"/>
          <w:color w:val="000000" w:themeColor="text1"/>
          <w:sz w:val="24"/>
        </w:rPr>
        <w:t>，内径</w:t>
      </w:r>
      <w:r>
        <w:rPr>
          <w:rFonts w:ascii="Times New Roman" w:eastAsia="宋体" w:hAnsi="Times New Roman" w:cs="Times New Roman"/>
          <w:color w:val="000000" w:themeColor="text1"/>
          <w:sz w:val="24"/>
        </w:rPr>
        <w:t>40mm</w:t>
      </w:r>
      <w:r>
        <w:rPr>
          <w:rFonts w:ascii="Times New Roman" w:eastAsia="宋体" w:hAnsi="Times New Roman" w:cs="Times New Roman" w:hint="eastAsia"/>
          <w:color w:val="000000" w:themeColor="text1"/>
          <w:sz w:val="24"/>
        </w:rPr>
        <w:t>，中和器为密封容器，不易泄漏；一旦设备发生故障则液氨供应立即停止，设备发生破损则液氨会由破损处泄漏。</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本项目设置的液氨输送管道长</w:t>
      </w:r>
      <w:r>
        <w:rPr>
          <w:rFonts w:ascii="Times New Roman" w:eastAsia="宋体" w:hAnsi="Times New Roman" w:cs="Times New Roman"/>
          <w:color w:val="000000" w:themeColor="text1"/>
          <w:sz w:val="24"/>
        </w:rPr>
        <w:t>30m</w:t>
      </w:r>
      <w:r>
        <w:rPr>
          <w:rFonts w:ascii="Times New Roman" w:eastAsia="宋体" w:hAnsi="Times New Roman" w:cs="Times New Roman" w:hint="eastAsia"/>
          <w:color w:val="000000" w:themeColor="text1"/>
          <w:sz w:val="24"/>
        </w:rPr>
        <w:t>，内径</w:t>
      </w:r>
      <w:r>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50mm</w:t>
      </w:r>
      <w:r>
        <w:rPr>
          <w:rFonts w:ascii="Times New Roman" w:eastAsia="宋体" w:hAnsi="Times New Roman" w:cs="Times New Roman" w:hint="eastAsia"/>
          <w:color w:val="000000" w:themeColor="text1"/>
          <w:sz w:val="24"/>
        </w:rPr>
        <w:t>，连接祥丰石化有限公司氨站的液氨储罐，正常使用时管道内压强为</w:t>
      </w:r>
      <w:r>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.2MPa</w:t>
      </w:r>
      <w:r>
        <w:rPr>
          <w:rFonts w:ascii="Times New Roman" w:eastAsia="宋体" w:hAnsi="Times New Roman" w:cs="Times New Roman" w:hint="eastAsia"/>
          <w:color w:val="000000" w:themeColor="text1"/>
          <w:sz w:val="24"/>
        </w:rPr>
        <w:t>，一旦管道发生破裂，则液氨由破裂口泄漏。</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液氨为易挥发液体，泄漏后即挥发并无组织扩散。</w:t>
      </w:r>
    </w:p>
    <w:p w:rsidR="00C861DA" w:rsidRDefault="0044752E">
      <w:pPr>
        <w:pStyle w:val="21"/>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w:t>
      </w:r>
      <w:r>
        <w:rPr>
          <w:rFonts w:ascii="Times New Roman" w:eastAsia="宋体" w:hAnsi="Times New Roman" w:cs="Times New Roman" w:hint="eastAsia"/>
          <w:b/>
          <w:color w:val="000000" w:themeColor="text1"/>
          <w:sz w:val="24"/>
        </w:rPr>
        <w:t>2</w:t>
      </w:r>
      <w:r>
        <w:rPr>
          <w:rFonts w:ascii="Times New Roman" w:eastAsia="宋体" w:hAnsi="Times New Roman" w:cs="Times New Roman" w:hint="eastAsia"/>
          <w:b/>
          <w:color w:val="000000" w:themeColor="text1"/>
          <w:sz w:val="24"/>
        </w:rPr>
        <w:t>）稀硝酸</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本项目涉及稀硝酸的装置有氨氧化炉和中和器两处。</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氨氧化炉使用压缩空气氧化液氨间接生成稀硝酸并暂存在</w:t>
      </w:r>
      <w:r>
        <w:rPr>
          <w:rFonts w:ascii="Times New Roman" w:eastAsia="宋体" w:hAnsi="Times New Roman" w:cs="Times New Roman" w:hint="eastAsia"/>
          <w:color w:val="000000" w:themeColor="text1"/>
          <w:sz w:val="24"/>
        </w:rPr>
        <w:t>密封的硝酸槽内，硝酸槽或氨氧化炉发生破损则稀硝酸泄漏。</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中和器内使用的硝酸由硝酸槽内通过连接管接入中和器，中和器为密封容器，不易泄漏；一旦设备发生故障则稀硝酸供应立即停止，设备发生破损则稀硝酸会由破损处泄漏。</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泄漏的稀硝酸为液体，硝酸槽和氨氧化炉周围设有防渗硬化，不会向周边地表水环境和地下水环境中转移。</w:t>
      </w:r>
    </w:p>
    <w:p w:rsidR="00C861DA" w:rsidRDefault="0044752E">
      <w:pPr>
        <w:pStyle w:val="21"/>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w:t>
      </w:r>
      <w:r>
        <w:rPr>
          <w:rFonts w:ascii="Times New Roman" w:eastAsia="宋体" w:hAnsi="Times New Roman" w:cs="Times New Roman" w:hint="eastAsia"/>
          <w:b/>
          <w:color w:val="000000" w:themeColor="text1"/>
          <w:sz w:val="24"/>
        </w:rPr>
        <w:t>3</w:t>
      </w:r>
      <w:r>
        <w:rPr>
          <w:rFonts w:ascii="Times New Roman" w:eastAsia="宋体" w:hAnsi="Times New Roman" w:cs="Times New Roman" w:hint="eastAsia"/>
          <w:b/>
          <w:color w:val="000000" w:themeColor="text1"/>
          <w:sz w:val="24"/>
        </w:rPr>
        <w:t>）硝酸铵</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本项目涉及硝酸铵的设备有中和器与绿色有机尿基复合肥造粒塔两处。</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中和器内硝酸和液氨中和反应生成硝酸铵，中和器为密封容器，不易泄漏；一旦设备发生故障则原料供应立即停止，硝酸铵生成也随之停止，设备发生破损则硝酸铵会由破损处泄漏。</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造粒塔中硝酸铵与有机质等原料混合后使用造粒机造粒，造粒后硝酸铵存在形式为固体，不易向环境转移。</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泄漏的硝酸铵与外环境接触后会逐步冷却至环境温度，常温下，硝酸铵为固体，周围设有防渗硬化，不会向周边地表水环境和地下水环境中转移。</w:t>
      </w:r>
    </w:p>
    <w:p w:rsidR="00C861DA" w:rsidRDefault="0044752E">
      <w:pPr>
        <w:spacing w:beforeLines="50" w:before="156"/>
        <w:jc w:val="center"/>
        <w:rPr>
          <w:rFonts w:ascii="Times New Roman" w:eastAsia="宋体" w:hAnsi="Times New Roman" w:cs="Times New Roman"/>
          <w:b/>
          <w:color w:val="000000" w:themeColor="text1"/>
          <w:kern w:val="0"/>
          <w:szCs w:val="24"/>
        </w:rPr>
      </w:pPr>
      <w:r>
        <w:rPr>
          <w:rFonts w:ascii="Times New Roman" w:eastAsia="宋体" w:hAnsi="Times New Roman" w:cs="Times New Roman" w:hint="eastAsia"/>
          <w:b/>
          <w:color w:val="000000" w:themeColor="text1"/>
          <w:kern w:val="0"/>
          <w:szCs w:val="24"/>
        </w:rPr>
        <w:t>表</w:t>
      </w:r>
      <w:r>
        <w:rPr>
          <w:rFonts w:ascii="Times New Roman" w:eastAsia="宋体" w:hAnsi="Times New Roman" w:cs="Times New Roman" w:hint="eastAsia"/>
          <w:b/>
          <w:color w:val="000000" w:themeColor="text1"/>
          <w:kern w:val="0"/>
          <w:szCs w:val="24"/>
        </w:rPr>
        <w:t>8</w:t>
      </w:r>
      <w:r>
        <w:rPr>
          <w:rFonts w:ascii="Times New Roman" w:eastAsia="宋体" w:hAnsi="Times New Roman" w:cs="Times New Roman"/>
          <w:b/>
          <w:color w:val="000000" w:themeColor="text1"/>
          <w:kern w:val="0"/>
          <w:szCs w:val="24"/>
        </w:rPr>
        <w:t xml:space="preserve">.1-5  </w:t>
      </w:r>
      <w:r>
        <w:rPr>
          <w:rFonts w:ascii="Times New Roman" w:eastAsia="宋体" w:hAnsi="Times New Roman" w:cs="Times New Roman" w:hint="eastAsia"/>
          <w:b/>
          <w:color w:val="000000" w:themeColor="text1"/>
          <w:kern w:val="0"/>
          <w:szCs w:val="24"/>
        </w:rPr>
        <w:t>危险物质向环境转移的途径</w:t>
      </w:r>
    </w:p>
    <w:tbl>
      <w:tblPr>
        <w:tblStyle w:val="affa"/>
        <w:tblW w:w="8296" w:type="dxa"/>
        <w:jc w:val="center"/>
        <w:tblLayout w:type="fixed"/>
        <w:tblLook w:val="04A0" w:firstRow="1" w:lastRow="0" w:firstColumn="1" w:lastColumn="0" w:noHBand="0" w:noVBand="1"/>
      </w:tblPr>
      <w:tblGrid>
        <w:gridCol w:w="2072"/>
        <w:gridCol w:w="2081"/>
        <w:gridCol w:w="2071"/>
        <w:gridCol w:w="2072"/>
      </w:tblGrid>
      <w:tr w:rsidR="00C861DA">
        <w:trPr>
          <w:trHeight w:val="369"/>
          <w:jc w:val="center"/>
        </w:trPr>
        <w:tc>
          <w:tcPr>
            <w:tcW w:w="2072" w:type="dxa"/>
            <w:vAlign w:val="center"/>
          </w:tcPr>
          <w:p w:rsidR="00C861DA" w:rsidRDefault="0044752E">
            <w:pPr>
              <w:jc w:val="center"/>
              <w:rPr>
                <w:rFonts w:ascii="Times New Roman" w:eastAsia="宋体" w:hAnsi="Times New Roman" w:cs="Times New Roman"/>
                <w:color w:val="000000" w:themeColor="text1"/>
                <w:kern w:val="0"/>
                <w:szCs w:val="24"/>
              </w:rPr>
            </w:pPr>
            <w:r>
              <w:rPr>
                <w:rFonts w:ascii="Times New Roman" w:eastAsia="宋体" w:hAnsi="Times New Roman" w:cs="Times New Roman" w:hint="eastAsia"/>
                <w:color w:val="000000" w:themeColor="text1"/>
                <w:kern w:val="0"/>
                <w:szCs w:val="24"/>
              </w:rPr>
              <w:t>危险物质</w:t>
            </w:r>
          </w:p>
        </w:tc>
        <w:tc>
          <w:tcPr>
            <w:tcW w:w="2081" w:type="dxa"/>
            <w:vAlign w:val="center"/>
          </w:tcPr>
          <w:p w:rsidR="00C861DA" w:rsidRDefault="0044752E">
            <w:pPr>
              <w:jc w:val="center"/>
              <w:rPr>
                <w:rFonts w:ascii="Times New Roman" w:eastAsia="宋体" w:hAnsi="Times New Roman" w:cs="Times New Roman"/>
                <w:color w:val="000000" w:themeColor="text1"/>
                <w:kern w:val="0"/>
                <w:szCs w:val="24"/>
              </w:rPr>
            </w:pPr>
            <w:r>
              <w:rPr>
                <w:rFonts w:ascii="Times New Roman" w:eastAsia="宋体" w:hAnsi="Times New Roman" w:cs="Times New Roman" w:hint="eastAsia"/>
                <w:color w:val="000000" w:themeColor="text1"/>
                <w:kern w:val="0"/>
                <w:szCs w:val="24"/>
              </w:rPr>
              <w:t>存在形式</w:t>
            </w:r>
          </w:p>
        </w:tc>
        <w:tc>
          <w:tcPr>
            <w:tcW w:w="2071" w:type="dxa"/>
            <w:vAlign w:val="center"/>
          </w:tcPr>
          <w:p w:rsidR="00C861DA" w:rsidRDefault="0044752E">
            <w:pPr>
              <w:jc w:val="center"/>
              <w:rPr>
                <w:rFonts w:ascii="Times New Roman" w:eastAsia="宋体" w:hAnsi="Times New Roman" w:cs="Times New Roman"/>
                <w:color w:val="000000" w:themeColor="text1"/>
                <w:kern w:val="0"/>
                <w:szCs w:val="24"/>
              </w:rPr>
            </w:pPr>
            <w:r>
              <w:rPr>
                <w:rFonts w:ascii="Times New Roman" w:eastAsia="宋体" w:hAnsi="Times New Roman" w:cs="Times New Roman" w:hint="eastAsia"/>
                <w:color w:val="000000" w:themeColor="text1"/>
                <w:kern w:val="0"/>
                <w:szCs w:val="24"/>
              </w:rPr>
              <w:t>向环境转移途径</w:t>
            </w:r>
          </w:p>
        </w:tc>
        <w:tc>
          <w:tcPr>
            <w:tcW w:w="2072" w:type="dxa"/>
            <w:vAlign w:val="center"/>
          </w:tcPr>
          <w:p w:rsidR="00C861DA" w:rsidRDefault="0044752E">
            <w:pPr>
              <w:jc w:val="center"/>
              <w:rPr>
                <w:rFonts w:ascii="Times New Roman" w:eastAsia="宋体" w:hAnsi="Times New Roman" w:cs="Times New Roman"/>
                <w:color w:val="000000" w:themeColor="text1"/>
                <w:kern w:val="0"/>
                <w:szCs w:val="24"/>
              </w:rPr>
            </w:pPr>
            <w:r>
              <w:rPr>
                <w:rFonts w:ascii="Times New Roman" w:eastAsia="宋体" w:hAnsi="Times New Roman" w:cs="Times New Roman" w:hint="eastAsia"/>
                <w:color w:val="000000" w:themeColor="text1"/>
                <w:kern w:val="0"/>
                <w:szCs w:val="24"/>
              </w:rPr>
              <w:t>触发因素</w:t>
            </w:r>
          </w:p>
        </w:tc>
      </w:tr>
      <w:tr w:rsidR="00C861DA">
        <w:trPr>
          <w:trHeight w:val="369"/>
          <w:jc w:val="center"/>
        </w:trPr>
        <w:tc>
          <w:tcPr>
            <w:tcW w:w="2072" w:type="dxa"/>
            <w:vAlign w:val="center"/>
          </w:tcPr>
          <w:p w:rsidR="00C861DA" w:rsidRDefault="0044752E">
            <w:pPr>
              <w:jc w:val="center"/>
              <w:rPr>
                <w:rFonts w:ascii="Times New Roman" w:eastAsia="宋体" w:hAnsi="Times New Roman" w:cs="Times New Roman"/>
                <w:color w:val="000000" w:themeColor="text1"/>
                <w:kern w:val="0"/>
                <w:szCs w:val="24"/>
              </w:rPr>
            </w:pPr>
            <w:r>
              <w:rPr>
                <w:rFonts w:ascii="Times New Roman" w:eastAsia="宋体" w:hAnsi="Times New Roman" w:cs="Times New Roman" w:hint="eastAsia"/>
                <w:color w:val="000000" w:themeColor="text1"/>
                <w:kern w:val="0"/>
                <w:szCs w:val="24"/>
              </w:rPr>
              <w:t>液氨</w:t>
            </w:r>
          </w:p>
        </w:tc>
        <w:tc>
          <w:tcPr>
            <w:tcW w:w="2081" w:type="dxa"/>
            <w:vAlign w:val="center"/>
          </w:tcPr>
          <w:p w:rsidR="00C861DA" w:rsidRDefault="0044752E">
            <w:pPr>
              <w:jc w:val="center"/>
              <w:rPr>
                <w:rFonts w:ascii="Times New Roman" w:eastAsia="宋体" w:hAnsi="Times New Roman" w:cs="Times New Roman"/>
                <w:color w:val="000000" w:themeColor="text1"/>
                <w:kern w:val="0"/>
                <w:szCs w:val="24"/>
              </w:rPr>
            </w:pPr>
            <w:r>
              <w:rPr>
                <w:rFonts w:ascii="Times New Roman" w:eastAsia="宋体" w:hAnsi="Times New Roman" w:cs="Times New Roman" w:hint="eastAsia"/>
                <w:color w:val="000000" w:themeColor="text1"/>
                <w:kern w:val="0"/>
                <w:szCs w:val="24"/>
              </w:rPr>
              <w:t>液态，泄漏后为气态</w:t>
            </w:r>
          </w:p>
        </w:tc>
        <w:tc>
          <w:tcPr>
            <w:tcW w:w="2071" w:type="dxa"/>
            <w:vAlign w:val="center"/>
          </w:tcPr>
          <w:p w:rsidR="00C861DA" w:rsidRDefault="0044752E">
            <w:pPr>
              <w:jc w:val="center"/>
              <w:rPr>
                <w:rFonts w:ascii="Times New Roman" w:eastAsia="宋体" w:hAnsi="Times New Roman" w:cs="Times New Roman"/>
                <w:color w:val="000000" w:themeColor="text1"/>
                <w:kern w:val="0"/>
                <w:szCs w:val="24"/>
              </w:rPr>
            </w:pPr>
            <w:r>
              <w:rPr>
                <w:rFonts w:ascii="Times New Roman" w:eastAsia="宋体" w:hAnsi="Times New Roman" w:cs="Times New Roman" w:hint="eastAsia"/>
                <w:color w:val="000000" w:themeColor="text1"/>
                <w:kern w:val="0"/>
                <w:szCs w:val="24"/>
              </w:rPr>
              <w:t>无组织扩散</w:t>
            </w:r>
          </w:p>
        </w:tc>
        <w:tc>
          <w:tcPr>
            <w:tcW w:w="2072" w:type="dxa"/>
            <w:vAlign w:val="center"/>
          </w:tcPr>
          <w:p w:rsidR="00C861DA" w:rsidRDefault="0044752E">
            <w:pPr>
              <w:jc w:val="center"/>
              <w:rPr>
                <w:rFonts w:ascii="Times New Roman" w:eastAsia="宋体" w:hAnsi="Times New Roman" w:cs="Times New Roman"/>
                <w:color w:val="000000" w:themeColor="text1"/>
                <w:kern w:val="0"/>
                <w:szCs w:val="24"/>
              </w:rPr>
            </w:pPr>
            <w:r>
              <w:rPr>
                <w:rFonts w:ascii="Times New Roman" w:eastAsia="宋体" w:hAnsi="Times New Roman" w:cs="Times New Roman" w:hint="eastAsia"/>
                <w:color w:val="000000" w:themeColor="text1"/>
                <w:kern w:val="0"/>
                <w:szCs w:val="24"/>
              </w:rPr>
              <w:t>管道接口破损</w:t>
            </w:r>
          </w:p>
        </w:tc>
      </w:tr>
      <w:tr w:rsidR="00C861DA">
        <w:trPr>
          <w:trHeight w:val="369"/>
          <w:jc w:val="center"/>
        </w:trPr>
        <w:tc>
          <w:tcPr>
            <w:tcW w:w="2072" w:type="dxa"/>
            <w:vAlign w:val="center"/>
          </w:tcPr>
          <w:p w:rsidR="00C861DA" w:rsidRDefault="0044752E">
            <w:pPr>
              <w:jc w:val="center"/>
              <w:rPr>
                <w:rFonts w:ascii="Times New Roman" w:eastAsia="宋体" w:hAnsi="Times New Roman" w:cs="Times New Roman"/>
                <w:color w:val="000000" w:themeColor="text1"/>
                <w:kern w:val="0"/>
                <w:szCs w:val="24"/>
              </w:rPr>
            </w:pPr>
            <w:r>
              <w:rPr>
                <w:rFonts w:ascii="Times New Roman" w:eastAsia="宋体" w:hAnsi="Times New Roman" w:cs="Times New Roman" w:hint="eastAsia"/>
                <w:color w:val="000000" w:themeColor="text1"/>
                <w:kern w:val="0"/>
                <w:szCs w:val="24"/>
              </w:rPr>
              <w:t>稀硝酸</w:t>
            </w:r>
          </w:p>
        </w:tc>
        <w:tc>
          <w:tcPr>
            <w:tcW w:w="2081" w:type="dxa"/>
            <w:vAlign w:val="center"/>
          </w:tcPr>
          <w:p w:rsidR="00C861DA" w:rsidRDefault="0044752E">
            <w:pPr>
              <w:jc w:val="center"/>
              <w:rPr>
                <w:rFonts w:ascii="Times New Roman" w:eastAsia="宋体" w:hAnsi="Times New Roman" w:cs="Times New Roman"/>
                <w:color w:val="000000" w:themeColor="text1"/>
                <w:kern w:val="0"/>
                <w:szCs w:val="24"/>
              </w:rPr>
            </w:pPr>
            <w:r>
              <w:rPr>
                <w:rFonts w:ascii="Times New Roman" w:eastAsia="宋体" w:hAnsi="Times New Roman" w:cs="Times New Roman" w:hint="eastAsia"/>
                <w:color w:val="000000" w:themeColor="text1"/>
                <w:kern w:val="0"/>
                <w:szCs w:val="24"/>
              </w:rPr>
              <w:t>液态</w:t>
            </w:r>
          </w:p>
        </w:tc>
        <w:tc>
          <w:tcPr>
            <w:tcW w:w="2071" w:type="dxa"/>
            <w:vAlign w:val="center"/>
          </w:tcPr>
          <w:p w:rsidR="00C861DA" w:rsidRDefault="0044752E">
            <w:pPr>
              <w:jc w:val="center"/>
              <w:rPr>
                <w:rFonts w:ascii="Times New Roman" w:eastAsia="宋体" w:hAnsi="Times New Roman" w:cs="Times New Roman"/>
                <w:color w:val="000000" w:themeColor="text1"/>
                <w:kern w:val="0"/>
                <w:szCs w:val="24"/>
              </w:rPr>
            </w:pPr>
            <w:r>
              <w:rPr>
                <w:rFonts w:ascii="Times New Roman" w:eastAsia="宋体" w:hAnsi="Times New Roman" w:cs="Times New Roman" w:hint="eastAsia"/>
                <w:color w:val="000000" w:themeColor="text1"/>
                <w:kern w:val="0"/>
                <w:szCs w:val="24"/>
              </w:rPr>
              <w:t>挥发产生氮氧化物</w:t>
            </w:r>
          </w:p>
        </w:tc>
        <w:tc>
          <w:tcPr>
            <w:tcW w:w="2072" w:type="dxa"/>
            <w:vAlign w:val="center"/>
          </w:tcPr>
          <w:p w:rsidR="00C861DA" w:rsidRDefault="0044752E">
            <w:pPr>
              <w:jc w:val="center"/>
              <w:rPr>
                <w:rFonts w:ascii="Times New Roman" w:eastAsia="宋体" w:hAnsi="Times New Roman" w:cs="Times New Roman"/>
                <w:color w:val="000000" w:themeColor="text1"/>
                <w:kern w:val="0"/>
                <w:szCs w:val="24"/>
              </w:rPr>
            </w:pPr>
            <w:r>
              <w:rPr>
                <w:rFonts w:ascii="Times New Roman" w:eastAsia="宋体" w:hAnsi="Times New Roman" w:cs="Times New Roman" w:hint="eastAsia"/>
                <w:color w:val="000000" w:themeColor="text1"/>
                <w:kern w:val="0"/>
                <w:szCs w:val="24"/>
              </w:rPr>
              <w:t>设备破损</w:t>
            </w:r>
          </w:p>
        </w:tc>
      </w:tr>
      <w:tr w:rsidR="00C861DA">
        <w:trPr>
          <w:trHeight w:val="369"/>
          <w:jc w:val="center"/>
        </w:trPr>
        <w:tc>
          <w:tcPr>
            <w:tcW w:w="2072" w:type="dxa"/>
            <w:vAlign w:val="center"/>
          </w:tcPr>
          <w:p w:rsidR="00C861DA" w:rsidRDefault="0044752E">
            <w:pPr>
              <w:jc w:val="center"/>
              <w:rPr>
                <w:rFonts w:ascii="Times New Roman" w:eastAsia="宋体" w:hAnsi="Times New Roman" w:cs="Times New Roman"/>
                <w:color w:val="000000" w:themeColor="text1"/>
                <w:kern w:val="0"/>
                <w:sz w:val="20"/>
                <w:szCs w:val="24"/>
              </w:rPr>
            </w:pPr>
            <w:r>
              <w:rPr>
                <w:rFonts w:ascii="Times New Roman" w:eastAsia="宋体" w:hAnsi="Times New Roman" w:cs="Times New Roman" w:hint="eastAsia"/>
                <w:color w:val="000000" w:themeColor="text1"/>
                <w:kern w:val="0"/>
                <w:sz w:val="20"/>
                <w:szCs w:val="24"/>
              </w:rPr>
              <w:t>硝酸铵</w:t>
            </w:r>
          </w:p>
        </w:tc>
        <w:tc>
          <w:tcPr>
            <w:tcW w:w="2081" w:type="dxa"/>
            <w:vAlign w:val="center"/>
          </w:tcPr>
          <w:p w:rsidR="00C861DA" w:rsidRDefault="0044752E">
            <w:pPr>
              <w:jc w:val="center"/>
              <w:rPr>
                <w:rFonts w:ascii="Times New Roman" w:eastAsia="宋体" w:hAnsi="Times New Roman" w:cs="Times New Roman"/>
                <w:color w:val="000000" w:themeColor="text1"/>
                <w:kern w:val="0"/>
                <w:sz w:val="20"/>
                <w:szCs w:val="24"/>
              </w:rPr>
            </w:pPr>
            <w:r>
              <w:rPr>
                <w:rFonts w:ascii="Times New Roman" w:eastAsia="宋体" w:hAnsi="Times New Roman" w:cs="Times New Roman" w:hint="eastAsia"/>
                <w:color w:val="000000" w:themeColor="text1"/>
                <w:kern w:val="0"/>
                <w:sz w:val="20"/>
                <w:szCs w:val="24"/>
              </w:rPr>
              <w:t>熔融态和固态</w:t>
            </w:r>
          </w:p>
        </w:tc>
        <w:tc>
          <w:tcPr>
            <w:tcW w:w="2071" w:type="dxa"/>
            <w:vAlign w:val="center"/>
          </w:tcPr>
          <w:p w:rsidR="00C861DA" w:rsidRDefault="0044752E">
            <w:pPr>
              <w:jc w:val="center"/>
              <w:rPr>
                <w:rFonts w:ascii="Times New Roman" w:eastAsia="宋体" w:hAnsi="Times New Roman" w:cs="Times New Roman"/>
                <w:color w:val="000000" w:themeColor="text1"/>
                <w:kern w:val="0"/>
                <w:sz w:val="20"/>
                <w:szCs w:val="24"/>
                <w:highlight w:val="yellow"/>
              </w:rPr>
            </w:pPr>
            <w:r>
              <w:rPr>
                <w:rFonts w:ascii="Times New Roman" w:eastAsia="宋体" w:hAnsi="Times New Roman" w:cs="Times New Roman" w:hint="eastAsia"/>
                <w:color w:val="000000" w:themeColor="text1"/>
                <w:kern w:val="0"/>
                <w:sz w:val="20"/>
                <w:szCs w:val="24"/>
              </w:rPr>
              <w:t>不易转移</w:t>
            </w:r>
          </w:p>
        </w:tc>
        <w:tc>
          <w:tcPr>
            <w:tcW w:w="2072" w:type="dxa"/>
            <w:vAlign w:val="center"/>
          </w:tcPr>
          <w:p w:rsidR="00C861DA" w:rsidRDefault="0044752E">
            <w:pPr>
              <w:jc w:val="center"/>
              <w:rPr>
                <w:rFonts w:ascii="Times New Roman" w:eastAsia="宋体" w:hAnsi="Times New Roman" w:cs="Times New Roman"/>
                <w:color w:val="000000" w:themeColor="text1"/>
                <w:kern w:val="0"/>
                <w:sz w:val="20"/>
                <w:szCs w:val="24"/>
              </w:rPr>
            </w:pPr>
            <w:r>
              <w:rPr>
                <w:rFonts w:ascii="Times New Roman" w:eastAsia="宋体" w:hAnsi="Times New Roman" w:cs="Times New Roman" w:hint="eastAsia"/>
                <w:color w:val="000000" w:themeColor="text1"/>
                <w:kern w:val="0"/>
                <w:sz w:val="20"/>
                <w:szCs w:val="24"/>
              </w:rPr>
              <w:t>设备破损</w:t>
            </w:r>
          </w:p>
        </w:tc>
      </w:tr>
    </w:tbl>
    <w:p w:rsidR="00C861DA" w:rsidRDefault="0044752E">
      <w:pPr>
        <w:pStyle w:val="32"/>
        <w:rPr>
          <w:rFonts w:ascii="Times New Roman" w:eastAsia="宋体" w:hAnsi="Times New Roman" w:cs="Times New Roman"/>
          <w:b w:val="0"/>
          <w:color w:val="000000" w:themeColor="text1"/>
          <w:kern w:val="0"/>
          <w:sz w:val="24"/>
          <w:szCs w:val="24"/>
        </w:rPr>
      </w:pPr>
      <w:bookmarkStart w:id="553" w:name="_Toc6826875"/>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.1.4</w:t>
      </w:r>
      <w:r>
        <w:rPr>
          <w:rFonts w:ascii="Times New Roman" w:eastAsia="宋体"/>
          <w:bCs w:val="0"/>
          <w:color w:val="000000" w:themeColor="text1"/>
          <w:sz w:val="24"/>
          <w:szCs w:val="24"/>
        </w:rPr>
        <w:t>风险识别结果</w:t>
      </w:r>
      <w:bookmarkEnd w:id="553"/>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根据上述风险物质和生产系统识别，本项目风险源为粗炼车间和精炼车间的三氧化二锑，具体结果见下表。</w:t>
      </w:r>
    </w:p>
    <w:p w:rsidR="00C861DA" w:rsidRDefault="0044752E">
      <w:pPr>
        <w:spacing w:beforeLines="50" w:before="156"/>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8.1-6  </w:t>
      </w:r>
      <w:r>
        <w:rPr>
          <w:rFonts w:ascii="Times New Roman" w:eastAsia="宋体" w:hAnsi="Times New Roman" w:cs="Times New Roman"/>
          <w:b/>
          <w:color w:val="000000" w:themeColor="text1"/>
          <w:sz w:val="24"/>
        </w:rPr>
        <w:t>风险识别结果一览表</w:t>
      </w:r>
    </w:p>
    <w:tbl>
      <w:tblPr>
        <w:tblStyle w:val="affa"/>
        <w:tblW w:w="8296" w:type="dxa"/>
        <w:jc w:val="center"/>
        <w:tblLayout w:type="fixed"/>
        <w:tblLook w:val="04A0" w:firstRow="1" w:lastRow="0" w:firstColumn="1" w:lastColumn="0" w:noHBand="0" w:noVBand="1"/>
      </w:tblPr>
      <w:tblGrid>
        <w:gridCol w:w="1698"/>
        <w:gridCol w:w="1030"/>
        <w:gridCol w:w="1097"/>
        <w:gridCol w:w="1840"/>
        <w:gridCol w:w="2631"/>
      </w:tblGrid>
      <w:tr w:rsidR="00C861DA">
        <w:trPr>
          <w:trHeight w:val="369"/>
          <w:jc w:val="center"/>
        </w:trPr>
        <w:tc>
          <w:tcPr>
            <w:tcW w:w="1698" w:type="dxa"/>
            <w:vAlign w:val="center"/>
          </w:tcPr>
          <w:p w:rsidR="00C861DA" w:rsidRDefault="0044752E">
            <w:pPr>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危险单元</w:t>
            </w:r>
          </w:p>
        </w:tc>
        <w:tc>
          <w:tcPr>
            <w:tcW w:w="1030" w:type="dxa"/>
            <w:vAlign w:val="center"/>
          </w:tcPr>
          <w:p w:rsidR="00C861DA" w:rsidRDefault="0044752E">
            <w:pPr>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主要危险物质</w:t>
            </w:r>
          </w:p>
        </w:tc>
        <w:tc>
          <w:tcPr>
            <w:tcW w:w="1097" w:type="dxa"/>
            <w:vAlign w:val="center"/>
          </w:tcPr>
          <w:p w:rsidR="00C861DA" w:rsidRDefault="0044752E">
            <w:pPr>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环境风险类型</w:t>
            </w:r>
          </w:p>
        </w:tc>
        <w:tc>
          <w:tcPr>
            <w:tcW w:w="1840" w:type="dxa"/>
            <w:vAlign w:val="center"/>
          </w:tcPr>
          <w:p w:rsidR="00C861DA" w:rsidRDefault="0044752E">
            <w:pPr>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rPr>
              <w:t>向环境转移途径</w:t>
            </w:r>
          </w:p>
        </w:tc>
        <w:tc>
          <w:tcPr>
            <w:tcW w:w="2631" w:type="dxa"/>
            <w:vAlign w:val="center"/>
          </w:tcPr>
          <w:p w:rsidR="00C861DA" w:rsidRDefault="0044752E">
            <w:pPr>
              <w:jc w:val="center"/>
              <w:rPr>
                <w:rFonts w:ascii="Times New Roman" w:eastAsia="宋体" w:hAnsi="Times New Roman" w:cs="Times New Roman"/>
                <w:b/>
                <w:color w:val="000000" w:themeColor="text1"/>
                <w:kern w:val="0"/>
                <w:szCs w:val="20"/>
              </w:rPr>
            </w:pPr>
            <w:r>
              <w:rPr>
                <w:rFonts w:ascii="Times New Roman" w:eastAsia="宋体" w:hAnsi="Times New Roman" w:cs="Times New Roman"/>
                <w:b/>
                <w:color w:val="000000" w:themeColor="text1"/>
                <w:kern w:val="0"/>
                <w:szCs w:val="20"/>
              </w:rPr>
              <w:t>可能受影响的敏感目标</w:t>
            </w:r>
          </w:p>
        </w:tc>
      </w:tr>
      <w:tr w:rsidR="00C861DA">
        <w:trPr>
          <w:trHeight w:val="369"/>
          <w:jc w:val="center"/>
        </w:trPr>
        <w:tc>
          <w:tcPr>
            <w:tcW w:w="169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液氨输送管道</w:t>
            </w:r>
          </w:p>
        </w:tc>
        <w:tc>
          <w:tcPr>
            <w:tcW w:w="1030"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液氨</w:t>
            </w:r>
          </w:p>
        </w:tc>
        <w:tc>
          <w:tcPr>
            <w:tcW w:w="1097"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危险化学品泄漏</w:t>
            </w:r>
          </w:p>
        </w:tc>
        <w:tc>
          <w:tcPr>
            <w:tcW w:w="1840"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大气</w:t>
            </w:r>
            <w:r>
              <w:rPr>
                <w:rFonts w:ascii="Times New Roman" w:eastAsia="宋体" w:hAnsi="Times New Roman" w:cs="Times New Roman"/>
                <w:color w:val="000000" w:themeColor="text1"/>
                <w:kern w:val="0"/>
              </w:rPr>
              <w:t>无组织扩散</w:t>
            </w:r>
          </w:p>
        </w:tc>
        <w:tc>
          <w:tcPr>
            <w:tcW w:w="2631" w:type="dxa"/>
            <w:vMerge w:val="restart"/>
            <w:vAlign w:val="center"/>
          </w:tcPr>
          <w:p w:rsidR="00C861DA" w:rsidRDefault="0044752E">
            <w:pP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罗鸣、大李白、青龙镇、多依树、小河边、下禄脿、安丰营、大哨、水井湾、松坪、白塔村</w:t>
            </w:r>
          </w:p>
        </w:tc>
      </w:tr>
      <w:tr w:rsidR="00C861DA">
        <w:trPr>
          <w:trHeight w:val="369"/>
          <w:jc w:val="center"/>
        </w:trPr>
        <w:tc>
          <w:tcPr>
            <w:tcW w:w="169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硝酸生产装置</w:t>
            </w:r>
          </w:p>
        </w:tc>
        <w:tc>
          <w:tcPr>
            <w:tcW w:w="1030"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稀硝酸</w:t>
            </w:r>
          </w:p>
        </w:tc>
        <w:tc>
          <w:tcPr>
            <w:tcW w:w="1097" w:type="dxa"/>
            <w:vMerge/>
            <w:vAlign w:val="center"/>
          </w:tcPr>
          <w:p w:rsidR="00C861DA" w:rsidRDefault="00C861DA">
            <w:pPr>
              <w:jc w:val="center"/>
              <w:rPr>
                <w:rFonts w:ascii="Times New Roman" w:eastAsia="宋体" w:hAnsi="Times New Roman" w:cs="Times New Roman"/>
                <w:color w:val="000000" w:themeColor="text1"/>
                <w:kern w:val="0"/>
              </w:rPr>
            </w:pPr>
          </w:p>
        </w:tc>
        <w:tc>
          <w:tcPr>
            <w:tcW w:w="1840"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大气</w:t>
            </w:r>
            <w:r>
              <w:rPr>
                <w:rFonts w:ascii="Times New Roman" w:eastAsia="宋体" w:hAnsi="Times New Roman" w:cs="Times New Roman"/>
                <w:color w:val="000000" w:themeColor="text1"/>
                <w:kern w:val="0"/>
              </w:rPr>
              <w:t>无组织扩散</w:t>
            </w:r>
          </w:p>
        </w:tc>
        <w:tc>
          <w:tcPr>
            <w:tcW w:w="2631" w:type="dxa"/>
            <w:vMerge/>
            <w:vAlign w:val="center"/>
          </w:tcPr>
          <w:p w:rsidR="00C861DA" w:rsidRDefault="00C861DA">
            <w:pPr>
              <w:jc w:val="center"/>
              <w:rPr>
                <w:rFonts w:ascii="Times New Roman" w:eastAsia="宋体" w:hAnsi="Times New Roman" w:cs="Times New Roman"/>
                <w:color w:val="000000" w:themeColor="text1"/>
                <w:kern w:val="0"/>
                <w:sz w:val="20"/>
                <w:szCs w:val="20"/>
              </w:rPr>
            </w:pPr>
          </w:p>
        </w:tc>
      </w:tr>
      <w:tr w:rsidR="00C861DA">
        <w:trPr>
          <w:trHeight w:val="369"/>
          <w:jc w:val="center"/>
        </w:trPr>
        <w:tc>
          <w:tcPr>
            <w:tcW w:w="169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硝酸铵生产装置</w:t>
            </w:r>
          </w:p>
        </w:tc>
        <w:tc>
          <w:tcPr>
            <w:tcW w:w="1030"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硝酸铵</w:t>
            </w:r>
          </w:p>
        </w:tc>
        <w:tc>
          <w:tcPr>
            <w:tcW w:w="1097" w:type="dxa"/>
            <w:vMerge/>
            <w:vAlign w:val="center"/>
          </w:tcPr>
          <w:p w:rsidR="00C861DA" w:rsidRDefault="00C861DA">
            <w:pPr>
              <w:jc w:val="center"/>
              <w:rPr>
                <w:rFonts w:ascii="Times New Roman" w:eastAsia="宋体" w:hAnsi="Times New Roman" w:cs="Times New Roman"/>
                <w:color w:val="000000" w:themeColor="text1"/>
                <w:kern w:val="0"/>
              </w:rPr>
            </w:pPr>
          </w:p>
        </w:tc>
        <w:tc>
          <w:tcPr>
            <w:tcW w:w="1840"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不易向环境转移</w:t>
            </w:r>
          </w:p>
        </w:tc>
        <w:tc>
          <w:tcPr>
            <w:tcW w:w="2631" w:type="dxa"/>
            <w:vMerge/>
            <w:vAlign w:val="center"/>
          </w:tcPr>
          <w:p w:rsidR="00C861DA" w:rsidRDefault="00C861DA">
            <w:pPr>
              <w:jc w:val="center"/>
              <w:rPr>
                <w:rFonts w:ascii="Times New Roman" w:eastAsia="宋体" w:hAnsi="Times New Roman" w:cs="Times New Roman"/>
                <w:color w:val="000000" w:themeColor="text1"/>
                <w:kern w:val="0"/>
                <w:sz w:val="20"/>
                <w:szCs w:val="20"/>
              </w:rPr>
            </w:pPr>
          </w:p>
        </w:tc>
      </w:tr>
    </w:tbl>
    <w:p w:rsidR="00C861DA" w:rsidRDefault="0044752E">
      <w:pPr>
        <w:pStyle w:val="22"/>
        <w:rPr>
          <w:rFonts w:ascii="Times New Roman" w:eastAsia="宋体" w:hAnsi="Times New Roman"/>
          <w:bCs w:val="0"/>
          <w:color w:val="000000" w:themeColor="text1"/>
          <w:sz w:val="28"/>
          <w:szCs w:val="28"/>
        </w:rPr>
      </w:pPr>
      <w:bookmarkStart w:id="554" w:name="_Toc6826876"/>
      <w:r>
        <w:rPr>
          <w:rFonts w:ascii="Times New Roman" w:eastAsia="宋体" w:hAnsi="Times New Roman" w:hint="eastAsia"/>
          <w:bCs w:val="0"/>
          <w:color w:val="000000" w:themeColor="text1"/>
          <w:sz w:val="28"/>
          <w:szCs w:val="28"/>
        </w:rPr>
        <w:t>8</w:t>
      </w:r>
      <w:r>
        <w:rPr>
          <w:rFonts w:ascii="Times New Roman" w:eastAsia="宋体" w:hAnsi="Times New Roman"/>
          <w:bCs w:val="0"/>
          <w:color w:val="000000" w:themeColor="text1"/>
          <w:sz w:val="28"/>
          <w:szCs w:val="28"/>
        </w:rPr>
        <w:t>.2</w:t>
      </w:r>
      <w:r>
        <w:rPr>
          <w:rFonts w:ascii="Times New Roman" w:eastAsia="宋体" w:hAnsi="Times New Roman" w:hint="eastAsia"/>
          <w:bCs w:val="0"/>
          <w:color w:val="000000" w:themeColor="text1"/>
          <w:sz w:val="28"/>
          <w:szCs w:val="28"/>
        </w:rPr>
        <w:t>风险事故情形分析</w:t>
      </w:r>
      <w:bookmarkEnd w:id="554"/>
    </w:p>
    <w:p w:rsidR="00C861DA" w:rsidRDefault="0044752E">
      <w:pPr>
        <w:pStyle w:val="32"/>
        <w:rPr>
          <w:rFonts w:ascii="Times New Roman" w:eastAsia="宋体"/>
          <w:bCs w:val="0"/>
          <w:color w:val="000000" w:themeColor="text1"/>
          <w:sz w:val="24"/>
          <w:szCs w:val="24"/>
        </w:rPr>
      </w:pPr>
      <w:bookmarkStart w:id="555" w:name="_Toc6826877"/>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.2.1</w:t>
      </w:r>
      <w:r>
        <w:rPr>
          <w:rFonts w:ascii="Times New Roman" w:eastAsia="宋体"/>
          <w:bCs w:val="0"/>
          <w:color w:val="000000" w:themeColor="text1"/>
          <w:sz w:val="24"/>
          <w:szCs w:val="24"/>
        </w:rPr>
        <w:t>可能发生的环境风险事故</w:t>
      </w:r>
      <w:bookmarkEnd w:id="555"/>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根据项目生产涉及的危险化学品物质特性、生产工艺，项目生产过程中可能发生的事故主要为以下几个方面：</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1 \* GB3 </w:instrText>
      </w:r>
      <w:r>
        <w:rPr>
          <w:rFonts w:ascii="Times New Roman" w:eastAsia="宋体" w:hAnsi="Times New Roman" w:cs="Times New Roman"/>
          <w:color w:val="000000" w:themeColor="text1"/>
          <w:sz w:val="24"/>
        </w:rPr>
        <w:fldChar w:fldCharType="separate"/>
      </w:r>
      <w:r>
        <w:rPr>
          <w:rFonts w:ascii="宋体" w:eastAsia="宋体" w:hAnsi="宋体" w:cs="宋体" w:hint="eastAsia"/>
          <w:color w:val="000000" w:themeColor="text1"/>
          <w:sz w:val="24"/>
        </w:rPr>
        <w:t>①</w:t>
      </w:r>
      <w:r>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t>正常生产过程中，</w:t>
      </w:r>
      <w:r>
        <w:rPr>
          <w:rFonts w:ascii="Times New Roman" w:eastAsia="宋体" w:hAnsi="Times New Roman" w:cs="Times New Roman" w:hint="eastAsia"/>
          <w:color w:val="000000" w:themeColor="text1"/>
          <w:sz w:val="24"/>
        </w:rPr>
        <w:t>稀硝酸容器</w:t>
      </w:r>
      <w:r>
        <w:rPr>
          <w:rFonts w:ascii="Times New Roman" w:eastAsia="宋体" w:hAnsi="Times New Roman" w:cs="Times New Roman"/>
          <w:color w:val="000000" w:themeColor="text1"/>
          <w:sz w:val="24"/>
        </w:rPr>
        <w:t>日常维护不当，导致阀门、连接管线破损，造成</w:t>
      </w:r>
      <w:r>
        <w:rPr>
          <w:rFonts w:ascii="Times New Roman" w:eastAsia="宋体" w:hAnsi="Times New Roman" w:cs="Times New Roman" w:hint="eastAsia"/>
          <w:color w:val="000000" w:themeColor="text1"/>
          <w:sz w:val="24"/>
        </w:rPr>
        <w:t>稀硝酸泄漏</w:t>
      </w:r>
      <w:r>
        <w:rPr>
          <w:rFonts w:ascii="Times New Roman" w:eastAsia="宋体" w:hAnsi="Times New Roman" w:cs="Times New Roman"/>
          <w:color w:val="000000" w:themeColor="text1"/>
          <w:sz w:val="24"/>
        </w:rPr>
        <w:t>事故</w:t>
      </w:r>
      <w:r>
        <w:rPr>
          <w:rFonts w:ascii="Times New Roman" w:eastAsia="宋体" w:hAnsi="Times New Roman" w:cs="Times New Roman" w:hint="eastAsia"/>
          <w:color w:val="000000" w:themeColor="text1"/>
          <w:sz w:val="24"/>
        </w:rPr>
        <w:t>。</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2 \* GB3 </w:instrText>
      </w:r>
      <w:r>
        <w:rPr>
          <w:rFonts w:ascii="Times New Roman" w:eastAsia="宋体" w:hAnsi="Times New Roman" w:cs="Times New Roman"/>
          <w:color w:val="000000" w:themeColor="text1"/>
          <w:sz w:val="24"/>
        </w:rPr>
        <w:fldChar w:fldCharType="separate"/>
      </w:r>
      <w:r>
        <w:rPr>
          <w:rFonts w:ascii="宋体" w:eastAsia="宋体" w:hAnsi="宋体" w:cs="宋体" w:hint="eastAsia"/>
          <w:color w:val="000000" w:themeColor="text1"/>
          <w:sz w:val="24"/>
        </w:rPr>
        <w:t>②</w:t>
      </w:r>
      <w:r>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t>液氨输送过程中，输送管线破损，造成液氨的泄漏中毒事故。</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 3 \* GB3 </w:instrText>
      </w:r>
      <w:r>
        <w:rPr>
          <w:rFonts w:ascii="Times New Roman" w:eastAsia="宋体" w:hAnsi="Times New Roman" w:cs="Times New Roman"/>
          <w:color w:val="000000" w:themeColor="text1"/>
          <w:sz w:val="24"/>
        </w:rPr>
        <w:fldChar w:fldCharType="separate"/>
      </w:r>
      <w:r>
        <w:rPr>
          <w:rFonts w:ascii="宋体" w:eastAsia="宋体" w:hAnsi="宋体" w:cs="宋体" w:hint="eastAsia"/>
          <w:color w:val="000000" w:themeColor="text1"/>
          <w:sz w:val="24"/>
        </w:rPr>
        <w:t>③</w:t>
      </w:r>
      <w:r>
        <w:rPr>
          <w:rFonts w:ascii="Times New Roman" w:eastAsia="宋体" w:hAnsi="Times New Roman" w:cs="Times New Roman"/>
          <w:color w:val="000000" w:themeColor="text1"/>
          <w:sz w:val="24"/>
        </w:rPr>
        <w:fldChar w:fldCharType="end"/>
      </w:r>
      <w:r>
        <w:rPr>
          <w:rFonts w:ascii="Times New Roman" w:eastAsia="宋体" w:hAnsi="Times New Roman" w:cs="Times New Roman" w:hint="eastAsia"/>
          <w:color w:val="000000" w:themeColor="text1"/>
          <w:sz w:val="24"/>
        </w:rPr>
        <w:t>硝酸铵转移过程中</w:t>
      </w:r>
      <w:r>
        <w:rPr>
          <w:rFonts w:ascii="Times New Roman" w:eastAsia="宋体" w:hAnsi="Times New Roman" w:cs="Times New Roman"/>
          <w:color w:val="000000" w:themeColor="text1"/>
          <w:sz w:val="24"/>
        </w:rPr>
        <w:t>，操作不当，导致</w:t>
      </w:r>
      <w:r>
        <w:rPr>
          <w:rFonts w:ascii="Times New Roman" w:eastAsia="宋体" w:hAnsi="Times New Roman" w:cs="Times New Roman" w:hint="eastAsia"/>
          <w:color w:val="000000" w:themeColor="text1"/>
          <w:sz w:val="24"/>
        </w:rPr>
        <w:t>硝酸铵泄漏</w:t>
      </w:r>
      <w:r>
        <w:rPr>
          <w:rFonts w:ascii="Times New Roman" w:eastAsia="宋体" w:hAnsi="Times New Roman" w:cs="Times New Roman"/>
          <w:color w:val="000000" w:themeColor="text1"/>
          <w:sz w:val="24"/>
        </w:rPr>
        <w:t>事故。</w:t>
      </w:r>
    </w:p>
    <w:p w:rsidR="00C861DA" w:rsidRDefault="0044752E">
      <w:pPr>
        <w:pStyle w:val="32"/>
        <w:rPr>
          <w:rFonts w:ascii="Times New Roman" w:eastAsia="宋体"/>
          <w:bCs w:val="0"/>
          <w:color w:val="000000" w:themeColor="text1"/>
          <w:sz w:val="24"/>
          <w:szCs w:val="24"/>
        </w:rPr>
      </w:pPr>
      <w:bookmarkStart w:id="556" w:name="_Toc6826878"/>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.2.2</w:t>
      </w:r>
      <w:r>
        <w:rPr>
          <w:rFonts w:ascii="Times New Roman" w:eastAsia="宋体"/>
          <w:bCs w:val="0"/>
          <w:color w:val="000000" w:themeColor="text1"/>
          <w:sz w:val="24"/>
          <w:szCs w:val="24"/>
        </w:rPr>
        <w:t>最</w:t>
      </w:r>
      <w:r>
        <w:rPr>
          <w:rFonts w:ascii="Times New Roman" w:eastAsia="宋体" w:hint="eastAsia"/>
          <w:bCs w:val="0"/>
          <w:color w:val="000000" w:themeColor="text1"/>
          <w:sz w:val="24"/>
          <w:szCs w:val="24"/>
        </w:rPr>
        <w:t>具代表性</w:t>
      </w:r>
      <w:r>
        <w:rPr>
          <w:rFonts w:ascii="Times New Roman" w:eastAsia="宋体"/>
          <w:bCs w:val="0"/>
          <w:color w:val="000000" w:themeColor="text1"/>
          <w:sz w:val="24"/>
          <w:szCs w:val="24"/>
        </w:rPr>
        <w:t>事故</w:t>
      </w:r>
      <w:bookmarkEnd w:id="556"/>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根据项目可能发生事故的发生概率及事故产生的危害程度，环评认为项目最</w:t>
      </w:r>
      <w:r>
        <w:rPr>
          <w:rFonts w:ascii="Times New Roman" w:eastAsia="宋体" w:hAnsi="Times New Roman" w:cs="Times New Roman" w:hint="eastAsia"/>
          <w:color w:val="000000" w:themeColor="text1"/>
          <w:sz w:val="24"/>
        </w:rPr>
        <w:t>具代表性</w:t>
      </w:r>
      <w:r>
        <w:rPr>
          <w:rFonts w:ascii="Times New Roman" w:eastAsia="宋体" w:hAnsi="Times New Roman" w:cs="Times New Roman"/>
          <w:color w:val="000000" w:themeColor="text1"/>
          <w:sz w:val="24"/>
        </w:rPr>
        <w:t>事故为</w:t>
      </w:r>
      <w:r>
        <w:rPr>
          <w:rFonts w:ascii="Times New Roman" w:eastAsia="宋体" w:hAnsi="Times New Roman" w:cs="Times New Roman" w:hint="eastAsia"/>
          <w:color w:val="000000" w:themeColor="text1"/>
          <w:sz w:val="24"/>
        </w:rPr>
        <w:t>液氨</w:t>
      </w:r>
      <w:r>
        <w:rPr>
          <w:rFonts w:ascii="Times New Roman" w:eastAsia="宋体" w:hAnsi="Times New Roman" w:cs="Times New Roman"/>
          <w:color w:val="000000" w:themeColor="text1"/>
          <w:sz w:val="24"/>
        </w:rPr>
        <w:t>输送管连接处、阀门或输送管线发生破损，导致液氨泄漏中毒事故。</w:t>
      </w:r>
    </w:p>
    <w:p w:rsidR="00C861DA" w:rsidRDefault="0044752E">
      <w:pPr>
        <w:pStyle w:val="22"/>
        <w:rPr>
          <w:rFonts w:ascii="Times New Roman" w:eastAsia="宋体" w:hAnsi="Times New Roman"/>
          <w:bCs w:val="0"/>
          <w:color w:val="000000" w:themeColor="text1"/>
          <w:sz w:val="28"/>
          <w:szCs w:val="28"/>
        </w:rPr>
      </w:pPr>
      <w:bookmarkStart w:id="557" w:name="_Toc6826879"/>
      <w:r>
        <w:rPr>
          <w:rFonts w:ascii="Times New Roman" w:eastAsia="宋体" w:hAnsi="Times New Roman" w:hint="eastAsia"/>
          <w:bCs w:val="0"/>
          <w:color w:val="000000" w:themeColor="text1"/>
          <w:sz w:val="28"/>
          <w:szCs w:val="28"/>
        </w:rPr>
        <w:t>8</w:t>
      </w:r>
      <w:r>
        <w:rPr>
          <w:rFonts w:ascii="Times New Roman" w:eastAsia="宋体" w:hAnsi="Times New Roman"/>
          <w:bCs w:val="0"/>
          <w:color w:val="000000" w:themeColor="text1"/>
          <w:sz w:val="28"/>
          <w:szCs w:val="28"/>
        </w:rPr>
        <w:t>.3</w:t>
      </w:r>
      <w:r>
        <w:rPr>
          <w:rFonts w:ascii="Times New Roman" w:eastAsia="宋体" w:hAnsi="Times New Roman" w:hint="eastAsia"/>
          <w:bCs w:val="0"/>
          <w:color w:val="000000" w:themeColor="text1"/>
          <w:sz w:val="28"/>
          <w:szCs w:val="28"/>
        </w:rPr>
        <w:t>源项分析</w:t>
      </w:r>
      <w:bookmarkEnd w:id="557"/>
    </w:p>
    <w:p w:rsidR="00C861DA" w:rsidRDefault="0044752E">
      <w:pPr>
        <w:pStyle w:val="32"/>
        <w:rPr>
          <w:rFonts w:ascii="Times New Roman" w:eastAsia="宋体"/>
          <w:bCs w:val="0"/>
          <w:color w:val="000000" w:themeColor="text1"/>
          <w:sz w:val="24"/>
          <w:szCs w:val="24"/>
        </w:rPr>
      </w:pPr>
      <w:bookmarkStart w:id="558" w:name="_Toc6826880"/>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.3.1</w:t>
      </w:r>
      <w:r>
        <w:rPr>
          <w:rFonts w:ascii="Times New Roman" w:eastAsia="宋体" w:hint="eastAsia"/>
          <w:bCs w:val="0"/>
          <w:color w:val="000000" w:themeColor="text1"/>
          <w:sz w:val="24"/>
          <w:szCs w:val="24"/>
        </w:rPr>
        <w:t>最具代表性事故发生概率</w:t>
      </w:r>
      <w:bookmarkEnd w:id="558"/>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在收集查找相关资料的基础上，</w:t>
      </w:r>
      <w:r>
        <w:rPr>
          <w:rFonts w:ascii="Times New Roman" w:eastAsia="宋体" w:hAnsi="Times New Roman" w:cs="Times New Roman" w:hint="eastAsia"/>
          <w:color w:val="000000" w:themeColor="text1"/>
          <w:sz w:val="24"/>
        </w:rPr>
        <w:t>本项目</w:t>
      </w:r>
      <w:r>
        <w:rPr>
          <w:rFonts w:ascii="Times New Roman" w:eastAsia="宋体" w:hAnsi="Times New Roman" w:cs="Times New Roman"/>
          <w:color w:val="000000" w:themeColor="text1"/>
          <w:sz w:val="24"/>
        </w:rPr>
        <w:t>根据</w:t>
      </w:r>
      <w:r>
        <w:rPr>
          <w:rFonts w:ascii="Times New Roman" w:eastAsia="宋体" w:hAnsi="Times New Roman" w:cs="Times New Roman" w:hint="eastAsia"/>
          <w:color w:val="000000" w:themeColor="text1"/>
          <w:sz w:val="24"/>
        </w:rPr>
        <w:t>HJ</w:t>
      </w:r>
      <w:r>
        <w:rPr>
          <w:rFonts w:ascii="Times New Roman" w:eastAsia="宋体" w:hAnsi="Times New Roman" w:cs="Times New Roman"/>
          <w:color w:val="000000" w:themeColor="text1"/>
          <w:sz w:val="24"/>
        </w:rPr>
        <w:t>169-2018</w:t>
      </w:r>
      <w:r>
        <w:rPr>
          <w:rFonts w:ascii="Times New Roman" w:eastAsia="宋体" w:hAnsi="Times New Roman" w:cs="Times New Roman" w:hint="eastAsia"/>
          <w:color w:val="000000" w:themeColor="text1"/>
          <w:sz w:val="24"/>
        </w:rPr>
        <w:t>《建设项目风险影响评价技术导则》附录</w:t>
      </w:r>
      <w:r>
        <w:rPr>
          <w:rFonts w:ascii="Times New Roman" w:eastAsia="宋体" w:hAnsi="Times New Roman" w:cs="Times New Roman" w:hint="eastAsia"/>
          <w:color w:val="000000" w:themeColor="text1"/>
          <w:sz w:val="24"/>
        </w:rPr>
        <w:t>E</w:t>
      </w:r>
      <w:r>
        <w:rPr>
          <w:rFonts w:ascii="Times New Roman" w:eastAsia="宋体" w:hAnsi="Times New Roman" w:cs="Times New Roman"/>
          <w:color w:val="000000" w:themeColor="text1"/>
          <w:sz w:val="24"/>
        </w:rPr>
        <w:t>确定的最</w:t>
      </w:r>
      <w:r>
        <w:rPr>
          <w:rFonts w:ascii="Times New Roman" w:eastAsia="宋体" w:hAnsi="Times New Roman" w:cs="Times New Roman" w:hint="eastAsia"/>
          <w:color w:val="000000" w:themeColor="text1"/>
          <w:sz w:val="24"/>
        </w:rPr>
        <w:t>最具代表性事故发生概率。</w:t>
      </w:r>
      <w:r>
        <w:rPr>
          <w:rFonts w:ascii="Times New Roman" w:eastAsia="宋体" w:hAnsi="Times New Roman" w:cs="Times New Roman"/>
          <w:color w:val="000000" w:themeColor="text1"/>
          <w:sz w:val="24"/>
        </w:rPr>
        <w:t>近年来液氨泄漏中毒事故典型案例进行了统计分析结果见表</w:t>
      </w:r>
      <w:r>
        <w:rPr>
          <w:rFonts w:ascii="Times New Roman" w:eastAsia="宋体" w:hAnsi="Times New Roman" w:cs="Times New Roman"/>
          <w:color w:val="000000" w:themeColor="text1"/>
          <w:sz w:val="24"/>
        </w:rPr>
        <w:t>8.1-7</w:t>
      </w:r>
      <w:r>
        <w:rPr>
          <w:rFonts w:ascii="Times New Roman" w:eastAsia="宋体" w:hAnsi="Times New Roman" w:cs="Times New Roman"/>
          <w:color w:val="000000" w:themeColor="text1"/>
          <w:sz w:val="24"/>
        </w:rPr>
        <w:t>。</w:t>
      </w:r>
    </w:p>
    <w:p w:rsidR="00C861DA" w:rsidRDefault="0044752E">
      <w:pPr>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8.1-7  </w:t>
      </w:r>
      <w:r>
        <w:rPr>
          <w:rFonts w:ascii="Times New Roman" w:eastAsia="宋体" w:hAnsi="Times New Roman" w:cs="Times New Roman"/>
          <w:b/>
          <w:color w:val="000000" w:themeColor="text1"/>
          <w:sz w:val="24"/>
        </w:rPr>
        <w:t>液氨泄漏典型事故案例统计</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006"/>
        <w:gridCol w:w="1185"/>
        <w:gridCol w:w="1915"/>
        <w:gridCol w:w="2552"/>
      </w:tblGrid>
      <w:tr w:rsidR="00C861DA">
        <w:trPr>
          <w:trHeight w:val="397"/>
          <w:tblHeader/>
        </w:trPr>
        <w:tc>
          <w:tcPr>
            <w:tcW w:w="638"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序号</w:t>
            </w:r>
          </w:p>
        </w:tc>
        <w:tc>
          <w:tcPr>
            <w:tcW w:w="200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时间地点</w:t>
            </w:r>
          </w:p>
        </w:tc>
        <w:tc>
          <w:tcPr>
            <w:tcW w:w="118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事故类型</w:t>
            </w:r>
          </w:p>
        </w:tc>
        <w:tc>
          <w:tcPr>
            <w:tcW w:w="19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事故后果</w:t>
            </w:r>
          </w:p>
        </w:tc>
        <w:tc>
          <w:tcPr>
            <w:tcW w:w="2552"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事故原因</w:t>
            </w:r>
          </w:p>
        </w:tc>
      </w:tr>
      <w:tr w:rsidR="00C861DA">
        <w:trPr>
          <w:trHeight w:val="397"/>
        </w:trPr>
        <w:tc>
          <w:tcPr>
            <w:tcW w:w="638"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200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2001.10.27</w:t>
            </w:r>
            <w:r>
              <w:rPr>
                <w:rFonts w:ascii="Times New Roman" w:eastAsia="宋体" w:hAnsi="Times New Roman" w:cs="Times New Roman"/>
                <w:color w:val="000000" w:themeColor="text1"/>
              </w:rPr>
              <w:t>，深圳罗湖某制冰厂</w:t>
            </w:r>
          </w:p>
        </w:tc>
        <w:tc>
          <w:tcPr>
            <w:tcW w:w="118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氨气泄漏</w:t>
            </w:r>
          </w:p>
        </w:tc>
        <w:tc>
          <w:tcPr>
            <w:tcW w:w="19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多人受伤</w:t>
            </w:r>
          </w:p>
        </w:tc>
        <w:tc>
          <w:tcPr>
            <w:tcW w:w="2552"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储气库总阀门松动</w:t>
            </w:r>
          </w:p>
        </w:tc>
      </w:tr>
      <w:tr w:rsidR="00C861DA">
        <w:trPr>
          <w:trHeight w:val="397"/>
        </w:trPr>
        <w:tc>
          <w:tcPr>
            <w:tcW w:w="638"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200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2006.3.8</w:t>
            </w:r>
            <w:r>
              <w:rPr>
                <w:rFonts w:ascii="Times New Roman" w:eastAsia="宋体" w:hAnsi="Times New Roman" w:cs="Times New Roman"/>
                <w:color w:val="000000" w:themeColor="text1"/>
              </w:rPr>
              <w:t>，上海宝山某冷库</w:t>
            </w:r>
          </w:p>
        </w:tc>
        <w:tc>
          <w:tcPr>
            <w:tcW w:w="118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氨气泄漏</w:t>
            </w:r>
          </w:p>
        </w:tc>
        <w:tc>
          <w:tcPr>
            <w:tcW w:w="19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人死亡，</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人受伤</w:t>
            </w:r>
          </w:p>
        </w:tc>
        <w:tc>
          <w:tcPr>
            <w:tcW w:w="2552"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设备老化</w:t>
            </w:r>
          </w:p>
        </w:tc>
      </w:tr>
      <w:tr w:rsidR="00C861DA">
        <w:trPr>
          <w:trHeight w:val="397"/>
        </w:trPr>
        <w:tc>
          <w:tcPr>
            <w:tcW w:w="638"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p>
        </w:tc>
        <w:tc>
          <w:tcPr>
            <w:tcW w:w="200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2004.10.18</w:t>
            </w:r>
            <w:r>
              <w:rPr>
                <w:rFonts w:ascii="Times New Roman" w:eastAsia="宋体" w:hAnsi="Times New Roman" w:cs="Times New Roman"/>
                <w:color w:val="000000" w:themeColor="text1"/>
              </w:rPr>
              <w:t>，郑州京广路某冷库</w:t>
            </w:r>
          </w:p>
        </w:tc>
        <w:tc>
          <w:tcPr>
            <w:tcW w:w="118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氨气泄漏</w:t>
            </w:r>
          </w:p>
        </w:tc>
        <w:tc>
          <w:tcPr>
            <w:tcW w:w="19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进万名附近村民收到不同程度的影响</w:t>
            </w:r>
          </w:p>
        </w:tc>
        <w:tc>
          <w:tcPr>
            <w:tcW w:w="2552"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技术人员造成阀门疏漏</w:t>
            </w:r>
          </w:p>
        </w:tc>
      </w:tr>
      <w:tr w:rsidR="00C861DA">
        <w:trPr>
          <w:trHeight w:val="397"/>
        </w:trPr>
        <w:tc>
          <w:tcPr>
            <w:tcW w:w="638"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w:t>
            </w:r>
          </w:p>
        </w:tc>
        <w:tc>
          <w:tcPr>
            <w:tcW w:w="200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2006.8.25</w:t>
            </w:r>
            <w:r>
              <w:rPr>
                <w:rFonts w:ascii="Times New Roman" w:eastAsia="宋体" w:hAnsi="Times New Roman" w:cs="Times New Roman"/>
                <w:color w:val="000000" w:themeColor="text1"/>
              </w:rPr>
              <w:t>，河北泊头外贸冷库</w:t>
            </w:r>
          </w:p>
        </w:tc>
        <w:tc>
          <w:tcPr>
            <w:tcW w:w="118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氨气泄漏</w:t>
            </w:r>
          </w:p>
        </w:tc>
        <w:tc>
          <w:tcPr>
            <w:tcW w:w="19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2552"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氨压缩泵崩裂</w:t>
            </w:r>
          </w:p>
        </w:tc>
      </w:tr>
      <w:tr w:rsidR="00C861DA">
        <w:trPr>
          <w:trHeight w:val="397"/>
        </w:trPr>
        <w:tc>
          <w:tcPr>
            <w:tcW w:w="638"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w:t>
            </w:r>
          </w:p>
        </w:tc>
        <w:tc>
          <w:tcPr>
            <w:tcW w:w="200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2002.4.8</w:t>
            </w:r>
            <w:r>
              <w:rPr>
                <w:rFonts w:ascii="Times New Roman" w:eastAsia="宋体" w:hAnsi="Times New Roman" w:cs="Times New Roman"/>
                <w:color w:val="000000" w:themeColor="text1"/>
              </w:rPr>
              <w:t>，温岭石塘华生冷冻厂</w:t>
            </w:r>
          </w:p>
        </w:tc>
        <w:tc>
          <w:tcPr>
            <w:tcW w:w="118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氨气泄漏</w:t>
            </w:r>
          </w:p>
        </w:tc>
        <w:tc>
          <w:tcPr>
            <w:tcW w:w="19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人死亡，</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人受伤</w:t>
            </w:r>
          </w:p>
        </w:tc>
        <w:tc>
          <w:tcPr>
            <w:tcW w:w="2552"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氨气泄漏引发爆炸</w:t>
            </w:r>
          </w:p>
        </w:tc>
      </w:tr>
      <w:tr w:rsidR="00C861DA">
        <w:trPr>
          <w:trHeight w:val="397"/>
        </w:trPr>
        <w:tc>
          <w:tcPr>
            <w:tcW w:w="638"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p>
        </w:tc>
        <w:tc>
          <w:tcPr>
            <w:tcW w:w="200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2004.5.15</w:t>
            </w:r>
            <w:r>
              <w:rPr>
                <w:rFonts w:ascii="Times New Roman" w:eastAsia="宋体" w:hAnsi="Times New Roman" w:cs="Times New Roman"/>
                <w:color w:val="000000" w:themeColor="text1"/>
              </w:rPr>
              <w:t>，内蒙古某冷库</w:t>
            </w:r>
          </w:p>
        </w:tc>
        <w:tc>
          <w:tcPr>
            <w:tcW w:w="118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氨气管道爆炸</w:t>
            </w:r>
          </w:p>
        </w:tc>
        <w:tc>
          <w:tcPr>
            <w:tcW w:w="19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人死亡，</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人受伤</w:t>
            </w:r>
          </w:p>
        </w:tc>
        <w:tc>
          <w:tcPr>
            <w:tcW w:w="2552"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焊接管道时未排空管道内氮</w:t>
            </w:r>
          </w:p>
        </w:tc>
      </w:tr>
      <w:tr w:rsidR="00C861DA">
        <w:trPr>
          <w:trHeight w:val="397"/>
        </w:trPr>
        <w:tc>
          <w:tcPr>
            <w:tcW w:w="638"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w:t>
            </w:r>
          </w:p>
        </w:tc>
        <w:tc>
          <w:tcPr>
            <w:tcW w:w="200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2002.5.28</w:t>
            </w:r>
            <w:r>
              <w:rPr>
                <w:rFonts w:ascii="Times New Roman" w:eastAsia="宋体" w:hAnsi="Times New Roman" w:cs="Times New Roman"/>
                <w:color w:val="000000" w:themeColor="text1"/>
              </w:rPr>
              <w:t>，成都某冷库</w:t>
            </w:r>
          </w:p>
        </w:tc>
        <w:tc>
          <w:tcPr>
            <w:tcW w:w="118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液氨泄漏</w:t>
            </w:r>
          </w:p>
        </w:tc>
        <w:tc>
          <w:tcPr>
            <w:tcW w:w="19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影响范围</w:t>
            </w:r>
            <w:r>
              <w:rPr>
                <w:rFonts w:ascii="Times New Roman" w:eastAsia="宋体" w:hAnsi="Times New Roman" w:cs="Times New Roman"/>
                <w:color w:val="000000" w:themeColor="text1"/>
              </w:rPr>
              <w:t>100m</w:t>
            </w:r>
          </w:p>
        </w:tc>
        <w:tc>
          <w:tcPr>
            <w:tcW w:w="2552"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氨罐阀门脚垫损坏</w:t>
            </w:r>
          </w:p>
        </w:tc>
      </w:tr>
      <w:tr w:rsidR="00C861DA">
        <w:trPr>
          <w:trHeight w:val="397"/>
        </w:trPr>
        <w:tc>
          <w:tcPr>
            <w:tcW w:w="638"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200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2003.9.6</w:t>
            </w:r>
            <w:r>
              <w:rPr>
                <w:rFonts w:ascii="Times New Roman" w:eastAsia="宋体" w:hAnsi="Times New Roman" w:cs="Times New Roman"/>
                <w:color w:val="000000" w:themeColor="text1"/>
              </w:rPr>
              <w:t>，长春长营高速</w:t>
            </w:r>
          </w:p>
        </w:tc>
        <w:tc>
          <w:tcPr>
            <w:tcW w:w="118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20t</w:t>
            </w:r>
            <w:r>
              <w:rPr>
                <w:rFonts w:ascii="Times New Roman" w:eastAsia="宋体" w:hAnsi="Times New Roman" w:cs="Times New Roman"/>
                <w:color w:val="000000" w:themeColor="text1"/>
              </w:rPr>
              <w:t>液氨重型槽车倾翻</w:t>
            </w:r>
          </w:p>
        </w:tc>
        <w:tc>
          <w:tcPr>
            <w:tcW w:w="19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2km</w:t>
            </w:r>
            <w:r>
              <w:rPr>
                <w:rFonts w:ascii="Times New Roman" w:eastAsia="宋体" w:hAnsi="Times New Roman" w:cs="Times New Roman"/>
                <w:color w:val="000000" w:themeColor="text1"/>
              </w:rPr>
              <w:t>之内植物不同程度受损，</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人死亡，</w:t>
            </w: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人受伤</w:t>
            </w:r>
          </w:p>
        </w:tc>
        <w:tc>
          <w:tcPr>
            <w:tcW w:w="2552"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违反运输规定</w:t>
            </w:r>
          </w:p>
        </w:tc>
      </w:tr>
      <w:tr w:rsidR="00C861DA">
        <w:trPr>
          <w:trHeight w:val="397"/>
        </w:trPr>
        <w:tc>
          <w:tcPr>
            <w:tcW w:w="638"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200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2008.7.11</w:t>
            </w:r>
            <w:r>
              <w:rPr>
                <w:rFonts w:ascii="Times New Roman" w:eastAsia="宋体" w:hAnsi="Times New Roman" w:cs="Times New Roman"/>
                <w:color w:val="000000" w:themeColor="text1"/>
              </w:rPr>
              <w:t>，广西河池化工股份有限公司</w:t>
            </w:r>
          </w:p>
        </w:tc>
        <w:tc>
          <w:tcPr>
            <w:tcW w:w="118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液氨泄漏</w:t>
            </w:r>
          </w:p>
        </w:tc>
        <w:tc>
          <w:tcPr>
            <w:tcW w:w="19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名工人死亡</w:t>
            </w:r>
          </w:p>
        </w:tc>
        <w:tc>
          <w:tcPr>
            <w:tcW w:w="2552"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高压液氨泵故障</w:t>
            </w:r>
          </w:p>
        </w:tc>
      </w:tr>
      <w:tr w:rsidR="00C861DA">
        <w:trPr>
          <w:trHeight w:val="397"/>
        </w:trPr>
        <w:tc>
          <w:tcPr>
            <w:tcW w:w="638"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200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2009.8.5</w:t>
            </w:r>
            <w:r>
              <w:rPr>
                <w:rFonts w:ascii="Times New Roman" w:eastAsia="宋体" w:hAnsi="Times New Roman" w:cs="Times New Roman"/>
                <w:color w:val="000000" w:themeColor="text1"/>
              </w:rPr>
              <w:t>，内蒙古赤峰制药集团</w:t>
            </w:r>
          </w:p>
        </w:tc>
        <w:tc>
          <w:tcPr>
            <w:tcW w:w="118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液氨泄漏</w:t>
            </w:r>
          </w:p>
        </w:tc>
        <w:tc>
          <w:tcPr>
            <w:tcW w:w="19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202</w:t>
            </w:r>
            <w:r>
              <w:rPr>
                <w:rFonts w:ascii="Times New Roman" w:eastAsia="宋体" w:hAnsi="Times New Roman" w:cs="Times New Roman"/>
                <w:color w:val="000000" w:themeColor="text1"/>
              </w:rPr>
              <w:t>名工作人员受伤住院</w:t>
            </w:r>
          </w:p>
        </w:tc>
        <w:tc>
          <w:tcPr>
            <w:tcW w:w="2552"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泄氨过程中，车带连接管道突然发生破裂</w:t>
            </w:r>
          </w:p>
        </w:tc>
      </w:tr>
      <w:tr w:rsidR="00C861DA">
        <w:trPr>
          <w:trHeight w:val="397"/>
        </w:trPr>
        <w:tc>
          <w:tcPr>
            <w:tcW w:w="638"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11</w:t>
            </w:r>
          </w:p>
        </w:tc>
        <w:tc>
          <w:tcPr>
            <w:tcW w:w="2006"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2013</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8</w:t>
            </w:r>
            <w:r>
              <w:rPr>
                <w:rFonts w:ascii="Times New Roman" w:eastAsia="宋体" w:hAnsi="Times New Roman" w:cs="Times New Roman"/>
                <w:color w:val="000000" w:themeColor="text1"/>
              </w:rPr>
              <w:t>月</w:t>
            </w:r>
            <w:r>
              <w:rPr>
                <w:rFonts w:ascii="Times New Roman" w:eastAsia="宋体" w:hAnsi="Times New Roman" w:cs="Times New Roman"/>
                <w:color w:val="000000" w:themeColor="text1"/>
              </w:rPr>
              <w:t>31</w:t>
            </w:r>
            <w:r>
              <w:rPr>
                <w:rFonts w:ascii="Times New Roman" w:eastAsia="宋体" w:hAnsi="Times New Roman" w:cs="Times New Roman"/>
                <w:color w:val="000000" w:themeColor="text1"/>
              </w:rPr>
              <w:t>日，上海翁牌冷藏实业有限公司</w:t>
            </w:r>
          </w:p>
        </w:tc>
        <w:tc>
          <w:tcPr>
            <w:tcW w:w="118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液氨泄漏</w:t>
            </w:r>
          </w:p>
        </w:tc>
        <w:tc>
          <w:tcPr>
            <w:tcW w:w="1915"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造成</w:t>
            </w:r>
            <w:r>
              <w:rPr>
                <w:rFonts w:ascii="Times New Roman" w:eastAsia="宋体" w:hAnsi="Times New Roman" w:cs="Times New Roman"/>
                <w:color w:val="000000" w:themeColor="text1"/>
              </w:rPr>
              <w:t>15</w:t>
            </w:r>
            <w:r>
              <w:rPr>
                <w:rFonts w:ascii="Times New Roman" w:eastAsia="宋体" w:hAnsi="Times New Roman" w:cs="Times New Roman"/>
                <w:color w:val="000000" w:themeColor="text1"/>
              </w:rPr>
              <w:t>人死亡，</w:t>
            </w:r>
            <w:r>
              <w:rPr>
                <w:rFonts w:ascii="Times New Roman" w:eastAsia="宋体" w:hAnsi="Times New Roman" w:cs="Times New Roman"/>
                <w:color w:val="000000" w:themeColor="text1"/>
              </w:rPr>
              <w:t>25</w:t>
            </w:r>
            <w:r>
              <w:rPr>
                <w:rFonts w:ascii="Times New Roman" w:eastAsia="宋体" w:hAnsi="Times New Roman" w:cs="Times New Roman"/>
                <w:color w:val="000000" w:themeColor="text1"/>
              </w:rPr>
              <w:t>人受伤</w:t>
            </w:r>
          </w:p>
        </w:tc>
        <w:tc>
          <w:tcPr>
            <w:tcW w:w="2552" w:type="dxa"/>
            <w:shd w:val="clear" w:color="auto" w:fill="auto"/>
            <w:vAlign w:val="center"/>
          </w:tcPr>
          <w:p w:rsidR="00C861DA" w:rsidRDefault="0044752E">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生产厂房内液氨管路系统管帽脱落，引起液氨泄漏，导致操作人员伤亡</w:t>
            </w:r>
          </w:p>
        </w:tc>
      </w:tr>
    </w:tbl>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对以上统计资料分析，导致液氨泄漏事故原因主要为管道及接口等破损，</w:t>
      </w:r>
      <w:r>
        <w:rPr>
          <w:rFonts w:ascii="Times New Roman" w:eastAsia="宋体" w:hAnsi="Times New Roman" w:cs="Times New Roman"/>
          <w:color w:val="000000" w:themeColor="text1"/>
          <w:sz w:val="24"/>
        </w:rPr>
        <w:t>根据</w:t>
      </w:r>
      <w:r>
        <w:rPr>
          <w:rFonts w:ascii="Times New Roman" w:eastAsia="宋体" w:hAnsi="Times New Roman" w:cs="Times New Roman"/>
          <w:color w:val="000000" w:themeColor="text1"/>
          <w:sz w:val="24"/>
        </w:rPr>
        <w:t>HJ169-2018</w:t>
      </w:r>
      <w:r>
        <w:rPr>
          <w:rFonts w:ascii="Times New Roman" w:eastAsia="宋体" w:hAnsi="Times New Roman" w:cs="Times New Roman"/>
          <w:color w:val="000000" w:themeColor="text1"/>
          <w:sz w:val="24"/>
        </w:rPr>
        <w:t>《建设项目环境风险评价技术导则》附录</w:t>
      </w:r>
      <w:r>
        <w:rPr>
          <w:rFonts w:ascii="Times New Roman" w:eastAsia="宋体" w:hAnsi="Times New Roman" w:cs="Times New Roman"/>
          <w:color w:val="000000" w:themeColor="text1"/>
          <w:sz w:val="24"/>
        </w:rPr>
        <w:t>E</w:t>
      </w:r>
      <w:r>
        <w:rPr>
          <w:rFonts w:ascii="Times New Roman" w:eastAsia="宋体" w:hAnsi="Times New Roman" w:cs="Times New Roman"/>
          <w:color w:val="000000" w:themeColor="text1"/>
          <w:sz w:val="24"/>
        </w:rPr>
        <w:t>中给出的泄漏频率的推荐值，</w:t>
      </w:r>
      <w:r>
        <w:rPr>
          <w:rFonts w:ascii="Times New Roman" w:eastAsia="宋体" w:hAnsi="Times New Roman" w:cs="Times New Roman" w:hint="eastAsia"/>
          <w:color w:val="000000" w:themeColor="text1"/>
          <w:sz w:val="24"/>
        </w:rPr>
        <w:t>7</w:t>
      </w:r>
      <w:r>
        <w:rPr>
          <w:rFonts w:ascii="Times New Roman" w:eastAsia="宋体" w:hAnsi="Times New Roman" w:cs="Times New Roman"/>
          <w:color w:val="000000" w:themeColor="text1"/>
          <w:sz w:val="24"/>
        </w:rPr>
        <w:t>5mm</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内径</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150mm</w:t>
      </w:r>
      <w:r>
        <w:rPr>
          <w:rFonts w:ascii="Times New Roman" w:eastAsia="宋体" w:hAnsi="Times New Roman" w:cs="Times New Roman"/>
          <w:color w:val="000000" w:themeColor="text1"/>
          <w:sz w:val="24"/>
        </w:rPr>
        <w:t>的管道全管径泄漏频率为</w:t>
      </w:r>
      <w:r>
        <w:rPr>
          <w:rFonts w:ascii="Times New Roman" w:eastAsia="宋体" w:hAnsi="Times New Roman" w:cs="Times New Roman"/>
          <w:color w:val="000000" w:themeColor="text1"/>
          <w:sz w:val="24"/>
        </w:rPr>
        <w:t>3.00×10</w:t>
      </w:r>
      <w:r>
        <w:rPr>
          <w:rFonts w:ascii="Times New Roman" w:eastAsia="宋体" w:hAnsi="Times New Roman" w:cs="Times New Roman"/>
          <w:color w:val="000000" w:themeColor="text1"/>
          <w:sz w:val="24"/>
          <w:vertAlign w:val="superscript"/>
        </w:rPr>
        <w:t>-7</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次</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年</w:t>
      </w:r>
      <w:r>
        <w:rPr>
          <w:rFonts w:ascii="Times New Roman" w:eastAsia="宋体" w:hAnsi="Times New Roman" w:cs="Times New Roman" w:hint="eastAsia"/>
          <w:color w:val="000000" w:themeColor="text1"/>
          <w:sz w:val="24"/>
        </w:rPr>
        <w:t>，故本项目</w:t>
      </w:r>
      <w:r>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50mm</w:t>
      </w:r>
      <w:r>
        <w:rPr>
          <w:rFonts w:ascii="Times New Roman" w:eastAsia="宋体" w:hAnsi="Times New Roman" w:cs="Times New Roman" w:hint="eastAsia"/>
          <w:color w:val="000000" w:themeColor="text1"/>
          <w:sz w:val="24"/>
        </w:rPr>
        <w:t>管道破损导致泄漏的频率为</w:t>
      </w:r>
      <w:r>
        <w:rPr>
          <w:rFonts w:ascii="Times New Roman" w:eastAsia="宋体" w:hAnsi="Times New Roman" w:cs="Times New Roman"/>
          <w:color w:val="000000" w:themeColor="text1"/>
          <w:sz w:val="24"/>
        </w:rPr>
        <w:t>3.00×10</w:t>
      </w:r>
      <w:r>
        <w:rPr>
          <w:rFonts w:ascii="Times New Roman" w:eastAsia="宋体" w:hAnsi="Times New Roman" w:cs="Times New Roman"/>
          <w:color w:val="000000" w:themeColor="text1"/>
          <w:sz w:val="24"/>
          <w:vertAlign w:val="superscript"/>
        </w:rPr>
        <w:t>-7</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次</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 xml:space="preserve"> </w:t>
      </w:r>
    </w:p>
    <w:p w:rsidR="00C861DA" w:rsidRDefault="0044752E">
      <w:pPr>
        <w:pStyle w:val="32"/>
        <w:rPr>
          <w:rFonts w:ascii="Times New Roman" w:eastAsia="宋体"/>
          <w:bCs w:val="0"/>
          <w:color w:val="000000" w:themeColor="text1"/>
          <w:sz w:val="24"/>
          <w:szCs w:val="24"/>
        </w:rPr>
      </w:pPr>
      <w:bookmarkStart w:id="559" w:name="_Toc6826881"/>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.3.2</w:t>
      </w:r>
      <w:r>
        <w:rPr>
          <w:rFonts w:ascii="Times New Roman" w:eastAsia="宋体"/>
          <w:bCs w:val="0"/>
          <w:color w:val="000000" w:themeColor="text1"/>
          <w:sz w:val="24"/>
          <w:szCs w:val="24"/>
        </w:rPr>
        <w:t>事故泄漏量估算</w:t>
      </w:r>
      <w:bookmarkEnd w:id="559"/>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1</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估算模式</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液体泄漏速录</w:t>
      </w:r>
      <w:r>
        <w:rPr>
          <w:rFonts w:ascii="Times New Roman" w:eastAsia="宋体" w:hAnsi="Times New Roman" w:cs="Times New Roman"/>
          <w:color w:val="000000" w:themeColor="text1"/>
          <w:sz w:val="24"/>
        </w:rPr>
        <w:t>Q</w:t>
      </w:r>
      <w:r>
        <w:rPr>
          <w:rFonts w:ascii="Times New Roman" w:eastAsia="宋体" w:hAnsi="Times New Roman" w:cs="Times New Roman"/>
          <w:color w:val="000000" w:themeColor="text1"/>
          <w:sz w:val="24"/>
          <w:vertAlign w:val="subscript"/>
        </w:rPr>
        <w:t>L</w:t>
      </w:r>
      <w:r>
        <w:rPr>
          <w:rFonts w:ascii="Times New Roman" w:eastAsia="宋体" w:hAnsi="Times New Roman" w:cs="Times New Roman"/>
          <w:color w:val="000000" w:themeColor="text1"/>
          <w:sz w:val="24"/>
        </w:rPr>
        <w:t>用伯努利方程计算，（限值条件为液体在喷口内不应有急骤蒸发，本项目</w:t>
      </w:r>
      <w:r>
        <w:rPr>
          <w:rFonts w:ascii="Times New Roman" w:eastAsia="宋体" w:hAnsi="Times New Roman" w:cs="Times New Roman" w:hint="eastAsia"/>
          <w:color w:val="000000" w:themeColor="text1"/>
          <w:sz w:val="24"/>
        </w:rPr>
        <w:t>事故为</w:t>
      </w:r>
      <w:r>
        <w:rPr>
          <w:rFonts w:ascii="Times New Roman" w:eastAsia="宋体" w:hAnsi="Times New Roman" w:cs="Times New Roman"/>
          <w:color w:val="000000" w:themeColor="text1"/>
          <w:sz w:val="24"/>
        </w:rPr>
        <w:t>为</w:t>
      </w:r>
      <w:r>
        <w:rPr>
          <w:rFonts w:ascii="Times New Roman" w:eastAsia="宋体" w:hAnsi="Times New Roman" w:cs="Times New Roman" w:hint="eastAsia"/>
          <w:color w:val="000000" w:themeColor="text1"/>
          <w:sz w:val="24"/>
        </w:rPr>
        <w:t>输送管线泄漏</w:t>
      </w:r>
      <w:r>
        <w:rPr>
          <w:rFonts w:ascii="Times New Roman" w:eastAsia="宋体" w:hAnsi="Times New Roman" w:cs="Times New Roman"/>
          <w:color w:val="000000" w:themeColor="text1"/>
          <w:sz w:val="24"/>
        </w:rPr>
        <w:t>，液氨事故时泄漏出泄口才汽化，故仍适用）。</w:t>
      </w:r>
    </w:p>
    <w:p w:rsidR="00C861DA" w:rsidRDefault="0044752E">
      <w:pPr>
        <w:spacing w:line="360" w:lineRule="auto"/>
        <w:ind w:firstLineChars="200" w:firstLine="480"/>
        <w:rPr>
          <w:i/>
          <w:color w:val="000000" w:themeColor="text1"/>
          <w:sz w:val="24"/>
        </w:rPr>
      </w:pPr>
      <m:oMathPara>
        <m:oMath>
          <m:sSub>
            <m:sSubPr>
              <m:ctrlPr>
                <w:rPr>
                  <w:rFonts w:ascii="Cambria Math" w:hAnsi="Cambria Math"/>
                  <w:i/>
                  <w:color w:val="000000" w:themeColor="text1"/>
                  <w:sz w:val="24"/>
                </w:rPr>
              </m:ctrlPr>
            </m:sSubPr>
            <m:e>
              <m:r>
                <w:rPr>
                  <w:rFonts w:ascii="Cambria Math" w:hAnsi="Cambria Math"/>
                  <w:color w:val="000000" w:themeColor="text1"/>
                  <w:sz w:val="24"/>
                </w:rPr>
                <m:t>Q</m:t>
              </m:r>
            </m:e>
            <m:sub>
              <m:r>
                <w:rPr>
                  <w:rFonts w:ascii="Cambria Math" w:hAnsi="Cambria Math"/>
                  <w:color w:val="000000" w:themeColor="text1"/>
                  <w:sz w:val="24"/>
                </w:rPr>
                <m:t>L</m:t>
              </m:r>
            </m:sub>
          </m:sSub>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C</m:t>
              </m:r>
            </m:e>
            <m:sub>
              <m:r>
                <w:rPr>
                  <w:rFonts w:ascii="Cambria Math" w:hAnsi="Cambria Math"/>
                  <w:color w:val="000000" w:themeColor="text1"/>
                  <w:sz w:val="24"/>
                </w:rPr>
                <m:t>d</m:t>
              </m:r>
            </m:sub>
          </m:sSub>
          <m:r>
            <w:rPr>
              <w:rFonts w:ascii="Cambria Math" w:hAnsi="Cambria Math"/>
              <w:color w:val="000000" w:themeColor="text1"/>
              <w:sz w:val="24"/>
            </w:rPr>
            <m:t>A</m:t>
          </m:r>
          <m:r>
            <w:rPr>
              <w:rFonts w:ascii="Cambria Math" w:hAnsi="Cambria Math" w:hint="eastAsia"/>
              <w:color w:val="000000" w:themeColor="text1"/>
              <w:sz w:val="24"/>
            </w:rPr>
            <m:t>ρ</m:t>
          </m:r>
          <m:rad>
            <m:radPr>
              <m:degHide m:val="1"/>
              <m:ctrlPr>
                <w:rPr>
                  <w:rFonts w:ascii="Cambria Math" w:hAnsi="Cambria Math"/>
                  <w:i/>
                  <w:color w:val="000000" w:themeColor="text1"/>
                  <w:sz w:val="24"/>
                </w:rPr>
              </m:ctrlPr>
            </m:radPr>
            <m:deg/>
            <m:e>
              <m:f>
                <m:fPr>
                  <m:ctrlPr>
                    <w:rPr>
                      <w:rFonts w:ascii="Cambria Math" w:hAnsi="Cambria Math"/>
                      <w:i/>
                      <w:color w:val="000000" w:themeColor="text1"/>
                      <w:sz w:val="24"/>
                    </w:rPr>
                  </m:ctrlPr>
                </m:fPr>
                <m:num>
                  <m:r>
                    <w:rPr>
                      <w:rFonts w:ascii="Cambria Math" w:hAnsi="Cambria Math"/>
                      <w:color w:val="000000" w:themeColor="text1"/>
                      <w:sz w:val="24"/>
                    </w:rPr>
                    <m:t>2</m:t>
                  </m:r>
                  <m:r>
                    <w:rPr>
                      <w:rFonts w:ascii="Cambria Math" w:hAnsi="Cambria Math" w:hint="eastAsia"/>
                      <w:color w:val="000000" w:themeColor="text1"/>
                      <w:sz w:val="24"/>
                    </w:rPr>
                    <m:t>（</m:t>
                  </m:r>
                  <m:r>
                    <w:rPr>
                      <w:rFonts w:ascii="Cambria Math" w:hAnsi="Cambria Math"/>
                      <w:color w:val="000000" w:themeColor="text1"/>
                      <w:sz w:val="24"/>
                    </w:rPr>
                    <m:t>P</m:t>
                  </m:r>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0</m:t>
                      </m:r>
                    </m:sub>
                  </m:sSub>
                  <m:r>
                    <w:rPr>
                      <w:rFonts w:ascii="Cambria Math" w:hAnsi="Cambria Math" w:hint="eastAsia"/>
                      <w:color w:val="000000" w:themeColor="text1"/>
                      <w:sz w:val="24"/>
                    </w:rPr>
                    <m:t>）</m:t>
                  </m:r>
                </m:num>
                <m:den>
                  <m:r>
                    <w:rPr>
                      <w:rFonts w:ascii="Cambria Math" w:hAnsi="Cambria Math" w:hint="eastAsia"/>
                      <w:color w:val="000000" w:themeColor="text1"/>
                      <w:sz w:val="24"/>
                    </w:rPr>
                    <m:t>ρ</m:t>
                  </m:r>
                </m:den>
              </m:f>
              <m:r>
                <w:rPr>
                  <w:rFonts w:ascii="Cambria Math" w:hAnsi="Cambria Math"/>
                  <w:color w:val="000000" w:themeColor="text1"/>
                  <w:sz w:val="24"/>
                </w:rPr>
                <m:t>+2</m:t>
              </m:r>
              <m:r>
                <w:rPr>
                  <w:rFonts w:ascii="Cambria Math" w:hAnsi="Cambria Math"/>
                  <w:color w:val="000000" w:themeColor="text1"/>
                  <w:sz w:val="24"/>
                </w:rPr>
                <m:t>g</m:t>
              </m:r>
              <m:r>
                <w:rPr>
                  <w:rFonts w:ascii="Cambria Math" w:hAnsi="Cambria Math"/>
                  <w:color w:val="000000" w:themeColor="text1"/>
                  <w:sz w:val="24"/>
                </w:rPr>
                <m:t>h</m:t>
              </m:r>
            </m:e>
          </m:rad>
        </m:oMath>
      </m:oMathPara>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式中：</w:t>
      </w:r>
      <w:r>
        <w:rPr>
          <w:rFonts w:ascii="Times New Roman" w:eastAsia="宋体" w:hAnsi="Times New Roman" w:cs="Times New Roman"/>
          <w:color w:val="000000" w:themeColor="text1"/>
          <w:sz w:val="24"/>
        </w:rPr>
        <w:t>Q</w:t>
      </w:r>
      <w:r>
        <w:rPr>
          <w:rFonts w:ascii="Times New Roman" w:eastAsia="宋体" w:hAnsi="Times New Roman" w:cs="Times New Roman"/>
          <w:color w:val="000000" w:themeColor="text1"/>
          <w:sz w:val="24"/>
          <w:vertAlign w:val="subscript"/>
        </w:rPr>
        <w:t>L</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液体泄漏速率，</w:t>
      </w:r>
      <w:r>
        <w:rPr>
          <w:rFonts w:ascii="Times New Roman" w:eastAsia="宋体" w:hAnsi="Times New Roman" w:cs="Times New Roman"/>
          <w:color w:val="000000" w:themeColor="text1"/>
          <w:sz w:val="24"/>
        </w:rPr>
        <w:t>kg/s</w:t>
      </w:r>
      <w:r>
        <w:rPr>
          <w:rFonts w:ascii="Times New Roman" w:eastAsia="宋体" w:hAnsi="Times New Roman" w:cs="Times New Roman"/>
          <w:color w:val="000000" w:themeColor="text1"/>
          <w:sz w:val="24"/>
        </w:rPr>
        <w:t>；</w:t>
      </w:r>
    </w:p>
    <w:p w:rsidR="00C861DA" w:rsidRDefault="0044752E">
      <w:pPr>
        <w:spacing w:line="360" w:lineRule="auto"/>
        <w:ind w:firstLineChars="500" w:firstLine="1200"/>
        <w:rPr>
          <w:rFonts w:ascii="Times New Roman" w:eastAsia="宋体" w:hAnsi="Times New Roman" w:cs="Times New Roman"/>
          <w:color w:val="000000" w:themeColor="text1"/>
          <w:sz w:val="24"/>
        </w:rPr>
      </w:pPr>
      <w:r>
        <w:rPr>
          <w:rFonts w:ascii="Times New Roman" w:eastAsia="宋体" w:hAnsi="Times New Roman" w:cs="Times New Roman"/>
          <w:i/>
          <w:color w:val="000000" w:themeColor="text1"/>
          <w:sz w:val="24"/>
        </w:rPr>
        <w:t>P</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容器内介质压力，根据项目可研，</w:t>
      </w:r>
      <w:r>
        <w:rPr>
          <w:rFonts w:ascii="Times New Roman" w:eastAsia="宋体" w:hAnsi="Times New Roman" w:cs="Times New Roman" w:hint="eastAsia"/>
          <w:bCs/>
          <w:color w:val="000000" w:themeColor="text1"/>
          <w:sz w:val="24"/>
          <w:szCs w:val="24"/>
        </w:rPr>
        <w:t>管线</w:t>
      </w:r>
      <w:r>
        <w:rPr>
          <w:rFonts w:ascii="Times New Roman" w:eastAsia="宋体" w:hAnsi="Times New Roman" w:cs="Times New Roman"/>
          <w:color w:val="000000" w:themeColor="text1"/>
          <w:sz w:val="24"/>
        </w:rPr>
        <w:t>设计压力为</w:t>
      </w:r>
      <w:r>
        <w:rPr>
          <w:rFonts w:ascii="Times New Roman" w:eastAsia="宋体" w:hAnsi="Times New Roman" w:cs="Times New Roman"/>
          <w:color w:val="000000" w:themeColor="text1"/>
          <w:sz w:val="24"/>
        </w:rPr>
        <w:t>1200000Pa</w:t>
      </w:r>
      <w:r>
        <w:rPr>
          <w:rFonts w:ascii="Times New Roman" w:eastAsia="宋体" w:hAnsi="Times New Roman" w:cs="Times New Roman"/>
          <w:color w:val="000000" w:themeColor="text1"/>
          <w:sz w:val="24"/>
        </w:rPr>
        <w:t>；</w:t>
      </w:r>
    </w:p>
    <w:p w:rsidR="00C861DA" w:rsidRDefault="0044752E">
      <w:pPr>
        <w:spacing w:line="360" w:lineRule="auto"/>
        <w:ind w:firstLineChars="500" w:firstLine="1200"/>
        <w:rPr>
          <w:rFonts w:ascii="Times New Roman" w:eastAsia="宋体" w:hAnsi="Times New Roman" w:cs="Times New Roman"/>
          <w:color w:val="000000" w:themeColor="text1"/>
          <w:sz w:val="24"/>
        </w:rPr>
      </w:pPr>
      <w:r>
        <w:rPr>
          <w:rFonts w:ascii="Times New Roman" w:eastAsia="宋体" w:hAnsi="Times New Roman" w:cs="Times New Roman"/>
          <w:i/>
          <w:color w:val="000000" w:themeColor="text1"/>
          <w:sz w:val="24"/>
        </w:rPr>
        <w:t>P</w:t>
      </w:r>
      <w:r>
        <w:rPr>
          <w:rFonts w:ascii="Times New Roman" w:eastAsia="宋体" w:hAnsi="Times New Roman" w:cs="Times New Roman"/>
          <w:i/>
          <w:color w:val="000000" w:themeColor="text1"/>
          <w:sz w:val="24"/>
          <w:vertAlign w:val="subscript"/>
        </w:rPr>
        <w:t>0</w:t>
      </w:r>
      <w:r>
        <w:rPr>
          <w:rFonts w:ascii="Times New Roman" w:eastAsia="宋体" w:hAnsi="Times New Roman" w:cs="Times New Roman"/>
          <w:i/>
          <w:color w:val="000000" w:themeColor="text1"/>
          <w:sz w:val="24"/>
        </w:rPr>
        <w:t>—</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环境压力，</w:t>
      </w:r>
      <w:r>
        <w:rPr>
          <w:rFonts w:ascii="Times New Roman" w:eastAsia="宋体" w:hAnsi="Times New Roman" w:cs="Times New Roman"/>
          <w:color w:val="000000" w:themeColor="text1"/>
          <w:sz w:val="24"/>
        </w:rPr>
        <w:t>Pa</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101000pa</w:t>
      </w:r>
      <w:r>
        <w:rPr>
          <w:rFonts w:ascii="Times New Roman" w:eastAsia="宋体" w:hAnsi="Times New Roman" w:cs="Times New Roman"/>
          <w:color w:val="000000" w:themeColor="text1"/>
          <w:sz w:val="24"/>
        </w:rPr>
        <w:t>；</w:t>
      </w:r>
    </w:p>
    <w:p w:rsidR="00C861DA" w:rsidRDefault="0044752E">
      <w:pPr>
        <w:spacing w:line="360" w:lineRule="auto"/>
        <w:ind w:firstLineChars="500" w:firstLine="1200"/>
        <w:rPr>
          <w:rFonts w:ascii="Times New Roman" w:eastAsia="宋体" w:hAnsi="Times New Roman" w:cs="Times New Roman"/>
          <w:color w:val="000000" w:themeColor="text1"/>
          <w:sz w:val="24"/>
        </w:rPr>
      </w:pPr>
      <w:r>
        <w:rPr>
          <w:rFonts w:ascii="Times New Roman" w:eastAsia="宋体" w:hAnsi="Times New Roman" w:cs="Times New Roman"/>
          <w:i/>
          <w:color w:val="000000" w:themeColor="text1"/>
          <w:sz w:val="24"/>
        </w:rPr>
        <w:t>ρ</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泄漏液体密度，液氨密度为</w:t>
      </w:r>
      <w:r>
        <w:rPr>
          <w:rFonts w:ascii="Times New Roman" w:eastAsia="宋体" w:hAnsi="Times New Roman" w:cs="Times New Roman"/>
          <w:color w:val="000000" w:themeColor="text1"/>
          <w:sz w:val="24"/>
        </w:rPr>
        <w:t>0.67kg/m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w:t>
      </w:r>
    </w:p>
    <w:p w:rsidR="00C861DA" w:rsidRDefault="0044752E">
      <w:pPr>
        <w:spacing w:line="360" w:lineRule="auto"/>
        <w:ind w:firstLineChars="500" w:firstLine="1200"/>
        <w:rPr>
          <w:rFonts w:ascii="Times New Roman" w:eastAsia="宋体" w:hAnsi="Times New Roman" w:cs="Times New Roman"/>
          <w:color w:val="000000" w:themeColor="text1"/>
          <w:sz w:val="24"/>
        </w:rPr>
      </w:pPr>
      <w:r>
        <w:rPr>
          <w:rFonts w:ascii="Times New Roman" w:eastAsia="宋体" w:hAnsi="Times New Roman" w:cs="Times New Roman"/>
          <w:i/>
          <w:color w:val="000000" w:themeColor="text1"/>
          <w:sz w:val="24"/>
        </w:rPr>
        <w:t>g</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重力加速度，</w:t>
      </w:r>
      <w:r>
        <w:rPr>
          <w:rFonts w:ascii="Times New Roman" w:eastAsia="宋体" w:hAnsi="Times New Roman" w:cs="Times New Roman"/>
          <w:color w:val="000000" w:themeColor="text1"/>
          <w:sz w:val="24"/>
        </w:rPr>
        <w:t>9.81m/s</w:t>
      </w:r>
      <w:r>
        <w:rPr>
          <w:rFonts w:ascii="Times New Roman" w:eastAsia="宋体" w:hAnsi="Times New Roman" w:cs="Times New Roman"/>
          <w:color w:val="000000" w:themeColor="text1"/>
          <w:sz w:val="24"/>
          <w:vertAlign w:val="superscript"/>
        </w:rPr>
        <w:t>2</w:t>
      </w:r>
      <w:r>
        <w:rPr>
          <w:rFonts w:ascii="Times New Roman" w:eastAsia="宋体" w:hAnsi="Times New Roman" w:cs="Times New Roman"/>
          <w:color w:val="000000" w:themeColor="text1"/>
          <w:sz w:val="24"/>
        </w:rPr>
        <w:t>；</w:t>
      </w:r>
    </w:p>
    <w:p w:rsidR="00C861DA" w:rsidRDefault="0044752E">
      <w:pPr>
        <w:spacing w:line="360" w:lineRule="auto"/>
        <w:ind w:firstLineChars="500" w:firstLine="1200"/>
        <w:rPr>
          <w:rFonts w:ascii="Times New Roman" w:eastAsia="宋体" w:hAnsi="Times New Roman" w:cs="Times New Roman"/>
          <w:color w:val="000000" w:themeColor="text1"/>
          <w:sz w:val="24"/>
        </w:rPr>
      </w:pPr>
      <w:r>
        <w:rPr>
          <w:rFonts w:ascii="Times New Roman" w:eastAsia="宋体" w:hAnsi="Times New Roman" w:cs="Times New Roman"/>
          <w:i/>
          <w:color w:val="000000" w:themeColor="text1"/>
          <w:sz w:val="24"/>
        </w:rPr>
        <w:t>h</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裂口之上液位高度，本项目</w:t>
      </w:r>
      <w:r>
        <w:rPr>
          <w:rFonts w:ascii="Times New Roman" w:eastAsia="宋体" w:hAnsi="Times New Roman" w:cs="Times New Roman" w:hint="eastAsia"/>
          <w:color w:val="000000" w:themeColor="text1"/>
          <w:sz w:val="24"/>
        </w:rPr>
        <w:t>输送管线内径</w:t>
      </w:r>
      <w:r>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50mm</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故液位高度取最大值</w:t>
      </w:r>
      <w:r>
        <w:rPr>
          <w:rFonts w:ascii="Times New Roman" w:eastAsia="宋体" w:hAnsi="Times New Roman" w:cs="Times New Roman"/>
          <w:color w:val="000000" w:themeColor="text1"/>
          <w:sz w:val="24"/>
        </w:rPr>
        <w:t>0.15m</w:t>
      </w:r>
      <w:r>
        <w:rPr>
          <w:rFonts w:ascii="Times New Roman" w:eastAsia="宋体" w:hAnsi="Times New Roman" w:cs="Times New Roman"/>
          <w:color w:val="000000" w:themeColor="text1"/>
          <w:sz w:val="24"/>
        </w:rPr>
        <w:t>；</w:t>
      </w:r>
    </w:p>
    <w:p w:rsidR="00C861DA" w:rsidRDefault="0044752E">
      <w:pPr>
        <w:spacing w:line="360" w:lineRule="auto"/>
        <w:ind w:firstLineChars="500" w:firstLine="1200"/>
        <w:rPr>
          <w:rFonts w:ascii="Times New Roman" w:eastAsia="宋体" w:hAnsi="Times New Roman" w:cs="Times New Roman"/>
          <w:color w:val="000000" w:themeColor="text1"/>
          <w:sz w:val="24"/>
        </w:rPr>
      </w:pPr>
      <w:r>
        <w:rPr>
          <w:rFonts w:ascii="Times New Roman" w:eastAsia="宋体" w:hAnsi="Times New Roman" w:cs="Times New Roman"/>
          <w:i/>
          <w:color w:val="000000" w:themeColor="text1"/>
          <w:sz w:val="24"/>
        </w:rPr>
        <w:t>C</w:t>
      </w:r>
      <w:r>
        <w:rPr>
          <w:rFonts w:ascii="Times New Roman" w:eastAsia="宋体" w:hAnsi="Times New Roman" w:cs="Times New Roman"/>
          <w:i/>
          <w:color w:val="000000" w:themeColor="text1"/>
          <w:sz w:val="24"/>
          <w:vertAlign w:val="subscript"/>
        </w:rPr>
        <w:t>d</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液体泄漏系数，根据</w:t>
      </w:r>
      <w:r>
        <w:rPr>
          <w:rFonts w:ascii="Times New Roman" w:eastAsia="宋体" w:hAnsi="Times New Roman" w:cs="Times New Roman"/>
          <w:color w:val="000000" w:themeColor="text1"/>
          <w:sz w:val="24"/>
        </w:rPr>
        <w:t>HJ169-2018</w:t>
      </w:r>
      <w:r>
        <w:rPr>
          <w:rFonts w:ascii="Times New Roman" w:eastAsia="宋体" w:hAnsi="Times New Roman" w:cs="Times New Roman"/>
          <w:color w:val="000000" w:themeColor="text1"/>
          <w:sz w:val="24"/>
        </w:rPr>
        <w:t>《建设项目环境风险评价技术导则》推荐值为</w:t>
      </w:r>
      <w:r>
        <w:rPr>
          <w:rFonts w:ascii="Times New Roman" w:eastAsia="宋体" w:hAnsi="Times New Roman" w:cs="Times New Roman"/>
          <w:color w:val="000000" w:themeColor="text1"/>
          <w:sz w:val="24"/>
        </w:rPr>
        <w:t>0.6~0.64</w:t>
      </w:r>
      <w:r>
        <w:rPr>
          <w:rFonts w:ascii="Times New Roman" w:eastAsia="宋体" w:hAnsi="Times New Roman" w:cs="Times New Roman"/>
          <w:color w:val="000000" w:themeColor="text1"/>
          <w:sz w:val="24"/>
        </w:rPr>
        <w:t>，本项目取均值</w:t>
      </w:r>
      <w:r>
        <w:rPr>
          <w:rFonts w:ascii="Times New Roman" w:eastAsia="宋体" w:hAnsi="Times New Roman" w:cs="Times New Roman"/>
          <w:color w:val="000000" w:themeColor="text1"/>
          <w:sz w:val="24"/>
        </w:rPr>
        <w:t>0.62</w:t>
      </w:r>
      <w:r>
        <w:rPr>
          <w:rFonts w:ascii="Times New Roman" w:eastAsia="宋体" w:hAnsi="Times New Roman" w:cs="Times New Roman"/>
          <w:color w:val="000000" w:themeColor="text1"/>
          <w:sz w:val="24"/>
        </w:rPr>
        <w:t>；</w:t>
      </w:r>
    </w:p>
    <w:p w:rsidR="00C861DA" w:rsidRDefault="0044752E">
      <w:pPr>
        <w:spacing w:line="360" w:lineRule="auto"/>
        <w:ind w:firstLineChars="500" w:firstLine="1200"/>
        <w:rPr>
          <w:rFonts w:ascii="Times New Roman" w:eastAsia="宋体" w:hAnsi="Times New Roman" w:cs="Times New Roman"/>
          <w:bCs/>
          <w:color w:val="000000" w:themeColor="text1"/>
          <w:sz w:val="24"/>
        </w:rPr>
      </w:pPr>
      <w:r>
        <w:rPr>
          <w:rFonts w:ascii="Times New Roman" w:eastAsia="宋体" w:hAnsi="Times New Roman" w:cs="Times New Roman"/>
          <w:bCs/>
          <w:i/>
          <w:color w:val="000000" w:themeColor="text1"/>
          <w:sz w:val="24"/>
        </w:rPr>
        <w:t>A</w:t>
      </w:r>
      <w:r>
        <w:rPr>
          <w:rFonts w:ascii="Times New Roman" w:eastAsia="宋体" w:hAnsi="Times New Roman" w:cs="Times New Roman"/>
          <w:bCs/>
          <w:color w:val="000000" w:themeColor="text1"/>
          <w:sz w:val="24"/>
        </w:rPr>
        <w:t>——</w:t>
      </w:r>
      <w:r>
        <w:rPr>
          <w:rFonts w:ascii="Times New Roman" w:eastAsia="宋体" w:hAnsi="Times New Roman" w:cs="Times New Roman"/>
          <w:bCs/>
          <w:color w:val="000000" w:themeColor="text1"/>
          <w:sz w:val="24"/>
        </w:rPr>
        <w:t>裂口面积，</w:t>
      </w:r>
      <w:r>
        <w:rPr>
          <w:rFonts w:ascii="Times New Roman" w:eastAsia="宋体" w:hAnsi="Times New Roman" w:cs="Times New Roman"/>
          <w:color w:val="000000" w:themeColor="text1"/>
          <w:sz w:val="24"/>
        </w:rPr>
        <w:t>以输送管道内径</w:t>
      </w:r>
      <w:r>
        <w:rPr>
          <w:rFonts w:ascii="Times New Roman" w:eastAsia="宋体" w:hAnsi="Times New Roman" w:cs="Times New Roman"/>
          <w:color w:val="000000" w:themeColor="text1"/>
          <w:sz w:val="24"/>
        </w:rPr>
        <w:t>150mm</w:t>
      </w:r>
      <w:r>
        <w:rPr>
          <w:rFonts w:ascii="Times New Roman" w:eastAsia="宋体" w:hAnsi="Times New Roman" w:cs="Times New Roman" w:hint="eastAsia"/>
          <w:color w:val="000000" w:themeColor="text1"/>
          <w:sz w:val="24"/>
        </w:rPr>
        <w:t>的</w:t>
      </w:r>
      <w:r>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0%</w:t>
      </w:r>
      <w:r>
        <w:rPr>
          <w:rFonts w:ascii="Times New Roman" w:eastAsia="宋体" w:hAnsi="Times New Roman" w:cs="Times New Roman"/>
          <w:color w:val="000000" w:themeColor="text1"/>
          <w:sz w:val="24"/>
        </w:rPr>
        <w:t>计，</w:t>
      </w:r>
      <w:r>
        <w:rPr>
          <w:rFonts w:ascii="Times New Roman" w:eastAsia="宋体" w:hAnsi="Times New Roman" w:cs="Times New Roman" w:hint="eastAsia"/>
          <w:color w:val="000000" w:themeColor="text1"/>
          <w:sz w:val="24"/>
        </w:rPr>
        <w:t>即直径</w:t>
      </w:r>
      <w:r>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5mm</w:t>
      </w:r>
      <w:r>
        <w:rPr>
          <w:rFonts w:ascii="Times New Roman" w:eastAsia="宋体" w:hAnsi="Times New Roman" w:cs="Times New Roman" w:hint="eastAsia"/>
          <w:color w:val="000000" w:themeColor="text1"/>
          <w:sz w:val="24"/>
        </w:rPr>
        <w:t>的圆形泄漏裂口</w:t>
      </w:r>
      <w:r>
        <w:rPr>
          <w:rFonts w:ascii="Times New Roman" w:eastAsia="宋体" w:hAnsi="Times New Roman" w:cs="Times New Roman" w:hint="eastAsia"/>
          <w:color w:val="000000" w:themeColor="text1"/>
          <w:sz w:val="24"/>
        </w:rPr>
        <w:t>,</w:t>
      </w:r>
      <w:r>
        <w:rPr>
          <w:rFonts w:ascii="Times New Roman" w:eastAsia="宋体" w:hAnsi="Times New Roman" w:cs="Times New Roman"/>
          <w:bCs/>
          <w:color w:val="000000" w:themeColor="text1"/>
          <w:sz w:val="24"/>
        </w:rPr>
        <w:t>取</w:t>
      </w:r>
      <w:r>
        <w:rPr>
          <w:rFonts w:ascii="Times New Roman" w:eastAsia="宋体" w:hAnsi="Times New Roman" w:cs="Times New Roman"/>
          <w:bCs/>
          <w:color w:val="000000" w:themeColor="text1"/>
          <w:sz w:val="24"/>
        </w:rPr>
        <w:t>0.00177m</w:t>
      </w:r>
      <w:r>
        <w:rPr>
          <w:rFonts w:ascii="Times New Roman" w:eastAsia="宋体" w:hAnsi="Times New Roman" w:cs="Times New Roman"/>
          <w:bCs/>
          <w:color w:val="000000" w:themeColor="text1"/>
          <w:sz w:val="24"/>
          <w:vertAlign w:val="superscript"/>
        </w:rPr>
        <w:t>2</w:t>
      </w:r>
      <w:r>
        <w:rPr>
          <w:rFonts w:ascii="Times New Roman" w:eastAsia="宋体" w:hAnsi="Times New Roman" w:cs="Times New Roman"/>
          <w:bCs/>
          <w:color w:val="000000" w:themeColor="text1"/>
          <w:sz w:val="24"/>
        </w:rPr>
        <w:t>。</w:t>
      </w:r>
      <w:r>
        <w:rPr>
          <w:rFonts w:ascii="Times New Roman" w:eastAsia="宋体" w:hAnsi="Times New Roman" w:cs="Times New Roman" w:hint="eastAsia"/>
          <w:bCs/>
          <w:color w:val="000000" w:themeColor="text1"/>
          <w:sz w:val="24"/>
        </w:rPr>
        <w:t xml:space="preserve"> </w:t>
      </w:r>
    </w:p>
    <w:p w:rsidR="00C861DA" w:rsidRDefault="0044752E">
      <w:pPr>
        <w:spacing w:line="360" w:lineRule="auto"/>
        <w:ind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w:t>
      </w:r>
      <w:r>
        <w:rPr>
          <w:rFonts w:ascii="Times New Roman" w:eastAsia="宋体" w:hAnsi="Times New Roman" w:cs="Times New Roman" w:hint="eastAsia"/>
          <w:b/>
          <w:color w:val="000000" w:themeColor="text1"/>
          <w:sz w:val="24"/>
        </w:rPr>
        <w:t>2</w:t>
      </w:r>
      <w:r>
        <w:rPr>
          <w:rFonts w:ascii="Times New Roman" w:eastAsia="宋体" w:hAnsi="Times New Roman" w:cs="Times New Roman" w:hint="eastAsia"/>
          <w:b/>
          <w:color w:val="000000" w:themeColor="text1"/>
          <w:sz w:val="24"/>
        </w:rPr>
        <w:t>）</w:t>
      </w:r>
      <w:r>
        <w:rPr>
          <w:rFonts w:ascii="Times New Roman" w:eastAsia="宋体" w:hAnsi="Times New Roman" w:cs="Times New Roman"/>
          <w:b/>
          <w:color w:val="000000" w:themeColor="text1"/>
          <w:sz w:val="24"/>
        </w:rPr>
        <w:t>估算结果</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w:t>
      </w:r>
      <w:r>
        <w:rPr>
          <w:rFonts w:ascii="Times New Roman" w:eastAsia="宋体" w:hAnsi="Times New Roman" w:cs="Times New Roman" w:hint="eastAsia"/>
          <w:color w:val="000000" w:themeColor="text1"/>
          <w:sz w:val="24"/>
        </w:rPr>
        <w:t>液氨输送管线</w:t>
      </w:r>
      <w:r>
        <w:rPr>
          <w:rFonts w:ascii="Times New Roman" w:eastAsia="宋体" w:hAnsi="Times New Roman" w:cs="Times New Roman"/>
          <w:color w:val="000000" w:themeColor="text1"/>
          <w:sz w:val="24"/>
        </w:rPr>
        <w:t>设计工作压力为</w:t>
      </w:r>
      <w:r>
        <w:rPr>
          <w:rFonts w:ascii="Times New Roman" w:eastAsia="宋体" w:hAnsi="Times New Roman" w:cs="Times New Roman"/>
          <w:color w:val="000000" w:themeColor="text1"/>
          <w:sz w:val="24"/>
        </w:rPr>
        <w:t>1.2MPa</w:t>
      </w:r>
      <w:r>
        <w:rPr>
          <w:rFonts w:ascii="Times New Roman" w:eastAsia="宋体" w:hAnsi="Times New Roman" w:cs="Times New Roman"/>
          <w:color w:val="000000" w:themeColor="text1"/>
          <w:sz w:val="24"/>
        </w:rPr>
        <w:t>，工作温度</w:t>
      </w:r>
      <w:r>
        <w:rPr>
          <w:rFonts w:ascii="Times New Roman" w:eastAsia="宋体" w:hAnsi="Times New Roman" w:cs="Times New Roman"/>
          <w:color w:val="000000" w:themeColor="text1"/>
          <w:sz w:val="24"/>
        </w:rPr>
        <w:t>25</w:t>
      </w:r>
      <w:r>
        <w:rPr>
          <w:rFonts w:ascii="宋体" w:eastAsia="宋体" w:hAnsi="宋体" w:cs="宋体" w:hint="eastAsia"/>
          <w:color w:val="000000" w:themeColor="text1"/>
          <w:sz w:val="24"/>
        </w:rPr>
        <w:t>℃</w:t>
      </w:r>
      <w:r>
        <w:rPr>
          <w:rFonts w:ascii="Times New Roman" w:eastAsia="宋体" w:hAnsi="Times New Roman" w:cs="Times New Roman"/>
          <w:color w:val="000000" w:themeColor="text1"/>
          <w:sz w:val="24"/>
        </w:rPr>
        <w:t>，采用液体泄漏估算模式。氨的绝热指数为</w:t>
      </w:r>
      <w:r>
        <w:rPr>
          <w:rFonts w:ascii="Times New Roman" w:eastAsia="宋体" w:hAnsi="Times New Roman" w:cs="Times New Roman"/>
          <w:color w:val="000000" w:themeColor="text1"/>
          <w:sz w:val="24"/>
        </w:rPr>
        <w:t>1.313</w:t>
      </w:r>
      <w:r>
        <w:rPr>
          <w:rFonts w:ascii="Times New Roman" w:eastAsia="宋体" w:hAnsi="Times New Roman" w:cs="Times New Roman"/>
          <w:color w:val="000000" w:themeColor="text1"/>
          <w:sz w:val="24"/>
        </w:rPr>
        <w:t>，裂口等效直径按</w:t>
      </w:r>
      <w:r>
        <w:rPr>
          <w:rFonts w:ascii="Times New Roman" w:eastAsia="宋体" w:hAnsi="Times New Roman" w:cs="Times New Roman" w:hint="eastAsia"/>
          <w:bCs/>
          <w:color w:val="000000" w:themeColor="text1"/>
          <w:sz w:val="24"/>
          <w:szCs w:val="24"/>
        </w:rPr>
        <w:t>输送管线</w:t>
      </w:r>
      <w:r>
        <w:rPr>
          <w:rFonts w:ascii="Times New Roman" w:eastAsia="宋体" w:hAnsi="Times New Roman" w:cs="Times New Roman"/>
          <w:color w:val="000000" w:themeColor="text1"/>
          <w:sz w:val="24"/>
        </w:rPr>
        <w:t>管道口径</w:t>
      </w:r>
      <w:r>
        <w:rPr>
          <w:rFonts w:ascii="Times New Roman" w:eastAsia="宋体" w:hAnsi="Times New Roman" w:cs="Times New Roman"/>
          <w:color w:val="000000" w:themeColor="text1"/>
          <w:sz w:val="24"/>
        </w:rPr>
        <w:t>150mm</w:t>
      </w:r>
      <w:r>
        <w:rPr>
          <w:rFonts w:ascii="Times New Roman" w:eastAsia="宋体" w:hAnsi="Times New Roman" w:cs="Times New Roman" w:hint="eastAsia"/>
          <w:color w:val="000000" w:themeColor="text1"/>
          <w:sz w:val="24"/>
        </w:rPr>
        <w:t>的</w:t>
      </w:r>
      <w:r>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0%</w:t>
      </w:r>
      <w:r>
        <w:rPr>
          <w:rFonts w:ascii="Times New Roman" w:eastAsia="宋体" w:hAnsi="Times New Roman" w:cs="Times New Roman"/>
          <w:color w:val="000000" w:themeColor="text1"/>
          <w:sz w:val="24"/>
        </w:rPr>
        <w:t>计，</w:t>
      </w:r>
      <w:r>
        <w:rPr>
          <w:rFonts w:ascii="Times New Roman" w:eastAsia="宋体" w:hAnsi="Times New Roman" w:cs="Times New Roman" w:hint="eastAsia"/>
          <w:color w:val="000000" w:themeColor="text1"/>
          <w:sz w:val="24"/>
        </w:rPr>
        <w:t>即直径为</w:t>
      </w:r>
      <w:r>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5mm</w:t>
      </w:r>
      <w:r>
        <w:rPr>
          <w:rFonts w:ascii="Times New Roman" w:eastAsia="宋体" w:hAnsi="Times New Roman" w:cs="Times New Roman" w:hint="eastAsia"/>
          <w:color w:val="000000" w:themeColor="text1"/>
          <w:sz w:val="24"/>
        </w:rPr>
        <w:t>的圆形裂口</w:t>
      </w:r>
      <w:r>
        <w:rPr>
          <w:rFonts w:ascii="Times New Roman" w:eastAsia="宋体" w:hAnsi="Times New Roman" w:cs="Times New Roman"/>
          <w:color w:val="000000" w:themeColor="text1"/>
          <w:sz w:val="24"/>
        </w:rPr>
        <w:t>估算出发生接头泄漏破损时，液氨泄漏速率约</w:t>
      </w:r>
      <w:r>
        <w:rPr>
          <w:rFonts w:ascii="Times New Roman" w:eastAsia="宋体" w:hAnsi="Times New Roman" w:cs="Times New Roman"/>
          <w:color w:val="000000" w:themeColor="text1"/>
          <w:sz w:val="24"/>
        </w:rPr>
        <w:t>1.3392kg/s</w:t>
      </w:r>
      <w:r>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本项目使用的液氨输送管线设有紧急关闭安全阀，即设置有紧急隔离系统的单元，根据</w:t>
      </w:r>
      <w:r>
        <w:rPr>
          <w:rFonts w:ascii="Times New Roman" w:eastAsia="宋体" w:hAnsi="Times New Roman" w:cs="Times New Roman" w:hint="eastAsia"/>
          <w:color w:val="000000" w:themeColor="text1"/>
          <w:sz w:val="24"/>
        </w:rPr>
        <w:t>HJ</w:t>
      </w:r>
      <w:r>
        <w:rPr>
          <w:rFonts w:ascii="Times New Roman" w:eastAsia="宋体" w:hAnsi="Times New Roman" w:cs="Times New Roman"/>
          <w:color w:val="000000" w:themeColor="text1"/>
          <w:sz w:val="24"/>
        </w:rPr>
        <w:t>169-2018</w:t>
      </w:r>
      <w:r>
        <w:rPr>
          <w:rFonts w:ascii="Times New Roman" w:eastAsia="宋体" w:hAnsi="Times New Roman" w:cs="Times New Roman" w:hint="eastAsia"/>
          <w:color w:val="000000" w:themeColor="text1"/>
          <w:sz w:val="24"/>
        </w:rPr>
        <w:t>《建设项目环境风险评价技术导则》，</w:t>
      </w:r>
      <w:r>
        <w:rPr>
          <w:rFonts w:ascii="Times New Roman" w:eastAsia="宋体" w:hAnsi="Times New Roman" w:cs="Times New Roman"/>
          <w:color w:val="000000" w:themeColor="text1"/>
          <w:sz w:val="24"/>
        </w:rPr>
        <w:t>泄漏持续时间以</w:t>
      </w:r>
      <w:r>
        <w:rPr>
          <w:rFonts w:ascii="Times New Roman" w:eastAsia="宋体" w:hAnsi="Times New Roman" w:cs="Times New Roman"/>
          <w:color w:val="000000" w:themeColor="text1"/>
          <w:sz w:val="24"/>
        </w:rPr>
        <w:t>10min</w:t>
      </w:r>
      <w:r>
        <w:rPr>
          <w:rFonts w:ascii="Times New Roman" w:eastAsia="宋体" w:hAnsi="Times New Roman" w:cs="Times New Roman"/>
          <w:color w:val="000000" w:themeColor="text1"/>
          <w:sz w:val="24"/>
        </w:rPr>
        <w:t>计，预计泄漏总量</w:t>
      </w:r>
      <w:r>
        <w:rPr>
          <w:rFonts w:ascii="Times New Roman" w:eastAsia="宋体" w:hAnsi="Times New Roman" w:cs="Times New Roman"/>
          <w:color w:val="000000" w:themeColor="text1"/>
          <w:sz w:val="24"/>
        </w:rPr>
        <w:t>0.804t</w:t>
      </w:r>
      <w:r>
        <w:rPr>
          <w:rFonts w:ascii="Times New Roman" w:eastAsia="宋体" w:hAnsi="Times New Roman" w:cs="Times New Roman" w:hint="eastAsia"/>
          <w:color w:val="000000" w:themeColor="text1"/>
          <w:sz w:val="24"/>
        </w:rPr>
        <w:t>，向环境中转移的方式为无组织扩散</w:t>
      </w:r>
      <w:r>
        <w:rPr>
          <w:rFonts w:ascii="Times New Roman" w:eastAsia="宋体" w:hAnsi="Times New Roman" w:cs="Times New Roman"/>
          <w:color w:val="000000" w:themeColor="text1"/>
          <w:sz w:val="24"/>
        </w:rPr>
        <w:t>。</w:t>
      </w:r>
    </w:p>
    <w:p w:rsidR="00C861DA" w:rsidRDefault="0044752E">
      <w:pPr>
        <w:spacing w:beforeLines="50" w:before="156"/>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 xml:space="preserve">8.1-8  </w:t>
      </w:r>
      <w:r>
        <w:rPr>
          <w:rFonts w:ascii="Times New Roman" w:eastAsia="宋体" w:hAnsi="Times New Roman" w:cs="Times New Roman" w:hint="eastAsia"/>
          <w:b/>
          <w:color w:val="000000" w:themeColor="text1"/>
          <w:sz w:val="24"/>
        </w:rPr>
        <w:t>最具代表性</w:t>
      </w:r>
      <w:r>
        <w:rPr>
          <w:rFonts w:ascii="Times New Roman" w:eastAsia="宋体" w:hAnsi="Times New Roman" w:cs="Times New Roman"/>
          <w:b/>
          <w:color w:val="000000" w:themeColor="text1"/>
          <w:sz w:val="24"/>
        </w:rPr>
        <w:t>事故状态下污染物排放源强</w:t>
      </w:r>
    </w:p>
    <w:tbl>
      <w:tblPr>
        <w:tblStyle w:val="affa"/>
        <w:tblW w:w="8296" w:type="dxa"/>
        <w:jc w:val="center"/>
        <w:tblLayout w:type="fixed"/>
        <w:tblLook w:val="04A0" w:firstRow="1" w:lastRow="0" w:firstColumn="1" w:lastColumn="0" w:noHBand="0" w:noVBand="1"/>
      </w:tblPr>
      <w:tblGrid>
        <w:gridCol w:w="1696"/>
        <w:gridCol w:w="1382"/>
        <w:gridCol w:w="1941"/>
        <w:gridCol w:w="1780"/>
        <w:gridCol w:w="1497"/>
      </w:tblGrid>
      <w:tr w:rsidR="00C861DA">
        <w:trPr>
          <w:trHeight w:val="369"/>
          <w:jc w:val="center"/>
        </w:trPr>
        <w:tc>
          <w:tcPr>
            <w:tcW w:w="1696" w:type="dxa"/>
            <w:vAlign w:val="center"/>
          </w:tcPr>
          <w:p w:rsidR="00C861DA" w:rsidRDefault="0044752E">
            <w:pPr>
              <w:jc w:val="center"/>
              <w:rPr>
                <w:rFonts w:ascii="Times New Roman" w:eastAsia="宋体" w:hAnsi="Times New Roman" w:cs="Times New Roman"/>
                <w:b/>
                <w:color w:val="000000" w:themeColor="text1"/>
                <w:kern w:val="0"/>
                <w:szCs w:val="20"/>
              </w:rPr>
            </w:pPr>
            <w:r>
              <w:rPr>
                <w:rFonts w:ascii="Times New Roman" w:eastAsia="宋体" w:hAnsi="Times New Roman" w:cs="Times New Roman"/>
                <w:color w:val="000000" w:themeColor="text1"/>
                <w:kern w:val="0"/>
                <w:szCs w:val="20"/>
              </w:rPr>
              <w:t>污染源</w:t>
            </w:r>
          </w:p>
        </w:tc>
        <w:tc>
          <w:tcPr>
            <w:tcW w:w="1382" w:type="dxa"/>
            <w:vAlign w:val="center"/>
          </w:tcPr>
          <w:p w:rsidR="00C861DA" w:rsidRDefault="0044752E">
            <w:pPr>
              <w:jc w:val="center"/>
              <w:rPr>
                <w:rFonts w:ascii="Times New Roman" w:eastAsia="宋体" w:hAnsi="Times New Roman" w:cs="Times New Roman"/>
                <w:b/>
                <w:color w:val="000000" w:themeColor="text1"/>
                <w:kern w:val="0"/>
                <w:szCs w:val="20"/>
              </w:rPr>
            </w:pPr>
            <w:r>
              <w:rPr>
                <w:rFonts w:ascii="Times New Roman" w:eastAsia="宋体" w:hAnsi="Times New Roman" w:cs="Times New Roman"/>
                <w:color w:val="000000" w:themeColor="text1"/>
                <w:kern w:val="0"/>
                <w:szCs w:val="20"/>
              </w:rPr>
              <w:t>污染物</w:t>
            </w:r>
          </w:p>
        </w:tc>
        <w:tc>
          <w:tcPr>
            <w:tcW w:w="1941" w:type="dxa"/>
            <w:vAlign w:val="center"/>
          </w:tcPr>
          <w:p w:rsidR="00C861DA" w:rsidRDefault="0044752E">
            <w:pPr>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向环境转移途径</w:t>
            </w:r>
          </w:p>
        </w:tc>
        <w:tc>
          <w:tcPr>
            <w:tcW w:w="1780" w:type="dxa"/>
            <w:vAlign w:val="center"/>
          </w:tcPr>
          <w:p w:rsidR="00C861DA" w:rsidRDefault="0044752E">
            <w:pPr>
              <w:jc w:val="center"/>
              <w:rPr>
                <w:rFonts w:ascii="Times New Roman" w:eastAsia="宋体" w:hAnsi="Times New Roman" w:cs="Times New Roman"/>
                <w:b/>
                <w:color w:val="000000" w:themeColor="text1"/>
                <w:kern w:val="0"/>
                <w:szCs w:val="20"/>
              </w:rPr>
            </w:pPr>
            <w:r>
              <w:rPr>
                <w:rFonts w:ascii="Times New Roman" w:eastAsia="宋体" w:hAnsi="Times New Roman" w:cs="Times New Roman"/>
                <w:color w:val="000000" w:themeColor="text1"/>
                <w:kern w:val="0"/>
                <w:szCs w:val="20"/>
              </w:rPr>
              <w:t>排放</w:t>
            </w:r>
            <w:r>
              <w:rPr>
                <w:rFonts w:ascii="Times New Roman" w:eastAsia="宋体" w:hAnsi="Times New Roman" w:cs="Times New Roman" w:hint="eastAsia"/>
                <w:color w:val="000000" w:themeColor="text1"/>
                <w:kern w:val="0"/>
                <w:szCs w:val="20"/>
              </w:rPr>
              <w:t>速率</w:t>
            </w:r>
            <w:r>
              <w:rPr>
                <w:rFonts w:ascii="Times New Roman" w:eastAsia="宋体" w:hAnsi="Times New Roman" w:cs="Times New Roman"/>
                <w:color w:val="000000" w:themeColor="text1"/>
                <w:kern w:val="0"/>
                <w:szCs w:val="20"/>
              </w:rPr>
              <w:t>(kg/s)</w:t>
            </w:r>
          </w:p>
        </w:tc>
        <w:tc>
          <w:tcPr>
            <w:tcW w:w="1497" w:type="dxa"/>
            <w:vAlign w:val="center"/>
          </w:tcPr>
          <w:p w:rsidR="00C861DA" w:rsidRDefault="0044752E">
            <w:pPr>
              <w:jc w:val="center"/>
              <w:rPr>
                <w:rFonts w:ascii="Times New Roman" w:eastAsia="宋体" w:hAnsi="Times New Roman" w:cs="Times New Roman"/>
                <w:b/>
                <w:color w:val="000000" w:themeColor="text1"/>
                <w:kern w:val="0"/>
                <w:szCs w:val="20"/>
              </w:rPr>
            </w:pPr>
            <w:r>
              <w:rPr>
                <w:rFonts w:ascii="Times New Roman" w:eastAsia="宋体" w:hAnsi="Times New Roman" w:cs="Times New Roman"/>
                <w:color w:val="000000" w:themeColor="text1"/>
                <w:kern w:val="0"/>
                <w:szCs w:val="20"/>
              </w:rPr>
              <w:t>排放时间</w:t>
            </w:r>
            <w:r>
              <w:rPr>
                <w:rFonts w:ascii="Times New Roman" w:eastAsia="宋体" w:hAnsi="Times New Roman" w:cs="Times New Roman"/>
                <w:color w:val="000000" w:themeColor="text1"/>
                <w:kern w:val="0"/>
                <w:szCs w:val="20"/>
              </w:rPr>
              <w:t>/min</w:t>
            </w:r>
          </w:p>
        </w:tc>
      </w:tr>
      <w:tr w:rsidR="00C861DA">
        <w:trPr>
          <w:trHeight w:val="369"/>
          <w:jc w:val="center"/>
        </w:trPr>
        <w:tc>
          <w:tcPr>
            <w:tcW w:w="1696" w:type="dxa"/>
            <w:vAlign w:val="center"/>
          </w:tcPr>
          <w:p w:rsidR="00C861DA" w:rsidRDefault="0044752E">
            <w:pPr>
              <w:jc w:val="center"/>
              <w:rPr>
                <w:rFonts w:ascii="Times New Roman" w:eastAsia="宋体" w:hAnsi="Times New Roman" w:cs="Times New Roman"/>
                <w:b/>
                <w:color w:val="000000" w:themeColor="text1"/>
                <w:kern w:val="0"/>
                <w:szCs w:val="20"/>
              </w:rPr>
            </w:pPr>
            <w:r>
              <w:rPr>
                <w:rFonts w:ascii="Times New Roman" w:eastAsia="宋体" w:hAnsi="Times New Roman" w:cs="Times New Roman" w:hint="eastAsia"/>
                <w:color w:val="000000" w:themeColor="text1"/>
                <w:kern w:val="0"/>
                <w:szCs w:val="20"/>
              </w:rPr>
              <w:t>液氨输送管道</w:t>
            </w:r>
          </w:p>
        </w:tc>
        <w:tc>
          <w:tcPr>
            <w:tcW w:w="1382" w:type="dxa"/>
            <w:vAlign w:val="center"/>
          </w:tcPr>
          <w:p w:rsidR="00C861DA" w:rsidRDefault="0044752E">
            <w:pPr>
              <w:jc w:val="center"/>
              <w:rPr>
                <w:rFonts w:ascii="Times New Roman" w:eastAsia="宋体" w:hAnsi="Times New Roman" w:cs="Times New Roman"/>
                <w:b/>
                <w:color w:val="000000" w:themeColor="text1"/>
                <w:kern w:val="0"/>
                <w:szCs w:val="20"/>
              </w:rPr>
            </w:pPr>
            <w:r>
              <w:rPr>
                <w:rFonts w:ascii="Times New Roman" w:eastAsia="宋体" w:hAnsi="Times New Roman" w:cs="Times New Roman" w:hint="eastAsia"/>
                <w:color w:val="000000" w:themeColor="text1"/>
                <w:kern w:val="0"/>
                <w:szCs w:val="20"/>
              </w:rPr>
              <w:t>液氨</w:t>
            </w:r>
          </w:p>
        </w:tc>
        <w:tc>
          <w:tcPr>
            <w:tcW w:w="1941" w:type="dxa"/>
            <w:vAlign w:val="center"/>
          </w:tcPr>
          <w:p w:rsidR="00C861DA" w:rsidRDefault="0044752E">
            <w:pPr>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无组织扩散</w:t>
            </w:r>
          </w:p>
        </w:tc>
        <w:tc>
          <w:tcPr>
            <w:tcW w:w="1780" w:type="dxa"/>
            <w:vAlign w:val="center"/>
          </w:tcPr>
          <w:p w:rsidR="00C861DA" w:rsidRDefault="0044752E">
            <w:pPr>
              <w:jc w:val="center"/>
              <w:rPr>
                <w:rFonts w:ascii="Times New Roman" w:eastAsia="宋体" w:hAnsi="Times New Roman" w:cs="Times New Roman"/>
                <w:b/>
                <w:color w:val="000000" w:themeColor="text1"/>
                <w:kern w:val="0"/>
                <w:szCs w:val="20"/>
              </w:rPr>
            </w:pPr>
            <w:r>
              <w:rPr>
                <w:rFonts w:ascii="Times New Roman" w:eastAsia="宋体" w:hAnsi="Times New Roman" w:cs="Times New Roman"/>
                <w:color w:val="000000" w:themeColor="text1"/>
                <w:kern w:val="0"/>
                <w:szCs w:val="20"/>
              </w:rPr>
              <w:t>1.3392</w:t>
            </w:r>
          </w:p>
        </w:tc>
        <w:tc>
          <w:tcPr>
            <w:tcW w:w="1497" w:type="dxa"/>
            <w:vAlign w:val="center"/>
          </w:tcPr>
          <w:p w:rsidR="00C861DA" w:rsidRDefault="0044752E">
            <w:pPr>
              <w:jc w:val="center"/>
              <w:rPr>
                <w:rFonts w:ascii="Times New Roman" w:eastAsia="宋体" w:hAnsi="Times New Roman" w:cs="Times New Roman"/>
                <w:b/>
                <w:color w:val="000000" w:themeColor="text1"/>
                <w:kern w:val="0"/>
                <w:szCs w:val="20"/>
              </w:rPr>
            </w:pPr>
            <w:r>
              <w:rPr>
                <w:rFonts w:ascii="Times New Roman" w:eastAsia="宋体" w:hAnsi="Times New Roman" w:cs="Times New Roman"/>
                <w:color w:val="000000" w:themeColor="text1"/>
                <w:kern w:val="0"/>
                <w:szCs w:val="20"/>
              </w:rPr>
              <w:t>10</w:t>
            </w:r>
          </w:p>
        </w:tc>
      </w:tr>
    </w:tbl>
    <w:p w:rsidR="00C861DA" w:rsidRDefault="0044752E">
      <w:pPr>
        <w:pStyle w:val="22"/>
        <w:rPr>
          <w:rFonts w:ascii="Times New Roman" w:eastAsia="宋体" w:hAnsi="Times New Roman"/>
          <w:bCs w:val="0"/>
          <w:color w:val="000000" w:themeColor="text1"/>
          <w:sz w:val="28"/>
          <w:szCs w:val="28"/>
        </w:rPr>
      </w:pPr>
      <w:bookmarkStart w:id="560" w:name="_Toc6826882"/>
      <w:r>
        <w:rPr>
          <w:rFonts w:ascii="Times New Roman" w:eastAsia="宋体" w:hAnsi="Times New Roman" w:hint="eastAsia"/>
          <w:bCs w:val="0"/>
          <w:color w:val="000000" w:themeColor="text1"/>
          <w:sz w:val="28"/>
          <w:szCs w:val="28"/>
        </w:rPr>
        <w:t>8</w:t>
      </w:r>
      <w:r>
        <w:rPr>
          <w:rFonts w:ascii="Times New Roman" w:eastAsia="宋体" w:hAnsi="Times New Roman"/>
          <w:bCs w:val="0"/>
          <w:color w:val="000000" w:themeColor="text1"/>
          <w:sz w:val="28"/>
          <w:szCs w:val="28"/>
        </w:rPr>
        <w:t>.4</w:t>
      </w:r>
      <w:r>
        <w:rPr>
          <w:rFonts w:ascii="Times New Roman" w:eastAsia="宋体" w:hAnsi="Times New Roman" w:hint="eastAsia"/>
          <w:bCs w:val="0"/>
          <w:color w:val="000000" w:themeColor="text1"/>
          <w:sz w:val="28"/>
          <w:szCs w:val="28"/>
        </w:rPr>
        <w:t>风险预测与评价</w:t>
      </w:r>
      <w:bookmarkEnd w:id="560"/>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本项目最具代表性环境风险事故产生的有毒有害物质为氨气，在大气中扩散会对周边环境保护目标产生影响。</w:t>
      </w:r>
    </w:p>
    <w:p w:rsidR="00C861DA" w:rsidRDefault="0044752E">
      <w:pPr>
        <w:pStyle w:val="32"/>
        <w:rPr>
          <w:rFonts w:ascii="Times New Roman" w:eastAsia="宋体"/>
          <w:bCs w:val="0"/>
          <w:color w:val="000000" w:themeColor="text1"/>
          <w:sz w:val="24"/>
          <w:szCs w:val="24"/>
        </w:rPr>
      </w:pPr>
      <w:bookmarkStart w:id="561" w:name="_Toc6826883"/>
      <w:r>
        <w:rPr>
          <w:rFonts w:ascii="Times New Roman" w:eastAsia="宋体"/>
          <w:bCs w:val="0"/>
          <w:color w:val="000000" w:themeColor="text1"/>
          <w:sz w:val="24"/>
          <w:szCs w:val="24"/>
        </w:rPr>
        <w:t>8.4.1</w:t>
      </w:r>
      <w:r>
        <w:rPr>
          <w:rFonts w:ascii="Times New Roman" w:eastAsia="宋体" w:hint="eastAsia"/>
          <w:bCs w:val="0"/>
          <w:color w:val="000000" w:themeColor="text1"/>
          <w:sz w:val="24"/>
          <w:szCs w:val="24"/>
        </w:rPr>
        <w:t>预测模型筛选</w:t>
      </w:r>
      <w:bookmarkEnd w:id="561"/>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根据</w:t>
      </w:r>
      <w:r>
        <w:rPr>
          <w:rFonts w:ascii="Times New Roman" w:eastAsia="宋体" w:hAnsi="Times New Roman" w:cs="Times New Roman" w:hint="eastAsia"/>
          <w:color w:val="000000" w:themeColor="text1"/>
          <w:sz w:val="24"/>
        </w:rPr>
        <w:t>HJ</w:t>
      </w:r>
      <w:r>
        <w:rPr>
          <w:rFonts w:ascii="Times New Roman" w:eastAsia="宋体" w:hAnsi="Times New Roman" w:cs="Times New Roman"/>
          <w:color w:val="000000" w:themeColor="text1"/>
          <w:sz w:val="24"/>
        </w:rPr>
        <w:t>169-2018</w:t>
      </w:r>
      <w:r>
        <w:rPr>
          <w:rFonts w:ascii="Times New Roman" w:eastAsia="宋体" w:hAnsi="Times New Roman" w:cs="Times New Roman" w:hint="eastAsia"/>
          <w:color w:val="000000" w:themeColor="text1"/>
          <w:sz w:val="24"/>
        </w:rPr>
        <w:t>《建设项目环境风险评价技术导则》附录</w:t>
      </w:r>
      <w:r>
        <w:rPr>
          <w:rFonts w:ascii="Times New Roman" w:eastAsia="宋体" w:hAnsi="Times New Roman" w:cs="Times New Roman" w:hint="eastAsia"/>
          <w:color w:val="000000" w:themeColor="text1"/>
          <w:sz w:val="24"/>
        </w:rPr>
        <w:t>G</w:t>
      </w:r>
      <w:r>
        <w:rPr>
          <w:rFonts w:ascii="Times New Roman" w:eastAsia="宋体" w:hAnsi="Times New Roman" w:cs="Times New Roman" w:hint="eastAsia"/>
          <w:color w:val="000000" w:themeColor="text1"/>
          <w:sz w:val="24"/>
        </w:rPr>
        <w:t>，本次环评使用理查德森数（</w:t>
      </w:r>
      <w:r>
        <w:rPr>
          <w:rFonts w:ascii="Times New Roman" w:eastAsia="宋体" w:hAnsi="Times New Roman" w:cs="Times New Roman" w:hint="eastAsia"/>
          <w:color w:val="000000" w:themeColor="text1"/>
          <w:sz w:val="24"/>
        </w:rPr>
        <w:t>R</w:t>
      </w:r>
      <w:r>
        <w:rPr>
          <w:rFonts w:ascii="Times New Roman" w:eastAsia="宋体" w:hAnsi="Times New Roman" w:cs="Times New Roman"/>
          <w:color w:val="000000" w:themeColor="text1"/>
          <w:sz w:val="24"/>
        </w:rPr>
        <w:t>i</w:t>
      </w:r>
      <w:r>
        <w:rPr>
          <w:rFonts w:ascii="Times New Roman" w:eastAsia="宋体" w:hAnsi="Times New Roman" w:cs="Times New Roman" w:hint="eastAsia"/>
          <w:color w:val="000000" w:themeColor="text1"/>
          <w:sz w:val="24"/>
        </w:rPr>
        <w:t>）的定义及计算公式计算出氨气的</w:t>
      </w:r>
      <w:r>
        <w:rPr>
          <w:rFonts w:ascii="Times New Roman" w:eastAsia="宋体" w:hAnsi="Times New Roman" w:cs="Times New Roman" w:hint="eastAsia"/>
          <w:color w:val="000000" w:themeColor="text1"/>
          <w:sz w:val="24"/>
        </w:rPr>
        <w:t>R</w:t>
      </w:r>
      <w:r>
        <w:rPr>
          <w:rFonts w:ascii="Times New Roman" w:eastAsia="宋体" w:hAnsi="Times New Roman" w:cs="Times New Roman"/>
          <w:color w:val="000000" w:themeColor="text1"/>
          <w:sz w:val="24"/>
        </w:rPr>
        <w:t>i</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0</w:t>
      </w:r>
      <w:r>
        <w:rPr>
          <w:rFonts w:ascii="Times New Roman" w:eastAsia="宋体" w:hAnsi="Times New Roman" w:cs="Times New Roman"/>
          <w:color w:val="000000" w:themeColor="text1"/>
          <w:sz w:val="24"/>
        </w:rPr>
        <w:t>.04</w:t>
      </w:r>
      <w:r>
        <w:rPr>
          <w:rFonts w:ascii="Times New Roman" w:eastAsia="宋体" w:hAnsi="Times New Roman" w:cs="Times New Roman" w:hint="eastAsia"/>
          <w:color w:val="000000" w:themeColor="text1"/>
          <w:sz w:val="24"/>
        </w:rPr>
        <w:t>，本项目最具代表性环境风险事故为瞬时排放，则氨气为轻质气体，适用于导则推荐的</w:t>
      </w:r>
      <w:r>
        <w:rPr>
          <w:rFonts w:ascii="Times New Roman" w:eastAsia="宋体" w:hAnsi="Times New Roman" w:cs="Times New Roman" w:hint="eastAsia"/>
          <w:color w:val="000000" w:themeColor="text1"/>
          <w:sz w:val="24"/>
        </w:rPr>
        <w:t>AFTOX</w:t>
      </w:r>
      <w:r>
        <w:rPr>
          <w:rFonts w:ascii="Times New Roman" w:eastAsia="宋体" w:hAnsi="Times New Roman" w:cs="Times New Roman" w:hint="eastAsia"/>
          <w:color w:val="000000" w:themeColor="text1"/>
          <w:sz w:val="24"/>
        </w:rPr>
        <w:t>大气风险预测模型。</w:t>
      </w:r>
    </w:p>
    <w:p w:rsidR="00C861DA" w:rsidRDefault="0044752E">
      <w:pPr>
        <w:pStyle w:val="32"/>
        <w:rPr>
          <w:rFonts w:ascii="Times New Roman" w:eastAsia="宋体"/>
          <w:bCs w:val="0"/>
          <w:color w:val="000000" w:themeColor="text1"/>
          <w:sz w:val="24"/>
          <w:szCs w:val="24"/>
        </w:rPr>
      </w:pPr>
      <w:bookmarkStart w:id="562" w:name="_Toc6826884"/>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.4.2</w:t>
      </w:r>
      <w:r>
        <w:rPr>
          <w:rFonts w:ascii="Times New Roman" w:eastAsia="宋体" w:hint="eastAsia"/>
          <w:bCs w:val="0"/>
          <w:color w:val="000000" w:themeColor="text1"/>
          <w:sz w:val="24"/>
          <w:szCs w:val="24"/>
        </w:rPr>
        <w:t>预测范围与计算点</w:t>
      </w:r>
      <w:bookmarkEnd w:id="562"/>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b/>
          <w:color w:val="000000" w:themeColor="text1"/>
          <w:sz w:val="24"/>
        </w:rPr>
        <w:t>范围：</w:t>
      </w:r>
      <w:r>
        <w:rPr>
          <w:rFonts w:ascii="Times New Roman" w:eastAsia="宋体" w:hAnsi="Times New Roman" w:cs="Times New Roman" w:hint="eastAsia"/>
          <w:color w:val="000000" w:themeColor="text1"/>
          <w:sz w:val="24"/>
        </w:rPr>
        <w:t>本项目预测范围包含风险评价范围，以风险评价范围外扩</w:t>
      </w:r>
      <w:r>
        <w:rPr>
          <w:rFonts w:ascii="Times New Roman" w:eastAsia="宋体" w:hAnsi="Times New Roman" w:cs="Times New Roman" w:hint="eastAsia"/>
          <w:color w:val="000000" w:themeColor="text1"/>
          <w:sz w:val="24"/>
        </w:rPr>
        <w:t>3</w:t>
      </w:r>
      <w:r>
        <w:rPr>
          <w:rFonts w:ascii="Times New Roman" w:eastAsia="宋体" w:hAnsi="Times New Roman" w:cs="Times New Roman"/>
          <w:color w:val="000000" w:themeColor="text1"/>
          <w:sz w:val="24"/>
        </w:rPr>
        <w:t>km</w:t>
      </w:r>
      <w:r>
        <w:rPr>
          <w:rFonts w:ascii="Times New Roman" w:eastAsia="宋体" w:hAnsi="Times New Roman" w:cs="Times New Roman" w:hint="eastAsia"/>
          <w:color w:val="000000" w:themeColor="text1"/>
          <w:sz w:val="24"/>
        </w:rPr>
        <w:t>，即以项目区为中心，边长为</w:t>
      </w:r>
      <w:r>
        <w:rPr>
          <w:rFonts w:ascii="Times New Roman" w:eastAsia="宋体" w:hAnsi="Times New Roman" w:cs="Times New Roman" w:hint="eastAsia"/>
          <w:color w:val="000000" w:themeColor="text1"/>
          <w:sz w:val="24"/>
        </w:rPr>
        <w:t>8</w:t>
      </w:r>
      <w:r>
        <w:rPr>
          <w:rFonts w:ascii="Times New Roman" w:eastAsia="宋体" w:hAnsi="Times New Roman" w:cs="Times New Roman"/>
          <w:color w:val="000000" w:themeColor="text1"/>
          <w:sz w:val="24"/>
        </w:rPr>
        <w:t>km</w:t>
      </w:r>
      <w:r>
        <w:rPr>
          <w:rFonts w:ascii="Times New Roman" w:eastAsia="宋体" w:hAnsi="Times New Roman" w:cs="Times New Roman" w:hint="eastAsia"/>
          <w:color w:val="000000" w:themeColor="text1"/>
          <w:sz w:val="24"/>
        </w:rPr>
        <w:t>的矩形范围。</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b/>
          <w:color w:val="000000" w:themeColor="text1"/>
          <w:sz w:val="24"/>
        </w:rPr>
        <w:t>计算点：</w:t>
      </w:r>
      <w:r>
        <w:rPr>
          <w:rFonts w:ascii="Times New Roman" w:eastAsia="宋体" w:hAnsi="Times New Roman" w:cs="Times New Roman" w:hint="eastAsia"/>
          <w:color w:val="000000" w:themeColor="text1"/>
          <w:sz w:val="24"/>
        </w:rPr>
        <w:t>本项目设置一般计算点和特殊计算点，一般计算点位下风向不同距离点，距离风险源</w:t>
      </w:r>
      <w:r>
        <w:rPr>
          <w:rFonts w:ascii="Times New Roman" w:eastAsia="宋体" w:hAnsi="Times New Roman" w:cs="Times New Roman" w:hint="eastAsia"/>
          <w:color w:val="000000" w:themeColor="text1"/>
          <w:sz w:val="24"/>
        </w:rPr>
        <w:t>5</w:t>
      </w:r>
      <w:r>
        <w:rPr>
          <w:rFonts w:ascii="Times New Roman" w:eastAsia="宋体" w:hAnsi="Times New Roman" w:cs="Times New Roman"/>
          <w:color w:val="000000" w:themeColor="text1"/>
          <w:sz w:val="24"/>
        </w:rPr>
        <w:t>00m</w:t>
      </w:r>
      <w:r>
        <w:rPr>
          <w:rFonts w:ascii="Times New Roman" w:eastAsia="宋体" w:hAnsi="Times New Roman" w:cs="Times New Roman" w:hint="eastAsia"/>
          <w:color w:val="000000" w:themeColor="text1"/>
          <w:sz w:val="24"/>
        </w:rPr>
        <w:t>敢为内分辨率为</w:t>
      </w:r>
      <w:r>
        <w:rPr>
          <w:rFonts w:ascii="Times New Roman" w:eastAsia="宋体" w:hAnsi="Times New Roman" w:cs="Times New Roman"/>
          <w:color w:val="000000" w:themeColor="text1"/>
          <w:sz w:val="24"/>
        </w:rPr>
        <w:t>50m</w:t>
      </w:r>
      <w:r>
        <w:rPr>
          <w:rFonts w:ascii="Times New Roman" w:eastAsia="宋体" w:hAnsi="Times New Roman" w:cs="Times New Roman" w:hint="eastAsia"/>
          <w:color w:val="000000" w:themeColor="text1"/>
          <w:sz w:val="24"/>
        </w:rPr>
        <w:t>，距离风险源</w:t>
      </w:r>
      <w:r>
        <w:rPr>
          <w:rFonts w:ascii="Times New Roman" w:eastAsia="宋体" w:hAnsi="Times New Roman" w:cs="Times New Roman" w:hint="eastAsia"/>
          <w:color w:val="000000" w:themeColor="text1"/>
          <w:sz w:val="24"/>
        </w:rPr>
        <w:t>5</w:t>
      </w:r>
      <w:r>
        <w:rPr>
          <w:rFonts w:ascii="Times New Roman" w:eastAsia="宋体" w:hAnsi="Times New Roman" w:cs="Times New Roman"/>
          <w:color w:val="000000" w:themeColor="text1"/>
          <w:sz w:val="24"/>
        </w:rPr>
        <w:t>00m</w:t>
      </w:r>
      <w:r>
        <w:rPr>
          <w:rFonts w:ascii="Times New Roman" w:eastAsia="宋体" w:hAnsi="Times New Roman" w:cs="Times New Roman" w:hint="eastAsia"/>
          <w:color w:val="000000" w:themeColor="text1"/>
          <w:sz w:val="24"/>
        </w:rPr>
        <w:t>范围外分辨率为</w:t>
      </w:r>
      <w:r>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00m</w:t>
      </w:r>
      <w:r>
        <w:rPr>
          <w:rFonts w:ascii="Times New Roman" w:eastAsia="宋体" w:hAnsi="Times New Roman" w:cs="Times New Roman" w:hint="eastAsia"/>
          <w:color w:val="000000" w:themeColor="text1"/>
          <w:sz w:val="24"/>
        </w:rPr>
        <w:t>。特殊计算点为预测范围内的环境保护目标。</w:t>
      </w:r>
    </w:p>
    <w:p w:rsidR="00C861DA" w:rsidRDefault="0044752E">
      <w:pPr>
        <w:pStyle w:val="32"/>
        <w:rPr>
          <w:rFonts w:ascii="Times New Roman" w:eastAsia="宋体"/>
          <w:bCs w:val="0"/>
          <w:color w:val="000000" w:themeColor="text1"/>
          <w:sz w:val="24"/>
          <w:szCs w:val="24"/>
        </w:rPr>
      </w:pPr>
      <w:bookmarkStart w:id="563" w:name="_Toc6826885"/>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.4.3</w:t>
      </w:r>
      <w:r>
        <w:rPr>
          <w:rFonts w:ascii="Times New Roman" w:eastAsia="宋体" w:hint="eastAsia"/>
          <w:bCs w:val="0"/>
          <w:color w:val="000000" w:themeColor="text1"/>
          <w:sz w:val="24"/>
          <w:szCs w:val="24"/>
        </w:rPr>
        <w:t>事故源参数</w:t>
      </w:r>
      <w:bookmarkEnd w:id="563"/>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本项目最具代表性环境风险事故为液氨泄漏，根据源项分析，本项目事故源项及事故后果基本信息如下表</w:t>
      </w:r>
      <w:r>
        <w:rPr>
          <w:rFonts w:ascii="Times New Roman" w:eastAsia="宋体" w:hAnsi="Times New Roman" w:cs="Times New Roman" w:hint="eastAsia"/>
          <w:color w:val="000000" w:themeColor="text1"/>
          <w:sz w:val="24"/>
        </w:rPr>
        <w:t>8</w:t>
      </w:r>
      <w:r>
        <w:rPr>
          <w:rFonts w:ascii="Times New Roman" w:eastAsia="宋体" w:hAnsi="Times New Roman" w:cs="Times New Roman"/>
          <w:color w:val="000000" w:themeColor="text1"/>
          <w:sz w:val="24"/>
        </w:rPr>
        <w:t>.1-9</w:t>
      </w:r>
      <w:r>
        <w:rPr>
          <w:rFonts w:ascii="Times New Roman" w:eastAsia="宋体" w:hAnsi="Times New Roman" w:cs="Times New Roman" w:hint="eastAsia"/>
          <w:color w:val="000000" w:themeColor="text1"/>
          <w:sz w:val="24"/>
        </w:rPr>
        <w:t>所示；</w:t>
      </w:r>
    </w:p>
    <w:p w:rsidR="00C861DA" w:rsidRDefault="0044752E">
      <w:pPr>
        <w:pStyle w:val="21"/>
        <w:spacing w:beforeLines="50" w:before="156" w:line="240" w:lineRule="auto"/>
        <w:ind w:firstLine="0"/>
        <w:jc w:val="center"/>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表</w:t>
      </w:r>
      <w:r>
        <w:rPr>
          <w:rFonts w:ascii="Times New Roman" w:eastAsia="宋体" w:hAnsi="Times New Roman" w:cs="Times New Roman" w:hint="eastAsia"/>
          <w:b/>
          <w:color w:val="000000" w:themeColor="text1"/>
          <w:sz w:val="24"/>
        </w:rPr>
        <w:t>8</w:t>
      </w:r>
      <w:r>
        <w:rPr>
          <w:rFonts w:ascii="Times New Roman" w:eastAsia="宋体" w:hAnsi="Times New Roman" w:cs="Times New Roman"/>
          <w:b/>
          <w:color w:val="000000" w:themeColor="text1"/>
          <w:sz w:val="24"/>
        </w:rPr>
        <w:t xml:space="preserve">.1-9  </w:t>
      </w:r>
      <w:r>
        <w:rPr>
          <w:rFonts w:ascii="Times New Roman" w:eastAsia="宋体" w:hAnsi="Times New Roman" w:cs="Times New Roman" w:hint="eastAsia"/>
          <w:b/>
          <w:color w:val="000000" w:themeColor="text1"/>
          <w:sz w:val="24"/>
        </w:rPr>
        <w:t>事故源项及事故后果基本信息表</w:t>
      </w:r>
    </w:p>
    <w:tbl>
      <w:tblPr>
        <w:tblStyle w:val="affa"/>
        <w:tblW w:w="8296" w:type="dxa"/>
        <w:jc w:val="center"/>
        <w:tblLayout w:type="fixed"/>
        <w:tblLook w:val="04A0" w:firstRow="1" w:lastRow="0" w:firstColumn="1" w:lastColumn="0" w:noHBand="0" w:noVBand="1"/>
      </w:tblPr>
      <w:tblGrid>
        <w:gridCol w:w="1541"/>
        <w:gridCol w:w="794"/>
        <w:gridCol w:w="2086"/>
        <w:gridCol w:w="1148"/>
        <w:gridCol w:w="1364"/>
        <w:gridCol w:w="1363"/>
      </w:tblGrid>
      <w:tr w:rsidR="00C861DA">
        <w:trPr>
          <w:trHeight w:val="369"/>
          <w:jc w:val="center"/>
        </w:trPr>
        <w:tc>
          <w:tcPr>
            <w:tcW w:w="8296" w:type="dxa"/>
            <w:gridSpan w:val="6"/>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风险事故情形分析</w:t>
            </w:r>
          </w:p>
        </w:tc>
      </w:tr>
      <w:tr w:rsidR="00C861DA">
        <w:trPr>
          <w:trHeight w:val="369"/>
          <w:jc w:val="center"/>
        </w:trPr>
        <w:tc>
          <w:tcPr>
            <w:tcW w:w="154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代表性风险事故情形描述</w:t>
            </w:r>
          </w:p>
        </w:tc>
        <w:tc>
          <w:tcPr>
            <w:tcW w:w="6755" w:type="dxa"/>
            <w:gridSpan w:val="5"/>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液氨输送管线破损导致液氨泄漏</w:t>
            </w:r>
          </w:p>
        </w:tc>
      </w:tr>
      <w:tr w:rsidR="00C861DA">
        <w:trPr>
          <w:trHeight w:val="369"/>
          <w:jc w:val="center"/>
        </w:trPr>
        <w:tc>
          <w:tcPr>
            <w:tcW w:w="154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环境风险类型</w:t>
            </w:r>
          </w:p>
        </w:tc>
        <w:tc>
          <w:tcPr>
            <w:tcW w:w="6755" w:type="dxa"/>
            <w:gridSpan w:val="5"/>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危险化学品泄漏</w:t>
            </w:r>
          </w:p>
        </w:tc>
      </w:tr>
      <w:tr w:rsidR="00C861DA">
        <w:trPr>
          <w:trHeight w:val="369"/>
          <w:jc w:val="center"/>
        </w:trPr>
        <w:tc>
          <w:tcPr>
            <w:tcW w:w="154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泄漏设备类型</w:t>
            </w:r>
          </w:p>
        </w:tc>
        <w:tc>
          <w:tcPr>
            <w:tcW w:w="79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输送管道</w:t>
            </w:r>
          </w:p>
        </w:tc>
        <w:tc>
          <w:tcPr>
            <w:tcW w:w="208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操作温度</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hint="eastAsia"/>
                <w:color w:val="000000" w:themeColor="text1"/>
                <w:kern w:val="0"/>
                <w:szCs w:val="20"/>
              </w:rPr>
              <w:t>℃</w:t>
            </w:r>
          </w:p>
        </w:tc>
        <w:tc>
          <w:tcPr>
            <w:tcW w:w="114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2</w:t>
            </w:r>
            <w:r>
              <w:rPr>
                <w:rFonts w:ascii="Times New Roman" w:eastAsia="宋体" w:hAnsi="Times New Roman" w:cs="Times New Roman"/>
                <w:color w:val="000000" w:themeColor="text1"/>
                <w:kern w:val="0"/>
                <w:szCs w:val="20"/>
              </w:rPr>
              <w:t>5</w:t>
            </w:r>
          </w:p>
        </w:tc>
        <w:tc>
          <w:tcPr>
            <w:tcW w:w="136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操作压力</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MPa</w:t>
            </w:r>
          </w:p>
        </w:tc>
        <w:tc>
          <w:tcPr>
            <w:tcW w:w="136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1</w:t>
            </w:r>
            <w:r>
              <w:rPr>
                <w:rFonts w:ascii="Times New Roman" w:eastAsia="宋体" w:hAnsi="Times New Roman" w:cs="Times New Roman"/>
                <w:color w:val="000000" w:themeColor="text1"/>
                <w:kern w:val="0"/>
                <w:szCs w:val="20"/>
              </w:rPr>
              <w:t>.2</w:t>
            </w:r>
          </w:p>
        </w:tc>
      </w:tr>
      <w:tr w:rsidR="00C861DA">
        <w:trPr>
          <w:trHeight w:val="369"/>
          <w:jc w:val="center"/>
        </w:trPr>
        <w:tc>
          <w:tcPr>
            <w:tcW w:w="154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泄漏危险物质</w:t>
            </w:r>
          </w:p>
        </w:tc>
        <w:tc>
          <w:tcPr>
            <w:tcW w:w="79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液氨</w:t>
            </w:r>
          </w:p>
        </w:tc>
        <w:tc>
          <w:tcPr>
            <w:tcW w:w="208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最大存在量</w:t>
            </w:r>
            <w:r>
              <w:rPr>
                <w:rFonts w:ascii="Times New Roman" w:eastAsia="宋体" w:hAnsi="Times New Roman" w:cs="Times New Roman" w:hint="eastAsia"/>
                <w:color w:val="000000" w:themeColor="text1"/>
                <w:kern w:val="0"/>
                <w:szCs w:val="20"/>
              </w:rPr>
              <w:t>/kg</w:t>
            </w:r>
          </w:p>
        </w:tc>
        <w:tc>
          <w:tcPr>
            <w:tcW w:w="114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0</w:t>
            </w:r>
            <w:r>
              <w:rPr>
                <w:rFonts w:ascii="Times New Roman" w:eastAsia="宋体" w:hAnsi="Times New Roman" w:cs="Times New Roman"/>
                <w:color w:val="000000" w:themeColor="text1"/>
                <w:kern w:val="0"/>
                <w:szCs w:val="20"/>
              </w:rPr>
              <w:t>.36</w:t>
            </w:r>
          </w:p>
        </w:tc>
        <w:tc>
          <w:tcPr>
            <w:tcW w:w="136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泄漏孔径</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mm</w:t>
            </w:r>
          </w:p>
        </w:tc>
        <w:tc>
          <w:tcPr>
            <w:tcW w:w="136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1</w:t>
            </w:r>
            <w:r>
              <w:rPr>
                <w:rFonts w:ascii="Times New Roman" w:eastAsia="宋体" w:hAnsi="Times New Roman" w:cs="Times New Roman"/>
                <w:color w:val="000000" w:themeColor="text1"/>
                <w:kern w:val="0"/>
                <w:szCs w:val="20"/>
              </w:rPr>
              <w:t>5</w:t>
            </w:r>
          </w:p>
        </w:tc>
      </w:tr>
      <w:tr w:rsidR="00C861DA">
        <w:trPr>
          <w:trHeight w:val="369"/>
          <w:jc w:val="center"/>
        </w:trPr>
        <w:tc>
          <w:tcPr>
            <w:tcW w:w="154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泄漏速率（</w:t>
            </w:r>
            <w:r>
              <w:rPr>
                <w:rFonts w:ascii="Times New Roman" w:eastAsia="宋体" w:hAnsi="Times New Roman" w:cs="Times New Roman" w:hint="eastAsia"/>
                <w:color w:val="000000" w:themeColor="text1"/>
                <w:kern w:val="0"/>
                <w:szCs w:val="20"/>
              </w:rPr>
              <w:t>kg</w:t>
            </w:r>
            <w:r>
              <w:rPr>
                <w:rFonts w:ascii="Times New Roman" w:eastAsia="宋体" w:hAnsi="Times New Roman" w:cs="Times New Roman"/>
                <w:color w:val="000000" w:themeColor="text1"/>
                <w:kern w:val="0"/>
                <w:szCs w:val="20"/>
              </w:rPr>
              <w:t>/s</w:t>
            </w:r>
            <w:r>
              <w:rPr>
                <w:rFonts w:ascii="Times New Roman" w:eastAsia="宋体" w:hAnsi="Times New Roman" w:cs="Times New Roman" w:hint="eastAsia"/>
                <w:color w:val="000000" w:themeColor="text1"/>
                <w:kern w:val="0"/>
                <w:szCs w:val="20"/>
              </w:rPr>
              <w:t>）</w:t>
            </w:r>
          </w:p>
        </w:tc>
        <w:tc>
          <w:tcPr>
            <w:tcW w:w="79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1</w:t>
            </w:r>
            <w:r>
              <w:rPr>
                <w:rFonts w:ascii="Times New Roman" w:eastAsia="宋体" w:hAnsi="Times New Roman" w:cs="Times New Roman"/>
                <w:color w:val="000000" w:themeColor="text1"/>
                <w:kern w:val="0"/>
                <w:szCs w:val="20"/>
              </w:rPr>
              <w:t>.3392</w:t>
            </w:r>
          </w:p>
        </w:tc>
        <w:tc>
          <w:tcPr>
            <w:tcW w:w="208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泄露时间</w:t>
            </w:r>
            <w:r>
              <w:rPr>
                <w:rFonts w:ascii="Times New Roman" w:eastAsia="宋体" w:hAnsi="Times New Roman" w:cs="Times New Roman" w:hint="eastAsia"/>
                <w:color w:val="000000" w:themeColor="text1"/>
                <w:kern w:val="0"/>
                <w:szCs w:val="20"/>
              </w:rPr>
              <w:t>/min</w:t>
            </w:r>
          </w:p>
        </w:tc>
        <w:tc>
          <w:tcPr>
            <w:tcW w:w="114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1</w:t>
            </w:r>
            <w:r>
              <w:rPr>
                <w:rFonts w:ascii="Times New Roman" w:eastAsia="宋体" w:hAnsi="Times New Roman" w:cs="Times New Roman"/>
                <w:color w:val="000000" w:themeColor="text1"/>
                <w:kern w:val="0"/>
                <w:szCs w:val="20"/>
              </w:rPr>
              <w:t>0</w:t>
            </w:r>
          </w:p>
        </w:tc>
        <w:tc>
          <w:tcPr>
            <w:tcW w:w="136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泄漏量</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kg</w:t>
            </w:r>
          </w:p>
        </w:tc>
        <w:tc>
          <w:tcPr>
            <w:tcW w:w="136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8</w:t>
            </w:r>
            <w:r>
              <w:rPr>
                <w:rFonts w:ascii="Times New Roman" w:eastAsia="宋体" w:hAnsi="Times New Roman" w:cs="Times New Roman"/>
                <w:color w:val="000000" w:themeColor="text1"/>
                <w:kern w:val="0"/>
                <w:szCs w:val="20"/>
              </w:rPr>
              <w:t>04</w:t>
            </w:r>
          </w:p>
        </w:tc>
      </w:tr>
      <w:tr w:rsidR="00C861DA">
        <w:trPr>
          <w:trHeight w:val="369"/>
          <w:jc w:val="center"/>
        </w:trPr>
        <w:tc>
          <w:tcPr>
            <w:tcW w:w="1541"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泄漏高度</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m</w:t>
            </w:r>
          </w:p>
        </w:tc>
        <w:tc>
          <w:tcPr>
            <w:tcW w:w="79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0.5</w:t>
            </w:r>
          </w:p>
        </w:tc>
        <w:tc>
          <w:tcPr>
            <w:tcW w:w="208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泄漏液体蒸发量</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kg</w:t>
            </w:r>
          </w:p>
        </w:tc>
        <w:tc>
          <w:tcPr>
            <w:tcW w:w="114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8</w:t>
            </w:r>
            <w:r>
              <w:rPr>
                <w:rFonts w:ascii="Times New Roman" w:eastAsia="宋体" w:hAnsi="Times New Roman" w:cs="Times New Roman"/>
                <w:color w:val="000000" w:themeColor="text1"/>
                <w:kern w:val="0"/>
                <w:szCs w:val="20"/>
              </w:rPr>
              <w:t>04</w:t>
            </w:r>
          </w:p>
        </w:tc>
        <w:tc>
          <w:tcPr>
            <w:tcW w:w="136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hint="eastAsia"/>
                <w:color w:val="000000" w:themeColor="text1"/>
                <w:kern w:val="0"/>
                <w:szCs w:val="20"/>
              </w:rPr>
              <w:t>泄漏频率</w:t>
            </w:r>
          </w:p>
        </w:tc>
        <w:tc>
          <w:tcPr>
            <w:tcW w:w="136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Cs w:val="20"/>
              </w:rPr>
            </w:pPr>
            <w:r>
              <w:rPr>
                <w:rFonts w:ascii="Times New Roman" w:eastAsia="宋体" w:hAnsi="Times New Roman" w:cs="Times New Roman"/>
                <w:color w:val="000000" w:themeColor="text1"/>
                <w:kern w:val="0"/>
                <w:szCs w:val="20"/>
              </w:rPr>
              <w:t>5</w:t>
            </w:r>
            <w:r>
              <w:rPr>
                <w:rFonts w:ascii="宋体" w:eastAsia="宋体" w:hAnsi="宋体" w:cs="Times New Roman" w:hint="eastAsia"/>
                <w:color w:val="000000" w:themeColor="text1"/>
                <w:kern w:val="0"/>
                <w:szCs w:val="20"/>
              </w:rPr>
              <w:t>×</w:t>
            </w:r>
            <w:r>
              <w:rPr>
                <w:rFonts w:ascii="Times New Roman" w:eastAsia="宋体" w:hAnsi="Times New Roman" w:cs="Times New Roman"/>
                <w:color w:val="000000" w:themeColor="text1"/>
                <w:kern w:val="0"/>
                <w:szCs w:val="20"/>
              </w:rPr>
              <w:t>10</w:t>
            </w:r>
            <w:r>
              <w:rPr>
                <w:rFonts w:ascii="Times New Roman" w:eastAsia="宋体" w:hAnsi="Times New Roman" w:cs="Times New Roman"/>
                <w:color w:val="000000" w:themeColor="text1"/>
                <w:kern w:val="0"/>
                <w:szCs w:val="20"/>
                <w:vertAlign w:val="superscript"/>
              </w:rPr>
              <w:t>-6</w:t>
            </w:r>
            <w:r>
              <w:rPr>
                <w:rFonts w:ascii="Times New Roman" w:eastAsia="宋体" w:hAnsi="Times New Roman" w:cs="Times New Roman" w:hint="eastAsia"/>
                <w:color w:val="000000" w:themeColor="text1"/>
                <w:kern w:val="0"/>
                <w:szCs w:val="20"/>
              </w:rPr>
              <w:t>次</w:t>
            </w:r>
            <w:r>
              <w:rPr>
                <w:rFonts w:ascii="Times New Roman" w:eastAsia="宋体" w:hAnsi="Times New Roman" w:cs="Times New Roman" w:hint="eastAsia"/>
                <w:color w:val="000000" w:themeColor="text1"/>
                <w:kern w:val="0"/>
                <w:szCs w:val="20"/>
              </w:rPr>
              <w:t>.</w:t>
            </w:r>
            <w:r>
              <w:rPr>
                <w:rFonts w:ascii="Times New Roman" w:eastAsia="宋体" w:hAnsi="Times New Roman" w:cs="Times New Roman"/>
                <w:color w:val="000000" w:themeColor="text1"/>
                <w:kern w:val="0"/>
                <w:szCs w:val="20"/>
              </w:rPr>
              <w:t>/a</w:t>
            </w:r>
          </w:p>
        </w:tc>
      </w:tr>
      <w:tr w:rsidR="00C861DA">
        <w:trPr>
          <w:trHeight w:val="369"/>
          <w:jc w:val="center"/>
        </w:trPr>
        <w:tc>
          <w:tcPr>
            <w:tcW w:w="8296" w:type="dxa"/>
            <w:gridSpan w:val="6"/>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事故后果预测</w:t>
            </w:r>
          </w:p>
        </w:tc>
      </w:tr>
      <w:tr w:rsidR="00C861DA">
        <w:trPr>
          <w:trHeight w:val="369"/>
          <w:jc w:val="center"/>
        </w:trPr>
        <w:tc>
          <w:tcPr>
            <w:tcW w:w="1541" w:type="dxa"/>
            <w:vMerge w:val="restart"/>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大气</w:t>
            </w:r>
          </w:p>
        </w:tc>
        <w:tc>
          <w:tcPr>
            <w:tcW w:w="79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危险物质</w:t>
            </w:r>
          </w:p>
        </w:tc>
        <w:tc>
          <w:tcPr>
            <w:tcW w:w="5961" w:type="dxa"/>
            <w:gridSpan w:val="4"/>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大气环境影响</w:t>
            </w:r>
          </w:p>
        </w:tc>
      </w:tr>
      <w:tr w:rsidR="00C861DA">
        <w:trPr>
          <w:trHeight w:val="369"/>
          <w:jc w:val="center"/>
        </w:trPr>
        <w:tc>
          <w:tcPr>
            <w:tcW w:w="1541"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794" w:type="dxa"/>
            <w:vMerge w:val="restart"/>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氨气</w:t>
            </w:r>
          </w:p>
        </w:tc>
        <w:tc>
          <w:tcPr>
            <w:tcW w:w="208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指标</w:t>
            </w:r>
          </w:p>
        </w:tc>
        <w:tc>
          <w:tcPr>
            <w:tcW w:w="114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浓度值（</w:t>
            </w:r>
            <w:r>
              <w:rPr>
                <w:rFonts w:ascii="Times New Roman" w:eastAsia="宋体" w:hAnsi="Times New Roman" w:cs="Times New Roman" w:hint="eastAsia"/>
                <w:color w:val="000000" w:themeColor="text1"/>
                <w:kern w:val="0"/>
                <w:sz w:val="20"/>
                <w:szCs w:val="20"/>
              </w:rPr>
              <w:t>mg</w:t>
            </w:r>
            <w:r>
              <w:rPr>
                <w:rFonts w:ascii="Times New Roman" w:eastAsia="宋体" w:hAnsi="Times New Roman" w:cs="Times New Roman"/>
                <w:color w:val="000000" w:themeColor="text1"/>
                <w:kern w:val="0"/>
                <w:sz w:val="20"/>
                <w:szCs w:val="20"/>
              </w:rPr>
              <w:t>/m</w:t>
            </w:r>
            <w:r>
              <w:rPr>
                <w:rFonts w:ascii="Times New Roman" w:eastAsia="宋体" w:hAnsi="Times New Roman" w:cs="Times New Roman"/>
                <w:color w:val="000000" w:themeColor="text1"/>
                <w:kern w:val="0"/>
                <w:sz w:val="20"/>
                <w:szCs w:val="20"/>
                <w:vertAlign w:val="superscript"/>
              </w:rPr>
              <w:t>3</w:t>
            </w:r>
            <w:r>
              <w:rPr>
                <w:rFonts w:ascii="Times New Roman" w:eastAsia="宋体" w:hAnsi="Times New Roman" w:cs="Times New Roman" w:hint="eastAsia"/>
                <w:color w:val="000000" w:themeColor="text1"/>
                <w:kern w:val="0"/>
                <w:sz w:val="20"/>
                <w:szCs w:val="20"/>
              </w:rPr>
              <w:t>）</w:t>
            </w:r>
          </w:p>
        </w:tc>
        <w:tc>
          <w:tcPr>
            <w:tcW w:w="136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最远影响距离</w:t>
            </w:r>
            <w:r>
              <w:rPr>
                <w:rFonts w:ascii="Times New Roman" w:eastAsia="宋体" w:hAnsi="Times New Roman" w:cs="Times New Roman" w:hint="eastAsia"/>
                <w:color w:val="000000" w:themeColor="text1"/>
                <w:kern w:val="0"/>
                <w:sz w:val="20"/>
                <w:szCs w:val="20"/>
              </w:rPr>
              <w:t>/</w:t>
            </w:r>
            <w:r>
              <w:rPr>
                <w:rFonts w:ascii="Times New Roman" w:eastAsia="宋体" w:hAnsi="Times New Roman" w:cs="Times New Roman"/>
                <w:color w:val="000000" w:themeColor="text1"/>
                <w:kern w:val="0"/>
                <w:sz w:val="20"/>
                <w:szCs w:val="20"/>
              </w:rPr>
              <w:t>m</w:t>
            </w:r>
          </w:p>
        </w:tc>
        <w:tc>
          <w:tcPr>
            <w:tcW w:w="1363"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到达时间</w:t>
            </w:r>
            <w:r>
              <w:rPr>
                <w:rFonts w:ascii="Times New Roman" w:eastAsia="宋体" w:hAnsi="Times New Roman" w:cs="Times New Roman" w:hint="eastAsia"/>
                <w:color w:val="000000" w:themeColor="text1"/>
                <w:kern w:val="0"/>
                <w:sz w:val="20"/>
                <w:szCs w:val="20"/>
              </w:rPr>
              <w:t>/</w:t>
            </w:r>
            <w:r>
              <w:rPr>
                <w:rFonts w:ascii="Times New Roman" w:eastAsia="宋体" w:hAnsi="Times New Roman" w:cs="Times New Roman"/>
                <w:color w:val="000000" w:themeColor="text1"/>
                <w:kern w:val="0"/>
                <w:sz w:val="20"/>
                <w:szCs w:val="20"/>
              </w:rPr>
              <w:t>min</w:t>
            </w:r>
          </w:p>
        </w:tc>
      </w:tr>
      <w:tr w:rsidR="00C861DA">
        <w:trPr>
          <w:trHeight w:val="369"/>
          <w:jc w:val="center"/>
        </w:trPr>
        <w:tc>
          <w:tcPr>
            <w:tcW w:w="1541"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794"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208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大气毒性终点浓度</w:t>
            </w:r>
            <w:r>
              <w:rPr>
                <w:rFonts w:ascii="Times New Roman" w:eastAsia="宋体" w:hAnsi="Times New Roman" w:cs="Times New Roman" w:hint="eastAsia"/>
                <w:color w:val="000000" w:themeColor="text1"/>
                <w:kern w:val="0"/>
                <w:sz w:val="20"/>
                <w:szCs w:val="20"/>
              </w:rPr>
              <w:t>-</w:t>
            </w:r>
            <w:r>
              <w:rPr>
                <w:rFonts w:ascii="Times New Roman" w:eastAsia="宋体" w:hAnsi="Times New Roman" w:cs="Times New Roman"/>
                <w:color w:val="000000" w:themeColor="text1"/>
                <w:kern w:val="0"/>
                <w:sz w:val="20"/>
                <w:szCs w:val="20"/>
              </w:rPr>
              <w:t>1</w:t>
            </w:r>
          </w:p>
        </w:tc>
        <w:tc>
          <w:tcPr>
            <w:tcW w:w="114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7</w:t>
            </w:r>
            <w:r>
              <w:rPr>
                <w:rFonts w:ascii="Times New Roman" w:eastAsia="宋体" w:hAnsi="Times New Roman" w:cs="Times New Roman"/>
                <w:color w:val="000000" w:themeColor="text1"/>
                <w:kern w:val="0"/>
                <w:sz w:val="20"/>
                <w:szCs w:val="20"/>
              </w:rPr>
              <w:t>70</w:t>
            </w:r>
          </w:p>
        </w:tc>
        <w:tc>
          <w:tcPr>
            <w:tcW w:w="136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5</w:t>
            </w:r>
            <w:r>
              <w:rPr>
                <w:rFonts w:ascii="Times New Roman" w:eastAsia="宋体" w:hAnsi="Times New Roman" w:cs="Times New Roman"/>
                <w:color w:val="000000" w:themeColor="text1"/>
                <w:kern w:val="0"/>
                <w:sz w:val="20"/>
                <w:szCs w:val="20"/>
              </w:rPr>
              <w:t>90</w:t>
            </w:r>
          </w:p>
        </w:tc>
        <w:tc>
          <w:tcPr>
            <w:tcW w:w="1363" w:type="dxa"/>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r>
      <w:tr w:rsidR="00C861DA">
        <w:trPr>
          <w:trHeight w:val="369"/>
          <w:jc w:val="center"/>
        </w:trPr>
        <w:tc>
          <w:tcPr>
            <w:tcW w:w="1541"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794" w:type="dxa"/>
            <w:vMerge/>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c>
          <w:tcPr>
            <w:tcW w:w="2086"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大气毒性终点浓度</w:t>
            </w:r>
            <w:r>
              <w:rPr>
                <w:rFonts w:ascii="Times New Roman" w:eastAsia="宋体" w:hAnsi="Times New Roman" w:cs="Times New Roman" w:hint="eastAsia"/>
                <w:color w:val="000000" w:themeColor="text1"/>
                <w:kern w:val="0"/>
                <w:sz w:val="20"/>
                <w:szCs w:val="20"/>
              </w:rPr>
              <w:t>-</w:t>
            </w:r>
            <w:r>
              <w:rPr>
                <w:rFonts w:ascii="Times New Roman" w:eastAsia="宋体" w:hAnsi="Times New Roman" w:cs="Times New Roman"/>
                <w:color w:val="000000" w:themeColor="text1"/>
                <w:kern w:val="0"/>
                <w:sz w:val="20"/>
                <w:szCs w:val="20"/>
              </w:rPr>
              <w:t>2</w:t>
            </w:r>
          </w:p>
        </w:tc>
        <w:tc>
          <w:tcPr>
            <w:tcW w:w="1148"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1</w:t>
            </w:r>
            <w:r>
              <w:rPr>
                <w:rFonts w:ascii="Times New Roman" w:eastAsia="宋体" w:hAnsi="Times New Roman" w:cs="Times New Roman"/>
                <w:color w:val="000000" w:themeColor="text1"/>
                <w:kern w:val="0"/>
                <w:sz w:val="20"/>
                <w:szCs w:val="20"/>
              </w:rPr>
              <w:t>10</w:t>
            </w:r>
          </w:p>
        </w:tc>
        <w:tc>
          <w:tcPr>
            <w:tcW w:w="1364" w:type="dxa"/>
            <w:vAlign w:val="center"/>
          </w:tcPr>
          <w:p w:rsidR="00C861DA" w:rsidRDefault="0044752E">
            <w:pPr>
              <w:pStyle w:val="21"/>
              <w:spacing w:line="240" w:lineRule="auto"/>
              <w:ind w:firstLine="0"/>
              <w:jc w:val="center"/>
              <w:rPr>
                <w:rFonts w:ascii="Times New Roman" w:eastAsia="宋体" w:hAnsi="Times New Roman" w:cs="Times New Roman"/>
                <w:color w:val="000000" w:themeColor="text1"/>
                <w:kern w:val="0"/>
                <w:sz w:val="20"/>
                <w:szCs w:val="20"/>
              </w:rPr>
            </w:pPr>
            <w:r>
              <w:rPr>
                <w:rFonts w:ascii="Times New Roman" w:eastAsia="宋体" w:hAnsi="Times New Roman" w:cs="Times New Roman" w:hint="eastAsia"/>
                <w:color w:val="000000" w:themeColor="text1"/>
                <w:kern w:val="0"/>
                <w:sz w:val="20"/>
                <w:szCs w:val="20"/>
              </w:rPr>
              <w:t>2</w:t>
            </w:r>
            <w:r>
              <w:rPr>
                <w:rFonts w:ascii="Times New Roman" w:eastAsia="宋体" w:hAnsi="Times New Roman" w:cs="Times New Roman"/>
                <w:color w:val="000000" w:themeColor="text1"/>
                <w:kern w:val="0"/>
                <w:sz w:val="20"/>
                <w:szCs w:val="20"/>
              </w:rPr>
              <w:t>260</w:t>
            </w:r>
          </w:p>
        </w:tc>
        <w:tc>
          <w:tcPr>
            <w:tcW w:w="1363" w:type="dxa"/>
            <w:vAlign w:val="center"/>
          </w:tcPr>
          <w:p w:rsidR="00C861DA" w:rsidRDefault="00C861DA">
            <w:pPr>
              <w:pStyle w:val="21"/>
              <w:spacing w:line="240" w:lineRule="auto"/>
              <w:ind w:firstLine="0"/>
              <w:jc w:val="center"/>
              <w:rPr>
                <w:rFonts w:ascii="Times New Roman" w:eastAsia="宋体" w:hAnsi="Times New Roman" w:cs="Times New Roman"/>
                <w:color w:val="000000" w:themeColor="text1"/>
                <w:kern w:val="0"/>
                <w:sz w:val="20"/>
                <w:szCs w:val="20"/>
              </w:rPr>
            </w:pPr>
          </w:p>
        </w:tc>
      </w:tr>
      <w:tr w:rsidR="00C861DA">
        <w:trPr>
          <w:trHeight w:val="369"/>
          <w:jc w:val="center"/>
        </w:trPr>
        <w:tc>
          <w:tcPr>
            <w:tcW w:w="8296" w:type="dxa"/>
            <w:gridSpan w:val="6"/>
            <w:vAlign w:val="center"/>
          </w:tcPr>
          <w:p w:rsidR="00C861DA" w:rsidRDefault="0044752E">
            <w:pPr>
              <w:pStyle w:val="21"/>
              <w:spacing w:line="240" w:lineRule="auto"/>
              <w:ind w:firstLine="0"/>
              <w:jc w:val="left"/>
              <w:rPr>
                <w:rFonts w:ascii="Times New Roman" w:eastAsia="宋体" w:hAnsi="Times New Roman" w:cs="Times New Roman"/>
                <w:color w:val="000000" w:themeColor="text1"/>
                <w:kern w:val="0"/>
                <w:sz w:val="20"/>
                <w:szCs w:val="20"/>
              </w:rPr>
            </w:pPr>
            <w:r>
              <w:rPr>
                <w:rFonts w:ascii="Times New Roman" w:eastAsia="宋体" w:hAnsi="Times New Roman" w:cs="Times New Roman"/>
                <w:color w:val="000000" w:themeColor="text1"/>
                <w:kern w:val="0"/>
                <w:sz w:val="20"/>
                <w:szCs w:val="20"/>
              </w:rPr>
              <w:t>a</w:t>
            </w:r>
            <w:r>
              <w:rPr>
                <w:rFonts w:ascii="Times New Roman" w:eastAsia="宋体" w:hAnsi="Times New Roman" w:cs="Times New Roman" w:hint="eastAsia"/>
                <w:color w:val="000000" w:themeColor="text1"/>
                <w:kern w:val="0"/>
                <w:sz w:val="20"/>
                <w:szCs w:val="20"/>
              </w:rPr>
              <w:t>按选择的代表性风险事故情形分别填写。</w:t>
            </w:r>
          </w:p>
        </w:tc>
      </w:tr>
    </w:tbl>
    <w:p w:rsidR="00C861DA" w:rsidRDefault="0044752E">
      <w:pPr>
        <w:pStyle w:val="32"/>
        <w:rPr>
          <w:rFonts w:ascii="Times New Roman" w:eastAsia="宋体"/>
          <w:bCs w:val="0"/>
          <w:color w:val="000000" w:themeColor="text1"/>
          <w:sz w:val="24"/>
          <w:szCs w:val="24"/>
        </w:rPr>
      </w:pPr>
      <w:bookmarkStart w:id="564" w:name="_Toc6826886"/>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.4.4</w:t>
      </w:r>
      <w:r>
        <w:rPr>
          <w:rFonts w:ascii="Times New Roman" w:eastAsia="宋体" w:hint="eastAsia"/>
          <w:bCs w:val="0"/>
          <w:color w:val="000000" w:themeColor="text1"/>
          <w:sz w:val="24"/>
          <w:szCs w:val="24"/>
        </w:rPr>
        <w:t>气象参数</w:t>
      </w:r>
      <w:bookmarkEnd w:id="564"/>
    </w:p>
    <w:p w:rsidR="00C861DA" w:rsidRDefault="0044752E">
      <w:pPr>
        <w:pStyle w:val="21"/>
        <w:rPr>
          <w:rFonts w:ascii="宋体" w:hAnsi="宋体" w:cs="宋体"/>
          <w:color w:val="000000" w:themeColor="text1"/>
          <w:sz w:val="24"/>
        </w:rPr>
      </w:pPr>
      <w:r>
        <w:rPr>
          <w:rFonts w:ascii="Times New Roman" w:eastAsia="宋体" w:hAnsi="Times New Roman" w:cs="Times New Roman" w:hint="eastAsia"/>
          <w:color w:val="000000" w:themeColor="text1"/>
          <w:sz w:val="24"/>
        </w:rPr>
        <w:t>本项目环境风险评价等级为二级，预测气象参数为最不利气象条件，根据导则，最不利气象条件取</w:t>
      </w:r>
      <w:r>
        <w:rPr>
          <w:rFonts w:ascii="Times New Roman" w:eastAsia="宋体" w:hAnsi="Times New Roman" w:cs="Times New Roman" w:hint="eastAsia"/>
          <w:color w:val="000000" w:themeColor="text1"/>
          <w:sz w:val="24"/>
        </w:rPr>
        <w:t>F</w:t>
      </w:r>
      <w:r>
        <w:rPr>
          <w:rFonts w:ascii="Times New Roman" w:eastAsia="宋体" w:hAnsi="Times New Roman" w:cs="Times New Roman" w:hint="eastAsia"/>
          <w:color w:val="000000" w:themeColor="text1"/>
          <w:sz w:val="24"/>
        </w:rPr>
        <w:t>类稳定度，</w:t>
      </w:r>
      <w:r>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.5m/s</w:t>
      </w:r>
      <w:r>
        <w:rPr>
          <w:rFonts w:ascii="Times New Roman" w:eastAsia="宋体" w:hAnsi="Times New Roman" w:cs="Times New Roman" w:hint="eastAsia"/>
          <w:color w:val="000000" w:themeColor="text1"/>
          <w:sz w:val="24"/>
        </w:rPr>
        <w:t>风速，温度</w:t>
      </w:r>
      <w:r>
        <w:rPr>
          <w:rFonts w:ascii="Times New Roman" w:eastAsia="宋体" w:hAnsi="Times New Roman" w:cs="Times New Roman" w:hint="eastAsia"/>
          <w:color w:val="000000" w:themeColor="text1"/>
          <w:sz w:val="24"/>
        </w:rPr>
        <w:t>2</w:t>
      </w:r>
      <w:r>
        <w:rPr>
          <w:rFonts w:ascii="Times New Roman" w:eastAsia="宋体" w:hAnsi="Times New Roman" w:cs="Times New Roman"/>
          <w:color w:val="000000" w:themeColor="text1"/>
          <w:sz w:val="24"/>
        </w:rPr>
        <w:t>5</w:t>
      </w:r>
      <w:r>
        <w:rPr>
          <w:rFonts w:ascii="Times New Roman" w:eastAsia="宋体" w:hAnsi="Times New Roman" w:cs="Times New Roman" w:hint="eastAsia"/>
          <w:color w:val="000000" w:themeColor="text1"/>
          <w:sz w:val="24"/>
        </w:rPr>
        <w:t>℃，相对湿度</w:t>
      </w:r>
      <w:r>
        <w:rPr>
          <w:rFonts w:ascii="Times New Roman" w:eastAsia="宋体" w:hAnsi="Times New Roman" w:cs="Times New Roman" w:hint="eastAsia"/>
          <w:color w:val="000000" w:themeColor="text1"/>
          <w:sz w:val="24"/>
        </w:rPr>
        <w:t>5</w:t>
      </w:r>
      <w:r>
        <w:rPr>
          <w:rFonts w:ascii="Times New Roman" w:eastAsia="宋体" w:hAnsi="Times New Roman" w:cs="Times New Roman"/>
          <w:color w:val="000000" w:themeColor="text1"/>
          <w:sz w:val="24"/>
        </w:rPr>
        <w:t>0%</w:t>
      </w:r>
      <w:r>
        <w:rPr>
          <w:rFonts w:ascii="Times New Roman" w:eastAsia="宋体" w:hAnsi="Times New Roman" w:cs="Times New Roman" w:hint="eastAsia"/>
          <w:color w:val="000000" w:themeColor="text1"/>
          <w:sz w:val="24"/>
        </w:rPr>
        <w:t>。</w:t>
      </w:r>
    </w:p>
    <w:p w:rsidR="00C861DA" w:rsidRDefault="0044752E">
      <w:pPr>
        <w:pStyle w:val="32"/>
        <w:rPr>
          <w:rFonts w:ascii="Times New Roman" w:eastAsia="宋体"/>
          <w:bCs w:val="0"/>
          <w:color w:val="000000" w:themeColor="text1"/>
          <w:sz w:val="24"/>
          <w:szCs w:val="24"/>
        </w:rPr>
      </w:pPr>
      <w:bookmarkStart w:id="565" w:name="_Toc6826887"/>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.4.5</w:t>
      </w:r>
      <w:r>
        <w:rPr>
          <w:rFonts w:ascii="Times New Roman" w:eastAsia="宋体" w:hint="eastAsia"/>
          <w:bCs w:val="0"/>
          <w:color w:val="000000" w:themeColor="text1"/>
          <w:sz w:val="24"/>
          <w:szCs w:val="24"/>
        </w:rPr>
        <w:t>环境风险预测</w:t>
      </w:r>
      <w:bookmarkEnd w:id="565"/>
    </w:p>
    <w:p w:rsidR="00C861DA" w:rsidRDefault="0044752E">
      <w:pPr>
        <w:autoSpaceDE/>
        <w:autoSpaceDN/>
        <w:adjustRightInd/>
        <w:spacing w:line="360" w:lineRule="auto"/>
        <w:ind w:firstLineChars="200" w:firstLine="480"/>
        <w:jc w:val="both"/>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对于有毒有害物质在大气中的扩散，本评价采用</w:t>
      </w:r>
      <w:r>
        <w:rPr>
          <w:rFonts w:ascii="Times New Roman" w:eastAsia="宋体" w:hAnsi="Times New Roman" w:cs="Times New Roman"/>
          <w:iCs/>
          <w:color w:val="000000" w:themeColor="text1"/>
          <w:sz w:val="24"/>
          <w:szCs w:val="24"/>
        </w:rPr>
        <w:t>HJ169-2018</w:t>
      </w:r>
      <w:r>
        <w:rPr>
          <w:rFonts w:ascii="Times New Roman" w:eastAsia="宋体" w:hAnsi="Times New Roman" w:cs="Times New Roman"/>
          <w:iCs/>
          <w:color w:val="000000" w:themeColor="text1"/>
          <w:sz w:val="24"/>
          <w:szCs w:val="24"/>
        </w:rPr>
        <w:t>《建设项目环境风险评价技术导则》推荐的短期排放</w:t>
      </w:r>
      <w:r>
        <w:rPr>
          <w:rFonts w:ascii="Times New Roman" w:eastAsia="宋体" w:hAnsi="Times New Roman" w:cs="Times New Roman" w:hint="eastAsia"/>
          <w:iCs/>
          <w:color w:val="000000" w:themeColor="text1"/>
          <w:sz w:val="24"/>
          <w:szCs w:val="24"/>
        </w:rPr>
        <w:t>（</w:t>
      </w:r>
      <w:r>
        <w:rPr>
          <w:rFonts w:ascii="Times New Roman" w:eastAsia="宋体" w:hAnsi="Times New Roman" w:cs="Times New Roman" w:hint="eastAsia"/>
          <w:iCs/>
          <w:color w:val="000000" w:themeColor="text1"/>
          <w:sz w:val="24"/>
          <w:szCs w:val="24"/>
        </w:rPr>
        <w:t>1</w:t>
      </w:r>
      <w:r>
        <w:rPr>
          <w:rFonts w:ascii="Times New Roman" w:eastAsia="宋体" w:hAnsi="Times New Roman" w:cs="Times New Roman"/>
          <w:iCs/>
          <w:color w:val="000000" w:themeColor="text1"/>
          <w:sz w:val="24"/>
          <w:szCs w:val="24"/>
        </w:rPr>
        <w:t>0</w:t>
      </w:r>
      <w:r>
        <w:rPr>
          <w:rFonts w:ascii="Times New Roman" w:eastAsia="宋体" w:hAnsi="Times New Roman" w:cs="Times New Roman" w:hint="eastAsia"/>
          <w:iCs/>
          <w:color w:val="000000" w:themeColor="text1"/>
          <w:sz w:val="24"/>
          <w:szCs w:val="24"/>
        </w:rPr>
        <w:t>m</w:t>
      </w:r>
      <w:r>
        <w:rPr>
          <w:rFonts w:ascii="Times New Roman" w:eastAsia="宋体" w:hAnsi="Times New Roman" w:cs="Times New Roman"/>
          <w:iCs/>
          <w:color w:val="000000" w:themeColor="text1"/>
          <w:sz w:val="24"/>
          <w:szCs w:val="24"/>
        </w:rPr>
        <w:t>i</w:t>
      </w:r>
      <w:r>
        <w:rPr>
          <w:rFonts w:ascii="Times New Roman" w:eastAsia="宋体" w:hAnsi="Times New Roman" w:cs="Times New Roman" w:hint="eastAsia"/>
          <w:iCs/>
          <w:color w:val="000000" w:themeColor="text1"/>
          <w:sz w:val="24"/>
          <w:szCs w:val="24"/>
        </w:rPr>
        <w:t>n</w:t>
      </w:r>
      <w:r>
        <w:rPr>
          <w:rFonts w:ascii="Times New Roman" w:eastAsia="宋体" w:hAnsi="Times New Roman" w:cs="Times New Roman" w:hint="eastAsia"/>
          <w:iCs/>
          <w:color w:val="000000" w:themeColor="text1"/>
          <w:sz w:val="24"/>
          <w:szCs w:val="24"/>
        </w:rPr>
        <w:t>）</w:t>
      </w:r>
      <w:r>
        <w:rPr>
          <w:rFonts w:ascii="Times New Roman" w:eastAsia="宋体" w:hAnsi="Times New Roman" w:cs="Times New Roman"/>
          <w:iCs/>
          <w:color w:val="000000" w:themeColor="text1"/>
          <w:sz w:val="24"/>
          <w:szCs w:val="24"/>
        </w:rPr>
        <w:t>预测模型</w:t>
      </w:r>
      <w:r>
        <w:rPr>
          <w:rFonts w:ascii="Times New Roman" w:eastAsia="宋体" w:hAnsi="Times New Roman" w:cs="Times New Roman"/>
          <w:iCs/>
          <w:color w:val="000000" w:themeColor="text1"/>
          <w:sz w:val="24"/>
          <w:szCs w:val="24"/>
        </w:rPr>
        <w:t>——AFTOX</w:t>
      </w:r>
      <w:r>
        <w:rPr>
          <w:rFonts w:ascii="Times New Roman" w:eastAsia="宋体" w:hAnsi="Times New Roman" w:cs="Times New Roman"/>
          <w:iCs/>
          <w:color w:val="000000" w:themeColor="text1"/>
          <w:sz w:val="24"/>
          <w:szCs w:val="24"/>
        </w:rPr>
        <w:t>模型对短时或持续泄漏排放进行预测</w:t>
      </w:r>
      <w:r>
        <w:rPr>
          <w:rFonts w:ascii="Times New Roman" w:eastAsia="宋体" w:hAnsi="Times New Roman" w:cs="Times New Roman"/>
          <w:bCs/>
          <w:color w:val="000000" w:themeColor="text1"/>
          <w:sz w:val="24"/>
          <w:szCs w:val="24"/>
        </w:rPr>
        <w:t>：</w:t>
      </w:r>
    </w:p>
    <w:p w:rsidR="00C861DA" w:rsidRDefault="0044752E">
      <w:pPr>
        <w:widowControl/>
        <w:wordWrap w:val="0"/>
        <w:autoSpaceDE/>
        <w:autoSpaceDN/>
        <w:adjustRightInd/>
        <w:ind w:firstLine="480"/>
        <w:rPr>
          <w:rFonts w:ascii="Times New Roman" w:eastAsia="宋体" w:hAnsi="Times New Roman" w:cs="Times New Roman"/>
          <w:color w:val="000000" w:themeColor="text1"/>
          <w:szCs w:val="24"/>
        </w:rPr>
      </w:pPr>
      <m:oMathPara>
        <m:oMath>
          <m:r>
            <w:rPr>
              <w:rFonts w:ascii="Cambria Math" w:eastAsia="宋体" w:hAnsi="Times New Roman" w:cs="Times New Roman"/>
              <w:color w:val="000000" w:themeColor="text1"/>
              <w:szCs w:val="24"/>
            </w:rPr>
            <m:t>C</m:t>
          </m:r>
          <m:d>
            <m:dPr>
              <m:ctrlPr>
                <w:rPr>
                  <w:rFonts w:ascii="Cambria Math" w:eastAsia="宋体" w:hAnsi="Cambria Math" w:cs="Times New Roman"/>
                  <w:i/>
                  <w:color w:val="000000" w:themeColor="text1"/>
                  <w:szCs w:val="24"/>
                </w:rPr>
              </m:ctrlPr>
            </m:dPr>
            <m:e>
              <m:r>
                <w:rPr>
                  <w:rFonts w:ascii="Cambria Math" w:eastAsia="宋体" w:hAnsi="Times New Roman" w:cs="Times New Roman"/>
                  <w:color w:val="000000" w:themeColor="text1"/>
                  <w:szCs w:val="24"/>
                </w:rPr>
                <m:t>x</m:t>
              </m:r>
              <m:r>
                <w:rPr>
                  <w:rFonts w:ascii="Cambria Math" w:eastAsia="宋体" w:hAnsi="Times New Roman" w:cs="Times New Roman"/>
                  <w:color w:val="000000" w:themeColor="text1"/>
                  <w:szCs w:val="24"/>
                </w:rPr>
                <m:t>,</m:t>
              </m:r>
              <m:r>
                <w:rPr>
                  <w:rFonts w:ascii="Cambria Math" w:eastAsia="宋体" w:hAnsi="Times New Roman" w:cs="Times New Roman"/>
                  <w:color w:val="000000" w:themeColor="text1"/>
                  <w:szCs w:val="24"/>
                </w:rPr>
                <m:t>y</m:t>
              </m:r>
              <m:r>
                <w:rPr>
                  <w:rFonts w:ascii="Cambria Math" w:eastAsia="宋体" w:hAnsi="Times New Roman" w:cs="Times New Roman"/>
                  <w:color w:val="000000" w:themeColor="text1"/>
                  <w:szCs w:val="24"/>
                </w:rPr>
                <m:t>,</m:t>
              </m:r>
              <m:r>
                <w:rPr>
                  <w:rFonts w:ascii="Cambria Math" w:eastAsia="宋体" w:hAnsi="Times New Roman" w:cs="Times New Roman"/>
                  <w:color w:val="000000" w:themeColor="text1"/>
                  <w:szCs w:val="24"/>
                </w:rPr>
                <m:t>o</m:t>
              </m:r>
            </m:e>
          </m:d>
          <m:r>
            <w:rPr>
              <w:rFonts w:ascii="Cambria Math" w:eastAsia="宋体" w:hAnsi="Times New Roman" w:cs="Times New Roman"/>
              <w:color w:val="000000" w:themeColor="text1"/>
              <w:szCs w:val="24"/>
            </w:rPr>
            <m:t>=</m:t>
          </m:r>
          <m:f>
            <m:fPr>
              <m:ctrlPr>
                <w:rPr>
                  <w:rFonts w:ascii="Cambria Math" w:eastAsia="宋体" w:hAnsi="Cambria Math" w:cs="Times New Roman"/>
                  <w:i/>
                  <w:color w:val="000000" w:themeColor="text1"/>
                  <w:szCs w:val="24"/>
                </w:rPr>
              </m:ctrlPr>
            </m:fPr>
            <m:num>
              <m:r>
                <w:rPr>
                  <w:rFonts w:ascii="Cambria Math" w:eastAsia="宋体" w:hAnsi="Times New Roman" w:cs="Times New Roman"/>
                  <w:color w:val="000000" w:themeColor="text1"/>
                  <w:szCs w:val="24"/>
                </w:rPr>
                <m:t>2</m:t>
              </m:r>
              <m:r>
                <w:rPr>
                  <w:rFonts w:ascii="Cambria Math" w:eastAsia="宋体" w:hAnsi="Times New Roman" w:cs="Times New Roman"/>
                  <w:color w:val="000000" w:themeColor="text1"/>
                  <w:szCs w:val="24"/>
                </w:rPr>
                <m:t>Q</m:t>
              </m:r>
            </m:num>
            <m:den>
              <m:sSup>
                <m:sSupPr>
                  <m:ctrlPr>
                    <w:rPr>
                      <w:rFonts w:ascii="Cambria Math" w:eastAsia="宋体" w:hAnsi="Cambria Math" w:cs="Times New Roman"/>
                      <w:i/>
                      <w:color w:val="000000" w:themeColor="text1"/>
                      <w:szCs w:val="24"/>
                    </w:rPr>
                  </m:ctrlPr>
                </m:sSupPr>
                <m:e>
                  <m:d>
                    <m:dPr>
                      <m:ctrlPr>
                        <w:rPr>
                          <w:rFonts w:ascii="Cambria Math" w:eastAsia="宋体" w:hAnsi="Cambria Math" w:cs="Times New Roman"/>
                          <w:i/>
                          <w:color w:val="000000" w:themeColor="text1"/>
                          <w:szCs w:val="24"/>
                        </w:rPr>
                      </m:ctrlPr>
                    </m:dPr>
                    <m:e>
                      <m:r>
                        <w:rPr>
                          <w:rFonts w:ascii="Cambria Math" w:eastAsia="宋体" w:hAnsi="Times New Roman" w:cs="Times New Roman"/>
                          <w:color w:val="000000" w:themeColor="text1"/>
                          <w:szCs w:val="24"/>
                        </w:rPr>
                        <m:t>2</m:t>
                      </m:r>
                      <m:r>
                        <w:rPr>
                          <w:rFonts w:ascii="Cambria Math" w:eastAsia="宋体" w:hAnsi="Times New Roman" w:cs="Times New Roman"/>
                          <w:color w:val="000000" w:themeColor="text1"/>
                          <w:szCs w:val="24"/>
                        </w:rPr>
                        <m:t>π</m:t>
                      </m:r>
                    </m:e>
                  </m:d>
                </m:e>
                <m:sup>
                  <m:r>
                    <w:rPr>
                      <w:rFonts w:ascii="Cambria Math" w:eastAsia="宋体" w:hAnsi="Times New Roman" w:cs="Times New Roman"/>
                      <w:color w:val="000000" w:themeColor="text1"/>
                      <w:szCs w:val="24"/>
                    </w:rPr>
                    <m:t>3/2</m:t>
                  </m:r>
                </m:sup>
              </m:sSup>
              <m:sSub>
                <m:sSubPr>
                  <m:ctrlPr>
                    <w:rPr>
                      <w:rFonts w:ascii="Cambria Math" w:eastAsia="宋体" w:hAnsi="Cambria Math" w:cs="Times New Roman"/>
                      <w:i/>
                      <w:color w:val="000000" w:themeColor="text1"/>
                      <w:szCs w:val="24"/>
                    </w:rPr>
                  </m:ctrlPr>
                </m:sSubPr>
                <m:e>
                  <m:r>
                    <w:rPr>
                      <w:rFonts w:ascii="Cambria Math" w:eastAsia="宋体" w:hAnsi="Times New Roman" w:cs="Times New Roman"/>
                      <w:color w:val="000000" w:themeColor="text1"/>
                      <w:szCs w:val="24"/>
                    </w:rPr>
                    <m:t>σ</m:t>
                  </m:r>
                </m:e>
                <m:sub>
                  <m:r>
                    <w:rPr>
                      <w:rFonts w:ascii="Cambria Math" w:eastAsia="宋体" w:hAnsi="Times New Roman" w:cs="Times New Roman"/>
                      <w:color w:val="000000" w:themeColor="text1"/>
                      <w:szCs w:val="24"/>
                    </w:rPr>
                    <m:t>x</m:t>
                  </m:r>
                </m:sub>
              </m:sSub>
              <m:sSub>
                <m:sSubPr>
                  <m:ctrlPr>
                    <w:rPr>
                      <w:rFonts w:ascii="Cambria Math" w:eastAsia="宋体" w:hAnsi="Cambria Math" w:cs="Times New Roman"/>
                      <w:i/>
                      <w:color w:val="000000" w:themeColor="text1"/>
                      <w:szCs w:val="24"/>
                    </w:rPr>
                  </m:ctrlPr>
                </m:sSubPr>
                <m:e>
                  <m:r>
                    <w:rPr>
                      <w:rFonts w:ascii="Cambria Math" w:eastAsia="宋体" w:hAnsi="Times New Roman" w:cs="Times New Roman"/>
                      <w:color w:val="000000" w:themeColor="text1"/>
                      <w:szCs w:val="24"/>
                    </w:rPr>
                    <m:t>σ</m:t>
                  </m:r>
                </m:e>
                <m:sub>
                  <m:r>
                    <w:rPr>
                      <w:rFonts w:ascii="Cambria Math" w:eastAsia="宋体" w:hAnsi="Times New Roman" w:cs="Times New Roman"/>
                      <w:color w:val="000000" w:themeColor="text1"/>
                      <w:szCs w:val="24"/>
                    </w:rPr>
                    <m:t>y</m:t>
                  </m:r>
                </m:sub>
              </m:sSub>
              <m:sSub>
                <m:sSubPr>
                  <m:ctrlPr>
                    <w:rPr>
                      <w:rFonts w:ascii="Cambria Math" w:eastAsia="宋体" w:hAnsi="Cambria Math" w:cs="Times New Roman"/>
                      <w:i/>
                      <w:color w:val="000000" w:themeColor="text1"/>
                      <w:szCs w:val="24"/>
                    </w:rPr>
                  </m:ctrlPr>
                </m:sSubPr>
                <m:e>
                  <m:r>
                    <w:rPr>
                      <w:rFonts w:ascii="Cambria Math" w:eastAsia="宋体" w:hAnsi="Times New Roman" w:cs="Times New Roman"/>
                      <w:color w:val="000000" w:themeColor="text1"/>
                      <w:szCs w:val="24"/>
                    </w:rPr>
                    <m:t>σ</m:t>
                  </m:r>
                </m:e>
                <m:sub>
                  <m:r>
                    <w:rPr>
                      <w:rFonts w:ascii="Cambria Math" w:eastAsia="宋体" w:hAnsi="Times New Roman" w:cs="Times New Roman"/>
                      <w:color w:val="000000" w:themeColor="text1"/>
                      <w:szCs w:val="24"/>
                    </w:rPr>
                    <m:t>z</m:t>
                  </m:r>
                </m:sub>
              </m:sSub>
            </m:den>
          </m:f>
          <m:func>
            <m:funcPr>
              <m:ctrlPr>
                <w:rPr>
                  <w:rFonts w:ascii="Cambria Math" w:eastAsia="宋体" w:hAnsi="Cambria Math" w:cs="Times New Roman"/>
                  <w:i/>
                  <w:color w:val="000000" w:themeColor="text1"/>
                  <w:szCs w:val="24"/>
                </w:rPr>
              </m:ctrlPr>
            </m:funcPr>
            <m:fName>
              <m:r>
                <w:rPr>
                  <w:rFonts w:ascii="Cambria Math" w:eastAsia="宋体" w:hAnsi="Times New Roman" w:cs="Times New Roman"/>
                  <w:color w:val="000000" w:themeColor="text1"/>
                  <w:szCs w:val="24"/>
                </w:rPr>
                <m:t>exp</m:t>
              </m:r>
            </m:fName>
            <m:e>
              <m:d>
                <m:dPr>
                  <m:begChr m:val="["/>
                  <m:endChr m:val="]"/>
                  <m:ctrlPr>
                    <w:rPr>
                      <w:rFonts w:ascii="Cambria Math" w:eastAsia="宋体" w:hAnsi="Cambria Math" w:cs="Times New Roman"/>
                      <w:i/>
                      <w:color w:val="000000" w:themeColor="text1"/>
                      <w:szCs w:val="24"/>
                    </w:rPr>
                  </m:ctrlPr>
                </m:dPr>
                <m:e>
                  <m:r>
                    <w:rPr>
                      <w:rFonts w:ascii="Cambria Math" w:eastAsia="宋体" w:hAnsi="Times New Roman" w:cs="Times New Roman"/>
                      <w:color w:val="000000" w:themeColor="text1"/>
                      <w:szCs w:val="24"/>
                    </w:rPr>
                    <m:t>-</m:t>
                  </m:r>
                  <m:f>
                    <m:fPr>
                      <m:ctrlPr>
                        <w:rPr>
                          <w:rFonts w:ascii="Cambria Math" w:eastAsia="宋体" w:hAnsi="Cambria Math" w:cs="Times New Roman"/>
                          <w:i/>
                          <w:color w:val="000000" w:themeColor="text1"/>
                          <w:szCs w:val="24"/>
                        </w:rPr>
                      </m:ctrlPr>
                    </m:fPr>
                    <m:num>
                      <m:sSup>
                        <m:sSupPr>
                          <m:ctrlPr>
                            <w:rPr>
                              <w:rFonts w:ascii="Cambria Math" w:eastAsia="宋体" w:hAnsi="Cambria Math" w:cs="Times New Roman"/>
                              <w:i/>
                              <w:color w:val="000000" w:themeColor="text1"/>
                              <w:szCs w:val="24"/>
                            </w:rPr>
                          </m:ctrlPr>
                        </m:sSupPr>
                        <m:e>
                          <m:d>
                            <m:dPr>
                              <m:ctrlPr>
                                <w:rPr>
                                  <w:rFonts w:ascii="Cambria Math" w:eastAsia="宋体" w:hAnsi="Cambria Math" w:cs="Times New Roman"/>
                                  <w:i/>
                                  <w:color w:val="000000" w:themeColor="text1"/>
                                  <w:szCs w:val="24"/>
                                </w:rPr>
                              </m:ctrlPr>
                            </m:dPr>
                            <m:e>
                              <m:r>
                                <w:rPr>
                                  <w:rFonts w:ascii="Cambria Math" w:eastAsia="宋体" w:hAnsi="Times New Roman" w:cs="Times New Roman"/>
                                  <w:color w:val="000000" w:themeColor="text1"/>
                                  <w:szCs w:val="24"/>
                                </w:rPr>
                                <m:t>x</m:t>
                              </m:r>
                              <m:r>
                                <w:rPr>
                                  <w:rFonts w:ascii="Cambria Math" w:eastAsia="宋体" w:hAnsi="Times New Roman" w:cs="Times New Roman"/>
                                  <w:color w:val="000000" w:themeColor="text1"/>
                                  <w:szCs w:val="24"/>
                                </w:rPr>
                                <m:t>-</m:t>
                              </m:r>
                              <m:sSub>
                                <m:sSubPr>
                                  <m:ctrlPr>
                                    <w:rPr>
                                      <w:rFonts w:ascii="Cambria Math" w:eastAsia="宋体" w:hAnsi="Cambria Math" w:cs="Times New Roman"/>
                                      <w:i/>
                                      <w:color w:val="000000" w:themeColor="text1"/>
                                      <w:szCs w:val="24"/>
                                    </w:rPr>
                                  </m:ctrlPr>
                                </m:sSubPr>
                                <m:e>
                                  <m:r>
                                    <w:rPr>
                                      <w:rFonts w:ascii="Cambria Math" w:eastAsia="宋体" w:hAnsi="Times New Roman" w:cs="Times New Roman"/>
                                      <w:color w:val="000000" w:themeColor="text1"/>
                                      <w:szCs w:val="24"/>
                                    </w:rPr>
                                    <m:t>x</m:t>
                                  </m:r>
                                </m:e>
                                <m:sub>
                                  <m:r>
                                    <w:rPr>
                                      <w:rFonts w:ascii="Cambria Math" w:eastAsia="宋体" w:hAnsi="Times New Roman" w:cs="Times New Roman"/>
                                      <w:color w:val="000000" w:themeColor="text1"/>
                                      <w:szCs w:val="24"/>
                                    </w:rPr>
                                    <m:t>o</m:t>
                                  </m:r>
                                </m:sub>
                              </m:sSub>
                            </m:e>
                          </m:d>
                        </m:e>
                        <m:sup>
                          <m:r>
                            <w:rPr>
                              <w:rFonts w:ascii="Cambria Math" w:eastAsia="宋体" w:hAnsi="Times New Roman" w:cs="Times New Roman"/>
                              <w:color w:val="000000" w:themeColor="text1"/>
                              <w:szCs w:val="24"/>
                            </w:rPr>
                            <m:t>2</m:t>
                          </m:r>
                        </m:sup>
                      </m:sSup>
                    </m:num>
                    <m:den>
                      <m:r>
                        <w:rPr>
                          <w:rFonts w:ascii="Cambria Math" w:eastAsia="宋体" w:hAnsi="Times New Roman" w:cs="Times New Roman"/>
                          <w:color w:val="000000" w:themeColor="text1"/>
                          <w:szCs w:val="24"/>
                        </w:rPr>
                        <m:t>2</m:t>
                      </m:r>
                      <m:sSubSup>
                        <m:sSubSupPr>
                          <m:ctrlPr>
                            <w:rPr>
                              <w:rFonts w:ascii="Cambria Math" w:eastAsia="宋体" w:hAnsi="Cambria Math" w:cs="Times New Roman"/>
                              <w:i/>
                              <w:color w:val="000000" w:themeColor="text1"/>
                              <w:szCs w:val="24"/>
                            </w:rPr>
                          </m:ctrlPr>
                        </m:sSubSupPr>
                        <m:e>
                          <m:r>
                            <w:rPr>
                              <w:rFonts w:ascii="Cambria Math" w:eastAsia="宋体" w:hAnsi="Times New Roman" w:cs="Times New Roman"/>
                              <w:color w:val="000000" w:themeColor="text1"/>
                              <w:szCs w:val="24"/>
                            </w:rPr>
                            <m:t>σ</m:t>
                          </m:r>
                        </m:e>
                        <m:sub>
                          <m:r>
                            <w:rPr>
                              <w:rFonts w:ascii="Cambria Math" w:eastAsia="宋体" w:hAnsi="Times New Roman" w:cs="Times New Roman"/>
                              <w:color w:val="000000" w:themeColor="text1"/>
                              <w:szCs w:val="24"/>
                            </w:rPr>
                            <m:t>x</m:t>
                          </m:r>
                        </m:sub>
                        <m:sup>
                          <m:r>
                            <w:rPr>
                              <w:rFonts w:ascii="Cambria Math" w:eastAsia="宋体" w:hAnsi="Times New Roman" w:cs="Times New Roman"/>
                              <w:color w:val="000000" w:themeColor="text1"/>
                              <w:szCs w:val="24"/>
                            </w:rPr>
                            <m:t>2</m:t>
                          </m:r>
                        </m:sup>
                      </m:sSubSup>
                    </m:den>
                  </m:f>
                </m:e>
              </m:d>
            </m:e>
          </m:func>
          <m:func>
            <m:funcPr>
              <m:ctrlPr>
                <w:rPr>
                  <w:rFonts w:ascii="Cambria Math" w:eastAsia="宋体" w:hAnsi="Cambria Math" w:cs="Times New Roman"/>
                  <w:i/>
                  <w:color w:val="000000" w:themeColor="text1"/>
                  <w:szCs w:val="24"/>
                </w:rPr>
              </m:ctrlPr>
            </m:funcPr>
            <m:fName>
              <m:r>
                <w:rPr>
                  <w:rFonts w:ascii="Cambria Math" w:eastAsia="宋体" w:hAnsi="Times New Roman" w:cs="Times New Roman"/>
                  <w:color w:val="000000" w:themeColor="text1"/>
                  <w:szCs w:val="24"/>
                </w:rPr>
                <m:t>exp</m:t>
              </m:r>
            </m:fName>
            <m:e>
              <m:d>
                <m:dPr>
                  <m:begChr m:val="["/>
                  <m:endChr m:val="]"/>
                  <m:ctrlPr>
                    <w:rPr>
                      <w:rFonts w:ascii="Cambria Math" w:eastAsia="宋体" w:hAnsi="Cambria Math" w:cs="Times New Roman"/>
                      <w:i/>
                      <w:color w:val="000000" w:themeColor="text1"/>
                      <w:szCs w:val="24"/>
                    </w:rPr>
                  </m:ctrlPr>
                </m:dPr>
                <m:e>
                  <m:r>
                    <w:rPr>
                      <w:rFonts w:ascii="Cambria Math" w:eastAsia="宋体" w:hAnsi="Times New Roman" w:cs="Times New Roman"/>
                      <w:color w:val="000000" w:themeColor="text1"/>
                      <w:szCs w:val="24"/>
                    </w:rPr>
                    <m:t>-</m:t>
                  </m:r>
                  <m:f>
                    <m:fPr>
                      <m:ctrlPr>
                        <w:rPr>
                          <w:rFonts w:ascii="Cambria Math" w:eastAsia="宋体" w:hAnsi="Cambria Math" w:cs="Times New Roman"/>
                          <w:i/>
                          <w:color w:val="000000" w:themeColor="text1"/>
                          <w:szCs w:val="24"/>
                        </w:rPr>
                      </m:ctrlPr>
                    </m:fPr>
                    <m:num>
                      <m:sSup>
                        <m:sSupPr>
                          <m:ctrlPr>
                            <w:rPr>
                              <w:rFonts w:ascii="Cambria Math" w:eastAsia="宋体" w:hAnsi="Cambria Math" w:cs="Times New Roman"/>
                              <w:i/>
                              <w:color w:val="000000" w:themeColor="text1"/>
                              <w:szCs w:val="24"/>
                            </w:rPr>
                          </m:ctrlPr>
                        </m:sSupPr>
                        <m:e>
                          <m:d>
                            <m:dPr>
                              <m:ctrlPr>
                                <w:rPr>
                                  <w:rFonts w:ascii="Cambria Math" w:eastAsia="宋体" w:hAnsi="Cambria Math" w:cs="Times New Roman"/>
                                  <w:i/>
                                  <w:color w:val="000000" w:themeColor="text1"/>
                                  <w:szCs w:val="24"/>
                                </w:rPr>
                              </m:ctrlPr>
                            </m:dPr>
                            <m:e>
                              <m:r>
                                <w:rPr>
                                  <w:rFonts w:ascii="Cambria Math" w:eastAsia="宋体" w:hAnsi="Times New Roman" w:cs="Times New Roman"/>
                                  <w:color w:val="000000" w:themeColor="text1"/>
                                  <w:szCs w:val="24"/>
                                </w:rPr>
                                <m:t>y</m:t>
                              </m:r>
                              <m:r>
                                <w:rPr>
                                  <w:rFonts w:ascii="Cambria Math" w:eastAsia="宋体" w:hAnsi="Times New Roman" w:cs="Times New Roman"/>
                                  <w:color w:val="000000" w:themeColor="text1"/>
                                  <w:szCs w:val="24"/>
                                </w:rPr>
                                <m:t>-</m:t>
                              </m:r>
                              <m:sSub>
                                <m:sSubPr>
                                  <m:ctrlPr>
                                    <w:rPr>
                                      <w:rFonts w:ascii="Cambria Math" w:eastAsia="宋体" w:hAnsi="Cambria Math" w:cs="Times New Roman"/>
                                      <w:i/>
                                      <w:color w:val="000000" w:themeColor="text1"/>
                                      <w:szCs w:val="24"/>
                                    </w:rPr>
                                  </m:ctrlPr>
                                </m:sSubPr>
                                <m:e>
                                  <m:r>
                                    <w:rPr>
                                      <w:rFonts w:ascii="Cambria Math" w:eastAsia="宋体" w:hAnsi="Times New Roman" w:cs="Times New Roman"/>
                                      <w:color w:val="000000" w:themeColor="text1"/>
                                      <w:szCs w:val="24"/>
                                    </w:rPr>
                                    <m:t>y</m:t>
                                  </m:r>
                                </m:e>
                                <m:sub>
                                  <m:r>
                                    <w:rPr>
                                      <w:rFonts w:ascii="Cambria Math" w:eastAsia="宋体" w:hAnsi="Times New Roman" w:cs="Times New Roman"/>
                                      <w:color w:val="000000" w:themeColor="text1"/>
                                      <w:szCs w:val="24"/>
                                    </w:rPr>
                                    <m:t>o</m:t>
                                  </m:r>
                                </m:sub>
                              </m:sSub>
                            </m:e>
                          </m:d>
                        </m:e>
                        <m:sup>
                          <m:r>
                            <w:rPr>
                              <w:rFonts w:ascii="Cambria Math" w:eastAsia="宋体" w:hAnsi="Times New Roman" w:cs="Times New Roman"/>
                              <w:color w:val="000000" w:themeColor="text1"/>
                              <w:szCs w:val="24"/>
                            </w:rPr>
                            <m:t>2</m:t>
                          </m:r>
                        </m:sup>
                      </m:sSup>
                    </m:num>
                    <m:den>
                      <m:r>
                        <w:rPr>
                          <w:rFonts w:ascii="Cambria Math" w:eastAsia="宋体" w:hAnsi="Times New Roman" w:cs="Times New Roman"/>
                          <w:color w:val="000000" w:themeColor="text1"/>
                          <w:szCs w:val="24"/>
                        </w:rPr>
                        <m:t>2</m:t>
                      </m:r>
                      <m:sSubSup>
                        <m:sSubSupPr>
                          <m:ctrlPr>
                            <w:rPr>
                              <w:rFonts w:ascii="Cambria Math" w:eastAsia="宋体" w:hAnsi="Cambria Math" w:cs="Times New Roman"/>
                              <w:i/>
                              <w:color w:val="000000" w:themeColor="text1"/>
                              <w:szCs w:val="24"/>
                            </w:rPr>
                          </m:ctrlPr>
                        </m:sSubSupPr>
                        <m:e>
                          <m:r>
                            <w:rPr>
                              <w:rFonts w:ascii="Cambria Math" w:eastAsia="宋体" w:hAnsi="Times New Roman" w:cs="Times New Roman"/>
                              <w:color w:val="000000" w:themeColor="text1"/>
                              <w:szCs w:val="24"/>
                            </w:rPr>
                            <m:t>σ</m:t>
                          </m:r>
                        </m:e>
                        <m:sub>
                          <m:r>
                            <w:rPr>
                              <w:rFonts w:ascii="Cambria Math" w:eastAsia="宋体" w:hAnsi="Times New Roman" w:cs="Times New Roman"/>
                              <w:color w:val="000000" w:themeColor="text1"/>
                              <w:szCs w:val="24"/>
                            </w:rPr>
                            <m:t>y</m:t>
                          </m:r>
                        </m:sub>
                        <m:sup>
                          <m:r>
                            <w:rPr>
                              <w:rFonts w:ascii="Cambria Math" w:eastAsia="宋体" w:hAnsi="Times New Roman" w:cs="Times New Roman"/>
                              <w:color w:val="000000" w:themeColor="text1"/>
                              <w:szCs w:val="24"/>
                            </w:rPr>
                            <m:t>2</m:t>
                          </m:r>
                        </m:sup>
                      </m:sSubSup>
                    </m:den>
                  </m:f>
                </m:e>
              </m:d>
            </m:e>
          </m:func>
          <m:func>
            <m:funcPr>
              <m:ctrlPr>
                <w:rPr>
                  <w:rFonts w:ascii="Cambria Math" w:eastAsia="宋体" w:hAnsi="Cambria Math" w:cs="Times New Roman"/>
                  <w:i/>
                  <w:color w:val="000000" w:themeColor="text1"/>
                  <w:szCs w:val="24"/>
                </w:rPr>
              </m:ctrlPr>
            </m:funcPr>
            <m:fName>
              <m:r>
                <w:rPr>
                  <w:rFonts w:ascii="Cambria Math" w:eastAsia="宋体" w:hAnsi="Times New Roman" w:cs="Times New Roman"/>
                  <w:color w:val="000000" w:themeColor="text1"/>
                  <w:szCs w:val="24"/>
                </w:rPr>
                <m:t>exp</m:t>
              </m:r>
            </m:fName>
            <m:e>
              <m:d>
                <m:dPr>
                  <m:begChr m:val="["/>
                  <m:endChr m:val="]"/>
                  <m:ctrlPr>
                    <w:rPr>
                      <w:rFonts w:ascii="Cambria Math" w:eastAsia="宋体" w:hAnsi="Cambria Math" w:cs="Times New Roman"/>
                      <w:i/>
                      <w:color w:val="000000" w:themeColor="text1"/>
                      <w:szCs w:val="24"/>
                    </w:rPr>
                  </m:ctrlPr>
                </m:dPr>
                <m:e>
                  <m:r>
                    <w:rPr>
                      <w:rFonts w:ascii="Cambria Math" w:eastAsia="宋体" w:hAnsi="Times New Roman" w:cs="Times New Roman"/>
                      <w:color w:val="000000" w:themeColor="text1"/>
                      <w:szCs w:val="24"/>
                    </w:rPr>
                    <m:t>-</m:t>
                  </m:r>
                  <m:f>
                    <m:fPr>
                      <m:ctrlPr>
                        <w:rPr>
                          <w:rFonts w:ascii="Cambria Math" w:eastAsia="宋体" w:hAnsi="Cambria Math" w:cs="Times New Roman"/>
                          <w:i/>
                          <w:color w:val="000000" w:themeColor="text1"/>
                          <w:szCs w:val="24"/>
                        </w:rPr>
                      </m:ctrlPr>
                    </m:fPr>
                    <m:num>
                      <m:sSubSup>
                        <m:sSubSupPr>
                          <m:ctrlPr>
                            <w:rPr>
                              <w:rFonts w:ascii="Cambria Math" w:eastAsia="宋体" w:hAnsi="Cambria Math" w:cs="Times New Roman"/>
                              <w:i/>
                              <w:color w:val="000000" w:themeColor="text1"/>
                              <w:szCs w:val="24"/>
                            </w:rPr>
                          </m:ctrlPr>
                        </m:sSubSupPr>
                        <m:e>
                          <m:r>
                            <w:rPr>
                              <w:rFonts w:ascii="Cambria Math" w:eastAsia="宋体" w:hAnsi="Times New Roman" w:cs="Times New Roman"/>
                              <w:color w:val="000000" w:themeColor="text1"/>
                              <w:szCs w:val="24"/>
                            </w:rPr>
                            <m:t>z</m:t>
                          </m:r>
                        </m:e>
                        <m:sub>
                          <m:r>
                            <w:rPr>
                              <w:rFonts w:ascii="Cambria Math" w:eastAsia="宋体" w:hAnsi="Times New Roman" w:cs="Times New Roman"/>
                              <w:color w:val="000000" w:themeColor="text1"/>
                              <w:szCs w:val="24"/>
                            </w:rPr>
                            <m:t>o</m:t>
                          </m:r>
                        </m:sub>
                        <m:sup>
                          <m:r>
                            <w:rPr>
                              <w:rFonts w:ascii="Cambria Math" w:eastAsia="宋体" w:hAnsi="Times New Roman" w:cs="Times New Roman"/>
                              <w:color w:val="000000" w:themeColor="text1"/>
                              <w:szCs w:val="24"/>
                            </w:rPr>
                            <m:t>2</m:t>
                          </m:r>
                        </m:sup>
                      </m:sSubSup>
                    </m:num>
                    <m:den>
                      <m:r>
                        <w:rPr>
                          <w:rFonts w:ascii="Cambria Math" w:eastAsia="宋体" w:hAnsi="Times New Roman" w:cs="Times New Roman"/>
                          <w:color w:val="000000" w:themeColor="text1"/>
                          <w:szCs w:val="24"/>
                        </w:rPr>
                        <m:t>2</m:t>
                      </m:r>
                      <m:sSubSup>
                        <m:sSubSupPr>
                          <m:ctrlPr>
                            <w:rPr>
                              <w:rFonts w:ascii="Cambria Math" w:eastAsia="宋体" w:hAnsi="Cambria Math" w:cs="Times New Roman"/>
                              <w:i/>
                              <w:color w:val="000000" w:themeColor="text1"/>
                              <w:szCs w:val="24"/>
                            </w:rPr>
                          </m:ctrlPr>
                        </m:sSubSupPr>
                        <m:e>
                          <m:r>
                            <w:rPr>
                              <w:rFonts w:ascii="Cambria Math" w:eastAsia="宋体" w:hAnsi="Times New Roman" w:cs="Times New Roman"/>
                              <w:color w:val="000000" w:themeColor="text1"/>
                              <w:szCs w:val="24"/>
                            </w:rPr>
                            <m:t>σ</m:t>
                          </m:r>
                        </m:e>
                        <m:sub>
                          <m:r>
                            <w:rPr>
                              <w:rFonts w:ascii="Cambria Math" w:eastAsia="宋体" w:hAnsi="Times New Roman" w:cs="Times New Roman"/>
                              <w:color w:val="000000" w:themeColor="text1"/>
                              <w:szCs w:val="24"/>
                            </w:rPr>
                            <m:t>z</m:t>
                          </m:r>
                        </m:sub>
                        <m:sup>
                          <m:r>
                            <w:rPr>
                              <w:rFonts w:ascii="Cambria Math" w:eastAsia="宋体" w:hAnsi="Times New Roman" w:cs="Times New Roman"/>
                              <w:color w:val="000000" w:themeColor="text1"/>
                              <w:szCs w:val="24"/>
                            </w:rPr>
                            <m:t>2</m:t>
                          </m:r>
                        </m:sup>
                      </m:sSubSup>
                    </m:den>
                  </m:f>
                </m:e>
              </m:d>
            </m:e>
          </m:func>
        </m:oMath>
      </m:oMathPara>
    </w:p>
    <w:p w:rsidR="00C861DA" w:rsidRDefault="0044752E">
      <w:pPr>
        <w:autoSpaceDE/>
        <w:autoSpaceDN/>
        <w:adjustRightInd/>
        <w:spacing w:line="540" w:lineRule="exact"/>
        <w:ind w:firstLine="520"/>
        <w:jc w:val="both"/>
        <w:rPr>
          <w:rFonts w:ascii="Times New Roman" w:eastAsia="宋体" w:hAnsi="Times New Roman" w:cs="Times New Roman"/>
          <w:color w:val="000000" w:themeColor="text1"/>
          <w:spacing w:val="10"/>
          <w:szCs w:val="24"/>
        </w:rPr>
      </w:pPr>
      <w:r>
        <w:rPr>
          <w:rFonts w:ascii="Times New Roman" w:eastAsia="宋体" w:hAnsi="Times New Roman" w:cs="Times New Roman"/>
          <w:color w:val="000000" w:themeColor="text1"/>
          <w:spacing w:val="10"/>
          <w:szCs w:val="24"/>
        </w:rPr>
        <w:t>式中：</w:t>
      </w:r>
    </w:p>
    <w:p w:rsidR="00C861DA" w:rsidRDefault="0044752E">
      <w:pPr>
        <w:autoSpaceDE/>
        <w:autoSpaceDN/>
        <w:adjustRightInd/>
        <w:spacing w:line="360" w:lineRule="auto"/>
        <w:ind w:firstLineChars="600" w:firstLine="1560"/>
        <w:jc w:val="both"/>
        <w:rPr>
          <w:rFonts w:ascii="Times New Roman" w:eastAsia="宋体" w:hAnsi="Times New Roman" w:cs="Times New Roman"/>
          <w:color w:val="000000" w:themeColor="text1"/>
          <w:spacing w:val="10"/>
          <w:sz w:val="24"/>
          <w:szCs w:val="24"/>
        </w:rPr>
      </w:pPr>
      <w:r>
        <w:rPr>
          <w:rFonts w:ascii="Times New Roman" w:eastAsia="宋体" w:hAnsi="Times New Roman" w:cs="Times New Roman"/>
          <w:color w:val="000000" w:themeColor="text1"/>
          <w:spacing w:val="10"/>
          <w:sz w:val="24"/>
          <w:szCs w:val="24"/>
        </w:rPr>
        <w:t>C</w:t>
      </w:r>
      <w:r>
        <w:rPr>
          <w:rFonts w:ascii="Times New Roman" w:eastAsia="宋体" w:hAnsi="Times New Roman" w:cs="Times New Roman"/>
          <w:color w:val="000000" w:themeColor="text1"/>
          <w:spacing w:val="10"/>
          <w:position w:val="-10"/>
          <w:sz w:val="24"/>
          <w:szCs w:val="24"/>
        </w:rPr>
        <w:object w:dxaOrig="704" w:dyaOrig="348">
          <v:shape id="_x0000_i1032" type="#_x0000_t75" style="width:35.4pt;height:17.4pt" o:ole="">
            <v:imagedata r:id="rId58" o:title=""/>
          </v:shape>
          <o:OLEObject Type="Embed" ProgID="Equation.3" ShapeID="_x0000_i1032" DrawAspect="Content" ObjectID="_1618988642" r:id="rId59"/>
        </w:object>
      </w:r>
      <w:r>
        <w:rPr>
          <w:rFonts w:ascii="Times New Roman" w:eastAsia="宋体" w:hAnsi="Times New Roman" w:cs="Times New Roman"/>
          <w:color w:val="000000" w:themeColor="text1"/>
          <w:spacing w:val="10"/>
          <w:sz w:val="24"/>
          <w:szCs w:val="24"/>
        </w:rPr>
        <w:t>--</w:t>
      </w:r>
      <w:r>
        <w:rPr>
          <w:rFonts w:ascii="Times New Roman" w:eastAsia="宋体" w:hAnsi="Times New Roman" w:cs="Times New Roman"/>
          <w:color w:val="000000" w:themeColor="text1"/>
          <w:spacing w:val="10"/>
          <w:sz w:val="24"/>
          <w:szCs w:val="24"/>
        </w:rPr>
        <w:t>下风向地面</w:t>
      </w:r>
      <w:r>
        <w:rPr>
          <w:rFonts w:ascii="Times New Roman" w:eastAsia="宋体" w:hAnsi="Times New Roman" w:cs="Times New Roman"/>
          <w:color w:val="000000" w:themeColor="text1"/>
          <w:spacing w:val="10"/>
          <w:position w:val="-10"/>
          <w:sz w:val="24"/>
          <w:szCs w:val="24"/>
        </w:rPr>
        <w:object w:dxaOrig="538" w:dyaOrig="348">
          <v:shape id="_x0000_i1033" type="#_x0000_t75" style="width:27pt;height:17.4pt" o:ole="">
            <v:imagedata r:id="rId60" o:title=""/>
          </v:shape>
          <o:OLEObject Type="Embed" ProgID="Equation.3" ShapeID="_x0000_i1033" DrawAspect="Content" ObjectID="_1618988643" r:id="rId61"/>
        </w:object>
      </w:r>
      <w:r>
        <w:rPr>
          <w:rFonts w:ascii="Times New Roman" w:eastAsia="宋体" w:hAnsi="Times New Roman" w:cs="Times New Roman"/>
          <w:color w:val="000000" w:themeColor="text1"/>
          <w:spacing w:val="10"/>
          <w:sz w:val="24"/>
          <w:szCs w:val="24"/>
        </w:rPr>
        <w:t>坐标处的空气中污染物浓度（</w:t>
      </w:r>
      <w:r>
        <w:rPr>
          <w:rFonts w:ascii="Times New Roman" w:eastAsia="宋体" w:hAnsi="Times New Roman" w:cs="Times New Roman"/>
          <w:color w:val="000000" w:themeColor="text1"/>
          <w:spacing w:val="10"/>
          <w:sz w:val="24"/>
          <w:szCs w:val="24"/>
        </w:rPr>
        <w:t>mg.m</w:t>
      </w:r>
      <w:r>
        <w:rPr>
          <w:rFonts w:ascii="Times New Roman" w:eastAsia="宋体" w:hAnsi="Times New Roman" w:cs="Times New Roman"/>
          <w:color w:val="000000" w:themeColor="text1"/>
          <w:spacing w:val="10"/>
          <w:sz w:val="24"/>
          <w:szCs w:val="24"/>
          <w:vertAlign w:val="superscript"/>
        </w:rPr>
        <w:t>-3</w:t>
      </w:r>
      <w:r>
        <w:rPr>
          <w:rFonts w:ascii="Times New Roman" w:eastAsia="宋体" w:hAnsi="Times New Roman" w:cs="Times New Roman"/>
          <w:color w:val="000000" w:themeColor="text1"/>
          <w:spacing w:val="10"/>
          <w:sz w:val="24"/>
          <w:szCs w:val="24"/>
        </w:rPr>
        <w:t>）；</w:t>
      </w:r>
    </w:p>
    <w:p w:rsidR="00C861DA" w:rsidRDefault="0044752E" w:rsidP="00B236CD">
      <w:pPr>
        <w:autoSpaceDE/>
        <w:autoSpaceDN/>
        <w:adjustRightInd/>
        <w:spacing w:line="360" w:lineRule="auto"/>
        <w:ind w:firstLineChars="650" w:firstLine="1560"/>
        <w:jc w:val="both"/>
        <w:rPr>
          <w:rFonts w:ascii="Times New Roman" w:eastAsia="宋体" w:hAnsi="Times New Roman" w:cs="Times New Roman"/>
          <w:color w:val="000000" w:themeColor="text1"/>
          <w:spacing w:val="10"/>
          <w:sz w:val="24"/>
          <w:szCs w:val="24"/>
        </w:rPr>
      </w:pPr>
      <w:r>
        <w:rPr>
          <w:rFonts w:ascii="Times New Roman" w:eastAsia="宋体" w:hAnsi="Times New Roman" w:cs="Times New Roman"/>
          <w:color w:val="000000" w:themeColor="text1"/>
          <w:spacing w:val="10"/>
          <w:position w:val="-12"/>
          <w:sz w:val="24"/>
          <w:szCs w:val="24"/>
        </w:rPr>
        <w:object w:dxaOrig="886" w:dyaOrig="372">
          <v:shape id="_x0000_i1034" type="#_x0000_t75" style="width:44.4pt;height:18.6pt" o:ole="">
            <v:imagedata r:id="rId62" o:title=""/>
          </v:shape>
          <o:OLEObject Type="Embed" ProgID="Equation.3" ShapeID="_x0000_i1034" DrawAspect="Content" ObjectID="_1618988644" r:id="rId63"/>
        </w:object>
      </w:r>
      <w:r>
        <w:rPr>
          <w:rFonts w:ascii="Times New Roman" w:eastAsia="宋体" w:hAnsi="Times New Roman" w:cs="Times New Roman"/>
          <w:color w:val="000000" w:themeColor="text1"/>
          <w:spacing w:val="10"/>
          <w:sz w:val="24"/>
          <w:szCs w:val="24"/>
        </w:rPr>
        <w:t>--</w:t>
      </w:r>
      <w:r>
        <w:rPr>
          <w:rFonts w:ascii="Times New Roman" w:eastAsia="宋体" w:hAnsi="Times New Roman" w:cs="Times New Roman"/>
          <w:color w:val="000000" w:themeColor="text1"/>
          <w:spacing w:val="10"/>
          <w:sz w:val="24"/>
          <w:szCs w:val="24"/>
        </w:rPr>
        <w:t>烟团中心坐标；</w:t>
      </w:r>
    </w:p>
    <w:p w:rsidR="00C861DA" w:rsidRDefault="0044752E">
      <w:pPr>
        <w:autoSpaceDE/>
        <w:autoSpaceDN/>
        <w:adjustRightInd/>
        <w:spacing w:line="360" w:lineRule="auto"/>
        <w:ind w:firstLineChars="600" w:firstLine="1560"/>
        <w:jc w:val="both"/>
        <w:rPr>
          <w:rFonts w:ascii="Times New Roman" w:eastAsia="宋体" w:hAnsi="Times New Roman" w:cs="Times New Roman"/>
          <w:color w:val="000000" w:themeColor="text1"/>
          <w:spacing w:val="10"/>
          <w:sz w:val="24"/>
          <w:szCs w:val="24"/>
        </w:rPr>
      </w:pPr>
      <w:r>
        <w:rPr>
          <w:rFonts w:ascii="Times New Roman" w:eastAsia="宋体" w:hAnsi="Times New Roman" w:cs="Times New Roman"/>
          <w:color w:val="000000" w:themeColor="text1"/>
          <w:spacing w:val="10"/>
          <w:sz w:val="24"/>
          <w:szCs w:val="24"/>
        </w:rPr>
        <w:t>Q--</w:t>
      </w:r>
      <w:r>
        <w:rPr>
          <w:rFonts w:ascii="Times New Roman" w:eastAsia="宋体" w:hAnsi="Times New Roman" w:cs="Times New Roman"/>
          <w:color w:val="000000" w:themeColor="text1"/>
          <w:spacing w:val="10"/>
          <w:sz w:val="24"/>
          <w:szCs w:val="24"/>
        </w:rPr>
        <w:t>事故期间烟团的排放量；</w:t>
      </w:r>
    </w:p>
    <w:p w:rsidR="00C861DA" w:rsidRDefault="0044752E">
      <w:pPr>
        <w:tabs>
          <w:tab w:val="left" w:pos="720"/>
        </w:tabs>
        <w:autoSpaceDE/>
        <w:autoSpaceDN/>
        <w:adjustRightInd/>
        <w:spacing w:line="360" w:lineRule="auto"/>
        <w:ind w:firstLineChars="600" w:firstLine="1560"/>
        <w:jc w:val="both"/>
        <w:rPr>
          <w:rFonts w:ascii="Times New Roman" w:eastAsia="宋体" w:hAnsi="Times New Roman" w:cs="Times New Roman"/>
          <w:color w:val="000000" w:themeColor="text1"/>
          <w:spacing w:val="10"/>
          <w:sz w:val="24"/>
          <w:szCs w:val="24"/>
        </w:rPr>
      </w:pPr>
      <w:r>
        <w:rPr>
          <w:rFonts w:ascii="Times New Roman" w:eastAsia="宋体" w:hAnsi="Times New Roman" w:cs="Times New Roman"/>
          <w:color w:val="000000" w:themeColor="text1"/>
          <w:spacing w:val="10"/>
          <w:sz w:val="24"/>
          <w:szCs w:val="24"/>
        </w:rPr>
        <w:t>σ</w:t>
      </w:r>
      <w:r>
        <w:rPr>
          <w:rFonts w:ascii="Times New Roman" w:eastAsia="宋体" w:hAnsi="Times New Roman" w:cs="Times New Roman"/>
          <w:color w:val="000000" w:themeColor="text1"/>
          <w:spacing w:val="10"/>
          <w:sz w:val="24"/>
          <w:szCs w:val="24"/>
          <w:vertAlign w:val="subscript"/>
        </w:rPr>
        <w:t>X</w:t>
      </w:r>
      <w:r>
        <w:rPr>
          <w:rFonts w:ascii="Times New Roman" w:eastAsia="宋体" w:hAnsi="Times New Roman" w:cs="Times New Roman"/>
          <w:color w:val="000000" w:themeColor="text1"/>
          <w:spacing w:val="10"/>
          <w:sz w:val="24"/>
          <w:szCs w:val="24"/>
          <w:vertAlign w:val="subscript"/>
        </w:rPr>
        <w:t>、</w:t>
      </w:r>
      <w:r>
        <w:rPr>
          <w:rFonts w:ascii="Times New Roman" w:eastAsia="宋体" w:hAnsi="Times New Roman" w:cs="Times New Roman"/>
          <w:color w:val="000000" w:themeColor="text1"/>
          <w:spacing w:val="10"/>
          <w:sz w:val="24"/>
          <w:szCs w:val="24"/>
        </w:rPr>
        <w:t>、</w:t>
      </w:r>
      <w:r>
        <w:rPr>
          <w:rFonts w:ascii="Times New Roman" w:eastAsia="宋体" w:hAnsi="Times New Roman" w:cs="Times New Roman"/>
          <w:color w:val="000000" w:themeColor="text1"/>
          <w:spacing w:val="10"/>
          <w:sz w:val="24"/>
          <w:szCs w:val="24"/>
        </w:rPr>
        <w:t>σ</w:t>
      </w:r>
      <w:r>
        <w:rPr>
          <w:rFonts w:ascii="Times New Roman" w:eastAsia="宋体" w:hAnsi="Times New Roman" w:cs="Times New Roman"/>
          <w:color w:val="000000" w:themeColor="text1"/>
          <w:spacing w:val="10"/>
          <w:sz w:val="24"/>
          <w:szCs w:val="24"/>
          <w:vertAlign w:val="subscript"/>
        </w:rPr>
        <w:t>y</w:t>
      </w:r>
      <w:r>
        <w:rPr>
          <w:rFonts w:ascii="Times New Roman" w:eastAsia="宋体" w:hAnsi="Times New Roman" w:cs="Times New Roman"/>
          <w:color w:val="000000" w:themeColor="text1"/>
          <w:spacing w:val="10"/>
          <w:sz w:val="24"/>
          <w:szCs w:val="24"/>
        </w:rPr>
        <w:t>、</w:t>
      </w:r>
      <w:r>
        <w:rPr>
          <w:rFonts w:ascii="Times New Roman" w:eastAsia="宋体" w:hAnsi="Times New Roman" w:cs="Times New Roman"/>
          <w:color w:val="000000" w:themeColor="text1"/>
          <w:spacing w:val="10"/>
          <w:sz w:val="24"/>
          <w:szCs w:val="24"/>
        </w:rPr>
        <w:t>σ</w:t>
      </w:r>
      <w:r>
        <w:rPr>
          <w:rFonts w:ascii="Times New Roman" w:eastAsia="宋体" w:hAnsi="Times New Roman" w:cs="Times New Roman"/>
          <w:color w:val="000000" w:themeColor="text1"/>
          <w:spacing w:val="10"/>
          <w:sz w:val="24"/>
          <w:szCs w:val="24"/>
          <w:vertAlign w:val="subscript"/>
        </w:rPr>
        <w:t>z</w:t>
      </w:r>
      <w:r>
        <w:rPr>
          <w:rFonts w:ascii="Times New Roman" w:eastAsia="宋体" w:hAnsi="Times New Roman" w:cs="Times New Roman"/>
          <w:color w:val="000000" w:themeColor="text1"/>
          <w:spacing w:val="10"/>
          <w:sz w:val="24"/>
          <w:szCs w:val="24"/>
        </w:rPr>
        <w:t>为</w:t>
      </w:r>
      <w:r>
        <w:rPr>
          <w:rFonts w:ascii="Times New Roman" w:eastAsia="宋体" w:hAnsi="Times New Roman" w:cs="Times New Roman"/>
          <w:color w:val="000000" w:themeColor="text1"/>
          <w:spacing w:val="10"/>
          <w:sz w:val="24"/>
          <w:szCs w:val="24"/>
        </w:rPr>
        <w:t>X</w:t>
      </w:r>
      <w:r>
        <w:rPr>
          <w:rFonts w:ascii="Times New Roman" w:eastAsia="宋体" w:hAnsi="Times New Roman" w:cs="Times New Roman"/>
          <w:color w:val="000000" w:themeColor="text1"/>
          <w:spacing w:val="10"/>
          <w:sz w:val="24"/>
          <w:szCs w:val="24"/>
        </w:rPr>
        <w:t>、</w:t>
      </w:r>
      <w:r>
        <w:rPr>
          <w:rFonts w:ascii="Times New Roman" w:eastAsia="宋体" w:hAnsi="Times New Roman" w:cs="Times New Roman"/>
          <w:color w:val="000000" w:themeColor="text1"/>
          <w:spacing w:val="10"/>
          <w:sz w:val="24"/>
          <w:szCs w:val="24"/>
        </w:rPr>
        <w:t>Y</w:t>
      </w:r>
      <w:r>
        <w:rPr>
          <w:rFonts w:ascii="Times New Roman" w:eastAsia="宋体" w:hAnsi="Times New Roman" w:cs="Times New Roman"/>
          <w:color w:val="000000" w:themeColor="text1"/>
          <w:spacing w:val="10"/>
          <w:sz w:val="24"/>
          <w:szCs w:val="24"/>
        </w:rPr>
        <w:t>、</w:t>
      </w:r>
      <w:r>
        <w:rPr>
          <w:rFonts w:ascii="Times New Roman" w:eastAsia="宋体" w:hAnsi="Times New Roman" w:cs="Times New Roman"/>
          <w:color w:val="000000" w:themeColor="text1"/>
          <w:spacing w:val="10"/>
          <w:sz w:val="24"/>
          <w:szCs w:val="24"/>
        </w:rPr>
        <w:t>Z</w:t>
      </w:r>
      <w:r>
        <w:rPr>
          <w:rFonts w:ascii="Times New Roman" w:eastAsia="宋体" w:hAnsi="Times New Roman" w:cs="Times New Roman"/>
          <w:color w:val="000000" w:themeColor="text1"/>
          <w:spacing w:val="10"/>
          <w:sz w:val="24"/>
          <w:szCs w:val="24"/>
        </w:rPr>
        <w:t>方向的扩散参数（</w:t>
      </w:r>
      <w:r>
        <w:rPr>
          <w:rFonts w:ascii="Times New Roman" w:eastAsia="宋体" w:hAnsi="Times New Roman" w:cs="Times New Roman"/>
          <w:color w:val="000000" w:themeColor="text1"/>
          <w:spacing w:val="10"/>
          <w:sz w:val="24"/>
          <w:szCs w:val="24"/>
        </w:rPr>
        <w:t>m</w:t>
      </w:r>
      <w:r>
        <w:rPr>
          <w:rFonts w:ascii="Times New Roman" w:eastAsia="宋体" w:hAnsi="Times New Roman" w:cs="Times New Roman"/>
          <w:color w:val="000000" w:themeColor="text1"/>
          <w:spacing w:val="10"/>
          <w:sz w:val="24"/>
          <w:szCs w:val="24"/>
        </w:rPr>
        <w:t>）</w:t>
      </w:r>
      <w:r>
        <w:rPr>
          <w:rFonts w:ascii="Times New Roman" w:eastAsia="宋体" w:hAnsi="Times New Roman" w:cs="Times New Roman" w:hint="eastAsia"/>
          <w:color w:val="000000" w:themeColor="text1"/>
          <w:spacing w:val="10"/>
          <w:sz w:val="24"/>
          <w:szCs w:val="24"/>
        </w:rPr>
        <w:t>，</w:t>
      </w:r>
      <w:r>
        <w:rPr>
          <w:rFonts w:ascii="Times New Roman" w:eastAsia="宋体" w:hAnsi="Times New Roman" w:cs="Times New Roman"/>
          <w:color w:val="000000" w:themeColor="text1"/>
          <w:spacing w:val="10"/>
          <w:sz w:val="24"/>
          <w:szCs w:val="24"/>
        </w:rPr>
        <w:t>常取</w:t>
      </w:r>
      <w:r>
        <w:rPr>
          <w:rFonts w:ascii="Times New Roman" w:eastAsia="宋体" w:hAnsi="Times New Roman" w:cs="Times New Roman"/>
          <w:color w:val="000000" w:themeColor="text1"/>
          <w:spacing w:val="10"/>
          <w:sz w:val="24"/>
          <w:szCs w:val="24"/>
        </w:rPr>
        <w:t>σ</w:t>
      </w:r>
      <w:r>
        <w:rPr>
          <w:rFonts w:ascii="Times New Roman" w:eastAsia="宋体" w:hAnsi="Times New Roman" w:cs="Times New Roman"/>
          <w:color w:val="000000" w:themeColor="text1"/>
          <w:spacing w:val="10"/>
          <w:sz w:val="24"/>
          <w:szCs w:val="24"/>
          <w:vertAlign w:val="subscript"/>
        </w:rPr>
        <w:t xml:space="preserve">X </w:t>
      </w:r>
      <w:r>
        <w:rPr>
          <w:rFonts w:ascii="Times New Roman" w:eastAsia="宋体" w:hAnsi="Times New Roman" w:cs="Times New Roman"/>
          <w:color w:val="000000" w:themeColor="text1"/>
          <w:spacing w:val="10"/>
          <w:sz w:val="24"/>
          <w:szCs w:val="24"/>
        </w:rPr>
        <w:t>=σ</w:t>
      </w:r>
      <w:r>
        <w:rPr>
          <w:rFonts w:ascii="Times New Roman" w:eastAsia="宋体" w:hAnsi="Times New Roman" w:cs="Times New Roman"/>
          <w:color w:val="000000" w:themeColor="text1"/>
          <w:spacing w:val="10"/>
          <w:sz w:val="24"/>
          <w:szCs w:val="24"/>
          <w:vertAlign w:val="subscript"/>
        </w:rPr>
        <w:t>y</w:t>
      </w:r>
      <w:r>
        <w:rPr>
          <w:rFonts w:ascii="Times New Roman" w:eastAsia="宋体" w:hAnsi="Times New Roman" w:cs="Times New Roman"/>
          <w:color w:val="000000" w:themeColor="text1"/>
          <w:spacing w:val="10"/>
          <w:sz w:val="24"/>
          <w:szCs w:val="24"/>
        </w:rPr>
        <w:t>。</w:t>
      </w:r>
    </w:p>
    <w:p w:rsidR="00C861DA" w:rsidRDefault="0044752E">
      <w:pPr>
        <w:autoSpaceDE/>
        <w:autoSpaceDN/>
        <w:adjustRightInd/>
        <w:spacing w:line="360" w:lineRule="auto"/>
        <w:ind w:firstLineChars="200" w:firstLine="52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pacing w:val="10"/>
          <w:sz w:val="24"/>
          <w:szCs w:val="24"/>
        </w:rPr>
        <w:t>按照</w:t>
      </w:r>
      <w:r>
        <w:rPr>
          <w:rFonts w:ascii="Times New Roman" w:eastAsia="宋体" w:hAnsi="Times New Roman" w:cs="Times New Roman"/>
          <w:color w:val="000000" w:themeColor="text1"/>
          <w:sz w:val="24"/>
          <w:szCs w:val="24"/>
        </w:rPr>
        <w:t>《建设项目环境风险评价技术导则》（</w:t>
      </w:r>
      <w:r>
        <w:rPr>
          <w:rFonts w:ascii="Times New Roman" w:eastAsia="宋体" w:hAnsi="Times New Roman" w:cs="Times New Roman"/>
          <w:color w:val="000000" w:themeColor="text1"/>
          <w:sz w:val="24"/>
          <w:szCs w:val="24"/>
        </w:rPr>
        <w:t>HJ169</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2018</w:t>
      </w:r>
      <w:r>
        <w:rPr>
          <w:rFonts w:ascii="Times New Roman" w:eastAsia="宋体" w:hAnsi="Times New Roman" w:cs="Times New Roman"/>
          <w:color w:val="000000" w:themeColor="text1"/>
          <w:sz w:val="24"/>
          <w:szCs w:val="24"/>
        </w:rPr>
        <w:t>）的要求，</w:t>
      </w:r>
      <w:r>
        <w:rPr>
          <w:rFonts w:ascii="Times New Roman" w:eastAsia="宋体" w:hAnsi="Times New Roman" w:cs="Times New Roman" w:hint="eastAsia"/>
          <w:color w:val="000000" w:themeColor="text1"/>
          <w:sz w:val="24"/>
        </w:rPr>
        <w:t>最不利气象条件取</w:t>
      </w:r>
      <w:r>
        <w:rPr>
          <w:rFonts w:ascii="Times New Roman" w:eastAsia="宋体" w:hAnsi="Times New Roman" w:cs="Times New Roman" w:hint="eastAsia"/>
          <w:color w:val="000000" w:themeColor="text1"/>
          <w:sz w:val="24"/>
        </w:rPr>
        <w:t>F</w:t>
      </w:r>
      <w:r>
        <w:rPr>
          <w:rFonts w:ascii="Times New Roman" w:eastAsia="宋体" w:hAnsi="Times New Roman" w:cs="Times New Roman" w:hint="eastAsia"/>
          <w:color w:val="000000" w:themeColor="text1"/>
          <w:sz w:val="24"/>
        </w:rPr>
        <w:t>类稳定度，</w:t>
      </w:r>
      <w:r>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.5m/s</w:t>
      </w:r>
      <w:r>
        <w:rPr>
          <w:rFonts w:ascii="Times New Roman" w:eastAsia="宋体" w:hAnsi="Times New Roman" w:cs="Times New Roman" w:hint="eastAsia"/>
          <w:color w:val="000000" w:themeColor="text1"/>
          <w:sz w:val="24"/>
        </w:rPr>
        <w:t>风速，温度</w:t>
      </w:r>
      <w:r>
        <w:rPr>
          <w:rFonts w:ascii="Times New Roman" w:eastAsia="宋体" w:hAnsi="Times New Roman" w:cs="Times New Roman" w:hint="eastAsia"/>
          <w:color w:val="000000" w:themeColor="text1"/>
          <w:sz w:val="24"/>
        </w:rPr>
        <w:t>2</w:t>
      </w:r>
      <w:r>
        <w:rPr>
          <w:rFonts w:ascii="Times New Roman" w:eastAsia="宋体" w:hAnsi="Times New Roman" w:cs="Times New Roman"/>
          <w:color w:val="000000" w:themeColor="text1"/>
          <w:sz w:val="24"/>
        </w:rPr>
        <w:t>5</w:t>
      </w:r>
      <w:r>
        <w:rPr>
          <w:rFonts w:ascii="Times New Roman" w:eastAsia="宋体" w:hAnsi="Times New Roman" w:cs="Times New Roman" w:hint="eastAsia"/>
          <w:color w:val="000000" w:themeColor="text1"/>
          <w:sz w:val="24"/>
        </w:rPr>
        <w:t>℃，相对湿度</w:t>
      </w:r>
      <w:r>
        <w:rPr>
          <w:rFonts w:ascii="Times New Roman" w:eastAsia="宋体" w:hAnsi="Times New Roman" w:cs="Times New Roman" w:hint="eastAsia"/>
          <w:color w:val="000000" w:themeColor="text1"/>
          <w:sz w:val="24"/>
        </w:rPr>
        <w:t>5</w:t>
      </w:r>
      <w:r>
        <w:rPr>
          <w:rFonts w:ascii="Times New Roman" w:eastAsia="宋体" w:hAnsi="Times New Roman" w:cs="Times New Roman"/>
          <w:color w:val="000000" w:themeColor="text1"/>
          <w:sz w:val="24"/>
        </w:rPr>
        <w:t>0%</w:t>
      </w:r>
      <w:r>
        <w:rPr>
          <w:rFonts w:ascii="Times New Roman" w:eastAsia="宋体" w:hAnsi="Times New Roman" w:cs="Times New Roman"/>
          <w:color w:val="000000" w:themeColor="text1"/>
          <w:sz w:val="24"/>
          <w:szCs w:val="24"/>
        </w:rPr>
        <w:t>，计算各网格点和关心点浓度值，然后对浓度值由小到大排序，取其累积概率水平为</w:t>
      </w:r>
      <w:r>
        <w:rPr>
          <w:rFonts w:ascii="Times New Roman" w:eastAsia="宋体" w:hAnsi="Times New Roman" w:cs="Times New Roman"/>
          <w:color w:val="000000" w:themeColor="text1"/>
          <w:sz w:val="24"/>
          <w:szCs w:val="24"/>
        </w:rPr>
        <w:t>95%</w:t>
      </w:r>
      <w:r>
        <w:rPr>
          <w:rFonts w:ascii="Times New Roman" w:eastAsia="宋体" w:hAnsi="Times New Roman" w:cs="Times New Roman"/>
          <w:color w:val="000000" w:themeColor="text1"/>
          <w:sz w:val="24"/>
          <w:szCs w:val="24"/>
        </w:rPr>
        <w:t>的值，作为各网格点和关心点的浓度代表值进行评价。</w:t>
      </w:r>
    </w:p>
    <w:p w:rsidR="00C861DA" w:rsidRDefault="0044752E">
      <w:pPr>
        <w:autoSpaceDE/>
        <w:autoSpaceDN/>
        <w:adjustRightInd/>
        <w:spacing w:line="360" w:lineRule="auto"/>
        <w:ind w:firstLineChars="200" w:firstLine="482"/>
        <w:jc w:val="both"/>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fldChar w:fldCharType="begin"/>
      </w:r>
      <w:r>
        <w:rPr>
          <w:rFonts w:ascii="Times New Roman" w:eastAsia="宋体" w:hAnsi="Times New Roman" w:cs="Times New Roman"/>
          <w:b/>
          <w:color w:val="000000" w:themeColor="text1"/>
          <w:sz w:val="24"/>
          <w:szCs w:val="24"/>
        </w:rPr>
        <w:instrText xml:space="preserve"> </w:instrText>
      </w:r>
      <w:r>
        <w:rPr>
          <w:rFonts w:ascii="Times New Roman" w:eastAsia="宋体" w:hAnsi="Times New Roman" w:cs="Times New Roman" w:hint="eastAsia"/>
          <w:b/>
          <w:color w:val="000000" w:themeColor="text1"/>
          <w:sz w:val="24"/>
          <w:szCs w:val="24"/>
        </w:rPr>
        <w:instrText>= 4 \* GB3</w:instrText>
      </w:r>
      <w:r>
        <w:rPr>
          <w:rFonts w:ascii="Times New Roman" w:eastAsia="宋体" w:hAnsi="Times New Roman" w:cs="Times New Roman"/>
          <w:b/>
          <w:color w:val="000000" w:themeColor="text1"/>
          <w:sz w:val="24"/>
          <w:szCs w:val="24"/>
        </w:rPr>
        <w:instrText xml:space="preserve"> </w:instrText>
      </w:r>
      <w:r>
        <w:rPr>
          <w:rFonts w:ascii="Times New Roman" w:eastAsia="宋体" w:hAnsi="Times New Roman" w:cs="Times New Roman"/>
          <w:b/>
          <w:color w:val="000000" w:themeColor="text1"/>
          <w:sz w:val="24"/>
          <w:szCs w:val="24"/>
        </w:rPr>
        <w:fldChar w:fldCharType="separate"/>
      </w:r>
      <w:r>
        <w:rPr>
          <w:rFonts w:ascii="Times New Roman" w:eastAsia="宋体" w:hAnsi="Times New Roman" w:cs="Times New Roman" w:hint="eastAsia"/>
          <w:b/>
          <w:color w:val="000000" w:themeColor="text1"/>
          <w:sz w:val="24"/>
          <w:szCs w:val="24"/>
        </w:rPr>
        <w:t>④</w:t>
      </w:r>
      <w:r>
        <w:rPr>
          <w:rFonts w:ascii="Times New Roman" w:eastAsia="宋体" w:hAnsi="Times New Roman" w:cs="Times New Roman"/>
          <w:b/>
          <w:color w:val="000000" w:themeColor="text1"/>
          <w:sz w:val="24"/>
          <w:szCs w:val="24"/>
        </w:rPr>
        <w:fldChar w:fldCharType="end"/>
      </w:r>
      <w:r>
        <w:rPr>
          <w:rFonts w:ascii="Times New Roman" w:eastAsia="宋体" w:hAnsi="Times New Roman" w:cs="Times New Roman" w:hint="eastAsia"/>
          <w:b/>
          <w:color w:val="000000" w:themeColor="text1"/>
          <w:sz w:val="24"/>
          <w:szCs w:val="24"/>
        </w:rPr>
        <w:t>预测参数</w:t>
      </w:r>
    </w:p>
    <w:p w:rsidR="00C861DA" w:rsidRDefault="0044752E">
      <w:pPr>
        <w:autoSpaceDE/>
        <w:autoSpaceDN/>
        <w:adjustRightInd/>
        <w:spacing w:line="360" w:lineRule="auto"/>
        <w:jc w:val="center"/>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表</w:t>
      </w:r>
      <w:r>
        <w:rPr>
          <w:rFonts w:ascii="Times New Roman" w:eastAsia="宋体" w:hAnsi="Times New Roman" w:cs="Times New Roman"/>
          <w:b/>
          <w:color w:val="000000" w:themeColor="text1"/>
          <w:sz w:val="24"/>
          <w:szCs w:val="24"/>
        </w:rPr>
        <w:t xml:space="preserve">8.1-10  </w:t>
      </w:r>
      <w:r>
        <w:rPr>
          <w:rFonts w:ascii="Times New Roman" w:eastAsia="宋体" w:hAnsi="Times New Roman" w:cs="Times New Roman" w:hint="eastAsia"/>
          <w:b/>
          <w:color w:val="000000" w:themeColor="text1"/>
          <w:sz w:val="24"/>
          <w:szCs w:val="24"/>
        </w:rPr>
        <w:t>预测参数一览表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1147"/>
        <w:gridCol w:w="737"/>
        <w:gridCol w:w="1278"/>
        <w:gridCol w:w="1160"/>
        <w:gridCol w:w="1405"/>
        <w:gridCol w:w="1623"/>
      </w:tblGrid>
      <w:tr w:rsidR="00C861DA">
        <w:trPr>
          <w:trHeight w:val="369"/>
          <w:jc w:val="center"/>
        </w:trPr>
        <w:tc>
          <w:tcPr>
            <w:tcW w:w="946" w:type="dxa"/>
            <w:vAlign w:val="center"/>
          </w:tcPr>
          <w:p w:rsidR="00C861DA" w:rsidRDefault="0044752E">
            <w:pPr>
              <w:autoSpaceDE/>
              <w:autoSpaceDN/>
              <w:adjustRightInd/>
              <w:jc w:val="center"/>
              <w:rPr>
                <w:rFonts w:ascii="Times New Roman" w:eastAsia="宋体" w:hAnsi="Times New Roman" w:cs="Times New Roman"/>
                <w:b/>
                <w:color w:val="000000" w:themeColor="text1"/>
                <w:szCs w:val="24"/>
              </w:rPr>
            </w:pPr>
            <w:r>
              <w:rPr>
                <w:rFonts w:ascii="Times New Roman" w:eastAsia="宋体" w:hAnsi="Times New Roman" w:cs="Times New Roman" w:hint="eastAsia"/>
                <w:b/>
                <w:color w:val="000000" w:themeColor="text1"/>
                <w:szCs w:val="24"/>
              </w:rPr>
              <w:t>预测污染物</w:t>
            </w:r>
          </w:p>
        </w:tc>
        <w:tc>
          <w:tcPr>
            <w:tcW w:w="1147" w:type="dxa"/>
            <w:vAlign w:val="center"/>
          </w:tcPr>
          <w:p w:rsidR="00C861DA" w:rsidRDefault="0044752E">
            <w:pPr>
              <w:autoSpaceDE/>
              <w:autoSpaceDN/>
              <w:adjustRightInd/>
              <w:jc w:val="center"/>
              <w:rPr>
                <w:rFonts w:ascii="Times New Roman" w:eastAsia="宋体" w:hAnsi="Times New Roman" w:cs="Times New Roman"/>
                <w:b/>
                <w:color w:val="000000" w:themeColor="text1"/>
                <w:szCs w:val="24"/>
              </w:rPr>
            </w:pPr>
            <w:r>
              <w:rPr>
                <w:rFonts w:ascii="Times New Roman" w:eastAsia="宋体" w:hAnsi="Times New Roman" w:cs="Times New Roman" w:hint="eastAsia"/>
                <w:b/>
                <w:color w:val="000000" w:themeColor="text1"/>
                <w:szCs w:val="24"/>
              </w:rPr>
              <w:t>预测模型</w:t>
            </w:r>
          </w:p>
        </w:tc>
        <w:tc>
          <w:tcPr>
            <w:tcW w:w="737" w:type="dxa"/>
            <w:vAlign w:val="center"/>
          </w:tcPr>
          <w:p w:rsidR="00C861DA" w:rsidRDefault="0044752E">
            <w:pPr>
              <w:autoSpaceDE/>
              <w:autoSpaceDN/>
              <w:adjustRightInd/>
              <w:jc w:val="center"/>
              <w:rPr>
                <w:rFonts w:ascii="Times New Roman" w:eastAsia="宋体" w:hAnsi="Times New Roman" w:cs="Times New Roman"/>
                <w:b/>
                <w:color w:val="000000" w:themeColor="text1"/>
                <w:szCs w:val="24"/>
              </w:rPr>
            </w:pPr>
            <w:r>
              <w:rPr>
                <w:rFonts w:ascii="Times New Roman" w:eastAsia="宋体" w:hAnsi="Times New Roman" w:cs="Times New Roman" w:hint="eastAsia"/>
                <w:b/>
                <w:color w:val="000000" w:themeColor="text1"/>
                <w:szCs w:val="24"/>
              </w:rPr>
              <w:t>风向</w:t>
            </w:r>
          </w:p>
        </w:tc>
        <w:tc>
          <w:tcPr>
            <w:tcW w:w="1278" w:type="dxa"/>
            <w:vAlign w:val="center"/>
          </w:tcPr>
          <w:p w:rsidR="00C861DA" w:rsidRDefault="0044752E">
            <w:pPr>
              <w:autoSpaceDE/>
              <w:autoSpaceDN/>
              <w:adjustRightInd/>
              <w:jc w:val="center"/>
              <w:rPr>
                <w:rFonts w:ascii="Times New Roman" w:eastAsia="宋体" w:hAnsi="Times New Roman" w:cs="Times New Roman"/>
                <w:b/>
                <w:color w:val="000000" w:themeColor="text1"/>
                <w:szCs w:val="24"/>
              </w:rPr>
            </w:pPr>
            <w:r>
              <w:rPr>
                <w:rFonts w:ascii="Times New Roman" w:eastAsia="宋体" w:hAnsi="Times New Roman" w:cs="Times New Roman" w:hint="eastAsia"/>
                <w:b/>
                <w:color w:val="000000" w:themeColor="text1"/>
                <w:szCs w:val="24"/>
              </w:rPr>
              <w:t>气温（℃）</w:t>
            </w:r>
          </w:p>
        </w:tc>
        <w:tc>
          <w:tcPr>
            <w:tcW w:w="1160" w:type="dxa"/>
            <w:vAlign w:val="center"/>
          </w:tcPr>
          <w:p w:rsidR="00C861DA" w:rsidRDefault="0044752E">
            <w:pPr>
              <w:autoSpaceDE/>
              <w:autoSpaceDN/>
              <w:adjustRightInd/>
              <w:jc w:val="center"/>
              <w:rPr>
                <w:rFonts w:ascii="Times New Roman" w:eastAsia="宋体" w:hAnsi="Times New Roman" w:cs="Times New Roman"/>
                <w:b/>
                <w:color w:val="000000" w:themeColor="text1"/>
                <w:szCs w:val="24"/>
              </w:rPr>
            </w:pPr>
            <w:r>
              <w:rPr>
                <w:rFonts w:ascii="Times New Roman" w:eastAsia="宋体" w:hAnsi="Times New Roman" w:cs="Times New Roman" w:hint="eastAsia"/>
                <w:b/>
                <w:color w:val="000000" w:themeColor="text1"/>
                <w:szCs w:val="24"/>
              </w:rPr>
              <w:t>排放方式</w:t>
            </w:r>
          </w:p>
        </w:tc>
        <w:tc>
          <w:tcPr>
            <w:tcW w:w="1405" w:type="dxa"/>
            <w:vAlign w:val="center"/>
          </w:tcPr>
          <w:p w:rsidR="00C861DA" w:rsidRDefault="0044752E">
            <w:pPr>
              <w:autoSpaceDE/>
              <w:autoSpaceDN/>
              <w:adjustRightInd/>
              <w:jc w:val="center"/>
              <w:rPr>
                <w:rFonts w:ascii="Times New Roman" w:eastAsia="宋体" w:hAnsi="Times New Roman" w:cs="Times New Roman"/>
                <w:b/>
                <w:color w:val="000000" w:themeColor="text1"/>
                <w:szCs w:val="24"/>
              </w:rPr>
            </w:pPr>
            <w:r>
              <w:rPr>
                <w:rFonts w:ascii="Times New Roman" w:eastAsia="宋体" w:hAnsi="Times New Roman" w:cs="Times New Roman" w:hint="eastAsia"/>
                <w:b/>
                <w:color w:val="000000" w:themeColor="text1"/>
                <w:szCs w:val="24"/>
              </w:rPr>
              <w:t>排放时长（</w:t>
            </w:r>
            <w:r>
              <w:rPr>
                <w:rFonts w:ascii="Times New Roman" w:eastAsia="宋体" w:hAnsi="Times New Roman" w:cs="Times New Roman" w:hint="eastAsia"/>
                <w:b/>
                <w:color w:val="000000" w:themeColor="text1"/>
                <w:szCs w:val="24"/>
              </w:rPr>
              <w:t>min</w:t>
            </w:r>
            <w:r>
              <w:rPr>
                <w:rFonts w:ascii="Times New Roman" w:eastAsia="宋体" w:hAnsi="Times New Roman" w:cs="Times New Roman" w:hint="eastAsia"/>
                <w:b/>
                <w:color w:val="000000" w:themeColor="text1"/>
                <w:szCs w:val="24"/>
              </w:rPr>
              <w:t>）</w:t>
            </w:r>
          </w:p>
        </w:tc>
        <w:tc>
          <w:tcPr>
            <w:tcW w:w="1623" w:type="dxa"/>
            <w:vAlign w:val="center"/>
          </w:tcPr>
          <w:p w:rsidR="00C861DA" w:rsidRDefault="0044752E">
            <w:pPr>
              <w:autoSpaceDE/>
              <w:autoSpaceDN/>
              <w:adjustRightInd/>
              <w:jc w:val="center"/>
              <w:rPr>
                <w:rFonts w:ascii="Times New Roman" w:eastAsia="宋体" w:hAnsi="Times New Roman" w:cs="Times New Roman"/>
                <w:b/>
                <w:color w:val="000000" w:themeColor="text1"/>
                <w:szCs w:val="24"/>
              </w:rPr>
            </w:pPr>
            <w:r>
              <w:rPr>
                <w:rFonts w:ascii="Times New Roman" w:eastAsia="宋体" w:hAnsi="Times New Roman" w:cs="Times New Roman" w:hint="eastAsia"/>
                <w:b/>
                <w:color w:val="000000" w:themeColor="text1"/>
                <w:szCs w:val="24"/>
              </w:rPr>
              <w:t>物质排放速率（</w:t>
            </w:r>
            <w:r>
              <w:rPr>
                <w:rFonts w:ascii="Times New Roman" w:eastAsia="宋体" w:hAnsi="Times New Roman" w:cs="Times New Roman" w:hint="eastAsia"/>
                <w:b/>
                <w:color w:val="000000" w:themeColor="text1"/>
                <w:szCs w:val="24"/>
              </w:rPr>
              <w:t>kg</w:t>
            </w:r>
            <w:r>
              <w:rPr>
                <w:rFonts w:ascii="Times New Roman" w:eastAsia="宋体" w:hAnsi="Times New Roman" w:cs="Times New Roman"/>
                <w:b/>
                <w:color w:val="000000" w:themeColor="text1"/>
                <w:szCs w:val="24"/>
              </w:rPr>
              <w:t>/s</w:t>
            </w:r>
            <w:r>
              <w:rPr>
                <w:rFonts w:ascii="Times New Roman" w:eastAsia="宋体" w:hAnsi="Times New Roman" w:cs="Times New Roman" w:hint="eastAsia"/>
                <w:b/>
                <w:color w:val="000000" w:themeColor="text1"/>
                <w:szCs w:val="24"/>
              </w:rPr>
              <w:t>）</w:t>
            </w:r>
          </w:p>
        </w:tc>
      </w:tr>
      <w:tr w:rsidR="00C861DA">
        <w:trPr>
          <w:trHeight w:val="369"/>
          <w:jc w:val="center"/>
        </w:trPr>
        <w:tc>
          <w:tcPr>
            <w:tcW w:w="946" w:type="dxa"/>
            <w:vAlign w:val="center"/>
          </w:tcPr>
          <w:p w:rsidR="00C861DA" w:rsidRDefault="0044752E">
            <w:pPr>
              <w:autoSpaceDE/>
              <w:autoSpaceDN/>
              <w:adjustRightInd/>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氨</w:t>
            </w:r>
          </w:p>
        </w:tc>
        <w:tc>
          <w:tcPr>
            <w:tcW w:w="1147" w:type="dxa"/>
            <w:vAlign w:val="center"/>
          </w:tcPr>
          <w:p w:rsidR="00C861DA" w:rsidRDefault="0044752E">
            <w:pPr>
              <w:autoSpaceDE/>
              <w:autoSpaceDN/>
              <w:adjustRightInd/>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AFTOX</w:t>
            </w:r>
          </w:p>
        </w:tc>
        <w:tc>
          <w:tcPr>
            <w:tcW w:w="737" w:type="dxa"/>
            <w:vAlign w:val="center"/>
          </w:tcPr>
          <w:p w:rsidR="00C861DA" w:rsidRDefault="0044752E">
            <w:pPr>
              <w:autoSpaceDE/>
              <w:autoSpaceDN/>
              <w:adjustRightInd/>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SSW</w:t>
            </w:r>
          </w:p>
        </w:tc>
        <w:tc>
          <w:tcPr>
            <w:tcW w:w="1278" w:type="dxa"/>
            <w:vAlign w:val="center"/>
          </w:tcPr>
          <w:p w:rsidR="00C861DA" w:rsidRDefault="0044752E">
            <w:pPr>
              <w:autoSpaceDE/>
              <w:autoSpaceDN/>
              <w:adjustRightInd/>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2</w:t>
            </w:r>
            <w:r>
              <w:rPr>
                <w:rFonts w:ascii="Times New Roman" w:eastAsia="宋体" w:hAnsi="Times New Roman" w:cs="Times New Roman"/>
                <w:color w:val="000000" w:themeColor="text1"/>
                <w:szCs w:val="24"/>
              </w:rPr>
              <w:t>5</w:t>
            </w:r>
          </w:p>
        </w:tc>
        <w:tc>
          <w:tcPr>
            <w:tcW w:w="1160" w:type="dxa"/>
            <w:vAlign w:val="center"/>
          </w:tcPr>
          <w:p w:rsidR="00C861DA" w:rsidRDefault="0044752E">
            <w:pPr>
              <w:autoSpaceDE/>
              <w:autoSpaceDN/>
              <w:adjustRightInd/>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短时或持续泄漏</w:t>
            </w:r>
          </w:p>
        </w:tc>
        <w:tc>
          <w:tcPr>
            <w:tcW w:w="1405" w:type="dxa"/>
            <w:vAlign w:val="center"/>
          </w:tcPr>
          <w:p w:rsidR="00C861DA" w:rsidRDefault="0044752E">
            <w:pPr>
              <w:autoSpaceDE/>
              <w:autoSpaceDN/>
              <w:adjustRightInd/>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10</w:t>
            </w:r>
          </w:p>
        </w:tc>
        <w:tc>
          <w:tcPr>
            <w:tcW w:w="1623" w:type="dxa"/>
            <w:vAlign w:val="center"/>
          </w:tcPr>
          <w:p w:rsidR="00C861DA" w:rsidRDefault="0044752E">
            <w:pPr>
              <w:autoSpaceDE/>
              <w:autoSpaceDN/>
              <w:adjustRightInd/>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1</w:t>
            </w:r>
            <w:r>
              <w:rPr>
                <w:rFonts w:ascii="Times New Roman" w:eastAsia="宋体" w:hAnsi="Times New Roman" w:cs="Times New Roman"/>
                <w:color w:val="000000" w:themeColor="text1"/>
                <w:szCs w:val="24"/>
              </w:rPr>
              <w:t>.3392</w:t>
            </w:r>
          </w:p>
        </w:tc>
      </w:tr>
    </w:tbl>
    <w:p w:rsidR="00C861DA" w:rsidRDefault="0044752E">
      <w:pPr>
        <w:widowControl/>
        <w:autoSpaceDE/>
        <w:autoSpaceDN/>
        <w:adjustRightInd/>
        <w:spacing w:line="540" w:lineRule="exact"/>
        <w:ind w:firstLine="480"/>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fldChar w:fldCharType="begin"/>
      </w:r>
      <w:r>
        <w:rPr>
          <w:rFonts w:ascii="Times New Roman" w:eastAsia="宋体" w:hAnsi="Times New Roman" w:cs="Times New Roman"/>
          <w:b/>
          <w:color w:val="000000" w:themeColor="text1"/>
          <w:sz w:val="24"/>
          <w:szCs w:val="24"/>
        </w:rPr>
        <w:instrText xml:space="preserve"> </w:instrText>
      </w:r>
      <w:r>
        <w:rPr>
          <w:rFonts w:ascii="Times New Roman" w:eastAsia="宋体" w:hAnsi="Times New Roman" w:cs="Times New Roman" w:hint="eastAsia"/>
          <w:b/>
          <w:color w:val="000000" w:themeColor="text1"/>
          <w:sz w:val="24"/>
          <w:szCs w:val="24"/>
        </w:rPr>
        <w:instrText>= 5 \* GB3</w:instrText>
      </w:r>
      <w:r>
        <w:rPr>
          <w:rFonts w:ascii="Times New Roman" w:eastAsia="宋体" w:hAnsi="Times New Roman" w:cs="Times New Roman"/>
          <w:b/>
          <w:color w:val="000000" w:themeColor="text1"/>
          <w:sz w:val="24"/>
          <w:szCs w:val="24"/>
        </w:rPr>
        <w:instrText xml:space="preserve"> </w:instrText>
      </w:r>
      <w:r>
        <w:rPr>
          <w:rFonts w:ascii="Times New Roman" w:eastAsia="宋体" w:hAnsi="Times New Roman" w:cs="Times New Roman"/>
          <w:b/>
          <w:color w:val="000000" w:themeColor="text1"/>
          <w:sz w:val="24"/>
          <w:szCs w:val="24"/>
        </w:rPr>
        <w:fldChar w:fldCharType="separate"/>
      </w:r>
      <w:r>
        <w:rPr>
          <w:rFonts w:ascii="Times New Roman" w:eastAsia="宋体" w:hAnsi="Times New Roman" w:cs="Times New Roman" w:hint="eastAsia"/>
          <w:b/>
          <w:color w:val="000000" w:themeColor="text1"/>
          <w:sz w:val="24"/>
          <w:szCs w:val="24"/>
        </w:rPr>
        <w:t>⑤</w:t>
      </w:r>
      <w:r>
        <w:rPr>
          <w:rFonts w:ascii="Times New Roman" w:eastAsia="宋体" w:hAnsi="Times New Roman" w:cs="Times New Roman"/>
          <w:b/>
          <w:color w:val="000000" w:themeColor="text1"/>
          <w:sz w:val="24"/>
          <w:szCs w:val="24"/>
        </w:rPr>
        <w:fldChar w:fldCharType="end"/>
      </w:r>
      <w:r>
        <w:rPr>
          <w:rFonts w:ascii="Times New Roman" w:eastAsia="宋体" w:hAnsi="Times New Roman" w:cs="Times New Roman"/>
          <w:b/>
          <w:color w:val="000000" w:themeColor="text1"/>
          <w:sz w:val="24"/>
          <w:szCs w:val="24"/>
        </w:rPr>
        <w:t>预测结果</w:t>
      </w:r>
    </w:p>
    <w:p w:rsidR="00C861DA" w:rsidRDefault="0044752E">
      <w:pPr>
        <w:widowControl/>
        <w:autoSpaceDE/>
        <w:autoSpaceDN/>
        <w:adjustRightInd/>
        <w:spacing w:line="540" w:lineRule="exact"/>
        <w:ind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最不利气象条件下液氨输送管道液氨泄漏扩散浓度计算结果见表</w:t>
      </w:r>
      <w:r>
        <w:rPr>
          <w:rFonts w:ascii="Times New Roman" w:eastAsia="宋体" w:hAnsi="Times New Roman" w:cs="Times New Roman"/>
          <w:color w:val="000000" w:themeColor="text1"/>
          <w:sz w:val="24"/>
          <w:szCs w:val="24"/>
        </w:rPr>
        <w:t>8.1-11</w:t>
      </w:r>
      <w:r>
        <w:rPr>
          <w:rFonts w:ascii="Times New Roman" w:eastAsia="宋体" w:hAnsi="Times New Roman" w:cs="Times New Roman" w:hint="eastAsia"/>
          <w:color w:val="000000" w:themeColor="text1"/>
          <w:sz w:val="24"/>
          <w:szCs w:val="24"/>
        </w:rPr>
        <w:t>。</w:t>
      </w:r>
    </w:p>
    <w:p w:rsidR="00C861DA" w:rsidRDefault="0044752E">
      <w:pPr>
        <w:widowControl/>
        <w:autoSpaceDE/>
        <w:autoSpaceDN/>
        <w:adjustRightInd/>
        <w:jc w:val="center"/>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表</w:t>
      </w:r>
      <w:r>
        <w:rPr>
          <w:rFonts w:ascii="Times New Roman" w:eastAsia="宋体" w:hAnsi="Times New Roman" w:cs="Times New Roman"/>
          <w:b/>
          <w:color w:val="000000" w:themeColor="text1"/>
          <w:sz w:val="24"/>
          <w:szCs w:val="24"/>
        </w:rPr>
        <w:t xml:space="preserve">8.1-11  </w:t>
      </w:r>
      <w:r>
        <w:rPr>
          <w:rFonts w:ascii="Times New Roman" w:eastAsia="宋体" w:hAnsi="Times New Roman" w:cs="Times New Roman" w:hint="eastAsia"/>
          <w:bCs/>
          <w:color w:val="000000" w:themeColor="text1"/>
          <w:sz w:val="24"/>
          <w:szCs w:val="24"/>
        </w:rPr>
        <w:t>输送管道</w:t>
      </w:r>
      <w:r>
        <w:rPr>
          <w:rFonts w:ascii="Times New Roman" w:eastAsia="宋体" w:hAnsi="Times New Roman" w:cs="Times New Roman" w:hint="eastAsia"/>
          <w:b/>
          <w:color w:val="000000" w:themeColor="text1"/>
          <w:sz w:val="24"/>
          <w:szCs w:val="24"/>
        </w:rPr>
        <w:t>泄漏氨气风险事故影响预测结果一览表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2539"/>
        <w:gridCol w:w="1855"/>
        <w:gridCol w:w="2205"/>
      </w:tblGrid>
      <w:tr w:rsidR="00C861DA">
        <w:trPr>
          <w:trHeight w:val="748"/>
          <w:jc w:val="center"/>
        </w:trPr>
        <w:tc>
          <w:tcPr>
            <w:tcW w:w="1697"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气象条件</w:t>
            </w:r>
          </w:p>
        </w:tc>
        <w:tc>
          <w:tcPr>
            <w:tcW w:w="4394" w:type="dxa"/>
            <w:gridSpan w:val="2"/>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后果分析</w:t>
            </w:r>
          </w:p>
        </w:tc>
        <w:tc>
          <w:tcPr>
            <w:tcW w:w="2205" w:type="dxa"/>
            <w:vAlign w:val="center"/>
          </w:tcPr>
          <w:p w:rsidR="00C861DA" w:rsidRDefault="0044752E">
            <w:pPr>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计算结果</w:t>
            </w:r>
          </w:p>
        </w:tc>
      </w:tr>
      <w:tr w:rsidR="00C861DA">
        <w:trPr>
          <w:trHeight w:val="369"/>
          <w:jc w:val="center"/>
        </w:trPr>
        <w:tc>
          <w:tcPr>
            <w:tcW w:w="1697" w:type="dxa"/>
            <w:vMerge w:val="restart"/>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color w:val="000000" w:themeColor="text1"/>
              </w:rPr>
              <w:t>F</w:t>
            </w:r>
            <w:r>
              <w:rPr>
                <w:rFonts w:ascii="Times New Roman" w:eastAsia="宋体" w:hAnsi="Times New Roman" w:cs="Times New Roman"/>
                <w:color w:val="000000" w:themeColor="text1"/>
              </w:rPr>
              <w:t>类稳定度，</w:t>
            </w:r>
            <w:r>
              <w:rPr>
                <w:rFonts w:ascii="Times New Roman" w:eastAsia="宋体" w:hAnsi="Times New Roman" w:cs="Times New Roman"/>
                <w:color w:val="000000" w:themeColor="text1"/>
              </w:rPr>
              <w:t>1.5m/s</w:t>
            </w:r>
            <w:r>
              <w:rPr>
                <w:rFonts w:ascii="Times New Roman" w:eastAsia="宋体" w:hAnsi="Times New Roman" w:cs="Times New Roman"/>
                <w:color w:val="000000" w:themeColor="text1"/>
              </w:rPr>
              <w:t>风速，温度</w:t>
            </w:r>
            <w:r>
              <w:rPr>
                <w:rFonts w:ascii="Times New Roman" w:eastAsia="宋体" w:hAnsi="Times New Roman" w:cs="Times New Roman"/>
                <w:color w:val="000000" w:themeColor="text1"/>
              </w:rPr>
              <w:t>25</w:t>
            </w:r>
            <w:r>
              <w:rPr>
                <w:rFonts w:ascii="宋体" w:eastAsia="宋体" w:hAnsi="宋体" w:cs="宋体" w:hint="eastAsia"/>
                <w:color w:val="000000" w:themeColor="text1"/>
              </w:rPr>
              <w:t>℃</w:t>
            </w:r>
            <w:r>
              <w:rPr>
                <w:rFonts w:ascii="Times New Roman" w:eastAsia="宋体" w:hAnsi="Times New Roman" w:cs="Times New Roman"/>
                <w:color w:val="000000" w:themeColor="text1"/>
              </w:rPr>
              <w:t>，相对湿度</w:t>
            </w:r>
            <w:r>
              <w:rPr>
                <w:rFonts w:ascii="Times New Roman" w:eastAsia="宋体" w:hAnsi="Times New Roman" w:cs="Times New Roman"/>
                <w:color w:val="000000" w:themeColor="text1"/>
              </w:rPr>
              <w:t>50%</w:t>
            </w:r>
          </w:p>
        </w:tc>
        <w:tc>
          <w:tcPr>
            <w:tcW w:w="4394" w:type="dxa"/>
            <w:gridSpan w:val="2"/>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最大落地浓度</w:t>
            </w:r>
            <w:r>
              <w:rPr>
                <w:rFonts w:ascii="Times New Roman" w:eastAsia="宋体" w:hAnsi="Times New Roman" w:cs="Times New Roman"/>
                <w:bCs/>
                <w:color w:val="000000" w:themeColor="text1"/>
              </w:rPr>
              <w:t>C</w:t>
            </w: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mg/m</w:t>
            </w:r>
            <w:r>
              <w:rPr>
                <w:rFonts w:ascii="Times New Roman" w:eastAsia="宋体" w:hAnsi="Times New Roman" w:cs="Times New Roman"/>
                <w:bCs/>
                <w:color w:val="000000" w:themeColor="text1"/>
                <w:vertAlign w:val="superscript"/>
              </w:rPr>
              <w:t>3</w:t>
            </w: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 xml:space="preserve">/ </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2743</w:t>
            </w:r>
          </w:p>
        </w:tc>
      </w:tr>
      <w:tr w:rsidR="00C861DA">
        <w:trPr>
          <w:trHeight w:val="369"/>
          <w:jc w:val="center"/>
        </w:trPr>
        <w:tc>
          <w:tcPr>
            <w:tcW w:w="1697" w:type="dxa"/>
            <w:vMerge/>
            <w:vAlign w:val="center"/>
          </w:tcPr>
          <w:p w:rsidR="00C861DA" w:rsidRDefault="00C861DA">
            <w:pPr>
              <w:widowControl/>
              <w:autoSpaceDE/>
              <w:autoSpaceDN/>
              <w:adjustRightInd/>
              <w:jc w:val="center"/>
              <w:rPr>
                <w:rFonts w:ascii="Times New Roman" w:eastAsia="宋体" w:hAnsi="Times New Roman" w:cs="Times New Roman"/>
                <w:color w:val="000000" w:themeColor="text1"/>
              </w:rPr>
            </w:pPr>
          </w:p>
        </w:tc>
        <w:tc>
          <w:tcPr>
            <w:tcW w:w="4394" w:type="dxa"/>
            <w:gridSpan w:val="2"/>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最大落地浓度出现距离</w:t>
            </w:r>
            <w:r>
              <w:rPr>
                <w:rFonts w:ascii="Times New Roman" w:eastAsia="宋体" w:hAnsi="Times New Roman" w:cs="Times New Roman"/>
                <w:bCs/>
                <w:color w:val="000000" w:themeColor="text1"/>
              </w:rPr>
              <w:t>/m</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46</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4394" w:type="dxa"/>
            <w:gridSpan w:val="2"/>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半致死浓度（</w:t>
            </w:r>
            <w:r>
              <w:rPr>
                <w:rFonts w:ascii="Times New Roman" w:eastAsia="宋体" w:hAnsi="Times New Roman" w:cs="Times New Roman"/>
                <w:bCs/>
                <w:color w:val="000000" w:themeColor="text1"/>
              </w:rPr>
              <w:t>LC</w:t>
            </w:r>
            <w:r>
              <w:rPr>
                <w:rFonts w:ascii="Times New Roman" w:eastAsia="宋体" w:hAnsi="Times New Roman" w:cs="Times New Roman"/>
                <w:bCs/>
                <w:color w:val="000000" w:themeColor="text1"/>
                <w:vertAlign w:val="subscript"/>
              </w:rPr>
              <w:t>50</w:t>
            </w:r>
            <w:r>
              <w:rPr>
                <w:rFonts w:ascii="Times New Roman" w:eastAsia="宋体" w:hAnsi="Times New Roman" w:cs="Times New Roman"/>
                <w:bCs/>
                <w:color w:val="000000" w:themeColor="text1"/>
              </w:rPr>
              <w:t>=1390</w:t>
            </w:r>
            <w:r>
              <w:rPr>
                <w:rFonts w:ascii="Times New Roman" w:eastAsia="宋体" w:hAnsi="Times New Roman" w:cs="Times New Roman"/>
                <w:bCs/>
                <w:color w:val="000000" w:themeColor="text1"/>
              </w:rPr>
              <w:t>）出现的范围</w:t>
            </w:r>
            <w:r>
              <w:rPr>
                <w:rFonts w:ascii="Times New Roman" w:eastAsia="宋体" w:hAnsi="Times New Roman" w:cs="Times New Roman"/>
                <w:bCs/>
                <w:color w:val="000000" w:themeColor="text1"/>
              </w:rPr>
              <w:t>(m)</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380</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4394" w:type="dxa"/>
            <w:gridSpan w:val="2"/>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PAC-1</w:t>
            </w: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770mg/m</w:t>
            </w:r>
            <w:r>
              <w:rPr>
                <w:rFonts w:ascii="Times New Roman" w:eastAsia="宋体" w:hAnsi="Times New Roman" w:cs="Times New Roman"/>
                <w:bCs/>
                <w:color w:val="000000" w:themeColor="text1"/>
                <w:vertAlign w:val="superscript"/>
              </w:rPr>
              <w:t>3</w:t>
            </w:r>
            <w:r>
              <w:rPr>
                <w:rFonts w:ascii="Times New Roman" w:eastAsia="宋体" w:hAnsi="Times New Roman" w:cs="Times New Roman"/>
                <w:bCs/>
                <w:color w:val="000000" w:themeColor="text1"/>
              </w:rPr>
              <w:t>）浓度出现的范围</w:t>
            </w:r>
            <w:r>
              <w:rPr>
                <w:rFonts w:ascii="Times New Roman" w:eastAsia="宋体" w:hAnsi="Times New Roman" w:cs="Times New Roman"/>
                <w:bCs/>
                <w:color w:val="000000" w:themeColor="text1"/>
              </w:rPr>
              <w:t>(m)</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590</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4394" w:type="dxa"/>
            <w:gridSpan w:val="2"/>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PAC-2</w:t>
            </w: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110mg/m</w:t>
            </w:r>
            <w:r>
              <w:rPr>
                <w:rFonts w:ascii="Times New Roman" w:eastAsia="宋体" w:hAnsi="Times New Roman" w:cs="Times New Roman"/>
                <w:bCs/>
                <w:color w:val="000000" w:themeColor="text1"/>
                <w:vertAlign w:val="superscript"/>
              </w:rPr>
              <w:t>3</w:t>
            </w:r>
            <w:r>
              <w:rPr>
                <w:rFonts w:ascii="Times New Roman" w:eastAsia="宋体" w:hAnsi="Times New Roman" w:cs="Times New Roman"/>
                <w:bCs/>
                <w:color w:val="000000" w:themeColor="text1"/>
              </w:rPr>
              <w:t>）浓度出现的范围</w:t>
            </w:r>
            <w:r>
              <w:rPr>
                <w:rFonts w:ascii="Times New Roman" w:eastAsia="宋体" w:hAnsi="Times New Roman" w:cs="Times New Roman"/>
                <w:bCs/>
                <w:color w:val="000000" w:themeColor="text1"/>
              </w:rPr>
              <w:t>(m)</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2260</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2539"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保护目标</w:t>
            </w:r>
          </w:p>
        </w:tc>
        <w:tc>
          <w:tcPr>
            <w:tcW w:w="185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距离（</w:t>
            </w:r>
            <w:r>
              <w:rPr>
                <w:rFonts w:ascii="Times New Roman" w:eastAsia="宋体" w:hAnsi="Times New Roman" w:cs="Times New Roman"/>
                <w:bCs/>
                <w:color w:val="000000" w:themeColor="text1"/>
              </w:rPr>
              <w:t>km</w:t>
            </w:r>
            <w:r>
              <w:rPr>
                <w:rFonts w:ascii="Times New Roman" w:eastAsia="宋体" w:hAnsi="Times New Roman" w:cs="Times New Roman"/>
                <w:bCs/>
                <w:color w:val="000000" w:themeColor="text1"/>
              </w:rPr>
              <w:t>）</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贡献浓度（</w:t>
            </w:r>
            <w:r>
              <w:rPr>
                <w:rFonts w:ascii="Times New Roman" w:eastAsia="宋体" w:hAnsi="Times New Roman" w:cs="Times New Roman" w:hint="eastAsia"/>
                <w:bCs/>
                <w:color w:val="000000" w:themeColor="text1"/>
              </w:rPr>
              <w:t>mg</w:t>
            </w:r>
            <w:r>
              <w:rPr>
                <w:rFonts w:ascii="Times New Roman" w:eastAsia="宋体" w:hAnsi="Times New Roman" w:cs="Times New Roman"/>
                <w:bCs/>
                <w:color w:val="000000" w:themeColor="text1"/>
              </w:rPr>
              <w:t>/m</w:t>
            </w:r>
            <w:r>
              <w:rPr>
                <w:rFonts w:ascii="Times New Roman" w:eastAsia="宋体" w:hAnsi="Times New Roman" w:cs="Times New Roman" w:hint="eastAsia"/>
                <w:bCs/>
                <w:color w:val="000000" w:themeColor="text1"/>
                <w:vertAlign w:val="superscript"/>
              </w:rPr>
              <w:t>3</w:t>
            </w:r>
            <w:r>
              <w:rPr>
                <w:rFonts w:ascii="Times New Roman" w:eastAsia="宋体" w:hAnsi="Times New Roman" w:cs="Times New Roman" w:hint="eastAsia"/>
                <w:bCs/>
                <w:color w:val="000000" w:themeColor="text1"/>
              </w:rPr>
              <w:t>）</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2539"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祥丰金麦化工职工生活区</w:t>
            </w:r>
          </w:p>
        </w:tc>
        <w:tc>
          <w:tcPr>
            <w:tcW w:w="1855"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3</w:t>
            </w:r>
            <w:r>
              <w:rPr>
                <w:rFonts w:ascii="Times New Roman" w:eastAsia="宋体" w:hAnsi="Times New Roman" w:cs="Times New Roman"/>
                <w:bCs/>
                <w:color w:val="000000" w:themeColor="text1"/>
              </w:rPr>
              <w:t>08</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2539"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大哨</w:t>
            </w:r>
          </w:p>
        </w:tc>
        <w:tc>
          <w:tcPr>
            <w:tcW w:w="1855"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1.1</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289</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2539"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下禄脿</w:t>
            </w:r>
          </w:p>
        </w:tc>
        <w:tc>
          <w:tcPr>
            <w:tcW w:w="1855"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1.51</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221</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2539"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小河边</w:t>
            </w:r>
          </w:p>
        </w:tc>
        <w:tc>
          <w:tcPr>
            <w:tcW w:w="1855"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1.77</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192</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2539"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多依树</w:t>
            </w:r>
          </w:p>
        </w:tc>
        <w:tc>
          <w:tcPr>
            <w:tcW w:w="1855"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1.80</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175</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2539"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安丰营</w:t>
            </w:r>
          </w:p>
        </w:tc>
        <w:tc>
          <w:tcPr>
            <w:tcW w:w="1855"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1.85</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1</w:t>
            </w:r>
            <w:r>
              <w:rPr>
                <w:rFonts w:ascii="Times New Roman" w:eastAsia="宋体" w:hAnsi="Times New Roman" w:cs="Times New Roman"/>
                <w:bCs/>
                <w:color w:val="000000" w:themeColor="text1"/>
              </w:rPr>
              <w:t>60</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2539"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lang w:bidi="ar"/>
              </w:rPr>
              <w:t>大石凹</w:t>
            </w:r>
          </w:p>
        </w:tc>
        <w:tc>
          <w:tcPr>
            <w:tcW w:w="1855"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2.48</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9</w:t>
            </w:r>
            <w:r>
              <w:rPr>
                <w:rFonts w:ascii="Times New Roman" w:eastAsia="宋体" w:hAnsi="Times New Roman" w:cs="Times New Roman"/>
                <w:bCs/>
                <w:color w:val="000000" w:themeColor="text1"/>
              </w:rPr>
              <w:t>8</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2539"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水井湾</w:t>
            </w:r>
          </w:p>
        </w:tc>
        <w:tc>
          <w:tcPr>
            <w:tcW w:w="1855"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3.35</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5</w:t>
            </w:r>
            <w:r>
              <w:rPr>
                <w:rFonts w:ascii="Times New Roman" w:eastAsia="宋体" w:hAnsi="Times New Roman" w:cs="Times New Roman"/>
                <w:bCs/>
                <w:color w:val="000000" w:themeColor="text1"/>
              </w:rPr>
              <w:t>6</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2539"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李白</w:t>
            </w:r>
          </w:p>
        </w:tc>
        <w:tc>
          <w:tcPr>
            <w:tcW w:w="1855"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3.51</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38</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2539"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白塔村</w:t>
            </w:r>
          </w:p>
        </w:tc>
        <w:tc>
          <w:tcPr>
            <w:tcW w:w="1855"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3.61</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22</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2539"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罗鸣</w:t>
            </w:r>
          </w:p>
        </w:tc>
        <w:tc>
          <w:tcPr>
            <w:tcW w:w="1855"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3.66</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18</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2539"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河上庄</w:t>
            </w:r>
          </w:p>
        </w:tc>
        <w:tc>
          <w:tcPr>
            <w:tcW w:w="1855"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4.12</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2</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2539"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松坪</w:t>
            </w:r>
          </w:p>
        </w:tc>
        <w:tc>
          <w:tcPr>
            <w:tcW w:w="1855"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4.23</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2</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2539"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青龙哨</w:t>
            </w:r>
          </w:p>
        </w:tc>
        <w:tc>
          <w:tcPr>
            <w:tcW w:w="1855"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4.49</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1</w:t>
            </w:r>
          </w:p>
        </w:tc>
      </w:tr>
      <w:tr w:rsidR="00C861DA">
        <w:trPr>
          <w:trHeight w:val="369"/>
          <w:jc w:val="center"/>
        </w:trPr>
        <w:tc>
          <w:tcPr>
            <w:tcW w:w="1697" w:type="dxa"/>
            <w:vMerge/>
            <w:vAlign w:val="center"/>
          </w:tcPr>
          <w:p w:rsidR="00C861DA" w:rsidRDefault="00C861DA">
            <w:pPr>
              <w:widowControl/>
              <w:autoSpaceDE/>
              <w:autoSpaceDN/>
              <w:adjustRightInd/>
              <w:jc w:val="both"/>
              <w:rPr>
                <w:rFonts w:ascii="Times New Roman" w:eastAsia="宋体" w:hAnsi="Times New Roman" w:cs="Times New Roman"/>
                <w:bCs/>
                <w:color w:val="000000" w:themeColor="text1"/>
              </w:rPr>
            </w:pPr>
          </w:p>
        </w:tc>
        <w:tc>
          <w:tcPr>
            <w:tcW w:w="2539"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青龙镇</w:t>
            </w:r>
          </w:p>
        </w:tc>
        <w:tc>
          <w:tcPr>
            <w:tcW w:w="1855" w:type="dxa"/>
            <w:vAlign w:val="center"/>
          </w:tcPr>
          <w:p w:rsidR="00C861DA" w:rsidRDefault="0044752E">
            <w:pPr>
              <w:widowControl/>
              <w:autoSpaceDE/>
              <w:autoSpaceDN/>
              <w:adjustRightInd/>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4.6</w:t>
            </w:r>
          </w:p>
        </w:tc>
        <w:tc>
          <w:tcPr>
            <w:tcW w:w="2205" w:type="dxa"/>
            <w:vAlign w:val="center"/>
          </w:tcPr>
          <w:p w:rsidR="00C861DA" w:rsidRDefault="0044752E">
            <w:pPr>
              <w:widowControl/>
              <w:autoSpaceDE/>
              <w:autoSpaceDN/>
              <w:adjustRightInd/>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1</w:t>
            </w:r>
          </w:p>
        </w:tc>
      </w:tr>
    </w:tbl>
    <w:p w:rsidR="00C861DA" w:rsidRDefault="0044752E">
      <w:pPr>
        <w:autoSpaceDE/>
        <w:autoSpaceDN/>
        <w:adjustRightInd/>
        <w:spacing w:beforeLines="50" w:before="156"/>
        <w:jc w:val="center"/>
        <w:rPr>
          <w:rFonts w:ascii="Times New Roman" w:eastAsia="宋体" w:hAnsi="Times New Roman" w:cs="Times New Roman"/>
          <w:b/>
          <w:color w:val="000000" w:themeColor="text1"/>
          <w:sz w:val="24"/>
          <w:szCs w:val="24"/>
        </w:rPr>
      </w:pPr>
      <w:r>
        <w:rPr>
          <w:rFonts w:ascii="Times New Roman" w:eastAsia="宋体" w:hAnsi="Times New Roman" w:cs="Times New Roman"/>
          <w:b/>
          <w:noProof/>
          <w:color w:val="000000" w:themeColor="text1"/>
          <w:sz w:val="24"/>
          <w:szCs w:val="24"/>
        </w:rPr>
        <w:drawing>
          <wp:inline distT="0" distB="0" distL="0" distR="0">
            <wp:extent cx="5274310" cy="3951605"/>
            <wp:effectExtent l="0" t="0" r="2540" b="0"/>
            <wp:docPr id="3" name="图片 3" descr="E:\李红灿\2018年\2#安宁化工\化肥\李红灿\风险图\风险预测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李红灿\2018年\2#安宁化工\化肥\李红灿\风险图\风险预测线.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274310" cy="3951605"/>
                    </a:xfrm>
                    <a:prstGeom prst="rect">
                      <a:avLst/>
                    </a:prstGeom>
                    <a:noFill/>
                    <a:ln>
                      <a:noFill/>
                    </a:ln>
                  </pic:spPr>
                </pic:pic>
              </a:graphicData>
            </a:graphic>
          </wp:inline>
        </w:drawing>
      </w:r>
    </w:p>
    <w:p w:rsidR="00C861DA" w:rsidRDefault="0044752E">
      <w:pPr>
        <w:autoSpaceDE/>
        <w:autoSpaceDN/>
        <w:adjustRightInd/>
        <w:spacing w:line="360" w:lineRule="auto"/>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图</w:t>
      </w:r>
      <w:r>
        <w:rPr>
          <w:rFonts w:ascii="Times New Roman" w:eastAsia="宋体" w:hAnsi="Times New Roman" w:cs="Times New Roman"/>
          <w:b/>
          <w:color w:val="000000" w:themeColor="text1"/>
          <w:sz w:val="24"/>
          <w:szCs w:val="24"/>
        </w:rPr>
        <w:t xml:space="preserve">8.1-1  </w:t>
      </w:r>
      <w:r>
        <w:rPr>
          <w:rFonts w:ascii="Times New Roman" w:eastAsia="宋体" w:hAnsi="Times New Roman" w:cs="Times New Roman"/>
          <w:b/>
          <w:bCs/>
          <w:color w:val="000000" w:themeColor="text1"/>
          <w:sz w:val="24"/>
        </w:rPr>
        <w:t>液氨输送管线泄漏氨气扩散影响预测包络线图</w:t>
      </w:r>
    </w:p>
    <w:p w:rsidR="00C861DA" w:rsidRDefault="0044752E">
      <w:pPr>
        <w:autoSpaceDE/>
        <w:autoSpaceDN/>
        <w:adjustRightInd/>
        <w:spacing w:line="360" w:lineRule="auto"/>
        <w:ind w:firstLineChars="200" w:firstLine="482"/>
        <w:jc w:val="both"/>
        <w:rPr>
          <w:rFonts w:ascii="Times New Roman" w:eastAsia="宋体" w:hAnsi="Times New Roman" w:cs="Times New Roman"/>
          <w:color w:val="000000" w:themeColor="text1"/>
          <w:sz w:val="24"/>
          <w:szCs w:val="24"/>
        </w:rPr>
      </w:pPr>
      <w:r>
        <w:rPr>
          <w:rFonts w:ascii="Times New Roman" w:eastAsia="宋体" w:hAnsi="Times New Roman" w:cs="Times New Roman" w:hint="eastAsia"/>
          <w:b/>
          <w:color w:val="000000" w:themeColor="text1"/>
          <w:sz w:val="24"/>
          <w:szCs w:val="24"/>
        </w:rPr>
        <w:t>预测结果小结：</w:t>
      </w:r>
      <w:r>
        <w:rPr>
          <w:rFonts w:ascii="Times New Roman" w:eastAsia="宋体" w:hAnsi="Times New Roman" w:cs="Times New Roman" w:hint="eastAsia"/>
          <w:color w:val="000000" w:themeColor="text1"/>
          <w:sz w:val="24"/>
          <w:szCs w:val="24"/>
        </w:rPr>
        <w:t>根据表</w:t>
      </w:r>
      <w:r>
        <w:rPr>
          <w:rFonts w:ascii="Times New Roman" w:eastAsia="宋体" w:hAnsi="Times New Roman" w:cs="Times New Roman" w:hint="eastAsia"/>
          <w:color w:val="000000" w:themeColor="text1"/>
          <w:sz w:val="24"/>
          <w:szCs w:val="24"/>
        </w:rPr>
        <w:t>1</w:t>
      </w:r>
      <w:r>
        <w:rPr>
          <w:rFonts w:ascii="Times New Roman" w:eastAsia="宋体" w:hAnsi="Times New Roman" w:cs="Times New Roman"/>
          <w:color w:val="000000" w:themeColor="text1"/>
          <w:sz w:val="24"/>
          <w:szCs w:val="24"/>
        </w:rPr>
        <w:t>1</w:t>
      </w:r>
      <w:r>
        <w:rPr>
          <w:rFonts w:ascii="Times New Roman" w:eastAsia="宋体" w:hAnsi="Times New Roman" w:cs="Times New Roman" w:hint="eastAsia"/>
          <w:color w:val="000000" w:themeColor="text1"/>
          <w:sz w:val="24"/>
          <w:szCs w:val="24"/>
        </w:rPr>
        <w:t>中的预测结果，本项目泄漏的氨气最大半致死浓度出现范围为</w:t>
      </w:r>
      <w:r>
        <w:rPr>
          <w:rFonts w:ascii="Times New Roman" w:eastAsia="宋体" w:hAnsi="Times New Roman" w:cs="Times New Roman"/>
          <w:color w:val="000000" w:themeColor="text1"/>
          <w:sz w:val="24"/>
          <w:szCs w:val="24"/>
        </w:rPr>
        <w:t>46m</w:t>
      </w:r>
      <w:r>
        <w:rPr>
          <w:rFonts w:ascii="Times New Roman" w:eastAsia="宋体" w:hAnsi="Times New Roman" w:cs="Times New Roman" w:hint="eastAsia"/>
          <w:color w:val="000000" w:themeColor="text1"/>
          <w:sz w:val="24"/>
          <w:szCs w:val="24"/>
        </w:rPr>
        <w:t>，与本项目泄露源距离最近的环境敏感区为距离</w:t>
      </w:r>
      <w:r>
        <w:rPr>
          <w:rFonts w:ascii="Times New Roman" w:eastAsia="宋体" w:hAnsi="Times New Roman" w:cs="Times New Roman" w:hint="eastAsia"/>
          <w:bCs/>
          <w:color w:val="000000" w:themeColor="text1"/>
          <w:sz w:val="24"/>
          <w:szCs w:val="24"/>
        </w:rPr>
        <w:t>输送管线</w:t>
      </w:r>
      <w:r>
        <w:rPr>
          <w:rFonts w:ascii="Times New Roman" w:eastAsia="宋体" w:hAnsi="Times New Roman" w:cs="Times New Roman"/>
          <w:color w:val="000000" w:themeColor="text1"/>
          <w:sz w:val="24"/>
          <w:szCs w:val="24"/>
        </w:rPr>
        <w:t>1200m</w:t>
      </w:r>
      <w:r>
        <w:rPr>
          <w:rFonts w:ascii="Times New Roman" w:eastAsia="宋体" w:hAnsi="Times New Roman" w:cs="Times New Roman" w:hint="eastAsia"/>
          <w:color w:val="000000" w:themeColor="text1"/>
          <w:sz w:val="24"/>
          <w:szCs w:val="24"/>
        </w:rPr>
        <w:t>的祥丰金麦有限公司职工生活区，大于本项目泄露的氨气最大半致死浓度范围，在最不利气象条件下对周边环境敏感点的影响是可接受的，从环境风险的角度来说是可行的。</w:t>
      </w:r>
    </w:p>
    <w:p w:rsidR="00C861DA" w:rsidRDefault="0044752E">
      <w:pPr>
        <w:pStyle w:val="22"/>
        <w:rPr>
          <w:rFonts w:ascii="Times New Roman" w:eastAsia="宋体" w:hAnsi="Times New Roman"/>
          <w:bCs w:val="0"/>
          <w:color w:val="000000" w:themeColor="text1"/>
          <w:sz w:val="28"/>
          <w:szCs w:val="28"/>
        </w:rPr>
      </w:pPr>
      <w:bookmarkStart w:id="566" w:name="_Toc6826888"/>
      <w:r>
        <w:rPr>
          <w:rFonts w:ascii="Times New Roman" w:eastAsia="宋体" w:hAnsi="Times New Roman" w:hint="eastAsia"/>
          <w:bCs w:val="0"/>
          <w:color w:val="000000" w:themeColor="text1"/>
          <w:sz w:val="28"/>
          <w:szCs w:val="28"/>
        </w:rPr>
        <w:t>8</w:t>
      </w:r>
      <w:r>
        <w:rPr>
          <w:rFonts w:ascii="Times New Roman" w:eastAsia="宋体" w:hAnsi="Times New Roman"/>
          <w:bCs w:val="0"/>
          <w:color w:val="000000" w:themeColor="text1"/>
          <w:sz w:val="28"/>
          <w:szCs w:val="28"/>
        </w:rPr>
        <w:t>.5</w:t>
      </w:r>
      <w:r>
        <w:rPr>
          <w:rFonts w:ascii="Times New Roman" w:eastAsia="宋体" w:hAnsi="Times New Roman" w:hint="eastAsia"/>
          <w:bCs w:val="0"/>
          <w:color w:val="000000" w:themeColor="text1"/>
          <w:sz w:val="28"/>
          <w:szCs w:val="28"/>
        </w:rPr>
        <w:t>环境风险管理</w:t>
      </w:r>
      <w:bookmarkEnd w:id="566"/>
    </w:p>
    <w:p w:rsidR="00C861DA" w:rsidRDefault="0044752E">
      <w:pPr>
        <w:pStyle w:val="32"/>
        <w:rPr>
          <w:rFonts w:ascii="Times New Roman" w:eastAsia="宋体"/>
          <w:bCs w:val="0"/>
          <w:color w:val="000000" w:themeColor="text1"/>
          <w:sz w:val="24"/>
          <w:szCs w:val="24"/>
        </w:rPr>
      </w:pPr>
      <w:bookmarkStart w:id="567" w:name="_Toc6826889"/>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.5.1</w:t>
      </w:r>
      <w:r>
        <w:rPr>
          <w:rFonts w:ascii="Times New Roman" w:eastAsia="宋体"/>
          <w:bCs w:val="0"/>
          <w:color w:val="000000" w:themeColor="text1"/>
          <w:sz w:val="24"/>
          <w:szCs w:val="24"/>
        </w:rPr>
        <w:t>风险防范措施</w:t>
      </w:r>
      <w:bookmarkEnd w:id="567"/>
      <w:r>
        <w:rPr>
          <w:rFonts w:ascii="Times New Roman" w:eastAsia="宋体"/>
          <w:bCs w:val="0"/>
          <w:color w:val="000000" w:themeColor="text1"/>
          <w:sz w:val="24"/>
          <w:szCs w:val="24"/>
        </w:rPr>
        <w:t xml:space="preserve"> </w:t>
      </w:r>
    </w:p>
    <w:p w:rsidR="00C861DA" w:rsidRDefault="0044752E">
      <w:pPr>
        <w:spacing w:line="360" w:lineRule="auto"/>
        <w:ind w:firstLineChars="200" w:firstLine="482"/>
        <w:jc w:val="both"/>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w:t>
      </w:r>
      <w:r>
        <w:rPr>
          <w:rFonts w:ascii="Times New Roman" w:eastAsia="宋体" w:hAnsi="Times New Roman" w:cs="Times New Roman" w:hint="eastAsia"/>
          <w:b/>
          <w:color w:val="000000" w:themeColor="text1"/>
          <w:sz w:val="24"/>
        </w:rPr>
        <w:t>1</w:t>
      </w:r>
      <w:r>
        <w:rPr>
          <w:rFonts w:ascii="Times New Roman" w:eastAsia="宋体" w:hAnsi="Times New Roman" w:cs="Times New Roman" w:hint="eastAsia"/>
          <w:b/>
          <w:color w:val="000000" w:themeColor="text1"/>
          <w:sz w:val="24"/>
        </w:rPr>
        <w:t>）</w:t>
      </w:r>
      <w:r>
        <w:rPr>
          <w:rFonts w:ascii="Times New Roman" w:eastAsia="宋体" w:hAnsi="Times New Roman" w:cs="Times New Roman"/>
          <w:b/>
          <w:color w:val="000000" w:themeColor="text1"/>
          <w:sz w:val="24"/>
        </w:rPr>
        <w:t>消防措施</w:t>
      </w:r>
    </w:p>
    <w:p w:rsidR="00C861DA" w:rsidRDefault="0044752E">
      <w:pPr>
        <w:spacing w:line="360" w:lineRule="auto"/>
        <w:ind w:firstLineChars="200" w:firstLine="480"/>
        <w:jc w:val="both"/>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fldChar w:fldCharType="begin"/>
      </w:r>
      <w:r>
        <w:rPr>
          <w:rFonts w:ascii="Times New Roman" w:eastAsia="宋体" w:hAnsi="Times New Roman" w:cs="Times New Roman"/>
          <w:bCs/>
          <w:color w:val="000000" w:themeColor="text1"/>
          <w:sz w:val="24"/>
        </w:rPr>
        <w:instrText xml:space="preserve"> = 1 \* GB3 </w:instrText>
      </w:r>
      <w:r>
        <w:rPr>
          <w:rFonts w:ascii="Times New Roman" w:eastAsia="宋体" w:hAnsi="Times New Roman" w:cs="Times New Roman"/>
          <w:bCs/>
          <w:color w:val="000000" w:themeColor="text1"/>
          <w:sz w:val="24"/>
        </w:rPr>
        <w:fldChar w:fldCharType="separate"/>
      </w:r>
      <w:r>
        <w:rPr>
          <w:rFonts w:ascii="宋体" w:eastAsia="宋体" w:hAnsi="宋体" w:cs="宋体" w:hint="eastAsia"/>
          <w:bCs/>
          <w:color w:val="000000" w:themeColor="text1"/>
          <w:sz w:val="24"/>
        </w:rPr>
        <w:t>①</w:t>
      </w:r>
      <w:r>
        <w:rPr>
          <w:rFonts w:ascii="Times New Roman" w:eastAsia="宋体" w:hAnsi="Times New Roman" w:cs="Times New Roman"/>
          <w:bCs/>
          <w:color w:val="000000" w:themeColor="text1"/>
          <w:sz w:val="24"/>
        </w:rPr>
        <w:fldChar w:fldCharType="end"/>
      </w:r>
      <w:r>
        <w:rPr>
          <w:rFonts w:ascii="Times New Roman" w:eastAsia="宋体" w:hAnsi="Times New Roman" w:cs="Times New Roman"/>
          <w:bCs/>
          <w:color w:val="000000" w:themeColor="text1"/>
          <w:sz w:val="24"/>
        </w:rPr>
        <w:t>根据《建筑灭火器配置设计规范》</w:t>
      </w:r>
      <w:r>
        <w:rPr>
          <w:rFonts w:ascii="Times New Roman" w:eastAsia="宋体" w:hAnsi="Times New Roman" w:cs="Times New Roman"/>
          <w:bCs/>
          <w:color w:val="000000" w:themeColor="text1"/>
          <w:sz w:val="24"/>
        </w:rPr>
        <w:t>GB50140-2005</w:t>
      </w:r>
      <w:r>
        <w:rPr>
          <w:rFonts w:ascii="Times New Roman" w:eastAsia="宋体" w:hAnsi="Times New Roman" w:cs="Times New Roman"/>
          <w:bCs/>
          <w:color w:val="000000" w:themeColor="text1"/>
          <w:sz w:val="24"/>
        </w:rPr>
        <w:t>的要求，在原有消防器材和设施的基础上，按照规范增设消防设施，设置推车式抗溶性泡沫灭火器以及冷却喷淋设施。</w:t>
      </w:r>
    </w:p>
    <w:p w:rsidR="00C861DA" w:rsidRDefault="0044752E">
      <w:pPr>
        <w:spacing w:line="360" w:lineRule="auto"/>
        <w:ind w:firstLineChars="200" w:firstLine="480"/>
        <w:jc w:val="both"/>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fldChar w:fldCharType="begin"/>
      </w:r>
      <w:r>
        <w:rPr>
          <w:rFonts w:ascii="Times New Roman" w:eastAsia="宋体" w:hAnsi="Times New Roman" w:cs="Times New Roman"/>
          <w:bCs/>
          <w:color w:val="000000" w:themeColor="text1"/>
          <w:sz w:val="24"/>
        </w:rPr>
        <w:instrText xml:space="preserve"> = 2 \* GB3 </w:instrText>
      </w:r>
      <w:r>
        <w:rPr>
          <w:rFonts w:ascii="Times New Roman" w:eastAsia="宋体" w:hAnsi="Times New Roman" w:cs="Times New Roman"/>
          <w:bCs/>
          <w:color w:val="000000" w:themeColor="text1"/>
          <w:sz w:val="24"/>
        </w:rPr>
        <w:fldChar w:fldCharType="separate"/>
      </w:r>
      <w:r>
        <w:rPr>
          <w:rFonts w:ascii="宋体" w:eastAsia="宋体" w:hAnsi="宋体" w:cs="宋体" w:hint="eastAsia"/>
          <w:bCs/>
          <w:color w:val="000000" w:themeColor="text1"/>
          <w:sz w:val="24"/>
        </w:rPr>
        <w:t>②</w:t>
      </w:r>
      <w:r>
        <w:rPr>
          <w:rFonts w:ascii="Times New Roman" w:eastAsia="宋体" w:hAnsi="Times New Roman" w:cs="Times New Roman"/>
          <w:bCs/>
          <w:color w:val="000000" w:themeColor="text1"/>
          <w:sz w:val="24"/>
        </w:rPr>
        <w:fldChar w:fldCharType="end"/>
      </w:r>
      <w:r>
        <w:rPr>
          <w:rFonts w:ascii="Times New Roman" w:eastAsia="宋体" w:hAnsi="Times New Roman" w:cs="Times New Roman"/>
          <w:bCs/>
          <w:color w:val="000000" w:themeColor="text1"/>
          <w:sz w:val="24"/>
        </w:rPr>
        <w:t>氨属于</w:t>
      </w:r>
      <w:r>
        <w:rPr>
          <w:rFonts w:ascii="Times New Roman" w:eastAsia="宋体" w:hAnsi="Times New Roman" w:cs="Times New Roman"/>
          <w:bCs/>
          <w:color w:val="000000" w:themeColor="text1"/>
          <w:sz w:val="24"/>
        </w:rPr>
        <w:t>C</w:t>
      </w:r>
      <w:r>
        <w:rPr>
          <w:rFonts w:ascii="Times New Roman" w:eastAsia="宋体" w:hAnsi="Times New Roman" w:cs="Times New Roman"/>
          <w:bCs/>
          <w:color w:val="000000" w:themeColor="text1"/>
          <w:sz w:val="24"/>
        </w:rPr>
        <w:t>类火灾，应依据《建筑灭火器配置设计规范》（</w:t>
      </w:r>
      <w:r>
        <w:rPr>
          <w:rFonts w:ascii="Times New Roman" w:eastAsia="宋体" w:hAnsi="Times New Roman" w:cs="Times New Roman"/>
          <w:bCs/>
          <w:color w:val="000000" w:themeColor="text1"/>
          <w:sz w:val="24"/>
        </w:rPr>
        <w:t>GB50140-2005</w:t>
      </w:r>
      <w:r>
        <w:rPr>
          <w:rFonts w:ascii="Times New Roman" w:eastAsia="宋体" w:hAnsi="Times New Roman" w:cs="Times New Roman"/>
          <w:bCs/>
          <w:color w:val="000000" w:themeColor="text1"/>
          <w:sz w:val="24"/>
        </w:rPr>
        <w:t>）的有关要求，配置移动式灭火器。消防器材应摆放在明显和便于取用的地方，加强对消防器材的日常维护、保养，确保其处于正常使用状态，现场须设有报警装置，一旦发生液氨泄露，紧急报警，当班调度接警后，立即按照应急预案安排相关人员启动消防喷淋装置、泄露点堵漏</w:t>
      </w:r>
      <w:r>
        <w:rPr>
          <w:rFonts w:ascii="Times New Roman" w:eastAsia="宋体" w:hAnsi="Times New Roman" w:cs="Times New Roman"/>
          <w:bCs/>
          <w:color w:val="000000" w:themeColor="text1"/>
          <w:sz w:val="24"/>
        </w:rPr>
        <w:t>工作和人群疏散工作；</w:t>
      </w:r>
    </w:p>
    <w:p w:rsidR="00C861DA" w:rsidRDefault="0044752E">
      <w:pPr>
        <w:spacing w:line="360" w:lineRule="auto"/>
        <w:ind w:firstLineChars="200" w:firstLine="480"/>
        <w:jc w:val="both"/>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fldChar w:fldCharType="begin"/>
      </w:r>
      <w:r>
        <w:rPr>
          <w:rFonts w:ascii="Times New Roman" w:eastAsia="宋体" w:hAnsi="Times New Roman" w:cs="Times New Roman"/>
          <w:bCs/>
          <w:color w:val="000000" w:themeColor="text1"/>
          <w:sz w:val="24"/>
        </w:rPr>
        <w:instrText xml:space="preserve"> = 3 \* GB3 </w:instrText>
      </w:r>
      <w:r>
        <w:rPr>
          <w:rFonts w:ascii="Times New Roman" w:eastAsia="宋体" w:hAnsi="Times New Roman" w:cs="Times New Roman"/>
          <w:bCs/>
          <w:color w:val="000000" w:themeColor="text1"/>
          <w:sz w:val="24"/>
        </w:rPr>
        <w:fldChar w:fldCharType="separate"/>
      </w:r>
      <w:r>
        <w:rPr>
          <w:rFonts w:ascii="宋体" w:eastAsia="宋体" w:hAnsi="宋体" w:cs="宋体" w:hint="eastAsia"/>
          <w:bCs/>
          <w:color w:val="000000" w:themeColor="text1"/>
          <w:sz w:val="24"/>
        </w:rPr>
        <w:t>③</w:t>
      </w:r>
      <w:r>
        <w:rPr>
          <w:rFonts w:ascii="Times New Roman" w:eastAsia="宋体" w:hAnsi="Times New Roman" w:cs="Times New Roman"/>
          <w:bCs/>
          <w:color w:val="000000" w:themeColor="text1"/>
          <w:sz w:val="24"/>
        </w:rPr>
        <w:fldChar w:fldCharType="end"/>
      </w:r>
      <w:r>
        <w:rPr>
          <w:rFonts w:ascii="Times New Roman" w:eastAsia="宋体" w:hAnsi="Times New Roman" w:cs="Times New Roman"/>
          <w:bCs/>
          <w:color w:val="000000" w:themeColor="text1"/>
          <w:sz w:val="24"/>
        </w:rPr>
        <w:t>消防设施应严格按消防专篇要求进行建设，并应经消防部门验收，出具消防验收意见书后方准投入使用。防雷防静电设施、设备应严格按设计要求进行建设，并应经防雷中心检测合格后方准投入使用。</w:t>
      </w:r>
    </w:p>
    <w:p w:rsidR="00C861DA" w:rsidRDefault="0044752E">
      <w:pPr>
        <w:spacing w:line="360" w:lineRule="auto"/>
        <w:ind w:firstLineChars="200" w:firstLine="482"/>
        <w:jc w:val="both"/>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w:t>
      </w:r>
      <w:r>
        <w:rPr>
          <w:rFonts w:ascii="Times New Roman" w:eastAsia="宋体" w:hAnsi="Times New Roman" w:cs="Times New Roman" w:hint="eastAsia"/>
          <w:b/>
          <w:color w:val="000000" w:themeColor="text1"/>
          <w:sz w:val="24"/>
        </w:rPr>
        <w:t>2</w:t>
      </w:r>
      <w:r>
        <w:rPr>
          <w:rFonts w:ascii="Times New Roman" w:eastAsia="宋体" w:hAnsi="Times New Roman" w:cs="Times New Roman" w:hint="eastAsia"/>
          <w:b/>
          <w:color w:val="000000" w:themeColor="text1"/>
          <w:sz w:val="24"/>
        </w:rPr>
        <w:t>）</w:t>
      </w:r>
      <w:r>
        <w:rPr>
          <w:rFonts w:ascii="Times New Roman" w:eastAsia="宋体" w:hAnsi="Times New Roman" w:cs="Times New Roman"/>
          <w:b/>
          <w:color w:val="000000" w:themeColor="text1"/>
          <w:sz w:val="24"/>
        </w:rPr>
        <w:t>液氨输送防范措施</w:t>
      </w:r>
    </w:p>
    <w:p w:rsidR="00C861DA" w:rsidRDefault="0044752E">
      <w:pPr>
        <w:spacing w:line="360" w:lineRule="auto"/>
        <w:ind w:firstLineChars="200" w:firstLine="480"/>
        <w:jc w:val="both"/>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fldChar w:fldCharType="begin"/>
      </w:r>
      <w:r>
        <w:rPr>
          <w:rFonts w:ascii="Times New Roman" w:eastAsia="宋体" w:hAnsi="Times New Roman" w:cs="Times New Roman"/>
          <w:bCs/>
          <w:color w:val="000000" w:themeColor="text1"/>
          <w:sz w:val="24"/>
        </w:rPr>
        <w:instrText xml:space="preserve"> = 1 \* GB3 </w:instrText>
      </w:r>
      <w:r>
        <w:rPr>
          <w:rFonts w:ascii="Times New Roman" w:eastAsia="宋体" w:hAnsi="Times New Roman" w:cs="Times New Roman"/>
          <w:bCs/>
          <w:color w:val="000000" w:themeColor="text1"/>
          <w:sz w:val="24"/>
        </w:rPr>
        <w:fldChar w:fldCharType="separate"/>
      </w:r>
      <w:r>
        <w:rPr>
          <w:rFonts w:ascii="宋体" w:eastAsia="宋体" w:hAnsi="宋体" w:cs="宋体" w:hint="eastAsia"/>
          <w:bCs/>
          <w:color w:val="000000" w:themeColor="text1"/>
          <w:sz w:val="24"/>
        </w:rPr>
        <w:t>①</w:t>
      </w:r>
      <w:r>
        <w:rPr>
          <w:rFonts w:ascii="Times New Roman" w:eastAsia="宋体" w:hAnsi="Times New Roman" w:cs="Times New Roman"/>
          <w:bCs/>
          <w:color w:val="000000" w:themeColor="text1"/>
          <w:sz w:val="24"/>
        </w:rPr>
        <w:fldChar w:fldCharType="end"/>
      </w:r>
      <w:r>
        <w:rPr>
          <w:rFonts w:ascii="Times New Roman" w:eastAsia="宋体" w:hAnsi="Times New Roman" w:cs="Times New Roman"/>
          <w:bCs/>
          <w:color w:val="000000" w:themeColor="text1"/>
          <w:sz w:val="24"/>
        </w:rPr>
        <w:t>输送液氨管道的具体走向和敷设方案将按国家相关安全法规和标准规范的相关要求进行设计和实施。</w:t>
      </w:r>
    </w:p>
    <w:p w:rsidR="00C861DA" w:rsidRDefault="0044752E">
      <w:pPr>
        <w:spacing w:line="360" w:lineRule="auto"/>
        <w:ind w:firstLineChars="200" w:firstLine="480"/>
        <w:jc w:val="both"/>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fldChar w:fldCharType="begin"/>
      </w:r>
      <w:r>
        <w:rPr>
          <w:rFonts w:ascii="Times New Roman" w:eastAsia="宋体" w:hAnsi="Times New Roman" w:cs="Times New Roman"/>
          <w:bCs/>
          <w:color w:val="000000" w:themeColor="text1"/>
          <w:sz w:val="24"/>
        </w:rPr>
        <w:instrText xml:space="preserve"> = 2 \* GB3 </w:instrText>
      </w:r>
      <w:r>
        <w:rPr>
          <w:rFonts w:ascii="Times New Roman" w:eastAsia="宋体" w:hAnsi="Times New Roman" w:cs="Times New Roman"/>
          <w:bCs/>
          <w:color w:val="000000" w:themeColor="text1"/>
          <w:sz w:val="24"/>
        </w:rPr>
        <w:fldChar w:fldCharType="separate"/>
      </w:r>
      <w:r>
        <w:rPr>
          <w:rFonts w:ascii="宋体" w:eastAsia="宋体" w:hAnsi="宋体" w:cs="宋体" w:hint="eastAsia"/>
          <w:bCs/>
          <w:color w:val="000000" w:themeColor="text1"/>
          <w:sz w:val="24"/>
        </w:rPr>
        <w:t>②</w:t>
      </w:r>
      <w:r>
        <w:rPr>
          <w:rFonts w:ascii="Times New Roman" w:eastAsia="宋体" w:hAnsi="Times New Roman" w:cs="Times New Roman"/>
          <w:bCs/>
          <w:color w:val="000000" w:themeColor="text1"/>
          <w:sz w:val="24"/>
        </w:rPr>
        <w:fldChar w:fldCharType="end"/>
      </w:r>
      <w:r>
        <w:rPr>
          <w:rFonts w:ascii="Times New Roman" w:eastAsia="宋体" w:hAnsi="Times New Roman" w:cs="Times New Roman"/>
          <w:bCs/>
          <w:color w:val="000000" w:themeColor="text1"/>
          <w:sz w:val="24"/>
        </w:rPr>
        <w:t>输送管道的设计严格按照《压力管道安全技术监察规程》</w:t>
      </w:r>
      <w:r>
        <w:rPr>
          <w:rFonts w:ascii="Times New Roman" w:eastAsia="宋体" w:hAnsi="Times New Roman" w:cs="Times New Roman"/>
          <w:bCs/>
          <w:color w:val="000000" w:themeColor="text1"/>
          <w:sz w:val="24"/>
        </w:rPr>
        <w:t>TSGD0001-2009</w:t>
      </w:r>
      <w:r>
        <w:rPr>
          <w:rFonts w:ascii="Times New Roman" w:eastAsia="宋体" w:hAnsi="Times New Roman" w:cs="Times New Roman"/>
          <w:bCs/>
          <w:color w:val="000000" w:themeColor="text1"/>
          <w:sz w:val="24"/>
        </w:rPr>
        <w:t>的要求进行。</w:t>
      </w:r>
    </w:p>
    <w:p w:rsidR="00C861DA" w:rsidRDefault="0044752E">
      <w:pPr>
        <w:spacing w:line="360" w:lineRule="auto"/>
        <w:ind w:firstLineChars="200" w:firstLine="480"/>
        <w:jc w:val="both"/>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fldChar w:fldCharType="begin"/>
      </w:r>
      <w:r>
        <w:rPr>
          <w:rFonts w:ascii="Times New Roman" w:eastAsia="宋体" w:hAnsi="Times New Roman" w:cs="Times New Roman"/>
          <w:bCs/>
          <w:color w:val="000000" w:themeColor="text1"/>
          <w:sz w:val="24"/>
        </w:rPr>
        <w:instrText xml:space="preserve"> = 3 \* GB3 </w:instrText>
      </w:r>
      <w:r>
        <w:rPr>
          <w:rFonts w:ascii="Times New Roman" w:eastAsia="宋体" w:hAnsi="Times New Roman" w:cs="Times New Roman"/>
          <w:bCs/>
          <w:color w:val="000000" w:themeColor="text1"/>
          <w:sz w:val="24"/>
        </w:rPr>
        <w:fldChar w:fldCharType="separate"/>
      </w:r>
      <w:r>
        <w:rPr>
          <w:rFonts w:ascii="宋体" w:eastAsia="宋体" w:hAnsi="宋体" w:cs="宋体" w:hint="eastAsia"/>
          <w:bCs/>
          <w:color w:val="000000" w:themeColor="text1"/>
          <w:sz w:val="24"/>
        </w:rPr>
        <w:t>③</w:t>
      </w:r>
      <w:r>
        <w:rPr>
          <w:rFonts w:ascii="Times New Roman" w:eastAsia="宋体" w:hAnsi="Times New Roman" w:cs="Times New Roman"/>
          <w:bCs/>
          <w:color w:val="000000" w:themeColor="text1"/>
          <w:sz w:val="24"/>
        </w:rPr>
        <w:fldChar w:fldCharType="end"/>
      </w:r>
      <w:r>
        <w:rPr>
          <w:rFonts w:ascii="Times New Roman" w:eastAsia="宋体" w:hAnsi="Times New Roman" w:cs="Times New Roman"/>
          <w:bCs/>
          <w:color w:val="000000" w:themeColor="text1"/>
          <w:sz w:val="24"/>
        </w:rPr>
        <w:t>做好输送管道、阀门和连接线的运营维护。</w:t>
      </w:r>
    </w:p>
    <w:p w:rsidR="00C861DA" w:rsidRDefault="0044752E">
      <w:pPr>
        <w:pStyle w:val="32"/>
        <w:rPr>
          <w:rFonts w:ascii="Times New Roman" w:eastAsia="宋体"/>
          <w:bCs w:val="0"/>
          <w:color w:val="000000" w:themeColor="text1"/>
          <w:sz w:val="24"/>
          <w:szCs w:val="24"/>
        </w:rPr>
      </w:pPr>
      <w:bookmarkStart w:id="568" w:name="_Toc6826890"/>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.5.2</w:t>
      </w:r>
      <w:r>
        <w:rPr>
          <w:rFonts w:ascii="Times New Roman" w:eastAsia="宋体"/>
          <w:bCs w:val="0"/>
          <w:color w:val="000000" w:themeColor="text1"/>
          <w:sz w:val="24"/>
          <w:szCs w:val="24"/>
        </w:rPr>
        <w:t>落实安全生产</w:t>
      </w:r>
      <w:r>
        <w:rPr>
          <w:rFonts w:ascii="Times New Roman" w:eastAsia="宋体"/>
          <w:bCs w:val="0"/>
          <w:color w:val="000000" w:themeColor="text1"/>
          <w:sz w:val="24"/>
          <w:szCs w:val="24"/>
        </w:rPr>
        <w:t>“</w:t>
      </w:r>
      <w:r>
        <w:rPr>
          <w:rFonts w:ascii="Times New Roman" w:eastAsia="宋体"/>
          <w:bCs w:val="0"/>
          <w:color w:val="000000" w:themeColor="text1"/>
          <w:sz w:val="24"/>
          <w:szCs w:val="24"/>
        </w:rPr>
        <w:t>三同时</w:t>
      </w:r>
      <w:r>
        <w:rPr>
          <w:rFonts w:ascii="Times New Roman" w:eastAsia="宋体"/>
          <w:bCs w:val="0"/>
          <w:color w:val="000000" w:themeColor="text1"/>
          <w:sz w:val="24"/>
          <w:szCs w:val="24"/>
        </w:rPr>
        <w:t>”</w:t>
      </w:r>
      <w:bookmarkEnd w:id="568"/>
      <w:r>
        <w:rPr>
          <w:rFonts w:ascii="Times New Roman" w:eastAsia="宋体"/>
          <w:bCs w:val="0"/>
          <w:color w:val="000000" w:themeColor="text1"/>
          <w:sz w:val="24"/>
          <w:szCs w:val="24"/>
        </w:rPr>
        <w:t xml:space="preserve"> </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安全生产是防范风险发生最有效的防范手段，项目建设单位应将本项目</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安全预评价报告</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中提出的保障安全生产的技术措施及管理措施落实在项目的建设中，并要求与主体工程同时设计、同时施工、同时投产使用。</w:t>
      </w:r>
      <w:r>
        <w:rPr>
          <w:rFonts w:ascii="Times New Roman" w:eastAsia="宋体" w:hAnsi="Times New Roman" w:cs="Times New Roman"/>
          <w:color w:val="000000" w:themeColor="text1"/>
          <w:sz w:val="24"/>
        </w:rPr>
        <w:t xml:space="preserve"> </w:t>
      </w:r>
    </w:p>
    <w:p w:rsidR="00C861DA" w:rsidRDefault="0044752E">
      <w:pPr>
        <w:pStyle w:val="22"/>
        <w:rPr>
          <w:rFonts w:ascii="Times New Roman" w:eastAsia="宋体" w:hAnsi="Times New Roman"/>
          <w:bCs w:val="0"/>
          <w:color w:val="000000" w:themeColor="text1"/>
          <w:sz w:val="28"/>
          <w:szCs w:val="28"/>
        </w:rPr>
      </w:pPr>
      <w:bookmarkStart w:id="569" w:name="_Toc6826891"/>
      <w:r>
        <w:rPr>
          <w:rFonts w:ascii="Times New Roman" w:eastAsia="宋体" w:hAnsi="Times New Roman" w:hint="eastAsia"/>
          <w:bCs w:val="0"/>
          <w:color w:val="000000" w:themeColor="text1"/>
          <w:sz w:val="28"/>
          <w:szCs w:val="28"/>
        </w:rPr>
        <w:t>8</w:t>
      </w:r>
      <w:r>
        <w:rPr>
          <w:rFonts w:ascii="Times New Roman" w:eastAsia="宋体" w:hAnsi="Times New Roman"/>
          <w:bCs w:val="0"/>
          <w:color w:val="000000" w:themeColor="text1"/>
          <w:sz w:val="28"/>
          <w:szCs w:val="28"/>
        </w:rPr>
        <w:t>.6</w:t>
      </w:r>
      <w:r>
        <w:rPr>
          <w:rFonts w:ascii="Times New Roman" w:eastAsia="宋体" w:hAnsi="Times New Roman"/>
          <w:bCs w:val="0"/>
          <w:color w:val="000000" w:themeColor="text1"/>
          <w:sz w:val="28"/>
          <w:szCs w:val="28"/>
        </w:rPr>
        <w:t>应急预案</w:t>
      </w:r>
      <w:bookmarkEnd w:id="569"/>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根据《中华人民共和国环境保护法》、《中华人民共和国水污染防治法》、《中华人民共和国大气污染防治法》、《中华人民共和国突发事件应对法》、《突发环境事件应急预案管理暂行办法》的相关规定，结合建设单位的实际情况，制定突发时间环境风险应急预案，应急预案必须与地方政府突发环境应急预案有效对接及联动。当发生环境风险事故时，按应急预案要求，认真落实各项事故应急措施，做到责任到位、落实到人、常备不懈。</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参照《建设项目环境风险评价技术导则》（</w:t>
      </w:r>
      <w:r>
        <w:rPr>
          <w:rFonts w:ascii="Times New Roman" w:eastAsia="宋体" w:hAnsi="Times New Roman" w:cs="Times New Roman"/>
          <w:color w:val="000000" w:themeColor="text1"/>
          <w:sz w:val="24"/>
          <w:szCs w:val="24"/>
        </w:rPr>
        <w:t>HJ/T69-2018</w:t>
      </w:r>
      <w:r>
        <w:rPr>
          <w:rFonts w:ascii="Times New Roman" w:eastAsia="宋体" w:hAnsi="Times New Roman" w:cs="Times New Roman"/>
          <w:color w:val="000000" w:themeColor="text1"/>
          <w:sz w:val="24"/>
          <w:szCs w:val="24"/>
        </w:rPr>
        <w:t>）的要求，应急预案的内容见表</w:t>
      </w:r>
      <w:r>
        <w:rPr>
          <w:rFonts w:ascii="Times New Roman" w:eastAsia="宋体" w:hAnsi="Times New Roman" w:cs="Times New Roman"/>
          <w:color w:val="000000" w:themeColor="text1"/>
          <w:sz w:val="24"/>
          <w:szCs w:val="24"/>
        </w:rPr>
        <w:t>8.1-12</w:t>
      </w:r>
      <w:r>
        <w:rPr>
          <w:rFonts w:ascii="Times New Roman" w:eastAsia="宋体" w:hAnsi="Times New Roman" w:cs="Times New Roman"/>
          <w:color w:val="000000" w:themeColor="text1"/>
          <w:sz w:val="24"/>
          <w:szCs w:val="24"/>
        </w:rPr>
        <w:t>。</w:t>
      </w:r>
    </w:p>
    <w:p w:rsidR="00C861DA" w:rsidRDefault="0044752E">
      <w:pPr>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 xml:space="preserve">8.1-12  </w:t>
      </w:r>
      <w:r>
        <w:rPr>
          <w:rFonts w:ascii="Times New Roman" w:eastAsia="宋体" w:hAnsi="Times New Roman" w:cs="Times New Roman"/>
          <w:b/>
          <w:color w:val="000000" w:themeColor="text1"/>
          <w:sz w:val="24"/>
          <w:szCs w:val="24"/>
        </w:rPr>
        <w:t>应急预案内容</w:t>
      </w:r>
    </w:p>
    <w:tbl>
      <w:tblPr>
        <w:tblW w:w="829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29"/>
        <w:gridCol w:w="2557"/>
        <w:gridCol w:w="4910"/>
      </w:tblGrid>
      <w:tr w:rsidR="00C861DA">
        <w:trPr>
          <w:trHeight w:val="369"/>
          <w:jc w:val="cent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序号</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项</w:t>
            </w:r>
            <w:r>
              <w:rPr>
                <w:rFonts w:ascii="Times New Roman" w:eastAsia="宋体" w:hAnsi="Times New Roman" w:cs="Times New Roman"/>
                <w:b/>
                <w:color w:val="000000" w:themeColor="text1"/>
                <w:szCs w:val="24"/>
              </w:rPr>
              <w:t xml:space="preserve">    </w:t>
            </w:r>
            <w:r>
              <w:rPr>
                <w:rFonts w:ascii="Times New Roman" w:eastAsia="宋体" w:hAnsi="Times New Roman" w:cs="Times New Roman"/>
                <w:b/>
                <w:color w:val="000000" w:themeColor="text1"/>
                <w:szCs w:val="24"/>
              </w:rPr>
              <w:t>目</w:t>
            </w: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b/>
                <w:color w:val="000000" w:themeColor="text1"/>
                <w:szCs w:val="24"/>
              </w:rPr>
            </w:pPr>
            <w:r>
              <w:rPr>
                <w:rFonts w:ascii="Times New Roman" w:eastAsia="宋体" w:hAnsi="Times New Roman" w:cs="Times New Roman"/>
                <w:b/>
                <w:color w:val="000000" w:themeColor="text1"/>
                <w:szCs w:val="24"/>
              </w:rPr>
              <w:t>内</w:t>
            </w:r>
            <w:r>
              <w:rPr>
                <w:rFonts w:ascii="Times New Roman" w:eastAsia="宋体" w:hAnsi="Times New Roman" w:cs="Times New Roman"/>
                <w:b/>
                <w:color w:val="000000" w:themeColor="text1"/>
                <w:szCs w:val="24"/>
              </w:rPr>
              <w:t xml:space="preserve">    </w:t>
            </w:r>
            <w:r>
              <w:rPr>
                <w:rFonts w:ascii="Times New Roman" w:eastAsia="宋体" w:hAnsi="Times New Roman" w:cs="Times New Roman"/>
                <w:b/>
                <w:color w:val="000000" w:themeColor="text1"/>
                <w:szCs w:val="24"/>
              </w:rPr>
              <w:t>容</w:t>
            </w:r>
            <w:r>
              <w:rPr>
                <w:rFonts w:ascii="Times New Roman" w:eastAsia="宋体" w:hAnsi="Times New Roman" w:cs="Times New Roman"/>
                <w:b/>
                <w:color w:val="000000" w:themeColor="text1"/>
                <w:szCs w:val="24"/>
              </w:rPr>
              <w:t xml:space="preserve">    </w:t>
            </w:r>
            <w:r>
              <w:rPr>
                <w:rFonts w:ascii="Times New Roman" w:eastAsia="宋体" w:hAnsi="Times New Roman" w:cs="Times New Roman"/>
                <w:b/>
                <w:color w:val="000000" w:themeColor="text1"/>
                <w:szCs w:val="24"/>
              </w:rPr>
              <w:t>及</w:t>
            </w:r>
            <w:r>
              <w:rPr>
                <w:rFonts w:ascii="Times New Roman" w:eastAsia="宋体" w:hAnsi="Times New Roman" w:cs="Times New Roman"/>
                <w:b/>
                <w:color w:val="000000" w:themeColor="text1"/>
                <w:szCs w:val="24"/>
              </w:rPr>
              <w:t xml:space="preserve">    </w:t>
            </w:r>
            <w:r>
              <w:rPr>
                <w:rFonts w:ascii="Times New Roman" w:eastAsia="宋体" w:hAnsi="Times New Roman" w:cs="Times New Roman"/>
                <w:b/>
                <w:color w:val="000000" w:themeColor="text1"/>
                <w:szCs w:val="24"/>
              </w:rPr>
              <w:t>要</w:t>
            </w:r>
            <w:r>
              <w:rPr>
                <w:rFonts w:ascii="Times New Roman" w:eastAsia="宋体" w:hAnsi="Times New Roman" w:cs="Times New Roman"/>
                <w:b/>
                <w:color w:val="000000" w:themeColor="text1"/>
                <w:szCs w:val="24"/>
              </w:rPr>
              <w:t xml:space="preserve">    </w:t>
            </w:r>
            <w:r>
              <w:rPr>
                <w:rFonts w:ascii="Times New Roman" w:eastAsia="宋体" w:hAnsi="Times New Roman" w:cs="Times New Roman"/>
                <w:b/>
                <w:color w:val="000000" w:themeColor="text1"/>
                <w:szCs w:val="24"/>
              </w:rPr>
              <w:t>求</w:t>
            </w:r>
          </w:p>
        </w:tc>
      </w:tr>
      <w:tr w:rsidR="00C861DA">
        <w:trPr>
          <w:trHeight w:val="369"/>
          <w:jc w:val="cent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1</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应急计划区</w:t>
            </w: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危险目标：装置区、环境保护目标</w:t>
            </w:r>
          </w:p>
        </w:tc>
      </w:tr>
      <w:tr w:rsidR="00C861DA">
        <w:trPr>
          <w:trHeight w:val="369"/>
          <w:jc w:val="cent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2</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应急组织机构、人员</w:t>
            </w: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工厂、地区应急组织机构、人员</w:t>
            </w:r>
          </w:p>
        </w:tc>
      </w:tr>
      <w:tr w:rsidR="00C861DA">
        <w:trPr>
          <w:trHeight w:val="369"/>
          <w:jc w:val="cent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3</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预案分级响应条件</w:t>
            </w: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规定预案的级别及分级响应程序</w:t>
            </w:r>
          </w:p>
        </w:tc>
      </w:tr>
      <w:tr w:rsidR="00C861DA">
        <w:trPr>
          <w:trHeight w:val="369"/>
          <w:jc w:val="cent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4</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应急救援保障</w:t>
            </w: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应急设施，设备与器材等</w:t>
            </w:r>
          </w:p>
        </w:tc>
      </w:tr>
      <w:tr w:rsidR="00C861DA">
        <w:trPr>
          <w:trHeight w:val="369"/>
          <w:jc w:val="cent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5</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报警、通讯联络方式</w:t>
            </w: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规定应急状态下的报警通讯方式、通知方式和交通保障、管制</w:t>
            </w:r>
          </w:p>
        </w:tc>
      </w:tr>
      <w:tr w:rsidR="00C861DA">
        <w:trPr>
          <w:trHeight w:val="369"/>
          <w:jc w:val="cent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6</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应急环境监测、抢险、救援及控制措施</w:t>
            </w: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由专业队伍负责对事故现场进行侦察监测，对事故性质、参数与后果进行评估，为指挥部门提供决策依据</w:t>
            </w:r>
          </w:p>
        </w:tc>
      </w:tr>
      <w:tr w:rsidR="00C861DA">
        <w:trPr>
          <w:trHeight w:val="369"/>
          <w:jc w:val="cent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7</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应急检测、防护措施、清除泄漏措施和器材</w:t>
            </w: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事故现场、邻近区域、控制防火区域，控制和清除污染措施及相应设备</w:t>
            </w:r>
          </w:p>
        </w:tc>
      </w:tr>
      <w:tr w:rsidR="00C861DA">
        <w:trPr>
          <w:trHeight w:val="369"/>
          <w:jc w:val="cent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8</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人员紧急撤离、疏散，应急剂量控制、撤离组织计划</w:t>
            </w: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事故现场、工厂邻近区、受事故影响的区域人员及公众对毒物应急剂量控制规定，撤离组织计划及救护，医疗救护与公众健康</w:t>
            </w:r>
          </w:p>
        </w:tc>
      </w:tr>
      <w:tr w:rsidR="00C861DA">
        <w:trPr>
          <w:trHeight w:val="369"/>
          <w:jc w:val="cent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9</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事故应急救援关闭程序与恢复措施</w:t>
            </w: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规定应急状态终止程序事故现场善后处理，恢复措施邻近区域解除事故警戒及善后恢复措施</w:t>
            </w:r>
          </w:p>
        </w:tc>
      </w:tr>
      <w:tr w:rsidR="00C861DA">
        <w:trPr>
          <w:trHeight w:val="369"/>
          <w:jc w:val="cent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10</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应急培训计划</w:t>
            </w: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应急计划制定后，平时安排人员培训与演练</w:t>
            </w:r>
          </w:p>
        </w:tc>
      </w:tr>
      <w:tr w:rsidR="00C861DA">
        <w:trPr>
          <w:trHeight w:val="369"/>
          <w:jc w:val="cent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11</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公众教育和信息</w:t>
            </w:r>
          </w:p>
        </w:tc>
        <w:tc>
          <w:tcPr>
            <w:tcW w:w="4910" w:type="dxa"/>
            <w:tcBorders>
              <w:top w:val="single" w:sz="4" w:space="0" w:color="auto"/>
              <w:left w:val="single" w:sz="4" w:space="0" w:color="auto"/>
              <w:bottom w:val="single" w:sz="4" w:space="0" w:color="auto"/>
              <w:right w:val="single" w:sz="4" w:space="0" w:color="auto"/>
            </w:tcBorders>
            <w:shd w:val="clear" w:color="auto" w:fill="auto"/>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对工厂邻近地区开展公众教育、培训和发布有关信息</w:t>
            </w:r>
          </w:p>
        </w:tc>
      </w:tr>
    </w:tbl>
    <w:p w:rsidR="00C861DA" w:rsidRDefault="0044752E">
      <w:pPr>
        <w:pStyle w:val="32"/>
        <w:rPr>
          <w:rFonts w:ascii="Times New Roman" w:eastAsia="宋体"/>
          <w:bCs w:val="0"/>
          <w:color w:val="000000" w:themeColor="text1"/>
          <w:sz w:val="24"/>
          <w:szCs w:val="24"/>
        </w:rPr>
      </w:pPr>
      <w:bookmarkStart w:id="570" w:name="_Toc6826892"/>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.6.1</w:t>
      </w:r>
      <w:r>
        <w:rPr>
          <w:rFonts w:ascii="Times New Roman" w:eastAsia="宋体"/>
          <w:bCs w:val="0"/>
          <w:color w:val="000000" w:themeColor="text1"/>
          <w:sz w:val="24"/>
          <w:szCs w:val="24"/>
        </w:rPr>
        <w:t>应急计划区</w:t>
      </w:r>
      <w:bookmarkEnd w:id="570"/>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根据本项目使用、储存危险化学品状况，将应急计划区划分为</w:t>
      </w:r>
      <w:r>
        <w:rPr>
          <w:rFonts w:ascii="Times New Roman" w:eastAsia="宋体" w:hAnsi="Times New Roman" w:cs="Times New Roman" w:hint="eastAsia"/>
          <w:color w:val="000000" w:themeColor="text1"/>
          <w:sz w:val="24"/>
          <w:szCs w:val="24"/>
        </w:rPr>
        <w:t>项目</w:t>
      </w:r>
      <w:r>
        <w:rPr>
          <w:rFonts w:ascii="Times New Roman" w:eastAsia="宋体" w:hAnsi="Times New Roman" w:cs="Times New Roman"/>
          <w:color w:val="000000" w:themeColor="text1"/>
          <w:sz w:val="24"/>
          <w:szCs w:val="24"/>
        </w:rPr>
        <w:t>区和环境敏感区。</w:t>
      </w:r>
      <w:r>
        <w:rPr>
          <w:rFonts w:ascii="Times New Roman" w:eastAsia="宋体" w:hAnsi="Times New Roman" w:cs="Times New Roman" w:hint="eastAsia"/>
          <w:color w:val="000000" w:themeColor="text1"/>
          <w:sz w:val="24"/>
          <w:szCs w:val="24"/>
        </w:rPr>
        <w:t>项目区</w:t>
      </w:r>
      <w:r>
        <w:rPr>
          <w:rFonts w:ascii="Times New Roman" w:eastAsia="宋体" w:hAnsi="Times New Roman" w:cs="Times New Roman"/>
          <w:color w:val="000000" w:themeColor="text1"/>
          <w:sz w:val="24"/>
          <w:szCs w:val="24"/>
        </w:rPr>
        <w:t>区包括</w:t>
      </w:r>
      <w:r>
        <w:rPr>
          <w:rFonts w:ascii="Times New Roman" w:eastAsia="宋体" w:hAnsi="Times New Roman" w:cs="Times New Roman" w:hint="eastAsia"/>
          <w:color w:val="000000" w:themeColor="text1"/>
          <w:sz w:val="24"/>
          <w:szCs w:val="24"/>
        </w:rPr>
        <w:t>厂内各生产设施</w:t>
      </w:r>
      <w:r>
        <w:rPr>
          <w:rFonts w:ascii="Times New Roman" w:eastAsia="宋体" w:hAnsi="Times New Roman" w:cs="Times New Roman"/>
          <w:color w:val="000000" w:themeColor="text1"/>
          <w:sz w:val="24"/>
          <w:szCs w:val="24"/>
        </w:rPr>
        <w:t>；环境敏感区主要是环境风险评价范围内的各环境保护目标。应急计划区及主要防范对象见表</w:t>
      </w:r>
      <w:r>
        <w:rPr>
          <w:rFonts w:ascii="Times New Roman" w:eastAsia="宋体" w:hAnsi="Times New Roman" w:cs="Times New Roman"/>
          <w:color w:val="000000" w:themeColor="text1"/>
          <w:sz w:val="24"/>
          <w:szCs w:val="24"/>
        </w:rPr>
        <w:t>8.1-13</w:t>
      </w:r>
      <w:r>
        <w:rPr>
          <w:rFonts w:ascii="Times New Roman" w:eastAsia="宋体" w:hAnsi="Times New Roman" w:cs="Times New Roman"/>
          <w:color w:val="000000" w:themeColor="text1"/>
          <w:sz w:val="24"/>
          <w:szCs w:val="24"/>
        </w:rPr>
        <w:t>。</w:t>
      </w:r>
    </w:p>
    <w:p w:rsidR="00C861DA" w:rsidRDefault="0044752E">
      <w:pPr>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 xml:space="preserve">8.1-13  </w:t>
      </w:r>
      <w:r>
        <w:rPr>
          <w:rFonts w:ascii="Times New Roman" w:eastAsia="宋体" w:hAnsi="Times New Roman" w:cs="Times New Roman"/>
          <w:b/>
          <w:color w:val="000000" w:themeColor="text1"/>
          <w:sz w:val="24"/>
          <w:szCs w:val="24"/>
        </w:rPr>
        <w:t>应急计划区及防范对象</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2454"/>
        <w:gridCol w:w="3810"/>
      </w:tblGrid>
      <w:tr w:rsidR="00C861DA">
        <w:trPr>
          <w:trHeight w:val="369"/>
          <w:jc w:val="center"/>
        </w:trPr>
        <w:tc>
          <w:tcPr>
            <w:tcW w:w="2032" w:type="dxa"/>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应急计划区</w:t>
            </w:r>
          </w:p>
        </w:tc>
        <w:tc>
          <w:tcPr>
            <w:tcW w:w="2454" w:type="dxa"/>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防范对象</w:t>
            </w:r>
          </w:p>
        </w:tc>
        <w:tc>
          <w:tcPr>
            <w:tcW w:w="3810" w:type="dxa"/>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可能发生的环境风险事故</w:t>
            </w:r>
          </w:p>
        </w:tc>
      </w:tr>
      <w:tr w:rsidR="00C861DA">
        <w:trPr>
          <w:trHeight w:val="369"/>
          <w:jc w:val="center"/>
        </w:trPr>
        <w:tc>
          <w:tcPr>
            <w:tcW w:w="2032" w:type="dxa"/>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项目区</w:t>
            </w:r>
          </w:p>
        </w:tc>
        <w:tc>
          <w:tcPr>
            <w:tcW w:w="2454" w:type="dxa"/>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液氨储罐、管线、管道、阀门、装卸区</w:t>
            </w:r>
          </w:p>
        </w:tc>
        <w:tc>
          <w:tcPr>
            <w:tcW w:w="3810" w:type="dxa"/>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管道管线破损造成液氨泄漏</w:t>
            </w:r>
          </w:p>
        </w:tc>
      </w:tr>
      <w:tr w:rsidR="00C861DA">
        <w:trPr>
          <w:trHeight w:val="369"/>
          <w:jc w:val="center"/>
        </w:trPr>
        <w:tc>
          <w:tcPr>
            <w:tcW w:w="2032" w:type="dxa"/>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环境保护目标</w:t>
            </w:r>
          </w:p>
        </w:tc>
        <w:tc>
          <w:tcPr>
            <w:tcW w:w="2454" w:type="dxa"/>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关心居民点</w:t>
            </w:r>
          </w:p>
        </w:tc>
        <w:tc>
          <w:tcPr>
            <w:tcW w:w="3810" w:type="dxa"/>
            <w:vAlign w:val="center"/>
          </w:tcPr>
          <w:p w:rsidR="00C861DA" w:rsidRDefault="0044752E">
            <w:pPr>
              <w:jc w:val="center"/>
              <w:rPr>
                <w:rFonts w:ascii="Times New Roman" w:eastAsia="宋体" w:hAnsi="Times New Roman" w:cs="Times New Roman"/>
                <w:color w:val="000000" w:themeColor="text1"/>
                <w:szCs w:val="24"/>
              </w:rPr>
            </w:pPr>
            <w:r>
              <w:rPr>
                <w:rFonts w:ascii="Times New Roman" w:eastAsia="宋体" w:hAnsi="Times New Roman" w:cs="Times New Roman"/>
                <w:color w:val="000000" w:themeColor="text1"/>
                <w:szCs w:val="24"/>
              </w:rPr>
              <w:t>液氨泄漏造成的环境风险</w:t>
            </w:r>
          </w:p>
        </w:tc>
      </w:tr>
    </w:tbl>
    <w:p w:rsidR="00C861DA" w:rsidRDefault="0044752E">
      <w:pPr>
        <w:pStyle w:val="32"/>
        <w:rPr>
          <w:rFonts w:ascii="Times New Roman" w:eastAsia="宋体"/>
          <w:bCs w:val="0"/>
          <w:color w:val="000000" w:themeColor="text1"/>
          <w:sz w:val="24"/>
          <w:szCs w:val="24"/>
        </w:rPr>
      </w:pPr>
      <w:bookmarkStart w:id="571" w:name="_Toc6826893"/>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.6.2</w:t>
      </w:r>
      <w:r>
        <w:rPr>
          <w:rFonts w:ascii="Times New Roman" w:eastAsia="宋体"/>
          <w:bCs w:val="0"/>
          <w:color w:val="000000" w:themeColor="text1"/>
          <w:sz w:val="24"/>
          <w:szCs w:val="24"/>
        </w:rPr>
        <w:t>应急组织机构、人员分工及职责</w:t>
      </w:r>
      <w:bookmarkEnd w:id="571"/>
    </w:p>
    <w:p w:rsidR="00C861DA" w:rsidRDefault="0044752E">
      <w:pPr>
        <w:spacing w:line="360" w:lineRule="auto"/>
        <w:ind w:firstLineChars="200" w:firstLine="482"/>
        <w:jc w:val="both"/>
        <w:rPr>
          <w:rFonts w:ascii="Times New Roman" w:eastAsia="宋体" w:hAnsi="Times New Roman" w:cs="Times New Roman"/>
          <w:b/>
          <w:color w:val="000000" w:themeColor="text1"/>
          <w:sz w:val="24"/>
          <w:szCs w:val="24"/>
        </w:rPr>
      </w:pPr>
      <w:r>
        <w:rPr>
          <w:rFonts w:ascii="宋体" w:eastAsia="宋体" w:hAnsi="宋体" w:cs="宋体" w:hint="eastAsia"/>
          <w:b/>
          <w:color w:val="000000" w:themeColor="text1"/>
          <w:sz w:val="24"/>
          <w:szCs w:val="24"/>
        </w:rPr>
        <w:t>（</w:t>
      </w:r>
      <w:r>
        <w:rPr>
          <w:rFonts w:ascii="宋体" w:eastAsia="宋体" w:hAnsi="宋体" w:cs="宋体" w:hint="eastAsia"/>
          <w:b/>
          <w:color w:val="000000" w:themeColor="text1"/>
          <w:sz w:val="24"/>
          <w:szCs w:val="24"/>
        </w:rPr>
        <w:t>1</w:t>
      </w:r>
      <w:r>
        <w:rPr>
          <w:rFonts w:ascii="宋体" w:eastAsia="宋体" w:hAnsi="宋体" w:cs="宋体" w:hint="eastAsia"/>
          <w:b/>
          <w:color w:val="000000" w:themeColor="text1"/>
          <w:sz w:val="24"/>
          <w:szCs w:val="24"/>
        </w:rPr>
        <w:t>）</w:t>
      </w:r>
      <w:r>
        <w:rPr>
          <w:rFonts w:ascii="Times New Roman" w:eastAsia="宋体" w:hAnsi="Times New Roman" w:cs="Times New Roman"/>
          <w:b/>
          <w:color w:val="000000" w:themeColor="text1"/>
          <w:sz w:val="24"/>
          <w:szCs w:val="24"/>
        </w:rPr>
        <w:t>组织机构</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为预防和控制危险化学品风险事故，公司应成立风险事故应急组织机构，该机构包括救援指挥部和应急救援专业队伍。指挥部设在生产调度室，日常工作由生产调度室和环境安全部门协助，负责全公司应急救援工作和组织指挥。应急救援专业队伍包括通信联络队、治安队、防化应急队、消防队、抢险抢修队、医疗救护队、环保监测队和物资供应队。</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机构职责</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）指挥部职责</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发生重大危险化学品风险事故时，由指挥部发布应急救援命令、信号。</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组织指挥救援队伍实施救援行动。</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向上级汇报和向友邻单位通报事故情况，必要时向友邻单位发出救援请求。</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组织事故调查，总结应急救援工作经验教训；</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负责本单位预案的制定、修订。</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检查督促做好重大危险化学品风险事故的预防措施和应急救援的各项准备工作。</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）应急救援专业队伍职责</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各救援专业队伍是重大事故应急救援的骨干力量，其任务主要是担负本厂各类危险化学品风险事故的救援处置。</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成员组成及分工</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）指挥部成员及分工</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总指挥：组织指挥全厂的应急救援工作。</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副总指挥：协助总指挥负责应急救援的具体指挥工作。</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生产调度室：在副总指挥的领导下</w:t>
      </w:r>
      <w:r>
        <w:rPr>
          <w:rFonts w:ascii="Times New Roman" w:eastAsia="宋体" w:hAnsi="Times New Roman" w:cs="Times New Roman"/>
          <w:color w:val="000000" w:themeColor="text1"/>
          <w:sz w:val="24"/>
          <w:szCs w:val="24"/>
        </w:rPr>
        <w:t>负责事故处置时生产系统开、停车调度工作；负责事故现场通讯联络和对外联系；负责事故现场及有空物质扩散区域内的洗消、监测工作；必要时代表指挥部对外发布有关信息。</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安全、环保科：协助总指挥做好事故报警，事故信息通报及事故处置工作。</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保卫科：负责灭火、警戒、治安保卫、疏散道路管制工作；</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设备科：协助总指挥负责工程抢险、抢修的现场指挥；</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工会后勤：负责抢救受伤中毒人员的生活必需品供应；负责现场医疗救护指挥及中毒、受伤人员分类抢救和护送转院工作；</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仓库、供应（包括车队）：负责抢险救援物资的供应和运输工作。</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）救援专业</w:t>
      </w:r>
      <w:r>
        <w:rPr>
          <w:rFonts w:ascii="Times New Roman" w:eastAsia="宋体" w:hAnsi="Times New Roman" w:cs="Times New Roman"/>
          <w:color w:val="000000" w:themeColor="text1"/>
          <w:sz w:val="24"/>
          <w:szCs w:val="24"/>
        </w:rPr>
        <w:t>队伍的组成及分工</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救援专业队伍的组成及任务分工如下：</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通信联络队</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通信联络队由安全环保科、调度室、各车间主任组成，其任务是担负各队之间的联络和对外联系通信。</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治安队</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治安队由保卫处工作队员组成，负责现场治安、交通指挥、设立警戒，指导群众疏散。</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防化应急队</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防化应急队负责查明毒物性，提出补救措施，抢救伤员，指导群众疏散。</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消防队</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由装卸队配合</w:t>
      </w:r>
      <w:r>
        <w:rPr>
          <w:rFonts w:ascii="Times New Roman" w:eastAsia="宋体" w:hAnsi="Times New Roman" w:cs="Times New Roman"/>
          <w:color w:val="000000" w:themeColor="text1"/>
          <w:sz w:val="24"/>
          <w:szCs w:val="24"/>
        </w:rPr>
        <w:t>119</w:t>
      </w:r>
      <w:r>
        <w:rPr>
          <w:rFonts w:ascii="Times New Roman" w:eastAsia="宋体" w:hAnsi="Times New Roman" w:cs="Times New Roman"/>
          <w:color w:val="000000" w:themeColor="text1"/>
          <w:sz w:val="24"/>
          <w:szCs w:val="24"/>
        </w:rPr>
        <w:t>消防队，负责灭火洗消和抢救伤员任务。</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抢险抢修队</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抢险抢修队由各车间维修</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电修、仪表组成，负责抢险抢修的指挥与协调。</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医疗救护队、环保监测</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医疗救护队配合</w:t>
      </w:r>
      <w:r>
        <w:rPr>
          <w:rFonts w:ascii="Times New Roman" w:eastAsia="宋体" w:hAnsi="Times New Roman" w:cs="Times New Roman"/>
          <w:color w:val="000000" w:themeColor="text1"/>
          <w:sz w:val="24"/>
          <w:szCs w:val="24"/>
        </w:rPr>
        <w:t>120</w:t>
      </w:r>
      <w:r>
        <w:rPr>
          <w:rFonts w:ascii="Times New Roman" w:eastAsia="宋体" w:hAnsi="Times New Roman" w:cs="Times New Roman"/>
          <w:color w:val="000000" w:themeColor="text1"/>
          <w:sz w:val="24"/>
          <w:szCs w:val="24"/>
        </w:rPr>
        <w:t>急救中心，负责抢救受伤中毒人员，配合环保局工作人员对大气和水进行监测和防护。</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物资供应队</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物资供应由仓库、供应、运输组成，负责伤员生活必须品和抢救物资的供应任务。</w:t>
      </w:r>
    </w:p>
    <w:p w:rsidR="00C861DA" w:rsidRDefault="0044752E">
      <w:pPr>
        <w:pStyle w:val="32"/>
        <w:rPr>
          <w:rFonts w:ascii="Times New Roman" w:eastAsia="宋体"/>
          <w:bCs w:val="0"/>
          <w:color w:val="000000" w:themeColor="text1"/>
          <w:sz w:val="24"/>
          <w:szCs w:val="24"/>
        </w:rPr>
      </w:pPr>
      <w:bookmarkStart w:id="572" w:name="_Toc6826894"/>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.6.3</w:t>
      </w:r>
      <w:r>
        <w:rPr>
          <w:rFonts w:ascii="Times New Roman" w:eastAsia="宋体"/>
          <w:bCs w:val="0"/>
          <w:color w:val="000000" w:themeColor="text1"/>
          <w:sz w:val="24"/>
          <w:szCs w:val="24"/>
        </w:rPr>
        <w:t>预案分级响应条件</w:t>
      </w:r>
      <w:bookmarkEnd w:id="572"/>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预案级别</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参照《国家突发环境事件应急预案》，根据环境风险事件的可控性、严重程度和影响范围，应急响应级别分为特别重大（</w:t>
      </w:r>
      <w:r>
        <w:rPr>
          <w:rFonts w:ascii="宋体" w:eastAsia="宋体" w:hAnsi="宋体" w:cs="宋体" w:hint="eastAsia"/>
          <w:color w:val="000000" w:themeColor="text1"/>
          <w:sz w:val="24"/>
          <w:szCs w:val="24"/>
        </w:rPr>
        <w:t>Ⅰ</w:t>
      </w:r>
      <w:r>
        <w:rPr>
          <w:rFonts w:ascii="Times New Roman" w:eastAsia="宋体" w:hAnsi="Times New Roman" w:cs="Times New Roman"/>
          <w:color w:val="000000" w:themeColor="text1"/>
          <w:sz w:val="24"/>
          <w:szCs w:val="24"/>
        </w:rPr>
        <w:t>级响应）、重大（</w:t>
      </w:r>
      <w:r>
        <w:rPr>
          <w:rFonts w:ascii="宋体" w:eastAsia="宋体" w:hAnsi="宋体" w:cs="宋体" w:hint="eastAsia"/>
          <w:color w:val="000000" w:themeColor="text1"/>
          <w:sz w:val="24"/>
          <w:szCs w:val="24"/>
        </w:rPr>
        <w:t>Ⅱ</w:t>
      </w:r>
      <w:r>
        <w:rPr>
          <w:rFonts w:ascii="Times New Roman" w:eastAsia="宋体" w:hAnsi="Times New Roman" w:cs="Times New Roman"/>
          <w:color w:val="000000" w:themeColor="text1"/>
          <w:sz w:val="24"/>
          <w:szCs w:val="24"/>
        </w:rPr>
        <w:t>级响应）、较大（</w:t>
      </w:r>
      <w:r>
        <w:rPr>
          <w:rFonts w:ascii="宋体" w:eastAsia="宋体" w:hAnsi="宋体" w:cs="宋体" w:hint="eastAsia"/>
          <w:color w:val="000000" w:themeColor="text1"/>
          <w:sz w:val="24"/>
          <w:szCs w:val="24"/>
        </w:rPr>
        <w:t>Ⅲ</w:t>
      </w:r>
      <w:r>
        <w:rPr>
          <w:rFonts w:ascii="Times New Roman" w:eastAsia="宋体" w:hAnsi="Times New Roman" w:cs="Times New Roman"/>
          <w:color w:val="000000" w:themeColor="text1"/>
          <w:sz w:val="24"/>
          <w:szCs w:val="24"/>
        </w:rPr>
        <w:t>级响应）、一般（</w:t>
      </w:r>
      <w:r>
        <w:rPr>
          <w:rFonts w:ascii="宋体" w:eastAsia="宋体" w:hAnsi="宋体" w:cs="宋体" w:hint="eastAsia"/>
          <w:color w:val="000000" w:themeColor="text1"/>
          <w:sz w:val="24"/>
          <w:szCs w:val="24"/>
        </w:rPr>
        <w:t>Ⅳ</w:t>
      </w:r>
      <w:r>
        <w:rPr>
          <w:rFonts w:ascii="Times New Roman" w:eastAsia="宋体" w:hAnsi="Times New Roman" w:cs="Times New Roman"/>
          <w:color w:val="000000" w:themeColor="text1"/>
          <w:sz w:val="24"/>
          <w:szCs w:val="24"/>
        </w:rPr>
        <w:t>级响应）四级。超出本级应急处置能力时，应及时请求上一级应急救援指挥机构启动上一级应急预案。当事故无法控制时，应立即与地方环境突发事故应急预案进行联动和对接，请求政府相关部门的支援。</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分级响应程序</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当发生事故时，各车间、部门的应急救援小队按事故应急救援预案立即组织自救，并向公司应急救援中心报告，救援中心根据事故情况立即组织关停有关的生产设备，避免事故的扩大；根据事故的大小派出救援车辆和救援分队，同时，向有关领导报告。</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对于一般事故，立即报告生产组长和值班长，由检修车间内组织人员处理。</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对于较大或重大事故</w:t>
      </w:r>
      <w:r>
        <w:rPr>
          <w:rFonts w:ascii="Times New Roman" w:eastAsia="宋体" w:hAnsi="Times New Roman" w:cs="Times New Roman"/>
          <w:color w:val="000000" w:themeColor="text1"/>
          <w:sz w:val="24"/>
          <w:szCs w:val="24"/>
        </w:rPr>
        <w:t>，立即报告生产调度室，由生产调度室进行停车、调度工作，并将情况向指挥部上报，启动应急预案。若事故无法控制，应在事故发生</w:t>
      </w:r>
      <w:r>
        <w:rPr>
          <w:rFonts w:ascii="Times New Roman" w:eastAsia="宋体" w:hAnsi="Times New Roman" w:cs="Times New Roman"/>
          <w:color w:val="000000" w:themeColor="text1"/>
          <w:sz w:val="24"/>
          <w:szCs w:val="24"/>
        </w:rPr>
        <w:t>10</w:t>
      </w:r>
      <w:r>
        <w:rPr>
          <w:rFonts w:ascii="Times New Roman" w:eastAsia="宋体" w:hAnsi="Times New Roman" w:cs="Times New Roman"/>
          <w:color w:val="000000" w:themeColor="text1"/>
          <w:sz w:val="24"/>
          <w:szCs w:val="24"/>
        </w:rPr>
        <w:t>分钟内，及时将有关情况向当地人民政府和环境保护行政主管部门报告。进入预警期后，应急组织机构应认真履行各自的职责，防止事态的蔓延、发展。</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当发生人身伤害时，拨打急救电话</w:t>
      </w:r>
      <w:r>
        <w:rPr>
          <w:rFonts w:ascii="Times New Roman" w:eastAsia="宋体" w:hAnsi="Times New Roman" w:cs="Times New Roman"/>
          <w:color w:val="000000" w:themeColor="text1"/>
          <w:sz w:val="24"/>
          <w:szCs w:val="24"/>
        </w:rPr>
        <w:t>120</w:t>
      </w:r>
      <w:r>
        <w:rPr>
          <w:rFonts w:ascii="Times New Roman" w:eastAsia="宋体" w:hAnsi="Times New Roman" w:cs="Times New Roman"/>
          <w:color w:val="000000" w:themeColor="text1"/>
          <w:sz w:val="24"/>
          <w:szCs w:val="24"/>
        </w:rPr>
        <w:t>，及时将受伤员工送往医院救治。</w:t>
      </w:r>
    </w:p>
    <w:p w:rsidR="00C861DA" w:rsidRDefault="0044752E">
      <w:pPr>
        <w:pStyle w:val="32"/>
        <w:rPr>
          <w:rFonts w:ascii="Times New Roman" w:eastAsia="宋体"/>
          <w:bCs w:val="0"/>
          <w:color w:val="000000" w:themeColor="text1"/>
          <w:sz w:val="24"/>
          <w:szCs w:val="24"/>
        </w:rPr>
      </w:pPr>
      <w:bookmarkStart w:id="573" w:name="_Toc6826895"/>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.6.4</w:t>
      </w:r>
      <w:r>
        <w:rPr>
          <w:rFonts w:ascii="Times New Roman" w:eastAsia="宋体"/>
          <w:bCs w:val="0"/>
          <w:color w:val="000000" w:themeColor="text1"/>
          <w:sz w:val="24"/>
          <w:szCs w:val="24"/>
        </w:rPr>
        <w:t>应急救援保障</w:t>
      </w:r>
      <w:bookmarkEnd w:id="573"/>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公司应配备相应的应急设施、设备与器材，包括通信设备、消防、交通设施。通信设备专机专用，根据危险化学品应急处置措施，配备相应的消防设备、器材。消防设施应配备齐全，安置在各危险源附近。</w:t>
      </w:r>
    </w:p>
    <w:p w:rsidR="00C861DA" w:rsidRDefault="0044752E">
      <w:pPr>
        <w:pStyle w:val="32"/>
        <w:rPr>
          <w:rFonts w:ascii="Times New Roman" w:eastAsia="宋体"/>
          <w:bCs w:val="0"/>
          <w:color w:val="000000" w:themeColor="text1"/>
          <w:sz w:val="24"/>
          <w:szCs w:val="24"/>
        </w:rPr>
      </w:pPr>
      <w:bookmarkStart w:id="574" w:name="_Toc6826896"/>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.6.5</w:t>
      </w:r>
      <w:r>
        <w:rPr>
          <w:rFonts w:ascii="Times New Roman" w:eastAsia="宋体"/>
          <w:bCs w:val="0"/>
          <w:color w:val="000000" w:themeColor="text1"/>
          <w:sz w:val="24"/>
          <w:szCs w:val="24"/>
        </w:rPr>
        <w:t>报警、通信联络方式</w:t>
      </w:r>
      <w:bookmarkEnd w:id="574"/>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设置</w:t>
      </w:r>
      <w:r>
        <w:rPr>
          <w:rFonts w:ascii="Times New Roman" w:eastAsia="宋体" w:hAnsi="Times New Roman" w:cs="Times New Roman"/>
          <w:color w:val="000000" w:themeColor="text1"/>
          <w:sz w:val="24"/>
          <w:szCs w:val="24"/>
        </w:rPr>
        <w:t>24</w:t>
      </w:r>
      <w:r>
        <w:rPr>
          <w:rFonts w:ascii="Times New Roman" w:eastAsia="宋体" w:hAnsi="Times New Roman" w:cs="Times New Roman"/>
          <w:color w:val="000000" w:themeColor="text1"/>
          <w:sz w:val="24"/>
          <w:szCs w:val="24"/>
        </w:rPr>
        <w:t>小时有效的报警装置。</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本厂设报警电话，分布在各车间和部门，随时可与生产调度室联系，一旦发现风险事故，及时报警。</w:t>
      </w:r>
    </w:p>
    <w:p w:rsidR="00C861DA" w:rsidRDefault="0044752E">
      <w:pPr>
        <w:pStyle w:val="32"/>
        <w:rPr>
          <w:rFonts w:ascii="Times New Roman" w:eastAsia="宋体"/>
          <w:bCs w:val="0"/>
          <w:color w:val="000000" w:themeColor="text1"/>
          <w:sz w:val="24"/>
          <w:szCs w:val="24"/>
        </w:rPr>
      </w:pPr>
      <w:bookmarkStart w:id="575" w:name="_Toc6826897"/>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.6.6</w:t>
      </w:r>
      <w:r>
        <w:rPr>
          <w:rFonts w:ascii="Times New Roman" w:eastAsia="宋体"/>
          <w:bCs w:val="0"/>
          <w:color w:val="000000" w:themeColor="text1"/>
          <w:sz w:val="24"/>
          <w:szCs w:val="24"/>
        </w:rPr>
        <w:t>危险化学品风险事故发生后应采取的应急处理措施</w:t>
      </w:r>
      <w:bookmarkEnd w:id="575"/>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项目涉及的危险化学品为液氨，根据风险分析，可能会发生液氨泄漏的中毒事故，产生环境风险。危险化学品泄漏量视其漏点设备的腐蚀程度、工作压力等条件而不同。泄漏时又可因季节、风向等因素，波及范围也不一样。事故起因也是多样的，如：操作失误、设备失修、腐蚀、工艺失控等原因。</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根据事故的大小，协助当地的公安、消防、医疗、环保等部门检测、抢险、救援工作开展，向社会救援单位说明提供危险化学品的救援方法、措施及安全技术说明书，共同迅速制定现场抢险、救援及控制方法。</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一般危险化学品环境风险事故，可因设备的微量泄漏，由安全报警系统、岗位操作人员巡检等方式及早发现，采取相应措施，予以处理。</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重大危险化学品环境风险事故，可因设备、压力容器的大量泄漏而发生重大事故，报警系统或操作人员虽能及时发现，但一时难以控制。或当发生危险化学品泄漏、火灾、爆炸事故时，根据工艺规程、操作规程的技术要求，应采取以下应急救援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最早发现者应立即向厂调度室报警，并采取一切办法切断事故现场的工作电源。</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调度室接到报警后，应迅速通知有关部门、车间、要求查明危险化学品风险事故发生的部位（装</w:t>
      </w:r>
      <w:r>
        <w:rPr>
          <w:rFonts w:ascii="Times New Roman" w:eastAsia="宋体" w:hAnsi="Times New Roman" w:cs="Times New Roman"/>
          <w:color w:val="000000" w:themeColor="text1"/>
          <w:sz w:val="24"/>
          <w:szCs w:val="24"/>
        </w:rPr>
        <w:t>置）和原因，判定事故响应级别；构成重大危险化学品风险事故时下达按应急救援预案处置的指令，同时发出警报，通知指挥部成员、消防队和各专业救援队伍迅速赶往事故现场。</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color w:val="000000" w:themeColor="text1"/>
          <w:sz w:val="24"/>
          <w:szCs w:val="24"/>
        </w:rPr>
        <w:t>3</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指挥部成员通知所在处室迅速向相应的主管上级保卫、安全、设备、卫生等领导机关报告事故情况。</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发生事故的车间，应迅速查明事故发生源点，泄漏部位和原因，凡能经切断物料或处理措施而消除事故的，则以自救为主。如泄漏部位自己不能控制的，应向指挥部报告并提出堵漏或抢修的具体措施。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消防队到达事故现场后，消防人员配戴好个人防护器具，首先明确现场有无受伤人员，如有伤员，应以最快速度将受伤者送离事故现场，交由医疗救护队处置。</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6</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指挥部成员到达事故现场后，根据事故状态及危害程度做出相应的应急决定，命令各应急救援队立即开展救援。如事故扩大时，应请求支援。</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7</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生产科、保卫科处到达事故现场后，会同发生事故的单位，在查明危险化学品泄漏部位和范围后视能否控制，做出局部或全部停车的决定，若需紧急停车，则按紧急停车程序立即通知厂调度员、车间值班长、副班长迅速执行停车操作。</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8</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治安队到达现场后，</w:t>
      </w:r>
      <w:r>
        <w:rPr>
          <w:rFonts w:ascii="Times New Roman" w:eastAsia="宋体" w:hAnsi="Times New Roman" w:cs="Times New Roman"/>
          <w:color w:val="000000" w:themeColor="text1"/>
          <w:sz w:val="24"/>
          <w:szCs w:val="24"/>
        </w:rPr>
        <w:t>担负治安和交通指挥，组织纠察，在事故现场周围设岗，划分禁区并加强警戒和巡逻检查。如当危险化学品扩散到厂外时，应迅速组织有关人员协助友邻单位、厂区外过往行人在指挥部指挥协调下，向上侧风方向的安全地带疏散。</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9</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抢险抢修队到达事故现场后，根据指挥部下达的抢修指令，迅速进行设备抢修，控制和防止事故扩大。</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color w:val="000000" w:themeColor="text1"/>
          <w:sz w:val="24"/>
          <w:szCs w:val="24"/>
        </w:rPr>
        <w:t>0</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当事故得到控制后，立即成立专门工作小组：组成由安全、保卫、生产、技术、设备和建设单位参加的事故调查小组，调查事故发生原因和研究制定防范措施。研究制定抢修方案并立即组织抢修，尽早恢复生产。</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1</w:t>
      </w:r>
      <w:r>
        <w:rPr>
          <w:rFonts w:ascii="Times New Roman" w:eastAsia="宋体" w:hAnsi="Times New Roman" w:cs="Times New Roman"/>
          <w:color w:val="000000" w:themeColor="text1"/>
          <w:sz w:val="24"/>
          <w:szCs w:val="24"/>
        </w:rPr>
        <w:t>1</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夜间发生事故，由厂总值班及调度室按应急救援预案，组织指挥事故处置和落实抢修任务。</w:t>
      </w:r>
    </w:p>
    <w:p w:rsidR="00C861DA" w:rsidRDefault="0044752E">
      <w:pPr>
        <w:pStyle w:val="32"/>
        <w:rPr>
          <w:rFonts w:ascii="Times New Roman" w:eastAsia="宋体"/>
          <w:bCs w:val="0"/>
          <w:color w:val="000000" w:themeColor="text1"/>
          <w:sz w:val="24"/>
          <w:szCs w:val="24"/>
        </w:rPr>
      </w:pPr>
      <w:bookmarkStart w:id="576" w:name="_Toc6826898"/>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.6.7</w:t>
      </w:r>
      <w:r>
        <w:rPr>
          <w:rFonts w:ascii="Times New Roman" w:eastAsia="宋体"/>
          <w:bCs w:val="0"/>
          <w:color w:val="000000" w:themeColor="text1"/>
          <w:sz w:val="24"/>
          <w:szCs w:val="24"/>
        </w:rPr>
        <w:t>应急环境监测、救护措施</w:t>
      </w:r>
      <w:bookmarkEnd w:id="576"/>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当发生风险事故时，生产调度室负责人到达事故现场后，还应查明泄漏危险化学品的浓度和扩散情况，根据当时风向、风速，判断扩散的方向和速度，由专业监测队伍对事故现场及下风扩散区域进行监测，对事故性质、参数与后果进行评估，为指挥部门提供决策依据。监测情况及时向指挥部报告，必要时根据指挥部决定通知扩散区域内的群众撤离或指导采取简易有效的保护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监测部门</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委托安宁市环境监测站或其它有能力完成监测任务的机构、部门。</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监测点位</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结合泄漏事故发生时的气象条件，在厂区周围及可能影响的环境保护目标设置监测点位。</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现场应急检测方法</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按照国家规定的应急检测方法，进行应急监测。</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防护措施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现场应急检测人员或取样人员，应根据泄漏危险化学品氨的特性，采取相应的防护措施。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救护措施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医疗救护队到达现场后，与消防队配合，应立即救护伤员和中毒人员，对中毒人员应根据中毒症状及时采取相应的急救措施，对伤员进行清洗包扎或输氧急救，重伤员及时送往医院抢救。</w:t>
      </w:r>
    </w:p>
    <w:p w:rsidR="00C861DA" w:rsidRDefault="0044752E">
      <w:pPr>
        <w:pStyle w:val="32"/>
        <w:rPr>
          <w:rFonts w:ascii="Times New Roman" w:eastAsia="宋体"/>
          <w:bCs w:val="0"/>
          <w:color w:val="000000" w:themeColor="text1"/>
          <w:sz w:val="24"/>
          <w:szCs w:val="24"/>
        </w:rPr>
      </w:pPr>
      <w:bookmarkStart w:id="577" w:name="_Toc6826899"/>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.6.8</w:t>
      </w:r>
      <w:r>
        <w:rPr>
          <w:rFonts w:ascii="Times New Roman" w:eastAsia="宋体"/>
          <w:bCs w:val="0"/>
          <w:color w:val="000000" w:themeColor="text1"/>
          <w:sz w:val="24"/>
          <w:szCs w:val="24"/>
        </w:rPr>
        <w:t>应急撤离、疏散组织计划</w:t>
      </w:r>
      <w:bookmarkEnd w:id="577"/>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若发生大量泄漏，或泄漏源短时间难以控制时，应立即向厂区无关人员及厂址周围相关环境保护目标人群发出紧急撤离警报。</w:t>
      </w:r>
    </w:p>
    <w:p w:rsidR="00C861DA" w:rsidRDefault="0044752E">
      <w:pPr>
        <w:spacing w:line="360" w:lineRule="auto"/>
        <w:ind w:firstLineChars="200" w:firstLine="480"/>
        <w:jc w:val="both"/>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w:t>
      </w:r>
      <w:r>
        <w:rPr>
          <w:rFonts w:ascii="宋体" w:eastAsia="宋体" w:hAnsi="宋体" w:cs="宋体"/>
          <w:color w:val="000000" w:themeColor="text1"/>
          <w:sz w:val="24"/>
          <w:szCs w:val="24"/>
        </w:rPr>
        <w:t>撤离对象</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所有员工、来访人员以、厂区周围工厂员工及居民、环境保护目标人群。根据最大可信事故影响范围，结合泄漏时气象条件，当发生液氨泄漏时，将评价范围即</w:t>
      </w:r>
      <w:r>
        <w:rPr>
          <w:rFonts w:ascii="Times New Roman" w:eastAsia="宋体" w:hAnsi="Times New Roman" w:cs="Times New Roman" w:hint="eastAsia"/>
          <w:color w:val="000000" w:themeColor="text1"/>
          <w:sz w:val="24"/>
          <w:szCs w:val="24"/>
        </w:rPr>
        <w:t>项目区厂界外扩</w:t>
      </w:r>
      <w:r>
        <w:rPr>
          <w:rFonts w:ascii="Times New Roman" w:eastAsia="宋体" w:hAnsi="Times New Roman" w:cs="Times New Roman"/>
          <w:color w:val="000000" w:themeColor="text1"/>
          <w:sz w:val="24"/>
          <w:szCs w:val="24"/>
        </w:rPr>
        <w:t>5km</w:t>
      </w:r>
      <w:r>
        <w:rPr>
          <w:rFonts w:ascii="Times New Roman" w:eastAsia="宋体" w:hAnsi="Times New Roman" w:cs="Times New Roman"/>
          <w:color w:val="000000" w:themeColor="text1"/>
          <w:sz w:val="24"/>
          <w:szCs w:val="24"/>
        </w:rPr>
        <w:t>范围内，可能受影响的环境保护目标作为撤离对象。</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撤离注意事项</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应急指挥部发出应急疏散指令，所有员工以及来访人员，必须遵循生产调度和现场救援人员的指挥，有序地疏散撤离到指定地点。</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救援指令发出后，各组织机构认真检查负责区域，在保证没有任何无关人员滞留后，方可退离危险区做好警戒。</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撤离距离</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应根据泄漏情况、当时的天气气象条件以及应急监测数据，确定撤离范围</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撤离方向</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根据事故发生时的天气气象条件，有组织的进行撤离。在有风条件下，事故源附近人群向逆风向撤离，离事故源较远人群向侧风向撤离；无风条件下，迅速向远离事故点方向撤离。</w:t>
      </w:r>
    </w:p>
    <w:p w:rsidR="00C861DA" w:rsidRDefault="0044752E">
      <w:pPr>
        <w:pStyle w:val="32"/>
        <w:rPr>
          <w:rFonts w:ascii="Times New Roman" w:eastAsia="宋体"/>
          <w:bCs w:val="0"/>
          <w:color w:val="000000" w:themeColor="text1"/>
          <w:sz w:val="24"/>
          <w:szCs w:val="24"/>
        </w:rPr>
      </w:pPr>
      <w:bookmarkStart w:id="578" w:name="_Toc6826900"/>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.6.9</w:t>
      </w:r>
      <w:r>
        <w:rPr>
          <w:rFonts w:ascii="Times New Roman" w:eastAsia="宋体"/>
          <w:bCs w:val="0"/>
          <w:color w:val="000000" w:themeColor="text1"/>
          <w:sz w:val="24"/>
          <w:szCs w:val="24"/>
        </w:rPr>
        <w:t>应急救援关闭程序与恢复措施</w:t>
      </w:r>
      <w:bookmarkEnd w:id="578"/>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当事故源彻底得到控制，根据事故现场、工厂邻近区、各关心点的污染物检测数据达到相应的标准后，通知单位相关部门，周边社区及人员，应急事故警戒已解除。单位进行设备维修、现场清理等善后恢复措施。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在进行现场清理时，清扫废水统一收集，排入临时事故池，在未经监测部门检测合格后，不许外排。</w:t>
      </w:r>
    </w:p>
    <w:p w:rsidR="00C861DA" w:rsidRDefault="0044752E">
      <w:pPr>
        <w:pStyle w:val="32"/>
        <w:rPr>
          <w:rFonts w:ascii="Times New Roman" w:eastAsia="宋体"/>
          <w:bCs w:val="0"/>
          <w:color w:val="000000" w:themeColor="text1"/>
          <w:sz w:val="24"/>
          <w:szCs w:val="24"/>
        </w:rPr>
      </w:pPr>
      <w:bookmarkStart w:id="579" w:name="_Toc6826901"/>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.6.10</w:t>
      </w:r>
      <w:r>
        <w:rPr>
          <w:rFonts w:ascii="Times New Roman" w:eastAsia="宋体"/>
          <w:bCs w:val="0"/>
          <w:color w:val="000000" w:themeColor="text1"/>
          <w:sz w:val="24"/>
          <w:szCs w:val="24"/>
        </w:rPr>
        <w:t>应急培训计划</w:t>
      </w:r>
      <w:bookmarkEnd w:id="579"/>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根据制定的应急计划，单位平时安排人员培训和演练。</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1</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应急救援人员的培训</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培训内容包括应急设施的应用、危险化学品的防护、危险化学品的处置措施，项目工艺管道易发生泄漏点的检查等。</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员工应急响应的培训</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公司各部门、生产线从业人员都负有事故应急救援的责任，是应急救援的骨干力量，担负着公司事故的应急救援及处理工作。每年公司应组织定期或不定期的预案演练和相关知识的理论学习，使公司每位员工熟悉应急救援的程序、救援方法和措施，增强自我防范的意识。</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w:t>
      </w:r>
      <w:r>
        <w:rPr>
          <w:rFonts w:ascii="Times New Roman" w:eastAsia="宋体" w:hAnsi="Times New Roman" w:cs="Times New Roman"/>
          <w:color w:val="000000" w:themeColor="text1"/>
          <w:sz w:val="24"/>
          <w:szCs w:val="24"/>
        </w:rPr>
        <w:t>演练</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从实战角度出发，切实提高应急救援能力，应急组织机构定期组织综合性应急处置演练。每次演练应按应急救援的要求，制定详细的演练计划，确定演练的时间、地点、人员、设备、资金等。参加人员严格按照实战的标准进行，整个演练过程做到事前有计划，事后有总结、讲评、记录。演练地点</w:t>
      </w:r>
      <w:r>
        <w:rPr>
          <w:rFonts w:ascii="Times New Roman" w:eastAsia="宋体" w:hAnsi="Times New Roman" w:cs="Times New Roman"/>
          <w:color w:val="000000" w:themeColor="text1"/>
          <w:sz w:val="24"/>
          <w:szCs w:val="24"/>
        </w:rPr>
        <w:t>应选择安全可靠的地方，避免因演练时造成意外伤害事故。</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预案演练每年进行一次，相关知识的理论学习每年不少于</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次。</w:t>
      </w:r>
    </w:p>
    <w:p w:rsidR="00C861DA" w:rsidRDefault="0044752E">
      <w:pPr>
        <w:pStyle w:val="32"/>
        <w:rPr>
          <w:rFonts w:ascii="Times New Roman" w:eastAsia="宋体"/>
          <w:bCs w:val="0"/>
          <w:color w:val="000000" w:themeColor="text1"/>
          <w:sz w:val="24"/>
          <w:szCs w:val="24"/>
        </w:rPr>
      </w:pPr>
      <w:bookmarkStart w:id="580" w:name="_Toc6826902"/>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.6.11</w:t>
      </w:r>
      <w:r>
        <w:rPr>
          <w:rFonts w:ascii="Times New Roman" w:eastAsia="宋体"/>
          <w:bCs w:val="0"/>
          <w:color w:val="000000" w:themeColor="text1"/>
          <w:sz w:val="24"/>
          <w:szCs w:val="24"/>
        </w:rPr>
        <w:t>公众教育和信息</w:t>
      </w:r>
      <w:bookmarkEnd w:id="580"/>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单位不定期对工厂邻近地区开展公众教育，培训和发布有关信息。</w:t>
      </w:r>
    </w:p>
    <w:p w:rsidR="00C861DA" w:rsidRDefault="0044752E">
      <w:pPr>
        <w:pStyle w:val="32"/>
        <w:rPr>
          <w:rFonts w:ascii="Times New Roman" w:eastAsia="宋体"/>
          <w:bCs w:val="0"/>
          <w:color w:val="000000" w:themeColor="text1"/>
          <w:sz w:val="24"/>
          <w:szCs w:val="24"/>
        </w:rPr>
      </w:pPr>
      <w:bookmarkStart w:id="581" w:name="_Toc6826903"/>
      <w:r>
        <w:rPr>
          <w:rFonts w:ascii="Times New Roman" w:eastAsia="宋体" w:hint="eastAsia"/>
          <w:bCs w:val="0"/>
          <w:color w:val="000000" w:themeColor="text1"/>
          <w:sz w:val="24"/>
          <w:szCs w:val="24"/>
        </w:rPr>
        <w:t>8</w:t>
      </w:r>
      <w:r>
        <w:rPr>
          <w:rFonts w:ascii="Times New Roman" w:eastAsia="宋体"/>
          <w:bCs w:val="0"/>
          <w:color w:val="000000" w:themeColor="text1"/>
          <w:sz w:val="24"/>
          <w:szCs w:val="24"/>
        </w:rPr>
        <w:t>.6.12</w:t>
      </w:r>
      <w:r>
        <w:rPr>
          <w:rFonts w:ascii="Times New Roman" w:eastAsia="宋体"/>
          <w:bCs w:val="0"/>
          <w:color w:val="000000" w:themeColor="text1"/>
          <w:sz w:val="24"/>
          <w:szCs w:val="24"/>
        </w:rPr>
        <w:t>与当地政府突发环境事件应急预案的对接及联动</w:t>
      </w:r>
      <w:bookmarkEnd w:id="581"/>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单位应建立与当地政府突发环境事件应急预案的对接和联动机制，当发生重大事故，厂区无法控制，影响范围较大时，应及时报当地主管部门，启动政府应急预案，采取有效措施，控制事故的影响和蔓延。</w:t>
      </w:r>
    </w:p>
    <w:p w:rsidR="00C861DA" w:rsidRDefault="0044752E">
      <w:pPr>
        <w:pStyle w:val="22"/>
        <w:rPr>
          <w:rFonts w:ascii="Times New Roman" w:eastAsia="宋体" w:hAnsi="Times New Roman"/>
          <w:bCs w:val="0"/>
          <w:color w:val="000000" w:themeColor="text1"/>
          <w:sz w:val="28"/>
          <w:szCs w:val="28"/>
        </w:rPr>
      </w:pPr>
      <w:bookmarkStart w:id="582" w:name="_Toc6826904"/>
      <w:r>
        <w:rPr>
          <w:rFonts w:ascii="Times New Roman" w:eastAsia="宋体" w:hAnsi="Times New Roman" w:hint="eastAsia"/>
          <w:bCs w:val="0"/>
          <w:color w:val="000000" w:themeColor="text1"/>
          <w:sz w:val="28"/>
          <w:szCs w:val="28"/>
        </w:rPr>
        <w:t>8</w:t>
      </w:r>
      <w:r>
        <w:rPr>
          <w:rFonts w:ascii="Times New Roman" w:eastAsia="宋体" w:hAnsi="Times New Roman"/>
          <w:bCs w:val="0"/>
          <w:color w:val="000000" w:themeColor="text1"/>
          <w:sz w:val="28"/>
          <w:szCs w:val="28"/>
        </w:rPr>
        <w:t>.7</w:t>
      </w:r>
      <w:r>
        <w:rPr>
          <w:rFonts w:ascii="Times New Roman" w:eastAsia="宋体" w:hAnsi="Times New Roman" w:hint="eastAsia"/>
          <w:bCs w:val="0"/>
          <w:color w:val="000000" w:themeColor="text1"/>
          <w:sz w:val="28"/>
          <w:szCs w:val="28"/>
        </w:rPr>
        <w:t>风险评价结论与建议</w:t>
      </w:r>
      <w:bookmarkEnd w:id="582"/>
    </w:p>
    <w:p w:rsidR="00C861DA" w:rsidRDefault="0044752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项目主体工程内容包括</w:t>
      </w:r>
      <w:r>
        <w:rPr>
          <w:rFonts w:ascii="Times New Roman" w:eastAsia="宋体" w:hAnsi="Times New Roman" w:cs="Times New Roman" w:hint="eastAsia"/>
          <w:color w:val="000000" w:themeColor="text1"/>
          <w:sz w:val="24"/>
          <w:szCs w:val="24"/>
        </w:rPr>
        <w:t>硝基肥和尿基肥</w:t>
      </w:r>
      <w:r>
        <w:rPr>
          <w:rFonts w:ascii="Times New Roman" w:eastAsia="宋体" w:hAnsi="Times New Roman" w:cs="Times New Roman"/>
          <w:color w:val="000000" w:themeColor="text1"/>
          <w:sz w:val="24"/>
          <w:szCs w:val="24"/>
        </w:rPr>
        <w:t>两部分，项目涉及的危险化学品为液氨。根据生产单元涉及的危险化学品情况，将液氨输送管道</w:t>
      </w:r>
      <w:r>
        <w:rPr>
          <w:rFonts w:ascii="Times New Roman" w:eastAsia="宋体" w:hAnsi="Times New Roman" w:cs="Times New Roman" w:hint="eastAsia"/>
          <w:color w:val="000000" w:themeColor="text1"/>
          <w:sz w:val="24"/>
          <w:szCs w:val="24"/>
        </w:rPr>
        <w:t>、硝酸生产装置、硝酸铵生产装置</w:t>
      </w:r>
      <w:r>
        <w:rPr>
          <w:rFonts w:ascii="Times New Roman" w:eastAsia="宋体" w:hAnsi="Times New Roman" w:cs="Times New Roman"/>
          <w:color w:val="000000" w:themeColor="text1"/>
          <w:sz w:val="24"/>
          <w:szCs w:val="24"/>
        </w:rPr>
        <w:t>定为危险单位。按照《建设项目环境风险评价技术导则》（</w:t>
      </w:r>
      <w:r>
        <w:rPr>
          <w:rFonts w:ascii="Times New Roman" w:eastAsia="宋体" w:hAnsi="Times New Roman" w:cs="Times New Roman"/>
          <w:color w:val="000000" w:themeColor="text1"/>
          <w:sz w:val="24"/>
          <w:szCs w:val="24"/>
        </w:rPr>
        <w:t>HJ169-2018</w:t>
      </w:r>
      <w:r>
        <w:rPr>
          <w:rFonts w:ascii="Times New Roman" w:eastAsia="宋体" w:hAnsi="Times New Roman" w:cs="Times New Roman"/>
          <w:color w:val="000000" w:themeColor="text1"/>
          <w:sz w:val="24"/>
          <w:szCs w:val="24"/>
        </w:rPr>
        <w:t>）。根据项目可能发生的环境风险事故，结合事故泄漏危险化学品特性、事故发生的概率及事故可能造成的影响范围和程度，确定液氨管道连接处破损导则液氨泄漏中毒事故为最大可信事故。</w:t>
      </w:r>
    </w:p>
    <w:p w:rsidR="00C861DA" w:rsidRDefault="0044752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bCs/>
          <w:color w:val="000000" w:themeColor="text1"/>
          <w:sz w:val="24"/>
          <w:szCs w:val="24"/>
        </w:rPr>
        <w:t>当发生液氨泄漏事故时，</w:t>
      </w:r>
      <w:r>
        <w:rPr>
          <w:rFonts w:ascii="Times New Roman" w:eastAsia="宋体" w:hAnsi="Times New Roman" w:cs="Times New Roman" w:hint="eastAsia"/>
          <w:bCs/>
          <w:color w:val="000000" w:themeColor="text1"/>
          <w:sz w:val="24"/>
          <w:szCs w:val="24"/>
        </w:rPr>
        <w:t>在最不利气象条件下，泄漏氨气造成的环境风险影响最大，其中</w:t>
      </w:r>
      <w:r>
        <w:rPr>
          <w:rFonts w:ascii="Times New Roman" w:eastAsia="宋体" w:hAnsi="Times New Roman" w:cs="Times New Roman"/>
          <w:bCs/>
          <w:color w:val="000000" w:themeColor="text1"/>
          <w:sz w:val="24"/>
          <w:szCs w:val="24"/>
        </w:rPr>
        <w:t>氨气最大落地浓度为</w:t>
      </w:r>
      <w:r>
        <w:rPr>
          <w:rFonts w:ascii="Times New Roman" w:eastAsia="宋体" w:hAnsi="Times New Roman" w:cs="Times New Roman"/>
          <w:bCs/>
          <w:color w:val="000000" w:themeColor="text1"/>
          <w:sz w:val="24"/>
          <w:szCs w:val="24"/>
        </w:rPr>
        <w:t>2743mg/m</w:t>
      </w:r>
      <w:r>
        <w:rPr>
          <w:rFonts w:ascii="Times New Roman" w:eastAsia="宋体" w:hAnsi="Times New Roman" w:cs="Times New Roman"/>
          <w:bCs/>
          <w:color w:val="000000" w:themeColor="text1"/>
          <w:sz w:val="24"/>
          <w:szCs w:val="24"/>
          <w:vertAlign w:val="superscript"/>
        </w:rPr>
        <w:t>3</w:t>
      </w:r>
      <w:r>
        <w:rPr>
          <w:rFonts w:ascii="Times New Roman" w:eastAsia="宋体" w:hAnsi="Times New Roman" w:cs="Times New Roman"/>
          <w:bCs/>
          <w:color w:val="000000" w:themeColor="text1"/>
          <w:sz w:val="24"/>
          <w:szCs w:val="24"/>
        </w:rPr>
        <w:t>，最大落地浓度出现距离为事故源下风向</w:t>
      </w:r>
      <w:r>
        <w:rPr>
          <w:rFonts w:ascii="Times New Roman" w:eastAsia="宋体" w:hAnsi="Times New Roman" w:cs="Times New Roman"/>
          <w:bCs/>
          <w:color w:val="000000" w:themeColor="text1"/>
          <w:sz w:val="24"/>
          <w:szCs w:val="24"/>
        </w:rPr>
        <w:t>246m</w:t>
      </w:r>
      <w:r>
        <w:rPr>
          <w:rFonts w:ascii="Times New Roman" w:eastAsia="宋体" w:hAnsi="Times New Roman" w:cs="Times New Roman"/>
          <w:bCs/>
          <w:color w:val="000000" w:themeColor="text1"/>
          <w:sz w:val="24"/>
          <w:szCs w:val="24"/>
        </w:rPr>
        <w:t>，事故源下风向出现半致死浓度（</w:t>
      </w:r>
      <w:r>
        <w:rPr>
          <w:rFonts w:ascii="Times New Roman" w:eastAsia="宋体" w:hAnsi="Times New Roman" w:cs="Times New Roman"/>
          <w:bCs/>
          <w:color w:val="000000" w:themeColor="text1"/>
          <w:sz w:val="24"/>
          <w:szCs w:val="24"/>
        </w:rPr>
        <w:t>1390mg/m</w:t>
      </w:r>
      <w:r>
        <w:rPr>
          <w:rFonts w:ascii="Times New Roman" w:eastAsia="宋体" w:hAnsi="Times New Roman" w:cs="Times New Roman"/>
          <w:bCs/>
          <w:color w:val="000000" w:themeColor="text1"/>
          <w:sz w:val="24"/>
          <w:szCs w:val="24"/>
          <w:vertAlign w:val="superscript"/>
        </w:rPr>
        <w:t>3</w:t>
      </w:r>
      <w:r>
        <w:rPr>
          <w:rFonts w:ascii="Times New Roman" w:eastAsia="宋体" w:hAnsi="Times New Roman" w:cs="Times New Roman"/>
          <w:bCs/>
          <w:color w:val="000000" w:themeColor="text1"/>
          <w:sz w:val="24"/>
          <w:szCs w:val="24"/>
        </w:rPr>
        <w:t>）出现距离为</w:t>
      </w:r>
      <w:r>
        <w:rPr>
          <w:rFonts w:ascii="Times New Roman" w:eastAsia="宋体" w:hAnsi="Times New Roman" w:cs="Times New Roman"/>
          <w:bCs/>
          <w:color w:val="000000" w:themeColor="text1"/>
          <w:sz w:val="24"/>
          <w:szCs w:val="24"/>
        </w:rPr>
        <w:t>810m</w:t>
      </w:r>
      <w:r>
        <w:rPr>
          <w:rFonts w:ascii="Times New Roman" w:eastAsia="宋体" w:hAnsi="Times New Roman" w:cs="Times New Roman"/>
          <w:bCs/>
          <w:color w:val="000000" w:themeColor="text1"/>
          <w:sz w:val="24"/>
          <w:szCs w:val="24"/>
        </w:rPr>
        <w:t>；</w:t>
      </w:r>
      <w:r>
        <w:rPr>
          <w:rFonts w:ascii="Times New Roman" w:eastAsia="宋体" w:hAnsi="Times New Roman" w:cs="Times New Roman" w:hint="eastAsia"/>
          <w:bCs/>
          <w:color w:val="000000" w:themeColor="text1"/>
          <w:sz w:val="24"/>
          <w:szCs w:val="24"/>
        </w:rPr>
        <w:t xml:space="preserve"> PAC</w:t>
      </w:r>
      <w:r>
        <w:rPr>
          <w:rFonts w:ascii="Times New Roman" w:eastAsia="宋体" w:hAnsi="Times New Roman" w:cs="Times New Roman"/>
          <w:bCs/>
          <w:color w:val="000000" w:themeColor="text1"/>
          <w:sz w:val="24"/>
          <w:szCs w:val="24"/>
        </w:rPr>
        <w:t>-1</w:t>
      </w:r>
      <w:r>
        <w:rPr>
          <w:rFonts w:ascii="Times New Roman" w:eastAsia="宋体" w:hAnsi="Times New Roman" w:cs="Times New Roman" w:hint="eastAsia"/>
          <w:bCs/>
          <w:color w:val="000000" w:themeColor="text1"/>
          <w:sz w:val="24"/>
          <w:szCs w:val="24"/>
        </w:rPr>
        <w:t>浓度（</w:t>
      </w:r>
      <w:r>
        <w:rPr>
          <w:rFonts w:ascii="Times New Roman" w:eastAsia="宋体" w:hAnsi="Times New Roman" w:cs="Times New Roman" w:hint="eastAsia"/>
          <w:bCs/>
          <w:color w:val="000000" w:themeColor="text1"/>
          <w:sz w:val="24"/>
          <w:szCs w:val="24"/>
        </w:rPr>
        <w:t>7</w:t>
      </w:r>
      <w:r>
        <w:rPr>
          <w:rFonts w:ascii="Times New Roman" w:eastAsia="宋体" w:hAnsi="Times New Roman" w:cs="Times New Roman"/>
          <w:bCs/>
          <w:color w:val="000000" w:themeColor="text1"/>
          <w:sz w:val="24"/>
          <w:szCs w:val="24"/>
        </w:rPr>
        <w:t>70mg/m</w:t>
      </w:r>
      <w:r>
        <w:rPr>
          <w:rFonts w:ascii="Times New Roman" w:eastAsia="宋体" w:hAnsi="Times New Roman" w:cs="Times New Roman"/>
          <w:bCs/>
          <w:color w:val="000000" w:themeColor="text1"/>
          <w:sz w:val="24"/>
          <w:szCs w:val="24"/>
          <w:vertAlign w:val="superscript"/>
        </w:rPr>
        <w:t>3</w:t>
      </w:r>
      <w:r>
        <w:rPr>
          <w:rFonts w:ascii="Times New Roman" w:eastAsia="宋体" w:hAnsi="Times New Roman" w:cs="Times New Roman" w:hint="eastAsia"/>
          <w:bCs/>
          <w:color w:val="000000" w:themeColor="text1"/>
          <w:sz w:val="24"/>
          <w:szCs w:val="24"/>
        </w:rPr>
        <w:t>）出现距离为</w:t>
      </w:r>
      <w:r>
        <w:rPr>
          <w:rFonts w:ascii="Times New Roman" w:eastAsia="宋体" w:hAnsi="Times New Roman" w:cs="Times New Roman" w:hint="eastAsia"/>
          <w:bCs/>
          <w:color w:val="000000" w:themeColor="text1"/>
          <w:sz w:val="24"/>
          <w:szCs w:val="24"/>
        </w:rPr>
        <w:t>3</w:t>
      </w:r>
      <w:r>
        <w:rPr>
          <w:rFonts w:ascii="Times New Roman" w:eastAsia="宋体" w:hAnsi="Times New Roman" w:cs="Times New Roman"/>
          <w:bCs/>
          <w:color w:val="000000" w:themeColor="text1"/>
          <w:sz w:val="24"/>
          <w:szCs w:val="24"/>
        </w:rPr>
        <w:t>010</w:t>
      </w:r>
      <w:r>
        <w:rPr>
          <w:rFonts w:ascii="Times New Roman" w:eastAsia="宋体" w:hAnsi="Times New Roman" w:cs="Times New Roman" w:hint="eastAsia"/>
          <w:bCs/>
          <w:color w:val="000000" w:themeColor="text1"/>
          <w:sz w:val="24"/>
          <w:szCs w:val="24"/>
        </w:rPr>
        <w:t>m</w:t>
      </w:r>
      <w:r>
        <w:rPr>
          <w:rFonts w:ascii="Times New Roman" w:eastAsia="宋体" w:hAnsi="Times New Roman" w:cs="Times New Roman" w:hint="eastAsia"/>
          <w:bCs/>
          <w:color w:val="000000" w:themeColor="text1"/>
          <w:sz w:val="24"/>
          <w:szCs w:val="24"/>
        </w:rPr>
        <w:t>，</w:t>
      </w:r>
      <w:r>
        <w:rPr>
          <w:rFonts w:ascii="Times New Roman" w:eastAsia="宋体" w:hAnsi="Times New Roman" w:cs="Times New Roman" w:hint="eastAsia"/>
          <w:bCs/>
          <w:color w:val="000000" w:themeColor="text1"/>
          <w:sz w:val="24"/>
          <w:szCs w:val="24"/>
        </w:rPr>
        <w:t>PAC</w:t>
      </w:r>
      <w:r>
        <w:rPr>
          <w:rFonts w:ascii="Times New Roman" w:eastAsia="宋体" w:hAnsi="Times New Roman" w:cs="Times New Roman"/>
          <w:bCs/>
          <w:color w:val="000000" w:themeColor="text1"/>
          <w:sz w:val="24"/>
          <w:szCs w:val="24"/>
        </w:rPr>
        <w:t>-2</w:t>
      </w:r>
      <w:r>
        <w:rPr>
          <w:rFonts w:ascii="Times New Roman" w:eastAsia="宋体" w:hAnsi="Times New Roman" w:cs="Times New Roman" w:hint="eastAsia"/>
          <w:bCs/>
          <w:color w:val="000000" w:themeColor="text1"/>
          <w:sz w:val="24"/>
          <w:szCs w:val="24"/>
        </w:rPr>
        <w:t>（</w:t>
      </w:r>
      <w:r>
        <w:rPr>
          <w:rFonts w:ascii="Times New Roman" w:eastAsia="宋体" w:hAnsi="Times New Roman" w:cs="Times New Roman"/>
          <w:bCs/>
          <w:color w:val="000000" w:themeColor="text1"/>
          <w:sz w:val="24"/>
          <w:szCs w:val="24"/>
        </w:rPr>
        <w:t>110mg/m</w:t>
      </w:r>
      <w:r>
        <w:rPr>
          <w:rFonts w:ascii="Times New Roman" w:eastAsia="宋体" w:hAnsi="Times New Roman" w:cs="Times New Roman"/>
          <w:bCs/>
          <w:color w:val="000000" w:themeColor="text1"/>
          <w:sz w:val="24"/>
          <w:szCs w:val="24"/>
          <w:vertAlign w:val="superscript"/>
        </w:rPr>
        <w:t>3</w:t>
      </w:r>
      <w:r>
        <w:rPr>
          <w:rFonts w:ascii="Times New Roman" w:eastAsia="宋体" w:hAnsi="Times New Roman" w:cs="Times New Roman" w:hint="eastAsia"/>
          <w:bCs/>
          <w:color w:val="000000" w:themeColor="text1"/>
          <w:sz w:val="24"/>
          <w:szCs w:val="24"/>
        </w:rPr>
        <w:t>）浓度出现距离为</w:t>
      </w:r>
      <w:r>
        <w:rPr>
          <w:rFonts w:ascii="Times New Roman" w:eastAsia="宋体" w:hAnsi="Times New Roman" w:cs="Times New Roman" w:hint="eastAsia"/>
          <w:bCs/>
          <w:color w:val="000000" w:themeColor="text1"/>
          <w:sz w:val="24"/>
          <w:szCs w:val="24"/>
        </w:rPr>
        <w:t>4</w:t>
      </w:r>
      <w:r>
        <w:rPr>
          <w:rFonts w:ascii="Times New Roman" w:eastAsia="宋体" w:hAnsi="Times New Roman" w:cs="Times New Roman"/>
          <w:bCs/>
          <w:color w:val="000000" w:themeColor="text1"/>
          <w:sz w:val="24"/>
          <w:szCs w:val="24"/>
        </w:rPr>
        <w:t>690</w:t>
      </w:r>
      <w:r>
        <w:rPr>
          <w:rFonts w:ascii="Times New Roman" w:eastAsia="宋体" w:hAnsi="Times New Roman" w:cs="Times New Roman" w:hint="eastAsia"/>
          <w:bCs/>
          <w:color w:val="000000" w:themeColor="text1"/>
          <w:sz w:val="24"/>
          <w:szCs w:val="24"/>
        </w:rPr>
        <w:t>m</w:t>
      </w:r>
      <w:r>
        <w:rPr>
          <w:rFonts w:ascii="Times New Roman" w:eastAsia="宋体" w:hAnsi="Times New Roman" w:cs="Times New Roman"/>
          <w:bCs/>
          <w:color w:val="000000" w:themeColor="text1"/>
          <w:sz w:val="24"/>
          <w:szCs w:val="24"/>
        </w:rPr>
        <w:t>。各关心点氨气浓度均低于半致死浓度</w:t>
      </w:r>
      <w:r>
        <w:rPr>
          <w:rFonts w:ascii="Times New Roman" w:eastAsia="宋体" w:hAnsi="Times New Roman" w:cs="Times New Roman"/>
          <w:bCs/>
          <w:color w:val="000000" w:themeColor="text1"/>
          <w:sz w:val="24"/>
          <w:szCs w:val="24"/>
        </w:rPr>
        <w:t>1390mg/m</w:t>
      </w:r>
      <w:r>
        <w:rPr>
          <w:rFonts w:ascii="Times New Roman" w:eastAsia="宋体" w:hAnsi="Times New Roman" w:cs="Times New Roman"/>
          <w:bCs/>
          <w:color w:val="000000" w:themeColor="text1"/>
          <w:sz w:val="24"/>
          <w:szCs w:val="24"/>
          <w:vertAlign w:val="superscript"/>
        </w:rPr>
        <w:t>3</w:t>
      </w:r>
      <w:r>
        <w:rPr>
          <w:rFonts w:ascii="Times New Roman" w:eastAsia="宋体" w:hAnsi="Times New Roman" w:cs="Times New Roman"/>
          <w:bCs/>
          <w:color w:val="000000" w:themeColor="text1"/>
          <w:sz w:val="24"/>
          <w:szCs w:val="24"/>
        </w:rPr>
        <w:t>，</w:t>
      </w:r>
      <w:r>
        <w:rPr>
          <w:rFonts w:ascii="Times New Roman" w:eastAsia="宋体" w:hAnsi="Times New Roman" w:cs="Times New Roman"/>
          <w:color w:val="000000" w:themeColor="text1"/>
          <w:sz w:val="24"/>
          <w:szCs w:val="24"/>
        </w:rPr>
        <w:t>与同行业可接受风险水平</w:t>
      </w:r>
      <w:r>
        <w:rPr>
          <w:rFonts w:ascii="Times New Roman" w:eastAsia="宋体" w:hAnsi="Times New Roman" w:cs="Times New Roman"/>
          <w:color w:val="000000" w:themeColor="text1"/>
          <w:sz w:val="24"/>
          <w:szCs w:val="24"/>
        </w:rPr>
        <w:t>R</w:t>
      </w:r>
      <w:r>
        <w:rPr>
          <w:rFonts w:ascii="Times New Roman" w:eastAsia="宋体" w:hAnsi="Times New Roman" w:cs="Times New Roman"/>
          <w:color w:val="000000" w:themeColor="text1"/>
          <w:sz w:val="24"/>
          <w:szCs w:val="24"/>
          <w:vertAlign w:val="subscript"/>
        </w:rPr>
        <w:t>L</w:t>
      </w:r>
      <w:r>
        <w:rPr>
          <w:rFonts w:ascii="Times New Roman" w:eastAsia="宋体" w:hAnsi="Times New Roman" w:cs="Times New Roman"/>
          <w:color w:val="000000" w:themeColor="text1"/>
          <w:sz w:val="24"/>
          <w:szCs w:val="24"/>
        </w:rPr>
        <w:t>（化工行业为</w:t>
      </w:r>
      <w:r>
        <w:rPr>
          <w:rFonts w:ascii="Times New Roman" w:eastAsia="宋体" w:hAnsi="Times New Roman" w:cs="Times New Roman"/>
          <w:color w:val="000000" w:themeColor="text1"/>
          <w:sz w:val="24"/>
          <w:szCs w:val="24"/>
        </w:rPr>
        <w:t>8.33×10</w:t>
      </w:r>
      <w:r>
        <w:rPr>
          <w:rFonts w:ascii="Times New Roman" w:eastAsia="宋体" w:hAnsi="Times New Roman" w:cs="Times New Roman"/>
          <w:color w:val="000000" w:themeColor="text1"/>
          <w:sz w:val="24"/>
          <w:szCs w:val="24"/>
          <w:vertAlign w:val="superscript"/>
        </w:rPr>
        <w:t>-5</w:t>
      </w:r>
      <w:r>
        <w:rPr>
          <w:rFonts w:ascii="Times New Roman" w:eastAsia="宋体" w:hAnsi="Times New Roman" w:cs="Times New Roman"/>
          <w:color w:val="000000" w:themeColor="text1"/>
          <w:sz w:val="24"/>
          <w:szCs w:val="24"/>
        </w:rPr>
        <w:t>）相比，本项目的风险水平是可以接受的。</w:t>
      </w:r>
      <w:r>
        <w:rPr>
          <w:rFonts w:ascii="Times New Roman" w:eastAsia="宋体" w:hAnsi="Times New Roman" w:cs="Times New Roman"/>
          <w:bCs/>
          <w:color w:val="000000" w:themeColor="text1"/>
          <w:sz w:val="24"/>
          <w:szCs w:val="24"/>
        </w:rPr>
        <w:t>但所有关心点氨气浓度均超过短时间接触允许浓度限值</w:t>
      </w:r>
      <w:r>
        <w:rPr>
          <w:rFonts w:ascii="Times New Roman" w:eastAsia="宋体" w:hAnsi="Times New Roman" w:cs="Times New Roman"/>
          <w:bCs/>
          <w:color w:val="000000" w:themeColor="text1"/>
          <w:sz w:val="24"/>
          <w:szCs w:val="24"/>
        </w:rPr>
        <w:t>30mg/m</w:t>
      </w:r>
      <w:r>
        <w:rPr>
          <w:rFonts w:ascii="Times New Roman" w:eastAsia="宋体" w:hAnsi="Times New Roman" w:cs="Times New Roman"/>
          <w:bCs/>
          <w:color w:val="000000" w:themeColor="text1"/>
          <w:sz w:val="24"/>
          <w:szCs w:val="24"/>
          <w:vertAlign w:val="superscript"/>
        </w:rPr>
        <w:t>3</w:t>
      </w:r>
      <w:r>
        <w:rPr>
          <w:rFonts w:ascii="Times New Roman" w:eastAsia="宋体" w:hAnsi="Times New Roman" w:cs="Times New Roman"/>
          <w:bCs/>
          <w:color w:val="000000" w:themeColor="text1"/>
          <w:sz w:val="24"/>
          <w:szCs w:val="24"/>
        </w:rPr>
        <w:t>和</w:t>
      </w:r>
      <w:r>
        <w:rPr>
          <w:rFonts w:ascii="Times New Roman" w:eastAsia="宋体" w:hAnsi="Times New Roman" w:cs="Times New Roman" w:hint="eastAsia"/>
          <w:bCs/>
          <w:color w:val="000000" w:themeColor="text1"/>
          <w:sz w:val="24"/>
          <w:szCs w:val="24"/>
        </w:rPr>
        <w:t>《</w:t>
      </w:r>
      <w:r>
        <w:rPr>
          <w:rFonts w:ascii="Times New Roman" w:eastAsia="宋体" w:hAnsi="Times New Roman" w:cs="Times New Roman"/>
          <w:color w:val="000000" w:themeColor="text1"/>
          <w:sz w:val="24"/>
          <w:szCs w:val="24"/>
        </w:rPr>
        <w:t>环境影响评价技术导则</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大气环境》（</w:t>
      </w:r>
      <w:r>
        <w:rPr>
          <w:rFonts w:ascii="Times New Roman" w:eastAsia="宋体" w:hAnsi="Times New Roman" w:cs="Times New Roman"/>
          <w:color w:val="000000" w:themeColor="text1"/>
          <w:sz w:val="24"/>
          <w:szCs w:val="24"/>
        </w:rPr>
        <w:t>HJ2.2-2018</w:t>
      </w:r>
      <w:r>
        <w:rPr>
          <w:rFonts w:ascii="Times New Roman" w:eastAsia="宋体" w:hAnsi="Times New Roman" w:cs="Times New Roman"/>
          <w:color w:val="000000" w:themeColor="text1"/>
          <w:sz w:val="24"/>
          <w:szCs w:val="24"/>
        </w:rPr>
        <w:t>）中附录</w:t>
      </w:r>
      <w:r>
        <w:rPr>
          <w:rFonts w:ascii="Times New Roman" w:eastAsia="宋体" w:hAnsi="Times New Roman" w:cs="Times New Roman"/>
          <w:color w:val="000000" w:themeColor="text1"/>
          <w:sz w:val="24"/>
          <w:szCs w:val="24"/>
        </w:rPr>
        <w:t>D</w:t>
      </w:r>
      <w:r>
        <w:rPr>
          <w:rFonts w:ascii="Times New Roman" w:eastAsia="宋体" w:hAnsi="Times New Roman" w:cs="Times New Roman"/>
          <w:color w:val="000000" w:themeColor="text1"/>
          <w:sz w:val="24"/>
          <w:szCs w:val="24"/>
        </w:rPr>
        <w:t>表</w:t>
      </w:r>
      <w:r>
        <w:rPr>
          <w:rFonts w:ascii="Times New Roman" w:eastAsia="宋体" w:hAnsi="Times New Roman" w:cs="Times New Roman"/>
          <w:color w:val="000000" w:themeColor="text1"/>
          <w:sz w:val="24"/>
          <w:szCs w:val="24"/>
        </w:rPr>
        <w:t>D.1</w:t>
      </w:r>
      <w:r>
        <w:rPr>
          <w:rFonts w:ascii="Times New Roman" w:eastAsia="宋体" w:hAnsi="Times New Roman" w:cs="Times New Roman"/>
          <w:color w:val="000000" w:themeColor="text1"/>
          <w:sz w:val="24"/>
          <w:szCs w:val="24"/>
        </w:rPr>
        <w:t>其他污染物氨的空气质量浓度参考限值</w:t>
      </w:r>
      <w:r>
        <w:rPr>
          <w:rFonts w:ascii="Times New Roman" w:eastAsia="宋体" w:hAnsi="Times New Roman" w:cs="Times New Roman"/>
          <w:color w:val="000000" w:themeColor="text1"/>
          <w:sz w:val="24"/>
          <w:szCs w:val="24"/>
        </w:rPr>
        <w:t>200u</w:t>
      </w:r>
      <w:r>
        <w:rPr>
          <w:rFonts w:ascii="Times New Roman" w:eastAsia="宋体" w:hAnsi="Times New Roman" w:cs="Times New Roman"/>
          <w:bCs/>
          <w:color w:val="000000" w:themeColor="text1"/>
          <w:sz w:val="24"/>
          <w:szCs w:val="24"/>
        </w:rPr>
        <w:t>g/m</w:t>
      </w:r>
      <w:r>
        <w:rPr>
          <w:rFonts w:ascii="Times New Roman" w:eastAsia="宋体" w:hAnsi="Times New Roman" w:cs="Times New Roman"/>
          <w:bCs/>
          <w:color w:val="000000" w:themeColor="text1"/>
          <w:sz w:val="24"/>
          <w:szCs w:val="24"/>
          <w:vertAlign w:val="superscript"/>
        </w:rPr>
        <w:t>3</w:t>
      </w:r>
      <w:r>
        <w:rPr>
          <w:rFonts w:ascii="Times New Roman" w:eastAsia="宋体" w:hAnsi="Times New Roman" w:cs="Times New Roman"/>
          <w:bCs/>
          <w:color w:val="000000" w:themeColor="text1"/>
          <w:sz w:val="24"/>
          <w:szCs w:val="24"/>
        </w:rPr>
        <w:t>，</w:t>
      </w:r>
      <w:r>
        <w:rPr>
          <w:rFonts w:ascii="Times New Roman" w:eastAsia="宋体" w:hAnsi="Times New Roman" w:cs="Times New Roman"/>
          <w:color w:val="000000" w:themeColor="text1"/>
          <w:sz w:val="24"/>
          <w:szCs w:val="24"/>
        </w:rPr>
        <w:t>一旦液氨发生泄漏时，对环境产生一定的影响，针对可能发生的风险事故，建设单位应加强运输管道、连接阀门等设备的运营维护和日常管理工作，落实各项风险防范措施，制定公司危险化学品风险应急预案，降低风险事故的发生概率，减小事故发生时对环境的影响范围和程度。</w:t>
      </w:r>
    </w:p>
    <w:p w:rsidR="00C861DA" w:rsidRDefault="00C861DA">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pPr>
    </w:p>
    <w:p w:rsidR="00C861DA" w:rsidRDefault="00C861DA">
      <w:pPr>
        <w:pStyle w:val="21"/>
        <w:rPr>
          <w:color w:val="000000" w:themeColor="text1"/>
        </w:rPr>
        <w:sectPr w:rsidR="00C861DA">
          <w:pgSz w:w="11906" w:h="16838"/>
          <w:pgMar w:top="1440" w:right="1800" w:bottom="1440" w:left="1800" w:header="851" w:footer="992" w:gutter="0"/>
          <w:cols w:space="425"/>
          <w:docGrid w:type="lines" w:linePitch="312"/>
        </w:sectPr>
      </w:pPr>
    </w:p>
    <w:bookmarkStart w:id="583" w:name="_Toc26308"/>
    <w:bookmarkStart w:id="584" w:name="_Toc7581"/>
    <w:bookmarkStart w:id="585" w:name="_Toc13946"/>
    <w:bookmarkStart w:id="586" w:name="_Toc23606"/>
    <w:p w:rsidR="00C861DA" w:rsidRDefault="0044752E">
      <w:pPr>
        <w:pStyle w:val="12"/>
        <w:jc w:val="center"/>
        <w:rPr>
          <w:rFonts w:ascii="Times New Roman" w:eastAsia="宋体"/>
          <w:b/>
          <w:color w:val="000000" w:themeColor="text1"/>
          <w:sz w:val="28"/>
          <w:szCs w:val="24"/>
        </w:rPr>
      </w:pPr>
      <w:r>
        <w:rPr>
          <w:rFonts w:ascii="Times New Roman" w:eastAsia="宋体"/>
          <w:b/>
          <w:color w:val="000000" w:themeColor="text1"/>
          <w:sz w:val="28"/>
          <w:szCs w:val="24"/>
        </w:rPr>
        <w:fldChar w:fldCharType="begin"/>
      </w:r>
      <w:r>
        <w:rPr>
          <w:rFonts w:ascii="Times New Roman" w:eastAsia="宋体"/>
          <w:b/>
          <w:color w:val="000000" w:themeColor="text1"/>
          <w:sz w:val="28"/>
          <w:szCs w:val="24"/>
        </w:rPr>
        <w:instrText xml:space="preserve"> HYPERLINK \l "_Toc512505554" </w:instrText>
      </w:r>
      <w:r>
        <w:rPr>
          <w:rFonts w:ascii="Times New Roman" w:eastAsia="宋体"/>
          <w:b/>
          <w:color w:val="000000" w:themeColor="text1"/>
          <w:sz w:val="28"/>
          <w:szCs w:val="24"/>
        </w:rPr>
        <w:fldChar w:fldCharType="separate"/>
      </w:r>
      <w:bookmarkStart w:id="587" w:name="_Toc6826905"/>
      <w:r>
        <w:rPr>
          <w:rFonts w:ascii="Times New Roman" w:eastAsia="宋体" w:hint="eastAsia"/>
          <w:b/>
          <w:color w:val="000000" w:themeColor="text1"/>
          <w:sz w:val="28"/>
          <w:szCs w:val="24"/>
        </w:rPr>
        <w:t>9</w:t>
      </w:r>
      <w:r>
        <w:rPr>
          <w:rFonts w:ascii="Times New Roman" w:eastAsia="宋体" w:hint="eastAsia"/>
          <w:b/>
          <w:color w:val="000000" w:themeColor="text1"/>
          <w:sz w:val="28"/>
          <w:szCs w:val="24"/>
        </w:rPr>
        <w:t>、产业政策及选址合理性</w:t>
      </w:r>
      <w:bookmarkEnd w:id="587"/>
      <w:r>
        <w:rPr>
          <w:rFonts w:ascii="Times New Roman" w:eastAsia="宋体"/>
          <w:b/>
          <w:color w:val="000000" w:themeColor="text1"/>
          <w:sz w:val="28"/>
          <w:szCs w:val="24"/>
        </w:rPr>
        <w:fldChar w:fldCharType="end"/>
      </w:r>
      <w:bookmarkEnd w:id="583"/>
      <w:bookmarkEnd w:id="584"/>
      <w:bookmarkEnd w:id="585"/>
      <w:bookmarkEnd w:id="586"/>
    </w:p>
    <w:p w:rsidR="00C861DA" w:rsidRDefault="0044752E">
      <w:pPr>
        <w:pStyle w:val="22"/>
        <w:rPr>
          <w:rFonts w:ascii="Times New Roman" w:eastAsia="宋体" w:hAnsi="Times New Roman"/>
          <w:bCs w:val="0"/>
          <w:color w:val="000000" w:themeColor="text1"/>
          <w:sz w:val="28"/>
          <w:szCs w:val="28"/>
        </w:rPr>
      </w:pPr>
      <w:bookmarkStart w:id="588" w:name="_Toc6826906"/>
      <w:bookmarkStart w:id="589" w:name="_Toc21247"/>
      <w:bookmarkStart w:id="590" w:name="_Toc12752"/>
      <w:bookmarkStart w:id="591" w:name="_Toc310941539"/>
      <w:bookmarkStart w:id="592" w:name="_Toc439099182"/>
      <w:bookmarkStart w:id="593" w:name="_Toc233768635"/>
      <w:bookmarkStart w:id="594" w:name="_Toc5643"/>
      <w:bookmarkStart w:id="595" w:name="_Toc15601"/>
      <w:r>
        <w:rPr>
          <w:rFonts w:ascii="Times New Roman" w:eastAsia="宋体" w:hAnsi="Times New Roman" w:hint="eastAsia"/>
          <w:bCs w:val="0"/>
          <w:color w:val="000000" w:themeColor="text1"/>
          <w:sz w:val="28"/>
          <w:szCs w:val="28"/>
        </w:rPr>
        <w:t>9.1</w:t>
      </w:r>
      <w:r>
        <w:rPr>
          <w:rFonts w:ascii="Times New Roman" w:eastAsia="宋体" w:hAnsi="Times New Roman" w:hint="eastAsia"/>
          <w:bCs w:val="0"/>
          <w:color w:val="000000" w:themeColor="text1"/>
          <w:sz w:val="28"/>
          <w:szCs w:val="28"/>
        </w:rPr>
        <w:t>与国家产业政策符合性分析</w:t>
      </w:r>
      <w:bookmarkEnd w:id="588"/>
      <w:bookmarkEnd w:id="589"/>
      <w:bookmarkEnd w:id="590"/>
      <w:bookmarkEnd w:id="591"/>
      <w:bookmarkEnd w:id="592"/>
      <w:bookmarkEnd w:id="593"/>
      <w:bookmarkEnd w:id="594"/>
      <w:bookmarkEnd w:id="595"/>
    </w:p>
    <w:p w:rsidR="00C861DA" w:rsidRDefault="0044752E">
      <w:pPr>
        <w:pStyle w:val="32"/>
        <w:rPr>
          <w:rFonts w:ascii="Times New Roman" w:eastAsia="宋体"/>
          <w:bCs w:val="0"/>
          <w:color w:val="000000" w:themeColor="text1"/>
          <w:sz w:val="24"/>
          <w:szCs w:val="24"/>
        </w:rPr>
      </w:pPr>
      <w:bookmarkStart w:id="596" w:name="_Toc6826907"/>
      <w:r>
        <w:rPr>
          <w:rFonts w:ascii="Times New Roman" w:eastAsia="宋体" w:hint="eastAsia"/>
          <w:bCs w:val="0"/>
          <w:color w:val="000000" w:themeColor="text1"/>
          <w:sz w:val="24"/>
          <w:szCs w:val="24"/>
        </w:rPr>
        <w:t>9</w:t>
      </w:r>
      <w:r>
        <w:rPr>
          <w:rFonts w:ascii="Times New Roman" w:eastAsia="宋体"/>
          <w:bCs w:val="0"/>
          <w:color w:val="000000" w:themeColor="text1"/>
          <w:sz w:val="24"/>
          <w:szCs w:val="24"/>
        </w:rPr>
        <w:t>.1.1</w:t>
      </w:r>
      <w:r>
        <w:rPr>
          <w:rFonts w:ascii="Times New Roman" w:eastAsia="宋体" w:hint="eastAsia"/>
          <w:bCs w:val="0"/>
          <w:color w:val="000000" w:themeColor="text1"/>
          <w:sz w:val="24"/>
          <w:szCs w:val="24"/>
        </w:rPr>
        <w:t>与</w:t>
      </w:r>
      <w:r>
        <w:rPr>
          <w:rFonts w:ascii="Times New Roman" w:eastAsia="宋体"/>
          <w:bCs w:val="0"/>
          <w:color w:val="000000" w:themeColor="text1"/>
          <w:sz w:val="24"/>
          <w:szCs w:val="24"/>
        </w:rPr>
        <w:t>《产业结构调整指导目录（</w:t>
      </w:r>
      <w:r>
        <w:rPr>
          <w:rFonts w:ascii="Times New Roman" w:eastAsia="宋体"/>
          <w:bCs w:val="0"/>
          <w:color w:val="000000" w:themeColor="text1"/>
          <w:sz w:val="24"/>
          <w:szCs w:val="24"/>
        </w:rPr>
        <w:t>2011</w:t>
      </w:r>
      <w:r>
        <w:rPr>
          <w:rFonts w:ascii="Times New Roman" w:eastAsia="宋体"/>
          <w:bCs w:val="0"/>
          <w:color w:val="000000" w:themeColor="text1"/>
          <w:sz w:val="24"/>
          <w:szCs w:val="24"/>
        </w:rPr>
        <w:t>年本）》（</w:t>
      </w:r>
      <w:r>
        <w:rPr>
          <w:rFonts w:ascii="Times New Roman" w:eastAsia="宋体"/>
          <w:bCs w:val="0"/>
          <w:color w:val="000000" w:themeColor="text1"/>
          <w:sz w:val="24"/>
          <w:szCs w:val="24"/>
        </w:rPr>
        <w:t>2013</w:t>
      </w:r>
      <w:r>
        <w:rPr>
          <w:rFonts w:ascii="Times New Roman" w:eastAsia="宋体"/>
          <w:bCs w:val="0"/>
          <w:color w:val="000000" w:themeColor="text1"/>
          <w:sz w:val="24"/>
          <w:szCs w:val="24"/>
        </w:rPr>
        <w:t>年修正）</w:t>
      </w:r>
      <w:r>
        <w:rPr>
          <w:rFonts w:ascii="Times New Roman" w:eastAsia="宋体" w:hint="eastAsia"/>
          <w:bCs w:val="0"/>
          <w:color w:val="000000" w:themeColor="text1"/>
          <w:sz w:val="24"/>
          <w:szCs w:val="24"/>
        </w:rPr>
        <w:t>符合性分析</w:t>
      </w:r>
      <w:bookmarkEnd w:id="596"/>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本项目以液氨、磷酸一铵、硫酸钾</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有机质及二氧化碳气等生产绿色有机硝基复合肥和绿色有机尿基复合肥，根据国家发改委</w:t>
      </w:r>
      <w:r>
        <w:rPr>
          <w:rFonts w:ascii="Times New Roman" w:eastAsia="宋体" w:hAnsi="Times New Roman" w:cs="Times New Roman"/>
          <w:color w:val="000000" w:themeColor="text1"/>
          <w:sz w:val="24"/>
        </w:rPr>
        <w:t>2011</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9</w:t>
      </w:r>
      <w:r>
        <w:rPr>
          <w:rFonts w:ascii="Times New Roman" w:eastAsia="宋体" w:hAnsi="Times New Roman" w:cs="Times New Roman"/>
          <w:color w:val="000000" w:themeColor="text1"/>
          <w:sz w:val="24"/>
        </w:rPr>
        <w:t>号令及</w:t>
      </w:r>
      <w:r>
        <w:rPr>
          <w:rFonts w:ascii="Times New Roman" w:eastAsia="宋体" w:hAnsi="Times New Roman" w:cs="Times New Roman"/>
          <w:color w:val="000000" w:themeColor="text1"/>
          <w:sz w:val="24"/>
        </w:rPr>
        <w:t>2013</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21</w:t>
      </w:r>
      <w:r>
        <w:rPr>
          <w:rFonts w:ascii="Times New Roman" w:eastAsia="宋体" w:hAnsi="Times New Roman" w:cs="Times New Roman"/>
          <w:color w:val="000000" w:themeColor="text1"/>
          <w:sz w:val="24"/>
        </w:rPr>
        <w:t>号令公布的《产业结构调整指导目录》（</w:t>
      </w:r>
      <w:r>
        <w:rPr>
          <w:rFonts w:ascii="Times New Roman" w:eastAsia="宋体" w:hAnsi="Times New Roman" w:cs="Times New Roman"/>
          <w:color w:val="000000" w:themeColor="text1"/>
          <w:sz w:val="24"/>
        </w:rPr>
        <w:t>2011</w:t>
      </w:r>
      <w:r>
        <w:rPr>
          <w:rFonts w:ascii="Times New Roman" w:eastAsia="宋体" w:hAnsi="Times New Roman" w:cs="Times New Roman"/>
          <w:color w:val="000000" w:themeColor="text1"/>
          <w:sz w:val="24"/>
        </w:rPr>
        <w:t>年本）（</w:t>
      </w:r>
      <w:r>
        <w:rPr>
          <w:rFonts w:ascii="Times New Roman" w:eastAsia="宋体" w:hAnsi="Times New Roman" w:cs="Times New Roman"/>
          <w:color w:val="000000" w:themeColor="text1"/>
          <w:sz w:val="24"/>
        </w:rPr>
        <w:t>2013</w:t>
      </w:r>
      <w:r>
        <w:rPr>
          <w:rFonts w:ascii="Times New Roman" w:eastAsia="宋体" w:hAnsi="Times New Roman" w:cs="Times New Roman"/>
          <w:color w:val="000000" w:themeColor="text1"/>
          <w:sz w:val="24"/>
        </w:rPr>
        <w:t>年修正）为鼓励类第一条农林业</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第</w:t>
      </w:r>
      <w:r>
        <w:rPr>
          <w:rFonts w:ascii="Times New Roman" w:eastAsia="宋体" w:hAnsi="Times New Roman" w:cs="Times New Roman"/>
          <w:color w:val="000000" w:themeColor="text1"/>
          <w:sz w:val="24"/>
        </w:rPr>
        <w:t>30</w:t>
      </w:r>
      <w:r>
        <w:rPr>
          <w:rFonts w:ascii="Times New Roman" w:eastAsia="宋体" w:hAnsi="Times New Roman" w:cs="Times New Roman"/>
          <w:color w:val="000000" w:themeColor="text1"/>
          <w:sz w:val="24"/>
        </w:rPr>
        <w:t>小条</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有机废弃物无害化处理及有机肥料产业化技术开发与应用</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w:t>
      </w:r>
    </w:p>
    <w:p w:rsidR="00C861DA" w:rsidRDefault="0044752E">
      <w:pPr>
        <w:spacing w:line="360" w:lineRule="auto"/>
        <w:ind w:firstLineChars="200" w:firstLine="480"/>
        <w:rPr>
          <w:color w:val="000000" w:themeColor="text1"/>
        </w:rPr>
      </w:pPr>
      <w:r>
        <w:rPr>
          <w:rFonts w:ascii="Times New Roman" w:eastAsia="宋体" w:hAnsi="Times New Roman" w:cs="Times New Roman"/>
          <w:color w:val="000000" w:themeColor="text1"/>
          <w:sz w:val="24"/>
        </w:rPr>
        <w:t>通过查阅《淘汰落后生产能力、工艺和产品的目录》本项目生产的工艺、产品及制造过程中涉及的设备均不在目录规定的范围内</w:t>
      </w:r>
      <w:r>
        <w:rPr>
          <w:rFonts w:ascii="Times New Roman" w:eastAsia="宋体" w:hAnsi="Times New Roman" w:cs="Times New Roman" w:hint="eastAsia"/>
          <w:color w:val="000000" w:themeColor="text1"/>
          <w:sz w:val="24"/>
        </w:rPr>
        <w:t>。</w:t>
      </w:r>
    </w:p>
    <w:p w:rsidR="00C861DA" w:rsidRDefault="0044752E">
      <w:pPr>
        <w:pStyle w:val="22"/>
        <w:rPr>
          <w:rFonts w:ascii="Times New Roman" w:eastAsia="宋体" w:hAnsi="Times New Roman"/>
          <w:bCs w:val="0"/>
          <w:color w:val="000000" w:themeColor="text1"/>
          <w:sz w:val="28"/>
          <w:szCs w:val="28"/>
        </w:rPr>
      </w:pPr>
      <w:bookmarkStart w:id="597" w:name="_Toc6826908"/>
      <w:r>
        <w:rPr>
          <w:rFonts w:ascii="Times New Roman" w:eastAsia="宋体" w:hAnsi="Times New Roman"/>
          <w:bCs w:val="0"/>
          <w:color w:val="000000" w:themeColor="text1"/>
          <w:sz w:val="28"/>
          <w:szCs w:val="28"/>
        </w:rPr>
        <w:t>9.2</w:t>
      </w:r>
      <w:r>
        <w:rPr>
          <w:rFonts w:ascii="Times New Roman" w:eastAsia="宋体" w:hAnsi="Times New Roman" w:hint="eastAsia"/>
          <w:bCs w:val="0"/>
          <w:color w:val="000000" w:themeColor="text1"/>
          <w:sz w:val="28"/>
          <w:szCs w:val="28"/>
        </w:rPr>
        <w:t>区域规划相符性分析</w:t>
      </w:r>
      <w:bookmarkEnd w:id="597"/>
    </w:p>
    <w:p w:rsidR="00C861DA" w:rsidRDefault="0044752E">
      <w:pPr>
        <w:pStyle w:val="32"/>
        <w:rPr>
          <w:rFonts w:ascii="Times New Roman" w:eastAsia="宋体"/>
          <w:bCs w:val="0"/>
          <w:color w:val="000000" w:themeColor="text1"/>
          <w:sz w:val="24"/>
          <w:szCs w:val="24"/>
        </w:rPr>
      </w:pPr>
      <w:bookmarkStart w:id="598" w:name="_Toc6826909"/>
      <w:r>
        <w:rPr>
          <w:rFonts w:ascii="Times New Roman" w:eastAsia="宋体"/>
          <w:bCs w:val="0"/>
          <w:color w:val="000000" w:themeColor="text1"/>
          <w:sz w:val="24"/>
          <w:szCs w:val="24"/>
        </w:rPr>
        <w:t>9.2.1</w:t>
      </w:r>
      <w:r>
        <w:rPr>
          <w:rFonts w:ascii="Times New Roman" w:eastAsia="宋体" w:hint="eastAsia"/>
          <w:bCs w:val="0"/>
          <w:color w:val="000000" w:themeColor="text1"/>
          <w:sz w:val="24"/>
          <w:szCs w:val="24"/>
        </w:rPr>
        <w:t>与</w:t>
      </w:r>
      <w:r>
        <w:rPr>
          <w:rFonts w:ascii="Times New Roman" w:eastAsia="宋体"/>
          <w:bCs w:val="0"/>
          <w:color w:val="000000" w:themeColor="text1"/>
          <w:sz w:val="24"/>
          <w:szCs w:val="24"/>
        </w:rPr>
        <w:t>安宁市城市总体规划（</w:t>
      </w:r>
      <w:r>
        <w:rPr>
          <w:rFonts w:ascii="Times New Roman" w:eastAsia="宋体"/>
          <w:bCs w:val="0"/>
          <w:color w:val="000000" w:themeColor="text1"/>
          <w:sz w:val="24"/>
          <w:szCs w:val="24"/>
        </w:rPr>
        <w:t>2008</w:t>
      </w:r>
      <w:r>
        <w:rPr>
          <w:rFonts w:ascii="Times New Roman" w:eastAsia="宋体"/>
          <w:bCs w:val="0"/>
          <w:color w:val="000000" w:themeColor="text1"/>
          <w:sz w:val="24"/>
          <w:szCs w:val="24"/>
        </w:rPr>
        <w:t>－</w:t>
      </w:r>
      <w:r>
        <w:rPr>
          <w:rFonts w:ascii="Times New Roman" w:eastAsia="宋体"/>
          <w:bCs w:val="0"/>
          <w:color w:val="000000" w:themeColor="text1"/>
          <w:sz w:val="24"/>
          <w:szCs w:val="24"/>
        </w:rPr>
        <w:t>2020</w:t>
      </w:r>
      <w:r>
        <w:rPr>
          <w:rFonts w:ascii="Times New Roman" w:eastAsia="宋体"/>
          <w:bCs w:val="0"/>
          <w:color w:val="000000" w:themeColor="text1"/>
          <w:sz w:val="24"/>
          <w:szCs w:val="24"/>
        </w:rPr>
        <w:t>）</w:t>
      </w:r>
      <w:r>
        <w:rPr>
          <w:rFonts w:ascii="Times New Roman" w:eastAsia="宋体" w:hint="eastAsia"/>
          <w:bCs w:val="0"/>
          <w:color w:val="000000" w:themeColor="text1"/>
          <w:sz w:val="24"/>
          <w:szCs w:val="24"/>
        </w:rPr>
        <w:t>符合性分析</w:t>
      </w:r>
      <w:bookmarkEnd w:id="598"/>
    </w:p>
    <w:p w:rsidR="00C861DA" w:rsidRDefault="0044752E">
      <w:pPr>
        <w:spacing w:line="360" w:lineRule="auto"/>
        <w:ind w:leftChars="50" w:left="105" w:rightChars="50" w:right="105"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安宁市城市总体规划（</w:t>
      </w:r>
      <w:r>
        <w:rPr>
          <w:rFonts w:ascii="Times New Roman" w:eastAsia="宋体" w:hint="eastAsia"/>
          <w:color w:val="000000" w:themeColor="text1"/>
          <w:sz w:val="24"/>
          <w:szCs w:val="24"/>
        </w:rPr>
        <w:t>2</w:t>
      </w:r>
      <w:r>
        <w:rPr>
          <w:rFonts w:ascii="Times New Roman" w:eastAsia="宋体"/>
          <w:color w:val="000000" w:themeColor="text1"/>
          <w:sz w:val="24"/>
          <w:szCs w:val="24"/>
        </w:rPr>
        <w:t>008-2020</w:t>
      </w:r>
      <w:r>
        <w:rPr>
          <w:rFonts w:ascii="Times New Roman" w:eastAsia="宋体" w:hint="eastAsia"/>
          <w:color w:val="000000" w:themeColor="text1"/>
          <w:sz w:val="24"/>
          <w:szCs w:val="24"/>
        </w:rPr>
        <w:t>）基本情况如下</w:t>
      </w:r>
    </w:p>
    <w:p w:rsidR="00C861DA" w:rsidRDefault="0044752E">
      <w:pPr>
        <w:spacing w:line="360" w:lineRule="auto"/>
        <w:ind w:leftChars="50" w:left="105" w:rightChars="50" w:right="105" w:firstLineChars="200" w:firstLine="482"/>
        <w:rPr>
          <w:rFonts w:ascii="Times New Roman" w:eastAsia="宋体"/>
          <w:b/>
          <w:color w:val="000000" w:themeColor="text1"/>
          <w:sz w:val="24"/>
          <w:szCs w:val="24"/>
        </w:rPr>
      </w:pPr>
      <w:r>
        <w:rPr>
          <w:rFonts w:ascii="Times New Roman" w:eastAsia="宋体" w:hint="eastAsia"/>
          <w:b/>
          <w:color w:val="000000" w:themeColor="text1"/>
          <w:sz w:val="24"/>
          <w:szCs w:val="24"/>
        </w:rPr>
        <w:t>（</w:t>
      </w:r>
      <w:r>
        <w:rPr>
          <w:rFonts w:ascii="Times New Roman" w:eastAsia="宋体" w:hint="eastAsia"/>
          <w:b/>
          <w:color w:val="000000" w:themeColor="text1"/>
          <w:sz w:val="24"/>
          <w:szCs w:val="24"/>
        </w:rPr>
        <w:t>1</w:t>
      </w:r>
      <w:r>
        <w:rPr>
          <w:rFonts w:ascii="Times New Roman" w:eastAsia="宋体" w:hint="eastAsia"/>
          <w:b/>
          <w:color w:val="000000" w:themeColor="text1"/>
          <w:sz w:val="24"/>
          <w:szCs w:val="24"/>
        </w:rPr>
        <w:t>）</w:t>
      </w:r>
      <w:r>
        <w:rPr>
          <w:rFonts w:ascii="Times New Roman" w:eastAsia="宋体"/>
          <w:b/>
          <w:color w:val="000000" w:themeColor="text1"/>
          <w:sz w:val="24"/>
          <w:szCs w:val="24"/>
        </w:rPr>
        <w:t>总体布局结构</w:t>
      </w:r>
    </w:p>
    <w:p w:rsidR="00C861DA" w:rsidRDefault="0044752E">
      <w:pPr>
        <w:spacing w:line="360" w:lineRule="auto"/>
        <w:ind w:leftChars="50" w:left="105" w:rightChars="50" w:right="105" w:firstLineChars="200" w:firstLine="480"/>
        <w:rPr>
          <w:rFonts w:ascii="Times New Roman" w:eastAsia="宋体"/>
          <w:color w:val="000000" w:themeColor="text1"/>
          <w:sz w:val="24"/>
          <w:szCs w:val="24"/>
        </w:rPr>
      </w:pPr>
      <w:r>
        <w:rPr>
          <w:rFonts w:ascii="Times New Roman" w:eastAsia="宋体"/>
          <w:color w:val="000000" w:themeColor="text1"/>
          <w:sz w:val="24"/>
          <w:szCs w:val="24"/>
        </w:rPr>
        <w:t>形成</w:t>
      </w:r>
      <w:r>
        <w:rPr>
          <w:rFonts w:ascii="Times New Roman" w:eastAsia="宋体"/>
          <w:color w:val="000000" w:themeColor="text1"/>
          <w:sz w:val="24"/>
          <w:szCs w:val="24"/>
        </w:rPr>
        <w:t>“</w:t>
      </w:r>
      <w:r>
        <w:rPr>
          <w:rFonts w:ascii="Times New Roman" w:eastAsia="宋体"/>
          <w:color w:val="000000" w:themeColor="text1"/>
          <w:sz w:val="24"/>
          <w:szCs w:val="24"/>
        </w:rPr>
        <w:t>三区一带</w:t>
      </w:r>
      <w:r>
        <w:rPr>
          <w:rFonts w:ascii="Times New Roman" w:eastAsia="宋体"/>
          <w:color w:val="000000" w:themeColor="text1"/>
          <w:sz w:val="24"/>
          <w:szCs w:val="24"/>
        </w:rPr>
        <w:t>”</w:t>
      </w:r>
      <w:r>
        <w:rPr>
          <w:rFonts w:ascii="Times New Roman" w:eastAsia="宋体"/>
          <w:color w:val="000000" w:themeColor="text1"/>
          <w:sz w:val="24"/>
          <w:szCs w:val="24"/>
        </w:rPr>
        <w:t>的城市空间发展布局结构，三区为城市中心区、工业园区、水资源保护及生态农业区，一带为螳螂川旅游度假与景观带。</w:t>
      </w:r>
    </w:p>
    <w:p w:rsidR="00C861DA" w:rsidRDefault="0044752E">
      <w:pPr>
        <w:spacing w:line="360" w:lineRule="auto"/>
        <w:ind w:leftChars="50" w:left="105" w:rightChars="50" w:right="105" w:firstLineChars="200" w:firstLine="482"/>
        <w:rPr>
          <w:rFonts w:ascii="Times New Roman" w:eastAsia="宋体"/>
          <w:b/>
          <w:color w:val="000000" w:themeColor="text1"/>
          <w:sz w:val="24"/>
          <w:szCs w:val="24"/>
        </w:rPr>
      </w:pPr>
      <w:r>
        <w:rPr>
          <w:rFonts w:ascii="Times New Roman" w:eastAsia="宋体" w:hint="eastAsia"/>
          <w:b/>
          <w:color w:val="000000" w:themeColor="text1"/>
          <w:sz w:val="24"/>
          <w:szCs w:val="24"/>
        </w:rPr>
        <w:t>（</w:t>
      </w:r>
      <w:r>
        <w:rPr>
          <w:rFonts w:ascii="Times New Roman" w:eastAsia="宋体" w:hint="eastAsia"/>
          <w:b/>
          <w:color w:val="000000" w:themeColor="text1"/>
          <w:sz w:val="24"/>
          <w:szCs w:val="24"/>
        </w:rPr>
        <w:t>2</w:t>
      </w:r>
      <w:r>
        <w:rPr>
          <w:rFonts w:ascii="Times New Roman" w:eastAsia="宋体" w:hint="eastAsia"/>
          <w:b/>
          <w:color w:val="000000" w:themeColor="text1"/>
          <w:sz w:val="24"/>
          <w:szCs w:val="24"/>
        </w:rPr>
        <w:t>）</w:t>
      </w:r>
      <w:r>
        <w:rPr>
          <w:rFonts w:ascii="Times New Roman" w:eastAsia="宋体"/>
          <w:b/>
          <w:color w:val="000000" w:themeColor="text1"/>
          <w:sz w:val="24"/>
          <w:szCs w:val="24"/>
        </w:rPr>
        <w:t>城市中心区</w:t>
      </w:r>
    </w:p>
    <w:p w:rsidR="00C861DA" w:rsidRDefault="0044752E">
      <w:pPr>
        <w:spacing w:line="360" w:lineRule="auto"/>
        <w:ind w:leftChars="50" w:left="105" w:rightChars="50" w:right="105" w:firstLineChars="200" w:firstLine="480"/>
        <w:rPr>
          <w:rFonts w:ascii="Times New Roman" w:eastAsia="宋体"/>
          <w:color w:val="000000" w:themeColor="text1"/>
          <w:sz w:val="24"/>
          <w:szCs w:val="24"/>
        </w:rPr>
      </w:pPr>
      <w:r>
        <w:rPr>
          <w:rFonts w:ascii="Times New Roman" w:eastAsia="宋体"/>
          <w:color w:val="000000" w:themeColor="text1"/>
          <w:sz w:val="24"/>
          <w:szCs w:val="24"/>
        </w:rPr>
        <w:t>包括连然街道办事处、金方街道办事处、温泉镇南部、县街镇北部及草铺镇东部，是安宁市城市建设的重点区域，主要布局商贸物流业、会展业、商业、信息服务业、教育培训业、房地产业等服务业，是安宁市现代服务业的核心区域。同时促进现状产业的升级，在武家庄、安晋线片区适度发展高新技术、先进装备制造等产业。</w:t>
      </w:r>
    </w:p>
    <w:p w:rsidR="00C861DA" w:rsidRDefault="0044752E">
      <w:pPr>
        <w:spacing w:line="360" w:lineRule="auto"/>
        <w:ind w:leftChars="50" w:left="105" w:rightChars="50" w:right="105" w:firstLineChars="200" w:firstLine="482"/>
        <w:rPr>
          <w:rFonts w:ascii="Times New Roman" w:eastAsia="宋体"/>
          <w:b/>
          <w:color w:val="000000" w:themeColor="text1"/>
          <w:sz w:val="24"/>
          <w:szCs w:val="24"/>
        </w:rPr>
      </w:pPr>
      <w:r>
        <w:rPr>
          <w:rFonts w:ascii="Times New Roman" w:eastAsia="宋体" w:hint="eastAsia"/>
          <w:b/>
          <w:color w:val="000000" w:themeColor="text1"/>
          <w:sz w:val="24"/>
          <w:szCs w:val="24"/>
        </w:rPr>
        <w:t>（</w:t>
      </w:r>
      <w:r>
        <w:rPr>
          <w:rFonts w:ascii="Times New Roman" w:eastAsia="宋体" w:hint="eastAsia"/>
          <w:b/>
          <w:color w:val="000000" w:themeColor="text1"/>
          <w:sz w:val="24"/>
          <w:szCs w:val="24"/>
        </w:rPr>
        <w:t>3</w:t>
      </w:r>
      <w:r>
        <w:rPr>
          <w:rFonts w:ascii="Times New Roman" w:eastAsia="宋体" w:hint="eastAsia"/>
          <w:b/>
          <w:color w:val="000000" w:themeColor="text1"/>
          <w:sz w:val="24"/>
          <w:szCs w:val="24"/>
        </w:rPr>
        <w:t>）</w:t>
      </w:r>
      <w:r>
        <w:rPr>
          <w:rFonts w:ascii="Times New Roman" w:eastAsia="宋体"/>
          <w:b/>
          <w:color w:val="000000" w:themeColor="text1"/>
          <w:sz w:val="24"/>
          <w:szCs w:val="24"/>
        </w:rPr>
        <w:t>工业园区</w:t>
      </w:r>
    </w:p>
    <w:p w:rsidR="00C861DA" w:rsidRDefault="0044752E">
      <w:pPr>
        <w:spacing w:line="360" w:lineRule="auto"/>
        <w:ind w:leftChars="50" w:left="105" w:rightChars="50" w:right="105" w:firstLineChars="200" w:firstLine="480"/>
        <w:rPr>
          <w:rFonts w:ascii="Times New Roman" w:eastAsia="宋体"/>
          <w:color w:val="000000" w:themeColor="text1"/>
          <w:sz w:val="24"/>
          <w:szCs w:val="24"/>
        </w:rPr>
      </w:pPr>
      <w:r>
        <w:rPr>
          <w:rFonts w:ascii="Times New Roman" w:eastAsia="宋体"/>
          <w:color w:val="000000" w:themeColor="text1"/>
          <w:sz w:val="24"/>
          <w:szCs w:val="24"/>
        </w:rPr>
        <w:t>包括安晋线部分，禄脿中南部、草铺镇</w:t>
      </w:r>
      <w:r>
        <w:rPr>
          <w:rFonts w:ascii="Times New Roman" w:eastAsia="宋体"/>
          <w:color w:val="000000" w:themeColor="text1"/>
          <w:sz w:val="24"/>
          <w:szCs w:val="24"/>
        </w:rPr>
        <w:t>320</w:t>
      </w:r>
      <w:r>
        <w:rPr>
          <w:rFonts w:ascii="Times New Roman" w:eastAsia="宋体"/>
          <w:color w:val="000000" w:themeColor="text1"/>
          <w:sz w:val="24"/>
          <w:szCs w:val="24"/>
        </w:rPr>
        <w:t>国道两侧区域以及青龙镇南部。以安楚高速公路为轴线，在连然、金方街道及安晋线重点发展新型材料制造、物流业和高新技术产业；在草铺重点发展钢铁产业、精细磷盐化工产业和石化工业；在青龙南部重点发展钢铁生产与电力生产业，在禄脿镇安丰营地区战略预留石化与装备制造业用地。</w:t>
      </w:r>
    </w:p>
    <w:p w:rsidR="00C861DA" w:rsidRDefault="0044752E">
      <w:pPr>
        <w:spacing w:line="360" w:lineRule="auto"/>
        <w:ind w:leftChars="50" w:left="105" w:rightChars="50" w:right="105" w:firstLineChars="200" w:firstLine="480"/>
        <w:rPr>
          <w:rFonts w:ascii="Times New Roman" w:eastAsia="宋体"/>
          <w:color w:val="000000" w:themeColor="text1"/>
          <w:sz w:val="24"/>
          <w:szCs w:val="24"/>
        </w:rPr>
      </w:pPr>
      <w:r>
        <w:rPr>
          <w:rFonts w:ascii="Times New Roman" w:eastAsia="宋体"/>
          <w:color w:val="000000" w:themeColor="text1"/>
          <w:sz w:val="24"/>
          <w:szCs w:val="24"/>
        </w:rPr>
        <w:t>本项目位于安宁工业园区禄脿街道安丰营村委会，属于安宁市总体规划中工业园区规划范围，符合《安宁市城市总体规划（</w:t>
      </w:r>
      <w:r>
        <w:rPr>
          <w:rFonts w:ascii="Times New Roman" w:eastAsia="宋体"/>
          <w:color w:val="000000" w:themeColor="text1"/>
          <w:sz w:val="24"/>
          <w:szCs w:val="24"/>
        </w:rPr>
        <w:t>2008</w:t>
      </w:r>
      <w:r>
        <w:rPr>
          <w:rFonts w:ascii="Times New Roman" w:eastAsia="宋体"/>
          <w:color w:val="000000" w:themeColor="text1"/>
          <w:sz w:val="24"/>
          <w:szCs w:val="24"/>
        </w:rPr>
        <w:t>－</w:t>
      </w:r>
      <w:r>
        <w:rPr>
          <w:rFonts w:ascii="Times New Roman" w:eastAsia="宋体"/>
          <w:color w:val="000000" w:themeColor="text1"/>
          <w:sz w:val="24"/>
          <w:szCs w:val="24"/>
        </w:rPr>
        <w:t>2020</w:t>
      </w:r>
      <w:r>
        <w:rPr>
          <w:rFonts w:ascii="Times New Roman" w:eastAsia="宋体"/>
          <w:color w:val="000000" w:themeColor="text1"/>
          <w:sz w:val="24"/>
          <w:szCs w:val="24"/>
        </w:rPr>
        <w:t>）》工业园区的有关规划。</w:t>
      </w:r>
    </w:p>
    <w:p w:rsidR="00C861DA" w:rsidRDefault="0044752E">
      <w:pPr>
        <w:pStyle w:val="32"/>
        <w:rPr>
          <w:rFonts w:ascii="Times New Roman" w:eastAsia="宋体"/>
          <w:bCs w:val="0"/>
          <w:color w:val="000000" w:themeColor="text1"/>
          <w:sz w:val="24"/>
          <w:szCs w:val="24"/>
        </w:rPr>
      </w:pPr>
      <w:bookmarkStart w:id="599" w:name="_Toc6826910"/>
      <w:r>
        <w:rPr>
          <w:rFonts w:ascii="Times New Roman" w:eastAsia="宋体"/>
          <w:bCs w:val="0"/>
          <w:color w:val="000000" w:themeColor="text1"/>
          <w:sz w:val="24"/>
          <w:szCs w:val="24"/>
        </w:rPr>
        <w:t>9.2.2</w:t>
      </w:r>
      <w:r>
        <w:rPr>
          <w:rFonts w:ascii="Times New Roman" w:eastAsia="宋体" w:hint="eastAsia"/>
          <w:bCs w:val="0"/>
          <w:color w:val="000000" w:themeColor="text1"/>
          <w:sz w:val="24"/>
          <w:szCs w:val="24"/>
        </w:rPr>
        <w:t>与</w:t>
      </w:r>
      <w:r>
        <w:rPr>
          <w:rFonts w:ascii="Times New Roman" w:eastAsia="宋体"/>
          <w:bCs w:val="0"/>
          <w:color w:val="000000" w:themeColor="text1"/>
          <w:sz w:val="24"/>
          <w:szCs w:val="24"/>
        </w:rPr>
        <w:t>《安宁工业园区规划修编（</w:t>
      </w:r>
      <w:r>
        <w:rPr>
          <w:rFonts w:ascii="Times New Roman" w:eastAsia="宋体"/>
          <w:bCs w:val="0"/>
          <w:color w:val="000000" w:themeColor="text1"/>
          <w:sz w:val="24"/>
          <w:szCs w:val="24"/>
        </w:rPr>
        <w:t>2012-2020</w:t>
      </w:r>
      <w:r>
        <w:rPr>
          <w:rFonts w:ascii="Times New Roman" w:eastAsia="宋体"/>
          <w:bCs w:val="0"/>
          <w:color w:val="000000" w:themeColor="text1"/>
          <w:sz w:val="24"/>
          <w:szCs w:val="24"/>
        </w:rPr>
        <w:t>）》</w:t>
      </w:r>
      <w:r>
        <w:rPr>
          <w:rFonts w:ascii="Times New Roman" w:eastAsia="宋体" w:hint="eastAsia"/>
          <w:bCs w:val="0"/>
          <w:color w:val="000000" w:themeColor="text1"/>
          <w:sz w:val="24"/>
          <w:szCs w:val="24"/>
        </w:rPr>
        <w:t>符合性分析</w:t>
      </w:r>
      <w:bookmarkEnd w:id="599"/>
    </w:p>
    <w:p w:rsidR="00C861DA" w:rsidRDefault="0044752E">
      <w:pPr>
        <w:spacing w:line="360" w:lineRule="auto"/>
        <w:ind w:leftChars="50" w:left="105" w:rightChars="50" w:right="105" w:firstLineChars="200" w:firstLine="480"/>
        <w:rPr>
          <w:rFonts w:ascii="Times New Roman" w:eastAsia="宋体"/>
          <w:color w:val="000000" w:themeColor="text1"/>
          <w:sz w:val="24"/>
          <w:szCs w:val="24"/>
        </w:rPr>
      </w:pPr>
      <w:r>
        <w:rPr>
          <w:rFonts w:ascii="Times New Roman" w:eastAsia="宋体"/>
          <w:color w:val="000000" w:themeColor="text1"/>
          <w:sz w:val="24"/>
          <w:szCs w:val="24"/>
        </w:rPr>
        <w:t>安宁工业园区作为云南省重点发展的</w:t>
      </w:r>
      <w:r>
        <w:rPr>
          <w:rFonts w:ascii="Times New Roman" w:eastAsia="宋体"/>
          <w:color w:val="000000" w:themeColor="text1"/>
          <w:sz w:val="24"/>
          <w:szCs w:val="24"/>
        </w:rPr>
        <w:t>30</w:t>
      </w:r>
      <w:r>
        <w:rPr>
          <w:rFonts w:ascii="Times New Roman" w:eastAsia="宋体"/>
          <w:color w:val="000000" w:themeColor="text1"/>
          <w:sz w:val="24"/>
          <w:szCs w:val="24"/>
        </w:rPr>
        <w:t>个工业园区和</w:t>
      </w:r>
      <w:r>
        <w:rPr>
          <w:rFonts w:ascii="Times New Roman" w:eastAsia="宋体"/>
          <w:color w:val="000000" w:themeColor="text1"/>
          <w:sz w:val="24"/>
          <w:szCs w:val="24"/>
        </w:rPr>
        <w:t>10</w:t>
      </w:r>
      <w:r>
        <w:rPr>
          <w:rFonts w:ascii="Times New Roman" w:eastAsia="宋体"/>
          <w:color w:val="000000" w:themeColor="text1"/>
          <w:sz w:val="24"/>
          <w:szCs w:val="24"/>
        </w:rPr>
        <w:t>个循环经济发展试点单位之一，肩负着安宁市工业经济发展的历史使命，并在一定程度上影响着昆明市乃至云南省的工业发展战略部署</w:t>
      </w:r>
      <w:r>
        <w:rPr>
          <w:rFonts w:ascii="Times New Roman" w:eastAsia="宋体" w:hint="eastAsia"/>
          <w:color w:val="000000" w:themeColor="text1"/>
          <w:sz w:val="24"/>
          <w:szCs w:val="24"/>
        </w:rPr>
        <w:t>，具体规划情况如下：</w:t>
      </w:r>
    </w:p>
    <w:p w:rsidR="00C861DA" w:rsidRDefault="0044752E">
      <w:pPr>
        <w:spacing w:line="360" w:lineRule="auto"/>
        <w:ind w:leftChars="50" w:left="105" w:rightChars="50" w:right="105" w:firstLineChars="200" w:firstLine="482"/>
        <w:rPr>
          <w:rFonts w:ascii="Times New Roman" w:eastAsia="宋体"/>
          <w:b/>
          <w:color w:val="000000" w:themeColor="text1"/>
          <w:sz w:val="24"/>
          <w:szCs w:val="24"/>
        </w:rPr>
      </w:pPr>
      <w:r>
        <w:rPr>
          <w:rFonts w:ascii="Times New Roman" w:eastAsia="宋体"/>
          <w:b/>
          <w:color w:val="000000" w:themeColor="text1"/>
          <w:sz w:val="24"/>
          <w:szCs w:val="24"/>
        </w:rPr>
        <w:t>（</w:t>
      </w:r>
      <w:r>
        <w:rPr>
          <w:rFonts w:ascii="Times New Roman" w:eastAsia="宋体"/>
          <w:b/>
          <w:color w:val="000000" w:themeColor="text1"/>
          <w:sz w:val="24"/>
          <w:szCs w:val="24"/>
        </w:rPr>
        <w:t>1</w:t>
      </w:r>
      <w:r>
        <w:rPr>
          <w:rFonts w:ascii="Times New Roman" w:eastAsia="宋体"/>
          <w:b/>
          <w:color w:val="000000" w:themeColor="text1"/>
          <w:sz w:val="24"/>
          <w:szCs w:val="24"/>
        </w:rPr>
        <w:t>）园区位置及规划范围</w:t>
      </w:r>
    </w:p>
    <w:p w:rsidR="00C861DA" w:rsidRDefault="0044752E">
      <w:pPr>
        <w:spacing w:line="360" w:lineRule="auto"/>
        <w:ind w:leftChars="50" w:left="105" w:rightChars="50" w:right="105" w:firstLineChars="200" w:firstLine="480"/>
        <w:rPr>
          <w:rFonts w:ascii="Times New Roman" w:eastAsia="宋体"/>
          <w:color w:val="000000" w:themeColor="text1"/>
          <w:sz w:val="24"/>
          <w:szCs w:val="24"/>
        </w:rPr>
      </w:pPr>
      <w:r>
        <w:rPr>
          <w:rFonts w:ascii="Times New Roman" w:eastAsia="宋体"/>
          <w:color w:val="000000" w:themeColor="text1"/>
          <w:sz w:val="24"/>
          <w:szCs w:val="24"/>
        </w:rPr>
        <w:t>安宁工业园区地处安宁市西北部，距安宁城区</w:t>
      </w:r>
      <w:r>
        <w:rPr>
          <w:rFonts w:ascii="Times New Roman" w:eastAsia="宋体"/>
          <w:color w:val="000000" w:themeColor="text1"/>
          <w:sz w:val="24"/>
          <w:szCs w:val="24"/>
        </w:rPr>
        <w:t>12</w:t>
      </w:r>
      <w:r>
        <w:rPr>
          <w:rFonts w:ascii="Times New Roman" w:eastAsia="宋体"/>
          <w:color w:val="000000" w:themeColor="text1"/>
          <w:sz w:val="24"/>
          <w:szCs w:val="24"/>
        </w:rPr>
        <w:t>公里，距昆明城区</w:t>
      </w:r>
      <w:r>
        <w:rPr>
          <w:rFonts w:ascii="Times New Roman" w:eastAsia="宋体"/>
          <w:color w:val="000000" w:themeColor="text1"/>
          <w:sz w:val="24"/>
          <w:szCs w:val="24"/>
        </w:rPr>
        <w:t>45</w:t>
      </w:r>
      <w:r>
        <w:rPr>
          <w:rFonts w:ascii="Times New Roman" w:eastAsia="宋体"/>
          <w:color w:val="000000" w:themeColor="text1"/>
          <w:sz w:val="24"/>
          <w:szCs w:val="24"/>
        </w:rPr>
        <w:t>公里。东与安宁中心城区接壤，西与楚雄市禄丰县的土官镇相邻，西北与禄丰县勤丰镇为邻，东北与西山区团结镇接壤，南与易门县六街镇相接。园区范围包括青龙镇、禄脿镇、草铺镇三镇行政辖区范围，规划面积</w:t>
      </w:r>
      <w:r>
        <w:rPr>
          <w:rFonts w:ascii="Times New Roman" w:eastAsia="宋体"/>
          <w:color w:val="000000" w:themeColor="text1"/>
          <w:sz w:val="24"/>
          <w:szCs w:val="24"/>
        </w:rPr>
        <w:t>395.26</w:t>
      </w:r>
      <w:r>
        <w:rPr>
          <w:rFonts w:ascii="Times New Roman" w:eastAsia="宋体"/>
          <w:color w:val="000000" w:themeColor="text1"/>
          <w:sz w:val="24"/>
          <w:szCs w:val="24"/>
        </w:rPr>
        <w:t>平方公里。</w:t>
      </w:r>
    </w:p>
    <w:p w:rsidR="00C861DA" w:rsidRDefault="0044752E">
      <w:pPr>
        <w:spacing w:line="360" w:lineRule="auto"/>
        <w:ind w:leftChars="50" w:left="105" w:rightChars="50" w:right="105" w:firstLineChars="200" w:firstLine="482"/>
        <w:rPr>
          <w:rFonts w:ascii="Times New Roman" w:eastAsia="宋体"/>
          <w:b/>
          <w:color w:val="000000" w:themeColor="text1"/>
          <w:sz w:val="24"/>
          <w:szCs w:val="24"/>
        </w:rPr>
      </w:pPr>
      <w:r>
        <w:rPr>
          <w:rFonts w:ascii="Times New Roman" w:eastAsia="宋体"/>
          <w:b/>
          <w:color w:val="000000" w:themeColor="text1"/>
          <w:sz w:val="24"/>
          <w:szCs w:val="24"/>
        </w:rPr>
        <w:t>（</w:t>
      </w:r>
      <w:r>
        <w:rPr>
          <w:rFonts w:ascii="Times New Roman" w:eastAsia="宋体"/>
          <w:b/>
          <w:color w:val="000000" w:themeColor="text1"/>
          <w:sz w:val="24"/>
          <w:szCs w:val="24"/>
        </w:rPr>
        <w:t>2</w:t>
      </w:r>
      <w:r>
        <w:rPr>
          <w:rFonts w:ascii="Times New Roman" w:eastAsia="宋体"/>
          <w:b/>
          <w:color w:val="000000" w:themeColor="text1"/>
          <w:sz w:val="24"/>
          <w:szCs w:val="24"/>
        </w:rPr>
        <w:t>）规划布局</w:t>
      </w:r>
    </w:p>
    <w:p w:rsidR="00C861DA" w:rsidRDefault="0044752E">
      <w:pPr>
        <w:spacing w:line="360" w:lineRule="auto"/>
        <w:ind w:leftChars="50" w:left="105" w:rightChars="50" w:right="105" w:firstLineChars="200" w:firstLine="480"/>
        <w:rPr>
          <w:rFonts w:ascii="Times New Roman" w:eastAsia="宋体"/>
          <w:color w:val="000000" w:themeColor="text1"/>
          <w:sz w:val="24"/>
          <w:szCs w:val="24"/>
        </w:rPr>
      </w:pPr>
      <w:r>
        <w:rPr>
          <w:rFonts w:ascii="Times New Roman" w:eastAsia="宋体"/>
          <w:color w:val="000000" w:themeColor="text1"/>
          <w:sz w:val="24"/>
          <w:szCs w:val="24"/>
        </w:rPr>
        <w:t>产业布局立足现有的产业分布并着眼未来发展，实施</w:t>
      </w:r>
      <w:r>
        <w:rPr>
          <w:rFonts w:ascii="Times New Roman" w:eastAsia="宋体"/>
          <w:color w:val="000000" w:themeColor="text1"/>
          <w:sz w:val="24"/>
          <w:szCs w:val="24"/>
        </w:rPr>
        <w:t>“</w:t>
      </w:r>
      <w:r>
        <w:rPr>
          <w:rFonts w:ascii="Times New Roman" w:eastAsia="宋体"/>
          <w:color w:val="000000" w:themeColor="text1"/>
          <w:sz w:val="24"/>
          <w:szCs w:val="24"/>
        </w:rPr>
        <w:t>三区</w:t>
      </w:r>
      <w:r>
        <w:rPr>
          <w:rFonts w:ascii="Times New Roman" w:eastAsia="宋体"/>
          <w:color w:val="000000" w:themeColor="text1"/>
          <w:sz w:val="24"/>
          <w:szCs w:val="24"/>
        </w:rPr>
        <w:t>”</w:t>
      </w:r>
      <w:r>
        <w:rPr>
          <w:rFonts w:ascii="Times New Roman" w:eastAsia="宋体"/>
          <w:color w:val="000000" w:themeColor="text1"/>
          <w:sz w:val="24"/>
          <w:szCs w:val="24"/>
        </w:rPr>
        <w:t>（工业园区、生态农业区、城市中心区）、</w:t>
      </w:r>
      <w:r>
        <w:rPr>
          <w:rFonts w:ascii="Times New Roman" w:eastAsia="宋体"/>
          <w:color w:val="000000" w:themeColor="text1"/>
          <w:sz w:val="24"/>
          <w:szCs w:val="24"/>
        </w:rPr>
        <w:t>“</w:t>
      </w:r>
      <w:r>
        <w:rPr>
          <w:rFonts w:ascii="Times New Roman" w:eastAsia="宋体"/>
          <w:color w:val="000000" w:themeColor="text1"/>
          <w:sz w:val="24"/>
          <w:szCs w:val="24"/>
        </w:rPr>
        <w:t>一带</w:t>
      </w:r>
      <w:r>
        <w:rPr>
          <w:rFonts w:ascii="Times New Roman" w:eastAsia="宋体"/>
          <w:color w:val="000000" w:themeColor="text1"/>
          <w:sz w:val="24"/>
          <w:szCs w:val="24"/>
        </w:rPr>
        <w:t>”</w:t>
      </w:r>
      <w:r>
        <w:rPr>
          <w:rFonts w:ascii="Times New Roman" w:eastAsia="宋体"/>
          <w:color w:val="000000" w:themeColor="text1"/>
          <w:sz w:val="24"/>
          <w:szCs w:val="24"/>
        </w:rPr>
        <w:t>（沿川旅游休闲带）组团式、集群式产业布局，为产业规模化、规范化、现代化发展奠定基础。</w:t>
      </w:r>
    </w:p>
    <w:p w:rsidR="00C861DA" w:rsidRDefault="0044752E">
      <w:pPr>
        <w:spacing w:line="360" w:lineRule="auto"/>
        <w:ind w:leftChars="50" w:left="105" w:rightChars="50" w:right="105" w:firstLineChars="200" w:firstLine="480"/>
        <w:rPr>
          <w:rFonts w:ascii="Times New Roman" w:eastAsia="宋体"/>
          <w:color w:val="000000" w:themeColor="text1"/>
          <w:sz w:val="24"/>
          <w:szCs w:val="24"/>
        </w:rPr>
      </w:pPr>
      <w:r>
        <w:rPr>
          <w:rFonts w:ascii="Times New Roman" w:eastAsia="宋体"/>
          <w:color w:val="000000" w:themeColor="text1"/>
          <w:sz w:val="24"/>
          <w:szCs w:val="24"/>
        </w:rPr>
        <w:t>项目所在的禄脿镇属安宁工业园区规划</w:t>
      </w:r>
      <w:r>
        <w:rPr>
          <w:rFonts w:ascii="Times New Roman" w:eastAsia="宋体"/>
          <w:color w:val="000000" w:themeColor="text1"/>
          <w:sz w:val="24"/>
          <w:szCs w:val="24"/>
        </w:rPr>
        <w:t>“</w:t>
      </w:r>
      <w:r>
        <w:rPr>
          <w:rFonts w:ascii="Times New Roman" w:eastAsia="宋体"/>
          <w:color w:val="000000" w:themeColor="text1"/>
          <w:sz w:val="24"/>
          <w:szCs w:val="24"/>
        </w:rPr>
        <w:t>三区</w:t>
      </w:r>
      <w:r>
        <w:rPr>
          <w:rFonts w:ascii="Times New Roman" w:eastAsia="宋体"/>
          <w:color w:val="000000" w:themeColor="text1"/>
          <w:sz w:val="24"/>
          <w:szCs w:val="24"/>
        </w:rPr>
        <w:t>”</w:t>
      </w:r>
      <w:r>
        <w:rPr>
          <w:rFonts w:ascii="Times New Roman" w:eastAsia="宋体"/>
          <w:color w:val="000000" w:themeColor="text1"/>
          <w:sz w:val="24"/>
          <w:szCs w:val="24"/>
        </w:rPr>
        <w:t>中工业园区范围，规划重点发展钢铁、机电装备制造、高浓度磷复肥、精细磷盐化工、新型建材、工业物流业和高新技术产业。本项目储存的液氨为磷复合肥的生产原料，属高浓度磷复肥的配套项目，符合片区产业定位。</w:t>
      </w:r>
    </w:p>
    <w:p w:rsidR="00C861DA" w:rsidRDefault="0044752E">
      <w:pPr>
        <w:spacing w:line="360" w:lineRule="auto"/>
        <w:ind w:leftChars="50" w:left="105" w:rightChars="50" w:right="105" w:firstLineChars="200" w:firstLine="480"/>
        <w:rPr>
          <w:rFonts w:ascii="Times New Roman" w:eastAsia="宋体"/>
          <w:color w:val="000000" w:themeColor="text1"/>
          <w:sz w:val="24"/>
          <w:szCs w:val="24"/>
        </w:rPr>
      </w:pPr>
      <w:r>
        <w:rPr>
          <w:rFonts w:ascii="Times New Roman" w:eastAsia="宋体"/>
          <w:color w:val="000000" w:themeColor="text1"/>
          <w:sz w:val="24"/>
          <w:szCs w:val="24"/>
        </w:rPr>
        <w:t>综上，本项目位于安宁工业园区禄脿片区，周边不涉及生态红线，不在负面准入清</w:t>
      </w:r>
      <w:r>
        <w:rPr>
          <w:rFonts w:ascii="Times New Roman" w:eastAsia="宋体"/>
          <w:color w:val="000000" w:themeColor="text1"/>
          <w:sz w:val="24"/>
          <w:szCs w:val="24"/>
        </w:rPr>
        <w:t>单内，不涉及饮用水水源保护区，符合安宁工业园区的相关规划，不存在制约因素。</w:t>
      </w:r>
    </w:p>
    <w:p w:rsidR="00C861DA" w:rsidRDefault="0044752E">
      <w:pPr>
        <w:pStyle w:val="32"/>
        <w:rPr>
          <w:rFonts w:ascii="Times New Roman" w:eastAsia="宋体"/>
          <w:bCs w:val="0"/>
          <w:color w:val="000000" w:themeColor="text1"/>
          <w:sz w:val="24"/>
          <w:szCs w:val="24"/>
        </w:rPr>
      </w:pPr>
      <w:bookmarkStart w:id="600" w:name="_Toc6826911"/>
      <w:r>
        <w:rPr>
          <w:rFonts w:ascii="Times New Roman" w:eastAsia="宋体"/>
          <w:bCs w:val="0"/>
          <w:color w:val="000000" w:themeColor="text1"/>
          <w:sz w:val="24"/>
          <w:szCs w:val="24"/>
        </w:rPr>
        <w:t>9.2.3</w:t>
      </w:r>
      <w:r>
        <w:rPr>
          <w:rFonts w:ascii="Times New Roman" w:eastAsia="宋体"/>
          <w:bCs w:val="0"/>
          <w:color w:val="000000" w:themeColor="text1"/>
          <w:sz w:val="24"/>
          <w:szCs w:val="24"/>
        </w:rPr>
        <w:t>与《云南省安宁工业园区总体规划修编（</w:t>
      </w:r>
      <w:r>
        <w:rPr>
          <w:rFonts w:ascii="Times New Roman" w:eastAsia="宋体"/>
          <w:bCs w:val="0"/>
          <w:color w:val="000000" w:themeColor="text1"/>
          <w:sz w:val="24"/>
          <w:szCs w:val="24"/>
        </w:rPr>
        <w:t>2012-2020</w:t>
      </w:r>
      <w:r>
        <w:rPr>
          <w:rFonts w:ascii="Times New Roman" w:eastAsia="宋体"/>
          <w:bCs w:val="0"/>
          <w:color w:val="000000" w:themeColor="text1"/>
          <w:sz w:val="24"/>
          <w:szCs w:val="24"/>
        </w:rPr>
        <w:t>）环境影响报告书》符合性分析</w:t>
      </w:r>
      <w:bookmarkEnd w:id="600"/>
    </w:p>
    <w:p w:rsidR="00C861DA" w:rsidRDefault="0044752E">
      <w:pPr>
        <w:spacing w:line="360" w:lineRule="auto"/>
        <w:ind w:firstLine="480"/>
        <w:rPr>
          <w:rFonts w:ascii="Times New Roman" w:eastAsia="宋体"/>
          <w:color w:val="000000" w:themeColor="text1"/>
          <w:sz w:val="24"/>
          <w:szCs w:val="24"/>
        </w:rPr>
      </w:pPr>
      <w:r>
        <w:rPr>
          <w:rFonts w:ascii="Times New Roman" w:eastAsia="宋体"/>
          <w:color w:val="000000" w:themeColor="text1"/>
          <w:sz w:val="24"/>
          <w:szCs w:val="24"/>
        </w:rPr>
        <w:t>2017</w:t>
      </w:r>
      <w:r>
        <w:rPr>
          <w:rFonts w:ascii="Times New Roman" w:eastAsia="宋体"/>
          <w:color w:val="000000" w:themeColor="text1"/>
          <w:sz w:val="24"/>
          <w:szCs w:val="24"/>
        </w:rPr>
        <w:t>年</w:t>
      </w:r>
      <w:r>
        <w:rPr>
          <w:rFonts w:ascii="Times New Roman" w:eastAsia="宋体"/>
          <w:color w:val="000000" w:themeColor="text1"/>
          <w:sz w:val="24"/>
          <w:szCs w:val="24"/>
        </w:rPr>
        <w:t>8</w:t>
      </w:r>
      <w:r>
        <w:rPr>
          <w:rFonts w:ascii="Times New Roman" w:eastAsia="宋体"/>
          <w:color w:val="000000" w:themeColor="text1"/>
          <w:sz w:val="24"/>
          <w:szCs w:val="24"/>
        </w:rPr>
        <w:t>月</w:t>
      </w:r>
      <w:r>
        <w:rPr>
          <w:rFonts w:ascii="Times New Roman" w:eastAsia="宋体"/>
          <w:color w:val="000000" w:themeColor="text1"/>
          <w:sz w:val="24"/>
          <w:szCs w:val="24"/>
        </w:rPr>
        <w:t>4</w:t>
      </w:r>
      <w:r>
        <w:rPr>
          <w:rFonts w:ascii="Times New Roman" w:eastAsia="宋体"/>
          <w:color w:val="000000" w:themeColor="text1"/>
          <w:sz w:val="24"/>
          <w:szCs w:val="24"/>
        </w:rPr>
        <w:t>日，云南省环保厅同省工信委在昆明市组织召开了《云南省安宁工业园总体规划修编（</w:t>
      </w:r>
      <w:r>
        <w:rPr>
          <w:rFonts w:ascii="Times New Roman" w:eastAsia="宋体"/>
          <w:color w:val="000000" w:themeColor="text1"/>
          <w:sz w:val="24"/>
          <w:szCs w:val="24"/>
        </w:rPr>
        <w:t>2012-2020</w:t>
      </w:r>
      <w:r>
        <w:rPr>
          <w:rFonts w:ascii="Times New Roman" w:eastAsia="宋体"/>
          <w:color w:val="000000" w:themeColor="text1"/>
          <w:sz w:val="24"/>
          <w:szCs w:val="24"/>
        </w:rPr>
        <w:t>）环境影响报告书》审查会，形成的审查小组意见，本次环评通过摘取与本项目相关的措施意见进行对比分析。经过对比分析，项目的建设符合《云南省安宁工业园总体规划修编（</w:t>
      </w:r>
      <w:r>
        <w:rPr>
          <w:rFonts w:ascii="Times New Roman" w:eastAsia="宋体"/>
          <w:color w:val="000000" w:themeColor="text1"/>
          <w:sz w:val="24"/>
          <w:szCs w:val="24"/>
        </w:rPr>
        <w:t>2012-2020</w:t>
      </w:r>
      <w:r>
        <w:rPr>
          <w:rFonts w:ascii="Times New Roman" w:eastAsia="宋体"/>
          <w:color w:val="000000" w:themeColor="text1"/>
          <w:sz w:val="24"/>
          <w:szCs w:val="24"/>
        </w:rPr>
        <w:t>）环境影响报告书》及其审查意见的措施意见要求</w:t>
      </w:r>
      <w:r>
        <w:rPr>
          <w:rFonts w:ascii="Times New Roman" w:eastAsia="宋体" w:hint="eastAsia"/>
          <w:color w:val="000000" w:themeColor="text1"/>
          <w:sz w:val="24"/>
          <w:szCs w:val="24"/>
        </w:rPr>
        <w:t>，本项目与规</w:t>
      </w:r>
      <w:r>
        <w:rPr>
          <w:rFonts w:ascii="Times New Roman" w:eastAsia="宋体" w:hint="eastAsia"/>
          <w:color w:val="000000" w:themeColor="text1"/>
          <w:sz w:val="24"/>
          <w:szCs w:val="24"/>
        </w:rPr>
        <w:t>划环评措施意见对比分析</w:t>
      </w:r>
      <w:r>
        <w:rPr>
          <w:rFonts w:ascii="Times New Roman" w:eastAsia="宋体"/>
          <w:color w:val="000000" w:themeColor="text1"/>
          <w:sz w:val="24"/>
          <w:szCs w:val="24"/>
        </w:rPr>
        <w:t>详见表</w:t>
      </w:r>
      <w:r>
        <w:rPr>
          <w:rFonts w:ascii="Times New Roman" w:eastAsia="宋体" w:hint="eastAsia"/>
          <w:color w:val="000000" w:themeColor="text1"/>
          <w:sz w:val="24"/>
          <w:szCs w:val="24"/>
        </w:rPr>
        <w:t>9</w:t>
      </w:r>
      <w:r>
        <w:rPr>
          <w:rFonts w:ascii="Times New Roman" w:eastAsia="宋体"/>
          <w:color w:val="000000" w:themeColor="text1"/>
          <w:sz w:val="24"/>
          <w:szCs w:val="24"/>
        </w:rPr>
        <w:t>.2-1</w:t>
      </w:r>
      <w:r>
        <w:rPr>
          <w:rFonts w:ascii="Times New Roman" w:eastAsia="宋体"/>
          <w:color w:val="000000" w:themeColor="text1"/>
          <w:sz w:val="24"/>
          <w:szCs w:val="24"/>
        </w:rPr>
        <w:t>。</w:t>
      </w:r>
    </w:p>
    <w:p w:rsidR="00C861DA" w:rsidRDefault="0044752E">
      <w:pPr>
        <w:jc w:val="center"/>
        <w:rPr>
          <w:rFonts w:ascii="Times New Roman" w:eastAsia="宋体"/>
          <w:color w:val="000000" w:themeColor="text1"/>
          <w:sz w:val="24"/>
          <w:szCs w:val="24"/>
        </w:rPr>
      </w:pPr>
      <w:r>
        <w:rPr>
          <w:rFonts w:ascii="Times New Roman" w:eastAsia="宋体"/>
          <w:b/>
          <w:bCs/>
          <w:color w:val="000000" w:themeColor="text1"/>
          <w:sz w:val="24"/>
          <w:szCs w:val="24"/>
        </w:rPr>
        <w:t>表</w:t>
      </w:r>
      <w:r>
        <w:rPr>
          <w:rFonts w:ascii="Times New Roman" w:eastAsia="宋体"/>
          <w:b/>
          <w:bCs/>
          <w:color w:val="000000" w:themeColor="text1"/>
          <w:sz w:val="24"/>
          <w:szCs w:val="24"/>
        </w:rPr>
        <w:t xml:space="preserve">9.2-1  </w:t>
      </w:r>
      <w:r>
        <w:rPr>
          <w:rFonts w:ascii="Times New Roman" w:eastAsia="宋体"/>
          <w:b/>
          <w:bCs/>
          <w:color w:val="000000" w:themeColor="text1"/>
          <w:sz w:val="24"/>
          <w:szCs w:val="24"/>
        </w:rPr>
        <w:t>项目与规划环评措施意见的对比分析</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4216"/>
        <w:gridCol w:w="2407"/>
        <w:gridCol w:w="931"/>
      </w:tblGrid>
      <w:tr w:rsidR="00C861DA">
        <w:trPr>
          <w:trHeight w:val="369"/>
          <w:jc w:val="center"/>
        </w:trPr>
        <w:tc>
          <w:tcPr>
            <w:tcW w:w="4958" w:type="dxa"/>
            <w:gridSpan w:val="2"/>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措施意见</w:t>
            </w:r>
          </w:p>
        </w:tc>
        <w:tc>
          <w:tcPr>
            <w:tcW w:w="2407"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本项目</w:t>
            </w:r>
          </w:p>
        </w:tc>
        <w:tc>
          <w:tcPr>
            <w:tcW w:w="931"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符合性</w:t>
            </w:r>
          </w:p>
        </w:tc>
      </w:tr>
      <w:tr w:rsidR="00C861DA">
        <w:trPr>
          <w:trHeight w:val="369"/>
          <w:jc w:val="center"/>
        </w:trPr>
        <w:tc>
          <w:tcPr>
            <w:tcW w:w="742"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大气</w:t>
            </w:r>
          </w:p>
        </w:tc>
        <w:tc>
          <w:tcPr>
            <w:tcW w:w="4216"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拟入住企业在进行项目环评时应将特征废气污染因子作为评价重点。</w:t>
            </w:r>
          </w:p>
        </w:tc>
        <w:tc>
          <w:tcPr>
            <w:tcW w:w="2407" w:type="dxa"/>
            <w:vAlign w:val="center"/>
          </w:tcPr>
          <w:p w:rsidR="00C861DA" w:rsidRDefault="0044752E">
            <w:pPr>
              <w:jc w:val="center"/>
              <w:rPr>
                <w:rFonts w:ascii="Times New Roman" w:eastAsia="宋体"/>
                <w:color w:val="000000" w:themeColor="text1"/>
                <w:szCs w:val="24"/>
                <w:highlight w:val="yellow"/>
              </w:rPr>
            </w:pPr>
            <w:r>
              <w:rPr>
                <w:rFonts w:ascii="Times New Roman" w:eastAsia="宋体"/>
                <w:color w:val="000000" w:themeColor="text1"/>
                <w:szCs w:val="24"/>
              </w:rPr>
              <w:t>本次环评将废气污染因子氨</w:t>
            </w:r>
            <w:r>
              <w:rPr>
                <w:rFonts w:ascii="Times New Roman" w:eastAsia="宋体" w:hint="eastAsia"/>
                <w:color w:val="000000" w:themeColor="text1"/>
                <w:szCs w:val="24"/>
              </w:rPr>
              <w:t>、颗粒物</w:t>
            </w:r>
            <w:r>
              <w:rPr>
                <w:rFonts w:ascii="Times New Roman" w:eastAsia="宋体"/>
                <w:color w:val="000000" w:themeColor="text1"/>
                <w:szCs w:val="24"/>
              </w:rPr>
              <w:t>作为评价重点。</w:t>
            </w:r>
          </w:p>
        </w:tc>
        <w:tc>
          <w:tcPr>
            <w:tcW w:w="931"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符合</w:t>
            </w:r>
          </w:p>
        </w:tc>
      </w:tr>
      <w:tr w:rsidR="00C861DA">
        <w:trPr>
          <w:trHeight w:val="369"/>
          <w:jc w:val="center"/>
        </w:trPr>
        <w:tc>
          <w:tcPr>
            <w:tcW w:w="742"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废水</w:t>
            </w:r>
          </w:p>
        </w:tc>
        <w:tc>
          <w:tcPr>
            <w:tcW w:w="4216"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生产废水排放应达到</w:t>
            </w:r>
            <w:r>
              <w:rPr>
                <w:rFonts w:ascii="Times New Roman" w:eastAsia="宋体"/>
                <w:color w:val="000000" w:themeColor="text1"/>
                <w:szCs w:val="24"/>
              </w:rPr>
              <w:t>GB13456-92</w:t>
            </w:r>
            <w:r>
              <w:rPr>
                <w:rFonts w:ascii="Times New Roman" w:eastAsia="宋体"/>
                <w:color w:val="000000" w:themeColor="text1"/>
                <w:szCs w:val="24"/>
              </w:rPr>
              <w:t>中一级标准要求</w:t>
            </w:r>
          </w:p>
        </w:tc>
        <w:tc>
          <w:tcPr>
            <w:tcW w:w="2407"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本项目生产废水不外排</w:t>
            </w:r>
          </w:p>
        </w:tc>
        <w:tc>
          <w:tcPr>
            <w:tcW w:w="931"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符合</w:t>
            </w:r>
          </w:p>
        </w:tc>
      </w:tr>
      <w:tr w:rsidR="00C861DA">
        <w:trPr>
          <w:trHeight w:val="369"/>
          <w:jc w:val="center"/>
        </w:trPr>
        <w:tc>
          <w:tcPr>
            <w:tcW w:w="742"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噪声</w:t>
            </w:r>
          </w:p>
        </w:tc>
        <w:tc>
          <w:tcPr>
            <w:tcW w:w="4216"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在二类声功能区内禁止有高噪声设备的项目进入</w:t>
            </w:r>
          </w:p>
        </w:tc>
        <w:tc>
          <w:tcPr>
            <w:tcW w:w="2407"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本项目处于三类功能区</w:t>
            </w:r>
          </w:p>
        </w:tc>
        <w:tc>
          <w:tcPr>
            <w:tcW w:w="931"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符合</w:t>
            </w:r>
          </w:p>
        </w:tc>
      </w:tr>
      <w:tr w:rsidR="00C861DA">
        <w:trPr>
          <w:trHeight w:val="369"/>
          <w:jc w:val="center"/>
        </w:trPr>
        <w:tc>
          <w:tcPr>
            <w:tcW w:w="742" w:type="dxa"/>
            <w:vMerge w:val="restart"/>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固废</w:t>
            </w:r>
          </w:p>
        </w:tc>
        <w:tc>
          <w:tcPr>
            <w:tcW w:w="4216"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1</w:t>
            </w:r>
            <w:r>
              <w:rPr>
                <w:rFonts w:ascii="Times New Roman" w:eastAsia="宋体"/>
                <w:color w:val="000000" w:themeColor="text1"/>
                <w:szCs w:val="24"/>
              </w:rPr>
              <w:t>、鼓励在企业内部和企业之间加强固体废物的回收与循环利用，合理开发和充分利用再生资源，开展工业废物跨行业，跨部门的综合利用，变废物为新的资源，使一般固体废物综合利用率达到</w:t>
            </w:r>
            <w:r>
              <w:rPr>
                <w:rFonts w:ascii="Times New Roman" w:eastAsia="宋体"/>
                <w:color w:val="000000" w:themeColor="text1"/>
                <w:szCs w:val="24"/>
              </w:rPr>
              <w:t>60%</w:t>
            </w:r>
            <w:r>
              <w:rPr>
                <w:rFonts w:ascii="Times New Roman" w:eastAsia="宋体"/>
                <w:color w:val="000000" w:themeColor="text1"/>
                <w:szCs w:val="24"/>
              </w:rPr>
              <w:t>以上</w:t>
            </w:r>
          </w:p>
        </w:tc>
        <w:tc>
          <w:tcPr>
            <w:tcW w:w="2407"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本项目运营期产生一般固体废物</w:t>
            </w:r>
            <w:r>
              <w:rPr>
                <w:rFonts w:ascii="Times New Roman" w:eastAsia="宋体" w:hint="eastAsia"/>
                <w:color w:val="000000" w:themeColor="text1"/>
                <w:szCs w:val="24"/>
              </w:rPr>
              <w:t>综合利用率</w:t>
            </w:r>
            <w:r>
              <w:rPr>
                <w:rFonts w:ascii="Times New Roman" w:eastAsia="宋体" w:hint="eastAsia"/>
                <w:color w:val="000000" w:themeColor="text1"/>
                <w:szCs w:val="24"/>
              </w:rPr>
              <w:t>1</w:t>
            </w:r>
            <w:r>
              <w:rPr>
                <w:rFonts w:ascii="Times New Roman" w:eastAsia="宋体"/>
                <w:color w:val="000000" w:themeColor="text1"/>
                <w:szCs w:val="24"/>
              </w:rPr>
              <w:t>00%</w:t>
            </w:r>
          </w:p>
        </w:tc>
        <w:tc>
          <w:tcPr>
            <w:tcW w:w="931"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符合</w:t>
            </w:r>
          </w:p>
        </w:tc>
      </w:tr>
      <w:tr w:rsidR="00C861DA">
        <w:trPr>
          <w:trHeight w:val="369"/>
          <w:jc w:val="center"/>
        </w:trPr>
        <w:tc>
          <w:tcPr>
            <w:tcW w:w="742" w:type="dxa"/>
            <w:vMerge/>
            <w:vAlign w:val="center"/>
          </w:tcPr>
          <w:p w:rsidR="00C861DA" w:rsidRDefault="00C861DA">
            <w:pPr>
              <w:jc w:val="center"/>
              <w:rPr>
                <w:rFonts w:ascii="Times New Roman" w:eastAsia="宋体"/>
                <w:color w:val="000000" w:themeColor="text1"/>
                <w:szCs w:val="24"/>
              </w:rPr>
            </w:pPr>
          </w:p>
        </w:tc>
        <w:tc>
          <w:tcPr>
            <w:tcW w:w="4216"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2</w:t>
            </w:r>
            <w:r>
              <w:rPr>
                <w:rFonts w:ascii="Times New Roman" w:eastAsia="宋体"/>
                <w:color w:val="000000" w:themeColor="text1"/>
                <w:szCs w:val="24"/>
              </w:rPr>
              <w:t>、危险废物处置需满足</w:t>
            </w:r>
            <w:r>
              <w:rPr>
                <w:rFonts w:ascii="Times New Roman" w:eastAsia="宋体"/>
                <w:color w:val="000000" w:themeColor="text1"/>
                <w:szCs w:val="24"/>
              </w:rPr>
              <w:t>GB18597-2001</w:t>
            </w:r>
            <w:r>
              <w:rPr>
                <w:rFonts w:ascii="Times New Roman" w:eastAsia="宋体"/>
                <w:color w:val="000000" w:themeColor="text1"/>
                <w:szCs w:val="24"/>
              </w:rPr>
              <w:t>《危险废物贮存污染控制标准》有关要求</w:t>
            </w:r>
          </w:p>
        </w:tc>
        <w:tc>
          <w:tcPr>
            <w:tcW w:w="2407"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本项目</w:t>
            </w:r>
            <w:r>
              <w:rPr>
                <w:rFonts w:ascii="Times New Roman" w:eastAsia="宋体" w:hint="eastAsia"/>
                <w:color w:val="000000" w:themeColor="text1"/>
                <w:szCs w:val="24"/>
              </w:rPr>
              <w:t>设有</w:t>
            </w:r>
            <w:r>
              <w:rPr>
                <w:rFonts w:ascii="Times New Roman" w:eastAsia="宋体"/>
                <w:color w:val="000000" w:themeColor="text1"/>
                <w:szCs w:val="24"/>
              </w:rPr>
              <w:t>危险废物暂存</w:t>
            </w:r>
            <w:r>
              <w:rPr>
                <w:rFonts w:ascii="Times New Roman" w:eastAsia="宋体" w:hint="eastAsia"/>
                <w:color w:val="000000" w:themeColor="text1"/>
                <w:szCs w:val="24"/>
              </w:rPr>
              <w:t>间，满足标准要求</w:t>
            </w:r>
          </w:p>
        </w:tc>
        <w:tc>
          <w:tcPr>
            <w:tcW w:w="931"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符合</w:t>
            </w:r>
          </w:p>
        </w:tc>
      </w:tr>
      <w:tr w:rsidR="00C861DA">
        <w:trPr>
          <w:trHeight w:val="369"/>
          <w:jc w:val="center"/>
        </w:trPr>
        <w:tc>
          <w:tcPr>
            <w:tcW w:w="742" w:type="dxa"/>
            <w:vMerge w:val="restart"/>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生态保护</w:t>
            </w:r>
          </w:p>
        </w:tc>
        <w:tc>
          <w:tcPr>
            <w:tcW w:w="4216"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1</w:t>
            </w:r>
            <w:r>
              <w:rPr>
                <w:rFonts w:ascii="Times New Roman" w:eastAsia="宋体"/>
                <w:color w:val="000000" w:themeColor="text1"/>
                <w:szCs w:val="24"/>
              </w:rPr>
              <w:t>、对于地表裸露且短时间无法利用的土地，应采取切实可行的水土保持措施，防治水土流失</w:t>
            </w:r>
          </w:p>
        </w:tc>
        <w:tc>
          <w:tcPr>
            <w:tcW w:w="2407"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本项目已</w:t>
            </w:r>
            <w:r>
              <w:rPr>
                <w:rFonts w:ascii="Times New Roman" w:eastAsia="宋体" w:hint="eastAsia"/>
                <w:color w:val="000000" w:themeColor="text1"/>
                <w:szCs w:val="24"/>
              </w:rPr>
              <w:t>厂区内土地均拟硬化处理</w:t>
            </w:r>
            <w:r>
              <w:rPr>
                <w:rFonts w:ascii="Times New Roman" w:eastAsia="宋体" w:hint="eastAsia"/>
                <w:color w:val="000000" w:themeColor="text1"/>
                <w:szCs w:val="24"/>
              </w:rPr>
              <w:t>,</w:t>
            </w:r>
            <w:r>
              <w:rPr>
                <w:rFonts w:ascii="Times New Roman" w:eastAsia="宋体" w:hint="eastAsia"/>
                <w:color w:val="000000" w:themeColor="text1"/>
                <w:szCs w:val="24"/>
              </w:rPr>
              <w:t>减少水土流失</w:t>
            </w:r>
          </w:p>
        </w:tc>
        <w:tc>
          <w:tcPr>
            <w:tcW w:w="931"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符合</w:t>
            </w:r>
          </w:p>
        </w:tc>
      </w:tr>
      <w:tr w:rsidR="00C861DA">
        <w:trPr>
          <w:trHeight w:val="369"/>
          <w:jc w:val="center"/>
        </w:trPr>
        <w:tc>
          <w:tcPr>
            <w:tcW w:w="742" w:type="dxa"/>
            <w:vMerge/>
            <w:vAlign w:val="center"/>
          </w:tcPr>
          <w:p w:rsidR="00C861DA" w:rsidRDefault="00C861DA">
            <w:pPr>
              <w:jc w:val="center"/>
              <w:rPr>
                <w:rFonts w:ascii="Times New Roman" w:eastAsia="宋体"/>
                <w:color w:val="000000" w:themeColor="text1"/>
                <w:szCs w:val="24"/>
              </w:rPr>
            </w:pPr>
          </w:p>
        </w:tc>
        <w:tc>
          <w:tcPr>
            <w:tcW w:w="4216"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2</w:t>
            </w:r>
            <w:r>
              <w:rPr>
                <w:rFonts w:ascii="Times New Roman" w:eastAsia="宋体"/>
                <w:color w:val="000000" w:themeColor="text1"/>
                <w:szCs w:val="24"/>
              </w:rPr>
              <w:t>、区域内绿化工程应注重选</w:t>
            </w:r>
          </w:p>
          <w:p w:rsidR="00C861DA" w:rsidRDefault="0044752E">
            <w:pPr>
              <w:jc w:val="center"/>
              <w:rPr>
                <w:rFonts w:ascii="Times New Roman" w:eastAsia="宋体"/>
                <w:color w:val="000000" w:themeColor="text1"/>
                <w:szCs w:val="24"/>
              </w:rPr>
            </w:pPr>
            <w:r>
              <w:rPr>
                <w:rFonts w:ascii="Times New Roman" w:eastAsia="宋体"/>
                <w:color w:val="000000" w:themeColor="text1"/>
                <w:szCs w:val="24"/>
              </w:rPr>
              <w:t>择和使用乡土植物，园林植物应特别注意选择抗性较强的品种</w:t>
            </w:r>
          </w:p>
        </w:tc>
        <w:tc>
          <w:tcPr>
            <w:tcW w:w="2407"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建设单位在建设过程中遵照执行</w:t>
            </w:r>
          </w:p>
        </w:tc>
        <w:tc>
          <w:tcPr>
            <w:tcW w:w="931" w:type="dxa"/>
            <w:vAlign w:val="center"/>
          </w:tcPr>
          <w:p w:rsidR="00C861DA" w:rsidRDefault="0044752E">
            <w:pPr>
              <w:jc w:val="center"/>
              <w:rPr>
                <w:rFonts w:ascii="Times New Roman" w:eastAsia="宋体"/>
                <w:color w:val="000000" w:themeColor="text1"/>
                <w:szCs w:val="24"/>
              </w:rPr>
            </w:pPr>
            <w:r>
              <w:rPr>
                <w:rFonts w:ascii="Times New Roman" w:eastAsia="宋体"/>
                <w:color w:val="000000" w:themeColor="text1"/>
                <w:szCs w:val="24"/>
              </w:rPr>
              <w:t>符合</w:t>
            </w:r>
          </w:p>
        </w:tc>
      </w:tr>
    </w:tbl>
    <w:p w:rsidR="00C861DA" w:rsidRDefault="0044752E">
      <w:pPr>
        <w:spacing w:line="360" w:lineRule="auto"/>
        <w:ind w:firstLine="480"/>
        <w:rPr>
          <w:rFonts w:ascii="Times New Roman" w:eastAsia="宋体"/>
          <w:color w:val="000000" w:themeColor="text1"/>
          <w:sz w:val="24"/>
          <w:szCs w:val="24"/>
        </w:rPr>
      </w:pPr>
      <w:r>
        <w:rPr>
          <w:rFonts w:ascii="Times New Roman" w:eastAsia="宋体"/>
          <w:color w:val="000000" w:themeColor="text1"/>
          <w:sz w:val="24"/>
          <w:szCs w:val="24"/>
        </w:rPr>
        <w:t>由上表可知，项目符合《云南省安宁工业园总体规划修编（</w:t>
      </w:r>
      <w:r>
        <w:rPr>
          <w:rFonts w:ascii="Times New Roman" w:eastAsia="宋体"/>
          <w:color w:val="000000" w:themeColor="text1"/>
          <w:sz w:val="24"/>
          <w:szCs w:val="24"/>
        </w:rPr>
        <w:t>2012-2020</w:t>
      </w:r>
      <w:r>
        <w:rPr>
          <w:rFonts w:ascii="Times New Roman" w:eastAsia="宋体"/>
          <w:color w:val="000000" w:themeColor="text1"/>
          <w:sz w:val="24"/>
          <w:szCs w:val="24"/>
        </w:rPr>
        <w:t>）环境影响报告书》及其补充报告要求。</w:t>
      </w:r>
    </w:p>
    <w:p w:rsidR="00C861DA" w:rsidRDefault="0044752E">
      <w:pPr>
        <w:pStyle w:val="22"/>
        <w:rPr>
          <w:rFonts w:ascii="Times New Roman" w:eastAsia="宋体" w:hAnsi="Times New Roman"/>
          <w:bCs w:val="0"/>
          <w:color w:val="000000" w:themeColor="text1"/>
          <w:sz w:val="28"/>
          <w:szCs w:val="28"/>
        </w:rPr>
      </w:pPr>
      <w:bookmarkStart w:id="601" w:name="_Toc27773"/>
      <w:bookmarkStart w:id="602" w:name="_Toc965"/>
      <w:bookmarkStart w:id="603" w:name="_Toc4977"/>
      <w:bookmarkStart w:id="604" w:name="_Toc9525"/>
      <w:bookmarkStart w:id="605" w:name="_Toc6826912"/>
      <w:r>
        <w:rPr>
          <w:rFonts w:ascii="Times New Roman" w:eastAsia="宋体" w:hAnsi="Times New Roman" w:hint="eastAsia"/>
          <w:bCs w:val="0"/>
          <w:color w:val="000000" w:themeColor="text1"/>
          <w:sz w:val="28"/>
          <w:szCs w:val="28"/>
        </w:rPr>
        <w:t>9.</w:t>
      </w:r>
      <w:r>
        <w:rPr>
          <w:rFonts w:ascii="Times New Roman" w:eastAsia="宋体" w:hAnsi="Times New Roman"/>
          <w:bCs w:val="0"/>
          <w:color w:val="000000" w:themeColor="text1"/>
          <w:sz w:val="28"/>
          <w:szCs w:val="28"/>
        </w:rPr>
        <w:t>3</w:t>
      </w:r>
      <w:r>
        <w:rPr>
          <w:rFonts w:ascii="Times New Roman" w:eastAsia="宋体" w:hAnsi="Times New Roman" w:hint="eastAsia"/>
          <w:bCs w:val="0"/>
          <w:color w:val="000000" w:themeColor="text1"/>
          <w:sz w:val="28"/>
          <w:szCs w:val="28"/>
        </w:rPr>
        <w:t>环境影响的可接受分析</w:t>
      </w:r>
      <w:bookmarkEnd w:id="601"/>
      <w:bookmarkEnd w:id="602"/>
      <w:bookmarkEnd w:id="603"/>
      <w:bookmarkEnd w:id="604"/>
      <w:bookmarkEnd w:id="605"/>
    </w:p>
    <w:p w:rsidR="00C861DA" w:rsidRDefault="0044752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从废气排放分析可知，拟建项目由于生产需要高温高压，故生产过程均处于密闭状态，仅吸收塔和最终冷凝器会产生少量有组织排放的含氨废气，且排放速率及排放浓度均能达标排放。经预测氨</w:t>
      </w:r>
      <w:r>
        <w:rPr>
          <w:rFonts w:ascii="Times New Roman" w:eastAsia="宋体" w:hAnsi="Times New Roman" w:cs="Times New Roman"/>
          <w:iCs/>
          <w:color w:val="000000" w:themeColor="text1"/>
          <w:sz w:val="24"/>
          <w:szCs w:val="24"/>
        </w:rPr>
        <w:t>日均最大浓度贡献值、年均最大浓度贡献值占标率较小，说明本项目对评价区域氨影响很小</w:t>
      </w:r>
      <w:r>
        <w:rPr>
          <w:rFonts w:ascii="Times New Roman" w:eastAsia="宋体" w:hAnsi="Times New Roman" w:cs="Times New Roman"/>
          <w:color w:val="000000" w:themeColor="text1"/>
          <w:sz w:val="24"/>
          <w:szCs w:val="24"/>
        </w:rPr>
        <w:t>。因此，拟建项目运营后对大气环境污染影响较小。</w:t>
      </w:r>
    </w:p>
    <w:p w:rsidR="00C861DA" w:rsidRDefault="0044752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项目全厂工业用水重复利用率达</w:t>
      </w:r>
      <w:r>
        <w:rPr>
          <w:rFonts w:ascii="Times New Roman" w:eastAsia="宋体" w:hAnsi="Times New Roman" w:cs="Times New Roman"/>
          <w:color w:val="000000" w:themeColor="text1"/>
          <w:sz w:val="24"/>
          <w:szCs w:val="24"/>
        </w:rPr>
        <w:t>100%</w:t>
      </w:r>
      <w:r>
        <w:rPr>
          <w:rFonts w:ascii="Times New Roman" w:eastAsia="宋体" w:hAnsi="Times New Roman" w:cs="Times New Roman"/>
          <w:color w:val="000000" w:themeColor="text1"/>
          <w:sz w:val="24"/>
          <w:szCs w:val="24"/>
        </w:rPr>
        <w:t>，节省大量工业新鲜水的使用</w:t>
      </w:r>
      <w:r>
        <w:rPr>
          <w:rFonts w:ascii="Times New Roman" w:eastAsia="宋体" w:hAnsi="Times New Roman" w:cs="Times New Roman"/>
          <w:color w:val="000000" w:themeColor="text1"/>
          <w:sz w:val="24"/>
          <w:szCs w:val="18"/>
        </w:rPr>
        <w:t>。</w:t>
      </w:r>
      <w:r>
        <w:rPr>
          <w:rFonts w:ascii="Times New Roman" w:eastAsia="宋体" w:hAnsi="Times New Roman" w:cs="Times New Roman"/>
          <w:color w:val="000000" w:themeColor="text1"/>
          <w:sz w:val="24"/>
          <w:szCs w:val="24"/>
        </w:rPr>
        <w:t>从废水排放分析可知，本项目生活污水依托</w:t>
      </w:r>
      <w:r>
        <w:rPr>
          <w:rFonts w:ascii="Times New Roman" w:eastAsia="宋体" w:hAnsi="Times New Roman" w:cs="Times New Roman"/>
          <w:color w:val="000000" w:themeColor="text1"/>
          <w:sz w:val="24"/>
          <w:szCs w:val="24"/>
        </w:rPr>
        <w:t>“30</w:t>
      </w:r>
      <w:r>
        <w:rPr>
          <w:rFonts w:ascii="Times New Roman" w:eastAsia="宋体" w:hAnsi="Times New Roman" w:cs="Times New Roman"/>
          <w:color w:val="000000" w:themeColor="text1"/>
          <w:sz w:val="24"/>
          <w:szCs w:val="24"/>
        </w:rPr>
        <w:t>万吨合成氨装置项目</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污水处理设施处理后可</w:t>
      </w:r>
      <w:r>
        <w:rPr>
          <w:rFonts w:ascii="Times New Roman" w:eastAsia="宋体" w:hAnsi="Times New Roman" w:cs="Times New Roman" w:hint="eastAsia"/>
          <w:color w:val="000000" w:themeColor="text1"/>
          <w:sz w:val="24"/>
          <w:szCs w:val="24"/>
        </w:rPr>
        <w:t>满足本项目</w:t>
      </w:r>
      <w:r>
        <w:rPr>
          <w:rFonts w:ascii="Times New Roman" w:eastAsia="宋体" w:hAnsi="Times New Roman" w:cs="Times New Roman"/>
          <w:color w:val="000000" w:themeColor="text1"/>
          <w:sz w:val="24"/>
          <w:szCs w:val="24"/>
        </w:rPr>
        <w:t>要求。</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从噪声预测结果可以看出，拟建项目将主要高噪声设备布置在远离噪声敏感点的位置，并采取建筑隔声、设减振基础等隔声降噪措施，噪声预测增加值很小，各厂界噪声仍基本维持现状，均达到《工业企业厂界环境噪声排放标准》（</w:t>
      </w:r>
      <w:r>
        <w:rPr>
          <w:rFonts w:ascii="Times New Roman" w:eastAsia="宋体" w:hAnsi="Times New Roman" w:cs="Times New Roman"/>
          <w:color w:val="000000" w:themeColor="text1"/>
          <w:sz w:val="24"/>
          <w:szCs w:val="24"/>
        </w:rPr>
        <w:t>GB12348-2008</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类类标准。</w:t>
      </w:r>
    </w:p>
    <w:p w:rsidR="00C861DA" w:rsidRDefault="0044752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各类固体废物可全部得到安全处理或合理处置。</w:t>
      </w:r>
      <w:r>
        <w:rPr>
          <w:rFonts w:ascii="Times New Roman" w:eastAsia="宋体" w:hAnsi="Times New Roman" w:cs="Times New Roman"/>
          <w:color w:val="000000" w:themeColor="text1"/>
          <w:sz w:val="24"/>
          <w:szCs w:val="22"/>
        </w:rPr>
        <w:t>污染物进入土壤环境的机率较小，对土壤影响较小。项目运营期对生态环境的影响微小。</w:t>
      </w:r>
    </w:p>
    <w:p w:rsidR="00C861DA" w:rsidRDefault="0044752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综上所述，拟建项目实施后，本项目废气、废水、固废、噪声对环境质量影响较小，本项目对环境的影响是可以接受的。</w:t>
      </w:r>
    </w:p>
    <w:p w:rsidR="00C861DA" w:rsidRDefault="0044752E">
      <w:pPr>
        <w:pStyle w:val="22"/>
        <w:rPr>
          <w:rFonts w:ascii="Times New Roman" w:eastAsia="宋体" w:hAnsi="Times New Roman"/>
          <w:bCs w:val="0"/>
          <w:color w:val="000000" w:themeColor="text1"/>
          <w:sz w:val="28"/>
          <w:szCs w:val="28"/>
        </w:rPr>
      </w:pPr>
      <w:bookmarkStart w:id="606" w:name="_Toc6826913"/>
      <w:bookmarkStart w:id="607" w:name="_Toc20709"/>
      <w:bookmarkStart w:id="608" w:name="_Toc3991"/>
      <w:bookmarkStart w:id="609" w:name="_Toc30056"/>
      <w:bookmarkStart w:id="610" w:name="_Toc513"/>
      <w:r>
        <w:rPr>
          <w:rFonts w:ascii="Times New Roman" w:eastAsia="宋体" w:hAnsi="Times New Roman" w:hint="eastAsia"/>
          <w:bCs w:val="0"/>
          <w:color w:val="000000" w:themeColor="text1"/>
          <w:sz w:val="28"/>
          <w:szCs w:val="28"/>
        </w:rPr>
        <w:t>9.</w:t>
      </w:r>
      <w:r>
        <w:rPr>
          <w:rFonts w:ascii="Times New Roman" w:eastAsia="宋体" w:hAnsi="Times New Roman"/>
          <w:bCs w:val="0"/>
          <w:color w:val="000000" w:themeColor="text1"/>
          <w:sz w:val="28"/>
          <w:szCs w:val="28"/>
        </w:rPr>
        <w:t>4</w:t>
      </w:r>
      <w:r>
        <w:rPr>
          <w:rFonts w:ascii="Times New Roman" w:eastAsia="宋体" w:hAnsi="Times New Roman" w:hint="eastAsia"/>
          <w:bCs w:val="0"/>
          <w:color w:val="000000" w:themeColor="text1"/>
          <w:sz w:val="28"/>
          <w:szCs w:val="28"/>
        </w:rPr>
        <w:t>建设项目的公众可接受程度</w:t>
      </w:r>
      <w:bookmarkEnd w:id="606"/>
      <w:bookmarkEnd w:id="607"/>
      <w:bookmarkEnd w:id="608"/>
      <w:bookmarkEnd w:id="609"/>
      <w:bookmarkEnd w:id="610"/>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在环评期间，建设单位根据生态环境部第</w:t>
      </w:r>
      <w:r>
        <w:rPr>
          <w:rFonts w:ascii="Times New Roman" w:eastAsia="宋体" w:hint="eastAsia"/>
          <w:color w:val="000000" w:themeColor="text1"/>
          <w:sz w:val="24"/>
          <w:szCs w:val="24"/>
        </w:rPr>
        <w:t>4</w:t>
      </w:r>
      <w:r>
        <w:rPr>
          <w:rFonts w:ascii="Times New Roman" w:eastAsia="宋体" w:hint="eastAsia"/>
          <w:color w:val="000000" w:themeColor="text1"/>
          <w:sz w:val="24"/>
          <w:szCs w:val="24"/>
        </w:rPr>
        <w:t>号部令《环境影响评价公众参与办法》（</w:t>
      </w:r>
      <w:r>
        <w:rPr>
          <w:rFonts w:ascii="Times New Roman" w:eastAsia="宋体" w:hint="eastAsia"/>
          <w:color w:val="000000" w:themeColor="text1"/>
          <w:sz w:val="24"/>
          <w:szCs w:val="24"/>
        </w:rPr>
        <w:t>2</w:t>
      </w:r>
      <w:r>
        <w:rPr>
          <w:rFonts w:ascii="Times New Roman" w:eastAsia="宋体"/>
          <w:color w:val="000000" w:themeColor="text1"/>
          <w:sz w:val="24"/>
          <w:szCs w:val="24"/>
        </w:rPr>
        <w:t>019</w:t>
      </w:r>
      <w:r>
        <w:rPr>
          <w:rFonts w:ascii="Times New Roman" w:eastAsia="宋体" w:hint="eastAsia"/>
          <w:color w:val="000000" w:themeColor="text1"/>
          <w:sz w:val="24"/>
          <w:szCs w:val="24"/>
        </w:rPr>
        <w:t>年</w:t>
      </w:r>
      <w:r>
        <w:rPr>
          <w:rFonts w:ascii="Times New Roman" w:eastAsia="宋体" w:hint="eastAsia"/>
          <w:color w:val="000000" w:themeColor="text1"/>
          <w:sz w:val="24"/>
          <w:szCs w:val="24"/>
        </w:rPr>
        <w:t>1</w:t>
      </w:r>
      <w:r>
        <w:rPr>
          <w:rFonts w:ascii="Times New Roman" w:eastAsia="宋体" w:hint="eastAsia"/>
          <w:color w:val="000000" w:themeColor="text1"/>
          <w:sz w:val="24"/>
          <w:szCs w:val="24"/>
        </w:rPr>
        <w:t>月</w:t>
      </w:r>
      <w:r>
        <w:rPr>
          <w:rFonts w:ascii="Times New Roman" w:eastAsia="宋体" w:hint="eastAsia"/>
          <w:color w:val="000000" w:themeColor="text1"/>
          <w:sz w:val="24"/>
          <w:szCs w:val="24"/>
        </w:rPr>
        <w:t>1</w:t>
      </w:r>
      <w:r>
        <w:rPr>
          <w:rFonts w:ascii="Times New Roman" w:eastAsia="宋体" w:hint="eastAsia"/>
          <w:color w:val="000000" w:themeColor="text1"/>
          <w:sz w:val="24"/>
          <w:szCs w:val="24"/>
        </w:rPr>
        <w:t>日实施）进行了公众参与两次信息公开。</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第一次公开在云南祥丰石化有限公司官方网站进行，公开内容包括：（</w:t>
      </w:r>
      <w:r>
        <w:rPr>
          <w:rFonts w:ascii="Times New Roman" w:eastAsia="宋体" w:hint="eastAsia"/>
          <w:color w:val="000000" w:themeColor="text1"/>
          <w:sz w:val="24"/>
          <w:szCs w:val="24"/>
        </w:rPr>
        <w:t>1</w:t>
      </w:r>
      <w:r>
        <w:rPr>
          <w:rFonts w:ascii="Times New Roman" w:eastAsia="宋体" w:hint="eastAsia"/>
          <w:color w:val="000000" w:themeColor="text1"/>
          <w:sz w:val="24"/>
          <w:szCs w:val="24"/>
        </w:rPr>
        <w:t>）建设项目名称、选址、建设内容等基本情况；（</w:t>
      </w:r>
      <w:r>
        <w:rPr>
          <w:rFonts w:ascii="Times New Roman" w:eastAsia="宋体" w:hint="eastAsia"/>
          <w:color w:val="000000" w:themeColor="text1"/>
          <w:sz w:val="24"/>
          <w:szCs w:val="24"/>
        </w:rPr>
        <w:t>2</w:t>
      </w:r>
      <w:r>
        <w:rPr>
          <w:rFonts w:ascii="Times New Roman" w:eastAsia="宋体" w:hint="eastAsia"/>
          <w:color w:val="000000" w:themeColor="text1"/>
          <w:sz w:val="24"/>
          <w:szCs w:val="24"/>
        </w:rPr>
        <w:t>）建设单位名称及联系方式；（</w:t>
      </w:r>
      <w:r>
        <w:rPr>
          <w:rFonts w:ascii="Times New Roman" w:eastAsia="宋体" w:hint="eastAsia"/>
          <w:color w:val="000000" w:themeColor="text1"/>
          <w:sz w:val="24"/>
          <w:szCs w:val="24"/>
        </w:rPr>
        <w:t>3</w:t>
      </w:r>
      <w:r>
        <w:rPr>
          <w:rFonts w:ascii="Times New Roman" w:eastAsia="宋体" w:hint="eastAsia"/>
          <w:color w:val="000000" w:themeColor="text1"/>
          <w:sz w:val="24"/>
          <w:szCs w:val="24"/>
        </w:rPr>
        <w:t>）环境影响报告书编制单位名称；（</w:t>
      </w:r>
      <w:r>
        <w:rPr>
          <w:rFonts w:ascii="Times New Roman" w:eastAsia="宋体" w:hint="eastAsia"/>
          <w:color w:val="000000" w:themeColor="text1"/>
          <w:sz w:val="24"/>
          <w:szCs w:val="24"/>
        </w:rPr>
        <w:t>4</w:t>
      </w:r>
      <w:r>
        <w:rPr>
          <w:rFonts w:ascii="Times New Roman" w:eastAsia="宋体" w:hint="eastAsia"/>
          <w:color w:val="000000" w:themeColor="text1"/>
          <w:sz w:val="24"/>
          <w:szCs w:val="24"/>
        </w:rPr>
        <w:t>）公众意见表的网络链接；（</w:t>
      </w:r>
      <w:r>
        <w:rPr>
          <w:rFonts w:ascii="Times New Roman" w:eastAsia="宋体" w:hint="eastAsia"/>
          <w:color w:val="000000" w:themeColor="text1"/>
          <w:sz w:val="24"/>
          <w:szCs w:val="24"/>
        </w:rPr>
        <w:t>5</w:t>
      </w:r>
      <w:r>
        <w:rPr>
          <w:rFonts w:ascii="Times New Roman" w:eastAsia="宋体" w:hint="eastAsia"/>
          <w:color w:val="000000" w:themeColor="text1"/>
          <w:sz w:val="24"/>
          <w:szCs w:val="24"/>
        </w:rPr>
        <w:t>）提交公众意见表的方式和途径。在项目公示期间，没有收到公众任何反馈意见。</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第二次公开在云南祥丰石化有限公司官方网站、《云南信息报》及安宁当地纸质信息公开栏同时进行，公开内容包括：（</w:t>
      </w:r>
      <w:r>
        <w:rPr>
          <w:rFonts w:ascii="Times New Roman" w:eastAsia="宋体" w:hint="eastAsia"/>
          <w:color w:val="000000" w:themeColor="text1"/>
          <w:sz w:val="24"/>
          <w:szCs w:val="24"/>
        </w:rPr>
        <w:t>1</w:t>
      </w:r>
      <w:r>
        <w:rPr>
          <w:rFonts w:ascii="Times New Roman" w:eastAsia="宋体" w:hint="eastAsia"/>
          <w:color w:val="000000" w:themeColor="text1"/>
          <w:sz w:val="24"/>
          <w:szCs w:val="24"/>
        </w:rPr>
        <w:t>）环境影响报告书征求意见稿全文的网络链接及查阅纸质报告书的方式和途径；（</w:t>
      </w:r>
      <w:r>
        <w:rPr>
          <w:rFonts w:ascii="Times New Roman" w:eastAsia="宋体" w:hint="eastAsia"/>
          <w:color w:val="000000" w:themeColor="text1"/>
          <w:sz w:val="24"/>
          <w:szCs w:val="24"/>
        </w:rPr>
        <w:t>2</w:t>
      </w:r>
      <w:r>
        <w:rPr>
          <w:rFonts w:ascii="Times New Roman" w:eastAsia="宋体" w:hint="eastAsia"/>
          <w:color w:val="000000" w:themeColor="text1"/>
          <w:sz w:val="24"/>
          <w:szCs w:val="24"/>
        </w:rPr>
        <w:t>）征求意见的公众范围；（</w:t>
      </w:r>
      <w:r>
        <w:rPr>
          <w:rFonts w:ascii="Times New Roman" w:eastAsia="宋体" w:hint="eastAsia"/>
          <w:color w:val="000000" w:themeColor="text1"/>
          <w:sz w:val="24"/>
          <w:szCs w:val="24"/>
        </w:rPr>
        <w:t>3</w:t>
      </w:r>
      <w:r>
        <w:rPr>
          <w:rFonts w:ascii="Times New Roman" w:eastAsia="宋体" w:hint="eastAsia"/>
          <w:color w:val="000000" w:themeColor="text1"/>
          <w:sz w:val="24"/>
          <w:szCs w:val="24"/>
        </w:rPr>
        <w:t>）公众意见表的网络链接；（</w:t>
      </w:r>
      <w:r>
        <w:rPr>
          <w:rFonts w:ascii="Times New Roman" w:eastAsia="宋体" w:hint="eastAsia"/>
          <w:color w:val="000000" w:themeColor="text1"/>
          <w:sz w:val="24"/>
          <w:szCs w:val="24"/>
        </w:rPr>
        <w:t>4</w:t>
      </w:r>
      <w:r>
        <w:rPr>
          <w:rFonts w:ascii="Times New Roman" w:eastAsia="宋体" w:hint="eastAsia"/>
          <w:color w:val="000000" w:themeColor="text1"/>
          <w:sz w:val="24"/>
          <w:szCs w:val="24"/>
        </w:rPr>
        <w:t>）公众提出意见的方式和途径；（</w:t>
      </w:r>
      <w:r>
        <w:rPr>
          <w:rFonts w:ascii="Times New Roman" w:eastAsia="宋体" w:hint="eastAsia"/>
          <w:color w:val="000000" w:themeColor="text1"/>
          <w:sz w:val="24"/>
          <w:szCs w:val="24"/>
        </w:rPr>
        <w:t>5</w:t>
      </w:r>
      <w:r>
        <w:rPr>
          <w:rFonts w:ascii="Times New Roman" w:eastAsia="宋体" w:hint="eastAsia"/>
          <w:color w:val="000000" w:themeColor="text1"/>
          <w:sz w:val="24"/>
          <w:szCs w:val="24"/>
        </w:rPr>
        <w:t>）公众提出意见的起止时间。征求公众意见的期限不少于</w:t>
      </w:r>
      <w:r>
        <w:rPr>
          <w:rFonts w:ascii="Times New Roman" w:eastAsia="宋体" w:hint="eastAsia"/>
          <w:color w:val="000000" w:themeColor="text1"/>
          <w:sz w:val="24"/>
          <w:szCs w:val="24"/>
        </w:rPr>
        <w:t>1</w:t>
      </w:r>
      <w:r>
        <w:rPr>
          <w:rFonts w:ascii="Times New Roman" w:eastAsia="宋体"/>
          <w:color w:val="000000" w:themeColor="text1"/>
          <w:sz w:val="24"/>
          <w:szCs w:val="24"/>
        </w:rPr>
        <w:t>0</w:t>
      </w:r>
      <w:r>
        <w:rPr>
          <w:rFonts w:ascii="Times New Roman" w:eastAsia="宋体" w:hint="eastAsia"/>
          <w:color w:val="000000" w:themeColor="text1"/>
          <w:sz w:val="24"/>
          <w:szCs w:val="24"/>
        </w:rPr>
        <w:t>个工作日，在项目公示期间，没有收到公众任何反馈意见。</w:t>
      </w:r>
    </w:p>
    <w:p w:rsidR="00C861DA" w:rsidRDefault="0044752E">
      <w:pPr>
        <w:autoSpaceDE/>
        <w:autoSpaceDN/>
        <w:adjustRightInd/>
        <w:spacing w:line="360" w:lineRule="auto"/>
        <w:ind w:firstLineChars="200" w:firstLine="480"/>
        <w:rPr>
          <w:rFonts w:ascii="Times New Roman" w:eastAsia="宋体" w:cs="仿宋"/>
          <w:color w:val="000000" w:themeColor="text1"/>
          <w:sz w:val="24"/>
          <w:szCs w:val="24"/>
        </w:rPr>
      </w:pPr>
      <w:r>
        <w:rPr>
          <w:rFonts w:ascii="Times New Roman" w:eastAsia="宋体" w:hint="eastAsia"/>
          <w:color w:val="000000" w:themeColor="text1"/>
          <w:sz w:val="24"/>
          <w:szCs w:val="24"/>
        </w:rPr>
        <w:t>在项目建设和运营期间，业主应做好相关的环境保护工作，项目建设和运行过程中应严格按照本报告提出的各项要求进行污染治理和管理，确保各项污染物达标排放，不对周围居民生活造成不良影响，以解除公众的顾虑。</w:t>
      </w:r>
    </w:p>
    <w:p w:rsidR="00C861DA" w:rsidRDefault="0044752E">
      <w:pPr>
        <w:pStyle w:val="22"/>
        <w:rPr>
          <w:rFonts w:ascii="Times New Roman" w:eastAsia="宋体" w:hAnsi="Times New Roman"/>
          <w:bCs w:val="0"/>
          <w:color w:val="000000" w:themeColor="text1"/>
          <w:sz w:val="28"/>
          <w:szCs w:val="28"/>
        </w:rPr>
      </w:pPr>
      <w:bookmarkStart w:id="611" w:name="_Toc15744"/>
      <w:bookmarkStart w:id="612" w:name="_Toc6826914"/>
      <w:bookmarkStart w:id="613" w:name="_Toc22125"/>
      <w:bookmarkStart w:id="614" w:name="_Toc16912"/>
      <w:bookmarkStart w:id="615" w:name="_Toc15436"/>
      <w:r>
        <w:rPr>
          <w:rFonts w:ascii="Times New Roman" w:eastAsia="宋体" w:hAnsi="Times New Roman" w:hint="eastAsia"/>
          <w:bCs w:val="0"/>
          <w:color w:val="000000" w:themeColor="text1"/>
          <w:sz w:val="28"/>
          <w:szCs w:val="28"/>
        </w:rPr>
        <w:t>9.</w:t>
      </w:r>
      <w:r>
        <w:rPr>
          <w:rFonts w:ascii="Times New Roman" w:eastAsia="宋体" w:hAnsi="Times New Roman"/>
          <w:bCs w:val="0"/>
          <w:color w:val="000000" w:themeColor="text1"/>
          <w:sz w:val="28"/>
          <w:szCs w:val="28"/>
        </w:rPr>
        <w:t>5</w:t>
      </w:r>
      <w:r>
        <w:rPr>
          <w:rFonts w:ascii="Times New Roman" w:eastAsia="宋体" w:hAnsi="Times New Roman" w:hint="eastAsia"/>
          <w:bCs w:val="0"/>
          <w:color w:val="000000" w:themeColor="text1"/>
          <w:sz w:val="28"/>
          <w:szCs w:val="28"/>
        </w:rPr>
        <w:t>厂区平面布置的合理性分析</w:t>
      </w:r>
      <w:bookmarkEnd w:id="611"/>
      <w:bookmarkEnd w:id="612"/>
      <w:bookmarkEnd w:id="613"/>
      <w:bookmarkEnd w:id="614"/>
      <w:bookmarkEnd w:id="615"/>
    </w:p>
    <w:p w:rsidR="00C861DA" w:rsidRDefault="0044752E">
      <w:pPr>
        <w:autoSpaceDE/>
        <w:autoSpaceDN/>
        <w:adjustRightInd/>
        <w:spacing w:line="360" w:lineRule="auto"/>
        <w:ind w:firstLineChars="200" w:firstLine="480"/>
        <w:rPr>
          <w:color w:val="000000" w:themeColor="text1"/>
        </w:rPr>
      </w:pPr>
      <w:r>
        <w:rPr>
          <w:rFonts w:ascii="Times New Roman" w:eastAsia="宋体" w:cs="仿宋" w:hint="eastAsia"/>
          <w:color w:val="000000" w:themeColor="text1"/>
          <w:sz w:val="24"/>
          <w:szCs w:val="24"/>
        </w:rPr>
        <w:t>本项目主要建设内容包括硝酸工段、硝铵工段、硝基肥合成工段、尿素合成工段等，总占地面积</w:t>
      </w:r>
      <w:r>
        <w:rPr>
          <w:rFonts w:ascii="Times New Roman" w:eastAsia="宋体" w:cs="仿宋" w:hint="eastAsia"/>
          <w:color w:val="000000" w:themeColor="text1"/>
          <w:sz w:val="24"/>
          <w:szCs w:val="24"/>
        </w:rPr>
        <w:t>1</w:t>
      </w:r>
      <w:r>
        <w:rPr>
          <w:rFonts w:ascii="Times New Roman" w:eastAsia="宋体" w:cs="仿宋"/>
          <w:color w:val="000000" w:themeColor="text1"/>
          <w:sz w:val="24"/>
          <w:szCs w:val="24"/>
        </w:rPr>
        <w:t>30607.31m</w:t>
      </w:r>
      <w:r>
        <w:rPr>
          <w:rFonts w:ascii="Times New Roman" w:eastAsia="宋体" w:cs="仿宋"/>
          <w:color w:val="000000" w:themeColor="text1"/>
          <w:sz w:val="24"/>
          <w:szCs w:val="24"/>
          <w:vertAlign w:val="superscript"/>
        </w:rPr>
        <w:t>2</w:t>
      </w:r>
      <w:r>
        <w:rPr>
          <w:rFonts w:ascii="Times New Roman" w:eastAsia="宋体" w:cs="仿宋" w:hint="eastAsia"/>
          <w:color w:val="000000" w:themeColor="text1"/>
          <w:sz w:val="24"/>
          <w:szCs w:val="24"/>
        </w:rPr>
        <w:t>，生产所需的液氨由项目区北侧的“</w:t>
      </w:r>
      <w:r>
        <w:rPr>
          <w:rFonts w:ascii="Times New Roman" w:eastAsia="宋体" w:cs="仿宋" w:hint="eastAsia"/>
          <w:color w:val="000000" w:themeColor="text1"/>
          <w:sz w:val="24"/>
          <w:szCs w:val="24"/>
        </w:rPr>
        <w:t>3</w:t>
      </w:r>
      <w:r>
        <w:rPr>
          <w:rFonts w:ascii="Times New Roman" w:eastAsia="宋体" w:cs="仿宋"/>
          <w:color w:val="000000" w:themeColor="text1"/>
          <w:sz w:val="24"/>
          <w:szCs w:val="24"/>
        </w:rPr>
        <w:t>0</w:t>
      </w:r>
      <w:r>
        <w:rPr>
          <w:rFonts w:ascii="Times New Roman" w:eastAsia="宋体" w:cs="仿宋" w:hint="eastAsia"/>
          <w:color w:val="000000" w:themeColor="text1"/>
          <w:sz w:val="24"/>
          <w:szCs w:val="24"/>
        </w:rPr>
        <w:t>万吨合成氨装置项目”提供，故氧化液氨的硝酸工段设置与项目区最北侧，与</w:t>
      </w:r>
      <w:r>
        <w:rPr>
          <w:rFonts w:ascii="Times New Roman" w:eastAsia="宋体" w:cs="仿宋" w:hint="eastAsia"/>
          <w:color w:val="000000" w:themeColor="text1"/>
          <w:sz w:val="24"/>
          <w:szCs w:val="24"/>
        </w:rPr>
        <w:t>3</w:t>
      </w:r>
      <w:r>
        <w:rPr>
          <w:rFonts w:ascii="Times New Roman" w:eastAsia="宋体" w:cs="仿宋"/>
          <w:color w:val="000000" w:themeColor="text1"/>
          <w:sz w:val="24"/>
          <w:szCs w:val="24"/>
        </w:rPr>
        <w:t>0</w:t>
      </w:r>
      <w:r>
        <w:rPr>
          <w:rFonts w:ascii="Times New Roman" w:eastAsia="宋体" w:cs="仿宋" w:hint="eastAsia"/>
          <w:color w:val="000000" w:themeColor="text1"/>
          <w:sz w:val="24"/>
          <w:szCs w:val="24"/>
        </w:rPr>
        <w:t>万吨合成氨装置项目”相邻，减少液氨输送路程，原料仓库位于项目区中部，介于绿色有机硝基复合肥生产线和</w:t>
      </w:r>
      <w:r>
        <w:rPr>
          <w:rFonts w:ascii="Times New Roman" w:eastAsia="宋体" w:hAnsi="Times New Roman" w:cs="Times New Roman"/>
          <w:color w:val="000000" w:themeColor="text1"/>
          <w:sz w:val="24"/>
        </w:rPr>
        <w:t>绿色有机绿色</w:t>
      </w:r>
      <w:r>
        <w:rPr>
          <w:rFonts w:ascii="Times New Roman" w:eastAsia="宋体" w:hAnsi="Times New Roman" w:cs="Times New Roman" w:hint="eastAsia"/>
          <w:color w:val="000000" w:themeColor="text1"/>
          <w:sz w:val="24"/>
        </w:rPr>
        <w:t>尿</w:t>
      </w:r>
      <w:r>
        <w:rPr>
          <w:rFonts w:ascii="Times New Roman" w:eastAsia="宋体" w:hAnsi="Times New Roman" w:cs="Times New Roman"/>
          <w:color w:val="000000" w:themeColor="text1"/>
          <w:sz w:val="24"/>
        </w:rPr>
        <w:t>基复合肥</w:t>
      </w:r>
      <w:r>
        <w:rPr>
          <w:rFonts w:ascii="Times New Roman" w:eastAsia="宋体" w:cs="仿宋" w:hint="eastAsia"/>
          <w:color w:val="000000" w:themeColor="text1"/>
          <w:sz w:val="24"/>
          <w:szCs w:val="24"/>
        </w:rPr>
        <w:t>生产线之间，方便两条生产线使用，事故水池和初期雨水收集池均位于项目区高程较低位置，方便雨水和事故水利用重力自流，充分利用综合上述，本项目总平面布置充分考虑了厂区的配合、分区功能明确，总体布局合理、可行。</w:t>
      </w:r>
    </w:p>
    <w:p w:rsidR="00C861DA" w:rsidRDefault="00C861DA">
      <w:pPr>
        <w:pStyle w:val="21"/>
        <w:rPr>
          <w:color w:val="000000" w:themeColor="text1"/>
        </w:rPr>
        <w:sectPr w:rsidR="00C861DA">
          <w:pgSz w:w="11906" w:h="16838"/>
          <w:pgMar w:top="1440" w:right="1800" w:bottom="1440" w:left="1800" w:header="851" w:footer="992" w:gutter="0"/>
          <w:cols w:space="425"/>
          <w:docGrid w:type="lines" w:linePitch="312"/>
        </w:sectPr>
      </w:pPr>
    </w:p>
    <w:p w:rsidR="00C861DA" w:rsidRDefault="0044752E">
      <w:pPr>
        <w:pStyle w:val="12"/>
        <w:jc w:val="center"/>
        <w:rPr>
          <w:rFonts w:ascii="Times New Roman" w:eastAsia="宋体"/>
          <w:b/>
          <w:color w:val="000000" w:themeColor="text1"/>
          <w:sz w:val="28"/>
          <w:szCs w:val="24"/>
        </w:rPr>
      </w:pPr>
      <w:bookmarkStart w:id="616" w:name="_Toc6826915"/>
      <w:bookmarkStart w:id="617" w:name="_Toc9854"/>
      <w:bookmarkStart w:id="618" w:name="_Toc8663"/>
      <w:bookmarkStart w:id="619" w:name="_Toc20204"/>
      <w:bookmarkStart w:id="620" w:name="_Toc29995"/>
      <w:r>
        <w:rPr>
          <w:rFonts w:ascii="Times New Roman" w:eastAsia="宋体"/>
          <w:b/>
          <w:color w:val="000000" w:themeColor="text1"/>
          <w:sz w:val="28"/>
          <w:szCs w:val="24"/>
        </w:rPr>
        <w:t>10</w:t>
      </w:r>
      <w:r>
        <w:rPr>
          <w:rFonts w:ascii="Times New Roman" w:eastAsia="宋体"/>
          <w:b/>
          <w:color w:val="000000" w:themeColor="text1"/>
          <w:sz w:val="28"/>
          <w:szCs w:val="24"/>
        </w:rPr>
        <w:t>、污染防治对策措施及建议</w:t>
      </w:r>
      <w:bookmarkEnd w:id="616"/>
      <w:bookmarkEnd w:id="617"/>
      <w:bookmarkEnd w:id="618"/>
      <w:bookmarkEnd w:id="619"/>
      <w:bookmarkEnd w:id="620"/>
    </w:p>
    <w:p w:rsidR="00C861DA" w:rsidRDefault="0044752E">
      <w:pPr>
        <w:pStyle w:val="22"/>
        <w:rPr>
          <w:rFonts w:ascii="Times New Roman" w:eastAsia="宋体" w:hAnsi="Times New Roman"/>
          <w:bCs w:val="0"/>
          <w:color w:val="000000" w:themeColor="text1"/>
          <w:sz w:val="28"/>
          <w:szCs w:val="28"/>
        </w:rPr>
      </w:pPr>
      <w:bookmarkStart w:id="621" w:name="_Toc27236"/>
      <w:bookmarkStart w:id="622" w:name="_Toc6429"/>
      <w:bookmarkStart w:id="623" w:name="_Toc6826916"/>
      <w:bookmarkStart w:id="624" w:name="_Toc29724"/>
      <w:bookmarkStart w:id="625" w:name="_Toc23388"/>
      <w:r>
        <w:rPr>
          <w:rFonts w:ascii="Times New Roman" w:eastAsia="宋体" w:hAnsi="Times New Roman"/>
          <w:bCs w:val="0"/>
          <w:color w:val="000000" w:themeColor="text1"/>
          <w:sz w:val="28"/>
          <w:szCs w:val="28"/>
        </w:rPr>
        <w:t>10.1</w:t>
      </w:r>
      <w:r>
        <w:rPr>
          <w:rFonts w:ascii="Times New Roman" w:eastAsia="宋体" w:hAnsi="Times New Roman"/>
          <w:bCs w:val="0"/>
          <w:color w:val="000000" w:themeColor="text1"/>
          <w:sz w:val="28"/>
          <w:szCs w:val="28"/>
        </w:rPr>
        <w:t>施工期环境保护措施</w:t>
      </w:r>
      <w:bookmarkEnd w:id="621"/>
      <w:bookmarkEnd w:id="622"/>
      <w:bookmarkEnd w:id="623"/>
      <w:bookmarkEnd w:id="624"/>
      <w:bookmarkEnd w:id="625"/>
    </w:p>
    <w:p w:rsidR="00C861DA" w:rsidRDefault="0044752E">
      <w:pPr>
        <w:pStyle w:val="32"/>
        <w:rPr>
          <w:rFonts w:ascii="Times New Roman" w:eastAsia="宋体"/>
          <w:bCs w:val="0"/>
          <w:color w:val="000000" w:themeColor="text1"/>
          <w:sz w:val="24"/>
          <w:szCs w:val="24"/>
        </w:rPr>
      </w:pPr>
      <w:bookmarkStart w:id="626" w:name="_Toc29109"/>
      <w:bookmarkStart w:id="627" w:name="_Toc24738"/>
      <w:bookmarkStart w:id="628" w:name="_Toc15079"/>
      <w:bookmarkStart w:id="629" w:name="_Toc5139"/>
      <w:bookmarkStart w:id="630" w:name="_Toc6826917"/>
      <w:r>
        <w:rPr>
          <w:rFonts w:ascii="Times New Roman" w:eastAsia="宋体"/>
          <w:bCs w:val="0"/>
          <w:color w:val="000000" w:themeColor="text1"/>
          <w:sz w:val="24"/>
          <w:szCs w:val="24"/>
        </w:rPr>
        <w:t>10.1.1</w:t>
      </w:r>
      <w:r>
        <w:rPr>
          <w:rFonts w:ascii="Times New Roman" w:eastAsia="宋体"/>
          <w:bCs w:val="0"/>
          <w:color w:val="000000" w:themeColor="text1"/>
          <w:sz w:val="24"/>
          <w:szCs w:val="24"/>
        </w:rPr>
        <w:t>废气污染防治措施</w:t>
      </w:r>
      <w:bookmarkEnd w:id="626"/>
      <w:bookmarkEnd w:id="627"/>
      <w:bookmarkEnd w:id="628"/>
      <w:bookmarkEnd w:id="629"/>
      <w:bookmarkEnd w:id="630"/>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）建筑施工场界砌筑高度不得低于</w:t>
      </w:r>
      <w:r>
        <w:rPr>
          <w:rFonts w:ascii="Times New Roman" w:eastAsia="宋体" w:hAnsi="Times New Roman" w:cs="Times New Roman"/>
          <w:color w:val="000000" w:themeColor="text1"/>
          <w:sz w:val="24"/>
          <w:szCs w:val="24"/>
        </w:rPr>
        <w:t>2.5</w:t>
      </w:r>
      <w:r>
        <w:rPr>
          <w:rFonts w:ascii="Times New Roman" w:eastAsia="宋体" w:hAnsi="Times New Roman" w:cs="Times New Roman"/>
          <w:color w:val="000000" w:themeColor="text1"/>
          <w:sz w:val="24"/>
          <w:szCs w:val="24"/>
        </w:rPr>
        <w:t>米的围栏，在施工场地安排员工定期对施工场地洒水以减少扬尘量，洒水次数根据天气状况而定。一般每天洒水</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1~2</w:t>
      </w:r>
      <w:r>
        <w:rPr>
          <w:rFonts w:ascii="Times New Roman" w:eastAsia="宋体" w:hAnsi="Times New Roman" w:cs="Times New Roman"/>
          <w:color w:val="000000" w:themeColor="text1"/>
          <w:sz w:val="24"/>
          <w:szCs w:val="24"/>
        </w:rPr>
        <w:t>次；若遇到大风或干燥天气可适当增加洒水次数。施工厂界设置喷淋洒水装置，增设洒水雾炮车沿施工厂界道路定期喷水雾。施工场地洒水与否对扬尘的影响较大，场地洒水后，扬尘量将减低</w:t>
      </w:r>
      <w:r>
        <w:rPr>
          <w:rFonts w:ascii="Times New Roman" w:eastAsia="宋体" w:hAnsi="Times New Roman" w:cs="Times New Roman"/>
          <w:color w:val="000000" w:themeColor="text1"/>
          <w:sz w:val="24"/>
          <w:szCs w:val="24"/>
        </w:rPr>
        <w:t>28%~75%</w:t>
      </w:r>
      <w:r>
        <w:rPr>
          <w:rFonts w:ascii="Times New Roman" w:eastAsia="宋体" w:hAnsi="Times New Roman" w:cs="Times New Roman"/>
          <w:color w:val="000000" w:themeColor="text1"/>
          <w:sz w:val="24"/>
          <w:szCs w:val="24"/>
        </w:rPr>
        <w:t>，大大减少了其对环境的影响。水泥等粉细散装材料，应尽量采取库内存放，如露天存放应采用严密遮盖，卸运时要采取有效措施。</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）建议使用商品混凝土和预制构件，尽可能不在现场搅拌砼和使用散装水泥。在施工机械的选型上考虑相应的环保型产品，主要使用轻质柴油或电作为能源。</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）施工现场的运输车辆应控制车速，限速</w:t>
      </w:r>
      <w:r>
        <w:rPr>
          <w:rFonts w:ascii="Times New Roman" w:eastAsia="宋体" w:hAnsi="Times New Roman" w:cs="Times New Roman"/>
          <w:color w:val="000000" w:themeColor="text1"/>
          <w:sz w:val="24"/>
          <w:szCs w:val="24"/>
        </w:rPr>
        <w:t>40km/h</w:t>
      </w:r>
      <w:r>
        <w:rPr>
          <w:rFonts w:ascii="Times New Roman" w:eastAsia="宋体" w:hAnsi="Times New Roman" w:cs="Times New Roman"/>
          <w:color w:val="000000" w:themeColor="text1"/>
          <w:sz w:val="24"/>
          <w:szCs w:val="24"/>
        </w:rPr>
        <w:t>，以减少行驶过程中产生的道路扬尘。对运输建筑材料及建筑垃圾的车辆加盖蓬布减少洒落。装动土、沙等粉料的车辆，其装载量限于车厢挡板以下，减少运输途中的抛洒。及时清扫施工现场洒落的沙石、水泥等物料，砂石堆场、场内的运输线路应定时洒水抑尘，运输车辆出现场前，应将车辆槽帮和车轮冲洗干净，防止带泥土的运输车辆驶出现场和遗撤渣土在路途中。</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）对建筑垃圾及弃土应及时处理、清运、以减少占地，防止扬尘污染，改善施工场地的环境。对需要回填的土方及石子、砂子等进行定期洒水或网</w:t>
      </w:r>
      <w:r>
        <w:rPr>
          <w:rFonts w:ascii="Times New Roman" w:eastAsia="宋体" w:hAnsi="Times New Roman" w:cs="Times New Roman"/>
          <w:color w:val="000000" w:themeColor="text1"/>
          <w:sz w:val="24"/>
          <w:szCs w:val="24"/>
        </w:rPr>
        <w:t>布遮盖抑尘，减少扬尘污染。清理施工垃圾时，采用容器吊运的办法，严禁任何人随意凌空抛散。运输车辆行驶路线应尽量避开居民点和环境敏感点等。采用封闭垃圾桶存放垃圾，并将垃圾分开存放，及时清运。外运时覆盖严密，确保不沿途散落。</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5</w:t>
      </w:r>
      <w:r>
        <w:rPr>
          <w:rFonts w:ascii="Times New Roman" w:eastAsia="宋体" w:hAnsi="Times New Roman" w:cs="Times New Roman"/>
          <w:color w:val="000000" w:themeColor="text1"/>
          <w:sz w:val="24"/>
          <w:szCs w:val="24"/>
        </w:rPr>
        <w:t>）尽量避免在大风天气下进行施工作业，北京市目前规定大于四级风禁止土石方施工，该项目也可借鉴。</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总之，切实落实好这些措施，施工场地扬尘对环境的影响将会大大降低，对周围敏感目标的影响也将得到最大限度的降低，其对环境的影响也将随施工的结束而消失。</w:t>
      </w:r>
    </w:p>
    <w:p w:rsidR="00C861DA" w:rsidRDefault="0044752E">
      <w:pPr>
        <w:pStyle w:val="32"/>
        <w:rPr>
          <w:rFonts w:ascii="Times New Roman" w:eastAsia="宋体"/>
          <w:bCs w:val="0"/>
          <w:color w:val="000000" w:themeColor="text1"/>
          <w:sz w:val="24"/>
          <w:szCs w:val="24"/>
        </w:rPr>
      </w:pPr>
      <w:bookmarkStart w:id="631" w:name="_Toc22959"/>
      <w:bookmarkStart w:id="632" w:name="_Toc19198"/>
      <w:bookmarkStart w:id="633" w:name="_Toc7271"/>
      <w:bookmarkStart w:id="634" w:name="_Toc10709"/>
      <w:bookmarkStart w:id="635" w:name="_Toc6826918"/>
      <w:r>
        <w:rPr>
          <w:rFonts w:ascii="Times New Roman" w:eastAsia="宋体"/>
          <w:bCs w:val="0"/>
          <w:color w:val="000000" w:themeColor="text1"/>
          <w:sz w:val="24"/>
          <w:szCs w:val="24"/>
        </w:rPr>
        <w:t>10.1.2</w:t>
      </w:r>
      <w:r>
        <w:rPr>
          <w:rFonts w:ascii="Times New Roman" w:eastAsia="宋体"/>
          <w:bCs w:val="0"/>
          <w:color w:val="000000" w:themeColor="text1"/>
          <w:sz w:val="24"/>
          <w:szCs w:val="24"/>
        </w:rPr>
        <w:t>水环境保护对策措施</w:t>
      </w:r>
      <w:bookmarkEnd w:id="631"/>
      <w:bookmarkEnd w:id="632"/>
      <w:bookmarkEnd w:id="633"/>
      <w:bookmarkEnd w:id="634"/>
      <w:bookmarkEnd w:id="635"/>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）项目开工</w:t>
      </w:r>
      <w:r>
        <w:rPr>
          <w:rFonts w:ascii="Times New Roman" w:eastAsia="宋体" w:hAnsi="Times New Roman" w:cs="Times New Roman"/>
          <w:color w:val="000000" w:themeColor="text1"/>
          <w:sz w:val="24"/>
          <w:szCs w:val="24"/>
        </w:rPr>
        <w:t>建设前，应提前在施工场地周围建设挡水、截水、排水工程，这样可将施工场地水土流失对地表水环境的影响降低到最小程度。</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）项目基础的大开挖工程应尽量避开雨季，安排在旱季进行，同时尽量缩短施工现场大面积裸露的时间，以减少施工期，特别是基础大开挖时产生的水土流失。</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项目施工场所内在施工场地等产生施工废水的地方，应根据实际情况设置沉砂池，将产生的含泥砂量大的施工废水进行沉淀处理后，尽量回用于砂浆、砂石料清洗等工序，同时晴天时，增加施工场地内的道路及施工面的喷洒，降低扬尘对区域空气环境的影响。</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）施工期的生</w:t>
      </w:r>
      <w:r>
        <w:rPr>
          <w:rFonts w:ascii="Times New Roman" w:eastAsia="宋体" w:hAnsi="Times New Roman" w:cs="Times New Roman"/>
          <w:color w:val="000000" w:themeColor="text1"/>
          <w:sz w:val="24"/>
          <w:szCs w:val="24"/>
        </w:rPr>
        <w:t>活污水收集经絮凝沉淀池处理后施工用水或洒水抑尘用水，加强管理，确保生活废水不外排。</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5</w:t>
      </w:r>
      <w:r>
        <w:rPr>
          <w:rFonts w:ascii="Times New Roman" w:eastAsia="宋体" w:hAnsi="Times New Roman" w:cs="Times New Roman"/>
          <w:color w:val="000000" w:themeColor="text1"/>
          <w:sz w:val="24"/>
          <w:szCs w:val="24"/>
        </w:rPr>
        <w:t>）项目应加强管理，不得在施工现场进行机械修理，雨天对机械设备进行遮盖防雨。</w:t>
      </w:r>
    </w:p>
    <w:p w:rsidR="00C861DA" w:rsidRDefault="0044752E">
      <w:pPr>
        <w:pStyle w:val="32"/>
        <w:rPr>
          <w:rFonts w:ascii="Times New Roman" w:eastAsia="宋体"/>
          <w:bCs w:val="0"/>
          <w:color w:val="000000" w:themeColor="text1"/>
          <w:sz w:val="24"/>
          <w:szCs w:val="24"/>
        </w:rPr>
      </w:pPr>
      <w:bookmarkStart w:id="636" w:name="_Toc27135"/>
      <w:bookmarkStart w:id="637" w:name="_Toc28558"/>
      <w:bookmarkStart w:id="638" w:name="_Toc19008"/>
      <w:bookmarkStart w:id="639" w:name="_Toc5968"/>
      <w:bookmarkStart w:id="640" w:name="_Toc6826919"/>
      <w:r>
        <w:rPr>
          <w:rFonts w:ascii="Times New Roman" w:eastAsia="宋体"/>
          <w:bCs w:val="0"/>
          <w:color w:val="000000" w:themeColor="text1"/>
          <w:sz w:val="24"/>
          <w:szCs w:val="24"/>
        </w:rPr>
        <w:t>10.1.3</w:t>
      </w:r>
      <w:r>
        <w:rPr>
          <w:rFonts w:ascii="Times New Roman" w:eastAsia="宋体"/>
          <w:bCs w:val="0"/>
          <w:color w:val="000000" w:themeColor="text1"/>
          <w:sz w:val="24"/>
          <w:szCs w:val="24"/>
        </w:rPr>
        <w:t>减轻噪声影响的优化措施</w:t>
      </w:r>
      <w:bookmarkEnd w:id="636"/>
      <w:bookmarkEnd w:id="637"/>
      <w:bookmarkEnd w:id="638"/>
      <w:bookmarkEnd w:id="639"/>
      <w:bookmarkEnd w:id="640"/>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施工噪声主要为机械噪声，施工作业采用白天施工，夜晚停工，但项目施工期仅通过控制施工时间来进行噪声治理，不够完善，应采取以下措施对施工噪声进行治理：</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）建筑施工单位应当采取有效措施，降低施工噪声污染，所排放的建筑施工噪声，应当符合国家规定的建筑施工场界噪声限值。</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）建筑施工过程中使用机械设备，可能产生环境</w:t>
      </w:r>
      <w:r>
        <w:rPr>
          <w:rFonts w:ascii="Times New Roman" w:eastAsia="宋体" w:hAnsi="Times New Roman" w:cs="Times New Roman"/>
          <w:color w:val="000000" w:themeColor="text1"/>
          <w:sz w:val="24"/>
          <w:szCs w:val="24"/>
        </w:rPr>
        <w:t>噪声污染的，施工单位应当在工程开工前向工程所在地的环境保护行政主管部门申报该工程的项目名称、施工场所和期限、可能产生的环境噪声值以及所采取的环境噪声污染防治措施的情况。</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建设单位在与施工单住签订合同时，应要求其使用的主要机械设备为低噪声机械设备，例如选液压机械取代燃油机械。同时在施工过程中施工单位应设专人对设备进行定期保养和维护，并负责对现场工作人员进行培训，严格按操作规范使用各类机械，采用低噪声的先进的工艺。</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）建材及渣土运输线路选择应避开声环境敏感目标，车辆经过敏感区时尽量减速，禁止鸣笛，减小建筑材料及渣土运输对沿线敏感目标的影响。</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5</w:t>
      </w:r>
      <w:r>
        <w:rPr>
          <w:rFonts w:ascii="Times New Roman" w:eastAsia="宋体" w:hAnsi="Times New Roman" w:cs="Times New Roman"/>
          <w:color w:val="000000" w:themeColor="text1"/>
          <w:sz w:val="24"/>
          <w:szCs w:val="24"/>
        </w:rPr>
        <w:t>）建设管理部门应加强对施工场地的噪声严格管理，施工企业也应对施工噪声进行自律，文明施工，避免因施工噪声产生企业与民众的纠分。</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6</w:t>
      </w:r>
      <w:r>
        <w:rPr>
          <w:rFonts w:ascii="Times New Roman" w:eastAsia="宋体" w:hAnsi="Times New Roman" w:cs="Times New Roman"/>
          <w:color w:val="000000" w:themeColor="text1"/>
          <w:sz w:val="24"/>
          <w:szCs w:val="24"/>
        </w:rPr>
        <w:t>）项目施工期间打桩工序使用静压打桩，采用开挖机进行开挖，再进行施浇灌，工设备应选用工艺先进的低噪声设备，从源强上降低噪声。</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7</w:t>
      </w:r>
      <w:r>
        <w:rPr>
          <w:rFonts w:ascii="Times New Roman" w:eastAsia="宋体" w:hAnsi="Times New Roman" w:cs="Times New Roman"/>
          <w:color w:val="000000" w:themeColor="text1"/>
          <w:sz w:val="24"/>
          <w:szCs w:val="24"/>
        </w:rPr>
        <w:t>）加强施工期的操作规范，避免人为造成诸如高空抛丢重物砸下造成的突发性噪声影响周围居民的情况发生。</w:t>
      </w:r>
    </w:p>
    <w:p w:rsidR="00C861DA" w:rsidRDefault="0044752E">
      <w:pPr>
        <w:pStyle w:val="32"/>
        <w:rPr>
          <w:rFonts w:ascii="Times New Roman" w:eastAsia="宋体"/>
          <w:bCs w:val="0"/>
          <w:color w:val="000000" w:themeColor="text1"/>
          <w:sz w:val="24"/>
          <w:szCs w:val="24"/>
        </w:rPr>
      </w:pPr>
      <w:bookmarkStart w:id="641" w:name="_Toc23703"/>
      <w:bookmarkStart w:id="642" w:name="_Toc8292"/>
      <w:bookmarkStart w:id="643" w:name="_Toc5336"/>
      <w:bookmarkStart w:id="644" w:name="_Toc19727"/>
      <w:bookmarkStart w:id="645" w:name="_Toc6826920"/>
      <w:r>
        <w:rPr>
          <w:rFonts w:ascii="Times New Roman" w:eastAsia="宋体"/>
          <w:bCs w:val="0"/>
          <w:color w:val="000000" w:themeColor="text1"/>
          <w:sz w:val="24"/>
          <w:szCs w:val="24"/>
        </w:rPr>
        <w:t>10.1.4</w:t>
      </w:r>
      <w:r>
        <w:rPr>
          <w:rFonts w:ascii="Times New Roman" w:eastAsia="宋体"/>
          <w:bCs w:val="0"/>
          <w:color w:val="000000" w:themeColor="text1"/>
          <w:sz w:val="24"/>
          <w:szCs w:val="24"/>
        </w:rPr>
        <w:t>固体废物</w:t>
      </w:r>
      <w:r>
        <w:rPr>
          <w:rFonts w:ascii="Times New Roman" w:eastAsia="宋体"/>
          <w:bCs w:val="0"/>
          <w:color w:val="000000" w:themeColor="text1"/>
          <w:sz w:val="24"/>
          <w:szCs w:val="24"/>
        </w:rPr>
        <w:t>的防治措施</w:t>
      </w:r>
      <w:bookmarkEnd w:id="641"/>
      <w:bookmarkEnd w:id="642"/>
      <w:bookmarkEnd w:id="643"/>
      <w:bookmarkEnd w:id="644"/>
      <w:bookmarkEnd w:id="645"/>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废弃建筑材料应对其进行分类集中堆存，能回收利用的部分，例如木制（铁制）材料等，请回收商进行收购，重复利用；不能回收利用的部分运至指定的建筑垃圾堆放点，禁止与生活垃圾混合处置，禁止随意丢弃。</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）施工期间生活垃圾应收集后委托环卫部门清运，禁止随意丢弃。</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）不得随意堆放建筑材料及固体废物，严格运输管理，不得随路洒落或抛弃，施工结束后应及时回收、清理多余的建筑材料或建筑垃圾。</w:t>
      </w:r>
    </w:p>
    <w:p w:rsidR="00C861DA" w:rsidRDefault="0044752E">
      <w:pPr>
        <w:pStyle w:val="32"/>
        <w:rPr>
          <w:rFonts w:ascii="Times New Roman" w:eastAsia="宋体"/>
          <w:bCs w:val="0"/>
          <w:color w:val="000000" w:themeColor="text1"/>
          <w:sz w:val="24"/>
          <w:szCs w:val="24"/>
        </w:rPr>
      </w:pPr>
      <w:bookmarkStart w:id="646" w:name="_Toc23750"/>
      <w:bookmarkStart w:id="647" w:name="_Toc5634"/>
      <w:bookmarkStart w:id="648" w:name="_Toc5906"/>
      <w:bookmarkStart w:id="649" w:name="_Toc20976"/>
      <w:bookmarkStart w:id="650" w:name="_Toc6826921"/>
      <w:r>
        <w:rPr>
          <w:rFonts w:ascii="Times New Roman" w:eastAsia="宋体"/>
          <w:bCs w:val="0"/>
          <w:color w:val="000000" w:themeColor="text1"/>
          <w:sz w:val="24"/>
          <w:szCs w:val="24"/>
        </w:rPr>
        <w:t>10.1.5</w:t>
      </w:r>
      <w:r>
        <w:rPr>
          <w:rFonts w:ascii="Times New Roman" w:eastAsia="宋体"/>
          <w:bCs w:val="0"/>
          <w:color w:val="000000" w:themeColor="text1"/>
          <w:sz w:val="24"/>
          <w:szCs w:val="24"/>
        </w:rPr>
        <w:t>生态环境保护措施</w:t>
      </w:r>
      <w:bookmarkEnd w:id="646"/>
      <w:bookmarkEnd w:id="647"/>
      <w:bookmarkEnd w:id="648"/>
      <w:bookmarkEnd w:id="649"/>
      <w:bookmarkEnd w:id="650"/>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）合理安排工期，尽可能避开暴雨季节进行大规模土石方开挖与回填，避免雨水对地表土壤的冲刷和破坏。</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）理选择施工工序，在堆放临时渣料时，把易产生水土流失的表层土堆放在场地中间，开挖产生的块石堆放在其周围，起临时拦挡作用，严禁随意弃置。</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挖、填方施工时，尽量做到先筑挡土墙，随挖、随压，严禁随意开挖取土取石，破坏植被；道路等设施建完后，要注意保护边坡，裸露的土地应尽快植树种草，恢复植被，采取封闭措施，以防坍塌，造成水土流失。</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）施工完成后，要实施绿化补缺工程建设，种植当地灌木和乡土树种，引进外来树</w:t>
      </w:r>
      <w:r>
        <w:rPr>
          <w:rFonts w:ascii="Times New Roman" w:eastAsia="宋体" w:hAnsi="Times New Roman" w:cs="Times New Roman"/>
          <w:color w:val="000000" w:themeColor="text1"/>
          <w:sz w:val="24"/>
          <w:szCs w:val="24"/>
        </w:rPr>
        <w:t>种、草种时，需进行严格的检疫措施，以免感染和带来病虫害及造成外来物种侵入。</w:t>
      </w:r>
    </w:p>
    <w:p w:rsidR="00C861DA" w:rsidRDefault="0044752E">
      <w:pPr>
        <w:pStyle w:val="32"/>
        <w:rPr>
          <w:rFonts w:ascii="Times New Roman" w:eastAsia="宋体"/>
          <w:bCs w:val="0"/>
          <w:color w:val="000000" w:themeColor="text1"/>
          <w:sz w:val="24"/>
          <w:szCs w:val="24"/>
        </w:rPr>
      </w:pPr>
      <w:bookmarkStart w:id="651" w:name="_Toc12680"/>
      <w:bookmarkStart w:id="652" w:name="_Toc27164"/>
      <w:bookmarkStart w:id="653" w:name="_Toc3856"/>
      <w:bookmarkStart w:id="654" w:name="_Toc12000"/>
      <w:bookmarkStart w:id="655" w:name="_Toc6826922"/>
      <w:r>
        <w:rPr>
          <w:rFonts w:ascii="Times New Roman" w:eastAsia="宋体"/>
          <w:bCs w:val="0"/>
          <w:color w:val="000000" w:themeColor="text1"/>
          <w:sz w:val="24"/>
          <w:szCs w:val="24"/>
        </w:rPr>
        <w:t>10.1.6</w:t>
      </w:r>
      <w:r>
        <w:rPr>
          <w:rFonts w:ascii="Times New Roman" w:eastAsia="宋体"/>
          <w:bCs w:val="0"/>
          <w:color w:val="000000" w:themeColor="text1"/>
          <w:sz w:val="24"/>
          <w:szCs w:val="24"/>
        </w:rPr>
        <w:t>水土保持措施</w:t>
      </w:r>
      <w:bookmarkEnd w:id="651"/>
      <w:bookmarkEnd w:id="652"/>
      <w:bookmarkEnd w:id="653"/>
      <w:bookmarkEnd w:id="654"/>
      <w:bookmarkEnd w:id="655"/>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）工程措施</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具体考虑地形，在内部连接公路间修建贯通排水设施的浆砌石排水沟，然后引入附近的沟道，最后与主体工程排水系统衔接或汇入项目区中的沉砂池。沿排水沟在地势低洼处或者拐角处设置浆砌石沉沙池，同时在主体已有排水系统出水口也设置沉沙池。</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）材料措施</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在区内用新型渗水砖或渗水石材铺设，以减少降雨地表径流，并利于美化造景。</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）植物措施</w:t>
      </w:r>
      <w:r>
        <w:rPr>
          <w:rFonts w:ascii="Times New Roman" w:eastAsia="宋体" w:hAnsi="Times New Roman" w:cs="Times New Roman"/>
          <w:color w:val="000000" w:themeColor="text1"/>
          <w:sz w:val="24"/>
          <w:szCs w:val="24"/>
        </w:rPr>
        <w:t xml:space="preserve"> </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结合气候和土质条件，方案选择乡土树种和花草。</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）临时措施</w:t>
      </w:r>
      <w:r>
        <w:rPr>
          <w:rFonts w:ascii="Times New Roman" w:eastAsia="宋体" w:hAnsi="Times New Roman" w:cs="Times New Roman"/>
          <w:color w:val="000000" w:themeColor="text1"/>
          <w:sz w:val="24"/>
          <w:szCs w:val="24"/>
        </w:rPr>
        <w:t xml:space="preserve"> </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对堆土场堆放的剥离表土用装土草袋挡墙拦挡防护，雨季用塑料彩条布覆盖表面。</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5</w:t>
      </w:r>
      <w:r>
        <w:rPr>
          <w:rFonts w:ascii="Times New Roman" w:eastAsia="宋体" w:hAnsi="Times New Roman" w:cs="Times New Roman"/>
          <w:color w:val="000000" w:themeColor="text1"/>
          <w:sz w:val="24"/>
          <w:szCs w:val="24"/>
        </w:rPr>
        <w:t>）管理措施</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工程建设中占用的绿地在工程完工后，绿化相应的面积予以补偿；</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对区域，特别是度假区及周边因地表扰动而受损较重的地块，或再生周期长、恢复较慢的自然资源可采取封场、植树育林等保护措施予以回复和补偿。</w:t>
      </w:r>
    </w:p>
    <w:p w:rsidR="00C861DA" w:rsidRDefault="0044752E">
      <w:pPr>
        <w:pStyle w:val="32"/>
        <w:rPr>
          <w:rFonts w:ascii="Times New Roman" w:eastAsia="宋体"/>
          <w:bCs w:val="0"/>
          <w:color w:val="000000" w:themeColor="text1"/>
          <w:sz w:val="24"/>
          <w:szCs w:val="24"/>
        </w:rPr>
      </w:pPr>
      <w:bookmarkStart w:id="656" w:name="_Toc23491"/>
      <w:bookmarkStart w:id="657" w:name="_Toc23247"/>
      <w:bookmarkStart w:id="658" w:name="_Toc32003"/>
      <w:bookmarkStart w:id="659" w:name="_Toc31621"/>
      <w:bookmarkStart w:id="660" w:name="_Toc6826923"/>
      <w:r>
        <w:rPr>
          <w:rFonts w:ascii="Times New Roman" w:eastAsia="宋体"/>
          <w:bCs w:val="0"/>
          <w:color w:val="000000" w:themeColor="text1"/>
          <w:sz w:val="24"/>
          <w:szCs w:val="24"/>
        </w:rPr>
        <w:t>10.1.7</w:t>
      </w:r>
      <w:r>
        <w:rPr>
          <w:rFonts w:ascii="Times New Roman" w:eastAsia="宋体"/>
          <w:bCs w:val="0"/>
          <w:color w:val="000000" w:themeColor="text1"/>
          <w:sz w:val="24"/>
          <w:szCs w:val="24"/>
        </w:rPr>
        <w:t>其他防治措施</w:t>
      </w:r>
      <w:bookmarkEnd w:id="656"/>
      <w:bookmarkEnd w:id="657"/>
      <w:bookmarkEnd w:id="658"/>
      <w:bookmarkEnd w:id="659"/>
      <w:bookmarkEnd w:id="660"/>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）建设单位应将本项目的环境保护作为工程的一个组成部分，纳入工程的管理与监督中。建设指挥部内应设置环境保护的有关机构，并明确其职能；有专职或兼职人员对环境保护进行监督管理。</w:t>
      </w:r>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）对环评报告提出的环境保护措施，以及各级环保部门提出的其他环保要求，在施工过程中应坚决实施。</w:t>
      </w:r>
    </w:p>
    <w:p w:rsidR="00C861DA" w:rsidRDefault="0044752E">
      <w:pPr>
        <w:pStyle w:val="af4"/>
        <w:spacing w:after="0" w:line="360" w:lineRule="auto"/>
        <w:ind w:firstLineChars="200" w:firstLine="480"/>
        <w:rPr>
          <w:rFonts w:ascii="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）严格管理，将施工期的环保要求写入施工合同，要求建设单位施工时必须按照报告书中的环境保护措施进行施工，加大环保措施的执行力度，落实责任。</w:t>
      </w:r>
    </w:p>
    <w:p w:rsidR="00C861DA" w:rsidRDefault="0044752E">
      <w:pPr>
        <w:pStyle w:val="22"/>
        <w:rPr>
          <w:rFonts w:ascii="Times New Roman" w:eastAsia="宋体" w:hAnsi="Times New Roman"/>
          <w:bCs w:val="0"/>
          <w:color w:val="000000" w:themeColor="text1"/>
          <w:sz w:val="28"/>
          <w:szCs w:val="28"/>
        </w:rPr>
      </w:pPr>
      <w:bookmarkStart w:id="661" w:name="_Toc14503"/>
      <w:bookmarkStart w:id="662" w:name="_Toc6826924"/>
      <w:r>
        <w:rPr>
          <w:rFonts w:ascii="Times New Roman" w:eastAsia="宋体" w:hAnsi="Times New Roman"/>
          <w:bCs w:val="0"/>
          <w:color w:val="000000" w:themeColor="text1"/>
          <w:sz w:val="28"/>
          <w:szCs w:val="28"/>
        </w:rPr>
        <w:t>10.2</w:t>
      </w:r>
      <w:r>
        <w:rPr>
          <w:rFonts w:ascii="Times New Roman" w:eastAsia="宋体" w:hAnsi="Times New Roman"/>
          <w:bCs w:val="0"/>
          <w:color w:val="000000" w:themeColor="text1"/>
          <w:sz w:val="28"/>
          <w:szCs w:val="28"/>
        </w:rPr>
        <w:t>运营期环境保护措施</w:t>
      </w:r>
      <w:bookmarkEnd w:id="661"/>
      <w:bookmarkEnd w:id="662"/>
    </w:p>
    <w:p w:rsidR="00C861DA" w:rsidRDefault="0044752E">
      <w:pPr>
        <w:pStyle w:val="32"/>
        <w:rPr>
          <w:rFonts w:ascii="Times New Roman" w:eastAsia="宋体"/>
          <w:bCs w:val="0"/>
          <w:color w:val="000000" w:themeColor="text1"/>
          <w:sz w:val="24"/>
          <w:szCs w:val="24"/>
        </w:rPr>
      </w:pPr>
      <w:bookmarkStart w:id="663" w:name="_Toc17214"/>
      <w:bookmarkStart w:id="664" w:name="_Toc28107"/>
      <w:bookmarkStart w:id="665" w:name="_Toc2065"/>
      <w:bookmarkStart w:id="666" w:name="_Toc28603"/>
      <w:bookmarkStart w:id="667" w:name="_Toc6826925"/>
      <w:r>
        <w:rPr>
          <w:rFonts w:ascii="Times New Roman" w:eastAsia="宋体"/>
          <w:bCs w:val="0"/>
          <w:color w:val="000000" w:themeColor="text1"/>
          <w:sz w:val="24"/>
          <w:szCs w:val="24"/>
        </w:rPr>
        <w:t>10.2.1</w:t>
      </w:r>
      <w:r>
        <w:rPr>
          <w:rFonts w:ascii="Times New Roman" w:eastAsia="宋体"/>
          <w:bCs w:val="0"/>
          <w:color w:val="000000" w:themeColor="text1"/>
          <w:sz w:val="24"/>
          <w:szCs w:val="24"/>
        </w:rPr>
        <w:t>废气污染防治措施</w:t>
      </w:r>
      <w:bookmarkEnd w:id="663"/>
      <w:bookmarkEnd w:id="664"/>
      <w:bookmarkEnd w:id="665"/>
      <w:bookmarkEnd w:id="666"/>
      <w:bookmarkEnd w:id="667"/>
    </w:p>
    <w:p w:rsidR="00C861DA" w:rsidRDefault="0044752E">
      <w:pPr>
        <w:spacing w:line="360" w:lineRule="auto"/>
        <w:ind w:firstLineChars="200" w:firstLine="482"/>
        <w:jc w:val="both"/>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w:t>
      </w:r>
      <w:r>
        <w:rPr>
          <w:rFonts w:ascii="Times New Roman" w:eastAsia="宋体" w:hAnsi="Times New Roman" w:cs="Times New Roman"/>
          <w:b/>
          <w:color w:val="000000" w:themeColor="text1"/>
          <w:sz w:val="24"/>
        </w:rPr>
        <w:t>1</w:t>
      </w:r>
      <w:r>
        <w:rPr>
          <w:rFonts w:ascii="Times New Roman" w:eastAsia="宋体" w:hAnsi="Times New Roman" w:cs="Times New Roman"/>
          <w:b/>
          <w:color w:val="000000" w:themeColor="text1"/>
          <w:sz w:val="24"/>
        </w:rPr>
        <w:t>）</w:t>
      </w:r>
      <w:r>
        <w:rPr>
          <w:rFonts w:ascii="Times New Roman" w:eastAsia="宋体" w:hAnsi="Times New Roman" w:cs="Times New Roman"/>
          <w:b/>
          <w:color w:val="000000" w:themeColor="text1"/>
          <w:sz w:val="24"/>
        </w:rPr>
        <w:t>G1</w:t>
      </w:r>
      <w:r>
        <w:rPr>
          <w:rFonts w:ascii="Times New Roman" w:eastAsia="宋体" w:hAnsi="Times New Roman" w:cs="Times New Roman"/>
          <w:b/>
          <w:color w:val="000000" w:themeColor="text1"/>
          <w:sz w:val="24"/>
        </w:rPr>
        <w:t>：稀硝酸生产吸收塔尾气防治措施</w:t>
      </w:r>
    </w:p>
    <w:p w:rsidR="00C861DA" w:rsidRDefault="0044752E">
      <w:pPr>
        <w:spacing w:line="360" w:lineRule="auto"/>
        <w:ind w:firstLineChars="200" w:firstLine="482"/>
        <w:jc w:val="both"/>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1</w:t>
      </w:r>
      <w:r>
        <w:rPr>
          <w:rFonts w:ascii="Times New Roman" w:eastAsia="宋体" w:hAnsi="Times New Roman" w:cs="Times New Roman"/>
          <w:b/>
          <w:color w:val="000000" w:themeColor="text1"/>
          <w:sz w:val="24"/>
        </w:rPr>
        <w:t>）防治措施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由吸收塔出来的尾气，进入尾气分离器，</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分离夹带的液滴后，进入尾气加热器与压缩后的氧化氮气体换热后，再进入尾气三级预热器中，被氧化炉氧化氮气体加热到</w:t>
      </w:r>
      <w:r>
        <w:rPr>
          <w:rFonts w:ascii="Times New Roman" w:eastAsia="宋体" w:hAnsi="Times New Roman" w:cs="Times New Roman"/>
          <w:color w:val="000000" w:themeColor="text1"/>
          <w:sz w:val="24"/>
        </w:rPr>
        <w:t>360</w:t>
      </w:r>
      <w:r>
        <w:rPr>
          <w:rFonts w:ascii="宋体" w:eastAsia="宋体" w:hAnsi="宋体" w:cs="宋体" w:hint="eastAsia"/>
          <w:color w:val="000000" w:themeColor="text1"/>
          <w:sz w:val="24"/>
        </w:rPr>
        <w:t>℃</w:t>
      </w:r>
      <w:r>
        <w:rPr>
          <w:rFonts w:ascii="Times New Roman" w:eastAsia="宋体" w:hAnsi="Times New Roman" w:cs="Times New Roman"/>
          <w:color w:val="000000" w:themeColor="text1"/>
          <w:sz w:val="24"/>
        </w:rPr>
        <w:t>左右，经</w:t>
      </w:r>
      <w:r>
        <w:rPr>
          <w:rFonts w:ascii="Times New Roman" w:eastAsia="宋体" w:hAnsi="Times New Roman" w:cs="Times New Roman"/>
          <w:color w:val="000000" w:themeColor="text1"/>
          <w:sz w:val="24"/>
        </w:rPr>
        <w:t>SCR</w:t>
      </w:r>
      <w:r>
        <w:rPr>
          <w:rFonts w:ascii="Times New Roman" w:eastAsia="宋体" w:hAnsi="Times New Roman" w:cs="Times New Roman"/>
          <w:color w:val="000000" w:themeColor="text1"/>
          <w:sz w:val="24"/>
        </w:rPr>
        <w:t>脱硝系统脱硝处理，热气体进入尾气膨胀机做功，回收总功率的</w:t>
      </w:r>
      <w:r>
        <w:rPr>
          <w:rFonts w:ascii="Times New Roman" w:eastAsia="宋体" w:hAnsi="Times New Roman" w:cs="Times New Roman"/>
          <w:color w:val="000000" w:themeColor="text1"/>
          <w:sz w:val="24"/>
        </w:rPr>
        <w:t>60%</w:t>
      </w:r>
      <w:r>
        <w:rPr>
          <w:rFonts w:ascii="Times New Roman" w:eastAsia="宋体" w:hAnsi="Times New Roman" w:cs="Times New Roman"/>
          <w:color w:val="000000" w:themeColor="text1"/>
          <w:sz w:val="24"/>
        </w:rPr>
        <w:t>后，最终由</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排气筒排放，排气筒高度</w:t>
      </w:r>
      <w:r>
        <w:rPr>
          <w:rFonts w:ascii="Times New Roman" w:eastAsia="宋体" w:hAnsi="Times New Roman" w:cs="Times New Roman"/>
          <w:color w:val="000000" w:themeColor="text1"/>
          <w:sz w:val="24"/>
        </w:rPr>
        <w:t>48m</w:t>
      </w:r>
      <w:r>
        <w:rPr>
          <w:rFonts w:ascii="Times New Roman" w:eastAsia="宋体" w:hAnsi="Times New Roman" w:cs="Times New Roman"/>
          <w:color w:val="000000" w:themeColor="text1"/>
          <w:sz w:val="24"/>
        </w:rPr>
        <w:t>。</w:t>
      </w:r>
    </w:p>
    <w:p w:rsidR="00C861DA" w:rsidRDefault="0044752E">
      <w:pPr>
        <w:spacing w:line="360" w:lineRule="auto"/>
        <w:ind w:firstLineChars="200" w:firstLine="482"/>
        <w:jc w:val="both"/>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2</w:t>
      </w:r>
      <w:r>
        <w:rPr>
          <w:rFonts w:ascii="Times New Roman" w:eastAsia="宋体" w:hAnsi="Times New Roman" w:cs="Times New Roman"/>
          <w:b/>
          <w:color w:val="000000" w:themeColor="text1"/>
          <w:sz w:val="24"/>
        </w:rPr>
        <w:t>）可行性</w:t>
      </w:r>
      <w:r>
        <w:rPr>
          <w:rFonts w:ascii="Times New Roman" w:eastAsia="宋体" w:hAnsi="Times New Roman" w:cs="Times New Roman" w:hint="eastAsia"/>
          <w:b/>
          <w:color w:val="000000" w:themeColor="text1"/>
          <w:sz w:val="24"/>
        </w:rPr>
        <w:t>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本项目采用双加压法生产工艺，稀硝酸装置吸收塔出口尾气主要污染物为</w:t>
      </w:r>
      <w:r>
        <w:rPr>
          <w:rFonts w:ascii="Times New Roman" w:eastAsia="宋体" w:hAnsi="Times New Roman" w:cs="Times New Roman"/>
          <w:color w:val="000000" w:themeColor="text1"/>
          <w:sz w:val="24"/>
        </w:rPr>
        <w:t>NO</w:t>
      </w:r>
      <w:r>
        <w:rPr>
          <w:rFonts w:ascii="Times New Roman" w:eastAsia="宋体" w:hAnsi="Times New Roman" w:cs="Times New Roman"/>
          <w:color w:val="000000" w:themeColor="text1"/>
          <w:sz w:val="24"/>
          <w:vertAlign w:val="subscript"/>
        </w:rPr>
        <w:t>x</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，参考《第一次全国污染源普查工业污染源产排污系数手册》无机酸制造业（硝酸）产排污系数，双加压法硝酸生产工艺工业废气量产污系数为</w:t>
      </w:r>
      <w:r>
        <w:rPr>
          <w:rFonts w:ascii="Times New Roman" w:eastAsia="宋体" w:hAnsi="Times New Roman" w:cs="Times New Roman"/>
          <w:color w:val="000000" w:themeColor="text1"/>
          <w:sz w:val="24"/>
        </w:rPr>
        <w:t>3200~3400</w:t>
      </w:r>
      <w:r>
        <w:rPr>
          <w:rFonts w:ascii="Times New Roman" w:eastAsia="宋体" w:hAnsi="Times New Roman" w:cs="Times New Roman"/>
          <w:color w:val="000000" w:themeColor="text1"/>
          <w:sz w:val="24"/>
        </w:rPr>
        <w:t>标立方米</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吨</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产品（本环评取上限</w:t>
      </w:r>
      <w:r>
        <w:rPr>
          <w:rFonts w:ascii="Times New Roman" w:eastAsia="宋体" w:hAnsi="Times New Roman" w:cs="Times New Roman"/>
          <w:color w:val="000000" w:themeColor="text1"/>
          <w:sz w:val="24"/>
        </w:rPr>
        <w:t>3400</w:t>
      </w:r>
      <w:r>
        <w:rPr>
          <w:rFonts w:ascii="Times New Roman" w:eastAsia="宋体" w:hAnsi="Times New Roman" w:cs="Times New Roman"/>
          <w:color w:val="000000" w:themeColor="text1"/>
          <w:sz w:val="24"/>
        </w:rPr>
        <w:t>标立方米</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吨</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产品进行估算），氮氧化物产污系数为</w:t>
      </w:r>
      <w:r>
        <w:rPr>
          <w:rFonts w:ascii="Times New Roman" w:eastAsia="宋体" w:hAnsi="Times New Roman" w:cs="Times New Roman"/>
          <w:color w:val="000000" w:themeColor="text1"/>
          <w:sz w:val="24"/>
        </w:rPr>
        <w:t>0.7-1.1</w:t>
      </w:r>
      <w:r>
        <w:rPr>
          <w:rFonts w:ascii="Times New Roman" w:eastAsia="宋体" w:hAnsi="Times New Roman" w:cs="Times New Roman"/>
          <w:color w:val="000000" w:themeColor="text1"/>
          <w:sz w:val="24"/>
        </w:rPr>
        <w:t>千克</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吨</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产品（本环评取上限</w:t>
      </w:r>
      <w:r>
        <w:rPr>
          <w:rFonts w:ascii="Times New Roman" w:eastAsia="宋体" w:hAnsi="Times New Roman" w:cs="Times New Roman"/>
          <w:color w:val="000000" w:themeColor="text1"/>
          <w:sz w:val="24"/>
        </w:rPr>
        <w:t>1.1/</w:t>
      </w:r>
      <w:r>
        <w:rPr>
          <w:rFonts w:ascii="Times New Roman" w:eastAsia="宋体" w:hAnsi="Times New Roman" w:cs="Times New Roman"/>
          <w:color w:val="000000" w:themeColor="text1"/>
          <w:sz w:val="24"/>
        </w:rPr>
        <w:t>吨</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产品进行估算）。</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根据项目产品方案，本项目硝酸装置设计生产规模为</w:t>
      </w:r>
      <w:r>
        <w:rPr>
          <w:rFonts w:ascii="Times New Roman" w:eastAsia="宋体" w:hAnsi="Times New Roman" w:cs="Times New Roman"/>
          <w:color w:val="000000" w:themeColor="text1"/>
          <w:sz w:val="24"/>
        </w:rPr>
        <w:t>15</w:t>
      </w:r>
      <w:r>
        <w:rPr>
          <w:rFonts w:ascii="Times New Roman" w:eastAsia="宋体" w:hAnsi="Times New Roman" w:cs="Times New Roman"/>
          <w:color w:val="000000" w:themeColor="text1"/>
          <w:sz w:val="24"/>
        </w:rPr>
        <w:t>万吨</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年，年运行时间</w:t>
      </w:r>
      <w:r>
        <w:rPr>
          <w:rFonts w:ascii="Times New Roman" w:eastAsia="宋体" w:hAnsi="Times New Roman" w:cs="Times New Roman"/>
          <w:color w:val="000000" w:themeColor="text1"/>
          <w:sz w:val="24"/>
        </w:rPr>
        <w:t>7200h</w:t>
      </w:r>
      <w:r>
        <w:rPr>
          <w:rFonts w:ascii="Times New Roman" w:eastAsia="宋体" w:hAnsi="Times New Roman" w:cs="Times New Roman"/>
          <w:color w:val="000000" w:themeColor="text1"/>
          <w:sz w:val="24"/>
        </w:rPr>
        <w:t>计，环评以产污系数均值进行估算，预计硝酸生产废气产生量</w:t>
      </w:r>
      <w:r>
        <w:rPr>
          <w:rFonts w:ascii="Times New Roman" w:eastAsia="宋体" w:hAnsi="Times New Roman" w:cs="Times New Roman"/>
          <w:color w:val="000000" w:themeColor="text1"/>
          <w:sz w:val="24"/>
        </w:rPr>
        <w:t>70833m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/h</w:t>
      </w:r>
      <w:r>
        <w:rPr>
          <w:rFonts w:ascii="Times New Roman" w:eastAsia="宋体" w:hAnsi="Times New Roman" w:cs="Times New Roman"/>
          <w:color w:val="000000" w:themeColor="text1"/>
          <w:sz w:val="24"/>
        </w:rPr>
        <w:t>，氮氧化物产生量</w:t>
      </w:r>
      <w:r>
        <w:rPr>
          <w:rFonts w:ascii="Times New Roman" w:eastAsia="宋体" w:hAnsi="Times New Roman" w:cs="Times New Roman"/>
          <w:color w:val="000000" w:themeColor="text1"/>
          <w:sz w:val="24"/>
        </w:rPr>
        <w:t>165t/a</w:t>
      </w:r>
      <w:r>
        <w:rPr>
          <w:rFonts w:ascii="Times New Roman" w:eastAsia="宋体" w:hAnsi="Times New Roman" w:cs="Times New Roman"/>
          <w:color w:val="000000" w:themeColor="text1"/>
          <w:sz w:val="24"/>
        </w:rPr>
        <w:t>，约</w:t>
      </w:r>
      <w:r>
        <w:rPr>
          <w:rFonts w:ascii="Times New Roman" w:eastAsia="宋体" w:hAnsi="Times New Roman" w:cs="Times New Roman"/>
          <w:color w:val="000000" w:themeColor="text1"/>
          <w:sz w:val="24"/>
        </w:rPr>
        <w:t>22.92kg/h</w:t>
      </w:r>
      <w:r>
        <w:rPr>
          <w:rFonts w:ascii="Times New Roman" w:eastAsia="宋体" w:hAnsi="Times New Roman" w:cs="Times New Roman"/>
          <w:color w:val="000000" w:themeColor="text1"/>
          <w:sz w:val="24"/>
        </w:rPr>
        <w:t>。为减少氮氧化物的排放量，降低氮氧化物排放对环境的影响，项目设计拟采用氨选择性催化还原法脱硝处理技术（</w:t>
      </w:r>
      <w:r>
        <w:rPr>
          <w:rFonts w:ascii="Times New Roman" w:eastAsia="宋体" w:hAnsi="Times New Roman" w:cs="Times New Roman"/>
          <w:color w:val="000000" w:themeColor="text1"/>
          <w:sz w:val="24"/>
        </w:rPr>
        <w:t xml:space="preserve">SCR </w:t>
      </w:r>
      <w:r>
        <w:rPr>
          <w:rFonts w:ascii="Times New Roman" w:eastAsia="宋体" w:hAnsi="Times New Roman" w:cs="Times New Roman"/>
          <w:color w:val="000000" w:themeColor="text1"/>
          <w:sz w:val="24"/>
        </w:rPr>
        <w:t>法脱硝技术），对硝酸装置吸收塔尾气进行脱销处理，根据《硝酸工业污染物排放标准（征求意见稿）</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编</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制</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说</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明，</w:t>
      </w:r>
      <w:r>
        <w:rPr>
          <w:rFonts w:ascii="Times New Roman" w:eastAsia="宋体" w:hAnsi="Times New Roman" w:cs="Times New Roman"/>
          <w:color w:val="000000" w:themeColor="text1"/>
          <w:sz w:val="24"/>
        </w:rPr>
        <w:t xml:space="preserve">SCR </w:t>
      </w:r>
      <w:r>
        <w:rPr>
          <w:rFonts w:ascii="Times New Roman" w:eastAsia="宋体" w:hAnsi="Times New Roman" w:cs="Times New Roman"/>
          <w:color w:val="000000" w:themeColor="text1"/>
          <w:sz w:val="24"/>
        </w:rPr>
        <w:t>法脱硝技术是颇具潜力的先进实用技术，是利用</w:t>
      </w:r>
      <w:r>
        <w:rPr>
          <w:rFonts w:ascii="Times New Roman" w:eastAsia="宋体" w:hAnsi="Times New Roman" w:cs="Times New Roman"/>
          <w:color w:val="000000" w:themeColor="text1"/>
          <w:sz w:val="24"/>
        </w:rPr>
        <w:t xml:space="preserve"> NH</w:t>
      </w:r>
      <w:r>
        <w:rPr>
          <w:rFonts w:ascii="Times New Roman" w:eastAsia="宋体" w:hAnsi="Times New Roman" w:cs="Times New Roman"/>
          <w:color w:val="000000" w:themeColor="text1"/>
          <w:sz w:val="24"/>
          <w:vertAlign w:val="subscript"/>
        </w:rPr>
        <w:t>3</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通过催化剂有选择性的把氮氧化物</w:t>
      </w:r>
      <w:r>
        <w:rPr>
          <w:rFonts w:ascii="Times New Roman" w:eastAsia="宋体" w:hAnsi="Times New Roman" w:cs="Times New Roman"/>
          <w:color w:val="000000" w:themeColor="text1"/>
          <w:sz w:val="24"/>
        </w:rPr>
        <w:t>转化成无害的氮气和水，其脱硝效率高达</w:t>
      </w:r>
      <w:r>
        <w:rPr>
          <w:rFonts w:ascii="Times New Roman" w:eastAsia="宋体" w:hAnsi="Times New Roman" w:cs="Times New Roman"/>
          <w:color w:val="000000" w:themeColor="text1"/>
          <w:sz w:val="24"/>
        </w:rPr>
        <w:t xml:space="preserve"> 85%~95%</w:t>
      </w:r>
      <w:r>
        <w:rPr>
          <w:rFonts w:ascii="Times New Roman" w:eastAsia="宋体" w:hAnsi="Times New Roman" w:cs="Times New Roman"/>
          <w:color w:val="000000" w:themeColor="text1"/>
          <w:sz w:val="24"/>
        </w:rPr>
        <w:t>（环评取</w:t>
      </w:r>
      <w:r>
        <w:rPr>
          <w:rFonts w:ascii="Times New Roman" w:eastAsia="宋体" w:hAnsi="Times New Roman" w:cs="Times New Roman"/>
          <w:color w:val="000000" w:themeColor="text1"/>
          <w:sz w:val="24"/>
        </w:rPr>
        <w:t>85%</w:t>
      </w:r>
      <w:r>
        <w:rPr>
          <w:rFonts w:ascii="Times New Roman" w:eastAsia="宋体" w:hAnsi="Times New Roman" w:cs="Times New Roman"/>
          <w:color w:val="000000" w:themeColor="text1"/>
          <w:sz w:val="24"/>
        </w:rPr>
        <w:t>进行核算），经脱销处理后，预计氮氧化物排放量</w:t>
      </w:r>
      <w:r>
        <w:rPr>
          <w:rFonts w:ascii="Times New Roman" w:eastAsia="宋体" w:hAnsi="Times New Roman" w:cs="Times New Roman"/>
          <w:color w:val="000000" w:themeColor="text1"/>
          <w:sz w:val="24"/>
        </w:rPr>
        <w:t>24.75t/a</w:t>
      </w:r>
      <w:r>
        <w:rPr>
          <w:rFonts w:ascii="Times New Roman" w:eastAsia="宋体" w:hAnsi="Times New Roman" w:cs="Times New Roman"/>
          <w:color w:val="000000" w:themeColor="text1"/>
          <w:sz w:val="24"/>
        </w:rPr>
        <w:t>，约</w:t>
      </w:r>
      <w:r>
        <w:rPr>
          <w:rFonts w:ascii="Times New Roman" w:eastAsia="宋体" w:hAnsi="Times New Roman" w:cs="Times New Roman"/>
          <w:color w:val="000000" w:themeColor="text1"/>
          <w:sz w:val="24"/>
        </w:rPr>
        <w:t>3.44kg/h</w:t>
      </w:r>
      <w:r>
        <w:rPr>
          <w:rFonts w:ascii="Times New Roman" w:eastAsia="宋体" w:hAnsi="Times New Roman" w:cs="Times New Roman"/>
          <w:color w:val="000000" w:themeColor="text1"/>
          <w:sz w:val="24"/>
        </w:rPr>
        <w:t>，排放浓度</w:t>
      </w:r>
      <w:r>
        <w:rPr>
          <w:rFonts w:ascii="Times New Roman" w:eastAsia="宋体" w:hAnsi="Times New Roman" w:cs="Times New Roman"/>
          <w:color w:val="000000" w:themeColor="text1"/>
          <w:sz w:val="24"/>
        </w:rPr>
        <w:t>48.56mg/m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，污染物排放能满足《硝酸工业污染物排放标准》（</w:t>
      </w:r>
      <w:r>
        <w:rPr>
          <w:rFonts w:ascii="Times New Roman" w:eastAsia="宋体" w:hAnsi="Times New Roman" w:cs="Times New Roman"/>
          <w:color w:val="000000" w:themeColor="text1"/>
          <w:sz w:val="24"/>
        </w:rPr>
        <w:t>GB26131-2010</w:t>
      </w:r>
      <w:r>
        <w:rPr>
          <w:rFonts w:ascii="Times New Roman" w:eastAsia="宋体" w:hAnsi="Times New Roman" w:cs="Times New Roman"/>
          <w:color w:val="000000" w:themeColor="text1"/>
          <w:sz w:val="24"/>
        </w:rPr>
        <w:t>）氮氧化物排放限值</w:t>
      </w:r>
      <w:r>
        <w:rPr>
          <w:rFonts w:ascii="Times New Roman" w:eastAsia="宋体" w:hAnsi="Times New Roman" w:cs="Times New Roman"/>
          <w:color w:val="000000" w:themeColor="text1"/>
          <w:sz w:val="24"/>
        </w:rPr>
        <w:t>300mg/m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，根据《第一次全国污染源普查工业污染源产排污系数手册》无机酸制造业（硝酸）产排污系数，双加压生产工艺废气污染物能达标排放，无须治理。</w:t>
      </w:r>
    </w:p>
    <w:p w:rsidR="00C861DA" w:rsidRDefault="0044752E">
      <w:pPr>
        <w:spacing w:line="360" w:lineRule="auto"/>
        <w:ind w:firstLineChars="200" w:firstLine="422"/>
        <w:rPr>
          <w:rFonts w:ascii="Times New Roman" w:eastAsia="宋体" w:hAnsi="Times New Roman" w:cs="Times New Roman"/>
          <w:b/>
          <w:color w:val="000000" w:themeColor="text1"/>
          <w:kern w:val="1"/>
          <w:sz w:val="24"/>
          <w:szCs w:val="24"/>
        </w:rPr>
      </w:pP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rPr>
        <w:t>2</w:t>
      </w:r>
      <w:r>
        <w:rPr>
          <w:rFonts w:ascii="Times New Roman" w:eastAsia="宋体" w:hAnsi="Times New Roman" w:cs="Times New Roman"/>
          <w:b/>
          <w:color w:val="000000" w:themeColor="text1"/>
        </w:rPr>
        <w:t>）</w:t>
      </w:r>
      <w:r>
        <w:rPr>
          <w:rFonts w:ascii="Times New Roman" w:eastAsia="宋体" w:hAnsi="Times New Roman" w:cs="Times New Roman"/>
          <w:b/>
          <w:color w:val="000000" w:themeColor="text1"/>
          <w:kern w:val="1"/>
          <w:sz w:val="24"/>
          <w:szCs w:val="24"/>
        </w:rPr>
        <w:t>硝基有机肥生产备料废气（</w:t>
      </w:r>
      <w:r>
        <w:rPr>
          <w:rFonts w:ascii="Times New Roman" w:eastAsia="宋体" w:hAnsi="Times New Roman" w:cs="Times New Roman"/>
          <w:b/>
          <w:color w:val="000000" w:themeColor="text1"/>
          <w:kern w:val="1"/>
          <w:sz w:val="24"/>
          <w:szCs w:val="24"/>
        </w:rPr>
        <w:t>G3</w:t>
      </w:r>
      <w:r>
        <w:rPr>
          <w:rFonts w:ascii="Times New Roman" w:eastAsia="宋体" w:hAnsi="Times New Roman" w:cs="Times New Roman"/>
          <w:b/>
          <w:color w:val="000000" w:themeColor="text1"/>
          <w:kern w:val="1"/>
          <w:sz w:val="24"/>
          <w:szCs w:val="24"/>
        </w:rPr>
        <w:t>）防治措施</w:t>
      </w:r>
    </w:p>
    <w:p w:rsidR="00C861DA" w:rsidRDefault="0044752E">
      <w:pPr>
        <w:spacing w:line="360" w:lineRule="auto"/>
        <w:ind w:firstLineChars="200" w:firstLine="482"/>
        <w:rPr>
          <w:rFonts w:ascii="Times New Roman" w:eastAsia="宋体" w:hAnsi="Times New Roman" w:cs="Times New Roman"/>
          <w:b/>
          <w:color w:val="000000" w:themeColor="text1"/>
          <w:kern w:val="1"/>
          <w:sz w:val="24"/>
          <w:szCs w:val="24"/>
        </w:rPr>
      </w:pPr>
      <w:r>
        <w:rPr>
          <w:rFonts w:ascii="Times New Roman" w:eastAsia="宋体" w:hAnsi="Times New Roman" w:cs="Times New Roman"/>
          <w:b/>
          <w:color w:val="000000" w:themeColor="text1"/>
          <w:kern w:val="1"/>
          <w:sz w:val="24"/>
          <w:szCs w:val="24"/>
        </w:rPr>
        <w:t>1</w:t>
      </w:r>
      <w:r>
        <w:rPr>
          <w:rFonts w:ascii="Times New Roman" w:eastAsia="宋体" w:hAnsi="Times New Roman" w:cs="Times New Roman"/>
          <w:b/>
          <w:color w:val="000000" w:themeColor="text1"/>
          <w:kern w:val="1"/>
          <w:sz w:val="24"/>
          <w:szCs w:val="24"/>
        </w:rPr>
        <w:t>）防治措施</w:t>
      </w:r>
    </w:p>
    <w:p w:rsidR="00C861DA" w:rsidRDefault="0044752E">
      <w:pPr>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硝基有机肥生产备料废气主要是备料计量、提升过程中产生的颗粒物，项目设计采用布袋除尘措施，废气经布袋除尘后，经由</w:t>
      </w:r>
      <w:r>
        <w:rPr>
          <w:rFonts w:ascii="Times New Roman" w:eastAsia="宋体" w:hAnsi="Times New Roman" w:cs="Times New Roman"/>
          <w:color w:val="000000" w:themeColor="text1"/>
          <w:kern w:val="1"/>
          <w:sz w:val="24"/>
          <w:szCs w:val="24"/>
        </w:rPr>
        <w:t>15m</w:t>
      </w:r>
      <w:r>
        <w:rPr>
          <w:rFonts w:ascii="Times New Roman" w:eastAsia="宋体" w:hAnsi="Times New Roman" w:cs="Times New Roman"/>
          <w:color w:val="000000" w:themeColor="text1"/>
          <w:kern w:val="1"/>
          <w:sz w:val="24"/>
          <w:szCs w:val="24"/>
        </w:rPr>
        <w:t>高排气筒（</w:t>
      </w:r>
      <w:r>
        <w:rPr>
          <w:rFonts w:ascii="Times New Roman" w:eastAsia="宋体" w:hAnsi="Times New Roman" w:cs="Times New Roman"/>
          <w:color w:val="000000" w:themeColor="text1"/>
          <w:kern w:val="1"/>
          <w:sz w:val="24"/>
          <w:szCs w:val="24"/>
        </w:rPr>
        <w:t>2#</w:t>
      </w:r>
      <w:r>
        <w:rPr>
          <w:rFonts w:ascii="Times New Roman" w:eastAsia="宋体" w:hAnsi="Times New Roman" w:cs="Times New Roman"/>
          <w:color w:val="000000" w:themeColor="text1"/>
          <w:kern w:val="1"/>
          <w:sz w:val="24"/>
          <w:szCs w:val="24"/>
        </w:rPr>
        <w:t>排气筒）排放。</w:t>
      </w:r>
      <w:r>
        <w:rPr>
          <w:rFonts w:ascii="Times New Roman" w:eastAsia="宋体" w:hAnsi="Times New Roman" w:cs="Times New Roman"/>
          <w:color w:val="000000" w:themeColor="text1"/>
          <w:kern w:val="1"/>
          <w:sz w:val="24"/>
          <w:szCs w:val="24"/>
        </w:rPr>
        <w:t xml:space="preserve"> </w:t>
      </w:r>
    </w:p>
    <w:p w:rsidR="00C861DA" w:rsidRDefault="0044752E">
      <w:pPr>
        <w:spacing w:line="360" w:lineRule="auto"/>
        <w:ind w:firstLineChars="200" w:firstLine="482"/>
        <w:rPr>
          <w:rFonts w:ascii="Times New Roman" w:eastAsia="宋体" w:hAnsi="Times New Roman" w:cs="Times New Roman"/>
          <w:b/>
          <w:color w:val="000000" w:themeColor="text1"/>
          <w:kern w:val="1"/>
          <w:sz w:val="24"/>
          <w:szCs w:val="24"/>
        </w:rPr>
      </w:pPr>
      <w:r>
        <w:rPr>
          <w:rFonts w:ascii="Times New Roman" w:eastAsia="宋体" w:hAnsi="Times New Roman" w:cs="Times New Roman"/>
          <w:b/>
          <w:color w:val="000000" w:themeColor="text1"/>
          <w:kern w:val="1"/>
          <w:sz w:val="24"/>
          <w:szCs w:val="24"/>
        </w:rPr>
        <w:t>2</w:t>
      </w:r>
      <w:r>
        <w:rPr>
          <w:rFonts w:ascii="Times New Roman" w:eastAsia="宋体" w:hAnsi="Times New Roman" w:cs="Times New Roman"/>
          <w:b/>
          <w:color w:val="000000" w:themeColor="text1"/>
          <w:kern w:val="1"/>
          <w:sz w:val="24"/>
          <w:szCs w:val="24"/>
        </w:rPr>
        <w:t>）可行性分析</w:t>
      </w:r>
    </w:p>
    <w:p w:rsidR="00C861DA" w:rsidRDefault="0044752E">
      <w:pPr>
        <w:spacing w:line="360" w:lineRule="auto"/>
        <w:ind w:firstLineChars="200" w:firstLine="480"/>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本项目硝基有机肥生产以磷酸一铵、硫酸钾、有机质、添加剂和自产硝酸铵为原料，生产硝基有机肥。磷酸一铵、硫酸钾、有机质、添加剂合计用量</w:t>
      </w:r>
      <w:r>
        <w:rPr>
          <w:rFonts w:ascii="Times New Roman" w:eastAsia="宋体" w:hAnsi="Times New Roman" w:cs="Times New Roman"/>
          <w:color w:val="000000" w:themeColor="text1"/>
          <w:kern w:val="1"/>
          <w:sz w:val="24"/>
          <w:szCs w:val="24"/>
        </w:rPr>
        <w:t>129710t/a</w:t>
      </w:r>
      <w:r>
        <w:rPr>
          <w:rFonts w:ascii="Times New Roman" w:eastAsia="宋体" w:hAnsi="Times New Roman" w:cs="Times New Roman"/>
          <w:color w:val="000000" w:themeColor="text1"/>
          <w:kern w:val="1"/>
          <w:sz w:val="24"/>
          <w:szCs w:val="24"/>
        </w:rPr>
        <w:t>，采用排污系数法，备料过程中颗粒物产生系数为</w:t>
      </w:r>
      <w:r>
        <w:rPr>
          <w:rFonts w:ascii="Times New Roman" w:eastAsia="宋体" w:hAnsi="Times New Roman" w:cs="Times New Roman"/>
          <w:color w:val="000000" w:themeColor="text1"/>
          <w:kern w:val="1"/>
          <w:sz w:val="24"/>
          <w:szCs w:val="24"/>
        </w:rPr>
        <w:t>1.0</w:t>
      </w:r>
      <w:r>
        <w:rPr>
          <w:rFonts w:ascii="Times New Roman" w:eastAsia="宋体" w:hAnsi="Times New Roman" w:cs="Times New Roman"/>
          <w:color w:val="000000" w:themeColor="text1"/>
          <w:kern w:val="1"/>
          <w:sz w:val="24"/>
          <w:szCs w:val="24"/>
        </w:rPr>
        <w:t>千克</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color w:val="000000" w:themeColor="text1"/>
          <w:kern w:val="1"/>
          <w:sz w:val="24"/>
          <w:szCs w:val="24"/>
        </w:rPr>
        <w:t>吨</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color w:val="000000" w:themeColor="text1"/>
          <w:kern w:val="1"/>
          <w:sz w:val="24"/>
          <w:szCs w:val="24"/>
        </w:rPr>
        <w:t>物料计，约</w:t>
      </w:r>
      <w:r>
        <w:rPr>
          <w:rFonts w:ascii="Times New Roman" w:eastAsia="宋体" w:hAnsi="Times New Roman" w:cs="Times New Roman"/>
          <w:color w:val="000000" w:themeColor="text1"/>
          <w:kern w:val="1"/>
          <w:sz w:val="24"/>
          <w:szCs w:val="24"/>
        </w:rPr>
        <w:t>129.71t/a</w:t>
      </w:r>
      <w:r>
        <w:rPr>
          <w:rFonts w:ascii="Times New Roman" w:eastAsia="宋体" w:hAnsi="Times New Roman" w:cs="Times New Roman"/>
          <w:color w:val="000000" w:themeColor="text1"/>
          <w:kern w:val="1"/>
          <w:sz w:val="24"/>
          <w:szCs w:val="24"/>
        </w:rPr>
        <w:t>，备料系统采用布袋收尘措施，布袋除尘效率</w:t>
      </w:r>
      <w:r>
        <w:rPr>
          <w:rFonts w:ascii="Times New Roman" w:eastAsia="宋体" w:hAnsi="Times New Roman" w:cs="Times New Roman"/>
          <w:color w:val="000000" w:themeColor="text1"/>
          <w:kern w:val="1"/>
          <w:sz w:val="24"/>
          <w:szCs w:val="24"/>
        </w:rPr>
        <w:t>99%</w:t>
      </w:r>
      <w:r>
        <w:rPr>
          <w:rFonts w:ascii="Times New Roman" w:eastAsia="宋体" w:hAnsi="Times New Roman" w:cs="Times New Roman"/>
          <w:color w:val="000000" w:themeColor="text1"/>
          <w:kern w:val="1"/>
          <w:sz w:val="24"/>
          <w:szCs w:val="24"/>
        </w:rPr>
        <w:t>，备料废气排放量</w:t>
      </w:r>
      <w:r>
        <w:rPr>
          <w:rFonts w:ascii="Times New Roman" w:eastAsia="宋体" w:hAnsi="Times New Roman" w:cs="Times New Roman"/>
          <w:color w:val="000000" w:themeColor="text1"/>
          <w:kern w:val="1"/>
          <w:sz w:val="24"/>
          <w:szCs w:val="24"/>
        </w:rPr>
        <w:t>5000m</w:t>
      </w:r>
      <w:r>
        <w:rPr>
          <w:rFonts w:ascii="Times New Roman" w:eastAsia="宋体" w:hAnsi="Times New Roman" w:cs="Times New Roman"/>
          <w:color w:val="000000" w:themeColor="text1"/>
          <w:kern w:val="1"/>
          <w:sz w:val="24"/>
          <w:szCs w:val="24"/>
          <w:vertAlign w:val="superscript"/>
        </w:rPr>
        <w:t>3</w:t>
      </w:r>
      <w:r>
        <w:rPr>
          <w:rFonts w:ascii="Times New Roman" w:eastAsia="宋体" w:hAnsi="Times New Roman" w:cs="Times New Roman"/>
          <w:color w:val="000000" w:themeColor="text1"/>
          <w:kern w:val="1"/>
          <w:sz w:val="24"/>
          <w:szCs w:val="24"/>
        </w:rPr>
        <w:t>/h</w:t>
      </w:r>
      <w:r>
        <w:rPr>
          <w:rFonts w:ascii="Times New Roman" w:eastAsia="宋体" w:hAnsi="Times New Roman" w:cs="Times New Roman"/>
          <w:color w:val="000000" w:themeColor="text1"/>
          <w:kern w:val="1"/>
          <w:sz w:val="24"/>
          <w:szCs w:val="24"/>
        </w:rPr>
        <w:t>，经布袋除尘后，颗粒物排放量</w:t>
      </w:r>
      <w:r>
        <w:rPr>
          <w:rFonts w:ascii="Times New Roman" w:eastAsia="宋体" w:hAnsi="Times New Roman" w:cs="Times New Roman"/>
          <w:color w:val="000000" w:themeColor="text1"/>
          <w:kern w:val="1"/>
          <w:sz w:val="24"/>
          <w:szCs w:val="24"/>
        </w:rPr>
        <w:t>1.29t/a</w:t>
      </w:r>
      <w:r>
        <w:rPr>
          <w:rFonts w:ascii="Times New Roman" w:eastAsia="宋体" w:hAnsi="Times New Roman" w:cs="Times New Roman"/>
          <w:color w:val="000000" w:themeColor="text1"/>
          <w:kern w:val="1"/>
          <w:sz w:val="24"/>
          <w:szCs w:val="24"/>
        </w:rPr>
        <w:t>，约</w:t>
      </w:r>
      <w:r>
        <w:rPr>
          <w:rFonts w:ascii="Times New Roman" w:eastAsia="宋体" w:hAnsi="Times New Roman" w:cs="Times New Roman"/>
          <w:color w:val="000000" w:themeColor="text1"/>
          <w:kern w:val="1"/>
          <w:sz w:val="24"/>
          <w:szCs w:val="24"/>
        </w:rPr>
        <w:t>0.18kg/h</w:t>
      </w:r>
      <w:r>
        <w:rPr>
          <w:rFonts w:ascii="Times New Roman" w:eastAsia="宋体" w:hAnsi="Times New Roman" w:cs="Times New Roman"/>
          <w:color w:val="000000" w:themeColor="text1"/>
          <w:kern w:val="1"/>
          <w:sz w:val="24"/>
          <w:szCs w:val="24"/>
        </w:rPr>
        <w:t>，废气排放浓度</w:t>
      </w:r>
      <w:r>
        <w:rPr>
          <w:rFonts w:ascii="Times New Roman" w:eastAsia="宋体" w:hAnsi="Times New Roman" w:cs="Times New Roman"/>
          <w:color w:val="000000" w:themeColor="text1"/>
          <w:kern w:val="1"/>
          <w:sz w:val="24"/>
          <w:szCs w:val="24"/>
        </w:rPr>
        <w:t>36mg/m</w:t>
      </w:r>
      <w:r>
        <w:rPr>
          <w:rFonts w:ascii="Times New Roman" w:eastAsia="宋体" w:hAnsi="Times New Roman" w:cs="Times New Roman"/>
          <w:color w:val="000000" w:themeColor="text1"/>
          <w:kern w:val="1"/>
          <w:sz w:val="24"/>
          <w:szCs w:val="24"/>
          <w:vertAlign w:val="superscript"/>
        </w:rPr>
        <w:t>3</w:t>
      </w:r>
      <w:r>
        <w:rPr>
          <w:rFonts w:ascii="Times New Roman" w:eastAsia="宋体" w:hAnsi="Times New Roman" w:cs="Times New Roman"/>
          <w:color w:val="000000" w:themeColor="text1"/>
          <w:kern w:val="1"/>
          <w:sz w:val="24"/>
          <w:szCs w:val="24"/>
        </w:rPr>
        <w:t>。</w:t>
      </w:r>
    </w:p>
    <w:p w:rsidR="00C861DA" w:rsidRDefault="0044752E">
      <w:pPr>
        <w:spacing w:line="360" w:lineRule="auto"/>
        <w:ind w:firstLineChars="200" w:firstLine="482"/>
        <w:rPr>
          <w:rFonts w:ascii="Times New Roman" w:eastAsia="宋体" w:hAnsi="Times New Roman" w:cs="Times New Roman"/>
          <w:b/>
          <w:color w:val="000000" w:themeColor="text1"/>
          <w:kern w:val="1"/>
          <w:sz w:val="24"/>
          <w:szCs w:val="24"/>
        </w:rPr>
      </w:pPr>
      <w:r>
        <w:rPr>
          <w:rFonts w:ascii="Times New Roman" w:eastAsia="宋体" w:hAnsi="Times New Roman" w:cs="Times New Roman"/>
          <w:b/>
          <w:color w:val="000000" w:themeColor="text1"/>
          <w:kern w:val="1"/>
          <w:sz w:val="24"/>
          <w:szCs w:val="24"/>
        </w:rPr>
        <w:t>（</w:t>
      </w:r>
      <w:r>
        <w:rPr>
          <w:rFonts w:ascii="Times New Roman" w:eastAsia="宋体" w:hAnsi="Times New Roman" w:cs="Times New Roman"/>
          <w:b/>
          <w:color w:val="000000" w:themeColor="text1"/>
          <w:kern w:val="1"/>
          <w:sz w:val="24"/>
          <w:szCs w:val="24"/>
        </w:rPr>
        <w:t>3</w:t>
      </w:r>
      <w:r>
        <w:rPr>
          <w:rFonts w:ascii="Times New Roman" w:eastAsia="宋体" w:hAnsi="Times New Roman" w:cs="Times New Roman"/>
          <w:b/>
          <w:color w:val="000000" w:themeColor="text1"/>
          <w:kern w:val="1"/>
          <w:sz w:val="24"/>
          <w:szCs w:val="24"/>
        </w:rPr>
        <w:t>）硝基有机肥造粒废气（</w:t>
      </w:r>
      <w:r>
        <w:rPr>
          <w:rFonts w:ascii="Times New Roman" w:eastAsia="宋体" w:hAnsi="Times New Roman" w:cs="Times New Roman"/>
          <w:b/>
          <w:color w:val="000000" w:themeColor="text1"/>
          <w:kern w:val="1"/>
          <w:sz w:val="24"/>
          <w:szCs w:val="24"/>
        </w:rPr>
        <w:t>G4</w:t>
      </w:r>
      <w:r>
        <w:rPr>
          <w:rFonts w:ascii="Times New Roman" w:eastAsia="宋体" w:hAnsi="Times New Roman" w:cs="Times New Roman"/>
          <w:b/>
          <w:color w:val="000000" w:themeColor="text1"/>
          <w:kern w:val="1"/>
          <w:sz w:val="24"/>
          <w:szCs w:val="24"/>
        </w:rPr>
        <w:t>）防治措施</w:t>
      </w:r>
    </w:p>
    <w:p w:rsidR="00C861DA" w:rsidRDefault="0044752E">
      <w:pPr>
        <w:spacing w:line="360" w:lineRule="auto"/>
        <w:ind w:firstLineChars="200" w:firstLine="482"/>
        <w:rPr>
          <w:rFonts w:ascii="Times New Roman" w:eastAsia="宋体" w:hAnsi="Times New Roman" w:cs="Times New Roman"/>
          <w:b/>
          <w:color w:val="000000" w:themeColor="text1"/>
          <w:kern w:val="1"/>
          <w:sz w:val="24"/>
          <w:szCs w:val="24"/>
        </w:rPr>
      </w:pPr>
      <w:r>
        <w:rPr>
          <w:rFonts w:ascii="Times New Roman" w:eastAsia="宋体" w:hAnsi="Times New Roman" w:cs="Times New Roman" w:hint="eastAsia"/>
          <w:b/>
          <w:color w:val="000000" w:themeColor="text1"/>
          <w:kern w:val="1"/>
          <w:sz w:val="24"/>
          <w:szCs w:val="24"/>
        </w:rPr>
        <w:t>1</w:t>
      </w:r>
      <w:r>
        <w:rPr>
          <w:rFonts w:ascii="Times New Roman" w:eastAsia="宋体" w:hAnsi="Times New Roman" w:cs="Times New Roman" w:hint="eastAsia"/>
          <w:b/>
          <w:color w:val="000000" w:themeColor="text1"/>
          <w:kern w:val="1"/>
          <w:sz w:val="24"/>
          <w:szCs w:val="24"/>
        </w:rPr>
        <w:t>）防治措施</w:t>
      </w:r>
    </w:p>
    <w:p w:rsidR="00C861DA" w:rsidRDefault="0044752E">
      <w:pPr>
        <w:spacing w:line="360" w:lineRule="auto"/>
        <w:ind w:firstLineChars="200" w:firstLine="480"/>
        <w:jc w:val="both"/>
        <w:rPr>
          <w:rFonts w:ascii="Times New Roman" w:eastAsia="宋体" w:hAnsi="Times New Roman" w:cs="Times New Roman"/>
          <w:color w:val="000000" w:themeColor="text1"/>
          <w:kern w:val="1"/>
          <w:sz w:val="24"/>
          <w:szCs w:val="24"/>
        </w:rPr>
      </w:pPr>
      <w:r>
        <w:rPr>
          <w:rFonts w:ascii="Times New Roman" w:eastAsia="宋体" w:hAnsi="Times New Roman" w:cs="Times New Roman"/>
          <w:color w:val="000000" w:themeColor="text1"/>
          <w:kern w:val="1"/>
          <w:sz w:val="24"/>
          <w:szCs w:val="24"/>
        </w:rPr>
        <w:t>本项目硝基有机肥生产采用高塔熔融造粒生产工艺，生产规模为</w:t>
      </w:r>
      <w:r>
        <w:rPr>
          <w:rFonts w:ascii="Times New Roman" w:eastAsia="宋体" w:hAnsi="Times New Roman" w:cs="Times New Roman"/>
          <w:color w:val="000000" w:themeColor="text1"/>
          <w:kern w:val="1"/>
          <w:sz w:val="24"/>
          <w:szCs w:val="24"/>
        </w:rPr>
        <w:t>30</w:t>
      </w:r>
      <w:r>
        <w:rPr>
          <w:rFonts w:ascii="Times New Roman" w:eastAsia="宋体" w:hAnsi="Times New Roman" w:cs="Times New Roman"/>
          <w:color w:val="000000" w:themeColor="text1"/>
          <w:kern w:val="1"/>
          <w:sz w:val="24"/>
          <w:szCs w:val="24"/>
        </w:rPr>
        <w:t>万吨</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color w:val="000000" w:themeColor="text1"/>
          <w:kern w:val="1"/>
          <w:sz w:val="24"/>
          <w:szCs w:val="24"/>
        </w:rPr>
        <w:t>年，造粒废气主要污染物为工业粉尘、氮氧化物和氨。根据《排污许可证申请与核发技术规范（磷肥、钾肥复混肥料、有机肥料及微生物工业）》（</w:t>
      </w:r>
      <w:r>
        <w:rPr>
          <w:rFonts w:ascii="Times New Roman" w:eastAsia="宋体" w:hAnsi="Times New Roman" w:cs="Times New Roman"/>
          <w:color w:val="000000" w:themeColor="text1"/>
          <w:kern w:val="1"/>
          <w:sz w:val="24"/>
          <w:szCs w:val="24"/>
        </w:rPr>
        <w:t>HJ864.2018</w:t>
      </w:r>
      <w:r>
        <w:rPr>
          <w:rFonts w:ascii="Times New Roman" w:eastAsia="宋体" w:hAnsi="Times New Roman" w:cs="Times New Roman"/>
          <w:color w:val="000000" w:themeColor="text1"/>
          <w:kern w:val="1"/>
          <w:sz w:val="24"/>
          <w:szCs w:val="24"/>
        </w:rPr>
        <w:t>）工业粉尘产污系数为</w:t>
      </w:r>
      <w:r>
        <w:rPr>
          <w:rFonts w:ascii="Times New Roman" w:eastAsia="宋体" w:hAnsi="Times New Roman" w:cs="Times New Roman"/>
          <w:color w:val="000000" w:themeColor="text1"/>
          <w:kern w:val="1"/>
          <w:sz w:val="24"/>
          <w:szCs w:val="24"/>
        </w:rPr>
        <w:t>5.60</w:t>
      </w:r>
      <w:r>
        <w:rPr>
          <w:rFonts w:ascii="Times New Roman" w:eastAsia="宋体" w:hAnsi="Times New Roman" w:cs="Times New Roman"/>
          <w:color w:val="000000" w:themeColor="text1"/>
          <w:kern w:val="1"/>
          <w:sz w:val="24"/>
          <w:szCs w:val="24"/>
        </w:rPr>
        <w:t>千克</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color w:val="000000" w:themeColor="text1"/>
          <w:kern w:val="1"/>
          <w:sz w:val="24"/>
          <w:szCs w:val="24"/>
        </w:rPr>
        <w:t>吨</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color w:val="000000" w:themeColor="text1"/>
          <w:kern w:val="1"/>
          <w:sz w:val="24"/>
          <w:szCs w:val="24"/>
        </w:rPr>
        <w:t>产品，氨产污系数为</w:t>
      </w:r>
      <w:r>
        <w:rPr>
          <w:rFonts w:ascii="Times New Roman" w:eastAsia="宋体" w:hAnsi="Times New Roman" w:cs="Times New Roman"/>
          <w:color w:val="000000" w:themeColor="text1"/>
          <w:kern w:val="1"/>
          <w:sz w:val="24"/>
          <w:szCs w:val="24"/>
        </w:rPr>
        <w:t>1.2</w:t>
      </w:r>
      <w:r>
        <w:rPr>
          <w:rFonts w:ascii="Times New Roman" w:eastAsia="宋体" w:hAnsi="Times New Roman" w:cs="Times New Roman"/>
          <w:color w:val="000000" w:themeColor="text1"/>
          <w:kern w:val="1"/>
          <w:sz w:val="24"/>
          <w:szCs w:val="24"/>
        </w:rPr>
        <w:t>千克</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color w:val="000000" w:themeColor="text1"/>
          <w:kern w:val="1"/>
          <w:sz w:val="24"/>
          <w:szCs w:val="24"/>
        </w:rPr>
        <w:t>吨</w:t>
      </w:r>
      <w:r>
        <w:rPr>
          <w:rFonts w:ascii="Times New Roman" w:eastAsia="宋体" w:hAnsi="Times New Roman" w:cs="Times New Roman"/>
          <w:color w:val="000000" w:themeColor="text1"/>
          <w:kern w:val="1"/>
          <w:sz w:val="24"/>
          <w:szCs w:val="24"/>
        </w:rPr>
        <w:t>-</w:t>
      </w:r>
      <w:r>
        <w:rPr>
          <w:rFonts w:ascii="Times New Roman" w:eastAsia="宋体" w:hAnsi="Times New Roman" w:cs="Times New Roman"/>
          <w:color w:val="000000" w:themeColor="text1"/>
          <w:kern w:val="1"/>
          <w:sz w:val="24"/>
          <w:szCs w:val="24"/>
        </w:rPr>
        <w:t>产品。预计硝基有机肥造粒废气颗粒物产生量</w:t>
      </w:r>
      <w:r>
        <w:rPr>
          <w:rFonts w:ascii="Times New Roman" w:eastAsia="宋体" w:hAnsi="Times New Roman" w:cs="Times New Roman"/>
          <w:color w:val="000000" w:themeColor="text1"/>
          <w:kern w:val="1"/>
          <w:sz w:val="24"/>
          <w:szCs w:val="24"/>
        </w:rPr>
        <w:t>1680t/a</w:t>
      </w:r>
      <w:r>
        <w:rPr>
          <w:rFonts w:ascii="Times New Roman" w:eastAsia="宋体" w:hAnsi="Times New Roman" w:cs="Times New Roman"/>
          <w:color w:val="000000" w:themeColor="text1"/>
          <w:kern w:val="1"/>
          <w:sz w:val="24"/>
          <w:szCs w:val="24"/>
        </w:rPr>
        <w:t>，氨产生量</w:t>
      </w:r>
      <w:r>
        <w:rPr>
          <w:rFonts w:ascii="Times New Roman" w:eastAsia="宋体" w:hAnsi="Times New Roman" w:cs="Times New Roman"/>
          <w:color w:val="000000" w:themeColor="text1"/>
          <w:kern w:val="1"/>
          <w:sz w:val="24"/>
          <w:szCs w:val="24"/>
        </w:rPr>
        <w:t>360t/a</w:t>
      </w:r>
      <w:r>
        <w:rPr>
          <w:rFonts w:ascii="Times New Roman" w:eastAsia="宋体" w:hAnsi="Times New Roman" w:cs="Times New Roman"/>
          <w:color w:val="000000" w:themeColor="text1"/>
          <w:kern w:val="1"/>
          <w:sz w:val="24"/>
          <w:szCs w:val="24"/>
        </w:rPr>
        <w:t>。废气经布袋除尘和湿法洗涤后后，经由</w:t>
      </w:r>
      <w:r>
        <w:rPr>
          <w:rFonts w:ascii="Times New Roman" w:eastAsia="宋体" w:hAnsi="Times New Roman" w:cs="Times New Roman"/>
          <w:color w:val="000000" w:themeColor="text1"/>
          <w:kern w:val="1"/>
          <w:sz w:val="24"/>
          <w:szCs w:val="24"/>
        </w:rPr>
        <w:t>100m</w:t>
      </w:r>
      <w:r>
        <w:rPr>
          <w:rFonts w:ascii="Times New Roman" w:eastAsia="宋体" w:hAnsi="Times New Roman" w:cs="Times New Roman"/>
          <w:color w:val="000000" w:themeColor="text1"/>
          <w:kern w:val="1"/>
          <w:sz w:val="24"/>
          <w:szCs w:val="24"/>
        </w:rPr>
        <w:t>高的造粒塔顶排气筒（</w:t>
      </w:r>
      <w:r>
        <w:rPr>
          <w:rFonts w:ascii="Times New Roman" w:eastAsia="宋体" w:hAnsi="Times New Roman" w:cs="Times New Roman"/>
          <w:color w:val="000000" w:themeColor="text1"/>
          <w:kern w:val="1"/>
          <w:sz w:val="24"/>
          <w:szCs w:val="24"/>
        </w:rPr>
        <w:t>3#</w:t>
      </w:r>
      <w:r>
        <w:rPr>
          <w:rFonts w:ascii="Times New Roman" w:eastAsia="宋体" w:hAnsi="Times New Roman" w:cs="Times New Roman"/>
          <w:color w:val="000000" w:themeColor="text1"/>
          <w:kern w:val="1"/>
          <w:sz w:val="24"/>
          <w:szCs w:val="24"/>
        </w:rPr>
        <w:t>排气口）排放，废气排放量</w:t>
      </w:r>
      <w:r>
        <w:rPr>
          <w:rFonts w:ascii="Times New Roman" w:eastAsia="宋体" w:hAnsi="Times New Roman" w:cs="Times New Roman"/>
          <w:color w:val="000000" w:themeColor="text1"/>
          <w:kern w:val="1"/>
          <w:sz w:val="24"/>
          <w:szCs w:val="24"/>
        </w:rPr>
        <w:t>75000m</w:t>
      </w:r>
      <w:r>
        <w:rPr>
          <w:rFonts w:ascii="Times New Roman" w:eastAsia="宋体" w:hAnsi="Times New Roman" w:cs="Times New Roman"/>
          <w:color w:val="000000" w:themeColor="text1"/>
          <w:kern w:val="1"/>
          <w:sz w:val="24"/>
          <w:szCs w:val="24"/>
          <w:vertAlign w:val="superscript"/>
        </w:rPr>
        <w:t>3</w:t>
      </w:r>
      <w:r>
        <w:rPr>
          <w:rFonts w:ascii="Times New Roman" w:eastAsia="宋体" w:hAnsi="Times New Roman" w:cs="Times New Roman"/>
          <w:color w:val="000000" w:themeColor="text1"/>
          <w:kern w:val="1"/>
          <w:sz w:val="24"/>
          <w:szCs w:val="24"/>
        </w:rPr>
        <w:t>/h</w:t>
      </w:r>
      <w:r>
        <w:rPr>
          <w:rFonts w:ascii="Times New Roman" w:eastAsia="宋体" w:hAnsi="Times New Roman" w:cs="Times New Roman"/>
          <w:color w:val="000000" w:themeColor="text1"/>
          <w:kern w:val="1"/>
          <w:sz w:val="24"/>
          <w:szCs w:val="24"/>
        </w:rPr>
        <w:t>。</w:t>
      </w:r>
    </w:p>
    <w:p w:rsidR="00C861DA" w:rsidRDefault="0044752E">
      <w:pPr>
        <w:pStyle w:val="21"/>
        <w:rPr>
          <w:rFonts w:ascii="Times New Roman" w:eastAsia="宋体" w:hAnsi="Times New Roman" w:cs="Times New Roman"/>
          <w:b/>
          <w:color w:val="000000" w:themeColor="text1"/>
          <w:sz w:val="24"/>
        </w:rPr>
      </w:pPr>
      <w:r>
        <w:rPr>
          <w:rFonts w:ascii="Times New Roman" w:eastAsia="宋体" w:hAnsi="Times New Roman" w:cs="Times New Roman" w:hint="eastAsia"/>
          <w:b/>
          <w:color w:val="000000" w:themeColor="text1"/>
          <w:sz w:val="24"/>
        </w:rPr>
        <w:t>2</w:t>
      </w:r>
      <w:r>
        <w:rPr>
          <w:rFonts w:ascii="Times New Roman" w:eastAsia="宋体" w:hAnsi="Times New Roman" w:cs="Times New Roman" w:hint="eastAsia"/>
          <w:b/>
          <w:color w:val="000000" w:themeColor="text1"/>
          <w:sz w:val="24"/>
        </w:rPr>
        <w:t>）可行性分析</w:t>
      </w:r>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袋式除尘器是一种干</w:t>
      </w:r>
      <w:r>
        <w:rPr>
          <w:rFonts w:ascii="Times New Roman" w:eastAsia="宋体" w:hAnsi="Times New Roman" w:cs="Times New Roman" w:hint="eastAsia"/>
          <w:color w:val="000000" w:themeColor="text1"/>
          <w:sz w:val="24"/>
        </w:rPr>
        <w:t>式滤尘装置，它适用于捕捉细小干燥的非纤维粉尘，滤袋采用纺织滤布或非纺织的毡制成，利用纤维织物的过滤作用对含尘气体进行过滤，目前是控制烟尘的主流设备之一，具有很高的除尘效率，一般除尘率可达</w:t>
      </w:r>
      <w:r>
        <w:rPr>
          <w:rFonts w:ascii="Times New Roman" w:eastAsia="宋体" w:hAnsi="Times New Roman" w:cs="Times New Roman" w:hint="eastAsia"/>
          <w:color w:val="000000" w:themeColor="text1"/>
          <w:sz w:val="24"/>
        </w:rPr>
        <w:t>9</w:t>
      </w:r>
      <w:r>
        <w:rPr>
          <w:rFonts w:ascii="Times New Roman" w:eastAsia="宋体" w:hAnsi="Times New Roman" w:cs="Times New Roman"/>
          <w:color w:val="000000" w:themeColor="text1"/>
          <w:sz w:val="24"/>
        </w:rPr>
        <w:t>9%</w:t>
      </w:r>
      <w:r>
        <w:rPr>
          <w:rFonts w:ascii="Times New Roman" w:eastAsia="宋体" w:hAnsi="Times New Roman" w:cs="Times New Roman" w:hint="eastAsia"/>
          <w:color w:val="000000" w:themeColor="text1"/>
          <w:sz w:val="24"/>
        </w:rPr>
        <w:t>，能够满足本项目的要求。</w:t>
      </w:r>
    </w:p>
    <w:p w:rsidR="00C861DA" w:rsidRDefault="0044752E">
      <w:pPr>
        <w:spacing w:line="360" w:lineRule="auto"/>
        <w:ind w:firstLineChars="200" w:firstLine="482"/>
        <w:rPr>
          <w:rFonts w:ascii="Times New Roman" w:eastAsia="宋体" w:hAnsi="Times New Roman" w:cs="Times New Roman"/>
          <w:b/>
          <w:color w:val="000000" w:themeColor="text1"/>
          <w:kern w:val="1"/>
          <w:sz w:val="24"/>
        </w:rPr>
      </w:pPr>
      <w:r>
        <w:rPr>
          <w:rFonts w:ascii="Times New Roman" w:eastAsia="宋体" w:hAnsi="Times New Roman" w:cs="Times New Roman" w:hint="eastAsia"/>
          <w:b/>
          <w:color w:val="000000" w:themeColor="text1"/>
          <w:kern w:val="1"/>
          <w:sz w:val="24"/>
        </w:rPr>
        <w:t>（</w:t>
      </w:r>
      <w:r>
        <w:rPr>
          <w:rFonts w:ascii="Times New Roman" w:eastAsia="宋体" w:hAnsi="Times New Roman" w:cs="Times New Roman" w:hint="eastAsia"/>
          <w:b/>
          <w:color w:val="000000" w:themeColor="text1"/>
          <w:kern w:val="1"/>
          <w:sz w:val="24"/>
        </w:rPr>
        <w:t>4</w:t>
      </w:r>
      <w:r>
        <w:rPr>
          <w:rFonts w:ascii="Times New Roman" w:eastAsia="宋体" w:hAnsi="Times New Roman" w:cs="Times New Roman" w:hint="eastAsia"/>
          <w:b/>
          <w:color w:val="000000" w:themeColor="text1"/>
          <w:kern w:val="1"/>
          <w:sz w:val="24"/>
        </w:rPr>
        <w:t>）硝基复合肥产品滚筒冷却筛分废气（</w:t>
      </w:r>
      <w:r>
        <w:rPr>
          <w:rFonts w:ascii="Times New Roman" w:eastAsia="宋体" w:hAnsi="Times New Roman" w:cs="Times New Roman" w:hint="eastAsia"/>
          <w:b/>
          <w:color w:val="000000" w:themeColor="text1"/>
          <w:kern w:val="1"/>
          <w:sz w:val="24"/>
        </w:rPr>
        <w:t>G5</w:t>
      </w:r>
      <w:r>
        <w:rPr>
          <w:rFonts w:ascii="Times New Roman" w:eastAsia="宋体" w:hAnsi="Times New Roman" w:cs="Times New Roman" w:hint="eastAsia"/>
          <w:b/>
          <w:color w:val="000000" w:themeColor="text1"/>
          <w:kern w:val="1"/>
          <w:sz w:val="24"/>
        </w:rPr>
        <w:t>）防治措施</w:t>
      </w:r>
    </w:p>
    <w:p w:rsidR="00C861DA" w:rsidRDefault="0044752E">
      <w:pPr>
        <w:spacing w:line="360" w:lineRule="auto"/>
        <w:ind w:firstLineChars="200" w:firstLine="482"/>
        <w:jc w:val="both"/>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1</w:t>
      </w:r>
      <w:r>
        <w:rPr>
          <w:rFonts w:ascii="Times New Roman" w:eastAsia="宋体" w:hAnsi="Times New Roman" w:cs="Times New Roman"/>
          <w:b/>
          <w:color w:val="000000" w:themeColor="text1"/>
          <w:sz w:val="24"/>
        </w:rPr>
        <w:t>）防治措施</w:t>
      </w:r>
    </w:p>
    <w:p w:rsidR="00C861DA" w:rsidRDefault="0044752E">
      <w:pPr>
        <w:spacing w:line="360" w:lineRule="auto"/>
        <w:ind w:firstLineChars="200" w:firstLine="480"/>
        <w:jc w:val="both"/>
        <w:rPr>
          <w:rFonts w:ascii="Times New Roman" w:eastAsia="宋体" w:hAnsi="Times New Roman" w:cs="Times New Roman"/>
          <w:color w:val="000000" w:themeColor="text1"/>
          <w:kern w:val="1"/>
          <w:sz w:val="24"/>
        </w:rPr>
      </w:pPr>
      <w:r>
        <w:rPr>
          <w:rFonts w:ascii="Times New Roman" w:eastAsia="宋体" w:hAnsi="Times New Roman" w:cs="Times New Roman"/>
          <w:color w:val="000000" w:themeColor="text1"/>
          <w:kern w:val="1"/>
          <w:sz w:val="24"/>
        </w:rPr>
        <w:t>滚筒冷却和筛分废气中的主要污染物为颗粒物，废气经布袋除尘后，由</w:t>
      </w:r>
      <w:r>
        <w:rPr>
          <w:rFonts w:ascii="Times New Roman" w:eastAsia="宋体" w:hAnsi="Times New Roman" w:cs="Times New Roman"/>
          <w:color w:val="000000" w:themeColor="text1"/>
          <w:kern w:val="1"/>
          <w:sz w:val="24"/>
        </w:rPr>
        <w:t>15m</w:t>
      </w:r>
      <w:r>
        <w:rPr>
          <w:rFonts w:ascii="Times New Roman" w:eastAsia="宋体" w:hAnsi="Times New Roman" w:cs="Times New Roman"/>
          <w:color w:val="000000" w:themeColor="text1"/>
          <w:kern w:val="1"/>
          <w:sz w:val="24"/>
        </w:rPr>
        <w:t>高排气筒（</w:t>
      </w:r>
      <w:r>
        <w:rPr>
          <w:rFonts w:ascii="Times New Roman" w:eastAsia="宋体" w:hAnsi="Times New Roman" w:cs="Times New Roman"/>
          <w:color w:val="000000" w:themeColor="text1"/>
          <w:kern w:val="1"/>
          <w:sz w:val="24"/>
        </w:rPr>
        <w:t>4#</w:t>
      </w:r>
      <w:r>
        <w:rPr>
          <w:rFonts w:ascii="Times New Roman" w:eastAsia="宋体" w:hAnsi="Times New Roman" w:cs="Times New Roman"/>
          <w:color w:val="000000" w:themeColor="text1"/>
          <w:kern w:val="1"/>
          <w:sz w:val="24"/>
        </w:rPr>
        <w:t>排气筒）排放，冷却筛分废气产污系数以</w:t>
      </w:r>
      <w:r>
        <w:rPr>
          <w:rFonts w:ascii="Times New Roman" w:eastAsia="宋体" w:hAnsi="Times New Roman" w:cs="Times New Roman"/>
          <w:color w:val="000000" w:themeColor="text1"/>
          <w:kern w:val="1"/>
          <w:sz w:val="24"/>
        </w:rPr>
        <w:t>1.0</w:t>
      </w:r>
      <w:r>
        <w:rPr>
          <w:rFonts w:ascii="Times New Roman" w:eastAsia="宋体" w:hAnsi="Times New Roman" w:cs="Times New Roman"/>
          <w:color w:val="000000" w:themeColor="text1"/>
          <w:kern w:val="1"/>
          <w:sz w:val="24"/>
        </w:rPr>
        <w:t>千克</w:t>
      </w:r>
      <w:r>
        <w:rPr>
          <w:rFonts w:ascii="Times New Roman" w:eastAsia="宋体" w:hAnsi="Times New Roman" w:cs="Times New Roman"/>
          <w:color w:val="000000" w:themeColor="text1"/>
          <w:kern w:val="1"/>
          <w:sz w:val="24"/>
        </w:rPr>
        <w:t>/</w:t>
      </w:r>
      <w:r>
        <w:rPr>
          <w:rFonts w:ascii="Times New Roman" w:eastAsia="宋体" w:hAnsi="Times New Roman" w:cs="Times New Roman"/>
          <w:color w:val="000000" w:themeColor="text1"/>
          <w:kern w:val="1"/>
          <w:sz w:val="24"/>
        </w:rPr>
        <w:t>吨</w:t>
      </w:r>
      <w:r>
        <w:rPr>
          <w:rFonts w:ascii="Times New Roman" w:eastAsia="宋体" w:hAnsi="Times New Roman" w:cs="Times New Roman"/>
          <w:color w:val="000000" w:themeColor="text1"/>
          <w:kern w:val="1"/>
          <w:sz w:val="24"/>
        </w:rPr>
        <w:t>-</w:t>
      </w:r>
      <w:r>
        <w:rPr>
          <w:rFonts w:ascii="Times New Roman" w:eastAsia="宋体" w:hAnsi="Times New Roman" w:cs="Times New Roman"/>
          <w:color w:val="000000" w:themeColor="text1"/>
          <w:kern w:val="1"/>
          <w:sz w:val="24"/>
        </w:rPr>
        <w:t>产品计，约</w:t>
      </w:r>
      <w:r>
        <w:rPr>
          <w:rFonts w:ascii="Times New Roman" w:eastAsia="宋体" w:hAnsi="Times New Roman" w:cs="Times New Roman"/>
          <w:color w:val="000000" w:themeColor="text1"/>
          <w:kern w:val="1"/>
          <w:sz w:val="24"/>
        </w:rPr>
        <w:t>300t/a</w:t>
      </w:r>
      <w:r>
        <w:rPr>
          <w:rFonts w:ascii="Times New Roman" w:eastAsia="宋体" w:hAnsi="Times New Roman" w:cs="Times New Roman"/>
          <w:color w:val="000000" w:themeColor="text1"/>
          <w:kern w:val="1"/>
          <w:sz w:val="24"/>
        </w:rPr>
        <w:t>，冷却筛分废气采用布袋收尘措施，布袋除尘效率</w:t>
      </w:r>
      <w:r>
        <w:rPr>
          <w:rFonts w:ascii="Times New Roman" w:eastAsia="宋体" w:hAnsi="Times New Roman" w:cs="Times New Roman"/>
          <w:color w:val="000000" w:themeColor="text1"/>
          <w:kern w:val="1"/>
          <w:sz w:val="24"/>
        </w:rPr>
        <w:t>99%</w:t>
      </w:r>
      <w:r>
        <w:rPr>
          <w:rFonts w:ascii="Times New Roman" w:eastAsia="宋体" w:hAnsi="Times New Roman" w:cs="Times New Roman"/>
          <w:color w:val="000000" w:themeColor="text1"/>
          <w:kern w:val="1"/>
          <w:sz w:val="24"/>
        </w:rPr>
        <w:t>，废气排放量</w:t>
      </w:r>
      <w:r>
        <w:rPr>
          <w:rFonts w:ascii="Times New Roman" w:eastAsia="宋体" w:hAnsi="Times New Roman" w:cs="Times New Roman"/>
          <w:color w:val="000000" w:themeColor="text1"/>
          <w:kern w:val="1"/>
          <w:sz w:val="24"/>
        </w:rPr>
        <w:t>7500m</w:t>
      </w:r>
      <w:r>
        <w:rPr>
          <w:rFonts w:ascii="Times New Roman" w:eastAsia="宋体" w:hAnsi="Times New Roman" w:cs="Times New Roman"/>
          <w:color w:val="000000" w:themeColor="text1"/>
          <w:kern w:val="1"/>
          <w:sz w:val="24"/>
          <w:vertAlign w:val="superscript"/>
        </w:rPr>
        <w:t>3</w:t>
      </w:r>
      <w:r>
        <w:rPr>
          <w:rFonts w:ascii="Times New Roman" w:eastAsia="宋体" w:hAnsi="Times New Roman" w:cs="Times New Roman"/>
          <w:color w:val="000000" w:themeColor="text1"/>
          <w:kern w:val="1"/>
          <w:sz w:val="24"/>
        </w:rPr>
        <w:t>/h</w:t>
      </w:r>
      <w:r>
        <w:rPr>
          <w:rFonts w:ascii="Times New Roman" w:eastAsia="宋体" w:hAnsi="Times New Roman" w:cs="Times New Roman"/>
          <w:color w:val="000000" w:themeColor="text1"/>
          <w:kern w:val="1"/>
          <w:sz w:val="24"/>
        </w:rPr>
        <w:t>，经布袋除尘后，颗粒物排放量</w:t>
      </w:r>
      <w:r>
        <w:rPr>
          <w:rFonts w:ascii="Times New Roman" w:eastAsia="宋体" w:hAnsi="Times New Roman" w:cs="Times New Roman"/>
          <w:color w:val="000000" w:themeColor="text1"/>
          <w:kern w:val="1"/>
          <w:sz w:val="24"/>
        </w:rPr>
        <w:t>3.0t/a</w:t>
      </w:r>
      <w:r>
        <w:rPr>
          <w:rFonts w:ascii="Times New Roman" w:eastAsia="宋体" w:hAnsi="Times New Roman" w:cs="Times New Roman"/>
          <w:color w:val="000000" w:themeColor="text1"/>
          <w:kern w:val="1"/>
          <w:sz w:val="24"/>
        </w:rPr>
        <w:t>，约</w:t>
      </w:r>
      <w:r>
        <w:rPr>
          <w:rFonts w:ascii="Times New Roman" w:eastAsia="宋体" w:hAnsi="Times New Roman" w:cs="Times New Roman"/>
          <w:color w:val="000000" w:themeColor="text1"/>
          <w:kern w:val="1"/>
          <w:sz w:val="24"/>
        </w:rPr>
        <w:t>0.42kg/h</w:t>
      </w:r>
      <w:r>
        <w:rPr>
          <w:rFonts w:ascii="Times New Roman" w:eastAsia="宋体" w:hAnsi="Times New Roman" w:cs="Times New Roman"/>
          <w:color w:val="000000" w:themeColor="text1"/>
          <w:kern w:val="1"/>
          <w:sz w:val="24"/>
        </w:rPr>
        <w:t>，废气排放浓度</w:t>
      </w:r>
      <w:r>
        <w:rPr>
          <w:rFonts w:ascii="Times New Roman" w:eastAsia="宋体" w:hAnsi="Times New Roman" w:cs="Times New Roman"/>
          <w:color w:val="000000" w:themeColor="text1"/>
          <w:kern w:val="1"/>
          <w:sz w:val="24"/>
        </w:rPr>
        <w:t>56mg/m</w:t>
      </w:r>
      <w:r>
        <w:rPr>
          <w:rFonts w:ascii="Times New Roman" w:eastAsia="宋体" w:hAnsi="Times New Roman" w:cs="Times New Roman"/>
          <w:color w:val="000000" w:themeColor="text1"/>
          <w:kern w:val="1"/>
          <w:sz w:val="24"/>
          <w:vertAlign w:val="superscript"/>
        </w:rPr>
        <w:t>3</w:t>
      </w:r>
      <w:r>
        <w:rPr>
          <w:rFonts w:ascii="Times New Roman" w:eastAsia="宋体" w:hAnsi="Times New Roman" w:cs="Times New Roman"/>
          <w:color w:val="000000" w:themeColor="text1"/>
          <w:kern w:val="1"/>
          <w:sz w:val="24"/>
        </w:rPr>
        <w:t>。</w:t>
      </w:r>
    </w:p>
    <w:p w:rsidR="00C861DA" w:rsidRDefault="0044752E">
      <w:pPr>
        <w:spacing w:line="360" w:lineRule="auto"/>
        <w:ind w:firstLineChars="200" w:firstLine="482"/>
        <w:jc w:val="both"/>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2</w:t>
      </w:r>
      <w:r>
        <w:rPr>
          <w:rFonts w:ascii="Times New Roman" w:eastAsia="宋体" w:hAnsi="Times New Roman" w:cs="Times New Roman"/>
          <w:b/>
          <w:color w:val="000000" w:themeColor="text1"/>
          <w:sz w:val="24"/>
        </w:rPr>
        <w:t>）可行性分析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 xml:space="preserve">G5 </w:t>
      </w:r>
      <w:r>
        <w:rPr>
          <w:rFonts w:ascii="Times New Roman" w:eastAsia="宋体" w:hAnsi="Times New Roman" w:cs="Times New Roman"/>
          <w:color w:val="000000" w:themeColor="text1"/>
          <w:sz w:val="24"/>
        </w:rPr>
        <w:t>废气防治措施为布袋除尘器，可行性同</w:t>
      </w:r>
      <w:r>
        <w:rPr>
          <w:rFonts w:ascii="Times New Roman" w:eastAsia="宋体" w:hAnsi="Times New Roman" w:cs="Times New Roman"/>
          <w:color w:val="000000" w:themeColor="text1"/>
          <w:sz w:val="24"/>
        </w:rPr>
        <w:t>G4</w:t>
      </w:r>
      <w:r>
        <w:rPr>
          <w:rFonts w:ascii="Times New Roman" w:eastAsia="宋体" w:hAnsi="Times New Roman" w:cs="Times New Roman"/>
          <w:color w:val="000000" w:themeColor="text1"/>
          <w:sz w:val="24"/>
        </w:rPr>
        <w:t>。</w:t>
      </w:r>
    </w:p>
    <w:p w:rsidR="00C861DA" w:rsidRDefault="0044752E">
      <w:pPr>
        <w:spacing w:line="360" w:lineRule="auto"/>
        <w:ind w:firstLineChars="200" w:firstLine="482"/>
        <w:jc w:val="both"/>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w:t>
      </w:r>
      <w:r>
        <w:rPr>
          <w:rFonts w:ascii="Times New Roman" w:eastAsia="宋体" w:hAnsi="Times New Roman" w:cs="Times New Roman"/>
          <w:b/>
          <w:color w:val="000000" w:themeColor="text1"/>
          <w:sz w:val="24"/>
        </w:rPr>
        <w:t>5</w:t>
      </w:r>
      <w:r>
        <w:rPr>
          <w:rFonts w:ascii="Times New Roman" w:eastAsia="宋体" w:hAnsi="Times New Roman" w:cs="Times New Roman"/>
          <w:b/>
          <w:color w:val="000000" w:themeColor="text1"/>
          <w:sz w:val="24"/>
        </w:rPr>
        <w:t>）尿素合成尾气（</w:t>
      </w:r>
      <w:r>
        <w:rPr>
          <w:rFonts w:ascii="Times New Roman" w:eastAsia="宋体" w:hAnsi="Times New Roman" w:cs="Times New Roman"/>
          <w:b/>
          <w:color w:val="000000" w:themeColor="text1"/>
          <w:sz w:val="24"/>
        </w:rPr>
        <w:t>G6</w:t>
      </w:r>
      <w:r>
        <w:rPr>
          <w:rFonts w:ascii="Times New Roman" w:eastAsia="宋体" w:hAnsi="Times New Roman" w:cs="Times New Roman"/>
          <w:b/>
          <w:color w:val="000000" w:themeColor="text1"/>
          <w:sz w:val="24"/>
        </w:rPr>
        <w:t>）防治措施</w:t>
      </w:r>
    </w:p>
    <w:p w:rsidR="00C861DA" w:rsidRDefault="0044752E">
      <w:pPr>
        <w:spacing w:line="360" w:lineRule="auto"/>
        <w:ind w:firstLineChars="200" w:firstLine="482"/>
        <w:jc w:val="both"/>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1</w:t>
      </w:r>
      <w:r>
        <w:rPr>
          <w:rFonts w:ascii="Times New Roman" w:eastAsia="宋体" w:hAnsi="Times New Roman" w:cs="Times New Roman"/>
          <w:b/>
          <w:color w:val="000000" w:themeColor="text1"/>
          <w:sz w:val="24"/>
        </w:rPr>
        <w:t>）防治措施</w:t>
      </w:r>
    </w:p>
    <w:p w:rsidR="00C861DA" w:rsidRDefault="0044752E">
      <w:pPr>
        <w:spacing w:line="360" w:lineRule="auto"/>
        <w:ind w:firstLineChars="200" w:firstLine="480"/>
        <w:jc w:val="both"/>
        <w:rPr>
          <w:rFonts w:ascii="Times New Roman" w:eastAsia="宋体" w:hAnsi="Times New Roman" w:cs="Times New Roman"/>
          <w:color w:val="000000" w:themeColor="text1"/>
          <w:kern w:val="1"/>
          <w:sz w:val="24"/>
        </w:rPr>
      </w:pPr>
      <w:r>
        <w:rPr>
          <w:rFonts w:ascii="Times New Roman" w:eastAsia="宋体" w:hAnsi="Times New Roman" w:cs="Times New Roman"/>
          <w:color w:val="000000" w:themeColor="text1"/>
          <w:sz w:val="24"/>
        </w:rPr>
        <w:t>出尿素合成装置全冷凝反应器的未反应的</w:t>
      </w:r>
      <w:r>
        <w:rPr>
          <w:rFonts w:ascii="Times New Roman" w:eastAsia="宋体" w:hAnsi="Times New Roman" w:cs="Times New Roman"/>
          <w:color w:val="000000" w:themeColor="text1"/>
          <w:sz w:val="24"/>
        </w:rPr>
        <w:t>NH</w:t>
      </w:r>
      <w:r>
        <w:rPr>
          <w:rFonts w:ascii="Times New Roman" w:eastAsia="宋体" w:hAnsi="Times New Roman" w:cs="Times New Roman"/>
          <w:color w:val="000000" w:themeColor="text1"/>
          <w:sz w:val="24"/>
          <w:vertAlign w:val="subscript"/>
        </w:rPr>
        <w:t>3</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CO</w:t>
      </w:r>
      <w:r>
        <w:rPr>
          <w:rFonts w:ascii="Times New Roman" w:eastAsia="宋体" w:hAnsi="Times New Roman" w:cs="Times New Roman"/>
          <w:color w:val="000000" w:themeColor="text1"/>
          <w:sz w:val="24"/>
          <w:vertAlign w:val="subscript"/>
        </w:rPr>
        <w:t>2</w:t>
      </w:r>
      <w:r>
        <w:rPr>
          <w:rFonts w:ascii="Times New Roman" w:eastAsia="宋体" w:hAnsi="Times New Roman" w:cs="Times New Roman"/>
          <w:color w:val="000000" w:themeColor="text1"/>
          <w:sz w:val="24"/>
        </w:rPr>
        <w:t>及惰性气体进入高压洗涤器，在高压洗涤器内被来自中压分解回收工序的甲铵液冷凝吸收（通过高压甲铵泵来升压），洗涤后的液体靠重力自流入全冷凝反应器底部。高压洗涤器出口的气体中含少量的氨和二氧化碳（</w:t>
      </w:r>
      <w:r>
        <w:rPr>
          <w:rFonts w:ascii="Times New Roman" w:eastAsia="宋体" w:hAnsi="Times New Roman" w:cs="Times New Roman"/>
          <w:color w:val="000000" w:themeColor="text1"/>
          <w:sz w:val="24"/>
        </w:rPr>
        <w:t>Ur</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1.64%</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NH</w:t>
      </w:r>
      <w:r>
        <w:rPr>
          <w:rFonts w:ascii="Times New Roman" w:eastAsia="宋体" w:hAnsi="Times New Roman" w:cs="Times New Roman"/>
          <w:color w:val="000000" w:themeColor="text1"/>
          <w:sz w:val="24"/>
          <w:vertAlign w:val="subscript"/>
        </w:rPr>
        <w:t>3</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4.73%</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CO</w:t>
      </w:r>
      <w:r>
        <w:rPr>
          <w:rFonts w:ascii="Times New Roman" w:eastAsia="宋体" w:hAnsi="Times New Roman" w:cs="Times New Roman"/>
          <w:color w:val="000000" w:themeColor="text1"/>
          <w:sz w:val="24"/>
          <w:vertAlign w:val="subscript"/>
        </w:rPr>
        <w:t>2</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1.6%</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H</w:t>
      </w:r>
      <w:r>
        <w:rPr>
          <w:rFonts w:ascii="Times New Roman" w:eastAsia="宋体" w:hAnsi="Times New Roman" w:cs="Times New Roman"/>
          <w:color w:val="000000" w:themeColor="text1"/>
          <w:sz w:val="24"/>
          <w:vertAlign w:val="subscript"/>
        </w:rPr>
        <w:t>2</w:t>
      </w:r>
      <w:r>
        <w:rPr>
          <w:rFonts w:ascii="Times New Roman" w:eastAsia="宋体" w:hAnsi="Times New Roman" w:cs="Times New Roman"/>
          <w:color w:val="000000" w:themeColor="text1"/>
          <w:sz w:val="24"/>
        </w:rPr>
        <w:t>O:91.97%</w:t>
      </w:r>
      <w:r>
        <w:rPr>
          <w:rFonts w:ascii="Times New Roman" w:eastAsia="宋体" w:hAnsi="Times New Roman" w:cs="Times New Roman"/>
          <w:color w:val="000000" w:themeColor="text1"/>
          <w:sz w:val="24"/>
        </w:rPr>
        <w:t>），其中氨含量</w:t>
      </w:r>
      <w:r>
        <w:rPr>
          <w:rFonts w:ascii="Times New Roman" w:eastAsia="宋体" w:hAnsi="Times New Roman" w:cs="Times New Roman"/>
          <w:color w:val="000000" w:themeColor="text1"/>
          <w:sz w:val="24"/>
        </w:rPr>
        <w:t>1.18t/a</w:t>
      </w:r>
      <w:r>
        <w:rPr>
          <w:rFonts w:ascii="Times New Roman" w:eastAsia="宋体" w:hAnsi="Times New Roman" w:cs="Times New Roman"/>
          <w:color w:val="000000" w:themeColor="text1"/>
          <w:sz w:val="24"/>
        </w:rPr>
        <w:t>。减压后送入尾气吸收器，用尿液蒸发系统产生的工艺冷凝液和蒸汽冷凝液进行分段洗涤，经洗涤后的尾气中绝大部分为氮气和氧气，含有极少了的</w:t>
      </w:r>
      <w:r>
        <w:rPr>
          <w:rFonts w:ascii="Times New Roman" w:eastAsia="宋体" w:hAnsi="Times New Roman" w:cs="Times New Roman"/>
          <w:color w:val="000000" w:themeColor="text1"/>
          <w:sz w:val="24"/>
        </w:rPr>
        <w:t>NH</w:t>
      </w:r>
      <w:r>
        <w:rPr>
          <w:rFonts w:ascii="Times New Roman" w:eastAsia="宋体" w:hAnsi="Times New Roman" w:cs="Times New Roman"/>
          <w:color w:val="000000" w:themeColor="text1"/>
          <w:sz w:val="24"/>
          <w:vertAlign w:val="subscript"/>
        </w:rPr>
        <w:t>3</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NH</w:t>
      </w:r>
      <w:r>
        <w:rPr>
          <w:rFonts w:ascii="Times New Roman" w:eastAsia="宋体" w:hAnsi="Times New Roman" w:cs="Times New Roman"/>
          <w:color w:val="000000" w:themeColor="text1"/>
          <w:sz w:val="24"/>
          <w:vertAlign w:val="subscript"/>
        </w:rPr>
        <w:t>3</w:t>
      </w:r>
      <w:r>
        <w:rPr>
          <w:rFonts w:ascii="Times New Roman" w:eastAsia="宋体" w:hAnsi="Times New Roman" w:cs="Times New Roman"/>
          <w:color w:val="000000" w:themeColor="text1"/>
          <w:sz w:val="24"/>
        </w:rPr>
        <w:t>含量降低到</w:t>
      </w:r>
      <w:r>
        <w:rPr>
          <w:rFonts w:ascii="Times New Roman" w:eastAsia="宋体" w:hAnsi="Times New Roman" w:cs="Times New Roman"/>
          <w:color w:val="000000" w:themeColor="text1"/>
          <w:sz w:val="24"/>
        </w:rPr>
        <w:t>0.35%</w:t>
      </w:r>
      <w:r>
        <w:rPr>
          <w:rFonts w:ascii="Times New Roman" w:eastAsia="宋体" w:hAnsi="Times New Roman" w:cs="Times New Roman"/>
          <w:color w:val="000000" w:themeColor="text1"/>
          <w:sz w:val="24"/>
        </w:rPr>
        <w:t>，约</w:t>
      </w:r>
      <w:r>
        <w:rPr>
          <w:rFonts w:ascii="Times New Roman" w:eastAsia="宋体" w:hAnsi="Times New Roman" w:cs="Times New Roman"/>
          <w:color w:val="000000" w:themeColor="text1"/>
          <w:sz w:val="24"/>
        </w:rPr>
        <w:t>0.09t/a</w:t>
      </w:r>
      <w:r>
        <w:rPr>
          <w:rFonts w:ascii="Times New Roman" w:eastAsia="宋体" w:hAnsi="Times New Roman" w:cs="Times New Roman"/>
          <w:color w:val="000000" w:themeColor="text1"/>
          <w:sz w:val="24"/>
        </w:rPr>
        <w:t>，排放量</w:t>
      </w:r>
      <w:r>
        <w:rPr>
          <w:rFonts w:ascii="Times New Roman" w:eastAsia="宋体" w:hAnsi="Times New Roman" w:cs="Times New Roman"/>
          <w:color w:val="000000" w:themeColor="text1"/>
          <w:sz w:val="24"/>
        </w:rPr>
        <w:t>0.0125kg/h</w:t>
      </w:r>
      <w:r>
        <w:rPr>
          <w:rFonts w:ascii="Times New Roman" w:eastAsia="宋体" w:hAnsi="Times New Roman" w:cs="Times New Roman"/>
          <w:color w:val="000000" w:themeColor="text1"/>
          <w:sz w:val="24"/>
        </w:rPr>
        <w:t>，排放浓</w:t>
      </w:r>
      <w:r>
        <w:rPr>
          <w:rFonts w:ascii="Times New Roman" w:eastAsia="宋体" w:hAnsi="Times New Roman" w:cs="Times New Roman"/>
          <w:color w:val="000000" w:themeColor="text1"/>
          <w:sz w:val="24"/>
        </w:rPr>
        <w:t>度通过排放筒（</w:t>
      </w:r>
      <w:r>
        <w:rPr>
          <w:rFonts w:ascii="Times New Roman" w:eastAsia="宋体" w:hAnsi="Times New Roman" w:cs="Times New Roman"/>
          <w:color w:val="000000" w:themeColor="text1"/>
          <w:sz w:val="24"/>
        </w:rPr>
        <w:t>5#</w:t>
      </w:r>
      <w:r>
        <w:rPr>
          <w:rFonts w:ascii="Times New Roman" w:eastAsia="宋体" w:hAnsi="Times New Roman" w:cs="Times New Roman"/>
          <w:color w:val="000000" w:themeColor="text1"/>
          <w:sz w:val="24"/>
        </w:rPr>
        <w:t>排气筒）排放，排气筒高度</w:t>
      </w:r>
      <w:r>
        <w:rPr>
          <w:rFonts w:ascii="Times New Roman" w:eastAsia="宋体" w:hAnsi="Times New Roman" w:cs="Times New Roman"/>
          <w:color w:val="000000" w:themeColor="text1"/>
          <w:sz w:val="24"/>
        </w:rPr>
        <w:t>30m</w:t>
      </w:r>
      <w:r>
        <w:rPr>
          <w:rFonts w:ascii="Times New Roman" w:eastAsia="宋体" w:hAnsi="Times New Roman" w:cs="Times New Roman"/>
          <w:color w:val="000000" w:themeColor="text1"/>
          <w:sz w:val="24"/>
        </w:rPr>
        <w:t>，外排废气中氨。</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6</w:t>
      </w:r>
      <w:r>
        <w:rPr>
          <w:rFonts w:ascii="Times New Roman" w:eastAsia="宋体" w:hAnsi="Times New Roman" w:cs="Times New Roman"/>
          <w:color w:val="000000" w:themeColor="text1"/>
          <w:sz w:val="24"/>
        </w:rPr>
        <w:t>）中压吸收尾气（</w:t>
      </w:r>
      <w:r>
        <w:rPr>
          <w:rFonts w:ascii="Times New Roman" w:eastAsia="宋体" w:hAnsi="Times New Roman" w:cs="Times New Roman"/>
          <w:color w:val="000000" w:themeColor="text1"/>
          <w:sz w:val="24"/>
        </w:rPr>
        <w:t>G7</w:t>
      </w:r>
      <w:r>
        <w:rPr>
          <w:rFonts w:ascii="Times New Roman" w:eastAsia="宋体" w:hAnsi="Times New Roman" w:cs="Times New Roman"/>
          <w:color w:val="000000" w:themeColor="text1"/>
          <w:sz w:val="24"/>
        </w:rPr>
        <w:t>）防治措施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）防治措施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中压吸收过程中，气液混合物在中压吸收塔下部进行分离，根据氨平衡，气体中的主要污染物为氨，氨的含量</w:t>
      </w:r>
      <w:r>
        <w:rPr>
          <w:rFonts w:ascii="Times New Roman" w:eastAsia="宋体" w:hAnsi="Times New Roman" w:cs="Times New Roman"/>
          <w:color w:val="000000" w:themeColor="text1"/>
          <w:sz w:val="24"/>
        </w:rPr>
        <w:t>10t/a</w:t>
      </w:r>
      <w:r>
        <w:rPr>
          <w:rFonts w:ascii="Times New Roman" w:eastAsia="宋体" w:hAnsi="Times New Roman" w:cs="Times New Roman"/>
          <w:color w:val="000000" w:themeColor="text1"/>
          <w:sz w:val="24"/>
        </w:rPr>
        <w:t>，进入上部填料段，用中压甲铵液和稀氨水吸收，吸收效率</w:t>
      </w:r>
      <w:r>
        <w:rPr>
          <w:rFonts w:ascii="Times New Roman" w:eastAsia="宋体" w:hAnsi="Times New Roman" w:cs="Times New Roman"/>
          <w:color w:val="000000" w:themeColor="text1"/>
          <w:sz w:val="24"/>
        </w:rPr>
        <w:t>95%</w:t>
      </w:r>
      <w:r>
        <w:rPr>
          <w:rFonts w:ascii="Times New Roman" w:eastAsia="宋体" w:hAnsi="Times New Roman" w:cs="Times New Roman"/>
          <w:color w:val="000000" w:themeColor="text1"/>
          <w:sz w:val="24"/>
        </w:rPr>
        <w:t>，未被吸收的气体经减压后去常压尾气洗涤器进一步吸收后排入大气，排气筒（</w:t>
      </w:r>
      <w:r>
        <w:rPr>
          <w:rFonts w:ascii="Times New Roman" w:eastAsia="宋体" w:hAnsi="Times New Roman" w:cs="Times New Roman"/>
          <w:color w:val="000000" w:themeColor="text1"/>
          <w:sz w:val="24"/>
        </w:rPr>
        <w:t>6#</w:t>
      </w:r>
      <w:r>
        <w:rPr>
          <w:rFonts w:ascii="Times New Roman" w:eastAsia="宋体" w:hAnsi="Times New Roman" w:cs="Times New Roman"/>
          <w:color w:val="000000" w:themeColor="text1"/>
          <w:sz w:val="24"/>
        </w:rPr>
        <w:t>排气筒）高度</w:t>
      </w:r>
      <w:r>
        <w:rPr>
          <w:rFonts w:ascii="Times New Roman" w:eastAsia="宋体" w:hAnsi="Times New Roman" w:cs="Times New Roman"/>
          <w:color w:val="000000" w:themeColor="text1"/>
          <w:sz w:val="24"/>
        </w:rPr>
        <w:t>30m</w:t>
      </w:r>
      <w:r>
        <w:rPr>
          <w:rFonts w:ascii="Times New Roman" w:eastAsia="宋体" w:hAnsi="Times New Roman" w:cs="Times New Roman"/>
          <w:color w:val="000000" w:themeColor="text1"/>
          <w:sz w:val="24"/>
        </w:rPr>
        <w:t>，废气排放量</w:t>
      </w:r>
      <w:r>
        <w:rPr>
          <w:rFonts w:ascii="Times New Roman" w:eastAsia="宋体" w:hAnsi="Times New Roman" w:cs="Times New Roman"/>
          <w:color w:val="000000" w:themeColor="text1"/>
          <w:sz w:val="24"/>
        </w:rPr>
        <w:t>2000m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/h</w:t>
      </w:r>
      <w:r>
        <w:rPr>
          <w:rFonts w:ascii="Times New Roman" w:eastAsia="宋体" w:hAnsi="Times New Roman" w:cs="Times New Roman"/>
          <w:color w:val="000000" w:themeColor="text1"/>
          <w:sz w:val="24"/>
        </w:rPr>
        <w:t>。</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）可行性分析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洗涤器洗涤吸收效率可达</w:t>
      </w:r>
      <w:r>
        <w:rPr>
          <w:rFonts w:ascii="Times New Roman" w:eastAsia="宋体" w:hAnsi="Times New Roman" w:cs="Times New Roman"/>
          <w:color w:val="000000" w:themeColor="text1"/>
          <w:sz w:val="24"/>
        </w:rPr>
        <w:t>95%</w:t>
      </w:r>
      <w:r>
        <w:rPr>
          <w:rFonts w:ascii="Times New Roman" w:eastAsia="宋体" w:hAnsi="Times New Roman" w:cs="Times New Roman"/>
          <w:color w:val="000000" w:themeColor="text1"/>
          <w:sz w:val="24"/>
        </w:rPr>
        <w:t>，预计氨排放量</w:t>
      </w:r>
      <w:r>
        <w:rPr>
          <w:rFonts w:ascii="Times New Roman" w:eastAsia="宋体" w:hAnsi="Times New Roman" w:cs="Times New Roman"/>
          <w:color w:val="000000" w:themeColor="text1"/>
          <w:sz w:val="24"/>
        </w:rPr>
        <w:t>0.25t/a</w:t>
      </w:r>
      <w:r>
        <w:rPr>
          <w:rFonts w:ascii="Times New Roman" w:eastAsia="宋体" w:hAnsi="Times New Roman" w:cs="Times New Roman"/>
          <w:color w:val="000000" w:themeColor="text1"/>
          <w:sz w:val="24"/>
        </w:rPr>
        <w:t>，约</w:t>
      </w:r>
      <w:r>
        <w:rPr>
          <w:rFonts w:ascii="Times New Roman" w:eastAsia="宋体" w:hAnsi="Times New Roman" w:cs="Times New Roman"/>
          <w:color w:val="000000" w:themeColor="text1"/>
          <w:sz w:val="24"/>
        </w:rPr>
        <w:t>0.035kg/h</w:t>
      </w:r>
      <w:r>
        <w:rPr>
          <w:rFonts w:ascii="Times New Roman" w:eastAsia="宋体" w:hAnsi="Times New Roman" w:cs="Times New Roman"/>
          <w:color w:val="000000" w:themeColor="text1"/>
          <w:sz w:val="24"/>
        </w:rPr>
        <w:t>，排放浓度</w:t>
      </w:r>
      <w:r>
        <w:rPr>
          <w:rFonts w:ascii="Times New Roman" w:eastAsia="宋体" w:hAnsi="Times New Roman" w:cs="Times New Roman"/>
          <w:color w:val="000000" w:themeColor="text1"/>
          <w:sz w:val="24"/>
        </w:rPr>
        <w:t>45mg/m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，能够满足本项目要求。</w:t>
      </w:r>
      <w:r>
        <w:rPr>
          <w:rFonts w:ascii="Times New Roman" w:eastAsia="宋体" w:hAnsi="Times New Roman" w:cs="Times New Roman"/>
          <w:color w:val="000000" w:themeColor="text1"/>
          <w:sz w:val="24"/>
        </w:rPr>
        <w:t xml:space="preserve"> </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7</w:t>
      </w:r>
      <w:r>
        <w:rPr>
          <w:rFonts w:ascii="Times New Roman" w:eastAsia="宋体" w:hAnsi="Times New Roman" w:cs="Times New Roman"/>
          <w:color w:val="000000" w:themeColor="text1"/>
          <w:sz w:val="24"/>
        </w:rPr>
        <w:t>）低压吸收尾气</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G8</w:t>
      </w:r>
      <w:r>
        <w:rPr>
          <w:rFonts w:ascii="Times New Roman" w:eastAsia="宋体" w:hAnsi="Times New Roman" w:cs="Times New Roman"/>
          <w:color w:val="000000" w:themeColor="text1"/>
          <w:sz w:val="24"/>
        </w:rPr>
        <w:t>）防治措施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）防治措施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在低压分解回收工程中，冷凝后的气液混合物从低压甲铵冷凝器上部溢流到低压吸收塔的下部液位槽，进行气液分离。分离尾气中的主要污染物为氨，根据物料平衡，氨含量约</w:t>
      </w:r>
      <w:r>
        <w:rPr>
          <w:rFonts w:ascii="Times New Roman" w:eastAsia="宋体" w:hAnsi="Times New Roman" w:cs="Times New Roman"/>
          <w:color w:val="000000" w:themeColor="text1"/>
          <w:sz w:val="24"/>
        </w:rPr>
        <w:t>3.15t/a</w:t>
      </w:r>
      <w:r>
        <w:rPr>
          <w:rFonts w:ascii="Times New Roman" w:eastAsia="宋体" w:hAnsi="Times New Roman" w:cs="Times New Roman"/>
          <w:color w:val="000000" w:themeColor="text1"/>
          <w:sz w:val="24"/>
        </w:rPr>
        <w:t>，尾气送至低压尾气洗涤器进一步洗涤后排放，排气筒与中压分解回收尾气共用</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）可行性分析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洗涤器洗涤吸收效率</w:t>
      </w:r>
      <w:r>
        <w:rPr>
          <w:rFonts w:ascii="Times New Roman" w:eastAsia="宋体" w:hAnsi="Times New Roman" w:cs="Times New Roman"/>
          <w:color w:val="000000" w:themeColor="text1"/>
          <w:sz w:val="24"/>
        </w:rPr>
        <w:t>95%</w:t>
      </w:r>
      <w:r>
        <w:rPr>
          <w:rFonts w:ascii="Times New Roman" w:eastAsia="宋体" w:hAnsi="Times New Roman" w:cs="Times New Roman"/>
          <w:color w:val="000000" w:themeColor="text1"/>
          <w:sz w:val="24"/>
        </w:rPr>
        <w:t>，能够满足本项目排放要求。</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8</w:t>
      </w:r>
      <w:r>
        <w:rPr>
          <w:rFonts w:ascii="Times New Roman" w:eastAsia="宋体" w:hAnsi="Times New Roman" w:cs="Times New Roman"/>
          <w:color w:val="000000" w:themeColor="text1"/>
          <w:sz w:val="24"/>
        </w:rPr>
        <w:t>）尿液蒸发尾气（</w:t>
      </w:r>
      <w:r>
        <w:rPr>
          <w:rFonts w:ascii="Times New Roman" w:eastAsia="宋体" w:hAnsi="Times New Roman" w:cs="Times New Roman"/>
          <w:color w:val="000000" w:themeColor="text1"/>
          <w:sz w:val="24"/>
        </w:rPr>
        <w:t>G9</w:t>
      </w:r>
      <w:r>
        <w:rPr>
          <w:rFonts w:ascii="Times New Roman" w:eastAsia="宋体" w:hAnsi="Times New Roman" w:cs="Times New Roman"/>
          <w:color w:val="000000" w:themeColor="text1"/>
          <w:sz w:val="24"/>
        </w:rPr>
        <w:t>）防治措施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）防治措施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尿液蒸发过程中，真空预浓缩分离器的气相与一段蒸发分离器的气相一起送至一段蒸发冷凝器冷凝。一段蒸发冷凝器的未凝气由一段蒸发喷射器抽出送至最终冷凝器；二段蒸发分离器气相经升压器升压后直接送至二段蒸发冷凝器冷凝，未凝气由二段蒸发第一喷射器抽出送至二段蒸发后冷凝器冷凝，不凝气由二段蒸发第二喷射器抽出送入最终冷凝器进行冷凝，最终冷凝器外排不凝气经</w:t>
      </w:r>
      <w:r>
        <w:rPr>
          <w:rFonts w:ascii="Times New Roman" w:eastAsia="宋体" w:hAnsi="Times New Roman" w:cs="Times New Roman"/>
          <w:color w:val="000000" w:themeColor="text1"/>
          <w:sz w:val="24"/>
        </w:rPr>
        <w:t>28m</w:t>
      </w:r>
      <w:r>
        <w:rPr>
          <w:rFonts w:ascii="Times New Roman" w:eastAsia="宋体" w:hAnsi="Times New Roman" w:cs="Times New Roman"/>
          <w:color w:val="000000" w:themeColor="text1"/>
          <w:sz w:val="24"/>
        </w:rPr>
        <w:t>排气筒（</w:t>
      </w:r>
      <w:r>
        <w:rPr>
          <w:rFonts w:ascii="Times New Roman" w:eastAsia="宋体" w:hAnsi="Times New Roman" w:cs="Times New Roman"/>
          <w:color w:val="000000" w:themeColor="text1"/>
          <w:sz w:val="24"/>
        </w:rPr>
        <w:t>7#</w:t>
      </w:r>
      <w:r>
        <w:rPr>
          <w:rFonts w:ascii="Times New Roman" w:eastAsia="宋体" w:hAnsi="Times New Roman" w:cs="Times New Roman"/>
          <w:color w:val="000000" w:themeColor="text1"/>
          <w:sz w:val="24"/>
        </w:rPr>
        <w:t>排气筒）排放。</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）可行性分析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G9</w:t>
      </w:r>
      <w:r>
        <w:rPr>
          <w:rFonts w:ascii="Times New Roman" w:eastAsia="宋体" w:hAnsi="Times New Roman" w:cs="Times New Roman"/>
          <w:color w:val="000000" w:themeColor="text1"/>
          <w:sz w:val="24"/>
        </w:rPr>
        <w:t>主要污染物为氨，氨具有很强的水溶性，可被水吸收，冷凝液为稀氨水，对氨气的吸收效果较好。</w:t>
      </w:r>
    </w:p>
    <w:p w:rsidR="00C861DA" w:rsidRDefault="0044752E">
      <w:pPr>
        <w:spacing w:line="360" w:lineRule="auto"/>
        <w:ind w:firstLineChars="200" w:firstLine="480"/>
        <w:jc w:val="both"/>
        <w:rPr>
          <w:rFonts w:ascii="Times New Roman" w:eastAsia="宋体" w:hAnsi="Times New Roman" w:cs="Times New Roman"/>
          <w:color w:val="000000" w:themeColor="text1"/>
          <w:kern w:val="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9</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kern w:val="1"/>
          <w:sz w:val="24"/>
        </w:rPr>
        <w:t>尿基有机肥生产备料废气（</w:t>
      </w:r>
      <w:r>
        <w:rPr>
          <w:rFonts w:ascii="Times New Roman" w:eastAsia="宋体" w:hAnsi="Times New Roman" w:cs="Times New Roman"/>
          <w:color w:val="000000" w:themeColor="text1"/>
          <w:sz w:val="24"/>
        </w:rPr>
        <w:t>G10</w:t>
      </w:r>
      <w:r>
        <w:rPr>
          <w:rFonts w:ascii="Times New Roman" w:eastAsia="宋体" w:hAnsi="Times New Roman" w:cs="Times New Roman"/>
          <w:color w:val="000000" w:themeColor="text1"/>
          <w:kern w:val="1"/>
          <w:sz w:val="24"/>
        </w:rPr>
        <w:t>）防治措施</w:t>
      </w:r>
    </w:p>
    <w:p w:rsidR="00C861DA" w:rsidRDefault="0044752E">
      <w:pPr>
        <w:spacing w:line="360" w:lineRule="auto"/>
        <w:ind w:firstLineChars="200" w:firstLine="480"/>
        <w:jc w:val="both"/>
        <w:rPr>
          <w:rFonts w:ascii="Times New Roman" w:eastAsia="宋体" w:hAnsi="Times New Roman" w:cs="Times New Roman"/>
          <w:color w:val="000000" w:themeColor="text1"/>
          <w:kern w:val="1"/>
          <w:sz w:val="24"/>
        </w:rPr>
      </w:pPr>
      <w:r>
        <w:rPr>
          <w:rFonts w:ascii="Times New Roman" w:eastAsia="宋体" w:hAnsi="Times New Roman" w:cs="Times New Roman"/>
          <w:color w:val="000000" w:themeColor="text1"/>
          <w:kern w:val="1"/>
          <w:sz w:val="24"/>
        </w:rPr>
        <w:t>1</w:t>
      </w:r>
      <w:r>
        <w:rPr>
          <w:rFonts w:ascii="Times New Roman" w:eastAsia="宋体" w:hAnsi="Times New Roman" w:cs="Times New Roman"/>
          <w:color w:val="000000" w:themeColor="text1"/>
          <w:kern w:val="1"/>
          <w:sz w:val="24"/>
        </w:rPr>
        <w:t>）防治措施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kern w:val="1"/>
          <w:sz w:val="24"/>
        </w:rPr>
        <w:t>硝基有机肥生产备料废气主要是备料计量、提升过程中产生的颗粒物，项目设计采用布袋除尘措施，布袋除尘效率</w:t>
      </w:r>
      <w:r>
        <w:rPr>
          <w:rFonts w:ascii="Times New Roman" w:eastAsia="宋体" w:hAnsi="Times New Roman" w:cs="Times New Roman"/>
          <w:color w:val="000000" w:themeColor="text1"/>
          <w:kern w:val="1"/>
          <w:sz w:val="24"/>
        </w:rPr>
        <w:t>99%</w:t>
      </w:r>
      <w:r>
        <w:rPr>
          <w:rFonts w:ascii="Times New Roman" w:eastAsia="宋体" w:hAnsi="Times New Roman" w:cs="Times New Roman"/>
          <w:color w:val="000000" w:themeColor="text1"/>
          <w:kern w:val="1"/>
          <w:sz w:val="24"/>
        </w:rPr>
        <w:t>，废气经布袋除尘后，经由</w:t>
      </w:r>
      <w:r>
        <w:rPr>
          <w:rFonts w:ascii="Times New Roman" w:eastAsia="宋体" w:hAnsi="Times New Roman" w:cs="Times New Roman"/>
          <w:color w:val="000000" w:themeColor="text1"/>
          <w:kern w:val="1"/>
          <w:sz w:val="24"/>
        </w:rPr>
        <w:t>25m</w:t>
      </w:r>
      <w:r>
        <w:rPr>
          <w:rFonts w:ascii="Times New Roman" w:eastAsia="宋体" w:hAnsi="Times New Roman" w:cs="Times New Roman"/>
          <w:color w:val="000000" w:themeColor="text1"/>
          <w:kern w:val="1"/>
          <w:sz w:val="24"/>
        </w:rPr>
        <w:t>高排气筒（</w:t>
      </w:r>
      <w:r>
        <w:rPr>
          <w:rFonts w:ascii="Times New Roman" w:eastAsia="宋体" w:hAnsi="Times New Roman" w:cs="Times New Roman"/>
          <w:color w:val="000000" w:themeColor="text1"/>
          <w:kern w:val="1"/>
          <w:sz w:val="24"/>
        </w:rPr>
        <w:t>8#</w:t>
      </w:r>
      <w:r>
        <w:rPr>
          <w:rFonts w:ascii="Times New Roman" w:eastAsia="宋体" w:hAnsi="Times New Roman" w:cs="Times New Roman"/>
          <w:color w:val="000000" w:themeColor="text1"/>
          <w:kern w:val="1"/>
          <w:sz w:val="24"/>
        </w:rPr>
        <w:t>排气筒）排放。</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）可行性分析</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kern w:val="1"/>
          <w:sz w:val="24"/>
        </w:rPr>
        <w:t>本项目尿基有机肥生产以磷酸一铵、硫酸钾、有机质、添加剂和自产熔融尿素为原料，生产硝基有机肥。磷酸一铵、硫酸钾、有机质、添加剂合计用量</w:t>
      </w:r>
      <w:r>
        <w:rPr>
          <w:rFonts w:ascii="Times New Roman" w:eastAsia="宋体" w:hAnsi="Times New Roman" w:cs="Times New Roman"/>
          <w:color w:val="000000" w:themeColor="text1"/>
          <w:kern w:val="1"/>
          <w:sz w:val="24"/>
        </w:rPr>
        <w:t>199400t/a</w:t>
      </w:r>
      <w:r>
        <w:rPr>
          <w:rFonts w:ascii="Times New Roman" w:eastAsia="宋体" w:hAnsi="Times New Roman" w:cs="Times New Roman"/>
          <w:color w:val="000000" w:themeColor="text1"/>
          <w:kern w:val="1"/>
          <w:sz w:val="24"/>
        </w:rPr>
        <w:t>，采用排污系数法，备料过程中颗粒物产生系数为</w:t>
      </w:r>
      <w:r>
        <w:rPr>
          <w:rFonts w:ascii="Times New Roman" w:eastAsia="宋体" w:hAnsi="Times New Roman" w:cs="Times New Roman"/>
          <w:color w:val="000000" w:themeColor="text1"/>
          <w:kern w:val="1"/>
          <w:sz w:val="24"/>
        </w:rPr>
        <w:t>1.0</w:t>
      </w:r>
      <w:r>
        <w:rPr>
          <w:rFonts w:ascii="Times New Roman" w:eastAsia="宋体" w:hAnsi="Times New Roman" w:cs="Times New Roman"/>
          <w:color w:val="000000" w:themeColor="text1"/>
          <w:kern w:val="1"/>
          <w:sz w:val="24"/>
        </w:rPr>
        <w:t>千克</w:t>
      </w:r>
      <w:r>
        <w:rPr>
          <w:rFonts w:ascii="Times New Roman" w:eastAsia="宋体" w:hAnsi="Times New Roman" w:cs="Times New Roman"/>
          <w:color w:val="000000" w:themeColor="text1"/>
          <w:kern w:val="1"/>
          <w:sz w:val="24"/>
        </w:rPr>
        <w:t>/</w:t>
      </w:r>
      <w:r>
        <w:rPr>
          <w:rFonts w:ascii="Times New Roman" w:eastAsia="宋体" w:hAnsi="Times New Roman" w:cs="Times New Roman"/>
          <w:color w:val="000000" w:themeColor="text1"/>
          <w:kern w:val="1"/>
          <w:sz w:val="24"/>
        </w:rPr>
        <w:t>吨</w:t>
      </w:r>
      <w:r>
        <w:rPr>
          <w:rFonts w:ascii="Times New Roman" w:eastAsia="宋体" w:hAnsi="Times New Roman" w:cs="Times New Roman"/>
          <w:color w:val="000000" w:themeColor="text1"/>
          <w:kern w:val="1"/>
          <w:sz w:val="24"/>
        </w:rPr>
        <w:t>-</w:t>
      </w:r>
      <w:r>
        <w:rPr>
          <w:rFonts w:ascii="Times New Roman" w:eastAsia="宋体" w:hAnsi="Times New Roman" w:cs="Times New Roman"/>
          <w:color w:val="000000" w:themeColor="text1"/>
          <w:kern w:val="1"/>
          <w:sz w:val="24"/>
        </w:rPr>
        <w:t>物料计，约</w:t>
      </w:r>
      <w:r>
        <w:rPr>
          <w:rFonts w:ascii="Times New Roman" w:eastAsia="宋体" w:hAnsi="Times New Roman" w:cs="Times New Roman"/>
          <w:color w:val="000000" w:themeColor="text1"/>
          <w:kern w:val="1"/>
          <w:sz w:val="24"/>
        </w:rPr>
        <w:t>199.4t/a</w:t>
      </w:r>
      <w:r>
        <w:rPr>
          <w:rFonts w:ascii="Times New Roman" w:eastAsia="宋体" w:hAnsi="Times New Roman" w:cs="Times New Roman"/>
          <w:color w:val="000000" w:themeColor="text1"/>
          <w:kern w:val="1"/>
          <w:sz w:val="24"/>
        </w:rPr>
        <w:t>，备料系统采用布袋收尘措施，布袋除尘效率</w:t>
      </w:r>
      <w:r>
        <w:rPr>
          <w:rFonts w:ascii="Times New Roman" w:eastAsia="宋体" w:hAnsi="Times New Roman" w:cs="Times New Roman"/>
          <w:color w:val="000000" w:themeColor="text1"/>
          <w:kern w:val="1"/>
          <w:sz w:val="24"/>
        </w:rPr>
        <w:t>99%</w:t>
      </w:r>
      <w:r>
        <w:rPr>
          <w:rFonts w:ascii="Times New Roman" w:eastAsia="宋体" w:hAnsi="Times New Roman" w:cs="Times New Roman"/>
          <w:color w:val="000000" w:themeColor="text1"/>
          <w:kern w:val="1"/>
          <w:sz w:val="24"/>
        </w:rPr>
        <w:t>，备料废气排放量</w:t>
      </w:r>
      <w:r>
        <w:rPr>
          <w:rFonts w:ascii="Times New Roman" w:eastAsia="宋体" w:hAnsi="Times New Roman" w:cs="Times New Roman"/>
          <w:color w:val="000000" w:themeColor="text1"/>
          <w:kern w:val="1"/>
          <w:sz w:val="24"/>
        </w:rPr>
        <w:t>7500m</w:t>
      </w:r>
      <w:r>
        <w:rPr>
          <w:rFonts w:ascii="Times New Roman" w:eastAsia="宋体" w:hAnsi="Times New Roman" w:cs="Times New Roman"/>
          <w:color w:val="000000" w:themeColor="text1"/>
          <w:kern w:val="1"/>
          <w:sz w:val="24"/>
          <w:vertAlign w:val="superscript"/>
        </w:rPr>
        <w:t>3</w:t>
      </w:r>
      <w:r>
        <w:rPr>
          <w:rFonts w:ascii="Times New Roman" w:eastAsia="宋体" w:hAnsi="Times New Roman" w:cs="Times New Roman"/>
          <w:color w:val="000000" w:themeColor="text1"/>
          <w:kern w:val="1"/>
          <w:sz w:val="24"/>
        </w:rPr>
        <w:t>/h</w:t>
      </w:r>
      <w:r>
        <w:rPr>
          <w:rFonts w:ascii="Times New Roman" w:eastAsia="宋体" w:hAnsi="Times New Roman" w:cs="Times New Roman"/>
          <w:color w:val="000000" w:themeColor="text1"/>
          <w:kern w:val="1"/>
          <w:sz w:val="24"/>
        </w:rPr>
        <w:t>，经布袋除尘后，颗粒物排放量</w:t>
      </w:r>
      <w:r>
        <w:rPr>
          <w:rFonts w:ascii="Times New Roman" w:eastAsia="宋体" w:hAnsi="Times New Roman" w:cs="Times New Roman"/>
          <w:color w:val="000000" w:themeColor="text1"/>
          <w:kern w:val="1"/>
          <w:sz w:val="24"/>
        </w:rPr>
        <w:t>1.99t/a</w:t>
      </w:r>
      <w:r>
        <w:rPr>
          <w:rFonts w:ascii="Times New Roman" w:eastAsia="宋体" w:hAnsi="Times New Roman" w:cs="Times New Roman"/>
          <w:color w:val="000000" w:themeColor="text1"/>
          <w:kern w:val="1"/>
          <w:sz w:val="24"/>
        </w:rPr>
        <w:t>，约</w:t>
      </w:r>
      <w:r>
        <w:rPr>
          <w:rFonts w:ascii="Times New Roman" w:eastAsia="宋体" w:hAnsi="Times New Roman" w:cs="Times New Roman"/>
          <w:color w:val="000000" w:themeColor="text1"/>
          <w:kern w:val="1"/>
          <w:sz w:val="24"/>
        </w:rPr>
        <w:t>0.276kg/h</w:t>
      </w:r>
      <w:r>
        <w:rPr>
          <w:rFonts w:ascii="Times New Roman" w:eastAsia="宋体" w:hAnsi="Times New Roman" w:cs="Times New Roman"/>
          <w:color w:val="000000" w:themeColor="text1"/>
          <w:kern w:val="1"/>
          <w:sz w:val="24"/>
        </w:rPr>
        <w:t>，废气排放浓度</w:t>
      </w:r>
      <w:r>
        <w:rPr>
          <w:rFonts w:ascii="Times New Roman" w:eastAsia="宋体" w:hAnsi="Times New Roman" w:cs="Times New Roman"/>
          <w:color w:val="000000" w:themeColor="text1"/>
          <w:kern w:val="1"/>
          <w:sz w:val="24"/>
        </w:rPr>
        <w:t>36.8mg/m</w:t>
      </w:r>
      <w:r>
        <w:rPr>
          <w:rFonts w:ascii="Times New Roman" w:eastAsia="宋体" w:hAnsi="Times New Roman" w:cs="Times New Roman"/>
          <w:color w:val="000000" w:themeColor="text1"/>
          <w:kern w:val="1"/>
          <w:sz w:val="24"/>
          <w:vertAlign w:val="superscript"/>
        </w:rPr>
        <w:t>3</w:t>
      </w:r>
      <w:r>
        <w:rPr>
          <w:rFonts w:ascii="Times New Roman" w:eastAsia="宋体" w:hAnsi="Times New Roman" w:cs="Times New Roman"/>
          <w:color w:val="000000" w:themeColor="text1"/>
          <w:kern w:val="1"/>
          <w:sz w:val="24"/>
        </w:rPr>
        <w:t>。能够满足本项目排放要求。</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10</w:t>
      </w:r>
      <w:r>
        <w:rPr>
          <w:rFonts w:ascii="Times New Roman" w:eastAsia="宋体" w:hAnsi="Times New Roman" w:cs="Times New Roman"/>
          <w:color w:val="000000" w:themeColor="text1"/>
          <w:sz w:val="24"/>
        </w:rPr>
        <w:t>）尿基复合肥造粒塔尾气（</w:t>
      </w:r>
      <w:r>
        <w:rPr>
          <w:rFonts w:ascii="Times New Roman" w:eastAsia="宋体" w:hAnsi="Times New Roman" w:cs="Times New Roman"/>
          <w:color w:val="000000" w:themeColor="text1"/>
          <w:sz w:val="24"/>
        </w:rPr>
        <w:t>G11-G14</w:t>
      </w:r>
      <w:r>
        <w:rPr>
          <w:rFonts w:ascii="Times New Roman" w:eastAsia="宋体" w:hAnsi="Times New Roman" w:cs="Times New Roman"/>
          <w:color w:val="000000" w:themeColor="text1"/>
          <w:sz w:val="24"/>
        </w:rPr>
        <w:t>）防治措施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）防治措施</w:t>
      </w:r>
    </w:p>
    <w:p w:rsidR="00C861DA" w:rsidRDefault="0044752E">
      <w:pPr>
        <w:spacing w:line="360" w:lineRule="auto"/>
        <w:ind w:firstLineChars="200" w:firstLine="480"/>
        <w:jc w:val="both"/>
        <w:rPr>
          <w:rFonts w:ascii="Times New Roman" w:eastAsia="宋体" w:hAnsi="Times New Roman" w:cs="Times New Roman"/>
          <w:color w:val="000000" w:themeColor="text1"/>
          <w:kern w:val="1"/>
          <w:sz w:val="24"/>
        </w:rPr>
      </w:pPr>
      <w:r>
        <w:rPr>
          <w:rFonts w:ascii="Times New Roman" w:eastAsia="宋体" w:hAnsi="Times New Roman" w:cs="Times New Roman"/>
          <w:color w:val="000000" w:themeColor="text1"/>
          <w:kern w:val="1"/>
          <w:sz w:val="24"/>
        </w:rPr>
        <w:t>造粒</w:t>
      </w:r>
      <w:r>
        <w:rPr>
          <w:rFonts w:ascii="Times New Roman" w:eastAsia="宋体" w:hAnsi="Times New Roman" w:cs="Times New Roman"/>
          <w:color w:val="000000" w:themeColor="text1"/>
          <w:kern w:val="1"/>
          <w:sz w:val="24"/>
        </w:rPr>
        <w:t>废气有由两部分组成，一部分是造粒塔产品冷却产生的尾气，主要污染物为颗粒物和氨，采取湿法洗涤处理后，经</w:t>
      </w:r>
      <w:r>
        <w:rPr>
          <w:rFonts w:ascii="Times New Roman" w:eastAsia="宋体" w:hAnsi="Times New Roman" w:cs="Times New Roman"/>
          <w:color w:val="000000" w:themeColor="text1"/>
          <w:kern w:val="1"/>
          <w:sz w:val="24"/>
        </w:rPr>
        <w:t>110m</w:t>
      </w:r>
      <w:r>
        <w:rPr>
          <w:rFonts w:ascii="Times New Roman" w:eastAsia="宋体" w:hAnsi="Times New Roman" w:cs="Times New Roman"/>
          <w:color w:val="000000" w:themeColor="text1"/>
          <w:kern w:val="1"/>
          <w:sz w:val="24"/>
        </w:rPr>
        <w:t>高的造粒塔出风口（</w:t>
      </w:r>
      <w:r>
        <w:rPr>
          <w:rFonts w:ascii="Times New Roman" w:eastAsia="宋体" w:hAnsi="Times New Roman" w:cs="Times New Roman"/>
          <w:color w:val="000000" w:themeColor="text1"/>
          <w:kern w:val="1"/>
          <w:sz w:val="24"/>
        </w:rPr>
        <w:t>6#</w:t>
      </w:r>
      <w:r>
        <w:rPr>
          <w:rFonts w:ascii="Times New Roman" w:eastAsia="宋体" w:hAnsi="Times New Roman" w:cs="Times New Roman"/>
          <w:color w:val="000000" w:themeColor="text1"/>
          <w:kern w:val="1"/>
          <w:sz w:val="24"/>
        </w:rPr>
        <w:t>排气口）排放。另一部分是造粒塔内设备产生的废气，主要污染物为颗粒物，经布袋除尘后，再送至造粒塔顶的湿法洗涤系统，经</w:t>
      </w:r>
      <w:r>
        <w:rPr>
          <w:rFonts w:ascii="Times New Roman" w:eastAsia="宋体" w:hAnsi="Times New Roman" w:cs="Times New Roman"/>
          <w:color w:val="000000" w:themeColor="text1"/>
          <w:kern w:val="1"/>
          <w:sz w:val="24"/>
        </w:rPr>
        <w:t>110m</w:t>
      </w:r>
      <w:r>
        <w:rPr>
          <w:rFonts w:ascii="Times New Roman" w:eastAsia="宋体" w:hAnsi="Times New Roman" w:cs="Times New Roman"/>
          <w:color w:val="000000" w:themeColor="text1"/>
          <w:kern w:val="1"/>
          <w:sz w:val="24"/>
        </w:rPr>
        <w:t>高的造粒塔废气排放口（</w:t>
      </w:r>
      <w:r>
        <w:rPr>
          <w:rFonts w:ascii="Times New Roman" w:eastAsia="宋体" w:hAnsi="Times New Roman" w:cs="Times New Roman"/>
          <w:color w:val="000000" w:themeColor="text1"/>
          <w:kern w:val="1"/>
          <w:sz w:val="24"/>
        </w:rPr>
        <w:t>9#</w:t>
      </w:r>
      <w:r>
        <w:rPr>
          <w:rFonts w:ascii="Times New Roman" w:eastAsia="宋体" w:hAnsi="Times New Roman" w:cs="Times New Roman"/>
          <w:color w:val="000000" w:themeColor="text1"/>
          <w:kern w:val="1"/>
          <w:sz w:val="24"/>
        </w:rPr>
        <w:t>排气筒）排放。</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）可行性分析</w:t>
      </w:r>
    </w:p>
    <w:p w:rsidR="00C861DA" w:rsidRDefault="0044752E">
      <w:pPr>
        <w:spacing w:line="360" w:lineRule="auto"/>
        <w:ind w:firstLineChars="200" w:firstLine="480"/>
        <w:jc w:val="both"/>
        <w:rPr>
          <w:rFonts w:ascii="Times New Roman" w:eastAsia="宋体" w:hAnsi="Times New Roman" w:cs="Times New Roman"/>
          <w:color w:val="000000" w:themeColor="text1"/>
          <w:kern w:val="1"/>
          <w:sz w:val="24"/>
        </w:rPr>
      </w:pPr>
      <w:r>
        <w:rPr>
          <w:rFonts w:ascii="Times New Roman" w:eastAsia="宋体" w:hAnsi="Times New Roman" w:cs="Times New Roman"/>
          <w:color w:val="000000" w:themeColor="text1"/>
          <w:kern w:val="1"/>
          <w:sz w:val="24"/>
        </w:rPr>
        <w:t>考《排污许可证申请与核发技术规范（磷肥、钾肥复混肥料、有机肥料及微生物工业）》（</w:t>
      </w:r>
      <w:r>
        <w:rPr>
          <w:rFonts w:ascii="Times New Roman" w:eastAsia="宋体" w:hAnsi="Times New Roman" w:cs="Times New Roman"/>
          <w:color w:val="000000" w:themeColor="text1"/>
          <w:kern w:val="1"/>
          <w:sz w:val="24"/>
        </w:rPr>
        <w:t>HJ864.2018</w:t>
      </w:r>
      <w:r>
        <w:rPr>
          <w:rFonts w:ascii="Times New Roman" w:eastAsia="宋体" w:hAnsi="Times New Roman" w:cs="Times New Roman"/>
          <w:color w:val="000000" w:themeColor="text1"/>
          <w:kern w:val="1"/>
          <w:sz w:val="24"/>
        </w:rPr>
        <w:t>）工业粉尘产污系数为</w:t>
      </w:r>
      <w:r>
        <w:rPr>
          <w:rFonts w:ascii="Times New Roman" w:eastAsia="宋体" w:hAnsi="Times New Roman" w:cs="Times New Roman"/>
          <w:color w:val="000000" w:themeColor="text1"/>
          <w:kern w:val="1"/>
          <w:sz w:val="24"/>
        </w:rPr>
        <w:t>5.60</w:t>
      </w:r>
      <w:r>
        <w:rPr>
          <w:rFonts w:ascii="Times New Roman" w:eastAsia="宋体" w:hAnsi="Times New Roman" w:cs="Times New Roman"/>
          <w:color w:val="000000" w:themeColor="text1"/>
          <w:kern w:val="1"/>
          <w:sz w:val="24"/>
        </w:rPr>
        <w:t>千克</w:t>
      </w:r>
      <w:r>
        <w:rPr>
          <w:rFonts w:ascii="Times New Roman" w:eastAsia="宋体" w:hAnsi="Times New Roman" w:cs="Times New Roman"/>
          <w:color w:val="000000" w:themeColor="text1"/>
          <w:kern w:val="1"/>
          <w:sz w:val="24"/>
        </w:rPr>
        <w:t>/</w:t>
      </w:r>
      <w:r>
        <w:rPr>
          <w:rFonts w:ascii="Times New Roman" w:eastAsia="宋体" w:hAnsi="Times New Roman" w:cs="Times New Roman"/>
          <w:color w:val="000000" w:themeColor="text1"/>
          <w:kern w:val="1"/>
          <w:sz w:val="24"/>
        </w:rPr>
        <w:t>吨</w:t>
      </w:r>
      <w:r>
        <w:rPr>
          <w:rFonts w:ascii="Times New Roman" w:eastAsia="宋体" w:hAnsi="Times New Roman" w:cs="Times New Roman"/>
          <w:color w:val="000000" w:themeColor="text1"/>
          <w:kern w:val="1"/>
          <w:sz w:val="24"/>
        </w:rPr>
        <w:t>-</w:t>
      </w:r>
      <w:r>
        <w:rPr>
          <w:rFonts w:ascii="Times New Roman" w:eastAsia="宋体" w:hAnsi="Times New Roman" w:cs="Times New Roman"/>
          <w:color w:val="000000" w:themeColor="text1"/>
          <w:kern w:val="1"/>
          <w:sz w:val="24"/>
        </w:rPr>
        <w:t>产品，氨产污系数为</w:t>
      </w:r>
      <w:r>
        <w:rPr>
          <w:rFonts w:ascii="Times New Roman" w:eastAsia="宋体" w:hAnsi="Times New Roman" w:cs="Times New Roman"/>
          <w:color w:val="000000" w:themeColor="text1"/>
          <w:kern w:val="1"/>
          <w:sz w:val="24"/>
        </w:rPr>
        <w:t>1.2</w:t>
      </w:r>
      <w:r>
        <w:rPr>
          <w:rFonts w:ascii="Times New Roman" w:eastAsia="宋体" w:hAnsi="Times New Roman" w:cs="Times New Roman"/>
          <w:color w:val="000000" w:themeColor="text1"/>
          <w:kern w:val="1"/>
          <w:sz w:val="24"/>
        </w:rPr>
        <w:t>千克</w:t>
      </w:r>
      <w:r>
        <w:rPr>
          <w:rFonts w:ascii="Times New Roman" w:eastAsia="宋体" w:hAnsi="Times New Roman" w:cs="Times New Roman"/>
          <w:color w:val="000000" w:themeColor="text1"/>
          <w:kern w:val="1"/>
          <w:sz w:val="24"/>
        </w:rPr>
        <w:t>/</w:t>
      </w:r>
      <w:r>
        <w:rPr>
          <w:rFonts w:ascii="Times New Roman" w:eastAsia="宋体" w:hAnsi="Times New Roman" w:cs="Times New Roman"/>
          <w:color w:val="000000" w:themeColor="text1"/>
          <w:kern w:val="1"/>
          <w:sz w:val="24"/>
        </w:rPr>
        <w:t>吨</w:t>
      </w:r>
      <w:r>
        <w:rPr>
          <w:rFonts w:ascii="Times New Roman" w:eastAsia="宋体" w:hAnsi="Times New Roman" w:cs="Times New Roman"/>
          <w:color w:val="000000" w:themeColor="text1"/>
          <w:kern w:val="1"/>
          <w:sz w:val="24"/>
        </w:rPr>
        <w:t>-</w:t>
      </w:r>
      <w:r>
        <w:rPr>
          <w:rFonts w:ascii="Times New Roman" w:eastAsia="宋体" w:hAnsi="Times New Roman" w:cs="Times New Roman"/>
          <w:color w:val="000000" w:themeColor="text1"/>
          <w:kern w:val="1"/>
          <w:sz w:val="24"/>
        </w:rPr>
        <w:t>产品。本项目尿基有机复合肥产量</w:t>
      </w:r>
      <w:r>
        <w:rPr>
          <w:rFonts w:ascii="Times New Roman" w:eastAsia="宋体" w:hAnsi="Times New Roman" w:cs="Times New Roman"/>
          <w:color w:val="000000" w:themeColor="text1"/>
          <w:kern w:val="1"/>
          <w:sz w:val="24"/>
        </w:rPr>
        <w:t>50</w:t>
      </w:r>
      <w:r>
        <w:rPr>
          <w:rFonts w:ascii="Times New Roman" w:eastAsia="宋体" w:hAnsi="Times New Roman" w:cs="Times New Roman"/>
          <w:color w:val="000000" w:themeColor="text1"/>
          <w:kern w:val="1"/>
          <w:sz w:val="24"/>
        </w:rPr>
        <w:t>万吨</w:t>
      </w:r>
      <w:r>
        <w:rPr>
          <w:rFonts w:ascii="Times New Roman" w:eastAsia="宋体" w:hAnsi="Times New Roman" w:cs="Times New Roman"/>
          <w:color w:val="000000" w:themeColor="text1"/>
          <w:kern w:val="1"/>
          <w:sz w:val="24"/>
        </w:rPr>
        <w:t>/</w:t>
      </w:r>
      <w:r>
        <w:rPr>
          <w:rFonts w:ascii="Times New Roman" w:eastAsia="宋体" w:hAnsi="Times New Roman" w:cs="Times New Roman"/>
          <w:color w:val="000000" w:themeColor="text1"/>
          <w:kern w:val="1"/>
          <w:sz w:val="24"/>
        </w:rPr>
        <w:t>年，预计尿基复合有机肥造粒废气颗粒物产生量</w:t>
      </w:r>
      <w:r>
        <w:rPr>
          <w:rFonts w:ascii="Times New Roman" w:eastAsia="宋体" w:hAnsi="Times New Roman" w:cs="Times New Roman"/>
          <w:color w:val="000000" w:themeColor="text1"/>
          <w:kern w:val="1"/>
          <w:sz w:val="24"/>
        </w:rPr>
        <w:t>2800t/a</w:t>
      </w:r>
      <w:r>
        <w:rPr>
          <w:rFonts w:ascii="Times New Roman" w:eastAsia="宋体" w:hAnsi="Times New Roman" w:cs="Times New Roman"/>
          <w:color w:val="000000" w:themeColor="text1"/>
          <w:kern w:val="1"/>
          <w:sz w:val="24"/>
        </w:rPr>
        <w:t>，氨产生量</w:t>
      </w:r>
      <w:r>
        <w:rPr>
          <w:rFonts w:ascii="Times New Roman" w:eastAsia="宋体" w:hAnsi="Times New Roman" w:cs="Times New Roman"/>
          <w:color w:val="000000" w:themeColor="text1"/>
          <w:kern w:val="1"/>
          <w:sz w:val="24"/>
        </w:rPr>
        <w:t>600t/a</w:t>
      </w:r>
      <w:r>
        <w:rPr>
          <w:rFonts w:ascii="Times New Roman" w:eastAsia="宋体" w:hAnsi="Times New Roman" w:cs="Times New Roman"/>
          <w:color w:val="000000" w:themeColor="text1"/>
          <w:kern w:val="1"/>
          <w:sz w:val="24"/>
        </w:rPr>
        <w:t>。废气经布袋除尘和湿法洗涤后，经由</w:t>
      </w:r>
      <w:r>
        <w:rPr>
          <w:rFonts w:ascii="Times New Roman" w:eastAsia="宋体" w:hAnsi="Times New Roman" w:cs="Times New Roman"/>
          <w:color w:val="000000" w:themeColor="text1"/>
          <w:kern w:val="1"/>
          <w:sz w:val="24"/>
        </w:rPr>
        <w:t>110m</w:t>
      </w:r>
      <w:r>
        <w:rPr>
          <w:rFonts w:ascii="Times New Roman" w:eastAsia="宋体" w:hAnsi="Times New Roman" w:cs="Times New Roman"/>
          <w:color w:val="000000" w:themeColor="text1"/>
          <w:kern w:val="1"/>
          <w:sz w:val="24"/>
        </w:rPr>
        <w:t>高的造粒塔顶排气筒（</w:t>
      </w:r>
      <w:r>
        <w:rPr>
          <w:rFonts w:ascii="Times New Roman" w:eastAsia="宋体" w:hAnsi="Times New Roman" w:cs="Times New Roman"/>
          <w:color w:val="000000" w:themeColor="text1"/>
          <w:kern w:val="1"/>
          <w:sz w:val="24"/>
        </w:rPr>
        <w:t>9#</w:t>
      </w:r>
      <w:r>
        <w:rPr>
          <w:rFonts w:ascii="Times New Roman" w:eastAsia="宋体" w:hAnsi="Times New Roman" w:cs="Times New Roman"/>
          <w:color w:val="000000" w:themeColor="text1"/>
          <w:kern w:val="1"/>
          <w:sz w:val="24"/>
        </w:rPr>
        <w:t>排气口）排放，废气排放量</w:t>
      </w:r>
      <w:r>
        <w:rPr>
          <w:rFonts w:ascii="Times New Roman" w:eastAsia="宋体" w:hAnsi="Times New Roman" w:cs="Times New Roman"/>
          <w:color w:val="000000" w:themeColor="text1"/>
          <w:kern w:val="1"/>
          <w:sz w:val="24"/>
        </w:rPr>
        <w:t>125000m</w:t>
      </w:r>
      <w:r>
        <w:rPr>
          <w:rFonts w:ascii="Times New Roman" w:eastAsia="宋体" w:hAnsi="Times New Roman" w:cs="Times New Roman"/>
          <w:color w:val="000000" w:themeColor="text1"/>
          <w:kern w:val="1"/>
          <w:sz w:val="24"/>
          <w:vertAlign w:val="superscript"/>
        </w:rPr>
        <w:t>3</w:t>
      </w:r>
      <w:r>
        <w:rPr>
          <w:rFonts w:ascii="Times New Roman" w:eastAsia="宋体" w:hAnsi="Times New Roman" w:cs="Times New Roman"/>
          <w:color w:val="000000" w:themeColor="text1"/>
          <w:kern w:val="1"/>
          <w:sz w:val="24"/>
        </w:rPr>
        <w:t>/h</w:t>
      </w:r>
      <w:r>
        <w:rPr>
          <w:rFonts w:ascii="Times New Roman" w:eastAsia="宋体" w:hAnsi="Times New Roman" w:cs="Times New Roman"/>
          <w:color w:val="000000" w:themeColor="text1"/>
          <w:kern w:val="1"/>
          <w:sz w:val="24"/>
        </w:rPr>
        <w:t>。废气除尘效率以</w:t>
      </w:r>
      <w:r>
        <w:rPr>
          <w:rFonts w:ascii="Times New Roman" w:eastAsia="宋体" w:hAnsi="Times New Roman" w:cs="Times New Roman"/>
          <w:color w:val="000000" w:themeColor="text1"/>
          <w:kern w:val="1"/>
          <w:sz w:val="24"/>
        </w:rPr>
        <w:t>99%</w:t>
      </w:r>
      <w:r>
        <w:rPr>
          <w:rFonts w:ascii="Times New Roman" w:eastAsia="宋体" w:hAnsi="Times New Roman" w:cs="Times New Roman"/>
          <w:color w:val="000000" w:themeColor="text1"/>
          <w:kern w:val="1"/>
          <w:sz w:val="24"/>
        </w:rPr>
        <w:t>计，湿法洗涤氨去除效率以</w:t>
      </w:r>
      <w:r>
        <w:rPr>
          <w:rFonts w:ascii="Times New Roman" w:eastAsia="宋体" w:hAnsi="Times New Roman" w:cs="Times New Roman"/>
          <w:color w:val="000000" w:themeColor="text1"/>
          <w:kern w:val="1"/>
          <w:sz w:val="24"/>
        </w:rPr>
        <w:t>95%</w:t>
      </w:r>
      <w:r>
        <w:rPr>
          <w:rFonts w:ascii="Times New Roman" w:eastAsia="宋体" w:hAnsi="Times New Roman" w:cs="Times New Roman"/>
          <w:color w:val="000000" w:themeColor="text1"/>
          <w:kern w:val="1"/>
          <w:sz w:val="24"/>
        </w:rPr>
        <w:t>，计，预计造粒废气经布袋除尘和湿法洗涤后，废气中颗粒物排放量</w:t>
      </w:r>
      <w:r>
        <w:rPr>
          <w:rFonts w:ascii="Times New Roman" w:eastAsia="宋体" w:hAnsi="Times New Roman" w:cs="Times New Roman"/>
          <w:color w:val="000000" w:themeColor="text1"/>
          <w:kern w:val="1"/>
          <w:sz w:val="24"/>
        </w:rPr>
        <w:t>28t/a</w:t>
      </w:r>
      <w:r>
        <w:rPr>
          <w:rFonts w:ascii="Times New Roman" w:eastAsia="宋体" w:hAnsi="Times New Roman" w:cs="Times New Roman"/>
          <w:color w:val="000000" w:themeColor="text1"/>
          <w:kern w:val="1"/>
          <w:sz w:val="24"/>
        </w:rPr>
        <w:t>，约</w:t>
      </w:r>
      <w:r>
        <w:rPr>
          <w:rFonts w:ascii="Times New Roman" w:eastAsia="宋体" w:hAnsi="Times New Roman" w:cs="Times New Roman"/>
          <w:color w:val="000000" w:themeColor="text1"/>
          <w:kern w:val="1"/>
          <w:sz w:val="24"/>
        </w:rPr>
        <w:t>3.89kg/h</w:t>
      </w:r>
      <w:r>
        <w:rPr>
          <w:rFonts w:ascii="Times New Roman" w:eastAsia="宋体" w:hAnsi="Times New Roman" w:cs="Times New Roman"/>
          <w:color w:val="000000" w:themeColor="text1"/>
          <w:kern w:val="1"/>
          <w:sz w:val="24"/>
        </w:rPr>
        <w:t>，排放浓度</w:t>
      </w:r>
      <w:r>
        <w:rPr>
          <w:rFonts w:ascii="Times New Roman" w:eastAsia="宋体" w:hAnsi="Times New Roman" w:cs="Times New Roman"/>
          <w:color w:val="000000" w:themeColor="text1"/>
          <w:kern w:val="1"/>
          <w:sz w:val="24"/>
        </w:rPr>
        <w:t>31.12mg/m</w:t>
      </w:r>
      <w:r>
        <w:rPr>
          <w:rFonts w:ascii="Times New Roman" w:eastAsia="宋体" w:hAnsi="Times New Roman" w:cs="Times New Roman"/>
          <w:color w:val="000000" w:themeColor="text1"/>
          <w:kern w:val="1"/>
          <w:sz w:val="24"/>
          <w:vertAlign w:val="superscript"/>
        </w:rPr>
        <w:t>3</w:t>
      </w:r>
      <w:r>
        <w:rPr>
          <w:rFonts w:ascii="Times New Roman" w:eastAsia="宋体" w:hAnsi="Times New Roman" w:cs="Times New Roman"/>
          <w:color w:val="000000" w:themeColor="text1"/>
          <w:kern w:val="1"/>
          <w:sz w:val="24"/>
        </w:rPr>
        <w:t>；氨排放量</w:t>
      </w:r>
      <w:r>
        <w:rPr>
          <w:rFonts w:ascii="Times New Roman" w:eastAsia="宋体" w:hAnsi="Times New Roman" w:cs="Times New Roman"/>
          <w:color w:val="000000" w:themeColor="text1"/>
          <w:kern w:val="1"/>
          <w:sz w:val="24"/>
        </w:rPr>
        <w:t>30t/a</w:t>
      </w:r>
      <w:r>
        <w:rPr>
          <w:rFonts w:ascii="Times New Roman" w:eastAsia="宋体" w:hAnsi="Times New Roman" w:cs="Times New Roman"/>
          <w:color w:val="000000" w:themeColor="text1"/>
          <w:kern w:val="1"/>
          <w:sz w:val="24"/>
        </w:rPr>
        <w:t>，约</w:t>
      </w:r>
      <w:r>
        <w:rPr>
          <w:rFonts w:ascii="Times New Roman" w:eastAsia="宋体" w:hAnsi="Times New Roman" w:cs="Times New Roman"/>
          <w:color w:val="000000" w:themeColor="text1"/>
          <w:kern w:val="1"/>
          <w:sz w:val="24"/>
        </w:rPr>
        <w:t>4.17kg/h</w:t>
      </w:r>
      <w:r>
        <w:rPr>
          <w:rFonts w:ascii="Times New Roman" w:eastAsia="宋体" w:hAnsi="Times New Roman" w:cs="Times New Roman"/>
          <w:color w:val="000000" w:themeColor="text1"/>
          <w:kern w:val="1"/>
          <w:sz w:val="24"/>
        </w:rPr>
        <w:t>，排放浓度</w:t>
      </w:r>
      <w:r>
        <w:rPr>
          <w:rFonts w:ascii="Times New Roman" w:eastAsia="宋体" w:hAnsi="Times New Roman" w:cs="Times New Roman"/>
          <w:color w:val="000000" w:themeColor="text1"/>
          <w:kern w:val="1"/>
          <w:sz w:val="24"/>
        </w:rPr>
        <w:t>33.36mg/m</w:t>
      </w:r>
      <w:r>
        <w:rPr>
          <w:rFonts w:ascii="Times New Roman" w:eastAsia="宋体" w:hAnsi="Times New Roman" w:cs="Times New Roman"/>
          <w:color w:val="000000" w:themeColor="text1"/>
          <w:kern w:val="1"/>
          <w:sz w:val="24"/>
          <w:vertAlign w:val="superscript"/>
        </w:rPr>
        <w:t>3</w:t>
      </w:r>
      <w:r>
        <w:rPr>
          <w:rFonts w:ascii="Times New Roman" w:eastAsia="宋体" w:hAnsi="Times New Roman" w:cs="Times New Roman"/>
          <w:color w:val="000000" w:themeColor="text1"/>
          <w:kern w:val="1"/>
          <w:sz w:val="24"/>
        </w:rPr>
        <w:t>。能够满足本项目要求。</w:t>
      </w:r>
    </w:p>
    <w:p w:rsidR="00C861DA" w:rsidRDefault="0044752E">
      <w:pPr>
        <w:spacing w:line="360" w:lineRule="auto"/>
        <w:ind w:firstLineChars="200" w:firstLine="482"/>
        <w:jc w:val="both"/>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w:t>
      </w:r>
      <w:r>
        <w:rPr>
          <w:rFonts w:ascii="Times New Roman" w:eastAsia="宋体" w:hAnsi="Times New Roman" w:cs="Times New Roman"/>
          <w:b/>
          <w:color w:val="000000" w:themeColor="text1"/>
          <w:sz w:val="24"/>
        </w:rPr>
        <w:t>11</w:t>
      </w:r>
      <w:r>
        <w:rPr>
          <w:rFonts w:ascii="Times New Roman" w:eastAsia="宋体" w:hAnsi="Times New Roman" w:cs="Times New Roman"/>
          <w:b/>
          <w:color w:val="000000" w:themeColor="text1"/>
          <w:sz w:val="24"/>
        </w:rPr>
        <w:t>）无组织废气</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本项目无组织排放的大气污染物主要有：</w:t>
      </w:r>
      <w:r>
        <w:rPr>
          <w:rFonts w:ascii="Times New Roman" w:eastAsia="宋体" w:hAnsi="Times New Roman" w:cs="Times New Roman" w:hint="eastAsia"/>
          <w:color w:val="000000" w:themeColor="text1"/>
          <w:sz w:val="24"/>
        </w:rPr>
        <w:t>各个生产装置管道跑冒滴漏导致的氨、硝酸和颗粒物无组织排放</w:t>
      </w:r>
      <w:r>
        <w:rPr>
          <w:rFonts w:ascii="Times New Roman" w:eastAsia="宋体" w:hAnsi="Times New Roman" w:cs="Times New Roman"/>
          <w:color w:val="000000" w:themeColor="text1"/>
          <w:sz w:val="24"/>
        </w:rPr>
        <w:t>，本环评仅对生产过程中的无组织排放提出相应的环境保护要求。</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l</w:t>
      </w:r>
      <w:r>
        <w:rPr>
          <w:rFonts w:ascii="Times New Roman" w:eastAsia="宋体" w:hAnsi="Times New Roman" w:cs="Times New Roman"/>
          <w:color w:val="000000" w:themeColor="text1"/>
          <w:sz w:val="24"/>
        </w:rPr>
        <w:t>、为减少投料过程中粉尘排放，</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投料器内保持微负压。</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、原辅材料在装卸、搬运的过程中应谨慎，</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尽量减少废气的无组织排放。</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、原料输送尽可能采用密闭的输送带输送。</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、定期检修压力容器及输送管道。</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综上所述，在确保严格采取以上有效措施后，项目大气污染物排放量小，</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大气污染物不会对周围环境造成明显影响。</w:t>
      </w:r>
    </w:p>
    <w:p w:rsidR="00C861DA" w:rsidRDefault="0044752E">
      <w:pPr>
        <w:pStyle w:val="32"/>
        <w:rPr>
          <w:rFonts w:ascii="Times New Roman" w:eastAsia="宋体"/>
          <w:bCs w:val="0"/>
          <w:color w:val="000000" w:themeColor="text1"/>
          <w:sz w:val="24"/>
          <w:szCs w:val="24"/>
        </w:rPr>
      </w:pPr>
      <w:bookmarkStart w:id="668" w:name="_Toc6826926"/>
      <w:r>
        <w:rPr>
          <w:rFonts w:ascii="Times New Roman" w:eastAsia="宋体"/>
          <w:bCs w:val="0"/>
          <w:color w:val="000000" w:themeColor="text1"/>
          <w:sz w:val="24"/>
          <w:szCs w:val="24"/>
        </w:rPr>
        <w:t>10.2.2</w:t>
      </w:r>
      <w:r>
        <w:rPr>
          <w:rFonts w:ascii="Times New Roman" w:eastAsia="宋体" w:hint="eastAsia"/>
          <w:bCs w:val="0"/>
          <w:color w:val="000000" w:themeColor="text1"/>
          <w:sz w:val="24"/>
          <w:szCs w:val="24"/>
        </w:rPr>
        <w:t>废水</w:t>
      </w:r>
      <w:r>
        <w:rPr>
          <w:rFonts w:ascii="Times New Roman" w:eastAsia="宋体"/>
          <w:bCs w:val="0"/>
          <w:color w:val="000000" w:themeColor="text1"/>
          <w:sz w:val="24"/>
          <w:szCs w:val="24"/>
        </w:rPr>
        <w:t>污染防治措施</w:t>
      </w:r>
      <w:bookmarkEnd w:id="668"/>
    </w:p>
    <w:p w:rsidR="00C861DA" w:rsidRDefault="0044752E">
      <w:pPr>
        <w:pStyle w:val="21"/>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生活废水依托“</w:t>
      </w:r>
      <w:r>
        <w:rPr>
          <w:rFonts w:ascii="Times New Roman" w:eastAsia="宋体" w:hAnsi="Times New Roman" w:cs="Times New Roman" w:hint="eastAsia"/>
          <w:color w:val="000000" w:themeColor="text1"/>
          <w:sz w:val="24"/>
        </w:rPr>
        <w:t>3</w:t>
      </w:r>
      <w:r>
        <w:rPr>
          <w:rFonts w:ascii="Times New Roman" w:eastAsia="宋体" w:hAnsi="Times New Roman" w:cs="Times New Roman"/>
          <w:color w:val="000000" w:themeColor="text1"/>
          <w:sz w:val="24"/>
        </w:rPr>
        <w:t>0</w:t>
      </w:r>
      <w:r>
        <w:rPr>
          <w:rFonts w:ascii="Times New Roman" w:eastAsia="宋体" w:hAnsi="Times New Roman" w:cs="Times New Roman" w:hint="eastAsia"/>
          <w:color w:val="000000" w:themeColor="text1"/>
          <w:sz w:val="24"/>
        </w:rPr>
        <w:t>万吨合成氨装置项目”生活废水处理站处置达标后用于绿化，生产废水收集与生产废水收集池并输送至祥丰金麦有限公司湿法球磨站作为补充用水。</w:t>
      </w:r>
    </w:p>
    <w:p w:rsidR="00C861DA" w:rsidRDefault="0044752E">
      <w:pPr>
        <w:pStyle w:val="32"/>
        <w:rPr>
          <w:rFonts w:ascii="Times New Roman" w:eastAsia="宋体"/>
          <w:bCs w:val="0"/>
          <w:color w:val="000000" w:themeColor="text1"/>
          <w:sz w:val="24"/>
          <w:szCs w:val="24"/>
        </w:rPr>
      </w:pPr>
      <w:bookmarkStart w:id="669" w:name="_Toc6826927"/>
      <w:r>
        <w:rPr>
          <w:rFonts w:ascii="Times New Roman" w:eastAsia="宋体"/>
          <w:bCs w:val="0"/>
          <w:color w:val="000000" w:themeColor="text1"/>
          <w:sz w:val="24"/>
          <w:szCs w:val="24"/>
        </w:rPr>
        <w:t>10.2.3</w:t>
      </w:r>
      <w:r>
        <w:rPr>
          <w:rFonts w:ascii="Times New Roman" w:eastAsia="宋体" w:hint="eastAsia"/>
          <w:bCs w:val="0"/>
          <w:color w:val="000000" w:themeColor="text1"/>
          <w:sz w:val="24"/>
          <w:szCs w:val="24"/>
        </w:rPr>
        <w:t>噪声</w:t>
      </w:r>
      <w:r>
        <w:rPr>
          <w:rFonts w:ascii="Times New Roman" w:eastAsia="宋体"/>
          <w:bCs w:val="0"/>
          <w:color w:val="000000" w:themeColor="text1"/>
          <w:sz w:val="24"/>
          <w:szCs w:val="24"/>
        </w:rPr>
        <w:t>污染防治措施</w:t>
      </w:r>
      <w:bookmarkEnd w:id="669"/>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为减轻噪声对环境的影响，</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应从声源、传播途径等方面采取相应的措施。在进行车间总体布局时，应充分利用厂房进行设备隔声；</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在订购主要生产设备时应向生产厂家提出明确的限噪要求；</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在安装调试阶段应严格把关，提高安装精度；对声源上无法防治的噪声应采取有效的隔声、吸声和减振措施，对声功率级较强的生产设备加装隔声罩或消声器；</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对各种汽、水、通风管道应进行合理设计布置，考虑采取隔振和减振等措施来降低空气动力性噪声。本项目在设计中主要采取以下防噪声措施：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l </w:t>
      </w:r>
      <w:r>
        <w:rPr>
          <w:rFonts w:ascii="Times New Roman" w:eastAsia="宋体" w:hAnsi="Times New Roman" w:cs="Times New Roman"/>
          <w:color w:val="000000" w:themeColor="text1"/>
          <w:sz w:val="24"/>
          <w:szCs w:val="24"/>
        </w:rPr>
        <w:t>、选用低噪的风机、水泵等。</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2 </w:t>
      </w:r>
      <w:r>
        <w:rPr>
          <w:rFonts w:ascii="Times New Roman" w:eastAsia="宋体" w:hAnsi="Times New Roman" w:cs="Times New Roman"/>
          <w:color w:val="000000" w:themeColor="text1"/>
          <w:sz w:val="24"/>
          <w:szCs w:val="24"/>
        </w:rPr>
        <w:t>、各类泵、风机均建有良好隔声效果的站房或隔声罩。</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3 </w:t>
      </w:r>
      <w:r>
        <w:rPr>
          <w:rFonts w:ascii="Times New Roman" w:eastAsia="宋体" w:hAnsi="Times New Roman" w:cs="Times New Roman"/>
          <w:color w:val="000000" w:themeColor="text1"/>
          <w:sz w:val="24"/>
          <w:szCs w:val="24"/>
        </w:rPr>
        <w:t>、对风机进行隔声和减霞处理。</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、加强厂区绿化，以起到美化环境，</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隔声和防尘作用。</w:t>
      </w:r>
    </w:p>
    <w:p w:rsidR="00C861DA" w:rsidRDefault="0044752E">
      <w:pPr>
        <w:pStyle w:val="32"/>
        <w:rPr>
          <w:rFonts w:ascii="Times New Roman" w:eastAsia="宋体"/>
          <w:bCs w:val="0"/>
          <w:color w:val="000000" w:themeColor="text1"/>
          <w:sz w:val="24"/>
          <w:szCs w:val="24"/>
        </w:rPr>
      </w:pPr>
      <w:bookmarkStart w:id="670" w:name="_Toc6826928"/>
      <w:r>
        <w:rPr>
          <w:rFonts w:ascii="Times New Roman" w:eastAsia="宋体"/>
          <w:bCs w:val="0"/>
          <w:color w:val="000000" w:themeColor="text1"/>
          <w:sz w:val="24"/>
          <w:szCs w:val="24"/>
        </w:rPr>
        <w:t>10.2.4</w:t>
      </w:r>
      <w:r>
        <w:rPr>
          <w:rFonts w:ascii="Times New Roman" w:eastAsia="宋体" w:hint="eastAsia"/>
          <w:bCs w:val="0"/>
          <w:color w:val="000000" w:themeColor="text1"/>
          <w:sz w:val="24"/>
          <w:szCs w:val="24"/>
        </w:rPr>
        <w:t>固体废物</w:t>
      </w:r>
      <w:r>
        <w:rPr>
          <w:rFonts w:ascii="Times New Roman" w:eastAsia="宋体"/>
          <w:bCs w:val="0"/>
          <w:color w:val="000000" w:themeColor="text1"/>
          <w:sz w:val="24"/>
          <w:szCs w:val="24"/>
        </w:rPr>
        <w:t>污染防治措施</w:t>
      </w:r>
      <w:bookmarkEnd w:id="670"/>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本项目生活垃圾由环卫部门统一清运处置。工艺尾气处理装置收集下来的粉尘，其均是生产肥料的原料，</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回用到造粒系统，循环利用。本项目主要原料采用袋装，包装过程中产生的废包装袋，由专业</w:t>
      </w:r>
      <w:r>
        <w:rPr>
          <w:rFonts w:ascii="Times New Roman" w:eastAsia="宋体" w:hAnsi="Times New Roman" w:cs="Times New Roman"/>
          <w:color w:val="000000" w:themeColor="text1"/>
          <w:sz w:val="24"/>
          <w:szCs w:val="24"/>
        </w:rPr>
        <w:t>的包装袋回收企业处理。</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综上所述，</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本项目固体废物均可得到妥善处置不会造成二次污染，</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因此本项目的固体废物处理措施是可行的。</w:t>
      </w:r>
    </w:p>
    <w:p w:rsidR="00C861DA" w:rsidRDefault="0044752E">
      <w:pPr>
        <w:pStyle w:val="32"/>
        <w:rPr>
          <w:rFonts w:ascii="Times New Roman" w:eastAsia="宋体"/>
          <w:bCs w:val="0"/>
          <w:color w:val="000000" w:themeColor="text1"/>
          <w:sz w:val="24"/>
          <w:szCs w:val="24"/>
        </w:rPr>
      </w:pPr>
      <w:bookmarkStart w:id="671" w:name="_Toc6826929"/>
      <w:r>
        <w:rPr>
          <w:rFonts w:ascii="Times New Roman" w:eastAsia="宋体"/>
          <w:bCs w:val="0"/>
          <w:color w:val="000000" w:themeColor="text1"/>
          <w:sz w:val="24"/>
          <w:szCs w:val="24"/>
        </w:rPr>
        <w:t>10.2.5</w:t>
      </w:r>
      <w:r>
        <w:rPr>
          <w:rFonts w:ascii="Times New Roman" w:eastAsia="宋体" w:hint="eastAsia"/>
          <w:bCs w:val="0"/>
          <w:color w:val="000000" w:themeColor="text1"/>
          <w:sz w:val="24"/>
          <w:szCs w:val="24"/>
        </w:rPr>
        <w:t>地下水</w:t>
      </w:r>
      <w:r>
        <w:rPr>
          <w:rFonts w:ascii="Times New Roman" w:eastAsia="宋体"/>
          <w:bCs w:val="0"/>
          <w:color w:val="000000" w:themeColor="text1"/>
          <w:sz w:val="24"/>
          <w:szCs w:val="24"/>
        </w:rPr>
        <w:t>污染防治措施</w:t>
      </w:r>
      <w:bookmarkEnd w:id="671"/>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为防止工程实施对区域地下水环境造成污染，本评价要求，从原料和产品储存、生产过程、污染处理等全过程控制各种有毒有害原辅材料、中间材料泄漏（含跑、冒、滴、漏），同时对有害物质可能泄漏到地面的区域采取防渗措施，阻止其渗入地下水中，即从源头到末端全方位采取控制措施。</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）防治原则</w:t>
      </w:r>
    </w:p>
    <w:p w:rsidR="00C861DA" w:rsidRDefault="0044752E">
      <w:pPr>
        <w:spacing w:line="360" w:lineRule="auto"/>
        <w:ind w:firstLineChars="200" w:firstLine="480"/>
        <w:jc w:val="both"/>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地下水污染防治措施坚持</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源头控制、末端防治</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相结合的原则，即采取主动控制和被动控制相结合的措施。</w:t>
      </w:r>
    </w:p>
    <w:p w:rsidR="00C861DA" w:rsidRDefault="0044752E">
      <w:pPr>
        <w:spacing w:line="360" w:lineRule="auto"/>
        <w:ind w:firstLineChars="200" w:firstLine="480"/>
        <w:jc w:val="both"/>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1</w:t>
      </w:r>
      <w:r>
        <w:rPr>
          <w:rFonts w:ascii="Times New Roman" w:eastAsia="宋体" w:hAnsi="Times New Roman" w:cs="Times New Roman"/>
          <w:color w:val="000000" w:themeColor="text1"/>
          <w:kern w:val="0"/>
          <w:sz w:val="24"/>
          <w:szCs w:val="24"/>
        </w:rPr>
        <w:t>）主动控制，分区防渗</w:t>
      </w:r>
    </w:p>
    <w:p w:rsidR="00C861DA" w:rsidRDefault="0044752E">
      <w:pPr>
        <w:spacing w:line="360" w:lineRule="auto"/>
        <w:ind w:firstLineChars="200" w:firstLine="480"/>
        <w:jc w:val="both"/>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从源头控制，包括对生产装置区、罐区、事故池等构筑物采取防渗措施，防止和降低污染物跑、冒、滴、漏，</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将污染物泄漏的环境风险事故降到最低程度。</w:t>
      </w:r>
    </w:p>
    <w:p w:rsidR="00C861DA" w:rsidRDefault="0044752E">
      <w:pPr>
        <w:spacing w:line="360" w:lineRule="auto"/>
        <w:ind w:firstLineChars="200" w:firstLine="480"/>
        <w:jc w:val="both"/>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在企业的总体布局上，严格区分污染防治区和非污染防治区。其中，非污染防治区主要指没有物料或污染物泄漏，不会对地下水环境造成污染的区域或部位，</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如配套建设的</w:t>
      </w:r>
      <w:r>
        <w:rPr>
          <w:rFonts w:ascii="Times New Roman" w:eastAsia="宋体" w:hAnsi="Times New Roman" w:cs="Times New Roman" w:hint="eastAsia"/>
          <w:color w:val="000000" w:themeColor="text1"/>
          <w:kern w:val="0"/>
          <w:sz w:val="24"/>
          <w:szCs w:val="24"/>
        </w:rPr>
        <w:t>配电间等</w:t>
      </w:r>
      <w:r>
        <w:rPr>
          <w:rFonts w:ascii="Times New Roman" w:eastAsia="宋体" w:hAnsi="Times New Roman" w:cs="Times New Roman"/>
          <w:color w:val="000000" w:themeColor="text1"/>
          <w:kern w:val="0"/>
          <w:sz w:val="24"/>
          <w:szCs w:val="24"/>
        </w:rPr>
        <w:t>。</w:t>
      </w:r>
    </w:p>
    <w:p w:rsidR="00C861DA" w:rsidRDefault="0044752E">
      <w:pPr>
        <w:spacing w:line="360" w:lineRule="auto"/>
        <w:ind w:firstLineChars="200" w:firstLine="480"/>
        <w:jc w:val="both"/>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污染防治区分为一般污染防治区和重点污染防治区。其中，一般污染防治区是指危害性相对较小的</w:t>
      </w:r>
      <w:r>
        <w:rPr>
          <w:rFonts w:ascii="Times New Roman" w:eastAsia="宋体" w:hAnsi="Times New Roman" w:cs="Times New Roman"/>
          <w:color w:val="000000" w:themeColor="text1"/>
          <w:kern w:val="0"/>
          <w:sz w:val="24"/>
          <w:szCs w:val="24"/>
        </w:rPr>
        <w:t>生产装置区、仓库区；</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重点污染防治区是指物料危害性大、对地下水环境隐患大的生产区域，</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包括原料罐区、污水处理站以及污水输送管沟。</w:t>
      </w:r>
    </w:p>
    <w:p w:rsidR="00C861DA" w:rsidRDefault="0044752E">
      <w:pPr>
        <w:pStyle w:val="21"/>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本项目分区情况见附图</w:t>
      </w:r>
      <w:r>
        <w:rPr>
          <w:rFonts w:ascii="Times New Roman" w:eastAsia="宋体" w:hAnsi="Times New Roman" w:cs="Times New Roman" w:hint="eastAsia"/>
          <w:color w:val="000000" w:themeColor="text1"/>
          <w:kern w:val="0"/>
          <w:sz w:val="24"/>
          <w:szCs w:val="24"/>
        </w:rPr>
        <w:t>5</w:t>
      </w:r>
      <w:r>
        <w:rPr>
          <w:rFonts w:ascii="Times New Roman" w:eastAsia="宋体" w:hAnsi="Times New Roman" w:cs="Times New Roman" w:hint="eastAsia"/>
          <w:color w:val="000000" w:themeColor="text1"/>
          <w:kern w:val="0"/>
          <w:sz w:val="24"/>
          <w:szCs w:val="24"/>
        </w:rPr>
        <w:t>分区防渗图。</w:t>
      </w:r>
    </w:p>
    <w:p w:rsidR="00C861DA" w:rsidRDefault="00C861DA">
      <w:pPr>
        <w:pStyle w:val="21"/>
        <w:rPr>
          <w:color w:val="000000" w:themeColor="text1"/>
        </w:rPr>
      </w:pPr>
    </w:p>
    <w:p w:rsidR="00C861DA" w:rsidRDefault="0044752E">
      <w:pPr>
        <w:spacing w:line="360" w:lineRule="auto"/>
        <w:ind w:firstLineChars="200" w:firstLine="480"/>
        <w:jc w:val="both"/>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2</w:t>
      </w:r>
      <w:r>
        <w:rPr>
          <w:rFonts w:ascii="Times New Roman" w:eastAsia="宋体" w:hAnsi="Times New Roman" w:cs="Times New Roman" w:hint="eastAsia"/>
          <w:color w:val="000000" w:themeColor="text1"/>
          <w:kern w:val="0"/>
          <w:sz w:val="24"/>
          <w:szCs w:val="24"/>
        </w:rPr>
        <w:t>）</w:t>
      </w:r>
      <w:r>
        <w:rPr>
          <w:rFonts w:ascii="Times New Roman" w:eastAsia="宋体" w:hAnsi="Times New Roman" w:cs="Times New Roman"/>
          <w:color w:val="000000" w:themeColor="text1"/>
          <w:kern w:val="0"/>
          <w:sz w:val="24"/>
          <w:szCs w:val="24"/>
        </w:rPr>
        <w:t>被动控制，末端治理</w:t>
      </w:r>
    </w:p>
    <w:p w:rsidR="00C861DA" w:rsidRDefault="0044752E">
      <w:pPr>
        <w:spacing w:line="360" w:lineRule="auto"/>
        <w:ind w:firstLineChars="200" w:firstLine="480"/>
        <w:jc w:val="both"/>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建立泄漏、渗漏污染物的收集处詈措施，</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防治洒落地面的污染物渗入地下，</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并把泄漏的污染物收集起来，</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集中送至事故池进行集中处理。</w:t>
      </w:r>
    </w:p>
    <w:p w:rsidR="00C861DA" w:rsidRDefault="0044752E">
      <w:pPr>
        <w:spacing w:line="360" w:lineRule="auto"/>
        <w:ind w:firstLineChars="200" w:firstLine="482"/>
        <w:jc w:val="both"/>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w:t>
      </w:r>
      <w:r>
        <w:rPr>
          <w:rFonts w:ascii="Times New Roman" w:eastAsia="宋体" w:hAnsi="Times New Roman" w:cs="Times New Roman"/>
          <w:b/>
          <w:color w:val="000000" w:themeColor="text1"/>
          <w:sz w:val="24"/>
          <w:szCs w:val="24"/>
        </w:rPr>
        <w:t>2</w:t>
      </w:r>
      <w:r>
        <w:rPr>
          <w:rFonts w:ascii="Times New Roman" w:eastAsia="宋体" w:hAnsi="Times New Roman" w:cs="Times New Roman"/>
          <w:b/>
          <w:color w:val="000000" w:themeColor="text1"/>
          <w:sz w:val="24"/>
          <w:szCs w:val="24"/>
        </w:rPr>
        <w:t>）防治要求</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地面防渗方案设计根据不同分区分别参照下列标准和规范：</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sectPr w:rsidR="00C861DA">
          <w:pgSz w:w="11906" w:h="16838"/>
          <w:pgMar w:top="1440" w:right="1800" w:bottom="1440" w:left="1800" w:header="851" w:footer="992" w:gutter="0"/>
          <w:cols w:space="425"/>
          <w:docGrid w:type="lines" w:linePitch="312"/>
        </w:sectPr>
      </w:pPr>
      <w:r>
        <w:rPr>
          <w:rFonts w:ascii="Times New Roman" w:eastAsia="宋体" w:hAnsi="Times New Roman" w:cs="Times New Roman"/>
          <w:color w:val="000000" w:themeColor="text1"/>
          <w:sz w:val="24"/>
          <w:szCs w:val="24"/>
        </w:rPr>
        <w:t xml:space="preserve">(1) </w:t>
      </w:r>
      <w:r>
        <w:rPr>
          <w:rFonts w:ascii="Times New Roman" w:eastAsia="宋体" w:hAnsi="Times New Roman" w:cs="Times New Roman"/>
          <w:color w:val="000000" w:themeColor="text1"/>
          <w:sz w:val="24"/>
          <w:szCs w:val="24"/>
        </w:rPr>
        <w:t>按分区类别，</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重点污染防治区参照《危险废物填埋污染控制标准》</w:t>
      </w:r>
      <w:r>
        <w:rPr>
          <w:rFonts w:ascii="Times New Roman" w:eastAsia="宋体" w:hAnsi="Times New Roman" w:cs="Times New Roman"/>
          <w:color w:val="000000" w:themeColor="text1"/>
          <w:sz w:val="24"/>
          <w:szCs w:val="24"/>
        </w:rPr>
        <w:t xml:space="preserve">(GB </w:t>
      </w:r>
      <w:r>
        <w:rPr>
          <w:rFonts w:ascii="Times New Roman" w:eastAsia="宋体" w:hAnsi="Times New Roman" w:cs="Times New Roman"/>
          <w:color w:val="000000" w:themeColor="text1"/>
          <w:sz w:val="24"/>
          <w:szCs w:val="24"/>
        </w:rPr>
        <w:t xml:space="preserve">18598-2001 ) </w:t>
      </w:r>
      <w:r>
        <w:rPr>
          <w:rFonts w:ascii="Times New Roman" w:eastAsia="宋体" w:hAnsi="Times New Roman" w:cs="Times New Roman"/>
          <w:color w:val="000000" w:themeColor="text1"/>
          <w:sz w:val="24"/>
          <w:szCs w:val="24"/>
        </w:rPr>
        <w:t>中相关要求：人工合成材料衬层可以采用高密度聚乙烯</w:t>
      </w:r>
      <w:r>
        <w:rPr>
          <w:rFonts w:ascii="Times New Roman" w:eastAsia="宋体" w:hAnsi="Times New Roman" w:cs="Times New Roman"/>
          <w:color w:val="000000" w:themeColor="text1"/>
          <w:sz w:val="24"/>
          <w:szCs w:val="24"/>
        </w:rPr>
        <w:t>( HOPE ) ,</w:t>
      </w:r>
      <w:r>
        <w:rPr>
          <w:rFonts w:ascii="Times New Roman" w:eastAsia="宋体" w:hAnsi="Times New Roman" w:cs="Times New Roman"/>
          <w:color w:val="000000" w:themeColor="text1"/>
          <w:sz w:val="24"/>
          <w:szCs w:val="24"/>
        </w:rPr>
        <w:t>其渗透系数不大于</w:t>
      </w:r>
      <w:r>
        <w:rPr>
          <w:rFonts w:ascii="Times New Roman" w:eastAsia="宋体" w:hAnsi="Times New Roman" w:cs="Times New Roman"/>
          <w:color w:val="000000" w:themeColor="text1"/>
          <w:sz w:val="24"/>
          <w:szCs w:val="24"/>
        </w:rPr>
        <w:t>10×10</w:t>
      </w:r>
      <w:r>
        <w:rPr>
          <w:rFonts w:ascii="Times New Roman" w:eastAsia="宋体" w:hAnsi="Times New Roman" w:cs="Times New Roman"/>
          <w:color w:val="000000" w:themeColor="text1"/>
          <w:sz w:val="24"/>
          <w:szCs w:val="24"/>
          <w:vertAlign w:val="superscript"/>
        </w:rPr>
        <w:t>-12</w:t>
      </w:r>
      <w:r>
        <w:rPr>
          <w:rFonts w:ascii="Times New Roman" w:eastAsia="宋体" w:hAnsi="Times New Roman" w:cs="Times New Roman"/>
          <w:color w:val="000000" w:themeColor="text1"/>
          <w:sz w:val="24"/>
          <w:szCs w:val="24"/>
        </w:rPr>
        <w:t xml:space="preserve">cm/s, </w:t>
      </w:r>
      <w:r>
        <w:rPr>
          <w:rFonts w:ascii="Times New Roman" w:eastAsia="宋体" w:hAnsi="Times New Roman" w:cs="Times New Roman"/>
          <w:color w:val="000000" w:themeColor="text1"/>
          <w:sz w:val="24"/>
          <w:szCs w:val="24"/>
        </w:rPr>
        <w:t>厚度不小于</w:t>
      </w:r>
      <w:r>
        <w:rPr>
          <w:rFonts w:ascii="Times New Roman" w:eastAsia="宋体" w:hAnsi="Times New Roman" w:cs="Times New Roman"/>
          <w:color w:val="000000" w:themeColor="text1"/>
          <w:sz w:val="24"/>
          <w:szCs w:val="24"/>
        </w:rPr>
        <w:t>1.5mm</w:t>
      </w:r>
      <w:r>
        <w:rPr>
          <w:rFonts w:ascii="Times New Roman" w:eastAsia="宋体" w:hAnsi="Times New Roman" w:cs="Times New Roman"/>
          <w:color w:val="000000" w:themeColor="text1"/>
          <w:sz w:val="24"/>
          <w:szCs w:val="24"/>
        </w:rPr>
        <w:t>。如果天然基础层饱和渗透系数大于</w:t>
      </w:r>
      <w:r>
        <w:rPr>
          <w:rFonts w:ascii="Times New Roman" w:eastAsia="宋体" w:hAnsi="Times New Roman" w:cs="Times New Roman"/>
          <w:color w:val="000000" w:themeColor="text1"/>
          <w:sz w:val="24"/>
          <w:szCs w:val="24"/>
        </w:rPr>
        <w:t>10×10</w:t>
      </w:r>
      <w:r>
        <w:rPr>
          <w:rFonts w:ascii="Times New Roman" w:eastAsia="宋体" w:hAnsi="Times New Roman" w:cs="Times New Roman"/>
          <w:color w:val="000000" w:themeColor="text1"/>
          <w:sz w:val="24"/>
          <w:szCs w:val="24"/>
          <w:vertAlign w:val="superscript"/>
        </w:rPr>
        <w:t>-6</w:t>
      </w:r>
      <w:r>
        <w:rPr>
          <w:rFonts w:ascii="Times New Roman" w:eastAsia="宋体" w:hAnsi="Times New Roman" w:cs="Times New Roman"/>
          <w:color w:val="000000" w:themeColor="text1"/>
          <w:sz w:val="24"/>
          <w:szCs w:val="24"/>
        </w:rPr>
        <w:t xml:space="preserve">cm/s, </w:t>
      </w:r>
      <w:r>
        <w:rPr>
          <w:rFonts w:ascii="Times New Roman" w:eastAsia="宋体" w:hAnsi="Times New Roman" w:cs="Times New Roman"/>
          <w:color w:val="000000" w:themeColor="text1"/>
          <w:sz w:val="24"/>
          <w:szCs w:val="24"/>
        </w:rPr>
        <w:t>则必须选用双人工衬层，双人工衬层必须满足下列条件：天然材料衬层经机械压实后的渗透系数不大于</w:t>
      </w:r>
      <w:r>
        <w:rPr>
          <w:rFonts w:ascii="Times New Roman" w:eastAsia="宋体" w:hAnsi="Times New Roman" w:cs="Times New Roman"/>
          <w:color w:val="000000" w:themeColor="text1"/>
          <w:sz w:val="24"/>
          <w:szCs w:val="24"/>
        </w:rPr>
        <w:t>10×10</w:t>
      </w:r>
      <w:r>
        <w:rPr>
          <w:rFonts w:ascii="Times New Roman" w:eastAsia="宋体" w:hAnsi="Times New Roman" w:cs="Times New Roman"/>
          <w:color w:val="000000" w:themeColor="text1"/>
          <w:sz w:val="24"/>
          <w:szCs w:val="24"/>
          <w:vertAlign w:val="superscript"/>
        </w:rPr>
        <w:t>-7</w:t>
      </w:r>
      <w:r>
        <w:rPr>
          <w:rFonts w:ascii="Times New Roman" w:eastAsia="宋体" w:hAnsi="Times New Roman" w:cs="Times New Roman"/>
          <w:color w:val="000000" w:themeColor="text1"/>
          <w:sz w:val="24"/>
          <w:szCs w:val="24"/>
        </w:rPr>
        <w:t xml:space="preserve">cm/s, </w:t>
      </w:r>
      <w:r>
        <w:rPr>
          <w:rFonts w:ascii="Times New Roman" w:eastAsia="宋体" w:hAnsi="Times New Roman" w:cs="Times New Roman"/>
          <w:color w:val="000000" w:themeColor="text1"/>
          <w:sz w:val="24"/>
          <w:szCs w:val="24"/>
        </w:rPr>
        <w:t>厚度不小于</w:t>
      </w:r>
      <w:r>
        <w:rPr>
          <w:rFonts w:ascii="Times New Roman" w:eastAsia="宋体" w:hAnsi="Times New Roman" w:cs="Times New Roman"/>
          <w:color w:val="000000" w:themeColor="text1"/>
          <w:sz w:val="24"/>
          <w:szCs w:val="24"/>
        </w:rPr>
        <w:t>0.5m;</w:t>
      </w:r>
      <w:r>
        <w:rPr>
          <w:rFonts w:ascii="Times New Roman" w:eastAsia="宋体" w:hAnsi="Times New Roman" w:cs="Times New Roman"/>
          <w:color w:val="000000" w:themeColor="text1"/>
          <w:sz w:val="24"/>
          <w:szCs w:val="24"/>
        </w:rPr>
        <w:t>上人工合成衬层可以采用</w:t>
      </w:r>
      <w:r>
        <w:rPr>
          <w:rFonts w:ascii="Times New Roman" w:eastAsia="宋体" w:hAnsi="Times New Roman" w:cs="Times New Roman"/>
          <w:color w:val="000000" w:themeColor="text1"/>
          <w:sz w:val="24"/>
          <w:szCs w:val="24"/>
        </w:rPr>
        <w:t xml:space="preserve">HDPE </w:t>
      </w:r>
      <w:r>
        <w:rPr>
          <w:rFonts w:ascii="Times New Roman" w:eastAsia="宋体" w:hAnsi="Times New Roman" w:cs="Times New Roman"/>
          <w:color w:val="000000" w:themeColor="text1"/>
          <w:sz w:val="24"/>
          <w:szCs w:val="24"/>
        </w:rPr>
        <w:t>材料，</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厚度不小于</w:t>
      </w:r>
      <w:r>
        <w:rPr>
          <w:rFonts w:ascii="Times New Roman" w:eastAsia="宋体" w:hAnsi="Times New Roman" w:cs="Times New Roman"/>
          <w:color w:val="000000" w:themeColor="text1"/>
          <w:sz w:val="24"/>
          <w:szCs w:val="24"/>
        </w:rPr>
        <w:t xml:space="preserve">2.0mm; </w:t>
      </w:r>
      <w:r>
        <w:rPr>
          <w:rFonts w:ascii="Times New Roman" w:eastAsia="宋体" w:hAnsi="Times New Roman" w:cs="Times New Roman"/>
          <w:color w:val="000000" w:themeColor="text1"/>
          <w:sz w:val="24"/>
          <w:szCs w:val="24"/>
        </w:rPr>
        <w:t>下人工合成衬层可以采用</w:t>
      </w:r>
      <w:r>
        <w:rPr>
          <w:rFonts w:ascii="Times New Roman" w:eastAsia="宋体" w:hAnsi="Times New Roman" w:cs="Times New Roman"/>
          <w:color w:val="000000" w:themeColor="text1"/>
          <w:sz w:val="24"/>
          <w:szCs w:val="24"/>
        </w:rPr>
        <w:t xml:space="preserve">HOPE </w:t>
      </w:r>
      <w:r>
        <w:rPr>
          <w:rFonts w:ascii="Times New Roman" w:eastAsia="宋体" w:hAnsi="Times New Roman" w:cs="Times New Roman"/>
          <w:color w:val="000000" w:themeColor="text1"/>
          <w:sz w:val="24"/>
          <w:szCs w:val="24"/>
        </w:rPr>
        <w:t>材料，厚度不小千</w:t>
      </w:r>
      <w:r>
        <w:rPr>
          <w:rFonts w:ascii="Times New Roman" w:eastAsia="宋体" w:hAnsi="Times New Roman" w:cs="Times New Roman"/>
          <w:color w:val="000000" w:themeColor="text1"/>
          <w:sz w:val="24"/>
          <w:szCs w:val="24"/>
        </w:rPr>
        <w:t xml:space="preserve">1.0mm </w:t>
      </w:r>
      <w:r>
        <w:rPr>
          <w:rFonts w:ascii="Times New Roman" w:eastAsia="宋体" w:hAnsi="Times New Roman" w:cs="Times New Roman"/>
          <w:color w:val="000000" w:themeColor="text1"/>
          <w:sz w:val="24"/>
          <w:szCs w:val="24"/>
        </w:rPr>
        <w:t>。</w:t>
      </w:r>
    </w:p>
    <w:p w:rsidR="00C861DA" w:rsidRDefault="00C861DA">
      <w:pPr>
        <w:spacing w:line="360" w:lineRule="auto"/>
        <w:ind w:firstLineChars="200" w:firstLine="480"/>
        <w:jc w:val="both"/>
        <w:rPr>
          <w:rFonts w:ascii="Times New Roman" w:eastAsia="宋体" w:hAnsi="Times New Roman" w:cs="Times New Roman"/>
          <w:color w:val="000000" w:themeColor="text1"/>
          <w:sz w:val="24"/>
          <w:szCs w:val="24"/>
        </w:rPr>
      </w:pPr>
    </w:p>
    <w:bookmarkStart w:id="672" w:name="_Toc22006"/>
    <w:bookmarkStart w:id="673" w:name="_Toc24983"/>
    <w:bookmarkStart w:id="674" w:name="_Toc24845"/>
    <w:bookmarkStart w:id="675" w:name="_Toc24751"/>
    <w:p w:rsidR="00C861DA" w:rsidRDefault="0044752E">
      <w:pPr>
        <w:pStyle w:val="12"/>
        <w:jc w:val="center"/>
        <w:rPr>
          <w:rFonts w:ascii="Times New Roman" w:eastAsia="宋体"/>
          <w:b/>
          <w:color w:val="000000" w:themeColor="text1"/>
          <w:sz w:val="28"/>
          <w:szCs w:val="24"/>
        </w:rPr>
      </w:pPr>
      <w:r>
        <w:rPr>
          <w:rFonts w:ascii="Times New Roman" w:eastAsia="宋体" w:hint="eastAsia"/>
          <w:b/>
          <w:color w:val="000000" w:themeColor="text1"/>
          <w:sz w:val="28"/>
          <w:szCs w:val="24"/>
        </w:rPr>
        <w:fldChar w:fldCharType="begin"/>
      </w:r>
      <w:r>
        <w:rPr>
          <w:rFonts w:ascii="Times New Roman" w:eastAsia="宋体" w:hint="eastAsia"/>
          <w:b/>
          <w:color w:val="000000" w:themeColor="text1"/>
          <w:sz w:val="28"/>
          <w:szCs w:val="24"/>
        </w:rPr>
        <w:instrText xml:space="preserve"> HYPERLINK \l "</w:instrText>
      </w:r>
      <w:r>
        <w:rPr>
          <w:rFonts w:ascii="Times New Roman" w:eastAsia="宋体" w:hint="eastAsia"/>
          <w:b/>
          <w:color w:val="000000" w:themeColor="text1"/>
          <w:sz w:val="28"/>
          <w:szCs w:val="24"/>
        </w:rPr>
        <w:instrText xml:space="preserve">_Toc512505513" </w:instrText>
      </w:r>
      <w:r>
        <w:rPr>
          <w:rFonts w:ascii="Times New Roman" w:eastAsia="宋体" w:hint="eastAsia"/>
          <w:b/>
          <w:color w:val="000000" w:themeColor="text1"/>
          <w:sz w:val="28"/>
          <w:szCs w:val="24"/>
        </w:rPr>
        <w:fldChar w:fldCharType="separate"/>
      </w:r>
      <w:bookmarkStart w:id="676" w:name="_Toc6826930"/>
      <w:r>
        <w:rPr>
          <w:rFonts w:ascii="Times New Roman" w:eastAsia="宋体" w:hint="eastAsia"/>
          <w:b/>
          <w:color w:val="000000" w:themeColor="text1"/>
          <w:sz w:val="28"/>
          <w:szCs w:val="24"/>
        </w:rPr>
        <w:t>11</w:t>
      </w:r>
      <w:r>
        <w:rPr>
          <w:rFonts w:ascii="Times New Roman" w:eastAsia="宋体" w:hint="eastAsia"/>
          <w:b/>
          <w:color w:val="000000" w:themeColor="text1"/>
          <w:sz w:val="28"/>
          <w:szCs w:val="24"/>
        </w:rPr>
        <w:t>、环境经济损益分析</w:t>
      </w:r>
      <w:bookmarkEnd w:id="676"/>
      <w:r>
        <w:rPr>
          <w:rFonts w:ascii="Times New Roman" w:eastAsia="宋体" w:hint="eastAsia"/>
          <w:b/>
          <w:color w:val="000000" w:themeColor="text1"/>
          <w:sz w:val="28"/>
          <w:szCs w:val="24"/>
        </w:rPr>
        <w:fldChar w:fldCharType="end"/>
      </w:r>
      <w:bookmarkEnd w:id="672"/>
      <w:bookmarkEnd w:id="673"/>
      <w:bookmarkEnd w:id="674"/>
      <w:bookmarkEnd w:id="675"/>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hint="eastAsia"/>
          <w:color w:val="000000" w:themeColor="text1"/>
          <w:sz w:val="24"/>
          <w:szCs w:val="24"/>
        </w:rPr>
        <w:t>进行环境经济损益分析以评判项目的环境经济可行性。这里按“简要分析法”对本项目可能收到的经济、社会和环境效益进行综合分析。</w:t>
      </w:r>
    </w:p>
    <w:p w:rsidR="00C861DA" w:rsidRDefault="0044752E">
      <w:pPr>
        <w:pStyle w:val="22"/>
        <w:rPr>
          <w:rFonts w:ascii="Times New Roman" w:eastAsia="宋体" w:hAnsi="Times New Roman"/>
          <w:bCs w:val="0"/>
          <w:color w:val="000000" w:themeColor="text1"/>
          <w:sz w:val="28"/>
          <w:szCs w:val="28"/>
        </w:rPr>
      </w:pPr>
      <w:bookmarkStart w:id="677" w:name="_Toc6826931"/>
      <w:bookmarkStart w:id="678" w:name="_Toc32582"/>
      <w:bookmarkStart w:id="679" w:name="_Toc15288"/>
      <w:bookmarkStart w:id="680" w:name="_Toc25548"/>
      <w:bookmarkStart w:id="681" w:name="_Toc2069"/>
      <w:r>
        <w:rPr>
          <w:rFonts w:ascii="Times New Roman" w:eastAsia="宋体" w:hAnsi="Times New Roman" w:hint="eastAsia"/>
          <w:bCs w:val="0"/>
          <w:color w:val="000000" w:themeColor="text1"/>
          <w:sz w:val="28"/>
          <w:szCs w:val="28"/>
        </w:rPr>
        <w:t>11</w:t>
      </w:r>
      <w:r>
        <w:rPr>
          <w:rFonts w:ascii="Times New Roman" w:eastAsia="宋体" w:hAnsi="Times New Roman"/>
          <w:bCs w:val="0"/>
          <w:color w:val="000000" w:themeColor="text1"/>
          <w:sz w:val="28"/>
          <w:szCs w:val="28"/>
        </w:rPr>
        <w:t>.</w:t>
      </w:r>
      <w:r>
        <w:rPr>
          <w:rFonts w:ascii="Times New Roman" w:eastAsia="宋体" w:hAnsi="Times New Roman" w:hint="eastAsia"/>
          <w:bCs w:val="0"/>
          <w:color w:val="000000" w:themeColor="text1"/>
          <w:sz w:val="28"/>
          <w:szCs w:val="28"/>
        </w:rPr>
        <w:t>1</w:t>
      </w:r>
      <w:r>
        <w:rPr>
          <w:rFonts w:ascii="Times New Roman" w:eastAsia="宋体" w:hAnsi="Times New Roman"/>
          <w:bCs w:val="0"/>
          <w:color w:val="000000" w:themeColor="text1"/>
          <w:sz w:val="28"/>
          <w:szCs w:val="28"/>
        </w:rPr>
        <w:t>环境经济损益分析</w:t>
      </w:r>
      <w:bookmarkEnd w:id="677"/>
      <w:bookmarkEnd w:id="678"/>
      <w:bookmarkEnd w:id="679"/>
      <w:bookmarkEnd w:id="680"/>
      <w:bookmarkEnd w:id="681"/>
    </w:p>
    <w:p w:rsidR="00C861DA" w:rsidRDefault="0044752E">
      <w:pPr>
        <w:pStyle w:val="32"/>
        <w:rPr>
          <w:rFonts w:ascii="Times New Roman" w:eastAsia="宋体"/>
          <w:bCs w:val="0"/>
          <w:color w:val="000000" w:themeColor="text1"/>
          <w:sz w:val="24"/>
          <w:szCs w:val="24"/>
        </w:rPr>
      </w:pPr>
      <w:bookmarkStart w:id="682" w:name="_Toc26225"/>
      <w:bookmarkStart w:id="683" w:name="_Toc6826932"/>
      <w:bookmarkStart w:id="684" w:name="_Toc19910"/>
      <w:bookmarkStart w:id="685" w:name="_Toc6798"/>
      <w:bookmarkStart w:id="686" w:name="_Toc2355"/>
      <w:r>
        <w:rPr>
          <w:rFonts w:ascii="Times New Roman" w:eastAsia="宋体"/>
          <w:bCs w:val="0"/>
          <w:color w:val="000000" w:themeColor="text1"/>
          <w:sz w:val="24"/>
          <w:szCs w:val="24"/>
        </w:rPr>
        <w:t>1</w:t>
      </w:r>
      <w:r>
        <w:rPr>
          <w:rFonts w:ascii="Times New Roman" w:eastAsia="宋体" w:hint="eastAsia"/>
          <w:bCs w:val="0"/>
          <w:color w:val="000000" w:themeColor="text1"/>
          <w:sz w:val="24"/>
          <w:szCs w:val="24"/>
        </w:rPr>
        <w:t>1</w:t>
      </w:r>
      <w:r>
        <w:rPr>
          <w:rFonts w:ascii="Times New Roman" w:eastAsia="宋体"/>
          <w:bCs w:val="0"/>
          <w:color w:val="000000" w:themeColor="text1"/>
          <w:sz w:val="24"/>
          <w:szCs w:val="24"/>
        </w:rPr>
        <w:t>.1.1</w:t>
      </w:r>
      <w:r>
        <w:rPr>
          <w:rFonts w:ascii="Times New Roman" w:eastAsia="宋体"/>
          <w:bCs w:val="0"/>
          <w:color w:val="000000" w:themeColor="text1"/>
          <w:sz w:val="24"/>
          <w:szCs w:val="24"/>
        </w:rPr>
        <w:t>环保投资概算</w:t>
      </w:r>
      <w:bookmarkEnd w:id="682"/>
      <w:bookmarkEnd w:id="683"/>
      <w:bookmarkEnd w:id="684"/>
      <w:bookmarkEnd w:id="685"/>
      <w:bookmarkEnd w:id="686"/>
    </w:p>
    <w:p w:rsidR="00C861DA" w:rsidRDefault="0044752E">
      <w:pPr>
        <w:pStyle w:val="af4"/>
        <w:spacing w:after="0" w:line="360" w:lineRule="auto"/>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 xml:space="preserve">11.1-1  </w:t>
      </w:r>
      <w:r>
        <w:rPr>
          <w:rFonts w:ascii="Times New Roman" w:eastAsia="宋体" w:hAnsi="Times New Roman" w:cs="Times New Roman"/>
          <w:b/>
          <w:color w:val="000000" w:themeColor="text1"/>
          <w:sz w:val="24"/>
          <w:szCs w:val="24"/>
        </w:rPr>
        <w:t>环保投资一览表</w:t>
      </w: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3"/>
        <w:gridCol w:w="1569"/>
        <w:gridCol w:w="1417"/>
        <w:gridCol w:w="2693"/>
        <w:gridCol w:w="832"/>
        <w:gridCol w:w="1252"/>
      </w:tblGrid>
      <w:tr w:rsidR="00C861DA">
        <w:trPr>
          <w:trHeight w:val="369"/>
          <w:jc w:val="center"/>
        </w:trPr>
        <w:tc>
          <w:tcPr>
            <w:tcW w:w="553"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b/>
                <w:bCs/>
                <w:color w:val="000000" w:themeColor="text1"/>
                <w:szCs w:val="18"/>
              </w:rPr>
              <w:t>项目</w:t>
            </w:r>
          </w:p>
        </w:tc>
        <w:tc>
          <w:tcPr>
            <w:tcW w:w="1569"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b/>
                <w:bCs/>
                <w:color w:val="000000" w:themeColor="text1"/>
                <w:szCs w:val="18"/>
              </w:rPr>
              <w:t>生产工段</w:t>
            </w:r>
          </w:p>
        </w:tc>
        <w:tc>
          <w:tcPr>
            <w:tcW w:w="1417"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b/>
                <w:bCs/>
                <w:color w:val="000000" w:themeColor="text1"/>
                <w:szCs w:val="18"/>
              </w:rPr>
              <w:t>污染源</w:t>
            </w:r>
          </w:p>
        </w:tc>
        <w:tc>
          <w:tcPr>
            <w:tcW w:w="2693"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b/>
                <w:bCs/>
                <w:color w:val="000000" w:themeColor="text1"/>
                <w:szCs w:val="18"/>
              </w:rPr>
              <w:t>环保设施及处理规模</w:t>
            </w:r>
          </w:p>
        </w:tc>
        <w:tc>
          <w:tcPr>
            <w:tcW w:w="832"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b/>
                <w:bCs/>
                <w:color w:val="000000" w:themeColor="text1"/>
                <w:szCs w:val="18"/>
              </w:rPr>
              <w:t>数量</w:t>
            </w:r>
          </w:p>
        </w:tc>
        <w:tc>
          <w:tcPr>
            <w:tcW w:w="1252"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b/>
                <w:bCs/>
                <w:color w:val="000000" w:themeColor="text1"/>
                <w:szCs w:val="18"/>
              </w:rPr>
              <w:t>环保投资</w:t>
            </w:r>
          </w:p>
          <w:p w:rsidR="00C861DA" w:rsidRDefault="0044752E">
            <w:pPr>
              <w:pStyle w:val="TableParagraph"/>
              <w:autoSpaceDE/>
              <w:autoSpaceDN/>
              <w:adjustRightInd/>
              <w:jc w:val="center"/>
              <w:rPr>
                <w:b/>
                <w:bCs/>
                <w:color w:val="000000" w:themeColor="text1"/>
                <w:szCs w:val="18"/>
              </w:rPr>
            </w:pPr>
            <w:r>
              <w:rPr>
                <w:rFonts w:cs="宋体" w:hint="eastAsia"/>
                <w:b/>
                <w:bCs/>
                <w:color w:val="000000" w:themeColor="text1"/>
                <w:szCs w:val="18"/>
              </w:rPr>
              <w:t>（</w:t>
            </w:r>
            <w:r>
              <w:rPr>
                <w:rFonts w:cs="宋体"/>
                <w:b/>
                <w:bCs/>
                <w:color w:val="000000" w:themeColor="text1"/>
                <w:szCs w:val="18"/>
              </w:rPr>
              <w:t>万元</w:t>
            </w:r>
            <w:r>
              <w:rPr>
                <w:rFonts w:cs="宋体" w:hint="eastAsia"/>
                <w:b/>
                <w:bCs/>
                <w:color w:val="000000" w:themeColor="text1"/>
                <w:szCs w:val="18"/>
              </w:rPr>
              <w:t>）</w:t>
            </w:r>
          </w:p>
        </w:tc>
      </w:tr>
      <w:tr w:rsidR="00C861DA">
        <w:trPr>
          <w:trHeight w:val="369"/>
          <w:jc w:val="center"/>
        </w:trPr>
        <w:tc>
          <w:tcPr>
            <w:tcW w:w="553"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b/>
                <w:bCs/>
                <w:color w:val="000000" w:themeColor="text1"/>
                <w:szCs w:val="18"/>
              </w:rPr>
              <w:t>一</w:t>
            </w:r>
          </w:p>
        </w:tc>
        <w:tc>
          <w:tcPr>
            <w:tcW w:w="7763" w:type="dxa"/>
            <w:gridSpan w:val="5"/>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b/>
                <w:bCs/>
                <w:color w:val="000000" w:themeColor="text1"/>
                <w:szCs w:val="18"/>
              </w:rPr>
              <w:t>施工期</w:t>
            </w:r>
          </w:p>
        </w:tc>
      </w:tr>
      <w:tr w:rsidR="00C861DA">
        <w:trPr>
          <w:trHeight w:val="369"/>
          <w:jc w:val="center"/>
        </w:trPr>
        <w:tc>
          <w:tcPr>
            <w:tcW w:w="6232" w:type="dxa"/>
            <w:gridSpan w:val="4"/>
            <w:vAlign w:val="center"/>
          </w:tcPr>
          <w:p w:rsidR="00C861DA" w:rsidRDefault="0044752E">
            <w:pPr>
              <w:pStyle w:val="TableParagraph"/>
              <w:autoSpaceDE/>
              <w:autoSpaceDN/>
              <w:adjustRightInd/>
              <w:jc w:val="center"/>
              <w:rPr>
                <w:rFonts w:cs="宋体"/>
                <w:b/>
                <w:bCs/>
                <w:color w:val="000000" w:themeColor="text1"/>
                <w:szCs w:val="18"/>
              </w:rPr>
            </w:pPr>
            <w:r>
              <w:rPr>
                <w:rFonts w:hint="eastAsia"/>
                <w:color w:val="000000" w:themeColor="text1"/>
              </w:rPr>
              <w:t>施工期粉尘防治</w:t>
            </w:r>
          </w:p>
        </w:tc>
        <w:tc>
          <w:tcPr>
            <w:tcW w:w="832"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b/>
                <w:bCs/>
                <w:color w:val="000000" w:themeColor="text1"/>
                <w:szCs w:val="18"/>
              </w:rPr>
              <w:t>/</w:t>
            </w:r>
          </w:p>
        </w:tc>
        <w:tc>
          <w:tcPr>
            <w:tcW w:w="1252"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color w:val="000000" w:themeColor="text1"/>
                <w:szCs w:val="18"/>
              </w:rPr>
              <w:t>3</w:t>
            </w:r>
            <w:r>
              <w:rPr>
                <w:rFonts w:cs="宋体" w:hint="eastAsia"/>
                <w:color w:val="000000" w:themeColor="text1"/>
                <w:szCs w:val="18"/>
              </w:rPr>
              <w:t>0</w:t>
            </w:r>
          </w:p>
        </w:tc>
      </w:tr>
      <w:tr w:rsidR="00C861DA">
        <w:trPr>
          <w:trHeight w:val="369"/>
          <w:jc w:val="center"/>
        </w:trPr>
        <w:tc>
          <w:tcPr>
            <w:tcW w:w="6232" w:type="dxa"/>
            <w:gridSpan w:val="4"/>
            <w:vAlign w:val="center"/>
          </w:tcPr>
          <w:p w:rsidR="00C861DA" w:rsidRDefault="0044752E">
            <w:pPr>
              <w:pStyle w:val="TableParagraph"/>
              <w:autoSpaceDE/>
              <w:autoSpaceDN/>
              <w:adjustRightInd/>
              <w:jc w:val="center"/>
              <w:rPr>
                <w:rFonts w:cs="宋体"/>
                <w:b/>
                <w:bCs/>
                <w:color w:val="000000" w:themeColor="text1"/>
                <w:szCs w:val="18"/>
              </w:rPr>
            </w:pPr>
            <w:r>
              <w:rPr>
                <w:rFonts w:hint="eastAsia"/>
                <w:color w:val="000000" w:themeColor="text1"/>
              </w:rPr>
              <w:t>施工期建筑垃圾清运</w:t>
            </w:r>
          </w:p>
        </w:tc>
        <w:tc>
          <w:tcPr>
            <w:tcW w:w="832"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b/>
                <w:bCs/>
                <w:color w:val="000000" w:themeColor="text1"/>
                <w:szCs w:val="18"/>
              </w:rPr>
              <w:t>/</w:t>
            </w:r>
          </w:p>
        </w:tc>
        <w:tc>
          <w:tcPr>
            <w:tcW w:w="1252"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color w:val="000000" w:themeColor="text1"/>
                <w:szCs w:val="18"/>
              </w:rPr>
              <w:t>5</w:t>
            </w:r>
          </w:p>
        </w:tc>
      </w:tr>
      <w:tr w:rsidR="00C861DA">
        <w:trPr>
          <w:trHeight w:val="369"/>
          <w:jc w:val="center"/>
        </w:trPr>
        <w:tc>
          <w:tcPr>
            <w:tcW w:w="6232" w:type="dxa"/>
            <w:gridSpan w:val="4"/>
            <w:vAlign w:val="center"/>
          </w:tcPr>
          <w:p w:rsidR="00C861DA" w:rsidRDefault="0044752E">
            <w:pPr>
              <w:pStyle w:val="TableParagraph"/>
              <w:autoSpaceDE/>
              <w:autoSpaceDN/>
              <w:adjustRightInd/>
              <w:jc w:val="center"/>
              <w:rPr>
                <w:rFonts w:cs="宋体"/>
                <w:b/>
                <w:bCs/>
                <w:color w:val="000000" w:themeColor="text1"/>
                <w:szCs w:val="18"/>
              </w:rPr>
            </w:pPr>
            <w:r>
              <w:rPr>
                <w:rFonts w:hint="eastAsia"/>
                <w:color w:val="000000" w:themeColor="text1"/>
              </w:rPr>
              <w:t>施工期噪声防治</w:t>
            </w:r>
          </w:p>
        </w:tc>
        <w:tc>
          <w:tcPr>
            <w:tcW w:w="832"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b/>
                <w:bCs/>
                <w:color w:val="000000" w:themeColor="text1"/>
                <w:szCs w:val="18"/>
              </w:rPr>
              <w:t>/</w:t>
            </w:r>
          </w:p>
        </w:tc>
        <w:tc>
          <w:tcPr>
            <w:tcW w:w="1252"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color w:val="000000" w:themeColor="text1"/>
                <w:szCs w:val="18"/>
              </w:rPr>
              <w:t>5</w:t>
            </w:r>
          </w:p>
        </w:tc>
      </w:tr>
      <w:tr w:rsidR="00C861DA">
        <w:trPr>
          <w:trHeight w:val="369"/>
          <w:jc w:val="center"/>
        </w:trPr>
        <w:tc>
          <w:tcPr>
            <w:tcW w:w="553"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b/>
                <w:bCs/>
                <w:color w:val="000000" w:themeColor="text1"/>
                <w:szCs w:val="18"/>
              </w:rPr>
              <w:t>二</w:t>
            </w:r>
          </w:p>
        </w:tc>
        <w:tc>
          <w:tcPr>
            <w:tcW w:w="7763" w:type="dxa"/>
            <w:gridSpan w:val="5"/>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b/>
                <w:bCs/>
                <w:color w:val="000000" w:themeColor="text1"/>
                <w:szCs w:val="18"/>
              </w:rPr>
              <w:t>运营期</w:t>
            </w:r>
          </w:p>
        </w:tc>
      </w:tr>
      <w:tr w:rsidR="00C861DA">
        <w:trPr>
          <w:trHeight w:val="369"/>
          <w:jc w:val="center"/>
        </w:trPr>
        <w:tc>
          <w:tcPr>
            <w:tcW w:w="553" w:type="dxa"/>
            <w:vMerge w:val="restart"/>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color w:val="000000" w:themeColor="text1"/>
                <w:szCs w:val="18"/>
              </w:rPr>
              <w:t>废气处理</w:t>
            </w:r>
          </w:p>
        </w:tc>
        <w:tc>
          <w:tcPr>
            <w:tcW w:w="1569" w:type="dxa"/>
            <w:vMerge w:val="restart"/>
            <w:vAlign w:val="center"/>
          </w:tcPr>
          <w:p w:rsidR="00C861DA" w:rsidRDefault="0044752E">
            <w:pPr>
              <w:pStyle w:val="TableParagraph"/>
              <w:jc w:val="center"/>
              <w:rPr>
                <w:rFonts w:cs="宋体"/>
                <w:b/>
                <w:bCs/>
                <w:color w:val="000000" w:themeColor="text1"/>
                <w:szCs w:val="18"/>
              </w:rPr>
            </w:pPr>
            <w:r>
              <w:rPr>
                <w:rFonts w:cs="宋体" w:hint="eastAsia"/>
                <w:bCs/>
                <w:color w:val="000000" w:themeColor="text1"/>
                <w:szCs w:val="18"/>
              </w:rPr>
              <w:t>绿色有机硝基复合肥生产工段</w:t>
            </w:r>
          </w:p>
        </w:tc>
        <w:tc>
          <w:tcPr>
            <w:tcW w:w="1417" w:type="dxa"/>
            <w:vAlign w:val="center"/>
          </w:tcPr>
          <w:p w:rsidR="00C861DA" w:rsidRDefault="0044752E">
            <w:pPr>
              <w:pStyle w:val="TableParagraph"/>
              <w:jc w:val="center"/>
              <w:rPr>
                <w:rFonts w:cs="宋体"/>
                <w:b/>
                <w:bCs/>
                <w:color w:val="000000" w:themeColor="text1"/>
                <w:szCs w:val="18"/>
              </w:rPr>
            </w:pPr>
            <w:r>
              <w:rPr>
                <w:rFonts w:cs="宋体" w:hint="eastAsia"/>
                <w:color w:val="000000" w:themeColor="text1"/>
                <w:szCs w:val="18"/>
              </w:rPr>
              <w:t>造粒机</w:t>
            </w:r>
          </w:p>
        </w:tc>
        <w:tc>
          <w:tcPr>
            <w:tcW w:w="2693" w:type="dxa"/>
            <w:vAlign w:val="center"/>
          </w:tcPr>
          <w:p w:rsidR="00C861DA" w:rsidRDefault="0044752E">
            <w:pPr>
              <w:pStyle w:val="TableParagraph"/>
              <w:jc w:val="center"/>
              <w:rPr>
                <w:rFonts w:cs="宋体"/>
                <w:b/>
                <w:bCs/>
                <w:color w:val="000000" w:themeColor="text1"/>
                <w:szCs w:val="18"/>
              </w:rPr>
            </w:pPr>
            <w:r>
              <w:rPr>
                <w:rFonts w:cs="宋体" w:hint="eastAsia"/>
                <w:color w:val="000000" w:themeColor="text1"/>
                <w:szCs w:val="18"/>
              </w:rPr>
              <w:t>脉冲除尘</w:t>
            </w:r>
          </w:p>
        </w:tc>
        <w:tc>
          <w:tcPr>
            <w:tcW w:w="832" w:type="dxa"/>
            <w:vAlign w:val="center"/>
          </w:tcPr>
          <w:p w:rsidR="00C861DA" w:rsidRDefault="0044752E">
            <w:pPr>
              <w:pStyle w:val="TableParagraph"/>
              <w:jc w:val="center"/>
              <w:rPr>
                <w:rFonts w:cs="宋体"/>
                <w:b/>
                <w:bCs/>
                <w:color w:val="000000" w:themeColor="text1"/>
                <w:szCs w:val="18"/>
              </w:rPr>
            </w:pPr>
            <w:r>
              <w:rPr>
                <w:rFonts w:cs="宋体"/>
                <w:color w:val="000000" w:themeColor="text1"/>
                <w:szCs w:val="18"/>
              </w:rPr>
              <w:t>1</w:t>
            </w:r>
            <w:r>
              <w:rPr>
                <w:rFonts w:cs="宋体" w:hint="eastAsia"/>
                <w:color w:val="000000" w:themeColor="text1"/>
                <w:szCs w:val="18"/>
              </w:rPr>
              <w:t>套</w:t>
            </w:r>
          </w:p>
        </w:tc>
        <w:tc>
          <w:tcPr>
            <w:tcW w:w="1252" w:type="dxa"/>
            <w:vAlign w:val="center"/>
          </w:tcPr>
          <w:p w:rsidR="00C861DA" w:rsidRDefault="0044752E">
            <w:pPr>
              <w:pStyle w:val="TableParagraph"/>
              <w:jc w:val="center"/>
              <w:rPr>
                <w:rFonts w:cs="宋体"/>
                <w:b/>
                <w:bCs/>
                <w:color w:val="000000" w:themeColor="text1"/>
                <w:szCs w:val="18"/>
              </w:rPr>
            </w:pPr>
            <w:r>
              <w:rPr>
                <w:color w:val="000000" w:themeColor="text1"/>
                <w:szCs w:val="22"/>
              </w:rPr>
              <w:t>4</w:t>
            </w:r>
          </w:p>
        </w:tc>
      </w:tr>
      <w:tr w:rsidR="00C861DA">
        <w:trPr>
          <w:trHeight w:val="369"/>
          <w:jc w:val="center"/>
        </w:trPr>
        <w:tc>
          <w:tcPr>
            <w:tcW w:w="553"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569" w:type="dxa"/>
            <w:vMerge/>
            <w:vAlign w:val="center"/>
          </w:tcPr>
          <w:p w:rsidR="00C861DA" w:rsidRDefault="00C861DA">
            <w:pPr>
              <w:autoSpaceDE/>
              <w:autoSpaceDN/>
              <w:adjustRightInd/>
              <w:jc w:val="center"/>
              <w:rPr>
                <w:rFonts w:ascii="Times New Roman" w:eastAsia="宋体" w:cs="宋体"/>
                <w:b/>
                <w:bCs/>
                <w:color w:val="000000" w:themeColor="text1"/>
                <w:szCs w:val="18"/>
              </w:rPr>
            </w:pPr>
          </w:p>
        </w:tc>
        <w:tc>
          <w:tcPr>
            <w:tcW w:w="1417"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color w:val="000000" w:themeColor="text1"/>
                <w:szCs w:val="18"/>
              </w:rPr>
              <w:t>吸收塔</w:t>
            </w:r>
          </w:p>
        </w:tc>
        <w:tc>
          <w:tcPr>
            <w:tcW w:w="2693" w:type="dxa"/>
            <w:vAlign w:val="center"/>
          </w:tcPr>
          <w:p w:rsidR="00C861DA" w:rsidRDefault="0044752E">
            <w:pPr>
              <w:pStyle w:val="TableParagraph"/>
              <w:autoSpaceDE/>
              <w:autoSpaceDN/>
              <w:adjustRightInd/>
              <w:ind w:leftChars="20" w:left="42"/>
              <w:jc w:val="center"/>
              <w:rPr>
                <w:rFonts w:cs="宋体"/>
                <w:b/>
                <w:bCs/>
                <w:color w:val="000000" w:themeColor="text1"/>
                <w:szCs w:val="18"/>
              </w:rPr>
            </w:pPr>
            <w:r>
              <w:rPr>
                <w:rFonts w:cs="宋体" w:hint="eastAsia"/>
                <w:color w:val="000000" w:themeColor="text1"/>
                <w:szCs w:val="18"/>
              </w:rPr>
              <w:t>吸收塔</w:t>
            </w:r>
          </w:p>
        </w:tc>
        <w:tc>
          <w:tcPr>
            <w:tcW w:w="832" w:type="dxa"/>
            <w:vAlign w:val="center"/>
          </w:tcPr>
          <w:p w:rsidR="00C861DA" w:rsidRDefault="0044752E">
            <w:pPr>
              <w:pStyle w:val="TableParagraph"/>
              <w:autoSpaceDE/>
              <w:autoSpaceDN/>
              <w:adjustRightInd/>
              <w:jc w:val="center"/>
              <w:rPr>
                <w:rFonts w:cs="宋体"/>
                <w:b/>
                <w:bCs/>
                <w:color w:val="000000" w:themeColor="text1"/>
                <w:szCs w:val="18"/>
              </w:rPr>
            </w:pPr>
            <w:r>
              <w:rPr>
                <w:color w:val="000000" w:themeColor="text1"/>
                <w:szCs w:val="18"/>
              </w:rPr>
              <w:t xml:space="preserve">1 </w:t>
            </w:r>
            <w:r>
              <w:rPr>
                <w:rFonts w:cs="宋体"/>
                <w:color w:val="000000" w:themeColor="text1"/>
                <w:szCs w:val="18"/>
              </w:rPr>
              <w:t>套</w:t>
            </w:r>
          </w:p>
        </w:tc>
        <w:tc>
          <w:tcPr>
            <w:tcW w:w="1252" w:type="dxa"/>
            <w:vAlign w:val="center"/>
          </w:tcPr>
          <w:p w:rsidR="00C861DA" w:rsidRDefault="0044752E">
            <w:pPr>
              <w:pStyle w:val="TableParagraph"/>
              <w:autoSpaceDE/>
              <w:autoSpaceDN/>
              <w:adjustRightInd/>
              <w:jc w:val="center"/>
              <w:rPr>
                <w:rFonts w:cs="宋体"/>
                <w:b/>
                <w:bCs/>
                <w:color w:val="000000" w:themeColor="text1"/>
                <w:szCs w:val="18"/>
              </w:rPr>
            </w:pPr>
            <w:r>
              <w:rPr>
                <w:color w:val="000000" w:themeColor="text1"/>
                <w:szCs w:val="18"/>
              </w:rPr>
              <w:t>1</w:t>
            </w:r>
            <w:r>
              <w:rPr>
                <w:rFonts w:hint="eastAsia"/>
                <w:color w:val="000000" w:themeColor="text1"/>
                <w:szCs w:val="18"/>
              </w:rPr>
              <w:t>0</w:t>
            </w:r>
          </w:p>
        </w:tc>
      </w:tr>
      <w:tr w:rsidR="00C861DA">
        <w:trPr>
          <w:trHeight w:val="369"/>
          <w:jc w:val="center"/>
        </w:trPr>
        <w:tc>
          <w:tcPr>
            <w:tcW w:w="553"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569" w:type="dxa"/>
            <w:vMerge w:val="restart"/>
            <w:vAlign w:val="center"/>
          </w:tcPr>
          <w:p w:rsidR="00C861DA" w:rsidRDefault="0044752E">
            <w:pPr>
              <w:pStyle w:val="TableParagraph"/>
              <w:jc w:val="center"/>
              <w:rPr>
                <w:rFonts w:cs="宋体"/>
                <w:b/>
                <w:bCs/>
                <w:color w:val="000000" w:themeColor="text1"/>
                <w:szCs w:val="18"/>
              </w:rPr>
            </w:pPr>
            <w:r>
              <w:rPr>
                <w:rFonts w:hAnsi="Times New Roman" w:cs="Times New Roman"/>
                <w:color w:val="000000" w:themeColor="text1"/>
              </w:rPr>
              <w:t>绿色有机</w:t>
            </w:r>
            <w:r>
              <w:rPr>
                <w:rFonts w:hAnsi="Times New Roman" w:cs="Times New Roman" w:hint="eastAsia"/>
                <w:color w:val="000000" w:themeColor="text1"/>
              </w:rPr>
              <w:t>尿</w:t>
            </w:r>
            <w:r>
              <w:rPr>
                <w:rFonts w:hAnsi="Times New Roman" w:cs="Times New Roman"/>
                <w:color w:val="000000" w:themeColor="text1"/>
              </w:rPr>
              <w:t>基复合肥</w:t>
            </w:r>
            <w:r>
              <w:rPr>
                <w:rFonts w:hint="eastAsia"/>
                <w:color w:val="000000" w:themeColor="text1"/>
                <w:szCs w:val="18"/>
              </w:rPr>
              <w:t>生产工段</w:t>
            </w:r>
          </w:p>
        </w:tc>
        <w:tc>
          <w:tcPr>
            <w:tcW w:w="1417"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color w:val="000000" w:themeColor="text1"/>
                <w:szCs w:val="18"/>
              </w:rPr>
              <w:t>造粒机</w:t>
            </w:r>
          </w:p>
        </w:tc>
        <w:tc>
          <w:tcPr>
            <w:tcW w:w="2693" w:type="dxa"/>
            <w:vAlign w:val="center"/>
          </w:tcPr>
          <w:p w:rsidR="00C861DA" w:rsidRDefault="0044752E">
            <w:pPr>
              <w:pStyle w:val="TableParagraph"/>
              <w:autoSpaceDE/>
              <w:autoSpaceDN/>
              <w:adjustRightInd/>
              <w:ind w:leftChars="20" w:left="42"/>
              <w:jc w:val="center"/>
              <w:rPr>
                <w:rFonts w:cs="宋体"/>
                <w:b/>
                <w:bCs/>
                <w:color w:val="000000" w:themeColor="text1"/>
                <w:szCs w:val="18"/>
              </w:rPr>
            </w:pPr>
            <w:r>
              <w:rPr>
                <w:rFonts w:cs="宋体" w:hint="eastAsia"/>
                <w:color w:val="000000" w:themeColor="text1"/>
                <w:szCs w:val="18"/>
              </w:rPr>
              <w:t>脉冲除尘</w:t>
            </w:r>
          </w:p>
        </w:tc>
        <w:tc>
          <w:tcPr>
            <w:tcW w:w="832" w:type="dxa"/>
            <w:vAlign w:val="center"/>
          </w:tcPr>
          <w:p w:rsidR="00C861DA" w:rsidRDefault="0044752E">
            <w:pPr>
              <w:pStyle w:val="TableParagraph"/>
              <w:autoSpaceDE/>
              <w:autoSpaceDN/>
              <w:adjustRightInd/>
              <w:jc w:val="center"/>
              <w:rPr>
                <w:rFonts w:cs="宋体"/>
                <w:b/>
                <w:bCs/>
                <w:color w:val="000000" w:themeColor="text1"/>
                <w:szCs w:val="18"/>
              </w:rPr>
            </w:pPr>
            <w:r>
              <w:rPr>
                <w:rFonts w:hint="eastAsia"/>
                <w:color w:val="000000" w:themeColor="text1"/>
                <w:szCs w:val="18"/>
              </w:rPr>
              <w:t>1</w:t>
            </w:r>
            <w:r>
              <w:rPr>
                <w:rFonts w:cs="宋体"/>
                <w:color w:val="000000" w:themeColor="text1"/>
                <w:szCs w:val="18"/>
              </w:rPr>
              <w:t>套</w:t>
            </w:r>
          </w:p>
        </w:tc>
        <w:tc>
          <w:tcPr>
            <w:tcW w:w="1252" w:type="dxa"/>
            <w:vAlign w:val="center"/>
          </w:tcPr>
          <w:p w:rsidR="00C861DA" w:rsidRDefault="0044752E">
            <w:pPr>
              <w:pStyle w:val="TableParagraph"/>
              <w:autoSpaceDE/>
              <w:autoSpaceDN/>
              <w:adjustRightInd/>
              <w:jc w:val="center"/>
              <w:rPr>
                <w:rFonts w:cs="宋体"/>
                <w:b/>
                <w:bCs/>
                <w:color w:val="000000" w:themeColor="text1"/>
                <w:szCs w:val="18"/>
              </w:rPr>
            </w:pPr>
            <w:r>
              <w:rPr>
                <w:color w:val="000000" w:themeColor="text1"/>
                <w:szCs w:val="22"/>
              </w:rPr>
              <w:t>4</w:t>
            </w:r>
          </w:p>
        </w:tc>
      </w:tr>
      <w:tr w:rsidR="00C861DA">
        <w:trPr>
          <w:trHeight w:val="369"/>
          <w:jc w:val="center"/>
        </w:trPr>
        <w:tc>
          <w:tcPr>
            <w:tcW w:w="553"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569"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417" w:type="dxa"/>
            <w:vAlign w:val="center"/>
          </w:tcPr>
          <w:p w:rsidR="00C861DA" w:rsidRDefault="0044752E">
            <w:pPr>
              <w:pStyle w:val="TableParagraph"/>
              <w:autoSpaceDE/>
              <w:autoSpaceDN/>
              <w:adjustRightInd/>
              <w:spacing w:before="88"/>
              <w:jc w:val="center"/>
              <w:rPr>
                <w:rFonts w:cs="宋体"/>
                <w:b/>
                <w:bCs/>
                <w:color w:val="000000" w:themeColor="text1"/>
                <w:szCs w:val="18"/>
              </w:rPr>
            </w:pPr>
            <w:r>
              <w:rPr>
                <w:rFonts w:cs="宋体" w:hint="eastAsia"/>
                <w:color w:val="000000" w:themeColor="text1"/>
                <w:szCs w:val="18"/>
              </w:rPr>
              <w:t>吸收塔</w:t>
            </w:r>
          </w:p>
        </w:tc>
        <w:tc>
          <w:tcPr>
            <w:tcW w:w="2693" w:type="dxa"/>
            <w:vAlign w:val="center"/>
          </w:tcPr>
          <w:p w:rsidR="00C861DA" w:rsidRDefault="0044752E">
            <w:pPr>
              <w:pStyle w:val="TableParagraph"/>
              <w:autoSpaceDE/>
              <w:autoSpaceDN/>
              <w:adjustRightInd/>
              <w:spacing w:before="88"/>
              <w:ind w:leftChars="20" w:left="42"/>
              <w:jc w:val="center"/>
              <w:rPr>
                <w:rFonts w:cs="宋体"/>
                <w:b/>
                <w:bCs/>
                <w:color w:val="000000" w:themeColor="text1"/>
                <w:szCs w:val="18"/>
              </w:rPr>
            </w:pPr>
            <w:r>
              <w:rPr>
                <w:rFonts w:cs="宋体" w:hint="eastAsia"/>
                <w:color w:val="000000" w:themeColor="text1"/>
                <w:szCs w:val="18"/>
              </w:rPr>
              <w:t>吸收塔</w:t>
            </w:r>
          </w:p>
        </w:tc>
        <w:tc>
          <w:tcPr>
            <w:tcW w:w="832"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color w:val="000000" w:themeColor="text1"/>
                <w:szCs w:val="18"/>
              </w:rPr>
              <w:t>1</w:t>
            </w:r>
            <w:r>
              <w:rPr>
                <w:rFonts w:cs="宋体"/>
                <w:color w:val="000000" w:themeColor="text1"/>
                <w:szCs w:val="18"/>
              </w:rPr>
              <w:t>套</w:t>
            </w:r>
          </w:p>
        </w:tc>
        <w:tc>
          <w:tcPr>
            <w:tcW w:w="1252" w:type="dxa"/>
            <w:vAlign w:val="center"/>
          </w:tcPr>
          <w:p w:rsidR="00C861DA" w:rsidRDefault="0044752E">
            <w:pPr>
              <w:pStyle w:val="TableParagraph"/>
              <w:autoSpaceDE/>
              <w:autoSpaceDN/>
              <w:adjustRightInd/>
              <w:jc w:val="center"/>
              <w:rPr>
                <w:rFonts w:cs="宋体"/>
                <w:b/>
                <w:bCs/>
                <w:color w:val="000000" w:themeColor="text1"/>
                <w:szCs w:val="18"/>
              </w:rPr>
            </w:pPr>
            <w:r>
              <w:rPr>
                <w:color w:val="000000" w:themeColor="text1"/>
                <w:szCs w:val="18"/>
              </w:rPr>
              <w:t>1</w:t>
            </w:r>
            <w:r>
              <w:rPr>
                <w:rFonts w:hint="eastAsia"/>
                <w:color w:val="000000" w:themeColor="text1"/>
                <w:szCs w:val="18"/>
              </w:rPr>
              <w:t>0</w:t>
            </w:r>
          </w:p>
        </w:tc>
      </w:tr>
      <w:tr w:rsidR="00C861DA">
        <w:trPr>
          <w:trHeight w:val="369"/>
          <w:jc w:val="center"/>
        </w:trPr>
        <w:tc>
          <w:tcPr>
            <w:tcW w:w="553" w:type="dxa"/>
            <w:vMerge w:val="restart"/>
            <w:vAlign w:val="center"/>
          </w:tcPr>
          <w:p w:rsidR="00C861DA" w:rsidRDefault="0044752E">
            <w:pPr>
              <w:pStyle w:val="TableParagraph"/>
              <w:autoSpaceDE/>
              <w:autoSpaceDN/>
              <w:adjustRightInd/>
              <w:jc w:val="center"/>
              <w:rPr>
                <w:rFonts w:cs="宋体"/>
                <w:b/>
                <w:bCs/>
                <w:color w:val="000000" w:themeColor="text1"/>
                <w:szCs w:val="18"/>
              </w:rPr>
            </w:pPr>
            <w:r>
              <w:rPr>
                <w:rFonts w:hint="eastAsia"/>
                <w:color w:val="000000" w:themeColor="text1"/>
              </w:rPr>
              <w:t>废水处理</w:t>
            </w:r>
          </w:p>
        </w:tc>
        <w:tc>
          <w:tcPr>
            <w:tcW w:w="1569" w:type="dxa"/>
            <w:vMerge w:val="restart"/>
            <w:vAlign w:val="center"/>
          </w:tcPr>
          <w:p w:rsidR="00C861DA" w:rsidRDefault="0044752E">
            <w:pPr>
              <w:pStyle w:val="TableParagraph"/>
              <w:autoSpaceDE/>
              <w:autoSpaceDN/>
              <w:adjustRightInd/>
              <w:jc w:val="center"/>
              <w:rPr>
                <w:rFonts w:cs="宋体"/>
                <w:bCs/>
                <w:color w:val="000000" w:themeColor="text1"/>
                <w:szCs w:val="18"/>
              </w:rPr>
            </w:pPr>
            <w:r>
              <w:rPr>
                <w:rFonts w:hAnsi="Times New Roman" w:cs="Times New Roman"/>
                <w:color w:val="000000" w:themeColor="text1"/>
              </w:rPr>
              <w:t>绿色有机硝基复合肥</w:t>
            </w:r>
            <w:r>
              <w:rPr>
                <w:rFonts w:cs="宋体" w:hint="eastAsia"/>
                <w:bCs/>
                <w:color w:val="000000" w:themeColor="text1"/>
                <w:szCs w:val="18"/>
              </w:rPr>
              <w:t>生产线和绿色有机尿基复合肥生产线</w:t>
            </w:r>
          </w:p>
        </w:tc>
        <w:tc>
          <w:tcPr>
            <w:tcW w:w="1417" w:type="dxa"/>
            <w:vMerge w:val="restart"/>
            <w:vAlign w:val="center"/>
          </w:tcPr>
          <w:p w:rsidR="00C861DA" w:rsidRDefault="0044752E">
            <w:pPr>
              <w:pStyle w:val="TableParagraph"/>
              <w:autoSpaceDE/>
              <w:autoSpaceDN/>
              <w:adjustRightInd/>
              <w:spacing w:before="102"/>
              <w:jc w:val="center"/>
              <w:rPr>
                <w:rFonts w:cs="宋体"/>
                <w:bCs/>
                <w:color w:val="000000" w:themeColor="text1"/>
                <w:szCs w:val="18"/>
              </w:rPr>
            </w:pPr>
            <w:r>
              <w:rPr>
                <w:rFonts w:cs="宋体" w:hint="eastAsia"/>
                <w:bCs/>
                <w:color w:val="000000" w:themeColor="text1"/>
                <w:szCs w:val="18"/>
              </w:rPr>
              <w:t>初期雨水</w:t>
            </w:r>
          </w:p>
        </w:tc>
        <w:tc>
          <w:tcPr>
            <w:tcW w:w="2693" w:type="dxa"/>
            <w:vAlign w:val="center"/>
          </w:tcPr>
          <w:p w:rsidR="00C861DA" w:rsidRDefault="0044752E">
            <w:pPr>
              <w:pStyle w:val="a3"/>
              <w:snapToGrid w:val="0"/>
              <w:ind w:leftChars="20" w:left="42" w:firstLineChars="0" w:firstLine="0"/>
              <w:jc w:val="center"/>
              <w:rPr>
                <w:rFonts w:ascii="Times New Roman" w:cs="宋体"/>
                <w:b/>
                <w:bCs/>
                <w:color w:val="000000" w:themeColor="text1"/>
                <w:szCs w:val="18"/>
              </w:rPr>
            </w:pPr>
            <w:r>
              <w:rPr>
                <w:rFonts w:cs="宋体" w:hint="eastAsia"/>
                <w:color w:val="000000" w:themeColor="text1"/>
                <w:szCs w:val="18"/>
              </w:rPr>
              <w:t>初期雨水收集池</w:t>
            </w:r>
          </w:p>
        </w:tc>
        <w:tc>
          <w:tcPr>
            <w:tcW w:w="832" w:type="dxa"/>
            <w:vAlign w:val="center"/>
          </w:tcPr>
          <w:p w:rsidR="00C861DA" w:rsidRDefault="0044752E">
            <w:pPr>
              <w:autoSpaceDE/>
              <w:autoSpaceDN/>
              <w:adjustRightInd/>
              <w:jc w:val="center"/>
              <w:rPr>
                <w:rFonts w:ascii="Times New Roman" w:eastAsia="宋体" w:cs="宋体"/>
                <w:b/>
                <w:bCs/>
                <w:color w:val="000000" w:themeColor="text1"/>
                <w:szCs w:val="18"/>
              </w:rPr>
            </w:pPr>
            <w:r>
              <w:rPr>
                <w:rFonts w:ascii="Times New Roman" w:eastAsia="宋体"/>
                <w:color w:val="000000" w:themeColor="text1"/>
                <w:szCs w:val="18"/>
              </w:rPr>
              <w:t>4300m</w:t>
            </w:r>
            <w:r>
              <w:rPr>
                <w:rFonts w:ascii="Times New Roman" w:eastAsia="宋体"/>
                <w:color w:val="000000" w:themeColor="text1"/>
                <w:szCs w:val="18"/>
                <w:vertAlign w:val="superscript"/>
              </w:rPr>
              <w:t>3</w:t>
            </w:r>
          </w:p>
        </w:tc>
        <w:tc>
          <w:tcPr>
            <w:tcW w:w="1252" w:type="dxa"/>
            <w:vMerge w:val="restart"/>
            <w:vAlign w:val="center"/>
          </w:tcPr>
          <w:p w:rsidR="00C861DA" w:rsidRDefault="0044752E">
            <w:pPr>
              <w:pStyle w:val="TableParagraph"/>
              <w:autoSpaceDE/>
              <w:autoSpaceDN/>
              <w:adjustRightInd/>
              <w:jc w:val="center"/>
              <w:rPr>
                <w:rFonts w:cs="宋体"/>
                <w:b/>
                <w:bCs/>
                <w:color w:val="000000" w:themeColor="text1"/>
                <w:szCs w:val="18"/>
              </w:rPr>
            </w:pPr>
            <w:r>
              <w:rPr>
                <w:rFonts w:cs="宋体"/>
                <w:color w:val="000000" w:themeColor="text1"/>
                <w:szCs w:val="18"/>
              </w:rPr>
              <w:t>5</w:t>
            </w:r>
            <w:r>
              <w:rPr>
                <w:rFonts w:cs="宋体" w:hint="eastAsia"/>
                <w:color w:val="000000" w:themeColor="text1"/>
                <w:szCs w:val="18"/>
              </w:rPr>
              <w:t>0</w:t>
            </w:r>
          </w:p>
        </w:tc>
      </w:tr>
      <w:tr w:rsidR="00C861DA">
        <w:trPr>
          <w:trHeight w:val="369"/>
          <w:jc w:val="center"/>
        </w:trPr>
        <w:tc>
          <w:tcPr>
            <w:tcW w:w="553"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569"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417"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2693" w:type="dxa"/>
            <w:vAlign w:val="center"/>
          </w:tcPr>
          <w:p w:rsidR="00C861DA" w:rsidRDefault="0044752E">
            <w:pPr>
              <w:pStyle w:val="TableParagraph"/>
              <w:autoSpaceDE/>
              <w:autoSpaceDN/>
              <w:adjustRightInd/>
              <w:ind w:leftChars="20" w:left="42"/>
              <w:jc w:val="center"/>
              <w:rPr>
                <w:rFonts w:cs="宋体"/>
                <w:b/>
                <w:bCs/>
                <w:color w:val="000000" w:themeColor="text1"/>
                <w:szCs w:val="18"/>
              </w:rPr>
            </w:pPr>
            <w:r>
              <w:rPr>
                <w:rFonts w:cs="宋体" w:hint="eastAsia"/>
                <w:color w:val="000000" w:themeColor="text1"/>
                <w:szCs w:val="18"/>
              </w:rPr>
              <w:t>雨水沟</w:t>
            </w:r>
          </w:p>
        </w:tc>
        <w:tc>
          <w:tcPr>
            <w:tcW w:w="832" w:type="dxa"/>
            <w:vAlign w:val="center"/>
          </w:tcPr>
          <w:p w:rsidR="00C861DA" w:rsidRDefault="0044752E">
            <w:pPr>
              <w:autoSpaceDE/>
              <w:autoSpaceDN/>
              <w:adjustRightInd/>
              <w:jc w:val="center"/>
              <w:rPr>
                <w:rFonts w:ascii="Times New Roman" w:eastAsia="宋体" w:cs="宋体"/>
                <w:b/>
                <w:bCs/>
                <w:color w:val="000000" w:themeColor="text1"/>
                <w:szCs w:val="18"/>
              </w:rPr>
            </w:pPr>
            <w:r>
              <w:rPr>
                <w:rFonts w:ascii="Times New Roman" w:eastAsia="宋体" w:hint="eastAsia"/>
                <w:color w:val="000000" w:themeColor="text1"/>
                <w:szCs w:val="18"/>
              </w:rPr>
              <w:t>1</w:t>
            </w:r>
            <w:r>
              <w:rPr>
                <w:rFonts w:ascii="Times New Roman" w:eastAsia="宋体" w:cs="宋体"/>
                <w:color w:val="000000" w:themeColor="text1"/>
                <w:szCs w:val="18"/>
              </w:rPr>
              <w:t>套</w:t>
            </w:r>
          </w:p>
        </w:tc>
        <w:tc>
          <w:tcPr>
            <w:tcW w:w="1252" w:type="dxa"/>
            <w:vMerge/>
            <w:vAlign w:val="center"/>
          </w:tcPr>
          <w:p w:rsidR="00C861DA" w:rsidRDefault="00C861DA">
            <w:pPr>
              <w:pStyle w:val="TableParagraph"/>
              <w:autoSpaceDE/>
              <w:autoSpaceDN/>
              <w:adjustRightInd/>
              <w:jc w:val="center"/>
              <w:rPr>
                <w:rFonts w:cs="宋体"/>
                <w:b/>
                <w:bCs/>
                <w:color w:val="000000" w:themeColor="text1"/>
                <w:szCs w:val="18"/>
              </w:rPr>
            </w:pPr>
          </w:p>
        </w:tc>
      </w:tr>
      <w:tr w:rsidR="00C861DA">
        <w:trPr>
          <w:trHeight w:val="369"/>
          <w:jc w:val="center"/>
        </w:trPr>
        <w:tc>
          <w:tcPr>
            <w:tcW w:w="553"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569" w:type="dxa"/>
            <w:vMerge/>
            <w:vAlign w:val="center"/>
          </w:tcPr>
          <w:p w:rsidR="00C861DA" w:rsidRDefault="00C861DA">
            <w:pPr>
              <w:pStyle w:val="TableParagraph"/>
              <w:autoSpaceDE/>
              <w:autoSpaceDN/>
              <w:adjustRightInd/>
              <w:jc w:val="center"/>
              <w:rPr>
                <w:rFonts w:cs="宋体"/>
                <w:bCs/>
                <w:color w:val="000000" w:themeColor="text1"/>
                <w:szCs w:val="18"/>
              </w:rPr>
            </w:pPr>
          </w:p>
        </w:tc>
        <w:tc>
          <w:tcPr>
            <w:tcW w:w="1417" w:type="dxa"/>
            <w:vAlign w:val="center"/>
          </w:tcPr>
          <w:p w:rsidR="00C861DA" w:rsidRDefault="0044752E">
            <w:pPr>
              <w:pStyle w:val="TableParagraph"/>
              <w:autoSpaceDE/>
              <w:autoSpaceDN/>
              <w:adjustRightInd/>
              <w:jc w:val="center"/>
              <w:rPr>
                <w:rFonts w:cs="宋体"/>
                <w:color w:val="000000" w:themeColor="text1"/>
                <w:szCs w:val="18"/>
              </w:rPr>
            </w:pPr>
            <w:r>
              <w:rPr>
                <w:rFonts w:cs="宋体" w:hint="eastAsia"/>
                <w:bCs/>
                <w:color w:val="000000" w:themeColor="text1"/>
                <w:szCs w:val="18"/>
              </w:rPr>
              <w:t>各冷凝器</w:t>
            </w:r>
          </w:p>
        </w:tc>
        <w:tc>
          <w:tcPr>
            <w:tcW w:w="2693" w:type="dxa"/>
            <w:vAlign w:val="center"/>
          </w:tcPr>
          <w:p w:rsidR="00C861DA" w:rsidRDefault="0044752E">
            <w:pPr>
              <w:pStyle w:val="TableParagraph"/>
              <w:autoSpaceDE/>
              <w:autoSpaceDN/>
              <w:adjustRightInd/>
              <w:ind w:leftChars="20" w:left="42"/>
              <w:jc w:val="center"/>
              <w:rPr>
                <w:rFonts w:cs="宋体"/>
                <w:color w:val="000000" w:themeColor="text1"/>
                <w:szCs w:val="18"/>
              </w:rPr>
            </w:pPr>
            <w:r>
              <w:rPr>
                <w:rFonts w:cs="宋体" w:hint="eastAsia"/>
                <w:bCs/>
                <w:color w:val="000000" w:themeColor="text1"/>
                <w:szCs w:val="18"/>
              </w:rPr>
              <w:t>输送管道</w:t>
            </w:r>
          </w:p>
        </w:tc>
        <w:tc>
          <w:tcPr>
            <w:tcW w:w="832" w:type="dxa"/>
            <w:vAlign w:val="center"/>
          </w:tcPr>
          <w:p w:rsidR="00C861DA" w:rsidRDefault="0044752E">
            <w:pPr>
              <w:autoSpaceDE/>
              <w:autoSpaceDN/>
              <w:adjustRightInd/>
              <w:jc w:val="center"/>
              <w:rPr>
                <w:rFonts w:ascii="Times New Roman" w:eastAsia="宋体"/>
                <w:color w:val="000000" w:themeColor="text1"/>
                <w:szCs w:val="18"/>
              </w:rPr>
            </w:pPr>
            <w:r>
              <w:rPr>
                <w:rFonts w:ascii="Times New Roman" w:eastAsia="宋体" w:hint="eastAsia"/>
                <w:color w:val="000000" w:themeColor="text1"/>
                <w:szCs w:val="18"/>
              </w:rPr>
              <w:t>1</w:t>
            </w:r>
            <w:r>
              <w:rPr>
                <w:rFonts w:ascii="Times New Roman" w:eastAsia="宋体" w:cs="宋体"/>
                <w:color w:val="000000" w:themeColor="text1"/>
                <w:szCs w:val="18"/>
              </w:rPr>
              <w:t>套</w:t>
            </w:r>
          </w:p>
        </w:tc>
        <w:tc>
          <w:tcPr>
            <w:tcW w:w="1252" w:type="dxa"/>
            <w:vMerge/>
            <w:vAlign w:val="center"/>
          </w:tcPr>
          <w:p w:rsidR="00C861DA" w:rsidRDefault="00C861DA">
            <w:pPr>
              <w:pStyle w:val="TableParagraph"/>
              <w:autoSpaceDE/>
              <w:autoSpaceDN/>
              <w:adjustRightInd/>
              <w:jc w:val="center"/>
              <w:rPr>
                <w:rFonts w:cs="宋体"/>
                <w:b/>
                <w:bCs/>
                <w:color w:val="000000" w:themeColor="text1"/>
                <w:szCs w:val="18"/>
              </w:rPr>
            </w:pPr>
          </w:p>
        </w:tc>
      </w:tr>
      <w:tr w:rsidR="00C861DA">
        <w:trPr>
          <w:trHeight w:val="369"/>
          <w:jc w:val="center"/>
        </w:trPr>
        <w:tc>
          <w:tcPr>
            <w:tcW w:w="553"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569" w:type="dxa"/>
            <w:vMerge/>
            <w:vAlign w:val="center"/>
          </w:tcPr>
          <w:p w:rsidR="00C861DA" w:rsidRDefault="00C861DA">
            <w:pPr>
              <w:pStyle w:val="TableParagraph"/>
              <w:autoSpaceDE/>
              <w:autoSpaceDN/>
              <w:adjustRightInd/>
              <w:jc w:val="center"/>
              <w:rPr>
                <w:rFonts w:cs="宋体"/>
                <w:bCs/>
                <w:color w:val="000000" w:themeColor="text1"/>
                <w:szCs w:val="18"/>
              </w:rPr>
            </w:pPr>
          </w:p>
        </w:tc>
        <w:tc>
          <w:tcPr>
            <w:tcW w:w="1417" w:type="dxa"/>
            <w:vAlign w:val="center"/>
          </w:tcPr>
          <w:p w:rsidR="00C861DA" w:rsidRDefault="0044752E">
            <w:pPr>
              <w:pStyle w:val="TableParagraph"/>
              <w:autoSpaceDE/>
              <w:autoSpaceDN/>
              <w:adjustRightInd/>
              <w:jc w:val="center"/>
              <w:rPr>
                <w:rFonts w:cs="宋体"/>
                <w:bCs/>
                <w:color w:val="000000" w:themeColor="text1"/>
                <w:szCs w:val="18"/>
              </w:rPr>
            </w:pPr>
            <w:r>
              <w:rPr>
                <w:rFonts w:cs="宋体" w:hint="eastAsia"/>
                <w:bCs/>
                <w:color w:val="000000" w:themeColor="text1"/>
                <w:szCs w:val="18"/>
              </w:rPr>
              <w:t>冷凝器</w:t>
            </w:r>
          </w:p>
        </w:tc>
        <w:tc>
          <w:tcPr>
            <w:tcW w:w="2693" w:type="dxa"/>
            <w:vAlign w:val="center"/>
          </w:tcPr>
          <w:p w:rsidR="00C861DA" w:rsidRDefault="0044752E">
            <w:pPr>
              <w:pStyle w:val="TableParagraph"/>
              <w:autoSpaceDE/>
              <w:autoSpaceDN/>
              <w:adjustRightInd/>
              <w:ind w:leftChars="20" w:left="42"/>
              <w:jc w:val="center"/>
              <w:rPr>
                <w:rFonts w:cs="宋体"/>
                <w:bCs/>
                <w:color w:val="000000" w:themeColor="text1"/>
                <w:szCs w:val="18"/>
              </w:rPr>
            </w:pPr>
            <w:r>
              <w:rPr>
                <w:rFonts w:cs="宋体" w:hint="eastAsia"/>
                <w:bCs/>
                <w:color w:val="000000" w:themeColor="text1"/>
                <w:szCs w:val="18"/>
              </w:rPr>
              <w:t>生产废水收集池</w:t>
            </w:r>
          </w:p>
        </w:tc>
        <w:tc>
          <w:tcPr>
            <w:tcW w:w="832" w:type="dxa"/>
            <w:vAlign w:val="center"/>
          </w:tcPr>
          <w:p w:rsidR="00C861DA" w:rsidRDefault="0044752E">
            <w:pPr>
              <w:autoSpaceDE/>
              <w:autoSpaceDN/>
              <w:adjustRightInd/>
              <w:jc w:val="center"/>
              <w:rPr>
                <w:rFonts w:ascii="Times New Roman" w:eastAsia="宋体"/>
                <w:color w:val="000000" w:themeColor="text1"/>
                <w:szCs w:val="18"/>
              </w:rPr>
            </w:pPr>
            <w:r>
              <w:rPr>
                <w:rFonts w:ascii="Times New Roman" w:eastAsia="宋体" w:hAnsi="Times New Roman" w:cs="Times New Roman" w:hint="eastAsia"/>
                <w:color w:val="000000" w:themeColor="text1"/>
                <w:kern w:val="1"/>
                <w:szCs w:val="24"/>
              </w:rPr>
              <w:t>3</w:t>
            </w:r>
            <w:r>
              <w:rPr>
                <w:rFonts w:ascii="Times New Roman" w:eastAsia="宋体" w:hAnsi="Times New Roman" w:cs="Times New Roman"/>
                <w:color w:val="000000" w:themeColor="text1"/>
                <w:kern w:val="1"/>
                <w:szCs w:val="24"/>
              </w:rPr>
              <w:t>000m</w:t>
            </w:r>
            <w:r>
              <w:rPr>
                <w:rFonts w:ascii="Times New Roman" w:eastAsia="宋体" w:hAnsi="Times New Roman" w:cs="Times New Roman"/>
                <w:color w:val="000000" w:themeColor="text1"/>
                <w:kern w:val="1"/>
                <w:szCs w:val="24"/>
                <w:vertAlign w:val="superscript"/>
              </w:rPr>
              <w:t>3</w:t>
            </w:r>
          </w:p>
        </w:tc>
        <w:tc>
          <w:tcPr>
            <w:tcW w:w="1252"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b/>
                <w:bCs/>
                <w:color w:val="000000" w:themeColor="text1"/>
                <w:szCs w:val="18"/>
              </w:rPr>
              <w:t>1</w:t>
            </w:r>
            <w:r>
              <w:rPr>
                <w:rFonts w:cs="宋体"/>
                <w:b/>
                <w:bCs/>
                <w:color w:val="000000" w:themeColor="text1"/>
                <w:szCs w:val="18"/>
              </w:rPr>
              <w:t>0</w:t>
            </w:r>
          </w:p>
        </w:tc>
      </w:tr>
      <w:tr w:rsidR="00C861DA">
        <w:trPr>
          <w:trHeight w:val="369"/>
          <w:jc w:val="center"/>
        </w:trPr>
        <w:tc>
          <w:tcPr>
            <w:tcW w:w="553" w:type="dxa"/>
            <w:vMerge w:val="restart"/>
            <w:vAlign w:val="center"/>
          </w:tcPr>
          <w:p w:rsidR="00C861DA" w:rsidRDefault="0044752E">
            <w:pPr>
              <w:autoSpaceDE/>
              <w:autoSpaceDN/>
              <w:adjustRightInd/>
              <w:jc w:val="center"/>
              <w:rPr>
                <w:rFonts w:ascii="Times New Roman" w:eastAsia="宋体" w:cs="宋体"/>
                <w:b/>
                <w:bCs/>
                <w:color w:val="000000" w:themeColor="text1"/>
                <w:szCs w:val="18"/>
              </w:rPr>
            </w:pPr>
            <w:r>
              <w:rPr>
                <w:rFonts w:ascii="Times New Roman" w:eastAsia="宋体" w:hint="eastAsia"/>
                <w:color w:val="000000" w:themeColor="text1"/>
              </w:rPr>
              <w:t>噪声处理</w:t>
            </w:r>
          </w:p>
        </w:tc>
        <w:tc>
          <w:tcPr>
            <w:tcW w:w="1569" w:type="dxa"/>
            <w:vMerge w:val="restart"/>
            <w:vAlign w:val="center"/>
          </w:tcPr>
          <w:p w:rsidR="00C861DA" w:rsidRDefault="0044752E">
            <w:pPr>
              <w:autoSpaceDE/>
              <w:autoSpaceDN/>
              <w:adjustRightInd/>
              <w:jc w:val="center"/>
              <w:rPr>
                <w:rFonts w:ascii="Times New Roman" w:eastAsia="宋体" w:cs="宋体"/>
                <w:b/>
                <w:bCs/>
                <w:color w:val="000000" w:themeColor="text1"/>
                <w:szCs w:val="18"/>
              </w:rPr>
            </w:pPr>
            <w:r>
              <w:rPr>
                <w:rFonts w:ascii="Times New Roman" w:eastAsia="宋体" w:hint="eastAsia"/>
                <w:color w:val="000000" w:themeColor="text1"/>
              </w:rPr>
              <w:t>各设备</w:t>
            </w:r>
          </w:p>
        </w:tc>
        <w:tc>
          <w:tcPr>
            <w:tcW w:w="1417" w:type="dxa"/>
            <w:vAlign w:val="center"/>
          </w:tcPr>
          <w:p w:rsidR="00C861DA" w:rsidRDefault="0044752E">
            <w:pPr>
              <w:pStyle w:val="TableParagraph"/>
              <w:autoSpaceDE/>
              <w:autoSpaceDN/>
              <w:adjustRightInd/>
              <w:spacing w:before="1"/>
              <w:jc w:val="center"/>
              <w:rPr>
                <w:rFonts w:cs="宋体"/>
                <w:b/>
                <w:bCs/>
                <w:color w:val="000000" w:themeColor="text1"/>
                <w:szCs w:val="18"/>
              </w:rPr>
            </w:pPr>
            <w:r>
              <w:rPr>
                <w:rFonts w:cs="宋体"/>
                <w:color w:val="000000" w:themeColor="text1"/>
                <w:szCs w:val="18"/>
              </w:rPr>
              <w:t>压力机</w:t>
            </w:r>
          </w:p>
        </w:tc>
        <w:tc>
          <w:tcPr>
            <w:tcW w:w="2693" w:type="dxa"/>
            <w:vAlign w:val="center"/>
          </w:tcPr>
          <w:p w:rsidR="00C861DA" w:rsidRDefault="0044752E">
            <w:pPr>
              <w:pStyle w:val="TableParagraph"/>
              <w:autoSpaceDE/>
              <w:autoSpaceDN/>
              <w:adjustRightInd/>
              <w:spacing w:before="1"/>
              <w:ind w:leftChars="20" w:left="42"/>
              <w:jc w:val="center"/>
              <w:rPr>
                <w:rFonts w:cs="宋体"/>
                <w:b/>
                <w:bCs/>
                <w:color w:val="000000" w:themeColor="text1"/>
                <w:szCs w:val="18"/>
              </w:rPr>
            </w:pPr>
            <w:r>
              <w:rPr>
                <w:rFonts w:cs="宋体"/>
                <w:color w:val="000000" w:themeColor="text1"/>
                <w:szCs w:val="18"/>
              </w:rPr>
              <w:t>减振器、冲压线全封闭</w:t>
            </w:r>
            <w:r>
              <w:rPr>
                <w:rFonts w:cs="宋体" w:hint="eastAsia"/>
                <w:color w:val="000000" w:themeColor="text1"/>
                <w:szCs w:val="18"/>
              </w:rPr>
              <w:t>。</w:t>
            </w:r>
          </w:p>
        </w:tc>
        <w:tc>
          <w:tcPr>
            <w:tcW w:w="832" w:type="dxa"/>
            <w:vMerge w:val="restart"/>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color w:val="000000" w:themeColor="text1"/>
                <w:szCs w:val="18"/>
              </w:rPr>
              <w:t>若干</w:t>
            </w:r>
          </w:p>
        </w:tc>
        <w:tc>
          <w:tcPr>
            <w:tcW w:w="1252" w:type="dxa"/>
            <w:vMerge w:val="restart"/>
            <w:vAlign w:val="center"/>
          </w:tcPr>
          <w:p w:rsidR="00C861DA" w:rsidRDefault="0044752E">
            <w:pPr>
              <w:pStyle w:val="TableParagraph"/>
              <w:autoSpaceDE/>
              <w:autoSpaceDN/>
              <w:adjustRightInd/>
              <w:jc w:val="center"/>
              <w:rPr>
                <w:rFonts w:cs="宋体"/>
                <w:b/>
                <w:bCs/>
                <w:color w:val="000000" w:themeColor="text1"/>
                <w:szCs w:val="18"/>
              </w:rPr>
            </w:pPr>
            <w:r>
              <w:rPr>
                <w:rFonts w:hint="eastAsia"/>
                <w:color w:val="000000" w:themeColor="text1"/>
                <w:szCs w:val="18"/>
              </w:rPr>
              <w:t>60</w:t>
            </w:r>
          </w:p>
        </w:tc>
      </w:tr>
      <w:tr w:rsidR="00C861DA">
        <w:trPr>
          <w:trHeight w:val="369"/>
          <w:jc w:val="center"/>
        </w:trPr>
        <w:tc>
          <w:tcPr>
            <w:tcW w:w="553"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569"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417"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color w:val="000000" w:themeColor="text1"/>
                <w:szCs w:val="18"/>
              </w:rPr>
              <w:t>各种风机</w:t>
            </w:r>
          </w:p>
        </w:tc>
        <w:tc>
          <w:tcPr>
            <w:tcW w:w="2693" w:type="dxa"/>
            <w:vAlign w:val="center"/>
          </w:tcPr>
          <w:p w:rsidR="00C861DA" w:rsidRDefault="0044752E">
            <w:pPr>
              <w:pStyle w:val="TableParagraph"/>
              <w:autoSpaceDE/>
              <w:autoSpaceDN/>
              <w:adjustRightInd/>
              <w:ind w:leftChars="20" w:left="42"/>
              <w:jc w:val="center"/>
              <w:rPr>
                <w:rFonts w:cs="宋体"/>
                <w:b/>
                <w:bCs/>
                <w:color w:val="000000" w:themeColor="text1"/>
                <w:szCs w:val="18"/>
              </w:rPr>
            </w:pPr>
            <w:r>
              <w:rPr>
                <w:rFonts w:cs="宋体"/>
                <w:color w:val="000000" w:themeColor="text1"/>
                <w:szCs w:val="18"/>
              </w:rPr>
              <w:t>选节能高效风机、建筑隔声</w:t>
            </w:r>
            <w:r>
              <w:rPr>
                <w:rFonts w:cs="宋体" w:hint="eastAsia"/>
                <w:color w:val="000000" w:themeColor="text1"/>
                <w:szCs w:val="18"/>
              </w:rPr>
              <w:t>。</w:t>
            </w:r>
          </w:p>
        </w:tc>
        <w:tc>
          <w:tcPr>
            <w:tcW w:w="832"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252" w:type="dxa"/>
            <w:vMerge/>
            <w:vAlign w:val="center"/>
          </w:tcPr>
          <w:p w:rsidR="00C861DA" w:rsidRDefault="00C861DA">
            <w:pPr>
              <w:pStyle w:val="TableParagraph"/>
              <w:autoSpaceDE/>
              <w:autoSpaceDN/>
              <w:adjustRightInd/>
              <w:spacing w:before="162"/>
              <w:jc w:val="center"/>
              <w:rPr>
                <w:rFonts w:cs="宋体"/>
                <w:b/>
                <w:bCs/>
                <w:color w:val="000000" w:themeColor="text1"/>
                <w:szCs w:val="18"/>
              </w:rPr>
            </w:pPr>
          </w:p>
        </w:tc>
      </w:tr>
      <w:tr w:rsidR="00C861DA">
        <w:trPr>
          <w:trHeight w:val="369"/>
          <w:jc w:val="center"/>
        </w:trPr>
        <w:tc>
          <w:tcPr>
            <w:tcW w:w="553"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569"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417" w:type="dxa"/>
            <w:vAlign w:val="center"/>
          </w:tcPr>
          <w:p w:rsidR="00C861DA" w:rsidRDefault="0044752E">
            <w:pPr>
              <w:pStyle w:val="TableParagraph"/>
              <w:autoSpaceDE/>
              <w:autoSpaceDN/>
              <w:adjustRightInd/>
              <w:jc w:val="center"/>
              <w:rPr>
                <w:rFonts w:cs="宋体"/>
                <w:color w:val="000000" w:themeColor="text1"/>
                <w:szCs w:val="18"/>
              </w:rPr>
            </w:pPr>
            <w:r>
              <w:rPr>
                <w:rFonts w:cs="宋体"/>
                <w:color w:val="000000" w:themeColor="text1"/>
                <w:szCs w:val="18"/>
              </w:rPr>
              <w:t>空压站</w:t>
            </w:r>
          </w:p>
          <w:p w:rsidR="00C861DA" w:rsidRDefault="0044752E">
            <w:pPr>
              <w:pStyle w:val="TableParagraph"/>
              <w:autoSpaceDE/>
              <w:autoSpaceDN/>
              <w:adjustRightInd/>
              <w:jc w:val="center"/>
              <w:rPr>
                <w:rFonts w:cs="宋体"/>
                <w:b/>
                <w:bCs/>
                <w:color w:val="000000" w:themeColor="text1"/>
                <w:szCs w:val="18"/>
              </w:rPr>
            </w:pPr>
            <w:r>
              <w:rPr>
                <w:rFonts w:cs="宋体"/>
                <w:color w:val="000000" w:themeColor="text1"/>
                <w:szCs w:val="18"/>
              </w:rPr>
              <w:t>隔、消声</w:t>
            </w:r>
          </w:p>
        </w:tc>
        <w:tc>
          <w:tcPr>
            <w:tcW w:w="2693" w:type="dxa"/>
            <w:vAlign w:val="center"/>
          </w:tcPr>
          <w:p w:rsidR="00C861DA" w:rsidRDefault="0044752E">
            <w:pPr>
              <w:pStyle w:val="TableParagraph"/>
              <w:autoSpaceDE/>
              <w:autoSpaceDN/>
              <w:adjustRightInd/>
              <w:ind w:leftChars="20" w:left="42"/>
              <w:jc w:val="center"/>
              <w:rPr>
                <w:rFonts w:cs="宋体"/>
                <w:b/>
                <w:bCs/>
                <w:color w:val="000000" w:themeColor="text1"/>
                <w:szCs w:val="18"/>
              </w:rPr>
            </w:pPr>
            <w:r>
              <w:rPr>
                <w:rFonts w:cs="宋体"/>
                <w:color w:val="000000" w:themeColor="text1"/>
                <w:szCs w:val="18"/>
              </w:rPr>
              <w:t>隔消声及建筑隔声</w:t>
            </w:r>
            <w:r>
              <w:rPr>
                <w:rFonts w:cs="宋体" w:hint="eastAsia"/>
                <w:color w:val="000000" w:themeColor="text1"/>
                <w:szCs w:val="18"/>
              </w:rPr>
              <w:t>。</w:t>
            </w:r>
          </w:p>
        </w:tc>
        <w:tc>
          <w:tcPr>
            <w:tcW w:w="832"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252" w:type="dxa"/>
            <w:vMerge/>
            <w:vAlign w:val="center"/>
          </w:tcPr>
          <w:p w:rsidR="00C861DA" w:rsidRDefault="00C861DA">
            <w:pPr>
              <w:pStyle w:val="TableParagraph"/>
              <w:autoSpaceDE/>
              <w:autoSpaceDN/>
              <w:adjustRightInd/>
              <w:spacing w:before="162"/>
              <w:jc w:val="center"/>
              <w:rPr>
                <w:rFonts w:cs="宋体"/>
                <w:b/>
                <w:bCs/>
                <w:color w:val="000000" w:themeColor="text1"/>
                <w:szCs w:val="18"/>
              </w:rPr>
            </w:pPr>
          </w:p>
        </w:tc>
      </w:tr>
      <w:tr w:rsidR="00C861DA">
        <w:trPr>
          <w:trHeight w:val="369"/>
          <w:jc w:val="center"/>
        </w:trPr>
        <w:tc>
          <w:tcPr>
            <w:tcW w:w="553"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569"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417" w:type="dxa"/>
            <w:vAlign w:val="center"/>
          </w:tcPr>
          <w:p w:rsidR="00C861DA" w:rsidRDefault="0044752E">
            <w:pPr>
              <w:pStyle w:val="TableParagraph"/>
              <w:autoSpaceDE/>
              <w:autoSpaceDN/>
              <w:adjustRightInd/>
              <w:jc w:val="center"/>
              <w:rPr>
                <w:rFonts w:cs="宋体"/>
                <w:color w:val="000000" w:themeColor="text1"/>
                <w:szCs w:val="18"/>
              </w:rPr>
            </w:pPr>
            <w:r>
              <w:rPr>
                <w:rFonts w:cs="宋体"/>
                <w:color w:val="000000" w:themeColor="text1"/>
                <w:szCs w:val="18"/>
              </w:rPr>
              <w:t>循环水系统</w:t>
            </w:r>
          </w:p>
          <w:p w:rsidR="00C861DA" w:rsidRDefault="0044752E">
            <w:pPr>
              <w:pStyle w:val="TableParagraph"/>
              <w:autoSpaceDE/>
              <w:autoSpaceDN/>
              <w:adjustRightInd/>
              <w:jc w:val="center"/>
              <w:rPr>
                <w:rFonts w:cs="宋体"/>
                <w:b/>
                <w:bCs/>
                <w:color w:val="000000" w:themeColor="text1"/>
                <w:szCs w:val="18"/>
              </w:rPr>
            </w:pPr>
            <w:r>
              <w:rPr>
                <w:rFonts w:cs="宋体"/>
                <w:color w:val="000000" w:themeColor="text1"/>
                <w:szCs w:val="18"/>
              </w:rPr>
              <w:t>隔声减振</w:t>
            </w:r>
          </w:p>
        </w:tc>
        <w:tc>
          <w:tcPr>
            <w:tcW w:w="2693" w:type="dxa"/>
            <w:vAlign w:val="center"/>
          </w:tcPr>
          <w:p w:rsidR="00C861DA" w:rsidRDefault="0044752E">
            <w:pPr>
              <w:pStyle w:val="TableParagraph"/>
              <w:autoSpaceDE/>
              <w:autoSpaceDN/>
              <w:adjustRightInd/>
              <w:ind w:leftChars="20" w:left="42" w:firstLineChars="200" w:firstLine="420"/>
              <w:jc w:val="both"/>
              <w:rPr>
                <w:rFonts w:cs="宋体"/>
                <w:b/>
                <w:bCs/>
                <w:color w:val="000000" w:themeColor="text1"/>
                <w:szCs w:val="18"/>
              </w:rPr>
            </w:pPr>
            <w:r>
              <w:rPr>
                <w:rFonts w:cs="宋体"/>
                <w:color w:val="000000" w:themeColor="text1"/>
                <w:szCs w:val="18"/>
              </w:rPr>
              <w:t>建筑隔声，节能低噪声冷却塔</w:t>
            </w:r>
            <w:r>
              <w:rPr>
                <w:rFonts w:cs="宋体" w:hint="eastAsia"/>
                <w:color w:val="000000" w:themeColor="text1"/>
                <w:szCs w:val="18"/>
              </w:rPr>
              <w:t>。</w:t>
            </w:r>
          </w:p>
        </w:tc>
        <w:tc>
          <w:tcPr>
            <w:tcW w:w="832" w:type="dxa"/>
            <w:vMerge/>
            <w:vAlign w:val="center"/>
          </w:tcPr>
          <w:p w:rsidR="00C861DA" w:rsidRDefault="00C861DA">
            <w:pPr>
              <w:pStyle w:val="TableParagraph"/>
              <w:autoSpaceDE/>
              <w:autoSpaceDN/>
              <w:adjustRightInd/>
              <w:jc w:val="center"/>
              <w:rPr>
                <w:rFonts w:cs="宋体"/>
                <w:b/>
                <w:bCs/>
                <w:color w:val="000000" w:themeColor="text1"/>
                <w:szCs w:val="18"/>
              </w:rPr>
            </w:pPr>
          </w:p>
        </w:tc>
        <w:tc>
          <w:tcPr>
            <w:tcW w:w="1252" w:type="dxa"/>
            <w:vMerge/>
            <w:vAlign w:val="center"/>
          </w:tcPr>
          <w:p w:rsidR="00C861DA" w:rsidRDefault="00C861DA">
            <w:pPr>
              <w:pStyle w:val="TableParagraph"/>
              <w:autoSpaceDE/>
              <w:autoSpaceDN/>
              <w:adjustRightInd/>
              <w:spacing w:before="162"/>
              <w:jc w:val="center"/>
              <w:rPr>
                <w:rFonts w:cs="宋体"/>
                <w:b/>
                <w:bCs/>
                <w:color w:val="000000" w:themeColor="text1"/>
                <w:szCs w:val="18"/>
              </w:rPr>
            </w:pPr>
          </w:p>
        </w:tc>
      </w:tr>
      <w:tr w:rsidR="00C861DA">
        <w:trPr>
          <w:trHeight w:val="369"/>
          <w:jc w:val="center"/>
        </w:trPr>
        <w:tc>
          <w:tcPr>
            <w:tcW w:w="553" w:type="dxa"/>
            <w:vMerge w:val="restart"/>
            <w:vAlign w:val="center"/>
          </w:tcPr>
          <w:p w:rsidR="00C861DA" w:rsidRDefault="0044752E">
            <w:pPr>
              <w:autoSpaceDE/>
              <w:autoSpaceDN/>
              <w:adjustRightInd/>
              <w:jc w:val="center"/>
              <w:rPr>
                <w:rFonts w:ascii="Times New Roman" w:eastAsia="宋体" w:cs="宋体"/>
                <w:b/>
                <w:bCs/>
                <w:color w:val="000000" w:themeColor="text1"/>
                <w:szCs w:val="18"/>
              </w:rPr>
            </w:pPr>
            <w:r>
              <w:rPr>
                <w:rFonts w:ascii="Times New Roman" w:eastAsia="宋体" w:hint="eastAsia"/>
                <w:color w:val="000000" w:themeColor="text1"/>
              </w:rPr>
              <w:t>固废处理</w:t>
            </w:r>
          </w:p>
        </w:tc>
        <w:tc>
          <w:tcPr>
            <w:tcW w:w="1569" w:type="dxa"/>
            <w:vMerge w:val="restart"/>
            <w:vAlign w:val="center"/>
          </w:tcPr>
          <w:p w:rsidR="00C861DA" w:rsidRDefault="0044752E">
            <w:pPr>
              <w:autoSpaceDE/>
              <w:autoSpaceDN/>
              <w:adjustRightInd/>
              <w:jc w:val="center"/>
              <w:rPr>
                <w:rFonts w:ascii="Times New Roman" w:eastAsia="宋体" w:cs="宋体"/>
                <w:b/>
                <w:bCs/>
                <w:color w:val="000000" w:themeColor="text1"/>
                <w:szCs w:val="18"/>
              </w:rPr>
            </w:pPr>
            <w:r>
              <w:rPr>
                <w:rFonts w:ascii="Times New Roman" w:eastAsia="宋体" w:hint="eastAsia"/>
                <w:color w:val="000000" w:themeColor="text1"/>
              </w:rPr>
              <w:t>固废站</w:t>
            </w:r>
          </w:p>
        </w:tc>
        <w:tc>
          <w:tcPr>
            <w:tcW w:w="1417" w:type="dxa"/>
            <w:vAlign w:val="center"/>
          </w:tcPr>
          <w:p w:rsidR="00C861DA" w:rsidRDefault="0044752E">
            <w:pPr>
              <w:pStyle w:val="TableParagraph"/>
              <w:autoSpaceDE/>
              <w:autoSpaceDN/>
              <w:adjustRightInd/>
              <w:spacing w:before="85"/>
              <w:jc w:val="center"/>
              <w:rPr>
                <w:rFonts w:cs="宋体"/>
                <w:b/>
                <w:bCs/>
                <w:color w:val="000000" w:themeColor="text1"/>
                <w:szCs w:val="18"/>
              </w:rPr>
            </w:pPr>
            <w:r>
              <w:rPr>
                <w:rFonts w:cs="宋体"/>
                <w:color w:val="000000" w:themeColor="text1"/>
                <w:szCs w:val="18"/>
              </w:rPr>
              <w:t>危废暂存间</w:t>
            </w:r>
          </w:p>
        </w:tc>
        <w:tc>
          <w:tcPr>
            <w:tcW w:w="2693" w:type="dxa"/>
            <w:vAlign w:val="center"/>
          </w:tcPr>
          <w:p w:rsidR="00C861DA" w:rsidRDefault="0044752E">
            <w:pPr>
              <w:pStyle w:val="TableParagraph"/>
              <w:autoSpaceDE/>
              <w:autoSpaceDN/>
              <w:adjustRightInd/>
              <w:ind w:leftChars="20" w:left="42" w:firstLineChars="200" w:firstLine="420"/>
              <w:jc w:val="both"/>
              <w:rPr>
                <w:rFonts w:cs="宋体"/>
                <w:b/>
                <w:bCs/>
                <w:color w:val="000000" w:themeColor="text1"/>
                <w:szCs w:val="18"/>
              </w:rPr>
            </w:pPr>
            <w:r>
              <w:rPr>
                <w:rFonts w:cs="宋体"/>
                <w:color w:val="000000" w:themeColor="text1"/>
                <w:szCs w:val="18"/>
              </w:rPr>
              <w:t>建设危废暂存间，基础防渗、排水地沟等，建筑面积</w:t>
            </w:r>
            <w:r>
              <w:rPr>
                <w:color w:val="000000" w:themeColor="text1"/>
                <w:szCs w:val="18"/>
              </w:rPr>
              <w:t>30m</w:t>
            </w:r>
            <w:r>
              <w:rPr>
                <w:rFonts w:hint="eastAsia"/>
                <w:color w:val="000000" w:themeColor="text1"/>
                <w:szCs w:val="18"/>
                <w:vertAlign w:val="superscript"/>
              </w:rPr>
              <w:t>2</w:t>
            </w:r>
            <w:r>
              <w:rPr>
                <w:rFonts w:cs="宋体" w:hint="eastAsia"/>
                <w:color w:val="000000" w:themeColor="text1"/>
                <w:szCs w:val="18"/>
              </w:rPr>
              <w:t>。</w:t>
            </w:r>
          </w:p>
        </w:tc>
        <w:tc>
          <w:tcPr>
            <w:tcW w:w="832"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color w:val="000000" w:themeColor="text1"/>
                <w:szCs w:val="18"/>
              </w:rPr>
              <w:t>1</w:t>
            </w:r>
            <w:r>
              <w:rPr>
                <w:rFonts w:cs="宋体" w:hint="eastAsia"/>
                <w:color w:val="000000" w:themeColor="text1"/>
                <w:szCs w:val="18"/>
              </w:rPr>
              <w:t>座</w:t>
            </w:r>
          </w:p>
        </w:tc>
        <w:tc>
          <w:tcPr>
            <w:tcW w:w="1252" w:type="dxa"/>
            <w:vAlign w:val="center"/>
          </w:tcPr>
          <w:p w:rsidR="00C861DA" w:rsidRDefault="0044752E">
            <w:pPr>
              <w:pStyle w:val="TableParagraph"/>
              <w:autoSpaceDE/>
              <w:autoSpaceDN/>
              <w:adjustRightInd/>
              <w:jc w:val="center"/>
              <w:rPr>
                <w:rFonts w:cs="宋体"/>
                <w:b/>
                <w:bCs/>
                <w:color w:val="000000" w:themeColor="text1"/>
                <w:szCs w:val="18"/>
              </w:rPr>
            </w:pPr>
            <w:r>
              <w:rPr>
                <w:color w:val="000000" w:themeColor="text1"/>
                <w:szCs w:val="18"/>
              </w:rPr>
              <w:t>5</w:t>
            </w:r>
          </w:p>
        </w:tc>
      </w:tr>
      <w:tr w:rsidR="00C861DA">
        <w:trPr>
          <w:trHeight w:val="369"/>
          <w:jc w:val="center"/>
        </w:trPr>
        <w:tc>
          <w:tcPr>
            <w:tcW w:w="553" w:type="dxa"/>
            <w:vMerge/>
            <w:vAlign w:val="center"/>
          </w:tcPr>
          <w:p w:rsidR="00C861DA" w:rsidRDefault="00C861DA">
            <w:pPr>
              <w:autoSpaceDE/>
              <w:autoSpaceDN/>
              <w:adjustRightInd/>
              <w:jc w:val="center"/>
              <w:rPr>
                <w:rFonts w:ascii="Times New Roman" w:eastAsia="宋体" w:cs="宋体"/>
                <w:b/>
                <w:bCs/>
                <w:color w:val="000000" w:themeColor="text1"/>
                <w:szCs w:val="18"/>
              </w:rPr>
            </w:pPr>
          </w:p>
        </w:tc>
        <w:tc>
          <w:tcPr>
            <w:tcW w:w="1569" w:type="dxa"/>
            <w:vMerge/>
            <w:vAlign w:val="center"/>
          </w:tcPr>
          <w:p w:rsidR="00C861DA" w:rsidRDefault="00C861DA">
            <w:pPr>
              <w:autoSpaceDE/>
              <w:autoSpaceDN/>
              <w:adjustRightInd/>
              <w:jc w:val="center"/>
              <w:rPr>
                <w:rFonts w:ascii="Times New Roman" w:eastAsia="宋体" w:cs="宋体"/>
                <w:b/>
                <w:bCs/>
                <w:color w:val="000000" w:themeColor="text1"/>
                <w:szCs w:val="18"/>
              </w:rPr>
            </w:pPr>
          </w:p>
        </w:tc>
        <w:tc>
          <w:tcPr>
            <w:tcW w:w="1417" w:type="dxa"/>
            <w:vAlign w:val="center"/>
          </w:tcPr>
          <w:p w:rsidR="00C861DA" w:rsidRDefault="0044752E">
            <w:pPr>
              <w:pStyle w:val="TableParagraph"/>
              <w:jc w:val="center"/>
              <w:rPr>
                <w:color w:val="000000" w:themeColor="text1"/>
              </w:rPr>
            </w:pPr>
            <w:r>
              <w:rPr>
                <w:color w:val="000000" w:themeColor="text1"/>
              </w:rPr>
              <w:t>一般工业</w:t>
            </w:r>
          </w:p>
          <w:p w:rsidR="00C861DA" w:rsidRDefault="0044752E">
            <w:pPr>
              <w:pStyle w:val="TableParagraph"/>
              <w:jc w:val="center"/>
              <w:rPr>
                <w:rFonts w:cs="宋体"/>
                <w:b/>
                <w:bCs/>
                <w:color w:val="000000" w:themeColor="text1"/>
                <w:szCs w:val="18"/>
              </w:rPr>
            </w:pPr>
            <w:r>
              <w:rPr>
                <w:color w:val="000000" w:themeColor="text1"/>
              </w:rPr>
              <w:t>固废堆场</w:t>
            </w:r>
          </w:p>
        </w:tc>
        <w:tc>
          <w:tcPr>
            <w:tcW w:w="2693" w:type="dxa"/>
            <w:vAlign w:val="center"/>
          </w:tcPr>
          <w:p w:rsidR="00C861DA" w:rsidRDefault="0044752E">
            <w:pPr>
              <w:pStyle w:val="TableParagraph"/>
              <w:autoSpaceDE/>
              <w:autoSpaceDN/>
              <w:adjustRightInd/>
              <w:ind w:leftChars="20" w:left="42" w:firstLineChars="200" w:firstLine="420"/>
              <w:jc w:val="both"/>
              <w:rPr>
                <w:rFonts w:cs="宋体"/>
                <w:b/>
                <w:bCs/>
                <w:color w:val="000000" w:themeColor="text1"/>
                <w:szCs w:val="18"/>
              </w:rPr>
            </w:pPr>
            <w:r>
              <w:rPr>
                <w:rFonts w:cs="宋体"/>
                <w:color w:val="000000" w:themeColor="text1"/>
              </w:rPr>
              <w:t>地面用水泥硬化</w:t>
            </w:r>
            <w:r>
              <w:rPr>
                <w:rFonts w:cs="宋体" w:hint="eastAsia"/>
                <w:color w:val="000000" w:themeColor="text1"/>
              </w:rPr>
              <w:t>，</w:t>
            </w:r>
            <w:r>
              <w:rPr>
                <w:rFonts w:cs="宋体"/>
                <w:color w:val="000000" w:themeColor="text1"/>
                <w:szCs w:val="18"/>
              </w:rPr>
              <w:t>建筑面积</w:t>
            </w:r>
            <w:r>
              <w:rPr>
                <w:color w:val="000000" w:themeColor="text1"/>
                <w:szCs w:val="18"/>
              </w:rPr>
              <w:t>300m</w:t>
            </w:r>
            <w:r>
              <w:rPr>
                <w:rFonts w:hint="eastAsia"/>
                <w:color w:val="000000" w:themeColor="text1"/>
                <w:szCs w:val="18"/>
                <w:vertAlign w:val="superscript"/>
              </w:rPr>
              <w:t>2</w:t>
            </w:r>
            <w:r>
              <w:rPr>
                <w:rFonts w:cs="宋体" w:hint="eastAsia"/>
                <w:color w:val="000000" w:themeColor="text1"/>
                <w:szCs w:val="18"/>
              </w:rPr>
              <w:t>。</w:t>
            </w:r>
          </w:p>
        </w:tc>
        <w:tc>
          <w:tcPr>
            <w:tcW w:w="832"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color w:val="000000" w:themeColor="text1"/>
                <w:szCs w:val="18"/>
              </w:rPr>
              <w:t>1</w:t>
            </w:r>
            <w:r>
              <w:rPr>
                <w:rFonts w:cs="宋体" w:hint="eastAsia"/>
                <w:color w:val="000000" w:themeColor="text1"/>
                <w:szCs w:val="18"/>
              </w:rPr>
              <w:t>座</w:t>
            </w:r>
          </w:p>
        </w:tc>
        <w:tc>
          <w:tcPr>
            <w:tcW w:w="1252" w:type="dxa"/>
            <w:vAlign w:val="center"/>
          </w:tcPr>
          <w:p w:rsidR="00C861DA" w:rsidRDefault="0044752E">
            <w:pPr>
              <w:pStyle w:val="TableParagraph"/>
              <w:autoSpaceDE/>
              <w:autoSpaceDN/>
              <w:adjustRightInd/>
              <w:jc w:val="center"/>
              <w:rPr>
                <w:rFonts w:cs="宋体"/>
                <w:b/>
                <w:bCs/>
                <w:color w:val="000000" w:themeColor="text1"/>
                <w:szCs w:val="18"/>
              </w:rPr>
            </w:pPr>
            <w:r>
              <w:rPr>
                <w:rFonts w:hint="eastAsia"/>
                <w:color w:val="000000" w:themeColor="text1"/>
                <w:szCs w:val="18"/>
              </w:rPr>
              <w:t>15</w:t>
            </w:r>
          </w:p>
        </w:tc>
      </w:tr>
      <w:tr w:rsidR="00C861DA">
        <w:trPr>
          <w:trHeight w:val="369"/>
          <w:jc w:val="center"/>
        </w:trPr>
        <w:tc>
          <w:tcPr>
            <w:tcW w:w="553" w:type="dxa"/>
            <w:vAlign w:val="center"/>
          </w:tcPr>
          <w:p w:rsidR="00C861DA" w:rsidRDefault="0044752E">
            <w:pPr>
              <w:autoSpaceDE/>
              <w:autoSpaceDN/>
              <w:adjustRightInd/>
              <w:jc w:val="center"/>
              <w:rPr>
                <w:rFonts w:ascii="Times New Roman" w:eastAsia="宋体"/>
                <w:color w:val="000000" w:themeColor="text1"/>
              </w:rPr>
            </w:pPr>
            <w:r>
              <w:rPr>
                <w:rFonts w:ascii="Times New Roman" w:eastAsia="宋体" w:hint="eastAsia"/>
                <w:color w:val="000000" w:themeColor="text1"/>
              </w:rPr>
              <w:t>地下</w:t>
            </w:r>
          </w:p>
          <w:p w:rsidR="00C861DA" w:rsidRDefault="0044752E">
            <w:pPr>
              <w:autoSpaceDE/>
              <w:autoSpaceDN/>
              <w:adjustRightInd/>
              <w:jc w:val="center"/>
              <w:rPr>
                <w:rFonts w:ascii="Times New Roman" w:eastAsia="宋体" w:cs="宋体"/>
                <w:b/>
                <w:bCs/>
                <w:color w:val="000000" w:themeColor="text1"/>
                <w:szCs w:val="18"/>
              </w:rPr>
            </w:pPr>
            <w:r>
              <w:rPr>
                <w:rFonts w:ascii="Times New Roman" w:eastAsia="宋体" w:hint="eastAsia"/>
                <w:color w:val="000000" w:themeColor="text1"/>
              </w:rPr>
              <w:t>水</w:t>
            </w:r>
          </w:p>
        </w:tc>
        <w:tc>
          <w:tcPr>
            <w:tcW w:w="1569" w:type="dxa"/>
            <w:vAlign w:val="center"/>
          </w:tcPr>
          <w:p w:rsidR="00C861DA" w:rsidRDefault="0044752E">
            <w:pPr>
              <w:autoSpaceDE/>
              <w:autoSpaceDN/>
              <w:adjustRightInd/>
              <w:jc w:val="center"/>
              <w:rPr>
                <w:rFonts w:ascii="Times New Roman" w:eastAsia="宋体" w:cs="宋体"/>
                <w:b/>
                <w:bCs/>
                <w:color w:val="000000" w:themeColor="text1"/>
                <w:szCs w:val="18"/>
              </w:rPr>
            </w:pPr>
            <w:r>
              <w:rPr>
                <w:rFonts w:ascii="Times New Roman" w:eastAsia="宋体" w:hint="eastAsia"/>
                <w:color w:val="000000" w:themeColor="text1"/>
              </w:rPr>
              <w:t>全厂</w:t>
            </w:r>
          </w:p>
        </w:tc>
        <w:tc>
          <w:tcPr>
            <w:tcW w:w="4110" w:type="dxa"/>
            <w:gridSpan w:val="2"/>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color w:val="000000" w:themeColor="text1"/>
                <w:szCs w:val="18"/>
              </w:rPr>
              <w:t>分区</w:t>
            </w:r>
            <w:r>
              <w:rPr>
                <w:rFonts w:cs="宋体"/>
                <w:color w:val="000000" w:themeColor="text1"/>
                <w:szCs w:val="18"/>
              </w:rPr>
              <w:t>防渗措施</w:t>
            </w:r>
            <w:r>
              <w:rPr>
                <w:rFonts w:cs="宋体" w:hint="eastAsia"/>
                <w:color w:val="000000" w:themeColor="text1"/>
                <w:szCs w:val="18"/>
              </w:rPr>
              <w:t>、</w:t>
            </w:r>
            <w:r>
              <w:rPr>
                <w:rFonts w:cs="宋体"/>
                <w:color w:val="000000" w:themeColor="text1"/>
                <w:szCs w:val="18"/>
              </w:rPr>
              <w:t>地下水监测井</w:t>
            </w:r>
            <w:r>
              <w:rPr>
                <w:rFonts w:cs="宋体" w:hint="eastAsia"/>
                <w:color w:val="000000" w:themeColor="text1"/>
                <w:szCs w:val="18"/>
              </w:rPr>
              <w:t>。</w:t>
            </w:r>
          </w:p>
        </w:tc>
        <w:tc>
          <w:tcPr>
            <w:tcW w:w="832" w:type="dxa"/>
            <w:vAlign w:val="center"/>
          </w:tcPr>
          <w:p w:rsidR="00C861DA" w:rsidRDefault="0044752E">
            <w:pPr>
              <w:pStyle w:val="TableParagraph"/>
              <w:autoSpaceDE/>
              <w:autoSpaceDN/>
              <w:adjustRightInd/>
              <w:jc w:val="center"/>
              <w:rPr>
                <w:rFonts w:cs="宋体"/>
                <w:b/>
                <w:bCs/>
                <w:color w:val="000000" w:themeColor="text1"/>
                <w:szCs w:val="18"/>
              </w:rPr>
            </w:pPr>
            <w:r>
              <w:rPr>
                <w:rFonts w:cs="宋体" w:hint="eastAsia"/>
                <w:color w:val="000000" w:themeColor="text1"/>
                <w:szCs w:val="18"/>
              </w:rPr>
              <w:t>/</w:t>
            </w:r>
          </w:p>
        </w:tc>
        <w:tc>
          <w:tcPr>
            <w:tcW w:w="1252" w:type="dxa"/>
            <w:vAlign w:val="center"/>
          </w:tcPr>
          <w:p w:rsidR="00C861DA" w:rsidRDefault="0044752E">
            <w:pPr>
              <w:pStyle w:val="TableParagraph"/>
              <w:autoSpaceDE/>
              <w:autoSpaceDN/>
              <w:adjustRightInd/>
              <w:jc w:val="center"/>
              <w:rPr>
                <w:rFonts w:cs="宋体"/>
                <w:b/>
                <w:bCs/>
                <w:color w:val="000000" w:themeColor="text1"/>
                <w:szCs w:val="18"/>
              </w:rPr>
            </w:pPr>
            <w:r>
              <w:rPr>
                <w:rFonts w:hint="eastAsia"/>
                <w:color w:val="000000" w:themeColor="text1"/>
                <w:szCs w:val="18"/>
              </w:rPr>
              <w:t>300</w:t>
            </w:r>
          </w:p>
        </w:tc>
      </w:tr>
      <w:tr w:rsidR="00C861DA">
        <w:trPr>
          <w:trHeight w:val="369"/>
          <w:jc w:val="center"/>
        </w:trPr>
        <w:tc>
          <w:tcPr>
            <w:tcW w:w="553" w:type="dxa"/>
            <w:vAlign w:val="center"/>
          </w:tcPr>
          <w:p w:rsidR="00C861DA" w:rsidRDefault="0044752E">
            <w:pPr>
              <w:pStyle w:val="TableParagraph"/>
              <w:autoSpaceDE/>
              <w:autoSpaceDN/>
              <w:adjustRightInd/>
              <w:jc w:val="center"/>
              <w:rPr>
                <w:color w:val="000000" w:themeColor="text1"/>
              </w:rPr>
            </w:pPr>
            <w:r>
              <w:rPr>
                <w:rFonts w:cs="宋体" w:hint="eastAsia"/>
                <w:color w:val="000000" w:themeColor="text1"/>
                <w:szCs w:val="18"/>
              </w:rPr>
              <w:t>环境风险</w:t>
            </w:r>
          </w:p>
        </w:tc>
        <w:tc>
          <w:tcPr>
            <w:tcW w:w="1569" w:type="dxa"/>
            <w:vAlign w:val="center"/>
          </w:tcPr>
          <w:p w:rsidR="00C861DA" w:rsidRDefault="0044752E">
            <w:pPr>
              <w:pStyle w:val="TableParagraph"/>
              <w:autoSpaceDE/>
              <w:autoSpaceDN/>
              <w:adjustRightInd/>
              <w:jc w:val="center"/>
              <w:rPr>
                <w:color w:val="000000" w:themeColor="text1"/>
              </w:rPr>
            </w:pPr>
            <w:r>
              <w:rPr>
                <w:rFonts w:hint="eastAsia"/>
                <w:color w:val="000000" w:themeColor="text1"/>
              </w:rPr>
              <w:t>全厂</w:t>
            </w:r>
          </w:p>
        </w:tc>
        <w:tc>
          <w:tcPr>
            <w:tcW w:w="4110" w:type="dxa"/>
            <w:gridSpan w:val="2"/>
            <w:vAlign w:val="center"/>
          </w:tcPr>
          <w:p w:rsidR="00C861DA" w:rsidRDefault="0044752E">
            <w:pPr>
              <w:pStyle w:val="TableParagraph"/>
              <w:autoSpaceDE/>
              <w:autoSpaceDN/>
              <w:adjustRightInd/>
              <w:jc w:val="center"/>
              <w:rPr>
                <w:rFonts w:cs="宋体"/>
                <w:color w:val="000000" w:themeColor="text1"/>
                <w:szCs w:val="18"/>
              </w:rPr>
            </w:pPr>
            <w:r>
              <w:rPr>
                <w:rFonts w:cs="宋体" w:hint="eastAsia"/>
                <w:color w:val="000000" w:themeColor="text1"/>
                <w:szCs w:val="18"/>
              </w:rPr>
              <w:t>容积为</w:t>
            </w:r>
            <w:r>
              <w:rPr>
                <w:rFonts w:cs="宋体" w:hint="eastAsia"/>
                <w:color w:val="000000" w:themeColor="text1"/>
                <w:szCs w:val="18"/>
              </w:rPr>
              <w:t>2</w:t>
            </w:r>
            <w:r>
              <w:rPr>
                <w:rFonts w:cs="宋体"/>
                <w:color w:val="000000" w:themeColor="text1"/>
                <w:szCs w:val="18"/>
              </w:rPr>
              <w:t>600m</w:t>
            </w:r>
            <w:r>
              <w:rPr>
                <w:rFonts w:cs="宋体"/>
                <w:color w:val="000000" w:themeColor="text1"/>
                <w:szCs w:val="18"/>
                <w:vertAlign w:val="superscript"/>
              </w:rPr>
              <w:t>3</w:t>
            </w:r>
            <w:r>
              <w:rPr>
                <w:rFonts w:cs="宋体" w:hint="eastAsia"/>
                <w:color w:val="000000" w:themeColor="text1"/>
                <w:szCs w:val="18"/>
              </w:rPr>
              <w:t>的事故水池、应急物资、资金。</w:t>
            </w:r>
          </w:p>
        </w:tc>
        <w:tc>
          <w:tcPr>
            <w:tcW w:w="832" w:type="dxa"/>
            <w:vAlign w:val="center"/>
          </w:tcPr>
          <w:p w:rsidR="00C861DA" w:rsidRDefault="0044752E">
            <w:pPr>
              <w:pStyle w:val="TableParagraph"/>
              <w:autoSpaceDE/>
              <w:autoSpaceDN/>
              <w:adjustRightInd/>
              <w:jc w:val="center"/>
              <w:rPr>
                <w:rFonts w:cs="宋体"/>
                <w:color w:val="000000" w:themeColor="text1"/>
                <w:szCs w:val="18"/>
              </w:rPr>
            </w:pPr>
            <w:r>
              <w:rPr>
                <w:rFonts w:cs="宋体" w:hint="eastAsia"/>
                <w:color w:val="000000" w:themeColor="text1"/>
                <w:szCs w:val="18"/>
              </w:rPr>
              <w:t>/</w:t>
            </w:r>
          </w:p>
        </w:tc>
        <w:tc>
          <w:tcPr>
            <w:tcW w:w="1252" w:type="dxa"/>
            <w:vAlign w:val="center"/>
          </w:tcPr>
          <w:p w:rsidR="00C861DA" w:rsidRDefault="0044752E">
            <w:pPr>
              <w:pStyle w:val="TableParagraph"/>
              <w:autoSpaceDE/>
              <w:autoSpaceDN/>
              <w:adjustRightInd/>
              <w:jc w:val="center"/>
              <w:rPr>
                <w:color w:val="000000" w:themeColor="text1"/>
                <w:szCs w:val="18"/>
              </w:rPr>
            </w:pPr>
            <w:r>
              <w:rPr>
                <w:rFonts w:cs="宋体" w:hint="eastAsia"/>
                <w:color w:val="000000" w:themeColor="text1"/>
                <w:szCs w:val="18"/>
              </w:rPr>
              <w:t>60</w:t>
            </w:r>
          </w:p>
        </w:tc>
      </w:tr>
      <w:tr w:rsidR="00C861DA">
        <w:trPr>
          <w:trHeight w:val="369"/>
          <w:jc w:val="center"/>
        </w:trPr>
        <w:tc>
          <w:tcPr>
            <w:tcW w:w="7064" w:type="dxa"/>
            <w:gridSpan w:val="5"/>
            <w:vAlign w:val="center"/>
          </w:tcPr>
          <w:p w:rsidR="00C861DA" w:rsidRDefault="0044752E">
            <w:pPr>
              <w:pStyle w:val="TableParagraph"/>
              <w:autoSpaceDE/>
              <w:autoSpaceDN/>
              <w:adjustRightInd/>
              <w:jc w:val="center"/>
              <w:rPr>
                <w:rFonts w:cs="宋体"/>
                <w:color w:val="000000" w:themeColor="text1"/>
                <w:szCs w:val="18"/>
              </w:rPr>
            </w:pPr>
            <w:r>
              <w:rPr>
                <w:rFonts w:cs="宋体" w:hint="eastAsia"/>
                <w:color w:val="000000" w:themeColor="text1"/>
                <w:szCs w:val="18"/>
              </w:rPr>
              <w:t>合计</w:t>
            </w:r>
          </w:p>
        </w:tc>
        <w:tc>
          <w:tcPr>
            <w:tcW w:w="1252" w:type="dxa"/>
            <w:vAlign w:val="center"/>
          </w:tcPr>
          <w:p w:rsidR="00C861DA" w:rsidRDefault="0044752E">
            <w:pPr>
              <w:pStyle w:val="TableParagraph"/>
              <w:autoSpaceDE/>
              <w:autoSpaceDN/>
              <w:adjustRightInd/>
              <w:jc w:val="center"/>
              <w:rPr>
                <w:rFonts w:cs="宋体"/>
                <w:color w:val="000000" w:themeColor="text1"/>
                <w:szCs w:val="18"/>
              </w:rPr>
            </w:pPr>
            <w:r>
              <w:rPr>
                <w:rFonts w:cs="宋体" w:hint="eastAsia"/>
                <w:color w:val="000000" w:themeColor="text1"/>
                <w:szCs w:val="18"/>
              </w:rPr>
              <w:t>5</w:t>
            </w:r>
            <w:r>
              <w:rPr>
                <w:rFonts w:cs="宋体"/>
                <w:color w:val="000000" w:themeColor="text1"/>
                <w:szCs w:val="18"/>
              </w:rPr>
              <w:t>68</w:t>
            </w:r>
          </w:p>
        </w:tc>
      </w:tr>
    </w:tbl>
    <w:p w:rsidR="00C861DA" w:rsidRDefault="0044752E">
      <w:pPr>
        <w:pStyle w:val="af4"/>
        <w:spacing w:beforeLines="50" w:before="156"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本项目总投资</w:t>
      </w:r>
      <w:r>
        <w:rPr>
          <w:rFonts w:ascii="Times New Roman" w:eastAsia="宋体" w:hAnsi="Times New Roman" w:cs="Times New Roman"/>
          <w:color w:val="000000" w:themeColor="text1"/>
          <w:sz w:val="24"/>
        </w:rPr>
        <w:t>86418.08</w:t>
      </w:r>
      <w:r>
        <w:rPr>
          <w:rFonts w:ascii="Times New Roman" w:eastAsia="宋体" w:hAnsi="Times New Roman" w:cs="Times New Roman"/>
          <w:color w:val="000000" w:themeColor="text1"/>
          <w:sz w:val="24"/>
          <w:szCs w:val="24"/>
        </w:rPr>
        <w:t>万元人民币，其中环保措施投资为</w:t>
      </w:r>
      <w:r>
        <w:rPr>
          <w:rFonts w:ascii="Times New Roman" w:eastAsia="宋体" w:hAnsi="Times New Roman" w:cs="Times New Roman"/>
          <w:color w:val="000000" w:themeColor="text1"/>
          <w:sz w:val="24"/>
          <w:szCs w:val="24"/>
        </w:rPr>
        <w:t>568</w:t>
      </w:r>
      <w:r>
        <w:rPr>
          <w:rFonts w:ascii="Times New Roman" w:eastAsia="宋体" w:hAnsi="Times New Roman" w:cs="Times New Roman"/>
          <w:color w:val="000000" w:themeColor="text1"/>
          <w:sz w:val="24"/>
          <w:szCs w:val="24"/>
        </w:rPr>
        <w:t>万元，占总投资的</w:t>
      </w:r>
      <w:r>
        <w:rPr>
          <w:rFonts w:ascii="Times New Roman" w:eastAsia="宋体" w:hAnsi="Times New Roman" w:cs="Times New Roman"/>
          <w:color w:val="000000" w:themeColor="text1"/>
          <w:sz w:val="24"/>
          <w:szCs w:val="24"/>
        </w:rPr>
        <w:t>0.66%</w:t>
      </w:r>
      <w:r>
        <w:rPr>
          <w:rFonts w:ascii="Times New Roman" w:eastAsia="宋体" w:hAnsi="Times New Roman" w:cs="Times New Roman"/>
          <w:color w:val="000000" w:themeColor="text1"/>
          <w:sz w:val="24"/>
          <w:szCs w:val="24"/>
        </w:rPr>
        <w:t>。</w:t>
      </w:r>
    </w:p>
    <w:p w:rsidR="00C861DA" w:rsidRDefault="0044752E">
      <w:pPr>
        <w:pStyle w:val="32"/>
        <w:rPr>
          <w:rFonts w:ascii="Times New Roman" w:eastAsia="宋体"/>
          <w:bCs w:val="0"/>
          <w:color w:val="000000" w:themeColor="text1"/>
          <w:sz w:val="24"/>
          <w:szCs w:val="24"/>
        </w:rPr>
      </w:pPr>
      <w:bookmarkStart w:id="687" w:name="_Toc10902"/>
      <w:bookmarkStart w:id="688" w:name="_Toc26471"/>
      <w:bookmarkStart w:id="689" w:name="_Toc23597"/>
      <w:bookmarkStart w:id="690" w:name="_Toc9532"/>
      <w:bookmarkStart w:id="691" w:name="_Toc6826933"/>
      <w:r>
        <w:rPr>
          <w:rFonts w:ascii="Times New Roman" w:eastAsia="宋体" w:hint="eastAsia"/>
          <w:bCs w:val="0"/>
          <w:color w:val="000000" w:themeColor="text1"/>
          <w:sz w:val="24"/>
          <w:szCs w:val="24"/>
        </w:rPr>
        <w:t>11</w:t>
      </w:r>
      <w:r>
        <w:rPr>
          <w:rFonts w:ascii="Times New Roman" w:eastAsia="宋体"/>
          <w:bCs w:val="0"/>
          <w:color w:val="000000" w:themeColor="text1"/>
          <w:sz w:val="24"/>
          <w:szCs w:val="24"/>
        </w:rPr>
        <w:t>.</w:t>
      </w:r>
      <w:r>
        <w:rPr>
          <w:rFonts w:ascii="Times New Roman" w:eastAsia="宋体" w:hint="eastAsia"/>
          <w:bCs w:val="0"/>
          <w:color w:val="000000" w:themeColor="text1"/>
          <w:sz w:val="24"/>
          <w:szCs w:val="24"/>
        </w:rPr>
        <w:t>1.</w:t>
      </w:r>
      <w:r>
        <w:rPr>
          <w:rFonts w:ascii="Times New Roman" w:eastAsia="宋体"/>
          <w:bCs w:val="0"/>
          <w:color w:val="000000" w:themeColor="text1"/>
          <w:sz w:val="24"/>
          <w:szCs w:val="24"/>
        </w:rPr>
        <w:t>2</w:t>
      </w:r>
      <w:r>
        <w:rPr>
          <w:rFonts w:ascii="Times New Roman" w:eastAsia="宋体" w:hint="eastAsia"/>
          <w:bCs w:val="0"/>
          <w:color w:val="000000" w:themeColor="text1"/>
          <w:sz w:val="24"/>
          <w:szCs w:val="24"/>
        </w:rPr>
        <w:t>环境效益</w:t>
      </w:r>
      <w:bookmarkEnd w:id="687"/>
      <w:bookmarkEnd w:id="688"/>
      <w:bookmarkEnd w:id="689"/>
      <w:bookmarkEnd w:id="690"/>
      <w:bookmarkEnd w:id="691"/>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通过采取各种治理措施后，废气、废水均可达标排放，厂界噪声满足标准要求，固体废物得到妥善处理或安全处置，对区域环境质量影响不大。</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高噪声设备采取隔声、消声、设置减振基础等降噪措施，可使厂界噪声达标，避免了对周围环境的影响。</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危险废物委托有处理资质的单位进行安全处置，能够避免对环境的污染。</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拟建项目采取各项治理措施后，厂区内各主要污染物得到了不同程度的削减，废气达标排放，固废全部安全处置。可见通过各种治理措施削减后，污染物排放量大大降低，减少了对环境容量的占用，从而带来一定的环境效益。</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本项目生产过程产生的废水</w:t>
      </w:r>
      <w:r>
        <w:rPr>
          <w:rFonts w:ascii="Times New Roman" w:eastAsia="宋体" w:hAnsi="Times New Roman" w:cs="Times New Roman"/>
          <w:color w:val="000000" w:themeColor="text1"/>
          <w:sz w:val="24"/>
        </w:rPr>
        <w:t>、废气如果不经过处理直接排入环境中，将会对环境造成一定污染；废水、废气中的污染物一旦被人体吸入，还会危害人体健康。</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项目对污染物进行治理，不但能使污染物达标排放或削减，减小对环境的污染，</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同时还可以节省环境保护税，大大降低了企业的运行成本。</w:t>
      </w:r>
    </w:p>
    <w:p w:rsidR="00C861DA" w:rsidRDefault="0044752E">
      <w:pPr>
        <w:pStyle w:val="22"/>
        <w:rPr>
          <w:rFonts w:ascii="Times New Roman" w:eastAsia="宋体" w:hAnsi="Times New Roman"/>
          <w:bCs w:val="0"/>
          <w:color w:val="000000" w:themeColor="text1"/>
          <w:sz w:val="28"/>
          <w:szCs w:val="28"/>
        </w:rPr>
      </w:pPr>
      <w:bookmarkStart w:id="692" w:name="_Toc16340"/>
      <w:bookmarkStart w:id="693" w:name="_Toc18761"/>
      <w:bookmarkStart w:id="694" w:name="_Toc1008"/>
      <w:bookmarkStart w:id="695" w:name="_Toc5393"/>
      <w:bookmarkStart w:id="696" w:name="_Toc6826934"/>
      <w:r>
        <w:rPr>
          <w:rFonts w:ascii="Times New Roman" w:eastAsia="宋体" w:hAnsi="Times New Roman" w:hint="eastAsia"/>
          <w:bCs w:val="0"/>
          <w:color w:val="000000" w:themeColor="text1"/>
          <w:sz w:val="28"/>
          <w:szCs w:val="28"/>
        </w:rPr>
        <w:t>11.2</w:t>
      </w:r>
      <w:r>
        <w:rPr>
          <w:rFonts w:ascii="Times New Roman" w:eastAsia="宋体" w:hAnsi="Times New Roman" w:hint="eastAsia"/>
          <w:bCs w:val="0"/>
          <w:color w:val="000000" w:themeColor="text1"/>
          <w:sz w:val="28"/>
          <w:szCs w:val="28"/>
        </w:rPr>
        <w:t>经济效益</w:t>
      </w:r>
      <w:bookmarkEnd w:id="692"/>
      <w:bookmarkEnd w:id="693"/>
      <w:bookmarkEnd w:id="694"/>
      <w:bookmarkEnd w:id="695"/>
      <w:bookmarkEnd w:id="696"/>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硝基复肥产品装置建成后年均销售收入</w:t>
      </w:r>
      <w:r>
        <w:rPr>
          <w:rFonts w:ascii="Times New Roman" w:eastAsia="宋体" w:hAnsi="Times New Roman" w:cs="Times New Roman"/>
          <w:color w:val="000000" w:themeColor="text1"/>
          <w:sz w:val="24"/>
          <w:szCs w:val="24"/>
        </w:rPr>
        <w:t>73846.15</w:t>
      </w:r>
      <w:r>
        <w:rPr>
          <w:rFonts w:ascii="Times New Roman" w:eastAsia="宋体" w:hAnsi="Times New Roman" w:cs="Times New Roman"/>
          <w:color w:val="000000" w:themeColor="text1"/>
          <w:sz w:val="24"/>
          <w:szCs w:val="24"/>
        </w:rPr>
        <w:t>万元，年平均销售总成本</w:t>
      </w:r>
      <w:r>
        <w:rPr>
          <w:rFonts w:ascii="Times New Roman" w:eastAsia="宋体" w:hAnsi="Times New Roman" w:cs="Times New Roman"/>
          <w:color w:val="000000" w:themeColor="text1"/>
          <w:sz w:val="24"/>
          <w:szCs w:val="24"/>
        </w:rPr>
        <w:t>67414.10</w:t>
      </w:r>
      <w:r>
        <w:rPr>
          <w:rFonts w:ascii="Times New Roman" w:eastAsia="宋体" w:hAnsi="Times New Roman" w:cs="Times New Roman"/>
          <w:color w:val="000000" w:themeColor="text1"/>
          <w:sz w:val="24"/>
          <w:szCs w:val="24"/>
        </w:rPr>
        <w:t>万元，其中：年均固定成本</w:t>
      </w:r>
      <w:r>
        <w:rPr>
          <w:rFonts w:ascii="Times New Roman" w:eastAsia="宋体" w:hAnsi="Times New Roman" w:cs="Times New Roman"/>
          <w:color w:val="000000" w:themeColor="text1"/>
          <w:sz w:val="24"/>
          <w:szCs w:val="24"/>
        </w:rPr>
        <w:t>6738.64</w:t>
      </w:r>
      <w:r>
        <w:rPr>
          <w:rFonts w:ascii="Times New Roman" w:eastAsia="宋体" w:hAnsi="Times New Roman" w:cs="Times New Roman"/>
          <w:color w:val="000000" w:themeColor="text1"/>
          <w:sz w:val="24"/>
          <w:szCs w:val="24"/>
        </w:rPr>
        <w:t>万元，年均可变成本</w:t>
      </w:r>
      <w:r>
        <w:rPr>
          <w:rFonts w:ascii="Times New Roman" w:eastAsia="宋体" w:hAnsi="Times New Roman" w:cs="Times New Roman"/>
          <w:color w:val="000000" w:themeColor="text1"/>
          <w:sz w:val="24"/>
          <w:szCs w:val="24"/>
        </w:rPr>
        <w:t>60675.45</w:t>
      </w:r>
      <w:r>
        <w:rPr>
          <w:rFonts w:ascii="Times New Roman" w:eastAsia="宋体" w:hAnsi="Times New Roman" w:cs="Times New Roman"/>
          <w:color w:val="000000" w:themeColor="text1"/>
          <w:sz w:val="24"/>
          <w:szCs w:val="24"/>
        </w:rPr>
        <w:t>万元。由盈亏平衡分析知，生产能力利用率为</w:t>
      </w:r>
      <w:r>
        <w:rPr>
          <w:rFonts w:ascii="Times New Roman" w:eastAsia="宋体" w:hAnsi="Times New Roman" w:cs="Times New Roman"/>
          <w:color w:val="000000" w:themeColor="text1"/>
          <w:sz w:val="24"/>
          <w:szCs w:val="24"/>
        </w:rPr>
        <w:t>52.07%</w:t>
      </w:r>
      <w:r>
        <w:rPr>
          <w:rFonts w:ascii="Times New Roman" w:eastAsia="宋体" w:hAnsi="Times New Roman" w:cs="Times New Roman"/>
          <w:color w:val="000000" w:themeColor="text1"/>
          <w:sz w:val="24"/>
          <w:szCs w:val="24"/>
        </w:rPr>
        <w:t>，当产量超过盈亏平衡点时企业就有利润实现。</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尿基复肥产品装置建成后年均销售收入</w:t>
      </w:r>
      <w:r>
        <w:rPr>
          <w:rFonts w:ascii="Times New Roman" w:eastAsia="宋体" w:hAnsi="Times New Roman" w:cs="Times New Roman"/>
          <w:color w:val="000000" w:themeColor="text1"/>
          <w:sz w:val="24"/>
          <w:szCs w:val="24"/>
        </w:rPr>
        <w:t>128000.00</w:t>
      </w:r>
      <w:r>
        <w:rPr>
          <w:rFonts w:ascii="Times New Roman" w:eastAsia="宋体" w:hAnsi="Times New Roman" w:cs="Times New Roman"/>
          <w:color w:val="000000" w:themeColor="text1"/>
          <w:sz w:val="24"/>
          <w:szCs w:val="24"/>
        </w:rPr>
        <w:t>万元，年平均销售总成本</w:t>
      </w:r>
      <w:r>
        <w:rPr>
          <w:rFonts w:ascii="Times New Roman" w:eastAsia="宋体" w:hAnsi="Times New Roman" w:cs="Times New Roman"/>
          <w:color w:val="000000" w:themeColor="text1"/>
          <w:sz w:val="24"/>
          <w:szCs w:val="24"/>
        </w:rPr>
        <w:t>119052.59</w:t>
      </w:r>
      <w:r>
        <w:rPr>
          <w:rFonts w:ascii="Times New Roman" w:eastAsia="宋体" w:hAnsi="Times New Roman" w:cs="Times New Roman"/>
          <w:color w:val="000000" w:themeColor="text1"/>
          <w:sz w:val="24"/>
          <w:szCs w:val="24"/>
        </w:rPr>
        <w:t>万元，其中：年均固定成本</w:t>
      </w:r>
      <w:r>
        <w:rPr>
          <w:rFonts w:ascii="Times New Roman" w:eastAsia="宋体" w:hAnsi="Times New Roman" w:cs="Times New Roman"/>
          <w:color w:val="000000" w:themeColor="text1"/>
          <w:sz w:val="24"/>
          <w:szCs w:val="24"/>
        </w:rPr>
        <w:t>8220.76</w:t>
      </w:r>
      <w:r>
        <w:rPr>
          <w:rFonts w:ascii="Times New Roman" w:eastAsia="宋体" w:hAnsi="Times New Roman" w:cs="Times New Roman"/>
          <w:color w:val="000000" w:themeColor="text1"/>
          <w:sz w:val="24"/>
          <w:szCs w:val="24"/>
        </w:rPr>
        <w:t>万元，年均可变成本</w:t>
      </w:r>
      <w:r>
        <w:rPr>
          <w:rFonts w:ascii="Times New Roman" w:eastAsia="宋体" w:hAnsi="Times New Roman" w:cs="Times New Roman"/>
          <w:color w:val="000000" w:themeColor="text1"/>
          <w:sz w:val="24"/>
          <w:szCs w:val="24"/>
        </w:rPr>
        <w:t>110831.83</w:t>
      </w:r>
      <w:r>
        <w:rPr>
          <w:rFonts w:ascii="Times New Roman" w:eastAsia="宋体" w:hAnsi="Times New Roman" w:cs="Times New Roman"/>
          <w:color w:val="000000" w:themeColor="text1"/>
          <w:sz w:val="24"/>
          <w:szCs w:val="24"/>
        </w:rPr>
        <w:t>万元。由盈亏平衡分析知，生产能力利用率为</w:t>
      </w:r>
      <w:r>
        <w:rPr>
          <w:rFonts w:ascii="Times New Roman" w:eastAsia="宋体" w:hAnsi="Times New Roman" w:cs="Times New Roman"/>
          <w:color w:val="000000" w:themeColor="text1"/>
          <w:sz w:val="24"/>
          <w:szCs w:val="24"/>
        </w:rPr>
        <w:t>55.66%</w:t>
      </w:r>
      <w:r>
        <w:rPr>
          <w:rFonts w:ascii="Times New Roman" w:eastAsia="宋体" w:hAnsi="Times New Roman" w:cs="Times New Roman"/>
          <w:color w:val="000000" w:themeColor="text1"/>
          <w:sz w:val="24"/>
          <w:szCs w:val="24"/>
        </w:rPr>
        <w:t>，当产量超过盈亏平衡点时企业就有利润实</w:t>
      </w:r>
      <w:r>
        <w:rPr>
          <w:rFonts w:ascii="Times New Roman" w:eastAsia="宋体" w:hAnsi="Times New Roman" w:cs="Times New Roman"/>
          <w:color w:val="000000" w:themeColor="text1"/>
          <w:sz w:val="24"/>
          <w:szCs w:val="24"/>
        </w:rPr>
        <w:t>现。</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综上所述，项目建成后将取得较好的经济效益，且具有较强的抗风险能力，项目在经济上是可行的。</w:t>
      </w:r>
    </w:p>
    <w:p w:rsidR="00C861DA" w:rsidRDefault="0044752E">
      <w:pPr>
        <w:pStyle w:val="22"/>
        <w:rPr>
          <w:rFonts w:ascii="Times New Roman" w:eastAsia="宋体" w:hAnsi="Times New Roman"/>
          <w:bCs w:val="0"/>
          <w:color w:val="000000" w:themeColor="text1"/>
          <w:sz w:val="28"/>
          <w:szCs w:val="28"/>
        </w:rPr>
      </w:pPr>
      <w:bookmarkStart w:id="697" w:name="_bookmark89"/>
      <w:bookmarkStart w:id="698" w:name="_bookmark90"/>
      <w:bookmarkStart w:id="699" w:name="_Toc25431"/>
      <w:bookmarkStart w:id="700" w:name="_Toc10204"/>
      <w:bookmarkStart w:id="701" w:name="_Toc6826935"/>
      <w:bookmarkStart w:id="702" w:name="_Toc5268"/>
      <w:bookmarkStart w:id="703" w:name="_Toc18211"/>
      <w:bookmarkEnd w:id="697"/>
      <w:bookmarkEnd w:id="698"/>
      <w:r>
        <w:rPr>
          <w:rFonts w:ascii="Times New Roman" w:eastAsia="宋体" w:hAnsi="Times New Roman"/>
          <w:bCs w:val="0"/>
          <w:color w:val="000000" w:themeColor="text1"/>
          <w:sz w:val="28"/>
          <w:szCs w:val="28"/>
        </w:rPr>
        <w:t>1</w:t>
      </w:r>
      <w:r>
        <w:rPr>
          <w:rFonts w:ascii="Times New Roman" w:eastAsia="宋体" w:hAnsi="Times New Roman" w:hint="eastAsia"/>
          <w:bCs w:val="0"/>
          <w:color w:val="000000" w:themeColor="text1"/>
          <w:sz w:val="28"/>
          <w:szCs w:val="28"/>
        </w:rPr>
        <w:t>1</w:t>
      </w:r>
      <w:r>
        <w:rPr>
          <w:rFonts w:ascii="Times New Roman" w:eastAsia="宋体" w:hAnsi="Times New Roman"/>
          <w:bCs w:val="0"/>
          <w:color w:val="000000" w:themeColor="text1"/>
          <w:sz w:val="28"/>
          <w:szCs w:val="28"/>
        </w:rPr>
        <w:t>.3</w:t>
      </w:r>
      <w:r>
        <w:rPr>
          <w:rFonts w:ascii="Times New Roman" w:eastAsia="宋体" w:hAnsi="Times New Roman" w:hint="eastAsia"/>
          <w:bCs w:val="0"/>
          <w:color w:val="000000" w:themeColor="text1"/>
          <w:sz w:val="28"/>
          <w:szCs w:val="28"/>
        </w:rPr>
        <w:t>社会效益</w:t>
      </w:r>
      <w:bookmarkEnd w:id="699"/>
      <w:bookmarkEnd w:id="700"/>
      <w:bookmarkEnd w:id="701"/>
      <w:bookmarkEnd w:id="702"/>
      <w:bookmarkEnd w:id="703"/>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拟建项目的建设不仅能提云南祥丰石化有限公司的竞争能力。项目工程达到年产</w:t>
      </w:r>
      <w:r>
        <w:rPr>
          <w:rFonts w:ascii="Times New Roman" w:eastAsia="宋体" w:hAnsi="Times New Roman" w:cs="Times New Roman"/>
          <w:color w:val="000000" w:themeColor="text1"/>
          <w:sz w:val="24"/>
        </w:rPr>
        <w:t>80</w:t>
      </w:r>
      <w:r>
        <w:rPr>
          <w:rFonts w:ascii="Times New Roman" w:eastAsia="宋体" w:hAnsi="Times New Roman" w:cs="Times New Roman"/>
          <w:color w:val="000000" w:themeColor="text1"/>
          <w:sz w:val="24"/>
        </w:rPr>
        <w:t>万吨新型生态绿色有机肥生产规模时，将新增大量生产、技术、管理人员工作岗位，对促进本地区有机肥工业和当地经济的发展将起到极大的推动作用，社会效益显著。</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综上所述，本工程建设的整体效益远大于其对环境带来的负面影响，只要加强管理，确保各项污染防治措施及设施的正常运转，该项目的建成投产可实现社会效益、经济效益和环境效益的协调统一。</w:t>
      </w:r>
    </w:p>
    <w:p w:rsidR="00C861DA" w:rsidRDefault="0044752E">
      <w:pPr>
        <w:pStyle w:val="22"/>
        <w:rPr>
          <w:rFonts w:ascii="Times New Roman" w:eastAsia="宋体" w:hAnsi="Times New Roman"/>
          <w:bCs w:val="0"/>
          <w:color w:val="000000" w:themeColor="text1"/>
          <w:sz w:val="28"/>
          <w:szCs w:val="28"/>
        </w:rPr>
      </w:pPr>
      <w:bookmarkStart w:id="704" w:name="_bookmark91"/>
      <w:bookmarkStart w:id="705" w:name="_bookmark92"/>
      <w:bookmarkStart w:id="706" w:name="_Toc6826936"/>
      <w:bookmarkStart w:id="707" w:name="_Toc11666"/>
      <w:bookmarkStart w:id="708" w:name="_Toc7712"/>
      <w:bookmarkStart w:id="709" w:name="_Toc9416"/>
      <w:bookmarkStart w:id="710" w:name="_Toc29835"/>
      <w:bookmarkEnd w:id="704"/>
      <w:bookmarkEnd w:id="705"/>
      <w:r>
        <w:rPr>
          <w:rFonts w:ascii="Times New Roman" w:eastAsia="宋体" w:hAnsi="Times New Roman" w:hint="eastAsia"/>
          <w:bCs w:val="0"/>
          <w:color w:val="000000" w:themeColor="text1"/>
          <w:sz w:val="28"/>
          <w:szCs w:val="28"/>
        </w:rPr>
        <w:t>11</w:t>
      </w:r>
      <w:r>
        <w:rPr>
          <w:rFonts w:ascii="Times New Roman" w:eastAsia="宋体" w:hAnsi="Times New Roman"/>
          <w:bCs w:val="0"/>
          <w:color w:val="000000" w:themeColor="text1"/>
          <w:sz w:val="28"/>
          <w:szCs w:val="28"/>
        </w:rPr>
        <w:t>.</w:t>
      </w:r>
      <w:r>
        <w:rPr>
          <w:rFonts w:ascii="Times New Roman" w:eastAsia="宋体" w:hAnsi="Times New Roman" w:hint="eastAsia"/>
          <w:bCs w:val="0"/>
          <w:color w:val="000000" w:themeColor="text1"/>
          <w:sz w:val="28"/>
          <w:szCs w:val="28"/>
        </w:rPr>
        <w:t>4</w:t>
      </w:r>
      <w:r>
        <w:rPr>
          <w:rFonts w:ascii="Times New Roman" w:eastAsia="宋体" w:hAnsi="Times New Roman" w:hint="eastAsia"/>
          <w:bCs w:val="0"/>
          <w:color w:val="000000" w:themeColor="text1"/>
          <w:sz w:val="28"/>
          <w:szCs w:val="28"/>
        </w:rPr>
        <w:t>小结</w:t>
      </w:r>
      <w:bookmarkEnd w:id="706"/>
      <w:bookmarkEnd w:id="707"/>
      <w:bookmarkEnd w:id="708"/>
      <w:bookmarkEnd w:id="709"/>
      <w:bookmarkEnd w:id="710"/>
    </w:p>
    <w:p w:rsidR="00C861DA" w:rsidRDefault="0044752E">
      <w:pPr>
        <w:spacing w:line="360" w:lineRule="auto"/>
        <w:ind w:firstLineChars="200" w:firstLine="480"/>
        <w:jc w:val="both"/>
        <w:rPr>
          <w:rFonts w:ascii="Times New Roman" w:eastAsia="宋体" w:hAnsi="Times New Roman" w:cs="Times New Roman"/>
          <w:color w:val="000000" w:themeColor="text1"/>
          <w:sz w:val="24"/>
        </w:rPr>
        <w:sectPr w:rsidR="00C861DA">
          <w:pgSz w:w="11906" w:h="16838"/>
          <w:pgMar w:top="1440" w:right="1800" w:bottom="1440" w:left="1800" w:header="851" w:footer="992" w:gutter="0"/>
          <w:cols w:space="425"/>
          <w:docGrid w:type="lines" w:linePitch="312"/>
        </w:sectPr>
      </w:pPr>
      <w:r>
        <w:rPr>
          <w:rFonts w:ascii="Times New Roman" w:eastAsia="宋体" w:hAnsi="Times New Roman" w:cs="Times New Roman"/>
          <w:color w:val="000000" w:themeColor="text1"/>
          <w:sz w:val="24"/>
        </w:rPr>
        <w:t>综上所述，拟建工程采取的污染治理措施使污染物排放大量削减，同时采用资源再利用措施，降低了资源索取量，达到了一定的节能效果。随着国家对环境</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保护的重视和在政策、税收上的调控，进一步将企业消耗资源环境的成本</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内在化</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，采取上述措施节约的排污费和水费等将在今后的生产中显著增加，企业污</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染物排放的减少和对资源的再生利用成为降低企业产品生产成本的主要途径。拟</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建工程在带来良好的经济效益和社会效益的同时，又将其对环境的影响降至合理</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的程度</w:t>
      </w:r>
      <w:r>
        <w:rPr>
          <w:rFonts w:ascii="Times New Roman" w:eastAsia="宋体" w:hAnsi="Times New Roman" w:cs="Times New Roman" w:hint="eastAsia"/>
          <w:color w:val="000000" w:themeColor="text1"/>
          <w:sz w:val="24"/>
        </w:rPr>
        <w:t>。</w:t>
      </w:r>
    </w:p>
    <w:bookmarkStart w:id="711" w:name="_Toc15673"/>
    <w:bookmarkStart w:id="712" w:name="_Toc25087"/>
    <w:bookmarkStart w:id="713" w:name="_Toc20741"/>
    <w:bookmarkStart w:id="714" w:name="_Toc3543"/>
    <w:p w:rsidR="00C861DA" w:rsidRDefault="0044752E">
      <w:pPr>
        <w:pStyle w:val="12"/>
        <w:jc w:val="center"/>
        <w:rPr>
          <w:rFonts w:ascii="Times New Roman" w:eastAsia="宋体"/>
          <w:b/>
          <w:color w:val="000000" w:themeColor="text1"/>
          <w:sz w:val="28"/>
          <w:szCs w:val="24"/>
        </w:rPr>
      </w:pPr>
      <w:r>
        <w:rPr>
          <w:rFonts w:ascii="Times New Roman" w:eastAsia="宋体" w:hint="eastAsia"/>
          <w:b/>
          <w:color w:val="000000" w:themeColor="text1"/>
          <w:sz w:val="28"/>
          <w:szCs w:val="24"/>
        </w:rPr>
        <w:fldChar w:fldCharType="begin"/>
      </w:r>
      <w:r>
        <w:rPr>
          <w:rFonts w:ascii="Times New Roman" w:eastAsia="宋体" w:hint="eastAsia"/>
          <w:b/>
          <w:color w:val="000000" w:themeColor="text1"/>
          <w:sz w:val="28"/>
          <w:szCs w:val="24"/>
        </w:rPr>
        <w:instrText xml:space="preserve"> HYPERLINK \l "</w:instrText>
      </w:r>
      <w:r>
        <w:rPr>
          <w:rFonts w:ascii="Times New Roman" w:eastAsia="宋体" w:hint="eastAsia"/>
          <w:b/>
          <w:color w:val="000000" w:themeColor="text1"/>
          <w:sz w:val="28"/>
          <w:szCs w:val="24"/>
        </w:rPr>
        <w:instrText xml:space="preserve">_Toc512505519" </w:instrText>
      </w:r>
      <w:r>
        <w:rPr>
          <w:rFonts w:ascii="Times New Roman" w:eastAsia="宋体" w:hint="eastAsia"/>
          <w:b/>
          <w:color w:val="000000" w:themeColor="text1"/>
          <w:sz w:val="28"/>
          <w:szCs w:val="24"/>
        </w:rPr>
        <w:fldChar w:fldCharType="separate"/>
      </w:r>
      <w:bookmarkStart w:id="715" w:name="_Toc6826937"/>
      <w:r>
        <w:rPr>
          <w:rFonts w:ascii="Times New Roman" w:eastAsia="宋体" w:hint="eastAsia"/>
          <w:b/>
          <w:color w:val="000000" w:themeColor="text1"/>
          <w:sz w:val="28"/>
          <w:szCs w:val="24"/>
        </w:rPr>
        <w:t>12</w:t>
      </w:r>
      <w:r>
        <w:rPr>
          <w:rFonts w:ascii="Times New Roman" w:eastAsia="宋体" w:hint="eastAsia"/>
          <w:b/>
          <w:color w:val="000000" w:themeColor="text1"/>
          <w:sz w:val="28"/>
          <w:szCs w:val="24"/>
        </w:rPr>
        <w:t>、环境管理与监测计划</w:t>
      </w:r>
      <w:bookmarkEnd w:id="715"/>
      <w:r>
        <w:rPr>
          <w:rFonts w:ascii="Times New Roman" w:eastAsia="宋体" w:hint="eastAsia"/>
          <w:b/>
          <w:color w:val="000000" w:themeColor="text1"/>
          <w:sz w:val="28"/>
          <w:szCs w:val="24"/>
        </w:rPr>
        <w:fldChar w:fldCharType="end"/>
      </w:r>
      <w:bookmarkEnd w:id="711"/>
      <w:bookmarkEnd w:id="712"/>
      <w:bookmarkEnd w:id="713"/>
      <w:bookmarkEnd w:id="714"/>
    </w:p>
    <w:bookmarkStart w:id="716" w:name="_Toc16173"/>
    <w:bookmarkStart w:id="717" w:name="_Toc7608"/>
    <w:bookmarkStart w:id="718" w:name="_Toc6082"/>
    <w:bookmarkStart w:id="719" w:name="_Toc26516"/>
    <w:p w:rsidR="00C861DA" w:rsidRDefault="0044752E">
      <w:pPr>
        <w:pStyle w:val="22"/>
        <w:rPr>
          <w:rFonts w:ascii="Times New Roman" w:eastAsia="宋体" w:hAnsi="Times New Roman"/>
          <w:bCs w:val="0"/>
          <w:color w:val="000000" w:themeColor="text1"/>
          <w:sz w:val="28"/>
          <w:szCs w:val="28"/>
        </w:rPr>
      </w:pPr>
      <w:r>
        <w:rPr>
          <w:rFonts w:ascii="Times New Roman" w:eastAsia="宋体" w:hAnsi="Times New Roman" w:hint="eastAsia"/>
          <w:bCs w:val="0"/>
          <w:color w:val="000000" w:themeColor="text1"/>
          <w:sz w:val="28"/>
          <w:szCs w:val="28"/>
        </w:rPr>
        <w:fldChar w:fldCharType="begin"/>
      </w:r>
      <w:r>
        <w:rPr>
          <w:rFonts w:ascii="Times New Roman" w:eastAsia="宋体" w:hAnsi="Times New Roman" w:hint="eastAsia"/>
          <w:bCs w:val="0"/>
          <w:color w:val="000000" w:themeColor="text1"/>
          <w:sz w:val="28"/>
          <w:szCs w:val="28"/>
        </w:rPr>
        <w:instrText xml:space="preserve"> HYPERLINK \l "_Toc512505520" </w:instrText>
      </w:r>
      <w:r>
        <w:rPr>
          <w:rFonts w:ascii="Times New Roman" w:eastAsia="宋体" w:hAnsi="Times New Roman" w:hint="eastAsia"/>
          <w:bCs w:val="0"/>
          <w:color w:val="000000" w:themeColor="text1"/>
          <w:sz w:val="28"/>
          <w:szCs w:val="28"/>
        </w:rPr>
        <w:fldChar w:fldCharType="separate"/>
      </w:r>
      <w:bookmarkStart w:id="720" w:name="_Toc6826938"/>
      <w:r>
        <w:rPr>
          <w:rFonts w:ascii="Times New Roman" w:eastAsia="宋体" w:hAnsi="Times New Roman" w:hint="eastAsia"/>
          <w:bCs w:val="0"/>
          <w:color w:val="000000" w:themeColor="text1"/>
          <w:sz w:val="28"/>
          <w:szCs w:val="28"/>
        </w:rPr>
        <w:t>12.1</w:t>
      </w:r>
      <w:r>
        <w:rPr>
          <w:rFonts w:ascii="Times New Roman" w:eastAsia="宋体" w:hAnsi="Times New Roman" w:hint="eastAsia"/>
          <w:bCs w:val="0"/>
          <w:color w:val="000000" w:themeColor="text1"/>
          <w:sz w:val="28"/>
          <w:szCs w:val="28"/>
        </w:rPr>
        <w:t>环境管理</w:t>
      </w:r>
      <w:bookmarkEnd w:id="720"/>
      <w:r>
        <w:rPr>
          <w:rFonts w:ascii="Times New Roman" w:eastAsia="宋体" w:hAnsi="Times New Roman" w:hint="eastAsia"/>
          <w:bCs w:val="0"/>
          <w:color w:val="000000" w:themeColor="text1"/>
          <w:sz w:val="28"/>
          <w:szCs w:val="28"/>
        </w:rPr>
        <w:fldChar w:fldCharType="end"/>
      </w:r>
      <w:bookmarkEnd w:id="716"/>
      <w:bookmarkEnd w:id="717"/>
      <w:bookmarkEnd w:id="718"/>
      <w:bookmarkEnd w:id="719"/>
    </w:p>
    <w:bookmarkStart w:id="721" w:name="_Toc11802"/>
    <w:bookmarkStart w:id="722" w:name="_Toc24303"/>
    <w:bookmarkStart w:id="723" w:name="_Toc5816"/>
    <w:bookmarkStart w:id="724" w:name="_Toc19223"/>
    <w:p w:rsidR="00C861DA" w:rsidRDefault="0044752E">
      <w:pPr>
        <w:pStyle w:val="32"/>
        <w:rPr>
          <w:rFonts w:ascii="Times New Roman" w:eastAsia="宋体"/>
          <w:bCs w:val="0"/>
          <w:color w:val="000000" w:themeColor="text1"/>
          <w:sz w:val="24"/>
          <w:szCs w:val="24"/>
        </w:rPr>
      </w:pPr>
      <w:r>
        <w:rPr>
          <w:rFonts w:ascii="Times New Roman" w:eastAsia="宋体" w:hint="eastAsia"/>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"_Toc512505521" </w:instrText>
      </w:r>
      <w:r>
        <w:rPr>
          <w:rFonts w:ascii="Times New Roman" w:eastAsia="宋体" w:hint="eastAsia"/>
          <w:bCs w:val="0"/>
          <w:color w:val="000000" w:themeColor="text1"/>
          <w:sz w:val="24"/>
          <w:szCs w:val="24"/>
        </w:rPr>
        <w:fldChar w:fldCharType="separate"/>
      </w:r>
      <w:bookmarkStart w:id="725" w:name="_Toc6826939"/>
      <w:r>
        <w:rPr>
          <w:rFonts w:ascii="Times New Roman" w:eastAsia="宋体" w:hint="eastAsia"/>
          <w:bCs w:val="0"/>
          <w:color w:val="000000" w:themeColor="text1"/>
          <w:sz w:val="24"/>
          <w:szCs w:val="24"/>
        </w:rPr>
        <w:t>12.1.1</w:t>
      </w:r>
      <w:r>
        <w:rPr>
          <w:rFonts w:ascii="Times New Roman" w:eastAsia="宋体" w:hint="eastAsia"/>
          <w:bCs w:val="0"/>
          <w:color w:val="000000" w:themeColor="text1"/>
          <w:sz w:val="24"/>
          <w:szCs w:val="24"/>
        </w:rPr>
        <w:t>施工期</w:t>
      </w:r>
      <w:r>
        <w:rPr>
          <w:rFonts w:ascii="Times New Roman" w:eastAsia="宋体" w:hint="eastAsia"/>
          <w:bCs w:val="0"/>
          <w:color w:val="000000" w:themeColor="text1"/>
          <w:sz w:val="24"/>
          <w:szCs w:val="24"/>
        </w:rPr>
        <w:fldChar w:fldCharType="end"/>
      </w:r>
      <w:r>
        <w:rPr>
          <w:rFonts w:ascii="Times New Roman" w:eastAsia="宋体" w:hint="eastAsia"/>
          <w:bCs w:val="0"/>
          <w:color w:val="000000" w:themeColor="text1"/>
          <w:sz w:val="24"/>
          <w:szCs w:val="24"/>
        </w:rPr>
        <w:t>环境管理与监测</w:t>
      </w:r>
      <w:bookmarkEnd w:id="721"/>
      <w:bookmarkEnd w:id="722"/>
      <w:bookmarkEnd w:id="723"/>
      <w:bookmarkEnd w:id="724"/>
      <w:bookmarkEnd w:id="725"/>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为预防和治理施工中的环境污染问题，除采取必要的污染治理措施外，还必须加强施工期的环境监测和管理。对此，本评价提出以下建议：</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建设单位在签订施工承包合同时，应将有关环境保护的条款列入合同，其中应包括对施工承包方环境污染预防和治理等方面的具体要求，如施工噪声污染、废水、扬尘等排放治理，施工垃圾处置等内容。</w:t>
      </w:r>
    </w:p>
    <w:bookmarkStart w:id="726" w:name="_Toc32761"/>
    <w:bookmarkStart w:id="727" w:name="_Toc18798"/>
    <w:bookmarkStart w:id="728" w:name="_Toc20715"/>
    <w:bookmarkStart w:id="729" w:name="_Toc3787"/>
    <w:p w:rsidR="00C861DA" w:rsidRDefault="0044752E">
      <w:pPr>
        <w:pStyle w:val="32"/>
        <w:rPr>
          <w:rFonts w:ascii="Times New Roman" w:eastAsia="宋体"/>
          <w:bCs w:val="0"/>
          <w:color w:val="000000" w:themeColor="text1"/>
          <w:sz w:val="24"/>
          <w:szCs w:val="24"/>
        </w:rPr>
      </w:pPr>
      <w:r>
        <w:rPr>
          <w:rFonts w:ascii="Times New Roman" w:eastAsia="宋体" w:hint="eastAsia"/>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"_Toc512505522" </w:instrText>
      </w:r>
      <w:r>
        <w:rPr>
          <w:rFonts w:ascii="Times New Roman" w:eastAsia="宋体" w:hint="eastAsia"/>
          <w:bCs w:val="0"/>
          <w:color w:val="000000" w:themeColor="text1"/>
          <w:sz w:val="24"/>
          <w:szCs w:val="24"/>
        </w:rPr>
        <w:fldChar w:fldCharType="separate"/>
      </w:r>
      <w:bookmarkStart w:id="730" w:name="_Toc6826940"/>
      <w:r>
        <w:rPr>
          <w:rFonts w:ascii="Times New Roman" w:eastAsia="宋体" w:hint="eastAsia"/>
          <w:bCs w:val="0"/>
          <w:color w:val="000000" w:themeColor="text1"/>
          <w:sz w:val="24"/>
          <w:szCs w:val="24"/>
        </w:rPr>
        <w:t>12.1.2</w:t>
      </w:r>
      <w:r>
        <w:rPr>
          <w:rFonts w:ascii="Times New Roman" w:eastAsia="宋体" w:hint="eastAsia"/>
          <w:bCs w:val="0"/>
          <w:color w:val="000000" w:themeColor="text1"/>
          <w:sz w:val="24"/>
          <w:szCs w:val="24"/>
        </w:rPr>
        <w:t>营运期</w:t>
      </w:r>
      <w:r>
        <w:rPr>
          <w:rFonts w:ascii="Times New Roman" w:eastAsia="宋体" w:hint="eastAsia"/>
          <w:bCs w:val="0"/>
          <w:color w:val="000000" w:themeColor="text1"/>
          <w:sz w:val="24"/>
          <w:szCs w:val="24"/>
        </w:rPr>
        <w:fldChar w:fldCharType="end"/>
      </w:r>
      <w:r>
        <w:rPr>
          <w:rFonts w:ascii="Times New Roman" w:eastAsia="宋体" w:hint="eastAsia"/>
          <w:bCs w:val="0"/>
          <w:color w:val="000000" w:themeColor="text1"/>
          <w:sz w:val="24"/>
          <w:szCs w:val="24"/>
        </w:rPr>
        <w:t>环境管理</w:t>
      </w:r>
      <w:bookmarkEnd w:id="726"/>
      <w:bookmarkEnd w:id="727"/>
      <w:bookmarkEnd w:id="728"/>
      <w:bookmarkEnd w:id="729"/>
      <w:bookmarkEnd w:id="730"/>
    </w:p>
    <w:p w:rsidR="00C861DA" w:rsidRDefault="0044752E">
      <w:pPr>
        <w:autoSpaceDE/>
        <w:autoSpaceDN/>
        <w:adjustRightInd/>
        <w:spacing w:line="360" w:lineRule="auto"/>
        <w:ind w:firstLineChars="200" w:firstLine="482"/>
        <w:jc w:val="both"/>
        <w:rPr>
          <w:rFonts w:ascii="Times New Roman" w:eastAsia="宋体" w:cs="仿宋"/>
          <w:b/>
          <w:bCs/>
          <w:color w:val="000000" w:themeColor="text1"/>
          <w:sz w:val="24"/>
          <w:szCs w:val="24"/>
        </w:rPr>
      </w:pPr>
      <w:r>
        <w:rPr>
          <w:rFonts w:ascii="Times New Roman" w:eastAsia="宋体" w:cs="仿宋" w:hint="eastAsia"/>
          <w:b/>
          <w:bCs/>
          <w:color w:val="000000" w:themeColor="text1"/>
          <w:sz w:val="24"/>
          <w:szCs w:val="24"/>
        </w:rPr>
        <w:t>（</w:t>
      </w:r>
      <w:r>
        <w:rPr>
          <w:rFonts w:ascii="Times New Roman" w:eastAsia="宋体" w:cs="仿宋" w:hint="eastAsia"/>
          <w:b/>
          <w:bCs/>
          <w:color w:val="000000" w:themeColor="text1"/>
          <w:sz w:val="24"/>
          <w:szCs w:val="24"/>
        </w:rPr>
        <w:t>1</w:t>
      </w:r>
      <w:r>
        <w:rPr>
          <w:rFonts w:ascii="Times New Roman" w:eastAsia="宋体" w:cs="仿宋" w:hint="eastAsia"/>
          <w:b/>
          <w:bCs/>
          <w:color w:val="000000" w:themeColor="text1"/>
          <w:sz w:val="24"/>
          <w:szCs w:val="24"/>
        </w:rPr>
        <w:t>）环保机构设置</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根据本项目建设规模和环境管理任务，应设</w:t>
      </w:r>
      <w:r>
        <w:rPr>
          <w:rFonts w:ascii="Times New Roman" w:eastAsia="宋体" w:cs="仿宋" w:hint="eastAsia"/>
          <w:color w:val="000000" w:themeColor="text1"/>
          <w:sz w:val="24"/>
          <w:szCs w:val="24"/>
        </w:rPr>
        <w:t>2-4</w:t>
      </w:r>
      <w:r>
        <w:rPr>
          <w:rFonts w:ascii="Times New Roman" w:eastAsia="宋体" w:cs="仿宋" w:hint="eastAsia"/>
          <w:color w:val="000000" w:themeColor="text1"/>
          <w:sz w:val="24"/>
          <w:szCs w:val="24"/>
        </w:rPr>
        <w:t>名环保专职或兼职人员，负责本项目的环境保护监督管理及各项环保设施的运行管理工作，污染源和环境质量监测可委托有资质的环境监测单位承担。</w:t>
      </w:r>
    </w:p>
    <w:p w:rsidR="00C861DA" w:rsidRDefault="0044752E">
      <w:pPr>
        <w:autoSpaceDE/>
        <w:autoSpaceDN/>
        <w:adjustRightInd/>
        <w:spacing w:line="360" w:lineRule="auto"/>
        <w:ind w:firstLineChars="200" w:firstLine="482"/>
        <w:jc w:val="both"/>
        <w:rPr>
          <w:rFonts w:ascii="Times New Roman" w:eastAsia="宋体" w:cs="仿宋"/>
          <w:b/>
          <w:bCs/>
          <w:color w:val="000000" w:themeColor="text1"/>
          <w:sz w:val="24"/>
          <w:szCs w:val="24"/>
        </w:rPr>
      </w:pPr>
      <w:r>
        <w:rPr>
          <w:rFonts w:ascii="Times New Roman" w:eastAsia="宋体" w:cs="仿宋" w:hint="eastAsia"/>
          <w:b/>
          <w:bCs/>
          <w:color w:val="000000" w:themeColor="text1"/>
          <w:sz w:val="24"/>
          <w:szCs w:val="24"/>
        </w:rPr>
        <w:t>（</w:t>
      </w:r>
      <w:r>
        <w:rPr>
          <w:rFonts w:ascii="Times New Roman" w:eastAsia="宋体" w:cs="仿宋" w:hint="eastAsia"/>
          <w:b/>
          <w:bCs/>
          <w:color w:val="000000" w:themeColor="text1"/>
          <w:sz w:val="24"/>
          <w:szCs w:val="24"/>
        </w:rPr>
        <w:t>2</w:t>
      </w:r>
      <w:r>
        <w:rPr>
          <w:rFonts w:ascii="Times New Roman" w:eastAsia="宋体" w:cs="仿宋" w:hint="eastAsia"/>
          <w:b/>
          <w:bCs/>
          <w:color w:val="000000" w:themeColor="text1"/>
          <w:sz w:val="24"/>
          <w:szCs w:val="24"/>
        </w:rPr>
        <w:t>）环境管理内容</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公司在生产管理中需制定的主要环境管理内容如下：</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1</w:t>
      </w:r>
      <w:r>
        <w:rPr>
          <w:rFonts w:ascii="Times New Roman" w:eastAsia="宋体" w:cs="仿宋" w:hint="eastAsia"/>
          <w:color w:val="000000" w:themeColor="text1"/>
          <w:sz w:val="24"/>
          <w:szCs w:val="24"/>
        </w:rPr>
        <w:t>）“三同时”制度</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在项目筹备、实施和建设阶段，应严格执行“三同时”，确保厂区各生产单元三废处理等环保设施能够和生产工艺“同时设计、同时施工、同时投产使用”。</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2</w:t>
      </w:r>
      <w:r>
        <w:rPr>
          <w:rFonts w:ascii="Times New Roman" w:eastAsia="宋体" w:cs="仿宋" w:hint="eastAsia"/>
          <w:color w:val="000000" w:themeColor="text1"/>
          <w:sz w:val="24"/>
          <w:szCs w:val="24"/>
        </w:rPr>
        <w:t>）报告制度</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定期向当地环保部门上报污染治理设施运行情况、污染物排放情况以及污染事故、污染纠纷等情况。项目排污发生重大变化、污染治理设施改变或项目技改等必须向当地环保部门申报。</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3</w:t>
      </w:r>
      <w:r>
        <w:rPr>
          <w:rFonts w:ascii="Times New Roman" w:eastAsia="宋体" w:cs="仿宋" w:hint="eastAsia"/>
          <w:color w:val="000000" w:themeColor="text1"/>
          <w:sz w:val="24"/>
          <w:szCs w:val="24"/>
        </w:rPr>
        <w:t>）污染治理设施的管理、监控制度</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项目建设后，必须确保污染治理设施长期、稳定、有效地运行，不得擅自拆除或者闲置废水处理和废气处</w:t>
      </w:r>
      <w:r>
        <w:rPr>
          <w:rFonts w:ascii="Times New Roman" w:eastAsia="宋体" w:cs="仿宋" w:hint="eastAsia"/>
          <w:color w:val="000000" w:themeColor="text1"/>
          <w:sz w:val="24"/>
          <w:szCs w:val="24"/>
        </w:rPr>
        <w:t>理设备，不得故意不正常使用污染治理设施。污染治理设施的管理必须与公司的生产经营活动一起纳入公司日常管理工作的范畴，落实责任人、操作人员、维修人员、运行经费、设备的备品备件和其他辅助材料。同时要求建立健全岗位责任制、制定正确的操作规程、建立运行台账。</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4</w:t>
      </w:r>
      <w:r>
        <w:rPr>
          <w:rFonts w:ascii="Times New Roman" w:eastAsia="宋体" w:cs="仿宋" w:hint="eastAsia"/>
          <w:color w:val="000000" w:themeColor="text1"/>
          <w:sz w:val="24"/>
          <w:szCs w:val="24"/>
        </w:rPr>
        <w:t>）日常环境管理制度</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环境管理机构定期检查环保设施的运行状况及对设备的维修与管理，严格控制“三废”的排放；协同有关环境保护部门组织落实“三同时”，参与有关方案的审定及竣工验收；一旦发生环境风险事故，环境管理机构将参与事故的处理。</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5</w:t>
      </w:r>
      <w:r>
        <w:rPr>
          <w:rFonts w:ascii="Times New Roman" w:eastAsia="宋体" w:cs="仿宋" w:hint="eastAsia"/>
          <w:color w:val="000000" w:themeColor="text1"/>
          <w:sz w:val="24"/>
          <w:szCs w:val="24"/>
        </w:rPr>
        <w:t>）环保奖惩制度</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各级管理人员都</w:t>
      </w:r>
      <w:r>
        <w:rPr>
          <w:rFonts w:ascii="Times New Roman" w:eastAsia="宋体" w:cs="仿宋" w:hint="eastAsia"/>
          <w:color w:val="000000" w:themeColor="text1"/>
          <w:sz w:val="24"/>
          <w:szCs w:val="24"/>
        </w:rPr>
        <w:t>应树立环境保护的思想，企业也应设置环境保护奖惩条例；对爱护环保治理设施、节约原料的工作者实施奖励；对于环保观念淡薄，不按环保要求管理。造成环保设施损坏、环境污染及原材料浪费者予以处罚。</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6</w:t>
      </w:r>
      <w:r>
        <w:rPr>
          <w:rFonts w:ascii="Times New Roman" w:eastAsia="宋体" w:cs="仿宋" w:hint="eastAsia"/>
          <w:color w:val="000000" w:themeColor="text1"/>
          <w:sz w:val="24"/>
          <w:szCs w:val="24"/>
        </w:rPr>
        <w:t>）安全教育制度</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遵守国家及地方的有关环保方针、法规和条例，做好环保安全教育和技术培训，提高工作人员意识和技术水平，提高污染防治的能力和责任心。</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7</w:t>
      </w:r>
      <w:r>
        <w:rPr>
          <w:rFonts w:ascii="Times New Roman" w:eastAsia="宋体" w:cs="仿宋" w:hint="eastAsia"/>
          <w:color w:val="000000" w:themeColor="text1"/>
          <w:sz w:val="24"/>
          <w:szCs w:val="24"/>
        </w:rPr>
        <w:t>）固体废物管理制度</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①公司须对危险废物进行登记申报，将危险废物的实际产生、贮存、利用、处置等情况纳入全厂生产记录，建立危险废物管理台账和企业内部产生和收集贮存、转移等部门危险废物</w:t>
      </w:r>
      <w:r>
        <w:rPr>
          <w:rFonts w:ascii="Times New Roman" w:eastAsia="宋体" w:cs="仿宋" w:hint="eastAsia"/>
          <w:color w:val="000000" w:themeColor="text1"/>
          <w:sz w:val="24"/>
          <w:szCs w:val="24"/>
        </w:rPr>
        <w:t>交接制度（五联单制度）。</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②公司作为固体废物污染防治的责任主体，须建立风险管理及应急救援体系，严格执行环境监测计划、转移联单管理制度及国家和省有关转移管理的相关规定、处置过程安全操作规程、人员培训考核制度、档案管理制度、处置全过程管理制度等。</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③公司全厂的危险废物贮存场所按照要求设置警告标示，危废包装、容器和贮存场所都须按照《危险废物贮存污染控制标准》（</w:t>
      </w:r>
      <w:r>
        <w:rPr>
          <w:rFonts w:ascii="Times New Roman" w:eastAsia="宋体" w:cs="仿宋" w:hint="eastAsia"/>
          <w:color w:val="000000" w:themeColor="text1"/>
          <w:sz w:val="24"/>
          <w:szCs w:val="24"/>
        </w:rPr>
        <w:t>GB18597-2001</w:t>
      </w:r>
      <w:r>
        <w:rPr>
          <w:rFonts w:ascii="Times New Roman" w:eastAsia="宋体" w:cs="仿宋" w:hint="eastAsia"/>
          <w:color w:val="000000" w:themeColor="text1"/>
          <w:sz w:val="24"/>
          <w:szCs w:val="24"/>
        </w:rPr>
        <w:t>）有关要求张贴标识。</w:t>
      </w:r>
    </w:p>
    <w:p w:rsidR="00C861DA" w:rsidRDefault="0044752E">
      <w:pPr>
        <w:autoSpaceDE/>
        <w:autoSpaceDN/>
        <w:adjustRightInd/>
        <w:spacing w:line="360" w:lineRule="auto"/>
        <w:ind w:firstLineChars="200" w:firstLine="482"/>
        <w:jc w:val="both"/>
        <w:rPr>
          <w:rFonts w:ascii="Times New Roman" w:eastAsia="宋体" w:cs="仿宋"/>
          <w:b/>
          <w:bCs/>
          <w:color w:val="000000" w:themeColor="text1"/>
          <w:sz w:val="24"/>
          <w:szCs w:val="24"/>
        </w:rPr>
      </w:pPr>
      <w:r>
        <w:rPr>
          <w:rFonts w:ascii="Times New Roman" w:eastAsia="宋体" w:cs="仿宋" w:hint="eastAsia"/>
          <w:b/>
          <w:bCs/>
          <w:color w:val="000000" w:themeColor="text1"/>
          <w:sz w:val="24"/>
          <w:szCs w:val="24"/>
        </w:rPr>
        <w:t>（</w:t>
      </w:r>
      <w:r>
        <w:rPr>
          <w:rFonts w:ascii="Times New Roman" w:eastAsia="宋体" w:cs="仿宋" w:hint="eastAsia"/>
          <w:b/>
          <w:bCs/>
          <w:color w:val="000000" w:themeColor="text1"/>
          <w:sz w:val="24"/>
          <w:szCs w:val="24"/>
        </w:rPr>
        <w:t>3</w:t>
      </w:r>
      <w:r>
        <w:rPr>
          <w:rFonts w:ascii="Times New Roman" w:eastAsia="宋体" w:cs="仿宋" w:hint="eastAsia"/>
          <w:b/>
          <w:bCs/>
          <w:color w:val="000000" w:themeColor="text1"/>
          <w:sz w:val="24"/>
          <w:szCs w:val="24"/>
        </w:rPr>
        <w:t>）环境管理制度的建立</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1</w:t>
      </w:r>
      <w:r>
        <w:rPr>
          <w:rFonts w:ascii="Times New Roman" w:eastAsia="宋体" w:cs="仿宋" w:hint="eastAsia"/>
          <w:color w:val="000000" w:themeColor="text1"/>
          <w:sz w:val="24"/>
          <w:szCs w:val="24"/>
        </w:rPr>
        <w:t>）报告制度</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按《建设项目环境保护管理条例》中第二十条和二十三条规定，本项目在正式投产前，应自主完善“环境保护竣工验收报告”，验收通过后，方可正式投入生产。</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项目建成后应严格制定月报或季报制度，即定期向当地环保部门报告污染治理设施的运行情况、污染物排放情况以及污染事故、污染纠纷等情况。企业排污发生重大变化、污染治理设施改变或生产运行计划改变等都须想当地环保部门申报，经审批同意后方可实施。</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2</w:t>
      </w:r>
      <w:r>
        <w:rPr>
          <w:rFonts w:ascii="Times New Roman" w:eastAsia="宋体" w:cs="仿宋" w:hint="eastAsia"/>
          <w:color w:val="000000" w:themeColor="text1"/>
          <w:sz w:val="24"/>
          <w:szCs w:val="24"/>
        </w:rPr>
        <w:t>）建立环境管理体系</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按照国际标准的要求建立环境管理体系，以便全面系统的对污染物进行控制，进一步提高能源资源的利用率，及时了解有关环保</w:t>
      </w:r>
      <w:r>
        <w:rPr>
          <w:rFonts w:ascii="Times New Roman" w:eastAsia="宋体" w:cs="仿宋" w:hint="eastAsia"/>
          <w:color w:val="000000" w:themeColor="text1"/>
          <w:sz w:val="24"/>
          <w:szCs w:val="24"/>
        </w:rPr>
        <w:t>法律法规及其他要求，更好地遵守法律法规及各项制度。</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3</w:t>
      </w:r>
      <w:r>
        <w:rPr>
          <w:rFonts w:ascii="Times New Roman" w:eastAsia="宋体" w:cs="仿宋" w:hint="eastAsia"/>
          <w:color w:val="000000" w:themeColor="text1"/>
          <w:sz w:val="24"/>
          <w:szCs w:val="24"/>
        </w:rPr>
        <w:t>）污染处理设施管理制度</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对污染治理设施和管理必须与生产经营</w:t>
      </w:r>
      <w:r>
        <w:rPr>
          <w:rFonts w:ascii="Times New Roman" w:eastAsia="宋体" w:cs="仿宋" w:hint="eastAsia"/>
          <w:color w:val="000000" w:themeColor="text1"/>
          <w:sz w:val="24"/>
          <w:szCs w:val="24"/>
        </w:rPr>
        <w:t>=</w:t>
      </w:r>
      <w:r>
        <w:rPr>
          <w:rFonts w:ascii="Times New Roman" w:eastAsia="宋体" w:cs="仿宋" w:hint="eastAsia"/>
          <w:color w:val="000000" w:themeColor="text1"/>
          <w:sz w:val="24"/>
          <w:szCs w:val="24"/>
        </w:rPr>
        <w:t>活动一起纳入企业的日常管理中，要建立岗位责任制，制定操作规程，建立管理台账。</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4</w:t>
      </w:r>
      <w:r>
        <w:rPr>
          <w:rFonts w:ascii="Times New Roman" w:eastAsia="宋体" w:cs="仿宋" w:hint="eastAsia"/>
          <w:color w:val="000000" w:themeColor="text1"/>
          <w:sz w:val="24"/>
          <w:szCs w:val="24"/>
        </w:rPr>
        <w:t>）环境保护教育制度</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对技术工人进行上岗前的环保知识法规教育及操作规范的培训，使各项环保设施的操作规范化，保证环保设施的正常运转。</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6</w:t>
      </w:r>
      <w:r>
        <w:rPr>
          <w:rFonts w:ascii="Times New Roman" w:eastAsia="宋体" w:cs="仿宋" w:hint="eastAsia"/>
          <w:color w:val="000000" w:themeColor="text1"/>
          <w:sz w:val="24"/>
          <w:szCs w:val="24"/>
        </w:rPr>
        <w:t>）其他环境管理措施</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①加强对环保设施的运行管理，如环保设施出现故障，应立即停产检修，严禁事故排放。</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②专人负责固体废物收集和暂存场所的维护工作，防止固体废物在厂内产生二次污染。</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③加强环境监测工作，重点是各污染源的监测，并注意做好记录，监测中如发现异常情况应及时向有关部门通报，及时采取应急措施，防止事故排放。</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宋体" w:hint="eastAsia"/>
          <w:color w:val="000000" w:themeColor="text1"/>
          <w:sz w:val="24"/>
          <w:szCs w:val="24"/>
        </w:rPr>
        <w:t>④</w:t>
      </w:r>
      <w:r>
        <w:rPr>
          <w:rFonts w:ascii="Times New Roman" w:eastAsia="宋体" w:cs="仿宋" w:hint="eastAsia"/>
          <w:color w:val="000000" w:themeColor="text1"/>
          <w:sz w:val="24"/>
          <w:szCs w:val="24"/>
        </w:rPr>
        <w:t>定期向环保主管部门汇报环保工作情况，污染治理设施运行情况，报送监测结果。</w:t>
      </w:r>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宋体" w:hint="eastAsia"/>
          <w:color w:val="000000" w:themeColor="text1"/>
          <w:sz w:val="24"/>
          <w:szCs w:val="24"/>
        </w:rPr>
        <w:t>⑤</w:t>
      </w:r>
      <w:r>
        <w:rPr>
          <w:rFonts w:ascii="Times New Roman" w:eastAsia="宋体" w:cs="仿宋" w:hint="eastAsia"/>
          <w:color w:val="000000" w:themeColor="text1"/>
          <w:sz w:val="24"/>
          <w:szCs w:val="24"/>
        </w:rPr>
        <w:t>建立本企业的环境保护工作档案，包括污染物排放情况；污染治理设施的运行、操作和管理情况；监测记录；污染事故情况及有关记录；其他与污染防治有关的情况和资料等。</w:t>
      </w:r>
    </w:p>
    <w:bookmarkStart w:id="731" w:name="_Toc15996"/>
    <w:bookmarkStart w:id="732" w:name="_Toc20095"/>
    <w:bookmarkStart w:id="733" w:name="_Toc28637"/>
    <w:bookmarkStart w:id="734" w:name="_Toc19644"/>
    <w:p w:rsidR="00C861DA" w:rsidRDefault="0044752E">
      <w:pPr>
        <w:pStyle w:val="32"/>
        <w:rPr>
          <w:rFonts w:ascii="Times New Roman" w:eastAsia="宋体"/>
          <w:bCs w:val="0"/>
          <w:color w:val="000000" w:themeColor="text1"/>
          <w:sz w:val="24"/>
          <w:szCs w:val="24"/>
        </w:rPr>
      </w:pPr>
      <w:r>
        <w:rPr>
          <w:rFonts w:ascii="Times New Roman" w:eastAsia="宋体" w:hint="eastAsia"/>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"_Toc512505523" </w:instrText>
      </w:r>
      <w:r>
        <w:rPr>
          <w:rFonts w:ascii="Times New Roman" w:eastAsia="宋体" w:hint="eastAsia"/>
          <w:bCs w:val="0"/>
          <w:color w:val="000000" w:themeColor="text1"/>
          <w:sz w:val="24"/>
          <w:szCs w:val="24"/>
        </w:rPr>
        <w:fldChar w:fldCharType="separate"/>
      </w:r>
      <w:bookmarkStart w:id="735" w:name="_Toc6826941"/>
      <w:r>
        <w:rPr>
          <w:rFonts w:ascii="Times New Roman" w:eastAsia="宋体" w:hint="eastAsia"/>
          <w:bCs w:val="0"/>
          <w:color w:val="000000" w:themeColor="text1"/>
          <w:sz w:val="24"/>
          <w:szCs w:val="24"/>
        </w:rPr>
        <w:t>12.1.3</w:t>
      </w:r>
      <w:r>
        <w:rPr>
          <w:rFonts w:ascii="Times New Roman" w:eastAsia="宋体" w:hint="eastAsia"/>
          <w:bCs w:val="0"/>
          <w:color w:val="000000" w:themeColor="text1"/>
          <w:sz w:val="24"/>
          <w:szCs w:val="24"/>
        </w:rPr>
        <w:t>环境管理计划</w:t>
      </w:r>
      <w:bookmarkEnd w:id="735"/>
      <w:r>
        <w:rPr>
          <w:rFonts w:ascii="Times New Roman" w:eastAsia="宋体" w:hint="eastAsia"/>
          <w:bCs w:val="0"/>
          <w:color w:val="000000" w:themeColor="text1"/>
          <w:sz w:val="24"/>
          <w:szCs w:val="24"/>
        </w:rPr>
        <w:fldChar w:fldCharType="end"/>
      </w:r>
      <w:bookmarkEnd w:id="731"/>
      <w:bookmarkEnd w:id="732"/>
      <w:bookmarkEnd w:id="733"/>
      <w:bookmarkEnd w:id="734"/>
    </w:p>
    <w:p w:rsidR="00C861DA" w:rsidRDefault="0044752E">
      <w:pPr>
        <w:autoSpaceDE/>
        <w:autoSpaceDN/>
        <w:spacing w:line="360" w:lineRule="auto"/>
        <w:ind w:firstLineChars="200" w:firstLine="480"/>
        <w:rPr>
          <w:rFonts w:ascii="Times New Roman" w:eastAsia="宋体" w:cs="仿宋"/>
          <w:color w:val="000000" w:themeColor="text1"/>
          <w:sz w:val="24"/>
          <w:szCs w:val="24"/>
        </w:rPr>
      </w:pPr>
      <w:r>
        <w:rPr>
          <w:rFonts w:ascii="Times New Roman" w:eastAsia="宋体" w:cs="仿宋" w:hint="eastAsia"/>
          <w:color w:val="000000" w:themeColor="text1"/>
          <w:sz w:val="24"/>
          <w:szCs w:val="24"/>
        </w:rPr>
        <w:t>项目各阶段环境管理工作计划见表</w:t>
      </w:r>
      <w:r>
        <w:rPr>
          <w:rFonts w:ascii="Times New Roman" w:eastAsia="宋体" w:cs="仿宋" w:hint="eastAsia"/>
          <w:color w:val="000000" w:themeColor="text1"/>
          <w:sz w:val="24"/>
          <w:szCs w:val="24"/>
        </w:rPr>
        <w:t>12.1-1</w:t>
      </w:r>
      <w:r>
        <w:rPr>
          <w:rFonts w:ascii="Times New Roman" w:eastAsia="宋体" w:cs="仿宋" w:hint="eastAsia"/>
          <w:color w:val="000000" w:themeColor="text1"/>
          <w:sz w:val="24"/>
          <w:szCs w:val="24"/>
        </w:rPr>
        <w:t>。</w:t>
      </w:r>
    </w:p>
    <w:p w:rsidR="00C861DA" w:rsidRDefault="0044752E">
      <w:pPr>
        <w:autoSpaceDE/>
        <w:autoSpaceDN/>
        <w:snapToGrid w:val="0"/>
        <w:spacing w:line="360" w:lineRule="auto"/>
        <w:ind w:firstLineChars="200" w:firstLine="482"/>
        <w:jc w:val="center"/>
        <w:rPr>
          <w:rFonts w:ascii="Times New Roman" w:eastAsia="宋体" w:cs="仿宋"/>
          <w:b/>
          <w:bCs/>
          <w:color w:val="000000" w:themeColor="text1"/>
          <w:sz w:val="24"/>
          <w:szCs w:val="24"/>
        </w:rPr>
      </w:pPr>
      <w:r>
        <w:rPr>
          <w:rFonts w:ascii="Times New Roman" w:eastAsia="宋体" w:cs="仿宋" w:hint="eastAsia"/>
          <w:b/>
          <w:bCs/>
          <w:color w:val="000000" w:themeColor="text1"/>
          <w:sz w:val="24"/>
          <w:szCs w:val="24"/>
        </w:rPr>
        <w:t>表</w:t>
      </w:r>
      <w:r>
        <w:rPr>
          <w:rFonts w:ascii="Times New Roman" w:eastAsia="宋体" w:cs="仿宋" w:hint="eastAsia"/>
          <w:b/>
          <w:bCs/>
          <w:color w:val="000000" w:themeColor="text1"/>
          <w:sz w:val="24"/>
          <w:szCs w:val="24"/>
        </w:rPr>
        <w:t xml:space="preserve">12.1-1  </w:t>
      </w:r>
      <w:r>
        <w:rPr>
          <w:rFonts w:ascii="Times New Roman" w:eastAsia="宋体" w:cs="仿宋" w:hint="eastAsia"/>
          <w:b/>
          <w:bCs/>
          <w:color w:val="000000" w:themeColor="text1"/>
          <w:sz w:val="24"/>
          <w:szCs w:val="24"/>
        </w:rPr>
        <w:t>环境管理工作计划表（建议）</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7389"/>
      </w:tblGrid>
      <w:tr w:rsidR="00C861DA">
        <w:trPr>
          <w:trHeight w:val="454"/>
        </w:trPr>
        <w:tc>
          <w:tcPr>
            <w:tcW w:w="1133" w:type="dxa"/>
            <w:vAlign w:val="center"/>
          </w:tcPr>
          <w:p w:rsidR="00C861DA" w:rsidRDefault="0044752E">
            <w:pPr>
              <w:autoSpaceDE/>
              <w:autoSpaceDN/>
              <w:snapToGrid w:val="0"/>
              <w:jc w:val="center"/>
              <w:rPr>
                <w:rFonts w:ascii="Times New Roman" w:eastAsia="宋体" w:cs="仿宋"/>
                <w:b/>
                <w:color w:val="000000" w:themeColor="text1"/>
                <w:szCs w:val="24"/>
              </w:rPr>
            </w:pPr>
            <w:r>
              <w:rPr>
                <w:rFonts w:ascii="Times New Roman" w:eastAsia="宋体" w:cs="仿宋" w:hint="eastAsia"/>
                <w:b/>
                <w:color w:val="000000" w:themeColor="text1"/>
                <w:szCs w:val="24"/>
              </w:rPr>
              <w:t>阶段</w:t>
            </w:r>
          </w:p>
        </w:tc>
        <w:tc>
          <w:tcPr>
            <w:tcW w:w="7389" w:type="dxa"/>
            <w:vAlign w:val="center"/>
          </w:tcPr>
          <w:p w:rsidR="00C861DA" w:rsidRDefault="0044752E">
            <w:pPr>
              <w:autoSpaceDE/>
              <w:autoSpaceDN/>
              <w:snapToGrid w:val="0"/>
              <w:jc w:val="center"/>
              <w:rPr>
                <w:rFonts w:ascii="Times New Roman" w:eastAsia="宋体" w:cs="仿宋"/>
                <w:b/>
                <w:color w:val="000000" w:themeColor="text1"/>
                <w:szCs w:val="24"/>
              </w:rPr>
            </w:pPr>
            <w:r>
              <w:rPr>
                <w:rFonts w:ascii="Times New Roman" w:eastAsia="宋体" w:cs="仿宋" w:hint="eastAsia"/>
                <w:b/>
                <w:color w:val="000000" w:themeColor="text1"/>
                <w:szCs w:val="24"/>
              </w:rPr>
              <w:t>环境管理主要任务内容</w:t>
            </w:r>
          </w:p>
        </w:tc>
      </w:tr>
      <w:tr w:rsidR="00C861DA">
        <w:trPr>
          <w:trHeight w:val="454"/>
        </w:trPr>
        <w:tc>
          <w:tcPr>
            <w:tcW w:w="1133" w:type="dxa"/>
            <w:vAlign w:val="center"/>
          </w:tcPr>
          <w:p w:rsidR="00C861DA" w:rsidRDefault="0044752E">
            <w:pPr>
              <w:autoSpaceDE/>
              <w:autoSpaceDN/>
              <w:snapToGrid w:val="0"/>
              <w:jc w:val="center"/>
              <w:rPr>
                <w:rFonts w:ascii="Times New Roman" w:eastAsia="宋体" w:cs="仿宋"/>
                <w:b/>
                <w:color w:val="000000" w:themeColor="text1"/>
                <w:szCs w:val="24"/>
              </w:rPr>
            </w:pPr>
            <w:r>
              <w:rPr>
                <w:rFonts w:ascii="Times New Roman" w:eastAsia="宋体" w:cs="仿宋" w:hint="eastAsia"/>
                <w:b/>
                <w:color w:val="000000" w:themeColor="text1"/>
                <w:szCs w:val="24"/>
              </w:rPr>
              <w:t>建设前期</w:t>
            </w:r>
          </w:p>
        </w:tc>
        <w:tc>
          <w:tcPr>
            <w:tcW w:w="7389" w:type="dxa"/>
          </w:tcPr>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1</w:t>
            </w:r>
            <w:r>
              <w:rPr>
                <w:rFonts w:ascii="Times New Roman" w:eastAsia="宋体" w:cs="仿宋" w:hint="eastAsia"/>
                <w:bCs/>
                <w:color w:val="000000" w:themeColor="text1"/>
                <w:szCs w:val="24"/>
              </w:rPr>
              <w:t>、参与工程建设前期各阶段环境保护和环境工程设计方案工作；</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2</w:t>
            </w:r>
            <w:r>
              <w:rPr>
                <w:rFonts w:ascii="Times New Roman" w:eastAsia="宋体" w:cs="仿宋" w:hint="eastAsia"/>
                <w:bCs/>
                <w:color w:val="000000" w:themeColor="text1"/>
                <w:szCs w:val="24"/>
              </w:rPr>
              <w:t>、编制企业环境保护计划，委托有资质环评单位开展项目环境影响评价；</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3</w:t>
            </w:r>
            <w:r>
              <w:rPr>
                <w:rFonts w:ascii="Times New Roman" w:eastAsia="宋体" w:cs="仿宋" w:hint="eastAsia"/>
                <w:bCs/>
                <w:color w:val="000000" w:themeColor="text1"/>
                <w:szCs w:val="24"/>
              </w:rPr>
              <w:t>、积极配合可研及环评单位开展项目区现场踏勘与调研工作；</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4</w:t>
            </w:r>
            <w:r>
              <w:rPr>
                <w:rFonts w:ascii="Times New Roman" w:eastAsia="宋体" w:cs="仿宋" w:hint="eastAsia"/>
                <w:bCs/>
                <w:color w:val="000000" w:themeColor="text1"/>
                <w:szCs w:val="24"/>
              </w:rPr>
              <w:t>、针对工程生产特点，建立健全内部环境管理体系与监测制度；</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5</w:t>
            </w:r>
            <w:r>
              <w:rPr>
                <w:rFonts w:ascii="Times New Roman" w:eastAsia="宋体" w:cs="仿宋" w:hint="eastAsia"/>
                <w:bCs/>
                <w:color w:val="000000" w:themeColor="text1"/>
                <w:szCs w:val="24"/>
              </w:rPr>
              <w:t>、委托设计部门依据环评文件及批复文件要求，落实工程环保设计，编制环保专篇。</w:t>
            </w:r>
          </w:p>
        </w:tc>
      </w:tr>
      <w:tr w:rsidR="00C861DA">
        <w:trPr>
          <w:trHeight w:val="454"/>
        </w:trPr>
        <w:tc>
          <w:tcPr>
            <w:tcW w:w="1133" w:type="dxa"/>
            <w:vAlign w:val="center"/>
          </w:tcPr>
          <w:p w:rsidR="00C861DA" w:rsidRDefault="0044752E">
            <w:pPr>
              <w:autoSpaceDE/>
              <w:autoSpaceDN/>
              <w:snapToGrid w:val="0"/>
              <w:jc w:val="center"/>
              <w:rPr>
                <w:rFonts w:ascii="Times New Roman" w:eastAsia="宋体" w:cs="仿宋"/>
                <w:b/>
                <w:color w:val="000000" w:themeColor="text1"/>
                <w:szCs w:val="24"/>
              </w:rPr>
            </w:pPr>
            <w:r>
              <w:rPr>
                <w:rFonts w:ascii="Times New Roman" w:eastAsia="宋体" w:cs="仿宋" w:hint="eastAsia"/>
                <w:b/>
                <w:color w:val="000000" w:themeColor="text1"/>
                <w:szCs w:val="24"/>
              </w:rPr>
              <w:t>建设期</w:t>
            </w:r>
          </w:p>
        </w:tc>
        <w:tc>
          <w:tcPr>
            <w:tcW w:w="7389" w:type="dxa"/>
          </w:tcPr>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1</w:t>
            </w:r>
            <w:r>
              <w:rPr>
                <w:rFonts w:ascii="Times New Roman" w:eastAsia="宋体" w:cs="仿宋" w:hint="eastAsia"/>
                <w:bCs/>
                <w:color w:val="000000" w:themeColor="text1"/>
                <w:szCs w:val="24"/>
              </w:rPr>
              <w:t>、按照工程环保设计，与主体工程同步建设，严格执行“三同时”制度；</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2</w:t>
            </w:r>
            <w:r>
              <w:rPr>
                <w:rFonts w:ascii="Times New Roman" w:eastAsia="宋体" w:cs="仿宋" w:hint="eastAsia"/>
                <w:bCs/>
                <w:color w:val="000000" w:themeColor="text1"/>
                <w:szCs w:val="24"/>
              </w:rPr>
              <w:t>、制定建设期环境保护与年度环境管理工作计划、环境监理档案；</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3</w:t>
            </w:r>
            <w:r>
              <w:rPr>
                <w:rFonts w:ascii="Times New Roman" w:eastAsia="宋体" w:cs="仿宋" w:hint="eastAsia"/>
                <w:bCs/>
                <w:color w:val="000000" w:themeColor="text1"/>
                <w:szCs w:val="24"/>
              </w:rPr>
              <w:t>、监督和考核各施工单位责任书中任务完成情况；</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4</w:t>
            </w:r>
            <w:r>
              <w:rPr>
                <w:rFonts w:ascii="Times New Roman" w:eastAsia="宋体" w:cs="仿宋" w:hint="eastAsia"/>
                <w:bCs/>
                <w:color w:val="000000" w:themeColor="text1"/>
                <w:szCs w:val="24"/>
              </w:rPr>
              <w:t>、认真做好各项环保设施施工监理与验收，及时与当地环保行政主管部门沟通。</w:t>
            </w:r>
          </w:p>
        </w:tc>
      </w:tr>
      <w:tr w:rsidR="00C861DA">
        <w:trPr>
          <w:trHeight w:val="454"/>
        </w:trPr>
        <w:tc>
          <w:tcPr>
            <w:tcW w:w="1133" w:type="dxa"/>
            <w:vAlign w:val="center"/>
          </w:tcPr>
          <w:p w:rsidR="00C861DA" w:rsidRDefault="0044752E">
            <w:pPr>
              <w:autoSpaceDE/>
              <w:autoSpaceDN/>
              <w:snapToGrid w:val="0"/>
              <w:jc w:val="center"/>
              <w:rPr>
                <w:rFonts w:ascii="Times New Roman" w:eastAsia="宋体" w:cs="仿宋"/>
                <w:b/>
                <w:color w:val="000000" w:themeColor="text1"/>
                <w:szCs w:val="24"/>
              </w:rPr>
            </w:pPr>
            <w:r>
              <w:rPr>
                <w:rFonts w:ascii="Times New Roman" w:eastAsia="宋体" w:cs="仿宋" w:hint="eastAsia"/>
                <w:b/>
                <w:color w:val="000000" w:themeColor="text1"/>
                <w:szCs w:val="24"/>
              </w:rPr>
              <w:t>生产前期</w:t>
            </w:r>
          </w:p>
        </w:tc>
        <w:tc>
          <w:tcPr>
            <w:tcW w:w="7389" w:type="dxa"/>
          </w:tcPr>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1</w:t>
            </w:r>
            <w:r>
              <w:rPr>
                <w:rFonts w:ascii="Times New Roman" w:eastAsia="宋体" w:cs="仿宋" w:hint="eastAsia"/>
                <w:bCs/>
                <w:color w:val="000000" w:themeColor="text1"/>
                <w:szCs w:val="24"/>
              </w:rPr>
              <w:t>、对照环评文件、批复文件及设计报告核查环保设施落实情况；</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2</w:t>
            </w:r>
            <w:r>
              <w:rPr>
                <w:rFonts w:ascii="Times New Roman" w:eastAsia="宋体" w:cs="仿宋" w:hint="eastAsia"/>
                <w:bCs/>
                <w:color w:val="000000" w:themeColor="text1"/>
                <w:szCs w:val="24"/>
              </w:rPr>
              <w:t>、检验环保工程效果和运行工况，建立记录档案，要求与主体工程同步进行；</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3</w:t>
            </w:r>
            <w:r>
              <w:rPr>
                <w:rFonts w:ascii="Times New Roman" w:eastAsia="宋体" w:cs="仿宋" w:hint="eastAsia"/>
                <w:bCs/>
                <w:color w:val="000000" w:themeColor="text1"/>
                <w:szCs w:val="24"/>
              </w:rPr>
              <w:t>、检查环保机构设置及人员配备、环境管理制度、环境监理资料档案等是否健全；</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4</w:t>
            </w:r>
            <w:r>
              <w:rPr>
                <w:rFonts w:ascii="Times New Roman" w:eastAsia="宋体" w:cs="仿宋" w:hint="eastAsia"/>
                <w:bCs/>
                <w:color w:val="000000" w:themeColor="text1"/>
                <w:szCs w:val="24"/>
              </w:rPr>
              <w:t>、总结试运行经验，针对存在问题进行整改，提出补救措施方案；</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5</w:t>
            </w:r>
            <w:r>
              <w:rPr>
                <w:rFonts w:ascii="Times New Roman" w:eastAsia="宋体" w:cs="仿宋" w:hint="eastAsia"/>
                <w:bCs/>
                <w:color w:val="000000" w:themeColor="text1"/>
                <w:szCs w:val="24"/>
              </w:rPr>
              <w:t>、委托有资质单位编制工程“三同时”竣工验收监</w:t>
            </w:r>
            <w:r>
              <w:rPr>
                <w:rFonts w:ascii="Times New Roman" w:eastAsia="宋体" w:cs="仿宋" w:hint="eastAsia"/>
                <w:bCs/>
                <w:color w:val="000000" w:themeColor="text1"/>
                <w:szCs w:val="24"/>
              </w:rPr>
              <w:t>测报告。</w:t>
            </w:r>
          </w:p>
        </w:tc>
      </w:tr>
      <w:tr w:rsidR="00C861DA">
        <w:trPr>
          <w:trHeight w:val="454"/>
        </w:trPr>
        <w:tc>
          <w:tcPr>
            <w:tcW w:w="1133" w:type="dxa"/>
            <w:vAlign w:val="center"/>
          </w:tcPr>
          <w:p w:rsidR="00C861DA" w:rsidRDefault="0044752E">
            <w:pPr>
              <w:autoSpaceDE/>
              <w:autoSpaceDN/>
              <w:snapToGrid w:val="0"/>
              <w:jc w:val="center"/>
              <w:rPr>
                <w:rFonts w:ascii="Times New Roman" w:eastAsia="宋体" w:cs="仿宋"/>
                <w:b/>
                <w:color w:val="000000" w:themeColor="text1"/>
                <w:szCs w:val="24"/>
              </w:rPr>
            </w:pPr>
            <w:r>
              <w:rPr>
                <w:rFonts w:ascii="Times New Roman" w:eastAsia="宋体" w:cs="仿宋" w:hint="eastAsia"/>
                <w:b/>
                <w:color w:val="000000" w:themeColor="text1"/>
                <w:szCs w:val="24"/>
              </w:rPr>
              <w:t>生产期</w:t>
            </w:r>
          </w:p>
        </w:tc>
        <w:tc>
          <w:tcPr>
            <w:tcW w:w="7389" w:type="dxa"/>
          </w:tcPr>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1</w:t>
            </w:r>
            <w:r>
              <w:rPr>
                <w:rFonts w:ascii="Times New Roman" w:eastAsia="宋体" w:cs="仿宋" w:hint="eastAsia"/>
                <w:bCs/>
                <w:color w:val="000000" w:themeColor="text1"/>
                <w:szCs w:val="24"/>
              </w:rPr>
              <w:t>、认真贯彻、执行国家和地方环境保护法律法规和标准，保证生产正常运行；</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2</w:t>
            </w:r>
            <w:r>
              <w:rPr>
                <w:rFonts w:ascii="Times New Roman" w:eastAsia="宋体" w:cs="仿宋" w:hint="eastAsia"/>
                <w:bCs/>
                <w:color w:val="000000" w:themeColor="text1"/>
                <w:szCs w:val="24"/>
              </w:rPr>
              <w:t>、申报排污许可证，建立环保设施运行卡，对环保设施定期进行检查和维护；</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3</w:t>
            </w:r>
            <w:r>
              <w:rPr>
                <w:rFonts w:ascii="Times New Roman" w:eastAsia="宋体" w:cs="仿宋" w:hint="eastAsia"/>
                <w:bCs/>
                <w:color w:val="000000" w:themeColor="text1"/>
                <w:szCs w:val="24"/>
              </w:rPr>
              <w:t>、按照环境监控计划开展定期、不定期环境与污染源监测，发现问题及时处理；</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4</w:t>
            </w:r>
            <w:r>
              <w:rPr>
                <w:rFonts w:ascii="Times New Roman" w:eastAsia="宋体" w:cs="仿宋" w:hint="eastAsia"/>
                <w:bCs/>
                <w:color w:val="000000" w:themeColor="text1"/>
                <w:szCs w:val="24"/>
              </w:rPr>
              <w:t>、完善环境管理与污染防治目标，配合地方环保部门制定区域环境综合整治规划；</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5</w:t>
            </w:r>
            <w:r>
              <w:rPr>
                <w:rFonts w:ascii="Times New Roman" w:eastAsia="宋体" w:cs="仿宋" w:hint="eastAsia"/>
                <w:bCs/>
                <w:color w:val="000000" w:themeColor="text1"/>
                <w:szCs w:val="24"/>
              </w:rPr>
              <w:t>、推行清洁生产，循环经济和减污增效，实现污染预防；</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6</w:t>
            </w:r>
            <w:r>
              <w:rPr>
                <w:rFonts w:ascii="Times New Roman" w:eastAsia="宋体" w:cs="仿宋" w:hint="eastAsia"/>
                <w:bCs/>
                <w:color w:val="000000" w:themeColor="text1"/>
                <w:szCs w:val="24"/>
              </w:rPr>
              <w:t>、参与编制工厂环境风险事故应急预案，建立企业环境管理体系。</w:t>
            </w:r>
          </w:p>
        </w:tc>
      </w:tr>
      <w:tr w:rsidR="00C861DA">
        <w:trPr>
          <w:trHeight w:val="454"/>
        </w:trPr>
        <w:tc>
          <w:tcPr>
            <w:tcW w:w="1133" w:type="dxa"/>
            <w:vAlign w:val="center"/>
          </w:tcPr>
          <w:p w:rsidR="00C861DA" w:rsidRDefault="0044752E">
            <w:pPr>
              <w:autoSpaceDE/>
              <w:autoSpaceDN/>
              <w:snapToGrid w:val="0"/>
              <w:jc w:val="center"/>
              <w:rPr>
                <w:rFonts w:ascii="Times New Roman" w:eastAsia="宋体" w:cs="仿宋"/>
                <w:b/>
                <w:color w:val="000000" w:themeColor="text1"/>
                <w:szCs w:val="24"/>
              </w:rPr>
            </w:pPr>
            <w:r>
              <w:rPr>
                <w:rFonts w:ascii="Times New Roman" w:eastAsia="宋体" w:cs="仿宋" w:hint="eastAsia"/>
                <w:b/>
                <w:color w:val="000000" w:themeColor="text1"/>
                <w:szCs w:val="24"/>
              </w:rPr>
              <w:t>环境管理</w:t>
            </w:r>
          </w:p>
          <w:p w:rsidR="00C861DA" w:rsidRDefault="0044752E">
            <w:pPr>
              <w:autoSpaceDE/>
              <w:autoSpaceDN/>
              <w:snapToGrid w:val="0"/>
              <w:jc w:val="center"/>
              <w:rPr>
                <w:rFonts w:ascii="Times New Roman" w:eastAsia="宋体" w:cs="仿宋"/>
                <w:b/>
                <w:color w:val="000000" w:themeColor="text1"/>
                <w:szCs w:val="24"/>
              </w:rPr>
            </w:pPr>
            <w:r>
              <w:rPr>
                <w:rFonts w:ascii="Times New Roman" w:eastAsia="宋体" w:cs="仿宋" w:hint="eastAsia"/>
                <w:b/>
                <w:color w:val="000000" w:themeColor="text1"/>
                <w:szCs w:val="24"/>
              </w:rPr>
              <w:t>工作重点</w:t>
            </w:r>
          </w:p>
        </w:tc>
        <w:tc>
          <w:tcPr>
            <w:tcW w:w="7389" w:type="dxa"/>
          </w:tcPr>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1</w:t>
            </w:r>
            <w:r>
              <w:rPr>
                <w:rFonts w:ascii="Times New Roman" w:eastAsia="宋体" w:cs="仿宋" w:hint="eastAsia"/>
                <w:bCs/>
                <w:color w:val="000000" w:themeColor="text1"/>
                <w:szCs w:val="24"/>
              </w:rPr>
              <w:t>、加强污染源监控与管理，提高水资源、能源和工业固废的综合利用率；</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2</w:t>
            </w:r>
            <w:r>
              <w:rPr>
                <w:rFonts w:ascii="Times New Roman" w:eastAsia="宋体" w:cs="仿宋" w:hint="eastAsia"/>
                <w:bCs/>
                <w:color w:val="000000" w:themeColor="text1"/>
                <w:szCs w:val="24"/>
              </w:rPr>
              <w:t>、坚持“预防为主、防治结合、综合治理”原则，强化企业污染防治设施管理力度；</w:t>
            </w:r>
          </w:p>
          <w:p w:rsidR="00C861DA" w:rsidRDefault="0044752E">
            <w:pPr>
              <w:autoSpaceDE/>
              <w:autoSpaceDN/>
              <w:snapToGrid w:val="0"/>
              <w:rPr>
                <w:rFonts w:ascii="Times New Roman" w:eastAsia="宋体" w:cs="仿宋"/>
                <w:bCs/>
                <w:color w:val="000000" w:themeColor="text1"/>
                <w:szCs w:val="24"/>
              </w:rPr>
            </w:pPr>
            <w:r>
              <w:rPr>
                <w:rFonts w:ascii="Times New Roman" w:eastAsia="宋体" w:cs="仿宋" w:hint="eastAsia"/>
                <w:bCs/>
                <w:color w:val="000000" w:themeColor="text1"/>
                <w:szCs w:val="24"/>
              </w:rPr>
              <w:t>3</w:t>
            </w:r>
            <w:r>
              <w:rPr>
                <w:rFonts w:ascii="Times New Roman" w:eastAsia="宋体" w:cs="仿宋" w:hint="eastAsia"/>
                <w:bCs/>
                <w:color w:val="000000" w:themeColor="text1"/>
                <w:szCs w:val="24"/>
              </w:rPr>
              <w:t>、严格控制生产全过程废气、废水和噪声排放及危险固废的安全处。</w:t>
            </w:r>
          </w:p>
        </w:tc>
      </w:tr>
    </w:tbl>
    <w:bookmarkStart w:id="736" w:name="_Toc14620"/>
    <w:bookmarkStart w:id="737" w:name="_Toc13647"/>
    <w:bookmarkStart w:id="738" w:name="_Toc4620"/>
    <w:bookmarkStart w:id="739" w:name="_Toc9633"/>
    <w:p w:rsidR="00C861DA" w:rsidRDefault="0044752E">
      <w:pPr>
        <w:pStyle w:val="32"/>
        <w:rPr>
          <w:rFonts w:ascii="Times New Roman" w:eastAsia="宋体"/>
          <w:bCs w:val="0"/>
          <w:color w:val="000000" w:themeColor="text1"/>
          <w:sz w:val="24"/>
          <w:szCs w:val="24"/>
        </w:rPr>
      </w:pPr>
      <w:r>
        <w:rPr>
          <w:rFonts w:ascii="Times New Roman" w:eastAsia="宋体" w:hint="eastAsia"/>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"_Toc512505524" </w:instrText>
      </w:r>
      <w:r>
        <w:rPr>
          <w:rFonts w:ascii="Times New Roman" w:eastAsia="宋体" w:hint="eastAsia"/>
          <w:bCs w:val="0"/>
          <w:color w:val="000000" w:themeColor="text1"/>
          <w:sz w:val="24"/>
          <w:szCs w:val="24"/>
        </w:rPr>
        <w:fldChar w:fldCharType="separate"/>
      </w:r>
      <w:bookmarkStart w:id="740" w:name="_Toc6826942"/>
      <w:r>
        <w:rPr>
          <w:rFonts w:ascii="Times New Roman" w:eastAsia="宋体" w:hint="eastAsia"/>
          <w:bCs w:val="0"/>
          <w:color w:val="000000" w:themeColor="text1"/>
          <w:sz w:val="24"/>
          <w:szCs w:val="24"/>
        </w:rPr>
        <w:t>12.1.4</w:t>
      </w:r>
      <w:r>
        <w:rPr>
          <w:rFonts w:ascii="Times New Roman" w:eastAsia="宋体" w:hint="eastAsia"/>
          <w:bCs w:val="0"/>
          <w:color w:val="000000" w:themeColor="text1"/>
          <w:sz w:val="24"/>
          <w:szCs w:val="24"/>
        </w:rPr>
        <w:t>排污口规范化管理</w:t>
      </w:r>
      <w:bookmarkEnd w:id="740"/>
      <w:r>
        <w:rPr>
          <w:rFonts w:ascii="Times New Roman" w:eastAsia="宋体" w:hint="eastAsia"/>
          <w:bCs w:val="0"/>
          <w:color w:val="000000" w:themeColor="text1"/>
          <w:sz w:val="24"/>
          <w:szCs w:val="24"/>
        </w:rPr>
        <w:fldChar w:fldCharType="end"/>
      </w:r>
      <w:bookmarkEnd w:id="736"/>
      <w:bookmarkEnd w:id="737"/>
      <w:bookmarkEnd w:id="738"/>
      <w:bookmarkEnd w:id="739"/>
    </w:p>
    <w:p w:rsidR="00C861DA" w:rsidRDefault="0044752E">
      <w:pPr>
        <w:autoSpaceDE/>
        <w:autoSpaceDN/>
        <w:spacing w:line="360" w:lineRule="auto"/>
        <w:ind w:firstLineChars="200" w:firstLine="480"/>
        <w:rPr>
          <w:rFonts w:ascii="Times New Roman" w:eastAsia="宋体" w:cs="仿宋"/>
          <w:color w:val="000000" w:themeColor="text1"/>
          <w:sz w:val="24"/>
          <w:szCs w:val="24"/>
        </w:rPr>
      </w:pPr>
      <w:r>
        <w:rPr>
          <w:rFonts w:ascii="Times New Roman" w:eastAsia="宋体" w:cs="仿宋" w:hint="eastAsia"/>
          <w:color w:val="000000" w:themeColor="text1"/>
          <w:sz w:val="24"/>
          <w:szCs w:val="24"/>
        </w:rPr>
        <w:t>排污口是项目投产后污染物进入环境、污染环境的出口，强化排污口管理是实施污染物总量控制的基础工作，也是环境管理逐步实现污染物科学化、定量化的手段。</w:t>
      </w:r>
    </w:p>
    <w:p w:rsidR="00C861DA" w:rsidRDefault="0044752E">
      <w:pPr>
        <w:autoSpaceDE/>
        <w:autoSpaceDN/>
        <w:spacing w:line="360" w:lineRule="auto"/>
        <w:ind w:firstLineChars="200" w:firstLine="480"/>
        <w:rPr>
          <w:rFonts w:ascii="Times New Roman" w:eastAsia="宋体" w:cs="仿宋"/>
          <w:color w:val="000000" w:themeColor="text1"/>
          <w:sz w:val="24"/>
          <w:szCs w:val="24"/>
        </w:rPr>
      </w:pPr>
      <w:r>
        <w:rPr>
          <w:rFonts w:ascii="Times New Roman" w:eastAsia="宋体" w:cs="仿宋" w:hint="eastAsia"/>
          <w:color w:val="000000" w:themeColor="text1"/>
          <w:sz w:val="24"/>
          <w:szCs w:val="24"/>
        </w:rPr>
        <w:t>按照国家《排污口规范化整治技术要求》，本项目排污口规范化管理要求见表</w:t>
      </w:r>
      <w:r>
        <w:rPr>
          <w:rFonts w:ascii="Times New Roman" w:eastAsia="宋体" w:cs="仿宋" w:hint="eastAsia"/>
          <w:color w:val="000000" w:themeColor="text1"/>
          <w:sz w:val="24"/>
          <w:szCs w:val="24"/>
        </w:rPr>
        <w:t>12.1-2</w:t>
      </w:r>
      <w:r>
        <w:rPr>
          <w:rFonts w:ascii="Times New Roman" w:eastAsia="宋体" w:cs="仿宋" w:hint="eastAsia"/>
          <w:color w:val="000000" w:themeColor="text1"/>
          <w:sz w:val="24"/>
          <w:szCs w:val="24"/>
        </w:rPr>
        <w:t>，排污口图形标志详见图</w:t>
      </w:r>
      <w:r>
        <w:rPr>
          <w:rFonts w:ascii="Times New Roman" w:eastAsia="宋体" w:cs="仿宋" w:hint="eastAsia"/>
          <w:color w:val="000000" w:themeColor="text1"/>
          <w:sz w:val="24"/>
          <w:szCs w:val="24"/>
        </w:rPr>
        <w:t>12.1-1</w:t>
      </w:r>
      <w:r>
        <w:rPr>
          <w:rFonts w:ascii="Times New Roman" w:eastAsia="宋体" w:cs="仿宋" w:hint="eastAsia"/>
          <w:color w:val="000000" w:themeColor="text1"/>
          <w:sz w:val="24"/>
          <w:szCs w:val="24"/>
        </w:rPr>
        <w:t>。</w:t>
      </w:r>
    </w:p>
    <w:p w:rsidR="00C861DA" w:rsidRDefault="0044752E">
      <w:pPr>
        <w:autoSpaceDE/>
        <w:autoSpaceDN/>
        <w:snapToGrid w:val="0"/>
        <w:spacing w:line="360" w:lineRule="auto"/>
        <w:ind w:firstLineChars="200" w:firstLine="482"/>
        <w:jc w:val="center"/>
        <w:rPr>
          <w:rFonts w:ascii="Times New Roman" w:eastAsia="宋体" w:cs="仿宋"/>
          <w:b/>
          <w:bCs/>
          <w:color w:val="000000" w:themeColor="text1"/>
          <w:sz w:val="24"/>
          <w:szCs w:val="24"/>
        </w:rPr>
      </w:pPr>
      <w:r>
        <w:rPr>
          <w:rFonts w:ascii="Times New Roman" w:eastAsia="宋体" w:cs="仿宋" w:hint="eastAsia"/>
          <w:b/>
          <w:bCs/>
          <w:color w:val="000000" w:themeColor="text1"/>
          <w:sz w:val="24"/>
          <w:szCs w:val="24"/>
        </w:rPr>
        <w:t>表</w:t>
      </w:r>
      <w:r>
        <w:rPr>
          <w:rFonts w:ascii="Times New Roman" w:eastAsia="宋体" w:cs="仿宋" w:hint="eastAsia"/>
          <w:b/>
          <w:bCs/>
          <w:color w:val="000000" w:themeColor="text1"/>
          <w:sz w:val="24"/>
          <w:szCs w:val="24"/>
        </w:rPr>
        <w:t xml:space="preserve">12.1-2  </w:t>
      </w:r>
      <w:r>
        <w:rPr>
          <w:rFonts w:ascii="Times New Roman" w:eastAsia="宋体" w:cs="仿宋" w:hint="eastAsia"/>
          <w:b/>
          <w:bCs/>
          <w:color w:val="000000" w:themeColor="text1"/>
          <w:sz w:val="24"/>
          <w:szCs w:val="24"/>
        </w:rPr>
        <w:t>排污口规范化管理要求表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7282"/>
      </w:tblGrid>
      <w:tr w:rsidR="00C861DA">
        <w:trPr>
          <w:trHeight w:val="454"/>
        </w:trPr>
        <w:tc>
          <w:tcPr>
            <w:tcW w:w="1240" w:type="dxa"/>
            <w:vAlign w:val="center"/>
          </w:tcPr>
          <w:p w:rsidR="00C861DA" w:rsidRDefault="0044752E">
            <w:pPr>
              <w:autoSpaceDE/>
              <w:autoSpaceDN/>
              <w:snapToGrid w:val="0"/>
              <w:jc w:val="center"/>
              <w:rPr>
                <w:rFonts w:ascii="Times New Roman" w:eastAsia="宋体" w:cs="仿宋"/>
                <w:b/>
                <w:color w:val="000000" w:themeColor="text1"/>
              </w:rPr>
            </w:pPr>
            <w:r>
              <w:rPr>
                <w:rFonts w:ascii="Times New Roman" w:eastAsia="宋体" w:cs="仿宋" w:hint="eastAsia"/>
                <w:b/>
                <w:color w:val="000000" w:themeColor="text1"/>
              </w:rPr>
              <w:t>项目</w:t>
            </w:r>
          </w:p>
        </w:tc>
        <w:tc>
          <w:tcPr>
            <w:tcW w:w="7282" w:type="dxa"/>
            <w:vAlign w:val="center"/>
          </w:tcPr>
          <w:p w:rsidR="00C861DA" w:rsidRDefault="0044752E">
            <w:pPr>
              <w:autoSpaceDE/>
              <w:autoSpaceDN/>
              <w:snapToGrid w:val="0"/>
              <w:jc w:val="center"/>
              <w:rPr>
                <w:rFonts w:ascii="Times New Roman" w:eastAsia="宋体" w:cs="仿宋"/>
                <w:b/>
                <w:color w:val="000000" w:themeColor="text1"/>
              </w:rPr>
            </w:pPr>
            <w:r>
              <w:rPr>
                <w:rFonts w:ascii="Times New Roman" w:eastAsia="宋体" w:cs="仿宋" w:hint="eastAsia"/>
                <w:b/>
                <w:color w:val="000000" w:themeColor="text1"/>
              </w:rPr>
              <w:t>主要要求内容</w:t>
            </w:r>
          </w:p>
        </w:tc>
      </w:tr>
      <w:tr w:rsidR="00C861DA">
        <w:trPr>
          <w:trHeight w:val="454"/>
        </w:trPr>
        <w:tc>
          <w:tcPr>
            <w:tcW w:w="1240" w:type="dxa"/>
            <w:vAlign w:val="center"/>
          </w:tcPr>
          <w:p w:rsidR="00C861DA" w:rsidRDefault="0044752E">
            <w:pPr>
              <w:autoSpaceDE/>
              <w:autoSpaceDN/>
              <w:snapToGrid w:val="0"/>
              <w:jc w:val="center"/>
              <w:rPr>
                <w:rFonts w:ascii="Times New Roman" w:eastAsia="宋体" w:cs="仿宋"/>
                <w:b/>
                <w:color w:val="000000" w:themeColor="text1"/>
              </w:rPr>
            </w:pPr>
            <w:r>
              <w:rPr>
                <w:rFonts w:ascii="Times New Roman" w:eastAsia="宋体" w:cs="仿宋" w:hint="eastAsia"/>
                <w:b/>
                <w:color w:val="000000" w:themeColor="text1"/>
              </w:rPr>
              <w:t>基本原则</w:t>
            </w:r>
          </w:p>
        </w:tc>
        <w:tc>
          <w:tcPr>
            <w:tcW w:w="7282" w:type="dxa"/>
          </w:tcPr>
          <w:p w:rsidR="00C861DA" w:rsidRDefault="0044752E">
            <w:pPr>
              <w:autoSpaceDE/>
              <w:autoSpaceDN/>
              <w:snapToGrid w:val="0"/>
              <w:rPr>
                <w:rFonts w:ascii="Times New Roman" w:eastAsia="宋体" w:cs="仿宋"/>
                <w:bCs/>
                <w:color w:val="000000" w:themeColor="text1"/>
              </w:rPr>
            </w:pPr>
            <w:r>
              <w:rPr>
                <w:rFonts w:ascii="Times New Roman" w:eastAsia="宋体" w:cs="仿宋" w:hint="eastAsia"/>
                <w:bCs/>
                <w:color w:val="000000" w:themeColor="text1"/>
              </w:rPr>
              <w:t>1</w:t>
            </w:r>
            <w:r>
              <w:rPr>
                <w:rFonts w:ascii="Times New Roman" w:eastAsia="宋体" w:cs="仿宋" w:hint="eastAsia"/>
                <w:bCs/>
                <w:color w:val="000000" w:themeColor="text1"/>
              </w:rPr>
              <w:t>、凡向环境排放污染物的一切排污口必须进行规范化管理；</w:t>
            </w:r>
          </w:p>
          <w:p w:rsidR="00C861DA" w:rsidRDefault="0044752E">
            <w:pPr>
              <w:autoSpaceDE/>
              <w:autoSpaceDN/>
              <w:snapToGrid w:val="0"/>
              <w:rPr>
                <w:rFonts w:ascii="Times New Roman" w:eastAsia="宋体" w:cs="仿宋"/>
                <w:bCs/>
                <w:color w:val="000000" w:themeColor="text1"/>
              </w:rPr>
            </w:pPr>
            <w:r>
              <w:rPr>
                <w:rFonts w:ascii="Times New Roman" w:eastAsia="宋体" w:cs="仿宋" w:hint="eastAsia"/>
                <w:bCs/>
                <w:color w:val="000000" w:themeColor="text1"/>
              </w:rPr>
              <w:t>2</w:t>
            </w:r>
            <w:r>
              <w:rPr>
                <w:rFonts w:ascii="Times New Roman" w:eastAsia="宋体" w:cs="仿宋" w:hint="eastAsia"/>
                <w:bCs/>
                <w:color w:val="000000" w:themeColor="text1"/>
              </w:rPr>
              <w:t>、将总量控制的污染物排污口及行业特征污染物排放口列为管理的重点；</w:t>
            </w:r>
          </w:p>
          <w:p w:rsidR="00C861DA" w:rsidRDefault="0044752E">
            <w:pPr>
              <w:autoSpaceDE/>
              <w:autoSpaceDN/>
              <w:snapToGrid w:val="0"/>
              <w:rPr>
                <w:rFonts w:ascii="Times New Roman" w:eastAsia="宋体" w:cs="仿宋"/>
                <w:bCs/>
                <w:color w:val="000000" w:themeColor="text1"/>
              </w:rPr>
            </w:pPr>
            <w:r>
              <w:rPr>
                <w:rFonts w:ascii="Times New Roman" w:eastAsia="宋体" w:cs="仿宋" w:hint="eastAsia"/>
                <w:bCs/>
                <w:color w:val="000000" w:themeColor="text1"/>
              </w:rPr>
              <w:t>3</w:t>
            </w:r>
            <w:r>
              <w:rPr>
                <w:rFonts w:ascii="Times New Roman" w:eastAsia="宋体" w:cs="仿宋" w:hint="eastAsia"/>
                <w:bCs/>
                <w:color w:val="000000" w:themeColor="text1"/>
              </w:rPr>
              <w:t>、排污口设置应便于采样和计量监测，便于日常现场监督和检查；废水排入污水处理厂，应当在接管处设置采样口；</w:t>
            </w:r>
          </w:p>
          <w:p w:rsidR="00C861DA" w:rsidRDefault="0044752E">
            <w:pPr>
              <w:autoSpaceDE/>
              <w:autoSpaceDN/>
              <w:snapToGrid w:val="0"/>
              <w:rPr>
                <w:rFonts w:ascii="Times New Roman" w:eastAsia="宋体" w:cs="仿宋"/>
                <w:bCs/>
                <w:color w:val="000000" w:themeColor="text1"/>
              </w:rPr>
            </w:pPr>
            <w:r>
              <w:rPr>
                <w:rFonts w:ascii="Times New Roman" w:eastAsia="宋体" w:cs="仿宋" w:hint="eastAsia"/>
                <w:bCs/>
                <w:color w:val="000000" w:themeColor="text1"/>
              </w:rPr>
              <w:t>4</w:t>
            </w:r>
            <w:r>
              <w:rPr>
                <w:rFonts w:ascii="Times New Roman" w:eastAsia="宋体" w:cs="仿宋" w:hint="eastAsia"/>
                <w:bCs/>
                <w:color w:val="000000" w:themeColor="text1"/>
              </w:rPr>
              <w:t>、如实向环保行政主管部门申报排污口位置，排污种类、数量、浓度与排放去向等。</w:t>
            </w:r>
          </w:p>
        </w:tc>
      </w:tr>
      <w:tr w:rsidR="00C861DA">
        <w:trPr>
          <w:trHeight w:val="454"/>
        </w:trPr>
        <w:tc>
          <w:tcPr>
            <w:tcW w:w="1240" w:type="dxa"/>
            <w:vAlign w:val="center"/>
          </w:tcPr>
          <w:p w:rsidR="00C861DA" w:rsidRDefault="0044752E">
            <w:pPr>
              <w:autoSpaceDE/>
              <w:autoSpaceDN/>
              <w:snapToGrid w:val="0"/>
              <w:jc w:val="center"/>
              <w:rPr>
                <w:rFonts w:ascii="Times New Roman" w:eastAsia="宋体" w:cs="仿宋"/>
                <w:b/>
                <w:color w:val="000000" w:themeColor="text1"/>
              </w:rPr>
            </w:pPr>
            <w:r>
              <w:rPr>
                <w:rFonts w:ascii="Times New Roman" w:eastAsia="宋体" w:cs="仿宋" w:hint="eastAsia"/>
                <w:b/>
                <w:color w:val="000000" w:themeColor="text1"/>
              </w:rPr>
              <w:t>技术要求</w:t>
            </w:r>
          </w:p>
        </w:tc>
        <w:tc>
          <w:tcPr>
            <w:tcW w:w="7282" w:type="dxa"/>
          </w:tcPr>
          <w:p w:rsidR="00C861DA" w:rsidRDefault="0044752E">
            <w:pPr>
              <w:autoSpaceDE/>
              <w:autoSpaceDN/>
              <w:snapToGrid w:val="0"/>
              <w:rPr>
                <w:rFonts w:ascii="Times New Roman" w:eastAsia="宋体" w:cs="仿宋"/>
                <w:bCs/>
                <w:color w:val="000000" w:themeColor="text1"/>
              </w:rPr>
            </w:pPr>
            <w:r>
              <w:rPr>
                <w:rFonts w:ascii="Times New Roman" w:eastAsia="宋体" w:cs="仿宋" w:hint="eastAsia"/>
                <w:bCs/>
                <w:color w:val="000000" w:themeColor="text1"/>
              </w:rPr>
              <w:t>1</w:t>
            </w:r>
            <w:r>
              <w:rPr>
                <w:rFonts w:ascii="Times New Roman" w:eastAsia="宋体" w:cs="仿宋" w:hint="eastAsia"/>
                <w:bCs/>
                <w:color w:val="000000" w:themeColor="text1"/>
              </w:rPr>
              <w:t>、排污口位置必须按照环监（</w:t>
            </w:r>
            <w:r>
              <w:rPr>
                <w:rFonts w:ascii="Times New Roman" w:eastAsia="宋体" w:cs="仿宋" w:hint="eastAsia"/>
                <w:bCs/>
                <w:color w:val="000000" w:themeColor="text1"/>
              </w:rPr>
              <w:t>1996</w:t>
            </w:r>
            <w:r>
              <w:rPr>
                <w:rFonts w:ascii="Times New Roman" w:eastAsia="宋体" w:cs="仿宋" w:hint="eastAsia"/>
                <w:bCs/>
                <w:color w:val="000000" w:themeColor="text1"/>
              </w:rPr>
              <w:t>）</w:t>
            </w:r>
            <w:r>
              <w:rPr>
                <w:rFonts w:ascii="Times New Roman" w:eastAsia="宋体" w:cs="仿宋" w:hint="eastAsia"/>
                <w:bCs/>
                <w:color w:val="000000" w:themeColor="text1"/>
              </w:rPr>
              <w:t xml:space="preserve">470 </w:t>
            </w:r>
            <w:r>
              <w:rPr>
                <w:rFonts w:ascii="Times New Roman" w:eastAsia="宋体" w:cs="仿宋" w:hint="eastAsia"/>
                <w:bCs/>
                <w:color w:val="000000" w:themeColor="text1"/>
              </w:rPr>
              <w:t>号文要求合理确定，实行规范化管理；</w:t>
            </w:r>
          </w:p>
          <w:p w:rsidR="00C861DA" w:rsidRDefault="0044752E">
            <w:pPr>
              <w:autoSpaceDE/>
              <w:autoSpaceDN/>
              <w:snapToGrid w:val="0"/>
              <w:rPr>
                <w:rFonts w:ascii="Times New Roman" w:eastAsia="宋体" w:cs="仿宋"/>
                <w:bCs/>
                <w:color w:val="000000" w:themeColor="text1"/>
              </w:rPr>
            </w:pPr>
            <w:r>
              <w:rPr>
                <w:rFonts w:ascii="Times New Roman" w:eastAsia="宋体" w:cs="仿宋" w:hint="eastAsia"/>
                <w:bCs/>
                <w:color w:val="000000" w:themeColor="text1"/>
              </w:rPr>
              <w:t>2</w:t>
            </w:r>
            <w:r>
              <w:rPr>
                <w:rFonts w:ascii="Times New Roman" w:eastAsia="宋体" w:cs="仿宋" w:hint="eastAsia"/>
                <w:bCs/>
                <w:color w:val="000000" w:themeColor="text1"/>
              </w:rPr>
              <w:t>、废气排气装置设置便于采样、监测的采样孔和采样平台；</w:t>
            </w:r>
          </w:p>
          <w:p w:rsidR="00C861DA" w:rsidRDefault="0044752E">
            <w:pPr>
              <w:autoSpaceDE/>
              <w:autoSpaceDN/>
              <w:snapToGrid w:val="0"/>
              <w:rPr>
                <w:rFonts w:ascii="Times New Roman" w:eastAsia="宋体" w:cs="仿宋"/>
                <w:bCs/>
                <w:color w:val="000000" w:themeColor="text1"/>
              </w:rPr>
            </w:pPr>
            <w:r>
              <w:rPr>
                <w:rFonts w:ascii="Times New Roman" w:eastAsia="宋体" w:cs="仿宋" w:hint="eastAsia"/>
                <w:bCs/>
                <w:color w:val="000000" w:themeColor="text1"/>
              </w:rPr>
              <w:t>3</w:t>
            </w:r>
            <w:r>
              <w:rPr>
                <w:rFonts w:ascii="Times New Roman" w:eastAsia="宋体" w:cs="仿宋" w:hint="eastAsia"/>
                <w:bCs/>
                <w:color w:val="000000" w:themeColor="text1"/>
              </w:rPr>
              <w:t>、具体设置应符合《污染源监测技术规范》的规定与要求；</w:t>
            </w:r>
          </w:p>
          <w:p w:rsidR="00C861DA" w:rsidRDefault="0044752E">
            <w:pPr>
              <w:autoSpaceDE/>
              <w:autoSpaceDN/>
              <w:snapToGrid w:val="0"/>
              <w:rPr>
                <w:rFonts w:ascii="Times New Roman" w:eastAsia="宋体" w:cs="仿宋"/>
                <w:bCs/>
                <w:color w:val="000000" w:themeColor="text1"/>
              </w:rPr>
            </w:pPr>
            <w:r>
              <w:rPr>
                <w:rFonts w:ascii="Times New Roman" w:eastAsia="宋体" w:cs="仿宋" w:hint="eastAsia"/>
                <w:bCs/>
                <w:color w:val="000000" w:themeColor="text1"/>
              </w:rPr>
              <w:t>4</w:t>
            </w:r>
            <w:r>
              <w:rPr>
                <w:rFonts w:ascii="Times New Roman" w:eastAsia="宋体" w:cs="仿宋" w:hint="eastAsia"/>
                <w:bCs/>
                <w:color w:val="000000" w:themeColor="text1"/>
              </w:rPr>
              <w:t>、主要废气处理设施安装污染物在线监测装置。</w:t>
            </w:r>
          </w:p>
        </w:tc>
      </w:tr>
      <w:tr w:rsidR="00C861DA">
        <w:trPr>
          <w:trHeight w:val="454"/>
        </w:trPr>
        <w:tc>
          <w:tcPr>
            <w:tcW w:w="1240" w:type="dxa"/>
            <w:vAlign w:val="center"/>
          </w:tcPr>
          <w:p w:rsidR="00C861DA" w:rsidRDefault="0044752E">
            <w:pPr>
              <w:autoSpaceDE/>
              <w:autoSpaceDN/>
              <w:snapToGrid w:val="0"/>
              <w:jc w:val="center"/>
              <w:rPr>
                <w:rFonts w:ascii="Times New Roman" w:eastAsia="宋体" w:cs="仿宋"/>
                <w:b/>
                <w:color w:val="000000" w:themeColor="text1"/>
              </w:rPr>
            </w:pPr>
            <w:r>
              <w:rPr>
                <w:rFonts w:ascii="Times New Roman" w:eastAsia="宋体" w:cs="仿宋" w:hint="eastAsia"/>
                <w:b/>
                <w:color w:val="000000" w:themeColor="text1"/>
              </w:rPr>
              <w:t>立标管理</w:t>
            </w:r>
          </w:p>
        </w:tc>
        <w:tc>
          <w:tcPr>
            <w:tcW w:w="7282" w:type="dxa"/>
          </w:tcPr>
          <w:p w:rsidR="00C861DA" w:rsidRDefault="0044752E">
            <w:pPr>
              <w:autoSpaceDE/>
              <w:autoSpaceDN/>
              <w:snapToGrid w:val="0"/>
              <w:rPr>
                <w:rFonts w:ascii="Times New Roman" w:eastAsia="宋体" w:cs="仿宋"/>
                <w:bCs/>
                <w:color w:val="000000" w:themeColor="text1"/>
              </w:rPr>
            </w:pPr>
            <w:r>
              <w:rPr>
                <w:rFonts w:ascii="Times New Roman" w:eastAsia="宋体" w:cs="仿宋" w:hint="eastAsia"/>
                <w:bCs/>
                <w:color w:val="000000" w:themeColor="text1"/>
              </w:rPr>
              <w:t>1</w:t>
            </w:r>
            <w:r>
              <w:rPr>
                <w:rFonts w:ascii="Times New Roman" w:eastAsia="宋体" w:cs="仿宋" w:hint="eastAsia"/>
                <w:bCs/>
                <w:color w:val="000000" w:themeColor="text1"/>
              </w:rPr>
              <w:t>、排污口必须按照国家《环境保护图形标志》相关规定，设置环保图形标志牌；</w:t>
            </w:r>
          </w:p>
          <w:p w:rsidR="00C861DA" w:rsidRDefault="0044752E">
            <w:pPr>
              <w:autoSpaceDE/>
              <w:autoSpaceDN/>
              <w:snapToGrid w:val="0"/>
              <w:rPr>
                <w:rFonts w:ascii="Times New Roman" w:eastAsia="宋体" w:cs="仿宋"/>
                <w:bCs/>
                <w:color w:val="000000" w:themeColor="text1"/>
              </w:rPr>
            </w:pPr>
            <w:r>
              <w:rPr>
                <w:rFonts w:ascii="Times New Roman" w:eastAsia="宋体" w:cs="仿宋" w:hint="eastAsia"/>
                <w:bCs/>
                <w:color w:val="000000" w:themeColor="text1"/>
              </w:rPr>
              <w:t>2</w:t>
            </w:r>
            <w:r>
              <w:rPr>
                <w:rFonts w:ascii="Times New Roman" w:eastAsia="宋体" w:cs="仿宋" w:hint="eastAsia"/>
                <w:bCs/>
                <w:color w:val="000000" w:themeColor="text1"/>
              </w:rPr>
              <w:t>、标志牌设置位置应距排污口及固体废物贮存（处置）场或采样点较近且醒目处，设置高度一般为标志牌上缘距离地面约</w:t>
            </w:r>
            <w:r>
              <w:rPr>
                <w:rFonts w:ascii="Times New Roman" w:eastAsia="宋体" w:cs="仿宋" w:hint="eastAsia"/>
                <w:bCs/>
                <w:color w:val="000000" w:themeColor="text1"/>
              </w:rPr>
              <w:t xml:space="preserve"> 2m</w:t>
            </w:r>
            <w:r>
              <w:rPr>
                <w:rFonts w:ascii="Times New Roman" w:eastAsia="宋体" w:cs="仿宋" w:hint="eastAsia"/>
                <w:bCs/>
                <w:color w:val="000000" w:themeColor="text1"/>
              </w:rPr>
              <w:t>；</w:t>
            </w:r>
          </w:p>
          <w:p w:rsidR="00C861DA" w:rsidRDefault="0044752E">
            <w:pPr>
              <w:autoSpaceDE/>
              <w:autoSpaceDN/>
              <w:snapToGrid w:val="0"/>
              <w:rPr>
                <w:rFonts w:ascii="Times New Roman" w:eastAsia="宋体" w:cs="仿宋"/>
                <w:bCs/>
                <w:color w:val="000000" w:themeColor="text1"/>
              </w:rPr>
            </w:pPr>
            <w:r>
              <w:rPr>
                <w:rFonts w:ascii="Times New Roman" w:eastAsia="宋体" w:cs="仿宋" w:hint="eastAsia"/>
                <w:bCs/>
                <w:color w:val="000000" w:themeColor="text1"/>
              </w:rPr>
              <w:t>3</w:t>
            </w:r>
            <w:r>
              <w:rPr>
                <w:rFonts w:ascii="Times New Roman" w:eastAsia="宋体" w:cs="仿宋" w:hint="eastAsia"/>
                <w:bCs/>
                <w:color w:val="000000" w:themeColor="text1"/>
              </w:rPr>
              <w:t>、重点排污单位排污口设立式标志牌，一般单位排污口可设立式或平面固定</w:t>
            </w:r>
            <w:r>
              <w:rPr>
                <w:rFonts w:ascii="Times New Roman" w:eastAsia="宋体" w:cs="仿宋" w:hint="eastAsia"/>
                <w:bCs/>
                <w:color w:val="000000" w:themeColor="text1"/>
              </w:rPr>
              <w:t>式提示性环保图形标志牌；</w:t>
            </w:r>
          </w:p>
          <w:p w:rsidR="00C861DA" w:rsidRDefault="0044752E">
            <w:pPr>
              <w:autoSpaceDE/>
              <w:autoSpaceDN/>
              <w:snapToGrid w:val="0"/>
              <w:rPr>
                <w:rFonts w:ascii="Times New Roman" w:eastAsia="宋体" w:cs="仿宋"/>
                <w:bCs/>
                <w:color w:val="000000" w:themeColor="text1"/>
              </w:rPr>
            </w:pPr>
            <w:r>
              <w:rPr>
                <w:rFonts w:ascii="Times New Roman" w:eastAsia="宋体" w:cs="仿宋" w:hint="eastAsia"/>
                <w:bCs/>
                <w:color w:val="000000" w:themeColor="text1"/>
              </w:rPr>
              <w:t>4</w:t>
            </w:r>
            <w:r>
              <w:rPr>
                <w:rFonts w:ascii="Times New Roman" w:eastAsia="宋体" w:cs="仿宋" w:hint="eastAsia"/>
                <w:bCs/>
                <w:color w:val="000000" w:themeColor="text1"/>
              </w:rPr>
              <w:t>、对危险物贮存、处置场所，必须设置警告性环境保护图形标志牌。</w:t>
            </w:r>
          </w:p>
        </w:tc>
      </w:tr>
      <w:tr w:rsidR="00C861DA">
        <w:trPr>
          <w:trHeight w:val="454"/>
        </w:trPr>
        <w:tc>
          <w:tcPr>
            <w:tcW w:w="1240" w:type="dxa"/>
            <w:vAlign w:val="center"/>
          </w:tcPr>
          <w:p w:rsidR="00C861DA" w:rsidRDefault="0044752E">
            <w:pPr>
              <w:autoSpaceDE/>
              <w:autoSpaceDN/>
              <w:snapToGrid w:val="0"/>
              <w:jc w:val="center"/>
              <w:rPr>
                <w:rFonts w:ascii="Times New Roman" w:eastAsia="宋体" w:cs="仿宋"/>
                <w:b/>
                <w:color w:val="000000" w:themeColor="text1"/>
              </w:rPr>
            </w:pPr>
            <w:r>
              <w:rPr>
                <w:rFonts w:ascii="Times New Roman" w:eastAsia="宋体" w:cs="仿宋" w:hint="eastAsia"/>
                <w:b/>
                <w:color w:val="000000" w:themeColor="text1"/>
              </w:rPr>
              <w:t>建档管理</w:t>
            </w:r>
          </w:p>
        </w:tc>
        <w:tc>
          <w:tcPr>
            <w:tcW w:w="7282" w:type="dxa"/>
          </w:tcPr>
          <w:p w:rsidR="00C861DA" w:rsidRDefault="0044752E">
            <w:pPr>
              <w:autoSpaceDE/>
              <w:autoSpaceDN/>
              <w:snapToGrid w:val="0"/>
              <w:rPr>
                <w:rFonts w:ascii="Times New Roman" w:eastAsia="宋体" w:cs="仿宋"/>
                <w:bCs/>
                <w:color w:val="000000" w:themeColor="text1"/>
              </w:rPr>
            </w:pPr>
            <w:r>
              <w:rPr>
                <w:rFonts w:ascii="Times New Roman" w:eastAsia="宋体" w:cs="仿宋" w:hint="eastAsia"/>
                <w:bCs/>
                <w:color w:val="000000" w:themeColor="text1"/>
              </w:rPr>
              <w:t>1</w:t>
            </w:r>
            <w:r>
              <w:rPr>
                <w:rFonts w:ascii="Times New Roman" w:eastAsia="宋体" w:cs="仿宋" w:hint="eastAsia"/>
                <w:bCs/>
                <w:color w:val="000000" w:themeColor="text1"/>
              </w:rPr>
              <w:t>、使用《中华人民共和国规范化排污口标志登记证》，并按要求填写有关内容；</w:t>
            </w:r>
          </w:p>
          <w:p w:rsidR="00C861DA" w:rsidRDefault="0044752E">
            <w:pPr>
              <w:autoSpaceDE/>
              <w:autoSpaceDN/>
              <w:snapToGrid w:val="0"/>
              <w:rPr>
                <w:rFonts w:ascii="Times New Roman" w:eastAsia="宋体" w:cs="仿宋"/>
                <w:bCs/>
                <w:color w:val="000000" w:themeColor="text1"/>
              </w:rPr>
            </w:pPr>
            <w:r>
              <w:rPr>
                <w:rFonts w:ascii="Times New Roman" w:eastAsia="宋体" w:cs="仿宋" w:hint="eastAsia"/>
                <w:bCs/>
                <w:color w:val="000000" w:themeColor="text1"/>
              </w:rPr>
              <w:t>2</w:t>
            </w:r>
            <w:r>
              <w:rPr>
                <w:rFonts w:ascii="Times New Roman" w:eastAsia="宋体" w:cs="仿宋" w:hint="eastAsia"/>
                <w:bCs/>
                <w:color w:val="000000" w:themeColor="text1"/>
              </w:rPr>
              <w:t>、严格按照环境管理监控计划及排污口管理内容要求，在工程建成后将主要污染物种类、数量、排放浓度与去向，立标及环保设施运行情况记录在案，并及时上报；</w:t>
            </w:r>
          </w:p>
          <w:p w:rsidR="00C861DA" w:rsidRDefault="0044752E">
            <w:pPr>
              <w:autoSpaceDE/>
              <w:autoSpaceDN/>
              <w:snapToGrid w:val="0"/>
              <w:rPr>
                <w:rFonts w:ascii="Times New Roman" w:eastAsia="宋体" w:cs="仿宋"/>
                <w:bCs/>
                <w:color w:val="000000" w:themeColor="text1"/>
              </w:rPr>
            </w:pPr>
            <w:r>
              <w:rPr>
                <w:rFonts w:ascii="Times New Roman" w:eastAsia="宋体" w:cs="仿宋" w:hint="eastAsia"/>
                <w:bCs/>
                <w:color w:val="000000" w:themeColor="text1"/>
              </w:rPr>
              <w:t>3</w:t>
            </w:r>
            <w:r>
              <w:rPr>
                <w:rFonts w:ascii="Times New Roman" w:eastAsia="宋体" w:cs="仿宋" w:hint="eastAsia"/>
                <w:bCs/>
                <w:color w:val="000000" w:themeColor="text1"/>
              </w:rPr>
              <w:t>、选派有专业技能环保人员对排污口进行管理，做到责任明确、奖罚分明。</w:t>
            </w:r>
          </w:p>
        </w:tc>
      </w:tr>
    </w:tbl>
    <w:p w:rsidR="00C861DA" w:rsidRDefault="00C861DA">
      <w:pPr>
        <w:autoSpaceDE/>
        <w:autoSpaceDN/>
        <w:snapToGrid w:val="0"/>
        <w:spacing w:line="360" w:lineRule="auto"/>
        <w:jc w:val="center"/>
        <w:rPr>
          <w:rFonts w:ascii="Times New Roman" w:eastAsia="宋体" w:cs="仿宋"/>
          <w:bCs/>
          <w:color w:val="000000" w:themeColor="text1"/>
          <w:sz w:val="24"/>
          <w:szCs w:val="24"/>
        </w:rPr>
      </w:pPr>
    </w:p>
    <w:p w:rsidR="00C861DA" w:rsidRDefault="0044752E">
      <w:pPr>
        <w:autoSpaceDE/>
        <w:autoSpaceDN/>
        <w:spacing w:line="360" w:lineRule="auto"/>
        <w:jc w:val="center"/>
        <w:rPr>
          <w:rFonts w:ascii="Times New Roman" w:eastAsia="宋体" w:cs="仿宋"/>
          <w:color w:val="000000" w:themeColor="text1"/>
          <w:sz w:val="24"/>
          <w:szCs w:val="24"/>
        </w:rPr>
      </w:pPr>
      <w:r>
        <w:rPr>
          <w:rFonts w:ascii="Times New Roman" w:eastAsia="宋体" w:cs="仿宋" w:hint="eastAsia"/>
          <w:noProof/>
          <w:color w:val="000000" w:themeColor="text1"/>
          <w:sz w:val="24"/>
          <w:szCs w:val="24"/>
        </w:rPr>
        <w:drawing>
          <wp:inline distT="0" distB="0" distL="0" distR="0">
            <wp:extent cx="4752975" cy="2743200"/>
            <wp:effectExtent l="0" t="0" r="0" b="0"/>
            <wp:docPr id="66"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752975" cy="2743200"/>
                    </a:xfrm>
                    <a:prstGeom prst="rect">
                      <a:avLst/>
                    </a:prstGeom>
                    <a:noFill/>
                    <a:ln>
                      <a:noFill/>
                    </a:ln>
                  </pic:spPr>
                </pic:pic>
              </a:graphicData>
            </a:graphic>
          </wp:inline>
        </w:drawing>
      </w:r>
    </w:p>
    <w:p w:rsidR="00C861DA" w:rsidRDefault="0044752E">
      <w:pPr>
        <w:autoSpaceDE/>
        <w:autoSpaceDN/>
        <w:spacing w:line="360" w:lineRule="auto"/>
        <w:jc w:val="center"/>
        <w:rPr>
          <w:rFonts w:ascii="Times New Roman" w:eastAsia="宋体" w:cs="仿宋"/>
          <w:b/>
          <w:color w:val="000000" w:themeColor="text1"/>
          <w:sz w:val="24"/>
          <w:szCs w:val="24"/>
        </w:rPr>
      </w:pPr>
      <w:r>
        <w:rPr>
          <w:rFonts w:ascii="Times New Roman" w:eastAsia="宋体" w:cs="仿宋" w:hint="eastAsia"/>
          <w:b/>
          <w:color w:val="000000" w:themeColor="text1"/>
          <w:sz w:val="24"/>
          <w:szCs w:val="24"/>
          <w:lang w:bidi="ar"/>
        </w:rPr>
        <w:t>图</w:t>
      </w:r>
      <w:r>
        <w:rPr>
          <w:rFonts w:ascii="Times New Roman" w:eastAsia="宋体" w:cs="仿宋" w:hint="eastAsia"/>
          <w:b/>
          <w:color w:val="000000" w:themeColor="text1"/>
          <w:sz w:val="24"/>
          <w:szCs w:val="24"/>
          <w:lang w:bidi="ar"/>
        </w:rPr>
        <w:t xml:space="preserve">12.1-1  </w:t>
      </w:r>
      <w:r>
        <w:rPr>
          <w:rFonts w:ascii="Times New Roman" w:eastAsia="宋体" w:cs="仿宋" w:hint="eastAsia"/>
          <w:b/>
          <w:color w:val="000000" w:themeColor="text1"/>
          <w:sz w:val="24"/>
          <w:szCs w:val="24"/>
          <w:lang w:bidi="ar"/>
        </w:rPr>
        <w:t>排放口图形标志牌</w:t>
      </w:r>
    </w:p>
    <w:bookmarkStart w:id="741" w:name="_Toc8020"/>
    <w:bookmarkStart w:id="742" w:name="_Toc11997"/>
    <w:bookmarkStart w:id="743" w:name="_Toc23982"/>
    <w:bookmarkStart w:id="744" w:name="_Toc15858"/>
    <w:p w:rsidR="00C861DA" w:rsidRDefault="0044752E">
      <w:pPr>
        <w:pStyle w:val="22"/>
        <w:rPr>
          <w:rFonts w:ascii="Times New Roman" w:eastAsia="宋体" w:hAnsi="Times New Roman"/>
          <w:bCs w:val="0"/>
          <w:color w:val="000000" w:themeColor="text1"/>
          <w:sz w:val="28"/>
          <w:szCs w:val="28"/>
        </w:rPr>
      </w:pPr>
      <w:r>
        <w:rPr>
          <w:rFonts w:ascii="Times New Roman" w:eastAsia="宋体" w:hAnsi="Times New Roman" w:hint="eastAsia"/>
          <w:bCs w:val="0"/>
          <w:color w:val="000000" w:themeColor="text1"/>
          <w:sz w:val="28"/>
          <w:szCs w:val="28"/>
        </w:rPr>
        <w:fldChar w:fldCharType="begin"/>
      </w:r>
      <w:r>
        <w:rPr>
          <w:rFonts w:ascii="Times New Roman" w:eastAsia="宋体" w:hAnsi="Times New Roman" w:hint="eastAsia"/>
          <w:bCs w:val="0"/>
          <w:color w:val="000000" w:themeColor="text1"/>
          <w:sz w:val="28"/>
          <w:szCs w:val="28"/>
        </w:rPr>
        <w:instrText xml:space="preserve"> HYPERLINK \l "_Toc512505525" </w:instrText>
      </w:r>
      <w:r>
        <w:rPr>
          <w:rFonts w:ascii="Times New Roman" w:eastAsia="宋体" w:hAnsi="Times New Roman" w:hint="eastAsia"/>
          <w:bCs w:val="0"/>
          <w:color w:val="000000" w:themeColor="text1"/>
          <w:sz w:val="28"/>
          <w:szCs w:val="28"/>
        </w:rPr>
        <w:fldChar w:fldCharType="separate"/>
      </w:r>
      <w:bookmarkStart w:id="745" w:name="_Toc6826943"/>
      <w:r>
        <w:rPr>
          <w:rFonts w:ascii="Times New Roman" w:eastAsia="宋体" w:hAnsi="Times New Roman" w:hint="eastAsia"/>
          <w:bCs w:val="0"/>
          <w:color w:val="000000" w:themeColor="text1"/>
          <w:sz w:val="28"/>
          <w:szCs w:val="28"/>
        </w:rPr>
        <w:t>12.2</w:t>
      </w:r>
      <w:r>
        <w:rPr>
          <w:rFonts w:ascii="Times New Roman" w:eastAsia="宋体" w:hAnsi="Times New Roman" w:hint="eastAsia"/>
          <w:bCs w:val="0"/>
          <w:color w:val="000000" w:themeColor="text1"/>
          <w:sz w:val="28"/>
          <w:szCs w:val="28"/>
        </w:rPr>
        <w:t>环境监测计划</w:t>
      </w:r>
      <w:bookmarkEnd w:id="745"/>
      <w:r>
        <w:rPr>
          <w:rFonts w:ascii="Times New Roman" w:eastAsia="宋体" w:hAnsi="Times New Roman" w:hint="eastAsia"/>
          <w:bCs w:val="0"/>
          <w:color w:val="000000" w:themeColor="text1"/>
          <w:sz w:val="28"/>
          <w:szCs w:val="28"/>
        </w:rPr>
        <w:fldChar w:fldCharType="end"/>
      </w:r>
      <w:bookmarkEnd w:id="741"/>
      <w:bookmarkEnd w:id="742"/>
      <w:bookmarkEnd w:id="743"/>
      <w:bookmarkEnd w:id="744"/>
    </w:p>
    <w:bookmarkStart w:id="746" w:name="_Toc448"/>
    <w:bookmarkStart w:id="747" w:name="_Toc27058"/>
    <w:bookmarkStart w:id="748" w:name="_Toc3322"/>
    <w:bookmarkStart w:id="749" w:name="_Toc5434"/>
    <w:p w:rsidR="00C861DA" w:rsidRDefault="0044752E">
      <w:pPr>
        <w:pStyle w:val="32"/>
        <w:rPr>
          <w:rFonts w:ascii="Times New Roman" w:eastAsia="宋体"/>
          <w:bCs w:val="0"/>
          <w:color w:val="000000" w:themeColor="text1"/>
          <w:sz w:val="24"/>
          <w:szCs w:val="24"/>
        </w:rPr>
      </w:pPr>
      <w:r>
        <w:rPr>
          <w:rFonts w:ascii="Times New Roman" w:eastAsia="宋体" w:hint="eastAsia"/>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"_Toc512505526" </w:instrText>
      </w:r>
      <w:r>
        <w:rPr>
          <w:rFonts w:ascii="Times New Roman" w:eastAsia="宋体" w:hint="eastAsia"/>
          <w:bCs w:val="0"/>
          <w:color w:val="000000" w:themeColor="text1"/>
          <w:sz w:val="24"/>
          <w:szCs w:val="24"/>
        </w:rPr>
        <w:fldChar w:fldCharType="separate"/>
      </w:r>
      <w:bookmarkStart w:id="750" w:name="_Toc6826944"/>
      <w:r>
        <w:rPr>
          <w:rFonts w:ascii="Times New Roman" w:eastAsia="宋体" w:hint="eastAsia"/>
          <w:bCs w:val="0"/>
          <w:color w:val="000000" w:themeColor="text1"/>
          <w:sz w:val="24"/>
          <w:szCs w:val="24"/>
        </w:rPr>
        <w:t>12.2.1</w:t>
      </w:r>
      <w:r>
        <w:rPr>
          <w:rFonts w:ascii="Times New Roman" w:eastAsia="宋体" w:hint="eastAsia"/>
          <w:bCs w:val="0"/>
          <w:color w:val="000000" w:themeColor="text1"/>
          <w:sz w:val="24"/>
          <w:szCs w:val="24"/>
        </w:rPr>
        <w:t>监测目的和原则</w:t>
      </w:r>
      <w:bookmarkEnd w:id="750"/>
      <w:r>
        <w:rPr>
          <w:rFonts w:ascii="Times New Roman" w:eastAsia="宋体" w:hint="eastAsia"/>
          <w:bCs w:val="0"/>
          <w:color w:val="000000" w:themeColor="text1"/>
          <w:sz w:val="24"/>
          <w:szCs w:val="24"/>
        </w:rPr>
        <w:fldChar w:fldCharType="end"/>
      </w:r>
      <w:bookmarkEnd w:id="746"/>
      <w:bookmarkEnd w:id="747"/>
      <w:bookmarkEnd w:id="748"/>
      <w:bookmarkEnd w:id="749"/>
    </w:p>
    <w:p w:rsidR="00C861DA" w:rsidRDefault="0044752E">
      <w:pPr>
        <w:autoSpaceDE/>
        <w:autoSpaceDN/>
        <w:adjustRightInd/>
        <w:spacing w:line="360" w:lineRule="auto"/>
        <w:ind w:firstLineChars="200" w:firstLine="480"/>
        <w:rPr>
          <w:rFonts w:ascii="Times New Roman" w:eastAsia="宋体" w:cs="仿宋"/>
          <w:color w:val="000000" w:themeColor="text1"/>
          <w:sz w:val="24"/>
          <w:szCs w:val="24"/>
        </w:rPr>
      </w:pPr>
      <w:r>
        <w:rPr>
          <w:rFonts w:ascii="Times New Roman" w:eastAsia="宋体" w:cs="仿宋" w:hint="eastAsia"/>
          <w:color w:val="000000" w:themeColor="text1"/>
          <w:sz w:val="24"/>
          <w:szCs w:val="24"/>
        </w:rPr>
        <w:t>制定环境监测计划的目的是为了监督各项环保措施的落实，了解不同阶段对环境的影响及环境质量现状，根据监测结果适时调整、环保行动计划，为环保措施的实施方案和实施时间提供依据。制定的原则是根据各个阶段及运营期的主要环境影响及可能超标影响及可能超标的情况而定。</w:t>
      </w:r>
    </w:p>
    <w:p w:rsidR="00C861DA" w:rsidRDefault="0044752E">
      <w:pPr>
        <w:pStyle w:val="32"/>
        <w:rPr>
          <w:rFonts w:ascii="Times New Roman" w:eastAsia="宋体"/>
          <w:bCs w:val="0"/>
          <w:color w:val="000000" w:themeColor="text1"/>
          <w:sz w:val="24"/>
          <w:szCs w:val="24"/>
        </w:rPr>
      </w:pPr>
      <w:bookmarkStart w:id="751" w:name="_Toc4227"/>
      <w:bookmarkStart w:id="752" w:name="_Toc6826945"/>
      <w:r>
        <w:rPr>
          <w:rFonts w:ascii="Times New Roman" w:eastAsia="宋体" w:hint="eastAsia"/>
          <w:bCs w:val="0"/>
          <w:color w:val="000000" w:themeColor="text1"/>
          <w:sz w:val="24"/>
          <w:szCs w:val="24"/>
        </w:rPr>
        <w:t>12.2.2</w:t>
      </w:r>
      <w:r>
        <w:rPr>
          <w:rFonts w:ascii="Times New Roman" w:eastAsia="宋体" w:hint="eastAsia"/>
          <w:bCs w:val="0"/>
          <w:color w:val="000000" w:themeColor="text1"/>
          <w:sz w:val="24"/>
          <w:szCs w:val="24"/>
        </w:rPr>
        <w:t>环境监测机构设置</w:t>
      </w:r>
      <w:bookmarkEnd w:id="751"/>
      <w:bookmarkEnd w:id="752"/>
    </w:p>
    <w:p w:rsidR="00C861DA" w:rsidRDefault="0044752E">
      <w:pPr>
        <w:spacing w:line="360" w:lineRule="auto"/>
        <w:ind w:firstLineChars="200" w:firstLine="480"/>
        <w:jc w:val="both"/>
        <w:rPr>
          <w:rFonts w:ascii="Times New Roman" w:eastAsia="宋体" w:hAnsi="Times New Roman" w:cs="仿宋"/>
          <w:color w:val="000000" w:themeColor="text1"/>
          <w:kern w:val="0"/>
          <w:sz w:val="24"/>
          <w:szCs w:val="24"/>
        </w:rPr>
      </w:pPr>
      <w:r>
        <w:rPr>
          <w:rFonts w:ascii="Times New Roman" w:eastAsia="宋体" w:hAnsi="Times New Roman" w:cs="仿宋" w:hint="eastAsia"/>
          <w:color w:val="000000" w:themeColor="text1"/>
          <w:kern w:val="0"/>
          <w:sz w:val="24"/>
          <w:szCs w:val="24"/>
        </w:rPr>
        <w:t>祥丰石化有限公司应根据国家和地方有关法规，设置专职的环境管理机构。其职责是制定工厂的环保工作计划、规章制度，统筹管理公司内部环保治理工作；负责与政府环境保护部门取得联系；负责项目的环评报批、竣工环保验收，监督环境保护设施的运行等。</w:t>
      </w:r>
    </w:p>
    <w:bookmarkStart w:id="753" w:name="_Toc11910"/>
    <w:bookmarkStart w:id="754" w:name="_Toc15681"/>
    <w:bookmarkStart w:id="755" w:name="_Toc22754"/>
    <w:bookmarkStart w:id="756" w:name="_Toc29730"/>
    <w:p w:rsidR="00C861DA" w:rsidRDefault="0044752E">
      <w:pPr>
        <w:pStyle w:val="32"/>
        <w:rPr>
          <w:rFonts w:ascii="Times New Roman" w:eastAsia="宋体"/>
          <w:bCs w:val="0"/>
          <w:color w:val="000000" w:themeColor="text1"/>
          <w:sz w:val="24"/>
          <w:szCs w:val="24"/>
        </w:rPr>
      </w:pPr>
      <w:r>
        <w:rPr>
          <w:rFonts w:ascii="Times New Roman" w:eastAsia="宋体" w:hint="eastAsia"/>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"_Toc512505527" </w:instrText>
      </w:r>
      <w:r>
        <w:rPr>
          <w:rFonts w:ascii="Times New Roman" w:eastAsia="宋体" w:hint="eastAsia"/>
          <w:bCs w:val="0"/>
          <w:color w:val="000000" w:themeColor="text1"/>
          <w:sz w:val="24"/>
          <w:szCs w:val="24"/>
        </w:rPr>
        <w:fldChar w:fldCharType="separate"/>
      </w:r>
      <w:bookmarkStart w:id="757" w:name="_Toc6826946"/>
      <w:r>
        <w:rPr>
          <w:rFonts w:ascii="Times New Roman" w:eastAsia="宋体" w:hint="eastAsia"/>
          <w:bCs w:val="0"/>
          <w:color w:val="000000" w:themeColor="text1"/>
          <w:sz w:val="24"/>
          <w:szCs w:val="24"/>
        </w:rPr>
        <w:t>12.2.3</w:t>
      </w:r>
      <w:r>
        <w:rPr>
          <w:rFonts w:ascii="Times New Roman" w:eastAsia="宋体" w:hint="eastAsia"/>
          <w:bCs w:val="0"/>
          <w:color w:val="000000" w:themeColor="text1"/>
          <w:sz w:val="24"/>
          <w:szCs w:val="24"/>
        </w:rPr>
        <w:t>监测计划</w:t>
      </w:r>
      <w:bookmarkEnd w:id="757"/>
      <w:r>
        <w:rPr>
          <w:rFonts w:ascii="Times New Roman" w:eastAsia="宋体" w:hint="eastAsia"/>
          <w:bCs w:val="0"/>
          <w:color w:val="000000" w:themeColor="text1"/>
          <w:sz w:val="24"/>
          <w:szCs w:val="24"/>
        </w:rPr>
        <w:fldChar w:fldCharType="end"/>
      </w:r>
      <w:bookmarkEnd w:id="753"/>
      <w:bookmarkEnd w:id="754"/>
      <w:bookmarkEnd w:id="755"/>
      <w:bookmarkEnd w:id="756"/>
    </w:p>
    <w:p w:rsidR="00C861DA" w:rsidRDefault="0044752E">
      <w:pPr>
        <w:autoSpaceDE/>
        <w:autoSpaceDN/>
        <w:spacing w:line="360" w:lineRule="auto"/>
        <w:ind w:firstLineChars="200" w:firstLine="482"/>
        <w:rPr>
          <w:rFonts w:ascii="Times New Roman" w:eastAsia="宋体" w:cs="仿宋"/>
          <w:b/>
          <w:bCs/>
          <w:color w:val="000000" w:themeColor="text1"/>
          <w:sz w:val="24"/>
          <w:szCs w:val="24"/>
        </w:rPr>
      </w:pPr>
      <w:r>
        <w:rPr>
          <w:rFonts w:ascii="Times New Roman" w:eastAsia="宋体" w:cs="仿宋" w:hint="eastAsia"/>
          <w:b/>
          <w:bCs/>
          <w:color w:val="000000" w:themeColor="text1"/>
          <w:sz w:val="24"/>
          <w:szCs w:val="24"/>
        </w:rPr>
        <w:t>（</w:t>
      </w:r>
      <w:r>
        <w:rPr>
          <w:rFonts w:ascii="Times New Roman" w:eastAsia="宋体" w:cs="仿宋" w:hint="eastAsia"/>
          <w:b/>
          <w:bCs/>
          <w:color w:val="000000" w:themeColor="text1"/>
          <w:sz w:val="24"/>
          <w:szCs w:val="24"/>
        </w:rPr>
        <w:t>1</w:t>
      </w:r>
      <w:r>
        <w:rPr>
          <w:rFonts w:ascii="Times New Roman" w:eastAsia="宋体" w:cs="仿宋" w:hint="eastAsia"/>
          <w:b/>
          <w:bCs/>
          <w:color w:val="000000" w:themeColor="text1"/>
          <w:sz w:val="24"/>
          <w:szCs w:val="24"/>
        </w:rPr>
        <w:t>）施工期环境监测计划</w:t>
      </w:r>
    </w:p>
    <w:p w:rsidR="00C861DA" w:rsidRDefault="0044752E">
      <w:pPr>
        <w:autoSpaceDE/>
        <w:autoSpaceDN/>
        <w:spacing w:line="360" w:lineRule="auto"/>
        <w:ind w:firstLineChars="200" w:firstLine="480"/>
        <w:rPr>
          <w:rFonts w:ascii="Times New Roman" w:eastAsia="宋体" w:cs="仿宋"/>
          <w:color w:val="000000" w:themeColor="text1"/>
          <w:sz w:val="24"/>
          <w:szCs w:val="24"/>
        </w:rPr>
      </w:pPr>
      <w:r>
        <w:rPr>
          <w:rFonts w:ascii="Times New Roman" w:eastAsia="宋体" w:cs="仿宋" w:hint="eastAsia"/>
          <w:color w:val="000000" w:themeColor="text1"/>
          <w:sz w:val="24"/>
          <w:szCs w:val="24"/>
        </w:rPr>
        <w:t>施工期的监测主要是对施工厂界噪声和大气的监测，具体监测计划为：</w:t>
      </w:r>
    </w:p>
    <w:p w:rsidR="00C861DA" w:rsidRDefault="0044752E">
      <w:pPr>
        <w:autoSpaceDE/>
        <w:autoSpaceDN/>
        <w:spacing w:line="360" w:lineRule="auto"/>
        <w:ind w:firstLineChars="200" w:firstLine="482"/>
        <w:rPr>
          <w:rFonts w:ascii="Times New Roman" w:eastAsia="宋体" w:cs="仿宋"/>
          <w:color w:val="000000" w:themeColor="text1"/>
          <w:sz w:val="24"/>
          <w:szCs w:val="24"/>
        </w:rPr>
      </w:pPr>
      <w:r>
        <w:rPr>
          <w:rFonts w:ascii="Times New Roman" w:eastAsia="宋体" w:cs="仿宋" w:hint="eastAsia"/>
          <w:b/>
          <w:bCs/>
          <w:color w:val="000000" w:themeColor="text1"/>
          <w:sz w:val="24"/>
          <w:szCs w:val="24"/>
        </w:rPr>
        <w:t>大气：</w:t>
      </w:r>
      <w:r>
        <w:rPr>
          <w:rFonts w:ascii="Times New Roman" w:eastAsia="宋体" w:cs="仿宋" w:hint="eastAsia"/>
          <w:color w:val="000000" w:themeColor="text1"/>
          <w:sz w:val="24"/>
          <w:szCs w:val="24"/>
        </w:rPr>
        <w:t>在施工区及其周围布设</w:t>
      </w:r>
      <w:r>
        <w:rPr>
          <w:rFonts w:ascii="Times New Roman" w:eastAsia="宋体" w:cs="仿宋" w:hint="eastAsia"/>
          <w:color w:val="000000" w:themeColor="text1"/>
          <w:sz w:val="24"/>
          <w:szCs w:val="24"/>
        </w:rPr>
        <w:t>1-2</w:t>
      </w:r>
      <w:r>
        <w:rPr>
          <w:rFonts w:ascii="Times New Roman" w:eastAsia="宋体" w:cs="仿宋" w:hint="eastAsia"/>
          <w:color w:val="000000" w:themeColor="text1"/>
          <w:sz w:val="24"/>
          <w:szCs w:val="24"/>
        </w:rPr>
        <w:t>个大气监测点，施工期间监测一次，每次连续三天，监测因子为</w:t>
      </w:r>
      <w:r>
        <w:rPr>
          <w:rFonts w:ascii="Times New Roman" w:eastAsia="宋体" w:cs="仿宋" w:hint="eastAsia"/>
          <w:color w:val="000000" w:themeColor="text1"/>
          <w:sz w:val="24"/>
          <w:szCs w:val="24"/>
        </w:rPr>
        <w:t>TSP</w:t>
      </w:r>
      <w:r>
        <w:rPr>
          <w:rFonts w:ascii="Times New Roman" w:eastAsia="宋体" w:cs="仿宋" w:hint="eastAsia"/>
          <w:color w:val="000000" w:themeColor="text1"/>
          <w:sz w:val="24"/>
          <w:szCs w:val="24"/>
        </w:rPr>
        <w:t>、</w:t>
      </w:r>
      <w:r>
        <w:rPr>
          <w:rFonts w:ascii="Times New Roman" w:eastAsia="宋体" w:cs="仿宋" w:hint="eastAsia"/>
          <w:color w:val="000000" w:themeColor="text1"/>
          <w:sz w:val="24"/>
          <w:szCs w:val="24"/>
        </w:rPr>
        <w:t>PM</w:t>
      </w:r>
      <w:r>
        <w:rPr>
          <w:rFonts w:ascii="Times New Roman" w:eastAsia="宋体" w:cs="仿宋" w:hint="eastAsia"/>
          <w:color w:val="000000" w:themeColor="text1"/>
          <w:sz w:val="24"/>
          <w:szCs w:val="24"/>
          <w:vertAlign w:val="subscript"/>
        </w:rPr>
        <w:t>10</w:t>
      </w:r>
      <w:r>
        <w:rPr>
          <w:rFonts w:ascii="Times New Roman" w:eastAsia="宋体" w:cs="仿宋" w:hint="eastAsia"/>
          <w:color w:val="000000" w:themeColor="text1"/>
          <w:sz w:val="24"/>
          <w:szCs w:val="24"/>
        </w:rPr>
        <w:t>。</w:t>
      </w:r>
    </w:p>
    <w:p w:rsidR="00C861DA" w:rsidRDefault="0044752E">
      <w:pPr>
        <w:autoSpaceDE/>
        <w:autoSpaceDN/>
        <w:spacing w:line="360" w:lineRule="auto"/>
        <w:ind w:firstLineChars="200" w:firstLine="482"/>
        <w:rPr>
          <w:rFonts w:ascii="Times New Roman" w:eastAsia="宋体" w:cs="仿宋"/>
          <w:color w:val="000000" w:themeColor="text1"/>
          <w:sz w:val="24"/>
          <w:szCs w:val="24"/>
        </w:rPr>
      </w:pPr>
      <w:r>
        <w:rPr>
          <w:rFonts w:ascii="Times New Roman" w:eastAsia="宋体" w:cs="仿宋" w:hint="eastAsia"/>
          <w:b/>
          <w:bCs/>
          <w:color w:val="000000" w:themeColor="text1"/>
          <w:sz w:val="24"/>
          <w:szCs w:val="24"/>
        </w:rPr>
        <w:t>噪声：</w:t>
      </w:r>
      <w:r>
        <w:rPr>
          <w:rFonts w:ascii="Times New Roman" w:eastAsia="宋体" w:cs="仿宋" w:hint="eastAsia"/>
          <w:color w:val="000000" w:themeColor="text1"/>
          <w:sz w:val="24"/>
          <w:szCs w:val="24"/>
        </w:rPr>
        <w:t>在施工厂界布设四个监测点，施工期间监测一次，昼夜间各监测一次，监测因子为等效</w:t>
      </w:r>
      <w:r>
        <w:rPr>
          <w:rFonts w:ascii="Times New Roman" w:eastAsia="宋体" w:cs="仿宋" w:hint="eastAsia"/>
          <w:color w:val="000000" w:themeColor="text1"/>
          <w:sz w:val="24"/>
          <w:szCs w:val="24"/>
        </w:rPr>
        <w:t>A</w:t>
      </w:r>
      <w:r>
        <w:rPr>
          <w:rFonts w:ascii="Times New Roman" w:eastAsia="宋体" w:cs="仿宋" w:hint="eastAsia"/>
          <w:color w:val="000000" w:themeColor="text1"/>
          <w:sz w:val="24"/>
          <w:szCs w:val="24"/>
        </w:rPr>
        <w:t>声级。</w:t>
      </w:r>
    </w:p>
    <w:p w:rsidR="00C861DA" w:rsidRDefault="0044752E">
      <w:pPr>
        <w:autoSpaceDE/>
        <w:autoSpaceDN/>
        <w:spacing w:line="360" w:lineRule="auto"/>
        <w:ind w:firstLineChars="200" w:firstLine="482"/>
        <w:rPr>
          <w:rFonts w:ascii="Times New Roman" w:eastAsia="宋体" w:cs="仿宋"/>
          <w:b/>
          <w:bCs/>
          <w:color w:val="000000" w:themeColor="text1"/>
          <w:sz w:val="24"/>
          <w:szCs w:val="24"/>
        </w:rPr>
      </w:pPr>
      <w:r>
        <w:rPr>
          <w:rFonts w:ascii="Times New Roman" w:eastAsia="宋体" w:cs="仿宋" w:hint="eastAsia"/>
          <w:b/>
          <w:bCs/>
          <w:color w:val="000000" w:themeColor="text1"/>
          <w:sz w:val="24"/>
          <w:szCs w:val="24"/>
        </w:rPr>
        <w:t>（</w:t>
      </w:r>
      <w:r>
        <w:rPr>
          <w:rFonts w:ascii="Times New Roman" w:eastAsia="宋体" w:cs="仿宋" w:hint="eastAsia"/>
          <w:b/>
          <w:bCs/>
          <w:color w:val="000000" w:themeColor="text1"/>
          <w:sz w:val="24"/>
          <w:szCs w:val="24"/>
        </w:rPr>
        <w:t>2</w:t>
      </w:r>
      <w:r>
        <w:rPr>
          <w:rFonts w:ascii="Times New Roman" w:eastAsia="宋体" w:cs="仿宋" w:hint="eastAsia"/>
          <w:b/>
          <w:bCs/>
          <w:color w:val="000000" w:themeColor="text1"/>
          <w:sz w:val="24"/>
          <w:szCs w:val="24"/>
        </w:rPr>
        <w:t>）营运期污染源监测计划</w:t>
      </w:r>
    </w:p>
    <w:p w:rsidR="00C861DA" w:rsidRDefault="0044752E">
      <w:pPr>
        <w:autoSpaceDE/>
        <w:autoSpaceDN/>
        <w:spacing w:line="360" w:lineRule="auto"/>
        <w:ind w:firstLineChars="200" w:firstLine="480"/>
        <w:rPr>
          <w:rFonts w:ascii="Times New Roman" w:eastAsia="宋体" w:cs="仿宋"/>
          <w:color w:val="000000" w:themeColor="text1"/>
          <w:sz w:val="24"/>
          <w:szCs w:val="24"/>
        </w:rPr>
      </w:pPr>
      <w:r>
        <w:rPr>
          <w:rFonts w:ascii="Times New Roman" w:eastAsia="宋体" w:cs="仿宋" w:hint="eastAsia"/>
          <w:color w:val="000000" w:themeColor="text1"/>
          <w:sz w:val="24"/>
          <w:szCs w:val="24"/>
        </w:rPr>
        <w:t>本项目</w:t>
      </w:r>
      <w:r>
        <w:rPr>
          <w:rFonts w:ascii="Times New Roman" w:eastAsia="宋体" w:hint="eastAsia"/>
          <w:color w:val="000000" w:themeColor="text1"/>
          <w:sz w:val="24"/>
          <w:szCs w:val="24"/>
        </w:rPr>
        <w:t>生产新型生态绿色有机肥，年产</w:t>
      </w:r>
      <w:r>
        <w:rPr>
          <w:rFonts w:ascii="Times New Roman" w:eastAsia="宋体" w:hint="eastAsia"/>
          <w:color w:val="000000" w:themeColor="text1"/>
          <w:sz w:val="24"/>
          <w:szCs w:val="24"/>
        </w:rPr>
        <w:t>8</w:t>
      </w:r>
      <w:r>
        <w:rPr>
          <w:rFonts w:ascii="Times New Roman" w:eastAsia="宋体"/>
          <w:color w:val="000000" w:themeColor="text1"/>
          <w:sz w:val="24"/>
          <w:szCs w:val="24"/>
        </w:rPr>
        <w:t>0</w:t>
      </w:r>
      <w:r>
        <w:rPr>
          <w:rFonts w:ascii="Times New Roman" w:eastAsia="宋体" w:hint="eastAsia"/>
          <w:color w:val="000000" w:themeColor="text1"/>
          <w:sz w:val="24"/>
          <w:szCs w:val="24"/>
        </w:rPr>
        <w:t>万吨，</w:t>
      </w:r>
      <w:r>
        <w:rPr>
          <w:rFonts w:ascii="Times New Roman" w:eastAsia="宋体" w:cs="仿宋" w:hint="eastAsia"/>
          <w:color w:val="000000" w:themeColor="text1"/>
          <w:sz w:val="24"/>
          <w:szCs w:val="24"/>
        </w:rPr>
        <w:t>根据《排污许可证申请与核发技术规范</w:t>
      </w:r>
      <w:r>
        <w:rPr>
          <w:rFonts w:ascii="Times New Roman" w:eastAsia="宋体" w:cs="仿宋" w:hint="eastAsia"/>
          <w:color w:val="000000" w:themeColor="text1"/>
          <w:sz w:val="24"/>
          <w:szCs w:val="24"/>
        </w:rPr>
        <w:t xml:space="preserve"> </w:t>
      </w:r>
      <w:r>
        <w:rPr>
          <w:rFonts w:ascii="Times New Roman" w:eastAsia="宋体" w:cs="仿宋" w:hint="eastAsia"/>
          <w:color w:val="000000" w:themeColor="text1"/>
          <w:sz w:val="24"/>
          <w:szCs w:val="24"/>
        </w:rPr>
        <w:t>磷肥、钾肥复混肥料、有机肥料及微生物肥料工业》（征求意见稿）可知，本单位应纳入排污许可重点管理。参照《排污许可证申请与核发技术规范</w:t>
      </w:r>
      <w:r>
        <w:rPr>
          <w:rFonts w:ascii="Times New Roman" w:eastAsia="宋体" w:cs="仿宋" w:hint="eastAsia"/>
          <w:color w:val="000000" w:themeColor="text1"/>
          <w:sz w:val="24"/>
          <w:szCs w:val="24"/>
        </w:rPr>
        <w:t xml:space="preserve"> </w:t>
      </w:r>
      <w:r>
        <w:rPr>
          <w:rFonts w:ascii="Times New Roman" w:eastAsia="宋体" w:cs="仿宋" w:hint="eastAsia"/>
          <w:color w:val="000000" w:themeColor="text1"/>
          <w:sz w:val="24"/>
          <w:szCs w:val="24"/>
        </w:rPr>
        <w:t>总则》、《排污单位自行监测技术指南</w:t>
      </w:r>
      <w:r>
        <w:rPr>
          <w:rFonts w:ascii="Times New Roman" w:eastAsia="宋体" w:cs="仿宋" w:hint="eastAsia"/>
          <w:color w:val="000000" w:themeColor="text1"/>
          <w:sz w:val="24"/>
          <w:szCs w:val="24"/>
        </w:rPr>
        <w:t xml:space="preserve"> </w:t>
      </w:r>
      <w:r>
        <w:rPr>
          <w:rFonts w:ascii="Times New Roman" w:eastAsia="宋体" w:cs="仿宋" w:hint="eastAsia"/>
          <w:color w:val="000000" w:themeColor="text1"/>
          <w:sz w:val="24"/>
          <w:szCs w:val="24"/>
        </w:rPr>
        <w:t>总则》、《排污许可证申请与核发技术规范</w:t>
      </w:r>
      <w:r>
        <w:rPr>
          <w:rFonts w:ascii="Times New Roman" w:eastAsia="宋体" w:cs="仿宋" w:hint="eastAsia"/>
          <w:color w:val="000000" w:themeColor="text1"/>
          <w:sz w:val="24"/>
          <w:szCs w:val="24"/>
        </w:rPr>
        <w:t xml:space="preserve"> </w:t>
      </w:r>
      <w:r>
        <w:rPr>
          <w:rFonts w:ascii="Times New Roman" w:eastAsia="宋体" w:cs="仿宋" w:hint="eastAsia"/>
          <w:color w:val="000000" w:themeColor="text1"/>
          <w:sz w:val="24"/>
          <w:szCs w:val="24"/>
        </w:rPr>
        <w:t>磷肥、钾肥复混肥料、有机肥料及微生物肥料工业》（征求意见稿）、开展自行监测，建议本项目污染源监测的具体内容和频率见表</w:t>
      </w:r>
      <w:r>
        <w:rPr>
          <w:rFonts w:ascii="Times New Roman" w:eastAsia="宋体" w:cs="仿宋" w:hint="eastAsia"/>
          <w:color w:val="000000" w:themeColor="text1"/>
          <w:sz w:val="24"/>
          <w:szCs w:val="24"/>
        </w:rPr>
        <w:t>12.2-1</w:t>
      </w:r>
      <w:r>
        <w:rPr>
          <w:rFonts w:ascii="Times New Roman" w:eastAsia="宋体" w:cs="仿宋" w:hint="eastAsia"/>
          <w:color w:val="000000" w:themeColor="text1"/>
          <w:sz w:val="24"/>
          <w:szCs w:val="24"/>
        </w:rPr>
        <w:t>。</w:t>
      </w:r>
    </w:p>
    <w:p w:rsidR="00C861DA" w:rsidRDefault="0044752E">
      <w:pPr>
        <w:autoSpaceDE/>
        <w:autoSpaceDN/>
        <w:spacing w:line="360" w:lineRule="auto"/>
        <w:ind w:firstLineChars="200" w:firstLine="482"/>
        <w:jc w:val="center"/>
        <w:rPr>
          <w:rFonts w:ascii="Times New Roman" w:eastAsia="宋体" w:cs="仿宋"/>
          <w:b/>
          <w:color w:val="000000" w:themeColor="text1"/>
          <w:sz w:val="24"/>
          <w:szCs w:val="24"/>
        </w:rPr>
      </w:pPr>
      <w:r>
        <w:rPr>
          <w:rFonts w:ascii="Times New Roman" w:eastAsia="宋体" w:cs="仿宋" w:hint="eastAsia"/>
          <w:b/>
          <w:color w:val="000000" w:themeColor="text1"/>
          <w:sz w:val="24"/>
          <w:szCs w:val="24"/>
        </w:rPr>
        <w:t>表</w:t>
      </w:r>
      <w:r>
        <w:rPr>
          <w:rFonts w:ascii="Times New Roman" w:eastAsia="宋体" w:cs="仿宋" w:hint="eastAsia"/>
          <w:b/>
          <w:color w:val="000000" w:themeColor="text1"/>
          <w:sz w:val="24"/>
          <w:szCs w:val="24"/>
        </w:rPr>
        <w:t xml:space="preserve">12.2-1  </w:t>
      </w:r>
      <w:r>
        <w:rPr>
          <w:rFonts w:ascii="Times New Roman" w:eastAsia="宋体" w:cs="仿宋" w:hint="eastAsia"/>
          <w:b/>
          <w:color w:val="000000" w:themeColor="text1"/>
          <w:sz w:val="24"/>
          <w:szCs w:val="24"/>
        </w:rPr>
        <w:t>营运期污染源监测计划</w:t>
      </w:r>
    </w:p>
    <w:tbl>
      <w:tblPr>
        <w:tblStyle w:val="affa"/>
        <w:tblpPr w:leftFromText="180" w:rightFromText="180" w:vertAnchor="text" w:horzAnchor="page" w:tblpX="1832" w:tblpY="22"/>
        <w:tblOverlap w:val="never"/>
        <w:tblW w:w="8522" w:type="dxa"/>
        <w:tblLayout w:type="fixed"/>
        <w:tblLook w:val="04A0" w:firstRow="1" w:lastRow="0" w:firstColumn="1" w:lastColumn="0" w:noHBand="0" w:noVBand="1"/>
      </w:tblPr>
      <w:tblGrid>
        <w:gridCol w:w="675"/>
        <w:gridCol w:w="1447"/>
        <w:gridCol w:w="1984"/>
        <w:gridCol w:w="2164"/>
        <w:gridCol w:w="2252"/>
      </w:tblGrid>
      <w:tr w:rsidR="00C861DA">
        <w:trPr>
          <w:trHeight w:val="397"/>
        </w:trPr>
        <w:tc>
          <w:tcPr>
            <w:tcW w:w="675" w:type="dxa"/>
            <w:vAlign w:val="center"/>
          </w:tcPr>
          <w:p w:rsidR="00C861DA" w:rsidRDefault="0044752E">
            <w:pPr>
              <w:keepNext/>
              <w:keepLines/>
              <w:tabs>
                <w:tab w:val="left" w:pos="4860"/>
                <w:tab w:val="left" w:pos="5040"/>
              </w:tabs>
              <w:jc w:val="center"/>
              <w:rPr>
                <w:rFonts w:ascii="Times New Roman" w:eastAsia="宋体" w:hAnsi="Times New Roman" w:cs="仿宋"/>
                <w:b/>
                <w:color w:val="000000" w:themeColor="text1"/>
                <w:kern w:val="0"/>
              </w:rPr>
            </w:pPr>
            <w:bookmarkStart w:id="758" w:name="_Toc21822"/>
            <w:bookmarkStart w:id="759" w:name="_Toc6076"/>
            <w:bookmarkStart w:id="760" w:name="_Toc30364"/>
            <w:r>
              <w:rPr>
                <w:rFonts w:ascii="Times New Roman" w:eastAsia="宋体" w:hAnsi="Times New Roman" w:cs="仿宋" w:hint="eastAsia"/>
                <w:b/>
                <w:color w:val="000000" w:themeColor="text1"/>
                <w:kern w:val="0"/>
              </w:rPr>
              <w:t>类别</w:t>
            </w:r>
            <w:bookmarkEnd w:id="758"/>
            <w:bookmarkEnd w:id="759"/>
            <w:bookmarkEnd w:id="760"/>
          </w:p>
        </w:tc>
        <w:tc>
          <w:tcPr>
            <w:tcW w:w="1447" w:type="dxa"/>
            <w:vAlign w:val="center"/>
          </w:tcPr>
          <w:p w:rsidR="00C861DA" w:rsidRDefault="0044752E">
            <w:pPr>
              <w:keepNext/>
              <w:keepLines/>
              <w:tabs>
                <w:tab w:val="left" w:pos="4860"/>
                <w:tab w:val="left" w:pos="5040"/>
              </w:tabs>
              <w:jc w:val="center"/>
              <w:rPr>
                <w:rFonts w:ascii="Times New Roman" w:eastAsia="宋体" w:hAnsi="Times New Roman" w:cs="仿宋"/>
                <w:b/>
                <w:color w:val="000000" w:themeColor="text1"/>
                <w:kern w:val="0"/>
              </w:rPr>
            </w:pPr>
            <w:bookmarkStart w:id="761" w:name="_Toc22832"/>
            <w:bookmarkStart w:id="762" w:name="_Toc27525"/>
            <w:bookmarkStart w:id="763" w:name="_Toc15497"/>
            <w:r>
              <w:rPr>
                <w:rFonts w:ascii="Times New Roman" w:eastAsia="宋体" w:hAnsi="Times New Roman" w:cs="仿宋" w:hint="eastAsia"/>
                <w:b/>
                <w:color w:val="000000" w:themeColor="text1"/>
                <w:kern w:val="0"/>
              </w:rPr>
              <w:t>监测</w:t>
            </w:r>
            <w:bookmarkEnd w:id="761"/>
            <w:bookmarkEnd w:id="762"/>
            <w:bookmarkEnd w:id="763"/>
            <w:r>
              <w:rPr>
                <w:rFonts w:ascii="Times New Roman" w:eastAsia="宋体" w:hAnsi="Times New Roman" w:cs="仿宋" w:hint="eastAsia"/>
                <w:b/>
                <w:color w:val="000000" w:themeColor="text1"/>
                <w:kern w:val="0"/>
              </w:rPr>
              <w:t>点位</w:t>
            </w:r>
          </w:p>
        </w:tc>
        <w:tc>
          <w:tcPr>
            <w:tcW w:w="1984" w:type="dxa"/>
            <w:vAlign w:val="center"/>
          </w:tcPr>
          <w:p w:rsidR="00C861DA" w:rsidRDefault="0044752E">
            <w:pPr>
              <w:keepNext/>
              <w:keepLines/>
              <w:tabs>
                <w:tab w:val="left" w:pos="4860"/>
                <w:tab w:val="left" w:pos="5040"/>
              </w:tabs>
              <w:jc w:val="center"/>
              <w:rPr>
                <w:rFonts w:ascii="Times New Roman" w:eastAsia="宋体" w:hAnsi="Times New Roman" w:cs="仿宋"/>
                <w:b/>
                <w:color w:val="000000" w:themeColor="text1"/>
                <w:kern w:val="0"/>
              </w:rPr>
            </w:pPr>
            <w:bookmarkStart w:id="764" w:name="_Toc7678"/>
            <w:bookmarkStart w:id="765" w:name="_Toc26605"/>
            <w:bookmarkStart w:id="766" w:name="_Toc25382"/>
            <w:r>
              <w:rPr>
                <w:rFonts w:ascii="Times New Roman" w:eastAsia="宋体" w:hAnsi="Times New Roman" w:cs="仿宋" w:hint="eastAsia"/>
                <w:b/>
                <w:color w:val="000000" w:themeColor="text1"/>
                <w:kern w:val="0"/>
              </w:rPr>
              <w:t>监测</w:t>
            </w:r>
            <w:bookmarkEnd w:id="764"/>
            <w:bookmarkEnd w:id="765"/>
            <w:bookmarkEnd w:id="766"/>
            <w:r>
              <w:rPr>
                <w:rFonts w:ascii="Times New Roman" w:eastAsia="宋体" w:hAnsi="Times New Roman" w:cs="仿宋" w:hint="eastAsia"/>
                <w:b/>
                <w:color w:val="000000" w:themeColor="text1"/>
                <w:kern w:val="0"/>
              </w:rPr>
              <w:t>因子</w:t>
            </w:r>
          </w:p>
        </w:tc>
        <w:tc>
          <w:tcPr>
            <w:tcW w:w="2164" w:type="dxa"/>
            <w:vAlign w:val="center"/>
          </w:tcPr>
          <w:p w:rsidR="00C861DA" w:rsidRDefault="0044752E">
            <w:pPr>
              <w:keepNext/>
              <w:keepLines/>
              <w:tabs>
                <w:tab w:val="left" w:pos="4860"/>
                <w:tab w:val="left" w:pos="5040"/>
              </w:tabs>
              <w:jc w:val="center"/>
              <w:rPr>
                <w:rFonts w:ascii="Times New Roman" w:eastAsia="宋体" w:hAnsi="Times New Roman" w:cs="仿宋"/>
                <w:b/>
                <w:color w:val="000000" w:themeColor="text1"/>
                <w:kern w:val="0"/>
              </w:rPr>
            </w:pPr>
            <w:bookmarkStart w:id="767" w:name="_Toc29401"/>
            <w:bookmarkStart w:id="768" w:name="_Toc26394"/>
            <w:bookmarkStart w:id="769" w:name="_Toc17684"/>
            <w:r>
              <w:rPr>
                <w:rFonts w:ascii="Times New Roman" w:eastAsia="宋体" w:hAnsi="Times New Roman" w:cs="仿宋" w:hint="eastAsia"/>
                <w:b/>
                <w:color w:val="000000" w:themeColor="text1"/>
                <w:kern w:val="0"/>
              </w:rPr>
              <w:t>监测频率</w:t>
            </w:r>
            <w:bookmarkEnd w:id="767"/>
            <w:bookmarkEnd w:id="768"/>
            <w:bookmarkEnd w:id="769"/>
          </w:p>
        </w:tc>
        <w:tc>
          <w:tcPr>
            <w:tcW w:w="2252" w:type="dxa"/>
            <w:vAlign w:val="center"/>
          </w:tcPr>
          <w:p w:rsidR="00C861DA" w:rsidRDefault="0044752E">
            <w:pPr>
              <w:keepNext/>
              <w:keepLines/>
              <w:tabs>
                <w:tab w:val="left" w:pos="4860"/>
                <w:tab w:val="left" w:pos="5040"/>
              </w:tabs>
              <w:jc w:val="center"/>
              <w:rPr>
                <w:rFonts w:ascii="Times New Roman" w:eastAsia="宋体" w:hAnsi="Times New Roman" w:cs="仿宋"/>
                <w:b/>
                <w:color w:val="000000" w:themeColor="text1"/>
                <w:kern w:val="0"/>
              </w:rPr>
            </w:pPr>
            <w:bookmarkStart w:id="770" w:name="_Toc2791"/>
            <w:bookmarkStart w:id="771" w:name="_Toc14672"/>
            <w:bookmarkStart w:id="772" w:name="_Toc8486"/>
            <w:r>
              <w:rPr>
                <w:rFonts w:ascii="Times New Roman" w:eastAsia="宋体" w:hAnsi="Times New Roman" w:cs="仿宋" w:hint="eastAsia"/>
                <w:b/>
                <w:color w:val="000000" w:themeColor="text1"/>
                <w:kern w:val="0"/>
              </w:rPr>
              <w:t>控制目标</w:t>
            </w:r>
            <w:bookmarkEnd w:id="770"/>
            <w:bookmarkEnd w:id="771"/>
            <w:bookmarkEnd w:id="772"/>
          </w:p>
        </w:tc>
      </w:tr>
      <w:tr w:rsidR="00C861DA">
        <w:trPr>
          <w:trHeight w:val="397"/>
        </w:trPr>
        <w:tc>
          <w:tcPr>
            <w:tcW w:w="675" w:type="dxa"/>
            <w:vMerge w:val="restart"/>
            <w:vAlign w:val="center"/>
          </w:tcPr>
          <w:p w:rsidR="00C861DA" w:rsidRDefault="0044752E">
            <w:pPr>
              <w:keepNext/>
              <w:keepLines/>
              <w:tabs>
                <w:tab w:val="left" w:pos="4860"/>
                <w:tab w:val="left" w:pos="5040"/>
              </w:tabs>
              <w:jc w:val="center"/>
              <w:rPr>
                <w:rFonts w:ascii="Times New Roman" w:eastAsia="宋体" w:hAnsi="Times New Roman" w:cs="仿宋"/>
                <w:color w:val="000000" w:themeColor="text1"/>
                <w:kern w:val="0"/>
              </w:rPr>
            </w:pPr>
            <w:bookmarkStart w:id="773" w:name="_Toc15758"/>
            <w:bookmarkStart w:id="774" w:name="_Toc3240"/>
            <w:bookmarkStart w:id="775" w:name="_Toc15823"/>
            <w:r>
              <w:rPr>
                <w:rFonts w:ascii="Times New Roman" w:eastAsia="宋体" w:hAnsi="Times New Roman" w:cs="仿宋" w:hint="eastAsia"/>
                <w:color w:val="000000" w:themeColor="text1"/>
                <w:kern w:val="0"/>
              </w:rPr>
              <w:t>废气</w:t>
            </w:r>
            <w:bookmarkEnd w:id="773"/>
            <w:bookmarkEnd w:id="774"/>
            <w:bookmarkEnd w:id="775"/>
          </w:p>
        </w:tc>
        <w:tc>
          <w:tcPr>
            <w:tcW w:w="1447" w:type="dxa"/>
            <w:vAlign w:val="center"/>
          </w:tcPr>
          <w:p w:rsidR="00C861DA" w:rsidRDefault="0044752E">
            <w:pPr>
              <w:keepNext/>
              <w:keepLines/>
              <w:tabs>
                <w:tab w:val="left" w:pos="4860"/>
                <w:tab w:val="left" w:pos="5040"/>
              </w:tabs>
              <w:jc w:val="center"/>
              <w:rPr>
                <w:rFonts w:ascii="Times New Roman" w:eastAsia="宋体" w:hAnsi="Times New Roman" w:cs="仿宋"/>
                <w:color w:val="000000" w:themeColor="text1"/>
                <w:kern w:val="0"/>
              </w:rPr>
            </w:pPr>
            <w:r>
              <w:rPr>
                <w:rFonts w:ascii="Times New Roman" w:eastAsia="宋体" w:hAnsi="Times New Roman" w:cs="仿宋" w:hint="eastAsia"/>
                <w:color w:val="000000" w:themeColor="text1"/>
                <w:kern w:val="0"/>
              </w:rPr>
              <w:t>造粒塔</w:t>
            </w:r>
          </w:p>
        </w:tc>
        <w:tc>
          <w:tcPr>
            <w:tcW w:w="1984" w:type="dxa"/>
            <w:vAlign w:val="center"/>
          </w:tcPr>
          <w:p w:rsidR="00C861DA" w:rsidRDefault="0044752E">
            <w:pPr>
              <w:keepNext/>
              <w:keepLines/>
              <w:tabs>
                <w:tab w:val="left" w:pos="4860"/>
                <w:tab w:val="left" w:pos="5040"/>
              </w:tabs>
              <w:jc w:val="center"/>
              <w:rPr>
                <w:rFonts w:ascii="Times New Roman" w:eastAsia="宋体" w:hAnsi="Times New Roman" w:cs="仿宋"/>
                <w:color w:val="000000" w:themeColor="text1"/>
                <w:kern w:val="0"/>
              </w:rPr>
            </w:pPr>
            <w:bookmarkStart w:id="776" w:name="_Toc24900"/>
            <w:bookmarkStart w:id="777" w:name="_Toc29411"/>
            <w:bookmarkStart w:id="778" w:name="_Toc8544"/>
            <w:r>
              <w:rPr>
                <w:rFonts w:ascii="Times New Roman" w:eastAsia="宋体" w:hAnsi="Times New Roman" w:cs="仿宋" w:hint="eastAsia"/>
                <w:color w:val="000000" w:themeColor="text1"/>
                <w:kern w:val="0"/>
              </w:rPr>
              <w:t>颗粒物</w:t>
            </w:r>
            <w:bookmarkEnd w:id="776"/>
            <w:bookmarkEnd w:id="777"/>
            <w:bookmarkEnd w:id="778"/>
          </w:p>
        </w:tc>
        <w:tc>
          <w:tcPr>
            <w:tcW w:w="2164" w:type="dxa"/>
            <w:vAlign w:val="center"/>
          </w:tcPr>
          <w:p w:rsidR="00C861DA" w:rsidRDefault="0044752E">
            <w:pPr>
              <w:keepNext/>
              <w:keepLines/>
              <w:tabs>
                <w:tab w:val="left" w:pos="4860"/>
                <w:tab w:val="left" w:pos="5040"/>
              </w:tabs>
              <w:jc w:val="center"/>
              <w:rPr>
                <w:rFonts w:ascii="Times New Roman" w:eastAsia="宋体" w:hAnsi="Times New Roman" w:cs="仿宋"/>
                <w:color w:val="000000" w:themeColor="text1"/>
                <w:kern w:val="0"/>
              </w:rPr>
            </w:pPr>
            <w:bookmarkStart w:id="779" w:name="_Toc12453"/>
            <w:bookmarkStart w:id="780" w:name="_Toc4102"/>
            <w:bookmarkStart w:id="781" w:name="_Toc12782"/>
            <w:r>
              <w:rPr>
                <w:rFonts w:ascii="Times New Roman" w:eastAsia="宋体" w:hAnsi="Times New Roman" w:cs="仿宋" w:hint="eastAsia"/>
                <w:color w:val="000000" w:themeColor="text1"/>
                <w:kern w:val="0"/>
              </w:rPr>
              <w:t>每半年一次</w:t>
            </w:r>
            <w:bookmarkEnd w:id="779"/>
            <w:bookmarkEnd w:id="780"/>
            <w:bookmarkEnd w:id="781"/>
          </w:p>
        </w:tc>
        <w:tc>
          <w:tcPr>
            <w:tcW w:w="2252" w:type="dxa"/>
            <w:vMerge w:val="restart"/>
            <w:vAlign w:val="center"/>
          </w:tcPr>
          <w:p w:rsidR="00C861DA" w:rsidRDefault="0044752E">
            <w:pPr>
              <w:keepNext/>
              <w:keepLines/>
              <w:tabs>
                <w:tab w:val="left" w:pos="4860"/>
                <w:tab w:val="left" w:pos="5040"/>
              </w:tabs>
              <w:jc w:val="center"/>
              <w:rPr>
                <w:rFonts w:ascii="Times New Roman" w:eastAsia="宋体" w:hAnsi="Times New Roman" w:cs="仿宋"/>
                <w:color w:val="000000" w:themeColor="text1"/>
                <w:kern w:val="0"/>
              </w:rPr>
            </w:pPr>
            <w:bookmarkStart w:id="782" w:name="_Toc27017"/>
            <w:bookmarkStart w:id="783" w:name="_Toc406"/>
            <w:bookmarkStart w:id="784" w:name="_Toc23733"/>
            <w:r>
              <w:rPr>
                <w:rFonts w:ascii="Times New Roman" w:eastAsia="宋体" w:hAnsi="Times New Roman" w:cs="Times New Roman"/>
                <w:color w:val="000000" w:themeColor="text1"/>
                <w:kern w:val="0"/>
              </w:rPr>
              <w:t>《大气污染物综合排放标准》</w:t>
            </w:r>
            <w:r>
              <w:rPr>
                <w:rFonts w:ascii="Times New Roman" w:eastAsia="宋体" w:hAnsi="Times New Roman" w:cs="Times New Roman" w:hint="eastAsia"/>
                <w:color w:val="000000" w:themeColor="text1"/>
                <w:kern w:val="0"/>
              </w:rPr>
              <w:t>（</w:t>
            </w:r>
            <w:r>
              <w:rPr>
                <w:rFonts w:ascii="Times New Roman" w:eastAsia="宋体" w:hAnsi="Times New Roman" w:cs="Times New Roman"/>
                <w:color w:val="000000" w:themeColor="text1"/>
                <w:kern w:val="0"/>
              </w:rPr>
              <w:t>GB16297-1996</w:t>
            </w:r>
            <w:r>
              <w:rPr>
                <w:rFonts w:ascii="Times New Roman" w:eastAsia="宋体" w:hAnsi="Times New Roman" w:cs="Times New Roman" w:hint="eastAsia"/>
                <w:color w:val="000000" w:themeColor="text1"/>
                <w:kern w:val="0"/>
              </w:rPr>
              <w:t>）</w:t>
            </w:r>
            <w:r>
              <w:rPr>
                <w:rFonts w:ascii="Times New Roman" w:eastAsia="宋体" w:hAnsi="Times New Roman" w:cs="Times New Roman"/>
                <w:color w:val="000000" w:themeColor="text1"/>
                <w:kern w:val="0"/>
              </w:rPr>
              <w:t>表</w:t>
            </w:r>
            <w:r>
              <w:rPr>
                <w:rFonts w:ascii="Times New Roman" w:eastAsia="宋体" w:hAnsi="Times New Roman" w:cs="Times New Roman"/>
                <w:color w:val="000000" w:themeColor="text1"/>
                <w:kern w:val="0"/>
              </w:rPr>
              <w:t>2</w:t>
            </w:r>
            <w:r>
              <w:rPr>
                <w:rFonts w:ascii="Times New Roman" w:eastAsia="宋体" w:hAnsi="Times New Roman" w:cs="Times New Roman"/>
                <w:color w:val="000000" w:themeColor="text1"/>
                <w:kern w:val="0"/>
              </w:rPr>
              <w:t>二级标准</w:t>
            </w:r>
            <w:bookmarkEnd w:id="782"/>
            <w:bookmarkEnd w:id="783"/>
            <w:bookmarkEnd w:id="784"/>
          </w:p>
        </w:tc>
      </w:tr>
      <w:tr w:rsidR="00C861DA">
        <w:trPr>
          <w:trHeight w:val="397"/>
        </w:trPr>
        <w:tc>
          <w:tcPr>
            <w:tcW w:w="675" w:type="dxa"/>
            <w:vMerge/>
            <w:vAlign w:val="center"/>
          </w:tcPr>
          <w:p w:rsidR="00C861DA" w:rsidRDefault="00C861DA">
            <w:pPr>
              <w:keepNext/>
              <w:keepLines/>
              <w:tabs>
                <w:tab w:val="left" w:pos="4860"/>
                <w:tab w:val="left" w:pos="5040"/>
              </w:tabs>
              <w:jc w:val="center"/>
              <w:rPr>
                <w:rFonts w:ascii="Times New Roman" w:eastAsia="宋体" w:hAnsi="Times New Roman" w:cs="仿宋"/>
                <w:color w:val="000000" w:themeColor="text1"/>
                <w:kern w:val="0"/>
              </w:rPr>
            </w:pPr>
          </w:p>
        </w:tc>
        <w:tc>
          <w:tcPr>
            <w:tcW w:w="1447" w:type="dxa"/>
            <w:vMerge w:val="restart"/>
            <w:vAlign w:val="center"/>
          </w:tcPr>
          <w:p w:rsidR="00C861DA" w:rsidRDefault="0044752E">
            <w:pPr>
              <w:keepNext/>
              <w:keepLines/>
              <w:tabs>
                <w:tab w:val="left" w:pos="4860"/>
                <w:tab w:val="left" w:pos="5040"/>
              </w:tabs>
              <w:jc w:val="center"/>
              <w:rPr>
                <w:rFonts w:ascii="Times New Roman" w:eastAsia="宋体" w:hAnsi="Times New Roman" w:cs="仿宋"/>
                <w:color w:val="000000" w:themeColor="text1"/>
                <w:kern w:val="0"/>
              </w:rPr>
            </w:pPr>
            <w:r>
              <w:rPr>
                <w:rFonts w:ascii="Times New Roman" w:eastAsia="宋体" w:hAnsi="Times New Roman" w:cs="仿宋" w:hint="eastAsia"/>
                <w:color w:val="000000" w:themeColor="text1"/>
                <w:kern w:val="0"/>
              </w:rPr>
              <w:t>吸收塔</w:t>
            </w:r>
          </w:p>
        </w:tc>
        <w:tc>
          <w:tcPr>
            <w:tcW w:w="1984" w:type="dxa"/>
            <w:vAlign w:val="center"/>
          </w:tcPr>
          <w:p w:rsidR="00C861DA" w:rsidRDefault="0044752E">
            <w:pPr>
              <w:keepNext/>
              <w:keepLines/>
              <w:tabs>
                <w:tab w:val="left" w:pos="4860"/>
                <w:tab w:val="left" w:pos="5040"/>
              </w:tabs>
              <w:jc w:val="center"/>
              <w:rPr>
                <w:rFonts w:ascii="Times New Roman" w:eastAsia="宋体" w:hAnsi="Times New Roman" w:cs="仿宋"/>
                <w:color w:val="000000" w:themeColor="text1"/>
                <w:kern w:val="0"/>
              </w:rPr>
            </w:pPr>
            <w:bookmarkStart w:id="785" w:name="_Toc11976"/>
            <w:bookmarkStart w:id="786" w:name="_Toc30195"/>
            <w:bookmarkStart w:id="787" w:name="_Toc20189"/>
            <w:r>
              <w:rPr>
                <w:rFonts w:ascii="Times New Roman" w:eastAsia="宋体" w:hAnsi="Times New Roman" w:cs="仿宋" w:hint="eastAsia"/>
                <w:color w:val="000000" w:themeColor="text1"/>
                <w:kern w:val="0"/>
              </w:rPr>
              <w:t>废气量</w:t>
            </w:r>
            <w:bookmarkEnd w:id="785"/>
            <w:bookmarkEnd w:id="786"/>
            <w:bookmarkEnd w:id="787"/>
          </w:p>
        </w:tc>
        <w:tc>
          <w:tcPr>
            <w:tcW w:w="2164" w:type="dxa"/>
            <w:vAlign w:val="center"/>
          </w:tcPr>
          <w:p w:rsidR="00C861DA" w:rsidRDefault="0044752E">
            <w:pPr>
              <w:keepNext/>
              <w:keepLines/>
              <w:tabs>
                <w:tab w:val="left" w:pos="4860"/>
                <w:tab w:val="left" w:pos="5040"/>
              </w:tabs>
              <w:jc w:val="center"/>
              <w:rPr>
                <w:rFonts w:ascii="Times New Roman" w:eastAsia="宋体" w:hAnsi="Times New Roman" w:cs="仿宋"/>
                <w:color w:val="000000" w:themeColor="text1"/>
                <w:kern w:val="0"/>
              </w:rPr>
            </w:pPr>
            <w:r>
              <w:rPr>
                <w:rFonts w:ascii="Times New Roman" w:eastAsia="宋体" w:hAnsi="Times New Roman" w:cs="仿宋" w:hint="eastAsia"/>
                <w:color w:val="000000" w:themeColor="text1"/>
                <w:kern w:val="0"/>
              </w:rPr>
              <w:t>自动监测</w:t>
            </w:r>
          </w:p>
        </w:tc>
        <w:tc>
          <w:tcPr>
            <w:tcW w:w="2252" w:type="dxa"/>
            <w:vMerge/>
            <w:vAlign w:val="center"/>
          </w:tcPr>
          <w:p w:rsidR="00C861DA" w:rsidRDefault="00C861DA">
            <w:pPr>
              <w:keepNext/>
              <w:keepLines/>
              <w:tabs>
                <w:tab w:val="left" w:pos="4860"/>
                <w:tab w:val="left" w:pos="5040"/>
              </w:tabs>
              <w:jc w:val="center"/>
              <w:rPr>
                <w:rFonts w:ascii="Times New Roman" w:eastAsia="宋体" w:hAnsi="Times New Roman" w:cs="仿宋"/>
                <w:color w:val="000000" w:themeColor="text1"/>
                <w:kern w:val="0"/>
              </w:rPr>
            </w:pPr>
          </w:p>
        </w:tc>
      </w:tr>
      <w:tr w:rsidR="00C861DA">
        <w:trPr>
          <w:trHeight w:val="397"/>
        </w:trPr>
        <w:tc>
          <w:tcPr>
            <w:tcW w:w="675" w:type="dxa"/>
            <w:vMerge/>
            <w:vAlign w:val="center"/>
          </w:tcPr>
          <w:p w:rsidR="00C861DA" w:rsidRDefault="00C861DA">
            <w:pPr>
              <w:keepNext/>
              <w:keepLines/>
              <w:tabs>
                <w:tab w:val="left" w:pos="4860"/>
                <w:tab w:val="left" w:pos="5040"/>
              </w:tabs>
              <w:jc w:val="center"/>
              <w:rPr>
                <w:rFonts w:ascii="Times New Roman" w:eastAsia="宋体" w:hAnsi="Times New Roman" w:cs="仿宋"/>
                <w:color w:val="000000" w:themeColor="text1"/>
                <w:kern w:val="0"/>
              </w:rPr>
            </w:pPr>
          </w:p>
        </w:tc>
        <w:tc>
          <w:tcPr>
            <w:tcW w:w="1447" w:type="dxa"/>
            <w:vMerge/>
            <w:vAlign w:val="center"/>
          </w:tcPr>
          <w:p w:rsidR="00C861DA" w:rsidRDefault="00C861DA">
            <w:pPr>
              <w:keepNext/>
              <w:keepLines/>
              <w:tabs>
                <w:tab w:val="left" w:pos="4860"/>
                <w:tab w:val="left" w:pos="5040"/>
              </w:tabs>
              <w:jc w:val="center"/>
              <w:rPr>
                <w:rFonts w:ascii="Times New Roman" w:eastAsia="宋体" w:hAnsi="Times New Roman" w:cs="仿宋"/>
                <w:color w:val="000000" w:themeColor="text1"/>
                <w:kern w:val="0"/>
              </w:rPr>
            </w:pPr>
          </w:p>
        </w:tc>
        <w:tc>
          <w:tcPr>
            <w:tcW w:w="1984" w:type="dxa"/>
            <w:vAlign w:val="center"/>
          </w:tcPr>
          <w:p w:rsidR="00C861DA" w:rsidRDefault="0044752E">
            <w:pPr>
              <w:keepNext/>
              <w:keepLines/>
              <w:tabs>
                <w:tab w:val="left" w:pos="4860"/>
                <w:tab w:val="left" w:pos="5040"/>
              </w:tabs>
              <w:jc w:val="center"/>
              <w:rPr>
                <w:rFonts w:ascii="Times New Roman" w:eastAsia="宋体" w:hAnsi="Times New Roman" w:cs="仿宋"/>
                <w:color w:val="000000" w:themeColor="text1"/>
                <w:kern w:val="0"/>
              </w:rPr>
            </w:pPr>
            <w:r>
              <w:rPr>
                <w:rFonts w:ascii="Times New Roman" w:eastAsia="宋体" w:hAnsi="Times New Roman" w:cs="仿宋" w:hint="eastAsia"/>
                <w:color w:val="000000" w:themeColor="text1"/>
                <w:kern w:val="0"/>
              </w:rPr>
              <w:t>氨</w:t>
            </w:r>
          </w:p>
        </w:tc>
        <w:tc>
          <w:tcPr>
            <w:tcW w:w="2164" w:type="dxa"/>
            <w:vAlign w:val="center"/>
          </w:tcPr>
          <w:p w:rsidR="00C861DA" w:rsidRDefault="0044752E">
            <w:pPr>
              <w:keepNext/>
              <w:keepLines/>
              <w:tabs>
                <w:tab w:val="left" w:pos="4860"/>
                <w:tab w:val="left" w:pos="5040"/>
              </w:tabs>
              <w:jc w:val="center"/>
              <w:rPr>
                <w:rFonts w:ascii="Times New Roman" w:eastAsia="宋体" w:hAnsi="Times New Roman" w:cs="仿宋"/>
                <w:color w:val="000000" w:themeColor="text1"/>
                <w:kern w:val="0"/>
              </w:rPr>
            </w:pPr>
            <w:bookmarkStart w:id="788" w:name="_Toc31031"/>
            <w:bookmarkStart w:id="789" w:name="_Toc25369"/>
            <w:bookmarkStart w:id="790" w:name="_Toc31444"/>
            <w:r>
              <w:rPr>
                <w:rFonts w:ascii="Times New Roman" w:eastAsia="宋体" w:hAnsi="Times New Roman" w:cs="仿宋" w:hint="eastAsia"/>
                <w:color w:val="000000" w:themeColor="text1"/>
                <w:kern w:val="0"/>
              </w:rPr>
              <w:t>每月一次</w:t>
            </w:r>
            <w:bookmarkEnd w:id="788"/>
            <w:bookmarkEnd w:id="789"/>
            <w:bookmarkEnd w:id="790"/>
          </w:p>
        </w:tc>
        <w:tc>
          <w:tcPr>
            <w:tcW w:w="2252" w:type="dxa"/>
            <w:vMerge/>
            <w:vAlign w:val="center"/>
          </w:tcPr>
          <w:p w:rsidR="00C861DA" w:rsidRDefault="00C861DA">
            <w:pPr>
              <w:keepNext/>
              <w:keepLines/>
              <w:tabs>
                <w:tab w:val="left" w:pos="4860"/>
                <w:tab w:val="left" w:pos="5040"/>
              </w:tabs>
              <w:jc w:val="center"/>
              <w:rPr>
                <w:rFonts w:ascii="Times New Roman" w:eastAsia="宋体" w:hAnsi="Times New Roman" w:cs="仿宋"/>
                <w:color w:val="000000" w:themeColor="text1"/>
                <w:kern w:val="0"/>
              </w:rPr>
            </w:pPr>
          </w:p>
        </w:tc>
      </w:tr>
      <w:tr w:rsidR="00C861DA">
        <w:trPr>
          <w:trHeight w:val="397"/>
        </w:trPr>
        <w:tc>
          <w:tcPr>
            <w:tcW w:w="675" w:type="dxa"/>
            <w:vAlign w:val="center"/>
          </w:tcPr>
          <w:p w:rsidR="00C861DA" w:rsidRDefault="0044752E">
            <w:pPr>
              <w:keepNext/>
              <w:keepLines/>
              <w:tabs>
                <w:tab w:val="left" w:pos="4860"/>
                <w:tab w:val="left" w:pos="5040"/>
              </w:tabs>
              <w:jc w:val="center"/>
              <w:rPr>
                <w:rFonts w:ascii="Times New Roman" w:eastAsia="宋体" w:hAnsi="Times New Roman" w:cs="仿宋"/>
                <w:bCs/>
                <w:color w:val="000000" w:themeColor="text1"/>
                <w:kern w:val="0"/>
              </w:rPr>
            </w:pPr>
            <w:bookmarkStart w:id="791" w:name="_Toc481"/>
            <w:bookmarkStart w:id="792" w:name="_Toc14507"/>
            <w:bookmarkStart w:id="793" w:name="_Toc16767"/>
            <w:r>
              <w:rPr>
                <w:rFonts w:ascii="Times New Roman" w:eastAsia="宋体" w:hAnsi="Times New Roman" w:cs="仿宋" w:hint="eastAsia"/>
                <w:bCs/>
                <w:color w:val="000000" w:themeColor="text1"/>
                <w:kern w:val="0"/>
              </w:rPr>
              <w:t>噪声</w:t>
            </w:r>
            <w:bookmarkEnd w:id="791"/>
            <w:bookmarkEnd w:id="792"/>
            <w:bookmarkEnd w:id="793"/>
          </w:p>
        </w:tc>
        <w:tc>
          <w:tcPr>
            <w:tcW w:w="1447" w:type="dxa"/>
            <w:vAlign w:val="center"/>
          </w:tcPr>
          <w:p w:rsidR="00C861DA" w:rsidRDefault="0044752E">
            <w:pPr>
              <w:keepNext/>
              <w:keepLines/>
              <w:tabs>
                <w:tab w:val="left" w:pos="4860"/>
                <w:tab w:val="left" w:pos="5040"/>
              </w:tabs>
              <w:jc w:val="center"/>
              <w:rPr>
                <w:rFonts w:ascii="Times New Roman" w:eastAsia="宋体" w:hAnsi="Times New Roman" w:cs="仿宋"/>
                <w:bCs/>
                <w:color w:val="000000" w:themeColor="text1"/>
                <w:kern w:val="0"/>
              </w:rPr>
            </w:pPr>
            <w:bookmarkStart w:id="794" w:name="_Toc6646"/>
            <w:bookmarkStart w:id="795" w:name="_Toc14898"/>
            <w:bookmarkStart w:id="796" w:name="_Toc12255"/>
            <w:r>
              <w:rPr>
                <w:rFonts w:ascii="Times New Roman" w:eastAsia="宋体" w:hAnsi="Times New Roman" w:cs="仿宋" w:hint="eastAsia"/>
                <w:bCs/>
                <w:color w:val="000000" w:themeColor="text1"/>
                <w:kern w:val="0"/>
              </w:rPr>
              <w:t>四周厂界噪声</w:t>
            </w:r>
            <w:bookmarkEnd w:id="794"/>
            <w:bookmarkEnd w:id="795"/>
            <w:bookmarkEnd w:id="796"/>
          </w:p>
        </w:tc>
        <w:tc>
          <w:tcPr>
            <w:tcW w:w="1984" w:type="dxa"/>
            <w:vAlign w:val="center"/>
          </w:tcPr>
          <w:p w:rsidR="00C861DA" w:rsidRDefault="0044752E">
            <w:pPr>
              <w:keepNext/>
              <w:keepLines/>
              <w:tabs>
                <w:tab w:val="left" w:pos="4860"/>
                <w:tab w:val="left" w:pos="5040"/>
              </w:tabs>
              <w:jc w:val="center"/>
              <w:rPr>
                <w:rFonts w:ascii="Times New Roman" w:eastAsia="宋体" w:hAnsi="Times New Roman" w:cs="仿宋"/>
                <w:bCs/>
                <w:color w:val="000000" w:themeColor="text1"/>
                <w:kern w:val="0"/>
              </w:rPr>
            </w:pPr>
            <w:bookmarkStart w:id="797" w:name="_Toc23661"/>
            <w:bookmarkStart w:id="798" w:name="_Toc9668"/>
            <w:bookmarkStart w:id="799" w:name="_Toc29415"/>
            <w:r>
              <w:rPr>
                <w:rFonts w:ascii="Times New Roman" w:eastAsia="宋体" w:hAnsi="Times New Roman" w:cs="仿宋" w:hint="eastAsia"/>
                <w:bCs/>
                <w:color w:val="000000" w:themeColor="text1"/>
                <w:kern w:val="0"/>
              </w:rPr>
              <w:t>Leq</w:t>
            </w:r>
            <w:bookmarkEnd w:id="797"/>
            <w:bookmarkEnd w:id="798"/>
            <w:bookmarkEnd w:id="799"/>
          </w:p>
        </w:tc>
        <w:tc>
          <w:tcPr>
            <w:tcW w:w="2164" w:type="dxa"/>
            <w:vAlign w:val="center"/>
          </w:tcPr>
          <w:p w:rsidR="00C861DA" w:rsidRDefault="0044752E">
            <w:pPr>
              <w:keepNext/>
              <w:keepLines/>
              <w:tabs>
                <w:tab w:val="left" w:pos="4860"/>
                <w:tab w:val="left" w:pos="5040"/>
              </w:tabs>
              <w:jc w:val="center"/>
              <w:rPr>
                <w:rFonts w:ascii="Times New Roman" w:eastAsia="宋体" w:hAnsi="Times New Roman" w:cs="仿宋"/>
                <w:bCs/>
                <w:color w:val="000000" w:themeColor="text1"/>
                <w:kern w:val="0"/>
              </w:rPr>
            </w:pPr>
            <w:bookmarkStart w:id="800" w:name="_Toc30416"/>
            <w:bookmarkStart w:id="801" w:name="_Toc13581"/>
            <w:bookmarkStart w:id="802" w:name="_Toc23037"/>
            <w:r>
              <w:rPr>
                <w:rFonts w:ascii="Times New Roman" w:eastAsia="宋体" w:hAnsi="Times New Roman" w:cs="仿宋" w:hint="eastAsia"/>
                <w:bCs/>
                <w:color w:val="000000" w:themeColor="text1"/>
                <w:kern w:val="0"/>
              </w:rPr>
              <w:t>每季度一次</w:t>
            </w:r>
            <w:bookmarkEnd w:id="800"/>
            <w:bookmarkEnd w:id="801"/>
            <w:bookmarkEnd w:id="802"/>
          </w:p>
        </w:tc>
        <w:tc>
          <w:tcPr>
            <w:tcW w:w="2252" w:type="dxa"/>
            <w:vAlign w:val="center"/>
          </w:tcPr>
          <w:p w:rsidR="00C861DA" w:rsidRDefault="0044752E">
            <w:pPr>
              <w:pStyle w:val="TableParagraph"/>
              <w:spacing w:before="42"/>
              <w:jc w:val="center"/>
              <w:rPr>
                <w:rFonts w:hAnsi="Times New Roman" w:cs="宋体"/>
                <w:color w:val="000000" w:themeColor="text1"/>
                <w:kern w:val="0"/>
              </w:rPr>
            </w:pPr>
            <w:r>
              <w:rPr>
                <w:rFonts w:hAnsi="Times New Roman" w:cs="宋体"/>
                <w:color w:val="000000" w:themeColor="text1"/>
                <w:kern w:val="0"/>
              </w:rPr>
              <w:t>《工业企业厂界环境噪声</w:t>
            </w:r>
            <w:r>
              <w:rPr>
                <w:rFonts w:hAnsi="Times New Roman" w:cs="宋体"/>
                <w:color w:val="000000" w:themeColor="text1"/>
                <w:kern w:val="0"/>
              </w:rPr>
              <w:t xml:space="preserve"> </w:t>
            </w:r>
            <w:r>
              <w:rPr>
                <w:rFonts w:hAnsi="Times New Roman" w:cs="宋体"/>
                <w:color w:val="000000" w:themeColor="text1"/>
                <w:kern w:val="0"/>
              </w:rPr>
              <w:t>排放标准》</w:t>
            </w:r>
          </w:p>
          <w:p w:rsidR="00C861DA" w:rsidRDefault="0044752E">
            <w:pPr>
              <w:pStyle w:val="TableParagraph"/>
              <w:spacing w:before="20"/>
              <w:jc w:val="center"/>
              <w:rPr>
                <w:rFonts w:hAnsi="Times New Roman" w:cs="仿宋"/>
                <w:bCs/>
                <w:color w:val="000000" w:themeColor="text1"/>
                <w:kern w:val="0"/>
              </w:rPr>
            </w:pPr>
            <w:r>
              <w:rPr>
                <w:rFonts w:hAnsi="Times New Roman" w:cs="Times New Roman"/>
                <w:color w:val="000000" w:themeColor="text1"/>
                <w:kern w:val="0"/>
              </w:rPr>
              <w:t xml:space="preserve">(GB12348-2008)3 </w:t>
            </w:r>
            <w:r>
              <w:rPr>
                <w:rFonts w:hAnsi="Times New Roman" w:cs="宋体"/>
                <w:color w:val="000000" w:themeColor="text1"/>
                <w:kern w:val="0"/>
              </w:rPr>
              <w:t>类</w:t>
            </w:r>
          </w:p>
        </w:tc>
      </w:tr>
      <w:tr w:rsidR="00C861DA">
        <w:trPr>
          <w:trHeight w:val="397"/>
        </w:trPr>
        <w:tc>
          <w:tcPr>
            <w:tcW w:w="675" w:type="dxa"/>
            <w:vAlign w:val="center"/>
          </w:tcPr>
          <w:p w:rsidR="00C861DA" w:rsidRDefault="0044752E">
            <w:pPr>
              <w:pStyle w:val="TableParagraph"/>
              <w:jc w:val="left"/>
              <w:rPr>
                <w:rFonts w:hAnsi="Times New Roman" w:cs="宋体"/>
                <w:color w:val="000000" w:themeColor="text1"/>
                <w:kern w:val="0"/>
              </w:rPr>
            </w:pPr>
            <w:r>
              <w:rPr>
                <w:rFonts w:hAnsi="Times New Roman" w:cs="宋体"/>
                <w:color w:val="000000" w:themeColor="text1"/>
                <w:kern w:val="0"/>
              </w:rPr>
              <w:t>地下</w:t>
            </w:r>
            <w:r>
              <w:rPr>
                <w:rFonts w:hAnsi="Times New Roman" w:cs="宋体"/>
                <w:color w:val="000000" w:themeColor="text1"/>
                <w:kern w:val="0"/>
              </w:rPr>
              <w:t xml:space="preserve"> </w:t>
            </w:r>
            <w:r>
              <w:rPr>
                <w:rFonts w:hAnsi="Times New Roman" w:cs="宋体"/>
                <w:color w:val="000000" w:themeColor="text1"/>
                <w:kern w:val="0"/>
              </w:rPr>
              <w:t>水环</w:t>
            </w:r>
            <w:r>
              <w:rPr>
                <w:rFonts w:hAnsi="Times New Roman" w:cs="宋体"/>
                <w:color w:val="000000" w:themeColor="text1"/>
                <w:kern w:val="0"/>
              </w:rPr>
              <w:t xml:space="preserve"> </w:t>
            </w:r>
            <w:r>
              <w:rPr>
                <w:rFonts w:hAnsi="Times New Roman" w:cs="宋体"/>
                <w:color w:val="000000" w:themeColor="text1"/>
                <w:kern w:val="0"/>
              </w:rPr>
              <w:t>境</w:t>
            </w:r>
          </w:p>
        </w:tc>
        <w:tc>
          <w:tcPr>
            <w:tcW w:w="1447" w:type="dxa"/>
            <w:vAlign w:val="center"/>
          </w:tcPr>
          <w:p w:rsidR="00C861DA" w:rsidRDefault="0044752E">
            <w:pPr>
              <w:pStyle w:val="TableParagraph"/>
              <w:jc w:val="center"/>
              <w:rPr>
                <w:rFonts w:hAnsi="Times New Roman" w:cs="宋体"/>
                <w:color w:val="000000" w:themeColor="text1"/>
                <w:kern w:val="0"/>
              </w:rPr>
            </w:pPr>
            <w:r>
              <w:rPr>
                <w:rFonts w:hAnsi="Times New Roman" w:cs="宋体"/>
                <w:color w:val="000000" w:themeColor="text1"/>
                <w:kern w:val="0"/>
              </w:rPr>
              <w:t>厂区内监控井</w:t>
            </w:r>
          </w:p>
        </w:tc>
        <w:tc>
          <w:tcPr>
            <w:tcW w:w="1984" w:type="dxa"/>
            <w:vAlign w:val="center"/>
          </w:tcPr>
          <w:p w:rsidR="00C861DA" w:rsidRDefault="0044752E">
            <w:pPr>
              <w:pStyle w:val="TableParagraph"/>
              <w:jc w:val="left"/>
              <w:rPr>
                <w:rFonts w:hAnsi="Times New Roman" w:cs="宋体"/>
                <w:color w:val="000000" w:themeColor="text1"/>
                <w:kern w:val="0"/>
              </w:rPr>
            </w:pPr>
            <w:r>
              <w:rPr>
                <w:rFonts w:hAnsi="Times New Roman" w:cs="Times New Roman"/>
                <w:color w:val="000000" w:themeColor="text1"/>
                <w:kern w:val="0"/>
              </w:rPr>
              <w:t>pH</w:t>
            </w:r>
            <w:r>
              <w:rPr>
                <w:rFonts w:hAnsi="Times New Roman" w:cs="宋体"/>
                <w:color w:val="000000" w:themeColor="text1"/>
                <w:kern w:val="0"/>
              </w:rPr>
              <w:t>、高锰酸盐指数、硝酸盐、亚硝酸盐、氨氮、铜、锌、镉、铁、镍、磷酸盐、氟化物</w:t>
            </w:r>
            <w:r>
              <w:rPr>
                <w:rFonts w:hAnsi="Times New Roman" w:cs="宋体" w:hint="eastAsia"/>
                <w:color w:val="000000" w:themeColor="text1"/>
                <w:kern w:val="0"/>
              </w:rPr>
              <w:t>、氨</w:t>
            </w:r>
          </w:p>
        </w:tc>
        <w:tc>
          <w:tcPr>
            <w:tcW w:w="2164" w:type="dxa"/>
            <w:vAlign w:val="center"/>
          </w:tcPr>
          <w:p w:rsidR="00C861DA" w:rsidRDefault="0044752E">
            <w:pPr>
              <w:pStyle w:val="TableParagraph"/>
              <w:jc w:val="center"/>
              <w:rPr>
                <w:rFonts w:hAnsi="Times New Roman" w:cs="宋体"/>
                <w:color w:val="000000" w:themeColor="text1"/>
                <w:kern w:val="0"/>
              </w:rPr>
            </w:pPr>
            <w:r>
              <w:rPr>
                <w:rFonts w:hAnsi="Times New Roman" w:cs="仿宋" w:hint="eastAsia"/>
                <w:color w:val="000000" w:themeColor="text1"/>
                <w:kern w:val="0"/>
              </w:rPr>
              <w:t>每半年一次</w:t>
            </w:r>
          </w:p>
        </w:tc>
        <w:tc>
          <w:tcPr>
            <w:tcW w:w="2252" w:type="dxa"/>
            <w:vAlign w:val="center"/>
          </w:tcPr>
          <w:p w:rsidR="00C861DA" w:rsidRDefault="0044752E">
            <w:pPr>
              <w:pStyle w:val="TableParagraph"/>
              <w:jc w:val="left"/>
              <w:rPr>
                <w:rFonts w:hAnsi="Times New Roman" w:cs="宋体"/>
                <w:color w:val="000000" w:themeColor="text1"/>
                <w:kern w:val="0"/>
              </w:rPr>
            </w:pPr>
            <w:r>
              <w:rPr>
                <w:rFonts w:hAnsi="Times New Roman" w:cs="宋体"/>
                <w:color w:val="000000" w:themeColor="text1"/>
                <w:kern w:val="0"/>
              </w:rPr>
              <w:t>《地下水质量标准》</w:t>
            </w:r>
          </w:p>
          <w:p w:rsidR="00C861DA" w:rsidRDefault="0044752E">
            <w:pPr>
              <w:pStyle w:val="TableParagraph"/>
              <w:jc w:val="left"/>
              <w:rPr>
                <w:rFonts w:hAnsi="Times New Roman" w:cs="宋体"/>
                <w:color w:val="000000" w:themeColor="text1"/>
                <w:kern w:val="0"/>
              </w:rPr>
            </w:pPr>
            <w:r>
              <w:rPr>
                <w:rFonts w:hAnsi="Times New Roman" w:cs="宋体"/>
                <w:color w:val="000000" w:themeColor="text1"/>
                <w:kern w:val="0"/>
              </w:rPr>
              <w:t>（</w:t>
            </w:r>
            <w:r>
              <w:rPr>
                <w:rFonts w:hAnsi="Times New Roman" w:cs="宋体"/>
                <w:color w:val="000000" w:themeColor="text1"/>
                <w:kern w:val="0"/>
              </w:rPr>
              <w:t>GB/T14848-2017</w:t>
            </w:r>
            <w:r>
              <w:rPr>
                <w:rFonts w:hAnsi="Times New Roman" w:cs="宋体"/>
                <w:color w:val="000000" w:themeColor="text1"/>
                <w:kern w:val="0"/>
              </w:rPr>
              <w:t>）</w:t>
            </w:r>
            <w:r>
              <w:rPr>
                <w:rFonts w:ascii="宋体" w:hAnsi="宋体" w:cs="宋体" w:hint="eastAsia"/>
                <w:color w:val="000000" w:themeColor="text1"/>
                <w:kern w:val="0"/>
              </w:rPr>
              <w:t>Ⅲ</w:t>
            </w:r>
            <w:r>
              <w:rPr>
                <w:rFonts w:hAnsi="Times New Roman" w:cs="宋体"/>
                <w:color w:val="000000" w:themeColor="text1"/>
                <w:kern w:val="0"/>
              </w:rPr>
              <w:t>类</w:t>
            </w:r>
          </w:p>
        </w:tc>
      </w:tr>
      <w:tr w:rsidR="00C861DA">
        <w:trPr>
          <w:trHeight w:val="397"/>
        </w:trPr>
        <w:tc>
          <w:tcPr>
            <w:tcW w:w="675" w:type="dxa"/>
            <w:vAlign w:val="center"/>
          </w:tcPr>
          <w:p w:rsidR="00C861DA" w:rsidRDefault="0044752E">
            <w:pPr>
              <w:pStyle w:val="TableParagraph"/>
              <w:jc w:val="left"/>
              <w:rPr>
                <w:rFonts w:hAnsi="Times New Roman" w:cs="宋体"/>
                <w:color w:val="000000" w:themeColor="text1"/>
                <w:kern w:val="0"/>
              </w:rPr>
            </w:pPr>
            <w:r>
              <w:rPr>
                <w:rFonts w:hAnsi="Times New Roman" w:cs="宋体"/>
                <w:color w:val="000000" w:themeColor="text1"/>
                <w:kern w:val="0"/>
              </w:rPr>
              <w:t>土壤</w:t>
            </w:r>
          </w:p>
        </w:tc>
        <w:tc>
          <w:tcPr>
            <w:tcW w:w="1447" w:type="dxa"/>
            <w:vAlign w:val="center"/>
          </w:tcPr>
          <w:p w:rsidR="00C861DA" w:rsidRDefault="0044752E">
            <w:pPr>
              <w:pStyle w:val="TableParagraph"/>
              <w:jc w:val="left"/>
              <w:rPr>
                <w:rFonts w:hAnsi="Times New Roman" w:cs="宋体"/>
                <w:color w:val="000000" w:themeColor="text1"/>
                <w:kern w:val="0"/>
              </w:rPr>
            </w:pPr>
            <w:r>
              <w:rPr>
                <w:rFonts w:hAnsi="Times New Roman" w:cs="宋体"/>
                <w:color w:val="000000" w:themeColor="text1"/>
                <w:kern w:val="0"/>
              </w:rPr>
              <w:t>厂区绿地</w:t>
            </w:r>
          </w:p>
        </w:tc>
        <w:tc>
          <w:tcPr>
            <w:tcW w:w="1984" w:type="dxa"/>
            <w:vAlign w:val="center"/>
          </w:tcPr>
          <w:p w:rsidR="00C861DA" w:rsidRDefault="0044752E">
            <w:pPr>
              <w:pStyle w:val="TableParagraph"/>
              <w:jc w:val="left"/>
              <w:rPr>
                <w:rFonts w:hAnsi="Times New Roman" w:cs="宋体"/>
                <w:color w:val="000000" w:themeColor="text1"/>
                <w:kern w:val="0"/>
              </w:rPr>
            </w:pPr>
            <w:r>
              <w:rPr>
                <w:rFonts w:hAnsi="Times New Roman" w:cs="宋体"/>
                <w:color w:val="000000" w:themeColor="text1"/>
                <w:kern w:val="0"/>
              </w:rPr>
              <w:t>pH</w:t>
            </w:r>
            <w:r>
              <w:rPr>
                <w:rFonts w:hAnsi="Times New Roman" w:cs="宋体"/>
                <w:color w:val="000000" w:themeColor="text1"/>
                <w:kern w:val="0"/>
              </w:rPr>
              <w:t>、</w:t>
            </w:r>
            <w:r>
              <w:rPr>
                <w:rFonts w:hAnsi="Times New Roman" w:cs="宋体" w:hint="eastAsia"/>
                <w:color w:val="000000" w:themeColor="text1"/>
                <w:kern w:val="0"/>
              </w:rPr>
              <w:t>氟化物、石油类</w:t>
            </w:r>
          </w:p>
        </w:tc>
        <w:tc>
          <w:tcPr>
            <w:tcW w:w="2164" w:type="dxa"/>
            <w:vAlign w:val="center"/>
          </w:tcPr>
          <w:p w:rsidR="00C861DA" w:rsidRDefault="0044752E">
            <w:pPr>
              <w:pStyle w:val="TableParagraph"/>
              <w:jc w:val="center"/>
              <w:rPr>
                <w:rFonts w:hAnsi="Times New Roman" w:cs="宋体"/>
                <w:color w:val="000000" w:themeColor="text1"/>
                <w:kern w:val="0"/>
              </w:rPr>
            </w:pPr>
            <w:r>
              <w:rPr>
                <w:rFonts w:hAnsi="Times New Roman" w:cs="宋体"/>
                <w:color w:val="000000" w:themeColor="text1"/>
                <w:kern w:val="0"/>
              </w:rPr>
              <w:t>两年</w:t>
            </w:r>
            <w:r>
              <w:rPr>
                <w:rFonts w:hAnsi="Times New Roman" w:cs="仿宋" w:hint="eastAsia"/>
                <w:color w:val="000000" w:themeColor="text1"/>
                <w:kern w:val="0"/>
              </w:rPr>
              <w:t>一次</w:t>
            </w:r>
          </w:p>
        </w:tc>
        <w:tc>
          <w:tcPr>
            <w:tcW w:w="2252" w:type="dxa"/>
            <w:vAlign w:val="center"/>
          </w:tcPr>
          <w:p w:rsidR="00C861DA" w:rsidRDefault="0044752E">
            <w:pPr>
              <w:pStyle w:val="TableParagraph"/>
              <w:jc w:val="left"/>
              <w:rPr>
                <w:rFonts w:hAnsi="Times New Roman" w:cs="宋体"/>
                <w:color w:val="000000" w:themeColor="text1"/>
                <w:kern w:val="0"/>
              </w:rPr>
            </w:pPr>
            <w:r>
              <w:rPr>
                <w:rFonts w:hAnsi="Times New Roman" w:cs="宋体" w:hint="eastAsia"/>
                <w:color w:val="000000" w:themeColor="text1"/>
                <w:kern w:val="0"/>
              </w:rPr>
              <w:t>《土壤环境质量</w:t>
            </w:r>
            <w:r>
              <w:rPr>
                <w:rFonts w:hAnsi="Times New Roman" w:cs="宋体" w:hint="eastAsia"/>
                <w:color w:val="000000" w:themeColor="text1"/>
                <w:kern w:val="0"/>
              </w:rPr>
              <w:t xml:space="preserve"> </w:t>
            </w:r>
            <w:r>
              <w:rPr>
                <w:rFonts w:hAnsi="Times New Roman" w:cs="宋体" w:hint="eastAsia"/>
                <w:color w:val="000000" w:themeColor="text1"/>
                <w:kern w:val="0"/>
              </w:rPr>
              <w:t>建设用地土壤污染风险管控标准（试行）》（</w:t>
            </w:r>
            <w:r>
              <w:rPr>
                <w:rFonts w:hAnsi="Times New Roman" w:cs="宋体" w:hint="eastAsia"/>
                <w:color w:val="000000" w:themeColor="text1"/>
                <w:kern w:val="0"/>
              </w:rPr>
              <w:t>GB36600-2018</w:t>
            </w:r>
            <w:r>
              <w:rPr>
                <w:rFonts w:hAnsi="Times New Roman" w:cs="宋体" w:hint="eastAsia"/>
                <w:color w:val="000000" w:themeColor="text1"/>
                <w:kern w:val="0"/>
              </w:rPr>
              <w:t>）</w:t>
            </w:r>
          </w:p>
        </w:tc>
      </w:tr>
      <w:tr w:rsidR="00C861DA">
        <w:trPr>
          <w:trHeight w:val="397"/>
        </w:trPr>
        <w:tc>
          <w:tcPr>
            <w:tcW w:w="675" w:type="dxa"/>
            <w:vAlign w:val="center"/>
          </w:tcPr>
          <w:p w:rsidR="00C861DA" w:rsidRDefault="0044752E">
            <w:pPr>
              <w:keepNext/>
              <w:keepLines/>
              <w:tabs>
                <w:tab w:val="left" w:pos="4860"/>
                <w:tab w:val="left" w:pos="5040"/>
              </w:tabs>
              <w:jc w:val="center"/>
              <w:rPr>
                <w:rFonts w:ascii="Times New Roman" w:eastAsia="宋体" w:hAnsi="Times New Roman" w:cs="仿宋"/>
                <w:bCs/>
                <w:color w:val="000000" w:themeColor="text1"/>
                <w:kern w:val="0"/>
              </w:rPr>
            </w:pPr>
            <w:bookmarkStart w:id="803" w:name="_Toc15972"/>
            <w:bookmarkStart w:id="804" w:name="_Toc15406"/>
            <w:bookmarkStart w:id="805" w:name="_Toc22829"/>
            <w:r>
              <w:rPr>
                <w:rFonts w:ascii="Times New Roman" w:eastAsia="宋体" w:hAnsi="Times New Roman" w:cs="仿宋" w:hint="eastAsia"/>
                <w:bCs/>
                <w:color w:val="000000" w:themeColor="text1"/>
                <w:kern w:val="0"/>
              </w:rPr>
              <w:t>应急报告</w:t>
            </w:r>
            <w:bookmarkEnd w:id="803"/>
            <w:bookmarkEnd w:id="804"/>
            <w:bookmarkEnd w:id="805"/>
          </w:p>
        </w:tc>
        <w:tc>
          <w:tcPr>
            <w:tcW w:w="7847" w:type="dxa"/>
            <w:gridSpan w:val="4"/>
            <w:vAlign w:val="center"/>
          </w:tcPr>
          <w:p w:rsidR="00C861DA" w:rsidRDefault="0044752E">
            <w:pPr>
              <w:keepNext/>
              <w:keepLines/>
              <w:tabs>
                <w:tab w:val="left" w:pos="4860"/>
                <w:tab w:val="left" w:pos="5040"/>
              </w:tabs>
              <w:ind w:firstLineChars="200" w:firstLine="420"/>
              <w:rPr>
                <w:rFonts w:ascii="Times New Roman" w:eastAsia="宋体" w:hAnsi="Times New Roman" w:cs="仿宋"/>
                <w:bCs/>
                <w:color w:val="000000" w:themeColor="text1"/>
                <w:kern w:val="0"/>
              </w:rPr>
            </w:pPr>
            <w:bookmarkStart w:id="806" w:name="_Toc19348"/>
            <w:bookmarkStart w:id="807" w:name="_Toc18"/>
            <w:bookmarkStart w:id="808" w:name="_Toc28148"/>
            <w:r>
              <w:rPr>
                <w:rFonts w:ascii="Times New Roman" w:eastAsia="宋体" w:hAnsi="Times New Roman" w:cs="仿宋" w:hint="eastAsia"/>
                <w:bCs/>
                <w:color w:val="000000" w:themeColor="text1"/>
                <w:kern w:val="0"/>
              </w:rPr>
              <w:t>监测结果出现超标的，排污单位应加密监测，并检查超标原因。短期内无法实现稳定达标排放的，应向环境保护主管部门提交事故分析报告，说明事故发生的原因，采取减轻或防止污染的措施，以及今后的预防及改进措施等；若因发生事故或者其他突发事件，应当立即采取措施消除危害，并及时向排水主管部门和环境保护主管部门等有关部门报告。</w:t>
            </w:r>
            <w:bookmarkEnd w:id="806"/>
            <w:bookmarkEnd w:id="807"/>
            <w:bookmarkEnd w:id="808"/>
          </w:p>
        </w:tc>
      </w:tr>
    </w:tbl>
    <w:bookmarkStart w:id="809" w:name="_Toc13009"/>
    <w:bookmarkStart w:id="810" w:name="_Toc3709"/>
    <w:bookmarkStart w:id="811" w:name="_Toc21725"/>
    <w:bookmarkStart w:id="812" w:name="_Toc2293"/>
    <w:p w:rsidR="00C861DA" w:rsidRDefault="0044752E">
      <w:pPr>
        <w:pStyle w:val="22"/>
        <w:rPr>
          <w:rFonts w:ascii="Times New Roman" w:eastAsia="宋体" w:hAnsi="Times New Roman"/>
          <w:bCs w:val="0"/>
          <w:color w:val="000000" w:themeColor="text1"/>
          <w:sz w:val="28"/>
          <w:szCs w:val="28"/>
        </w:rPr>
      </w:pPr>
      <w:r>
        <w:rPr>
          <w:rFonts w:ascii="Times New Roman" w:eastAsia="宋体" w:hAnsi="Times New Roman" w:hint="eastAsia"/>
          <w:bCs w:val="0"/>
          <w:color w:val="000000" w:themeColor="text1"/>
          <w:sz w:val="28"/>
          <w:szCs w:val="28"/>
        </w:rPr>
        <w:fldChar w:fldCharType="begin"/>
      </w:r>
      <w:r>
        <w:rPr>
          <w:rFonts w:ascii="Times New Roman" w:eastAsia="宋体" w:hAnsi="Times New Roman" w:hint="eastAsia"/>
          <w:bCs w:val="0"/>
          <w:color w:val="000000" w:themeColor="text1"/>
          <w:sz w:val="28"/>
          <w:szCs w:val="28"/>
        </w:rPr>
        <w:instrText xml:space="preserve"> HYPERLINK \l "_Toc512505530" </w:instrText>
      </w:r>
      <w:r>
        <w:rPr>
          <w:rFonts w:ascii="Times New Roman" w:eastAsia="宋体" w:hAnsi="Times New Roman" w:hint="eastAsia"/>
          <w:bCs w:val="0"/>
          <w:color w:val="000000" w:themeColor="text1"/>
          <w:sz w:val="28"/>
          <w:szCs w:val="28"/>
        </w:rPr>
        <w:fldChar w:fldCharType="separate"/>
      </w:r>
      <w:bookmarkStart w:id="813" w:name="_Toc6826947"/>
      <w:r>
        <w:rPr>
          <w:rFonts w:ascii="Times New Roman" w:eastAsia="宋体" w:hAnsi="Times New Roman" w:hint="eastAsia"/>
          <w:bCs w:val="0"/>
          <w:color w:val="000000" w:themeColor="text1"/>
          <w:sz w:val="28"/>
          <w:szCs w:val="28"/>
        </w:rPr>
        <w:t>12.</w:t>
      </w:r>
      <w:r>
        <w:rPr>
          <w:rFonts w:ascii="Times New Roman" w:eastAsia="宋体" w:hAnsi="Times New Roman"/>
          <w:bCs w:val="0"/>
          <w:color w:val="000000" w:themeColor="text1"/>
          <w:sz w:val="28"/>
          <w:szCs w:val="28"/>
        </w:rPr>
        <w:t>3</w:t>
      </w:r>
      <w:r>
        <w:rPr>
          <w:rFonts w:ascii="Times New Roman" w:eastAsia="宋体" w:hAnsi="Times New Roman" w:hint="eastAsia"/>
          <w:bCs w:val="0"/>
          <w:color w:val="000000" w:themeColor="text1"/>
          <w:sz w:val="28"/>
          <w:szCs w:val="28"/>
        </w:rPr>
        <w:t>竣工验收</w:t>
      </w:r>
      <w:bookmarkEnd w:id="813"/>
      <w:r>
        <w:rPr>
          <w:rFonts w:ascii="Times New Roman" w:eastAsia="宋体" w:hAnsi="Times New Roman" w:hint="eastAsia"/>
          <w:bCs w:val="0"/>
          <w:color w:val="000000" w:themeColor="text1"/>
          <w:sz w:val="28"/>
          <w:szCs w:val="28"/>
        </w:rPr>
        <w:fldChar w:fldCharType="end"/>
      </w:r>
      <w:bookmarkEnd w:id="809"/>
    </w:p>
    <w:bookmarkStart w:id="814" w:name="_Toc24466"/>
    <w:p w:rsidR="00C861DA" w:rsidRDefault="0044752E">
      <w:pPr>
        <w:pStyle w:val="32"/>
        <w:rPr>
          <w:rFonts w:ascii="Times New Roman" w:eastAsia="宋体"/>
          <w:bCs w:val="0"/>
          <w:color w:val="000000" w:themeColor="text1"/>
          <w:sz w:val="24"/>
          <w:szCs w:val="24"/>
        </w:rPr>
      </w:pPr>
      <w:r>
        <w:rPr>
          <w:rFonts w:ascii="Times New Roman" w:eastAsia="宋体" w:hint="eastAsia"/>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"_Toc512505530" </w:instrText>
      </w:r>
      <w:r>
        <w:rPr>
          <w:rFonts w:ascii="Times New Roman" w:eastAsia="宋体" w:hint="eastAsia"/>
          <w:bCs w:val="0"/>
          <w:color w:val="000000" w:themeColor="text1"/>
          <w:sz w:val="24"/>
          <w:szCs w:val="24"/>
        </w:rPr>
        <w:fldChar w:fldCharType="separate"/>
      </w:r>
      <w:bookmarkStart w:id="815" w:name="_Toc6826948"/>
      <w:r>
        <w:rPr>
          <w:rFonts w:ascii="Times New Roman" w:eastAsia="宋体" w:hint="eastAsia"/>
          <w:bCs w:val="0"/>
          <w:color w:val="000000" w:themeColor="text1"/>
          <w:sz w:val="24"/>
          <w:szCs w:val="24"/>
        </w:rPr>
        <w:t>12.</w:t>
      </w:r>
      <w:r>
        <w:rPr>
          <w:rFonts w:ascii="Times New Roman" w:eastAsia="宋体"/>
          <w:bCs w:val="0"/>
          <w:color w:val="000000" w:themeColor="text1"/>
          <w:sz w:val="24"/>
          <w:szCs w:val="24"/>
        </w:rPr>
        <w:t>3</w:t>
      </w:r>
      <w:r>
        <w:rPr>
          <w:rFonts w:ascii="Times New Roman" w:eastAsia="宋体" w:hint="eastAsia"/>
          <w:bCs w:val="0"/>
          <w:color w:val="000000" w:themeColor="text1"/>
          <w:sz w:val="24"/>
          <w:szCs w:val="24"/>
        </w:rPr>
        <w:t>.1</w:t>
      </w:r>
      <w:r>
        <w:rPr>
          <w:rFonts w:ascii="Times New Roman" w:eastAsia="宋体" w:hint="eastAsia"/>
          <w:bCs w:val="0"/>
          <w:color w:val="000000" w:themeColor="text1"/>
          <w:sz w:val="24"/>
          <w:szCs w:val="24"/>
        </w:rPr>
        <w:t>环境工程设计与验收重点</w:t>
      </w:r>
      <w:bookmarkEnd w:id="815"/>
      <w:r>
        <w:rPr>
          <w:rFonts w:ascii="Times New Roman" w:eastAsia="宋体" w:hint="eastAsia"/>
          <w:bCs w:val="0"/>
          <w:color w:val="000000" w:themeColor="text1"/>
          <w:sz w:val="24"/>
          <w:szCs w:val="24"/>
        </w:rPr>
        <w:fldChar w:fldCharType="end"/>
      </w:r>
      <w:bookmarkEnd w:id="810"/>
      <w:bookmarkEnd w:id="811"/>
      <w:bookmarkEnd w:id="812"/>
      <w:bookmarkEnd w:id="814"/>
    </w:p>
    <w:p w:rsidR="00C861DA" w:rsidRDefault="0044752E">
      <w:pPr>
        <w:autoSpaceDE/>
        <w:autoSpaceDN/>
        <w:adjustRightInd/>
        <w:spacing w:line="360" w:lineRule="auto"/>
        <w:ind w:firstLineChars="200" w:firstLine="480"/>
        <w:jc w:val="both"/>
        <w:rPr>
          <w:rFonts w:ascii="Times New Roman" w:eastAsia="宋体" w:cs="仿宋"/>
          <w:color w:val="000000" w:themeColor="text1"/>
          <w:sz w:val="24"/>
          <w:szCs w:val="24"/>
        </w:rPr>
      </w:pPr>
      <w:r>
        <w:rPr>
          <w:rFonts w:ascii="Times New Roman" w:eastAsia="宋体" w:cs="仿宋" w:hint="eastAsia"/>
          <w:color w:val="000000" w:themeColor="text1"/>
          <w:sz w:val="24"/>
          <w:szCs w:val="24"/>
        </w:rPr>
        <w:t>按照环评文件及其批复要求，强化项目环境工程设计，重点做好废气治理、废水处理与综合利用及噪声治理等工作，确保三废稳定达标排放，满足环境总量控制指标要求；进一步核准、细化环保投资概算，要求环保投资专款专用，及时到位；项目污染防治设施必须与主体工程实现“三同时”，如需进行试生产，其配套的环保设施也必须与主体工程同时投入运行。</w:t>
      </w:r>
    </w:p>
    <w:bookmarkStart w:id="816" w:name="_Toc16799"/>
    <w:bookmarkStart w:id="817" w:name="_Toc19286"/>
    <w:bookmarkStart w:id="818" w:name="_Toc12015"/>
    <w:bookmarkStart w:id="819" w:name="_Toc28303"/>
    <w:p w:rsidR="00C861DA" w:rsidRDefault="0044752E">
      <w:pPr>
        <w:pStyle w:val="32"/>
        <w:rPr>
          <w:rFonts w:ascii="Times New Roman" w:eastAsia="宋体"/>
          <w:bCs w:val="0"/>
          <w:color w:val="000000" w:themeColor="text1"/>
          <w:sz w:val="24"/>
          <w:szCs w:val="24"/>
        </w:rPr>
      </w:pPr>
      <w:r>
        <w:rPr>
          <w:rFonts w:ascii="Times New Roman" w:eastAsia="宋体" w:hint="eastAsia"/>
          <w:bCs w:val="0"/>
          <w:color w:val="000000" w:themeColor="text1"/>
          <w:sz w:val="24"/>
          <w:szCs w:val="24"/>
        </w:rPr>
        <w:fldChar w:fldCharType="begin"/>
      </w:r>
      <w:r>
        <w:rPr>
          <w:rFonts w:ascii="Times New Roman" w:eastAsia="宋体" w:hint="eastAsia"/>
          <w:bCs w:val="0"/>
          <w:color w:val="000000" w:themeColor="text1"/>
          <w:sz w:val="24"/>
          <w:szCs w:val="24"/>
        </w:rPr>
        <w:instrText xml:space="preserve"> HYPERLINK \l "_Toc512505531" </w:instrText>
      </w:r>
      <w:r>
        <w:rPr>
          <w:rFonts w:ascii="Times New Roman" w:eastAsia="宋体" w:hint="eastAsia"/>
          <w:bCs w:val="0"/>
          <w:color w:val="000000" w:themeColor="text1"/>
          <w:sz w:val="24"/>
          <w:szCs w:val="24"/>
        </w:rPr>
        <w:fldChar w:fldCharType="separate"/>
      </w:r>
      <w:bookmarkStart w:id="820" w:name="_Toc6826949"/>
      <w:r>
        <w:rPr>
          <w:rFonts w:ascii="Times New Roman" w:eastAsia="宋体" w:hint="eastAsia"/>
          <w:bCs w:val="0"/>
          <w:color w:val="000000" w:themeColor="text1"/>
          <w:sz w:val="24"/>
          <w:szCs w:val="24"/>
        </w:rPr>
        <w:t>12.</w:t>
      </w:r>
      <w:r>
        <w:rPr>
          <w:rFonts w:ascii="Times New Roman" w:eastAsia="宋体"/>
          <w:bCs w:val="0"/>
          <w:color w:val="000000" w:themeColor="text1"/>
          <w:sz w:val="24"/>
          <w:szCs w:val="24"/>
        </w:rPr>
        <w:t>3</w:t>
      </w:r>
      <w:r>
        <w:rPr>
          <w:rFonts w:ascii="Times New Roman" w:eastAsia="宋体" w:hint="eastAsia"/>
          <w:bCs w:val="0"/>
          <w:color w:val="000000" w:themeColor="text1"/>
          <w:sz w:val="24"/>
          <w:szCs w:val="24"/>
        </w:rPr>
        <w:t>.2</w:t>
      </w:r>
      <w:r>
        <w:rPr>
          <w:rFonts w:ascii="Times New Roman" w:eastAsia="宋体" w:hint="eastAsia"/>
          <w:bCs w:val="0"/>
          <w:color w:val="000000" w:themeColor="text1"/>
          <w:sz w:val="24"/>
          <w:szCs w:val="24"/>
        </w:rPr>
        <w:t>环保设施竣工验收建议</w:t>
      </w:r>
      <w:bookmarkEnd w:id="820"/>
      <w:r>
        <w:rPr>
          <w:rFonts w:ascii="Times New Roman" w:eastAsia="宋体" w:hint="eastAsia"/>
          <w:bCs w:val="0"/>
          <w:color w:val="000000" w:themeColor="text1"/>
          <w:sz w:val="24"/>
          <w:szCs w:val="24"/>
        </w:rPr>
        <w:fldChar w:fldCharType="end"/>
      </w:r>
      <w:bookmarkEnd w:id="816"/>
      <w:bookmarkEnd w:id="817"/>
      <w:bookmarkEnd w:id="818"/>
      <w:bookmarkEnd w:id="819"/>
    </w:p>
    <w:p w:rsidR="00C861DA" w:rsidRDefault="0044752E">
      <w:pPr>
        <w:pStyle w:val="af8"/>
        <w:autoSpaceDE/>
        <w:autoSpaceDN/>
        <w:adjustRightInd/>
        <w:spacing w:line="360" w:lineRule="auto"/>
        <w:ind w:firstLineChars="200" w:firstLine="48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）验收主体责任</w:t>
      </w:r>
    </w:p>
    <w:p w:rsidR="00C861DA" w:rsidRDefault="0044752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根据国家环保部关于《建设项目竣工环境保护验收暂行办法》的公告（国环规环评〔</w:t>
      </w:r>
      <w:r>
        <w:rPr>
          <w:rFonts w:ascii="Times New Roman" w:eastAsia="宋体" w:hAnsi="Times New Roman" w:cs="Times New Roman"/>
          <w:color w:val="000000" w:themeColor="text1"/>
          <w:sz w:val="24"/>
          <w:szCs w:val="24"/>
        </w:rPr>
        <w:t>2017</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号），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rsidR="00C861DA" w:rsidRDefault="0044752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）验收标准与范围</w:t>
      </w:r>
    </w:p>
    <w:p w:rsidR="00C861DA" w:rsidRDefault="0044752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①</w:t>
      </w:r>
      <w:r>
        <w:rPr>
          <w:rFonts w:ascii="Times New Roman" w:eastAsia="宋体" w:hAnsi="Times New Roman" w:cs="Times New Roman"/>
          <w:color w:val="000000" w:themeColor="text1"/>
          <w:sz w:val="24"/>
          <w:szCs w:val="24"/>
        </w:rPr>
        <w:t>按照国家环保总局令第</w:t>
      </w:r>
      <w:r>
        <w:rPr>
          <w:rFonts w:ascii="Times New Roman" w:eastAsia="宋体" w:hAnsi="Times New Roman" w:cs="Times New Roman"/>
          <w:color w:val="000000" w:themeColor="text1"/>
          <w:sz w:val="24"/>
          <w:szCs w:val="24"/>
        </w:rPr>
        <w:t>13</w:t>
      </w:r>
      <w:r>
        <w:rPr>
          <w:rFonts w:ascii="Times New Roman" w:eastAsia="宋体" w:hAnsi="Times New Roman" w:cs="Times New Roman"/>
          <w:color w:val="000000" w:themeColor="text1"/>
          <w:sz w:val="24"/>
          <w:szCs w:val="24"/>
        </w:rPr>
        <w:t>号《建设项目竣工环境保护验收管理办法》的中有关规定执行；</w:t>
      </w:r>
    </w:p>
    <w:p w:rsidR="00C861DA" w:rsidRDefault="0044752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②</w:t>
      </w:r>
      <w:r>
        <w:rPr>
          <w:rFonts w:ascii="Times New Roman" w:eastAsia="宋体" w:hAnsi="Times New Roman" w:cs="Times New Roman"/>
          <w:color w:val="000000" w:themeColor="text1"/>
          <w:sz w:val="24"/>
          <w:szCs w:val="24"/>
        </w:rPr>
        <w:t>与项目有关的各项环保设施，包括为污染防治和保护环境所建成或配套建成的工程、设备、装置，以及各项生态保护、绿化设施；</w:t>
      </w:r>
    </w:p>
    <w:p w:rsidR="00C861DA" w:rsidRDefault="0044752E">
      <w:pPr>
        <w:autoSpaceDE/>
        <w:autoSpaceDN/>
        <w:adjustRightInd/>
        <w:spacing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③</w:t>
      </w:r>
      <w:r>
        <w:rPr>
          <w:rFonts w:ascii="Times New Roman" w:eastAsia="宋体" w:hAnsi="Times New Roman" w:cs="Times New Roman"/>
          <w:color w:val="000000" w:themeColor="text1"/>
          <w:sz w:val="24"/>
          <w:szCs w:val="24"/>
        </w:rPr>
        <w:t>本报告书及其批复文件和有关设计文件规定应采取的其他各项环保措施。</w:t>
      </w:r>
    </w:p>
    <w:p w:rsidR="00C861DA" w:rsidRDefault="0044752E">
      <w:pPr>
        <w:pStyle w:val="af8"/>
        <w:autoSpaceDE/>
        <w:autoSpaceDN/>
        <w:adjustRightInd/>
        <w:spacing w:line="360" w:lineRule="auto"/>
        <w:ind w:firstLineChars="200" w:firstLine="48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）验收程序和内容</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sectPr w:rsidR="00C861DA">
          <w:pgSz w:w="11906" w:h="16838"/>
          <w:pgMar w:top="1440" w:right="1800" w:bottom="1440" w:left="1800" w:header="851" w:footer="992" w:gutter="0"/>
          <w:cols w:space="425"/>
          <w:docGrid w:type="lines" w:linePitch="312"/>
        </w:sectPr>
      </w:pPr>
      <w:r>
        <w:rPr>
          <w:rFonts w:ascii="Times New Roman" w:eastAsia="宋体" w:hAnsi="Times New Roman" w:cs="Times New Roman"/>
          <w:color w:val="000000" w:themeColor="text1"/>
          <w:sz w:val="24"/>
        </w:rPr>
        <w:t>建设项目竣工后，建设单位应当如实查验、监测、记载建设项目环境保护设施的建设和调试情况，编制验收监测（调查）报告。本项目属于以排放污染物为主的建设项目，参照《建设项目竣工环境保护验收技术指南</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污染影响类》编制验收监测报告。项目环保设施竣工验收内容见表</w:t>
      </w:r>
      <w:r>
        <w:rPr>
          <w:rFonts w:ascii="Times New Roman" w:eastAsia="宋体" w:hAnsi="Times New Roman" w:cs="Times New Roman"/>
          <w:color w:val="000000" w:themeColor="text1"/>
          <w:sz w:val="24"/>
        </w:rPr>
        <w:t>12.3-1</w:t>
      </w:r>
    </w:p>
    <w:p w:rsidR="00C861DA" w:rsidRDefault="0044752E">
      <w:pPr>
        <w:pStyle w:val="af4"/>
        <w:spacing w:after="0" w:line="360"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12.3-1</w:t>
      </w:r>
      <w:r>
        <w:rPr>
          <w:rFonts w:ascii="Times New Roman" w:eastAsia="宋体" w:hAnsi="Times New Roman" w:cs="Times New Roman"/>
          <w:b/>
          <w:color w:val="000000" w:themeColor="text1"/>
          <w:sz w:val="24"/>
          <w:szCs w:val="24"/>
        </w:rPr>
        <w:t xml:space="preserve">  </w:t>
      </w:r>
      <w:r>
        <w:rPr>
          <w:rFonts w:ascii="Times New Roman" w:eastAsia="宋体" w:hAnsi="Times New Roman" w:cs="Times New Roman"/>
          <w:b/>
          <w:color w:val="000000" w:themeColor="text1"/>
          <w:sz w:val="24"/>
          <w:szCs w:val="24"/>
        </w:rPr>
        <w:t>竣工环境保护验收计划一览表</w:t>
      </w:r>
    </w:p>
    <w:tbl>
      <w:tblPr>
        <w:tblW w:w="1530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9"/>
        <w:gridCol w:w="569"/>
        <w:gridCol w:w="1017"/>
        <w:gridCol w:w="1558"/>
        <w:gridCol w:w="3053"/>
        <w:gridCol w:w="1059"/>
        <w:gridCol w:w="2410"/>
        <w:gridCol w:w="851"/>
        <w:gridCol w:w="3683"/>
      </w:tblGrid>
      <w:tr w:rsidR="00C861DA">
        <w:trPr>
          <w:trHeight w:val="454"/>
        </w:trPr>
        <w:tc>
          <w:tcPr>
            <w:tcW w:w="1109" w:type="dxa"/>
            <w:vAlign w:val="center"/>
          </w:tcPr>
          <w:p w:rsidR="00C861DA" w:rsidRDefault="0044752E">
            <w:pPr>
              <w:pStyle w:val="TableParagraph"/>
              <w:autoSpaceDE/>
              <w:autoSpaceDN/>
              <w:adjustRightInd/>
              <w:jc w:val="center"/>
              <w:rPr>
                <w:rFonts w:cs="宋体"/>
                <w:b/>
                <w:bCs/>
                <w:color w:val="000000" w:themeColor="text1"/>
              </w:rPr>
            </w:pPr>
            <w:r>
              <w:rPr>
                <w:rFonts w:cs="宋体"/>
                <w:b/>
                <w:bCs/>
                <w:color w:val="000000" w:themeColor="text1"/>
              </w:rPr>
              <w:t>项目</w:t>
            </w:r>
          </w:p>
        </w:tc>
        <w:tc>
          <w:tcPr>
            <w:tcW w:w="569" w:type="dxa"/>
            <w:vAlign w:val="center"/>
          </w:tcPr>
          <w:p w:rsidR="00C861DA" w:rsidRDefault="0044752E">
            <w:pPr>
              <w:pStyle w:val="TableParagraph"/>
              <w:autoSpaceDE/>
              <w:autoSpaceDN/>
              <w:adjustRightInd/>
              <w:jc w:val="center"/>
              <w:rPr>
                <w:rFonts w:cs="宋体"/>
                <w:b/>
                <w:bCs/>
                <w:color w:val="000000" w:themeColor="text1"/>
              </w:rPr>
            </w:pPr>
            <w:r>
              <w:rPr>
                <w:rFonts w:cs="宋体" w:hint="eastAsia"/>
                <w:b/>
                <w:bCs/>
                <w:color w:val="000000" w:themeColor="text1"/>
              </w:rPr>
              <w:t>名称</w:t>
            </w:r>
          </w:p>
        </w:tc>
        <w:tc>
          <w:tcPr>
            <w:tcW w:w="1017" w:type="dxa"/>
            <w:vAlign w:val="center"/>
          </w:tcPr>
          <w:p w:rsidR="00C861DA" w:rsidRDefault="0044752E">
            <w:pPr>
              <w:pStyle w:val="TableParagraph"/>
              <w:autoSpaceDE/>
              <w:autoSpaceDN/>
              <w:adjustRightInd/>
              <w:ind w:leftChars="20" w:left="42"/>
              <w:jc w:val="center"/>
              <w:rPr>
                <w:rFonts w:cs="宋体"/>
                <w:b/>
                <w:bCs/>
                <w:color w:val="000000" w:themeColor="text1"/>
              </w:rPr>
            </w:pPr>
            <w:r>
              <w:rPr>
                <w:rFonts w:cs="宋体"/>
                <w:b/>
                <w:bCs/>
                <w:color w:val="000000" w:themeColor="text1"/>
              </w:rPr>
              <w:t>污染源</w:t>
            </w:r>
          </w:p>
        </w:tc>
        <w:tc>
          <w:tcPr>
            <w:tcW w:w="1558" w:type="dxa"/>
            <w:vAlign w:val="center"/>
          </w:tcPr>
          <w:p w:rsidR="00C861DA" w:rsidRDefault="0044752E">
            <w:pPr>
              <w:pStyle w:val="TableParagraph"/>
              <w:autoSpaceDE/>
              <w:autoSpaceDN/>
              <w:adjustRightInd/>
              <w:ind w:leftChars="20" w:left="42"/>
              <w:jc w:val="center"/>
              <w:rPr>
                <w:rFonts w:cs="宋体"/>
                <w:b/>
                <w:bCs/>
                <w:color w:val="000000" w:themeColor="text1"/>
              </w:rPr>
            </w:pPr>
            <w:r>
              <w:rPr>
                <w:rFonts w:cs="宋体" w:hint="eastAsia"/>
                <w:b/>
                <w:bCs/>
                <w:color w:val="000000" w:themeColor="text1"/>
              </w:rPr>
              <w:t>污染物</w:t>
            </w:r>
          </w:p>
        </w:tc>
        <w:tc>
          <w:tcPr>
            <w:tcW w:w="3053" w:type="dxa"/>
            <w:vAlign w:val="center"/>
          </w:tcPr>
          <w:p w:rsidR="00C861DA" w:rsidRDefault="0044752E">
            <w:pPr>
              <w:pStyle w:val="TableParagraph"/>
              <w:autoSpaceDE/>
              <w:autoSpaceDN/>
              <w:adjustRightInd/>
              <w:ind w:leftChars="20" w:left="42"/>
              <w:jc w:val="center"/>
              <w:rPr>
                <w:rFonts w:cs="宋体"/>
                <w:b/>
                <w:bCs/>
                <w:color w:val="000000" w:themeColor="text1"/>
              </w:rPr>
            </w:pPr>
            <w:r>
              <w:rPr>
                <w:rFonts w:cs="宋体" w:hint="eastAsia"/>
                <w:b/>
                <w:bCs/>
                <w:color w:val="000000" w:themeColor="text1"/>
              </w:rPr>
              <w:t>处理措施</w:t>
            </w:r>
          </w:p>
        </w:tc>
        <w:tc>
          <w:tcPr>
            <w:tcW w:w="1059" w:type="dxa"/>
            <w:vAlign w:val="center"/>
          </w:tcPr>
          <w:p w:rsidR="00C861DA" w:rsidRDefault="0044752E">
            <w:pPr>
              <w:pStyle w:val="TableParagraph"/>
              <w:autoSpaceDE/>
              <w:autoSpaceDN/>
              <w:adjustRightInd/>
              <w:ind w:leftChars="20" w:left="42"/>
              <w:jc w:val="center"/>
              <w:rPr>
                <w:rFonts w:cs="宋体"/>
                <w:b/>
                <w:bCs/>
                <w:color w:val="000000" w:themeColor="text1"/>
              </w:rPr>
            </w:pPr>
            <w:r>
              <w:rPr>
                <w:rFonts w:cs="宋体" w:hint="eastAsia"/>
                <w:b/>
                <w:bCs/>
                <w:color w:val="000000" w:themeColor="text1"/>
              </w:rPr>
              <w:t>排放情况</w:t>
            </w:r>
          </w:p>
        </w:tc>
        <w:tc>
          <w:tcPr>
            <w:tcW w:w="2410" w:type="dxa"/>
            <w:vAlign w:val="center"/>
          </w:tcPr>
          <w:p w:rsidR="00C861DA" w:rsidRDefault="0044752E">
            <w:pPr>
              <w:pStyle w:val="TableParagraph"/>
              <w:autoSpaceDE/>
              <w:autoSpaceDN/>
              <w:adjustRightInd/>
              <w:ind w:leftChars="20" w:left="42"/>
              <w:jc w:val="center"/>
              <w:rPr>
                <w:rFonts w:cs="宋体"/>
                <w:b/>
                <w:bCs/>
                <w:color w:val="000000" w:themeColor="text1"/>
              </w:rPr>
            </w:pPr>
            <w:r>
              <w:rPr>
                <w:rFonts w:cs="宋体" w:hint="eastAsia"/>
                <w:b/>
                <w:bCs/>
                <w:color w:val="000000" w:themeColor="text1"/>
              </w:rPr>
              <w:t>验收内容</w:t>
            </w:r>
          </w:p>
        </w:tc>
        <w:tc>
          <w:tcPr>
            <w:tcW w:w="851" w:type="dxa"/>
            <w:vAlign w:val="center"/>
          </w:tcPr>
          <w:p w:rsidR="00C861DA" w:rsidRDefault="0044752E">
            <w:pPr>
              <w:pStyle w:val="TableParagraph"/>
              <w:autoSpaceDE/>
              <w:autoSpaceDN/>
              <w:adjustRightInd/>
              <w:ind w:leftChars="20" w:left="42"/>
              <w:jc w:val="center"/>
              <w:rPr>
                <w:rFonts w:cs="宋体"/>
                <w:b/>
                <w:bCs/>
                <w:color w:val="000000" w:themeColor="text1"/>
              </w:rPr>
            </w:pPr>
            <w:r>
              <w:rPr>
                <w:rFonts w:cs="宋体"/>
                <w:b/>
                <w:bCs/>
                <w:color w:val="000000" w:themeColor="text1"/>
              </w:rPr>
              <w:t>数量</w:t>
            </w:r>
          </w:p>
        </w:tc>
        <w:tc>
          <w:tcPr>
            <w:tcW w:w="3683" w:type="dxa"/>
            <w:vAlign w:val="center"/>
          </w:tcPr>
          <w:p w:rsidR="00C861DA" w:rsidRDefault="0044752E">
            <w:pPr>
              <w:pStyle w:val="TableParagraph"/>
              <w:autoSpaceDE/>
              <w:autoSpaceDN/>
              <w:adjustRightInd/>
              <w:ind w:leftChars="20" w:left="42"/>
              <w:jc w:val="center"/>
              <w:rPr>
                <w:b/>
                <w:bCs/>
                <w:color w:val="000000" w:themeColor="text1"/>
              </w:rPr>
            </w:pPr>
            <w:r>
              <w:rPr>
                <w:rFonts w:cs="宋体" w:hint="eastAsia"/>
                <w:b/>
                <w:bCs/>
                <w:color w:val="000000" w:themeColor="text1"/>
              </w:rPr>
              <w:t>验收标准</w:t>
            </w:r>
          </w:p>
        </w:tc>
      </w:tr>
      <w:tr w:rsidR="00C861DA">
        <w:trPr>
          <w:trHeight w:val="454"/>
        </w:trPr>
        <w:tc>
          <w:tcPr>
            <w:tcW w:w="1109" w:type="dxa"/>
            <w:vMerge w:val="restart"/>
            <w:vAlign w:val="center"/>
          </w:tcPr>
          <w:p w:rsidR="00C861DA" w:rsidRDefault="0044752E">
            <w:pPr>
              <w:autoSpaceDE/>
              <w:autoSpaceDN/>
              <w:adjustRightInd/>
              <w:jc w:val="center"/>
              <w:rPr>
                <w:rFonts w:ascii="Times New Roman" w:eastAsia="宋体"/>
                <w:color w:val="000000" w:themeColor="text1"/>
              </w:rPr>
            </w:pPr>
            <w:r>
              <w:rPr>
                <w:rFonts w:ascii="Times New Roman" w:eastAsia="宋体" w:hint="eastAsia"/>
                <w:color w:val="000000" w:themeColor="text1"/>
              </w:rPr>
              <w:t>废气</w:t>
            </w:r>
          </w:p>
        </w:tc>
        <w:tc>
          <w:tcPr>
            <w:tcW w:w="569" w:type="dxa"/>
            <w:vAlign w:val="center"/>
          </w:tcPr>
          <w:p w:rsidR="00C861DA" w:rsidRDefault="0044752E">
            <w:pPr>
              <w:autoSpaceDE/>
              <w:autoSpaceDN/>
              <w:adjustRightInd/>
              <w:jc w:val="center"/>
              <w:rPr>
                <w:rFonts w:ascii="Times New Roman" w:eastAsia="宋体"/>
                <w:color w:val="000000" w:themeColor="text1"/>
              </w:rPr>
            </w:pPr>
            <w:r>
              <w:rPr>
                <w:rFonts w:ascii="Times New Roman" w:eastAsia="宋体" w:hint="eastAsia"/>
                <w:color w:val="000000" w:themeColor="text1"/>
              </w:rPr>
              <w:t>吸收塔</w:t>
            </w:r>
          </w:p>
        </w:tc>
        <w:tc>
          <w:tcPr>
            <w:tcW w:w="1017" w:type="dxa"/>
            <w:vAlign w:val="center"/>
          </w:tcPr>
          <w:p w:rsidR="00C861DA" w:rsidRDefault="0044752E">
            <w:pPr>
              <w:pStyle w:val="TableParagraph"/>
              <w:autoSpaceDE/>
              <w:autoSpaceDN/>
              <w:adjustRightInd/>
              <w:ind w:leftChars="20" w:left="42"/>
              <w:jc w:val="center"/>
              <w:rPr>
                <w:rFonts w:cs="宋体"/>
                <w:color w:val="000000" w:themeColor="text1"/>
              </w:rPr>
            </w:pPr>
            <w:r>
              <w:rPr>
                <w:rFonts w:cs="宋体" w:hint="eastAsia"/>
                <w:color w:val="000000" w:themeColor="text1"/>
              </w:rPr>
              <w:t>吸收尾气</w:t>
            </w:r>
          </w:p>
        </w:tc>
        <w:tc>
          <w:tcPr>
            <w:tcW w:w="1558" w:type="dxa"/>
            <w:vAlign w:val="center"/>
          </w:tcPr>
          <w:p w:rsidR="00C861DA" w:rsidRDefault="0044752E">
            <w:pPr>
              <w:pStyle w:val="TableParagraph"/>
              <w:autoSpaceDE/>
              <w:autoSpaceDN/>
              <w:adjustRightInd/>
              <w:ind w:leftChars="20" w:left="42"/>
              <w:jc w:val="center"/>
              <w:rPr>
                <w:color w:val="000000" w:themeColor="text1"/>
              </w:rPr>
            </w:pPr>
            <w:r>
              <w:rPr>
                <w:rFonts w:hint="eastAsia"/>
                <w:color w:val="000000" w:themeColor="text1"/>
              </w:rPr>
              <w:t>氨</w:t>
            </w:r>
          </w:p>
        </w:tc>
        <w:tc>
          <w:tcPr>
            <w:tcW w:w="3053" w:type="dxa"/>
            <w:vAlign w:val="center"/>
          </w:tcPr>
          <w:p w:rsidR="00C861DA" w:rsidRDefault="0044752E">
            <w:pPr>
              <w:pStyle w:val="TableParagraph"/>
              <w:autoSpaceDE/>
              <w:autoSpaceDN/>
              <w:adjustRightInd/>
              <w:ind w:leftChars="20" w:left="42"/>
              <w:jc w:val="center"/>
              <w:rPr>
                <w:rFonts w:cs="宋体"/>
                <w:color w:val="000000" w:themeColor="text1"/>
              </w:rPr>
            </w:pPr>
            <w:r>
              <w:rPr>
                <w:rFonts w:cs="宋体" w:hint="eastAsia"/>
                <w:color w:val="000000" w:themeColor="text1"/>
              </w:rPr>
              <w:t>吸收塔吸收</w:t>
            </w:r>
          </w:p>
        </w:tc>
        <w:tc>
          <w:tcPr>
            <w:tcW w:w="1059" w:type="dxa"/>
            <w:vAlign w:val="center"/>
          </w:tcPr>
          <w:p w:rsidR="00C861DA" w:rsidRDefault="0044752E">
            <w:pPr>
              <w:pStyle w:val="TableParagraph"/>
              <w:autoSpaceDE/>
              <w:autoSpaceDN/>
              <w:adjustRightInd/>
              <w:ind w:leftChars="20" w:left="42"/>
              <w:jc w:val="center"/>
              <w:rPr>
                <w:rFonts w:cs="宋体"/>
                <w:color w:val="000000" w:themeColor="text1"/>
              </w:rPr>
            </w:pPr>
            <w:r>
              <w:rPr>
                <w:rFonts w:cs="宋体" w:hint="eastAsia"/>
                <w:color w:val="000000" w:themeColor="text1"/>
              </w:rPr>
              <w:t>达标排放</w:t>
            </w:r>
          </w:p>
        </w:tc>
        <w:tc>
          <w:tcPr>
            <w:tcW w:w="2410" w:type="dxa"/>
            <w:vAlign w:val="center"/>
          </w:tcPr>
          <w:p w:rsidR="00C861DA" w:rsidRDefault="0044752E">
            <w:pPr>
              <w:pStyle w:val="TableParagraph"/>
              <w:autoSpaceDE/>
              <w:autoSpaceDN/>
              <w:adjustRightInd/>
              <w:ind w:leftChars="20" w:left="42"/>
              <w:jc w:val="center"/>
              <w:rPr>
                <w:color w:val="000000" w:themeColor="text1"/>
              </w:rPr>
            </w:pPr>
            <w:r>
              <w:rPr>
                <w:rFonts w:hint="eastAsia"/>
                <w:color w:val="000000" w:themeColor="text1"/>
              </w:rPr>
              <w:t>吸收塔</w:t>
            </w:r>
            <w:r>
              <w:rPr>
                <w:rFonts w:hint="eastAsia"/>
                <w:color w:val="000000" w:themeColor="text1"/>
              </w:rPr>
              <w:t>1</w:t>
            </w:r>
            <w:r>
              <w:rPr>
                <w:rFonts w:hint="eastAsia"/>
                <w:color w:val="000000" w:themeColor="text1"/>
              </w:rPr>
              <w:t>座</w:t>
            </w:r>
          </w:p>
        </w:tc>
        <w:tc>
          <w:tcPr>
            <w:tcW w:w="851" w:type="dxa"/>
            <w:vAlign w:val="center"/>
          </w:tcPr>
          <w:p w:rsidR="00C861DA" w:rsidRDefault="0044752E">
            <w:pPr>
              <w:pStyle w:val="TableParagraph"/>
              <w:autoSpaceDE/>
              <w:autoSpaceDN/>
              <w:adjustRightInd/>
              <w:ind w:leftChars="20" w:left="42"/>
              <w:jc w:val="center"/>
              <w:rPr>
                <w:rFonts w:cs="宋体"/>
                <w:color w:val="000000" w:themeColor="text1"/>
              </w:rPr>
            </w:pPr>
            <w:r>
              <w:rPr>
                <w:rFonts w:hint="eastAsia"/>
                <w:color w:val="000000" w:themeColor="text1"/>
              </w:rPr>
              <w:t>1</w:t>
            </w:r>
          </w:p>
        </w:tc>
        <w:tc>
          <w:tcPr>
            <w:tcW w:w="3683" w:type="dxa"/>
            <w:vAlign w:val="center"/>
          </w:tcPr>
          <w:p w:rsidR="00C861DA" w:rsidRDefault="0044752E">
            <w:pPr>
              <w:pStyle w:val="TableParagraph"/>
              <w:autoSpaceDE/>
              <w:autoSpaceDN/>
              <w:adjustRightInd/>
              <w:ind w:leftChars="20" w:left="42"/>
              <w:jc w:val="center"/>
              <w:rPr>
                <w:color w:val="000000" w:themeColor="text1"/>
              </w:rPr>
            </w:pPr>
            <w:r>
              <w:rPr>
                <w:color w:val="000000" w:themeColor="text1"/>
              </w:rPr>
              <w:t>《大气污染物综合排放标准》表</w:t>
            </w:r>
            <w:r>
              <w:rPr>
                <w:color w:val="000000" w:themeColor="text1"/>
              </w:rPr>
              <w:t>2</w:t>
            </w:r>
            <w:r>
              <w:rPr>
                <w:color w:val="000000" w:themeColor="text1"/>
              </w:rPr>
              <w:t>二级标准</w:t>
            </w:r>
          </w:p>
        </w:tc>
      </w:tr>
      <w:tr w:rsidR="00C861DA">
        <w:trPr>
          <w:trHeight w:val="454"/>
        </w:trPr>
        <w:tc>
          <w:tcPr>
            <w:tcW w:w="1109" w:type="dxa"/>
            <w:vMerge/>
            <w:vAlign w:val="center"/>
          </w:tcPr>
          <w:p w:rsidR="00C861DA" w:rsidRDefault="00C861DA">
            <w:pPr>
              <w:autoSpaceDE/>
              <w:autoSpaceDN/>
              <w:adjustRightInd/>
              <w:jc w:val="center"/>
              <w:rPr>
                <w:rFonts w:ascii="Times New Roman" w:eastAsia="宋体"/>
                <w:color w:val="000000" w:themeColor="text1"/>
              </w:rPr>
            </w:pPr>
          </w:p>
        </w:tc>
        <w:tc>
          <w:tcPr>
            <w:tcW w:w="569" w:type="dxa"/>
            <w:vAlign w:val="center"/>
          </w:tcPr>
          <w:p w:rsidR="00C861DA" w:rsidRDefault="0044752E">
            <w:pPr>
              <w:autoSpaceDE/>
              <w:autoSpaceDN/>
              <w:adjustRightInd/>
              <w:jc w:val="center"/>
              <w:rPr>
                <w:rFonts w:ascii="Times New Roman" w:eastAsia="宋体"/>
                <w:color w:val="000000" w:themeColor="text1"/>
              </w:rPr>
            </w:pPr>
            <w:r>
              <w:rPr>
                <w:rFonts w:ascii="Times New Roman" w:eastAsia="宋体" w:hint="eastAsia"/>
                <w:color w:val="000000" w:themeColor="text1"/>
              </w:rPr>
              <w:t>厂界无组织</w:t>
            </w:r>
          </w:p>
        </w:tc>
        <w:tc>
          <w:tcPr>
            <w:tcW w:w="1017" w:type="dxa"/>
            <w:vAlign w:val="center"/>
          </w:tcPr>
          <w:p w:rsidR="00C861DA" w:rsidRDefault="0044752E">
            <w:pPr>
              <w:autoSpaceDE/>
              <w:autoSpaceDN/>
              <w:adjustRightInd/>
              <w:ind w:leftChars="20" w:left="42"/>
              <w:jc w:val="center"/>
              <w:rPr>
                <w:rFonts w:ascii="Times New Roman" w:eastAsia="宋体" w:cs="宋体"/>
                <w:color w:val="000000" w:themeColor="text1"/>
              </w:rPr>
            </w:pPr>
            <w:r>
              <w:rPr>
                <w:rFonts w:ascii="Times New Roman" w:eastAsia="宋体" w:cs="宋体" w:hint="eastAsia"/>
                <w:color w:val="000000" w:themeColor="text1"/>
              </w:rPr>
              <w:t>各个工段</w:t>
            </w:r>
          </w:p>
        </w:tc>
        <w:tc>
          <w:tcPr>
            <w:tcW w:w="1558" w:type="dxa"/>
            <w:vAlign w:val="center"/>
          </w:tcPr>
          <w:p w:rsidR="00C861DA" w:rsidRDefault="0044752E">
            <w:pPr>
              <w:pStyle w:val="TableParagraph"/>
              <w:autoSpaceDE/>
              <w:autoSpaceDN/>
              <w:adjustRightInd/>
              <w:spacing w:before="88"/>
              <w:ind w:leftChars="20" w:left="42"/>
              <w:jc w:val="center"/>
              <w:rPr>
                <w:rFonts w:cs="宋体"/>
                <w:color w:val="000000" w:themeColor="text1"/>
              </w:rPr>
            </w:pPr>
            <w:r>
              <w:rPr>
                <w:rFonts w:cs="宋体" w:hint="eastAsia"/>
                <w:color w:val="000000" w:themeColor="text1"/>
              </w:rPr>
              <w:t>氨</w:t>
            </w:r>
          </w:p>
        </w:tc>
        <w:tc>
          <w:tcPr>
            <w:tcW w:w="3053" w:type="dxa"/>
            <w:vAlign w:val="center"/>
          </w:tcPr>
          <w:p w:rsidR="00C861DA" w:rsidRDefault="0044752E">
            <w:pPr>
              <w:pStyle w:val="TableParagraph"/>
              <w:autoSpaceDE/>
              <w:autoSpaceDN/>
              <w:adjustRightInd/>
              <w:spacing w:before="88"/>
              <w:ind w:leftChars="20" w:left="42"/>
              <w:jc w:val="center"/>
              <w:rPr>
                <w:color w:val="000000" w:themeColor="text1"/>
              </w:rPr>
            </w:pPr>
            <w:r>
              <w:rPr>
                <w:rFonts w:hint="eastAsia"/>
                <w:color w:val="000000" w:themeColor="text1"/>
              </w:rPr>
              <w:t>/</w:t>
            </w:r>
          </w:p>
        </w:tc>
        <w:tc>
          <w:tcPr>
            <w:tcW w:w="1059" w:type="dxa"/>
            <w:vAlign w:val="center"/>
          </w:tcPr>
          <w:p w:rsidR="00C861DA" w:rsidRDefault="0044752E">
            <w:pPr>
              <w:pStyle w:val="TableParagraph"/>
              <w:autoSpaceDE/>
              <w:autoSpaceDN/>
              <w:adjustRightInd/>
              <w:spacing w:before="88"/>
              <w:ind w:leftChars="20" w:left="42"/>
              <w:jc w:val="center"/>
              <w:rPr>
                <w:rFonts w:cs="宋体"/>
                <w:color w:val="000000" w:themeColor="text1"/>
              </w:rPr>
            </w:pPr>
            <w:r>
              <w:rPr>
                <w:rFonts w:cs="宋体" w:hint="eastAsia"/>
                <w:color w:val="000000" w:themeColor="text1"/>
              </w:rPr>
              <w:t>达标排放</w:t>
            </w:r>
          </w:p>
        </w:tc>
        <w:tc>
          <w:tcPr>
            <w:tcW w:w="2410" w:type="dxa"/>
            <w:vAlign w:val="center"/>
          </w:tcPr>
          <w:p w:rsidR="00C861DA" w:rsidRDefault="0044752E">
            <w:pPr>
              <w:pStyle w:val="TableParagraph"/>
              <w:autoSpaceDE/>
              <w:autoSpaceDN/>
              <w:adjustRightInd/>
              <w:spacing w:before="88"/>
              <w:ind w:leftChars="20" w:left="42"/>
              <w:jc w:val="center"/>
              <w:rPr>
                <w:rFonts w:cs="宋体"/>
                <w:color w:val="000000" w:themeColor="text1"/>
              </w:rPr>
            </w:pPr>
            <w:r>
              <w:rPr>
                <w:rFonts w:cs="宋体" w:hint="eastAsia"/>
                <w:color w:val="000000" w:themeColor="text1"/>
              </w:rPr>
              <w:t>/</w:t>
            </w:r>
          </w:p>
        </w:tc>
        <w:tc>
          <w:tcPr>
            <w:tcW w:w="851" w:type="dxa"/>
            <w:vAlign w:val="center"/>
          </w:tcPr>
          <w:p w:rsidR="00C861DA" w:rsidRDefault="0044752E">
            <w:pPr>
              <w:pStyle w:val="TableParagraph"/>
              <w:autoSpaceDE/>
              <w:autoSpaceDN/>
              <w:adjustRightInd/>
              <w:ind w:leftChars="20" w:left="42"/>
              <w:jc w:val="center"/>
              <w:rPr>
                <w:rFonts w:cs="宋体"/>
                <w:color w:val="000000" w:themeColor="text1"/>
              </w:rPr>
            </w:pPr>
            <w:r>
              <w:rPr>
                <w:rFonts w:cs="宋体" w:hint="eastAsia"/>
                <w:color w:val="000000" w:themeColor="text1"/>
              </w:rPr>
              <w:t>/</w:t>
            </w:r>
          </w:p>
        </w:tc>
        <w:tc>
          <w:tcPr>
            <w:tcW w:w="3683" w:type="dxa"/>
            <w:vAlign w:val="center"/>
          </w:tcPr>
          <w:p w:rsidR="00C861DA" w:rsidRDefault="0044752E">
            <w:pPr>
              <w:pStyle w:val="TableParagraph"/>
              <w:autoSpaceDE/>
              <w:autoSpaceDN/>
              <w:adjustRightInd/>
              <w:spacing w:before="162"/>
              <w:ind w:leftChars="20" w:left="42"/>
              <w:jc w:val="center"/>
              <w:rPr>
                <w:color w:val="000000" w:themeColor="text1"/>
              </w:rPr>
            </w:pPr>
            <w:r>
              <w:rPr>
                <w:color w:val="000000" w:themeColor="text1"/>
              </w:rPr>
              <w:t>《大气污染物综合排放标准》表</w:t>
            </w:r>
            <w:r>
              <w:rPr>
                <w:color w:val="000000" w:themeColor="text1"/>
              </w:rPr>
              <w:t>2</w:t>
            </w:r>
            <w:r>
              <w:rPr>
                <w:color w:val="000000" w:themeColor="text1"/>
              </w:rPr>
              <w:t>二级标准</w:t>
            </w:r>
            <w:r>
              <w:rPr>
                <w:rFonts w:hint="eastAsia"/>
                <w:color w:val="000000" w:themeColor="text1"/>
              </w:rPr>
              <w:t>的无组织排放监控浓度</w:t>
            </w:r>
          </w:p>
        </w:tc>
      </w:tr>
      <w:tr w:rsidR="00C861DA">
        <w:trPr>
          <w:trHeight w:val="454"/>
        </w:trPr>
        <w:tc>
          <w:tcPr>
            <w:tcW w:w="1109" w:type="dxa"/>
            <w:vAlign w:val="center"/>
          </w:tcPr>
          <w:p w:rsidR="00C861DA" w:rsidRDefault="0044752E">
            <w:pPr>
              <w:autoSpaceDE/>
              <w:autoSpaceDN/>
              <w:adjustRightInd/>
              <w:jc w:val="center"/>
              <w:rPr>
                <w:rFonts w:ascii="Times New Roman" w:eastAsia="宋体"/>
                <w:color w:val="000000" w:themeColor="text1"/>
              </w:rPr>
            </w:pPr>
            <w:r>
              <w:rPr>
                <w:rFonts w:ascii="Times New Roman" w:eastAsia="宋体" w:hint="eastAsia"/>
                <w:color w:val="000000" w:themeColor="text1"/>
              </w:rPr>
              <w:t>废水</w:t>
            </w:r>
          </w:p>
        </w:tc>
        <w:tc>
          <w:tcPr>
            <w:tcW w:w="569" w:type="dxa"/>
            <w:vAlign w:val="center"/>
          </w:tcPr>
          <w:p w:rsidR="00C861DA" w:rsidRDefault="0044752E">
            <w:pPr>
              <w:autoSpaceDE/>
              <w:autoSpaceDN/>
              <w:adjustRightInd/>
              <w:jc w:val="center"/>
              <w:rPr>
                <w:rFonts w:ascii="Times New Roman" w:eastAsia="宋体"/>
                <w:color w:val="000000" w:themeColor="text1"/>
              </w:rPr>
            </w:pPr>
            <w:r>
              <w:rPr>
                <w:rFonts w:ascii="Times New Roman" w:eastAsia="宋体" w:hint="eastAsia"/>
                <w:color w:val="000000" w:themeColor="text1"/>
              </w:rPr>
              <w:t>冷却</w:t>
            </w:r>
          </w:p>
          <w:p w:rsidR="00C861DA" w:rsidRDefault="0044752E">
            <w:pPr>
              <w:autoSpaceDE/>
              <w:autoSpaceDN/>
              <w:adjustRightInd/>
              <w:jc w:val="center"/>
              <w:rPr>
                <w:rFonts w:ascii="Times New Roman" w:eastAsia="宋体"/>
                <w:color w:val="000000" w:themeColor="text1"/>
              </w:rPr>
            </w:pPr>
            <w:r>
              <w:rPr>
                <w:rFonts w:ascii="Times New Roman" w:eastAsia="宋体" w:hint="eastAsia"/>
                <w:color w:val="000000" w:themeColor="text1"/>
              </w:rPr>
              <w:t>废水</w:t>
            </w:r>
          </w:p>
        </w:tc>
        <w:tc>
          <w:tcPr>
            <w:tcW w:w="1017" w:type="dxa"/>
            <w:vAlign w:val="center"/>
          </w:tcPr>
          <w:p w:rsidR="00C861DA" w:rsidRDefault="0044752E">
            <w:pPr>
              <w:pStyle w:val="TableParagraph"/>
              <w:autoSpaceDE/>
              <w:autoSpaceDN/>
              <w:adjustRightInd/>
              <w:ind w:leftChars="20" w:left="42"/>
              <w:jc w:val="center"/>
              <w:rPr>
                <w:rFonts w:cs="宋体"/>
                <w:color w:val="000000" w:themeColor="text1"/>
              </w:rPr>
            </w:pPr>
            <w:r>
              <w:rPr>
                <w:rFonts w:cs="宋体" w:hint="eastAsia"/>
                <w:color w:val="000000" w:themeColor="text1"/>
              </w:rPr>
              <w:t>冷却器</w:t>
            </w:r>
          </w:p>
        </w:tc>
        <w:tc>
          <w:tcPr>
            <w:tcW w:w="1558" w:type="dxa"/>
            <w:vAlign w:val="center"/>
          </w:tcPr>
          <w:p w:rsidR="00C861DA" w:rsidRDefault="0044752E">
            <w:pPr>
              <w:pStyle w:val="TableParagraph"/>
              <w:autoSpaceDE/>
              <w:autoSpaceDN/>
              <w:adjustRightInd/>
              <w:ind w:leftChars="20" w:left="42"/>
              <w:jc w:val="center"/>
              <w:rPr>
                <w:rFonts w:cs="宋体"/>
                <w:color w:val="000000" w:themeColor="text1"/>
              </w:rPr>
            </w:pPr>
            <w:r>
              <w:rPr>
                <w:rFonts w:cs="宋体" w:hint="eastAsia"/>
                <w:color w:val="000000" w:themeColor="text1"/>
              </w:rPr>
              <w:t>过热水</w:t>
            </w:r>
          </w:p>
        </w:tc>
        <w:tc>
          <w:tcPr>
            <w:tcW w:w="3053" w:type="dxa"/>
            <w:tcBorders>
              <w:bottom w:val="single" w:sz="4" w:space="0" w:color="000000"/>
            </w:tcBorders>
            <w:vAlign w:val="center"/>
          </w:tcPr>
          <w:p w:rsidR="00C861DA" w:rsidRDefault="0044752E">
            <w:pPr>
              <w:pStyle w:val="af4"/>
              <w:autoSpaceDE/>
              <w:autoSpaceDN/>
              <w:adjustRightInd/>
              <w:spacing w:after="0"/>
              <w:ind w:leftChars="20" w:left="42"/>
              <w:jc w:val="center"/>
              <w:rPr>
                <w:rFonts w:ascii="Times New Roman" w:cs="宋体"/>
                <w:color w:val="000000" w:themeColor="text1"/>
                <w:szCs w:val="21"/>
              </w:rPr>
            </w:pPr>
            <w:r>
              <w:rPr>
                <w:rFonts w:ascii="Times New Roman" w:cs="宋体" w:hint="eastAsia"/>
                <w:color w:val="000000" w:themeColor="text1"/>
                <w:szCs w:val="21"/>
              </w:rPr>
              <w:t>输送至湿法球磨站作为补充水</w:t>
            </w:r>
          </w:p>
        </w:tc>
        <w:tc>
          <w:tcPr>
            <w:tcW w:w="1059" w:type="dxa"/>
            <w:vAlign w:val="center"/>
          </w:tcPr>
          <w:p w:rsidR="00C861DA" w:rsidRDefault="0044752E">
            <w:pPr>
              <w:autoSpaceDE/>
              <w:autoSpaceDN/>
              <w:adjustRightInd/>
              <w:ind w:leftChars="20" w:left="42"/>
              <w:jc w:val="center"/>
              <w:rPr>
                <w:rFonts w:ascii="Times New Roman" w:eastAsia="宋体" w:cs="宋体"/>
                <w:color w:val="000000" w:themeColor="text1"/>
              </w:rPr>
            </w:pPr>
            <w:r>
              <w:rPr>
                <w:rFonts w:ascii="Times New Roman" w:eastAsia="宋体" w:cs="宋体" w:hint="eastAsia"/>
                <w:color w:val="000000" w:themeColor="text1"/>
              </w:rPr>
              <w:t>不外排</w:t>
            </w:r>
          </w:p>
        </w:tc>
        <w:tc>
          <w:tcPr>
            <w:tcW w:w="2410" w:type="dxa"/>
            <w:vAlign w:val="center"/>
          </w:tcPr>
          <w:p w:rsidR="00C861DA" w:rsidRDefault="0044752E">
            <w:pPr>
              <w:autoSpaceDE/>
              <w:autoSpaceDN/>
              <w:adjustRightInd/>
              <w:ind w:leftChars="20" w:left="42"/>
              <w:jc w:val="center"/>
              <w:rPr>
                <w:rFonts w:ascii="Times New Roman" w:eastAsia="宋体" w:cs="宋体"/>
                <w:color w:val="000000" w:themeColor="text1"/>
              </w:rPr>
            </w:pPr>
            <w:r>
              <w:rPr>
                <w:rFonts w:ascii="Times New Roman" w:eastAsia="宋体" w:cs="宋体" w:hint="eastAsia"/>
                <w:color w:val="000000" w:themeColor="text1"/>
              </w:rPr>
              <w:t>输送管道联通</w:t>
            </w:r>
          </w:p>
        </w:tc>
        <w:tc>
          <w:tcPr>
            <w:tcW w:w="851" w:type="dxa"/>
            <w:vAlign w:val="center"/>
          </w:tcPr>
          <w:p w:rsidR="00C861DA" w:rsidRDefault="0044752E">
            <w:pPr>
              <w:autoSpaceDE/>
              <w:autoSpaceDN/>
              <w:adjustRightInd/>
              <w:ind w:leftChars="20" w:left="42"/>
              <w:jc w:val="center"/>
              <w:rPr>
                <w:rFonts w:ascii="Times New Roman" w:eastAsia="宋体"/>
                <w:color w:val="000000" w:themeColor="text1"/>
              </w:rPr>
            </w:pPr>
            <w:r>
              <w:rPr>
                <w:rFonts w:ascii="Times New Roman" w:eastAsia="宋体" w:cs="宋体" w:hint="eastAsia"/>
                <w:color w:val="000000" w:themeColor="text1"/>
              </w:rPr>
              <w:t>/</w:t>
            </w:r>
          </w:p>
        </w:tc>
        <w:tc>
          <w:tcPr>
            <w:tcW w:w="3683" w:type="dxa"/>
            <w:vAlign w:val="center"/>
          </w:tcPr>
          <w:p w:rsidR="00C861DA" w:rsidRDefault="0044752E">
            <w:pPr>
              <w:pStyle w:val="TableParagraph"/>
              <w:autoSpaceDE/>
              <w:autoSpaceDN/>
              <w:adjustRightInd/>
              <w:spacing w:before="162"/>
              <w:ind w:leftChars="20" w:left="42"/>
              <w:jc w:val="center"/>
              <w:rPr>
                <w:color w:val="000000" w:themeColor="text1"/>
              </w:rPr>
            </w:pPr>
            <w:r>
              <w:rPr>
                <w:rFonts w:hint="eastAsia"/>
                <w:color w:val="000000" w:themeColor="text1"/>
              </w:rPr>
              <w:t>废水不外排</w:t>
            </w:r>
          </w:p>
        </w:tc>
      </w:tr>
      <w:tr w:rsidR="00C861DA">
        <w:trPr>
          <w:trHeight w:val="454"/>
        </w:trPr>
        <w:tc>
          <w:tcPr>
            <w:tcW w:w="1109" w:type="dxa"/>
            <w:vAlign w:val="center"/>
          </w:tcPr>
          <w:p w:rsidR="00C861DA" w:rsidRDefault="0044752E">
            <w:pPr>
              <w:autoSpaceDE/>
              <w:autoSpaceDN/>
              <w:adjustRightInd/>
              <w:jc w:val="center"/>
              <w:rPr>
                <w:rFonts w:ascii="Times New Roman" w:eastAsia="宋体"/>
                <w:color w:val="000000" w:themeColor="text1"/>
              </w:rPr>
            </w:pPr>
            <w:r>
              <w:rPr>
                <w:rFonts w:ascii="Times New Roman" w:eastAsia="宋体" w:hint="eastAsia"/>
                <w:color w:val="000000" w:themeColor="text1"/>
              </w:rPr>
              <w:t>噪声</w:t>
            </w:r>
          </w:p>
        </w:tc>
        <w:tc>
          <w:tcPr>
            <w:tcW w:w="569" w:type="dxa"/>
            <w:vAlign w:val="center"/>
          </w:tcPr>
          <w:p w:rsidR="00C861DA" w:rsidRDefault="0044752E">
            <w:pPr>
              <w:autoSpaceDE/>
              <w:autoSpaceDN/>
              <w:adjustRightInd/>
              <w:jc w:val="center"/>
              <w:rPr>
                <w:rFonts w:ascii="Times New Roman" w:eastAsia="宋体"/>
                <w:color w:val="000000" w:themeColor="text1"/>
              </w:rPr>
            </w:pPr>
            <w:r>
              <w:rPr>
                <w:rFonts w:ascii="Times New Roman" w:eastAsia="宋体" w:hint="eastAsia"/>
                <w:color w:val="000000" w:themeColor="text1"/>
              </w:rPr>
              <w:t>设备</w:t>
            </w:r>
          </w:p>
        </w:tc>
        <w:tc>
          <w:tcPr>
            <w:tcW w:w="1017" w:type="dxa"/>
            <w:vAlign w:val="center"/>
          </w:tcPr>
          <w:p w:rsidR="00C861DA" w:rsidRDefault="0044752E">
            <w:pPr>
              <w:pStyle w:val="TableParagraph"/>
              <w:autoSpaceDE/>
              <w:autoSpaceDN/>
              <w:adjustRightInd/>
              <w:spacing w:before="1"/>
              <w:ind w:leftChars="20" w:left="42"/>
              <w:jc w:val="center"/>
              <w:rPr>
                <w:rFonts w:cs="宋体"/>
                <w:color w:val="000000" w:themeColor="text1"/>
              </w:rPr>
            </w:pPr>
            <w:r>
              <w:rPr>
                <w:rFonts w:cs="宋体" w:hint="eastAsia"/>
                <w:color w:val="000000" w:themeColor="text1"/>
              </w:rPr>
              <w:t>机械噪声</w:t>
            </w:r>
          </w:p>
        </w:tc>
        <w:tc>
          <w:tcPr>
            <w:tcW w:w="1558" w:type="dxa"/>
            <w:vAlign w:val="center"/>
          </w:tcPr>
          <w:p w:rsidR="00C861DA" w:rsidRDefault="0044752E">
            <w:pPr>
              <w:pStyle w:val="TableParagraph"/>
              <w:autoSpaceDE/>
              <w:autoSpaceDN/>
              <w:adjustRightInd/>
              <w:spacing w:before="1"/>
              <w:ind w:leftChars="20" w:left="42"/>
              <w:jc w:val="center"/>
              <w:rPr>
                <w:rFonts w:cs="宋体"/>
                <w:color w:val="000000" w:themeColor="text1"/>
              </w:rPr>
            </w:pPr>
            <w:r>
              <w:rPr>
                <w:rFonts w:hint="eastAsia"/>
                <w:color w:val="000000" w:themeColor="text1"/>
              </w:rPr>
              <w:t>75~100dB</w:t>
            </w:r>
            <w:r>
              <w:rPr>
                <w:rFonts w:hint="eastAsia"/>
                <w:color w:val="000000" w:themeColor="text1"/>
              </w:rPr>
              <w:t>（</w:t>
            </w:r>
            <w:r>
              <w:rPr>
                <w:rFonts w:hint="eastAsia"/>
                <w:color w:val="000000" w:themeColor="text1"/>
              </w:rPr>
              <w:t>A</w:t>
            </w:r>
            <w:r>
              <w:rPr>
                <w:rFonts w:hint="eastAsia"/>
                <w:color w:val="000000" w:themeColor="text1"/>
              </w:rPr>
              <w:t>）</w:t>
            </w:r>
          </w:p>
        </w:tc>
        <w:tc>
          <w:tcPr>
            <w:tcW w:w="3053" w:type="dxa"/>
            <w:tcBorders>
              <w:top w:val="single" w:sz="4" w:space="0" w:color="000000"/>
            </w:tcBorders>
            <w:vAlign w:val="center"/>
          </w:tcPr>
          <w:p w:rsidR="00C861DA" w:rsidRDefault="0044752E">
            <w:pPr>
              <w:pStyle w:val="TableParagraph"/>
              <w:autoSpaceDE/>
              <w:autoSpaceDN/>
              <w:adjustRightInd/>
              <w:spacing w:before="1"/>
              <w:ind w:leftChars="20" w:left="42"/>
              <w:jc w:val="center"/>
              <w:rPr>
                <w:rFonts w:cs="宋体"/>
                <w:color w:val="000000" w:themeColor="text1"/>
              </w:rPr>
            </w:pPr>
            <w:r>
              <w:rPr>
                <w:rFonts w:cs="宋体"/>
                <w:color w:val="000000" w:themeColor="text1"/>
              </w:rPr>
              <w:t>减振器、冲压线全封闭</w:t>
            </w:r>
            <w:r>
              <w:rPr>
                <w:rFonts w:cs="宋体" w:hint="eastAsia"/>
                <w:color w:val="000000" w:themeColor="text1"/>
              </w:rPr>
              <w:t>，</w:t>
            </w:r>
            <w:r>
              <w:rPr>
                <w:rFonts w:cs="宋体"/>
                <w:color w:val="000000" w:themeColor="text1"/>
              </w:rPr>
              <w:t>选节能高效风机、隔消声</w:t>
            </w:r>
            <w:r>
              <w:rPr>
                <w:rFonts w:cs="宋体" w:hint="eastAsia"/>
                <w:color w:val="000000" w:themeColor="text1"/>
              </w:rPr>
              <w:t>、</w:t>
            </w:r>
            <w:r>
              <w:rPr>
                <w:rFonts w:cs="宋体"/>
                <w:color w:val="000000" w:themeColor="text1"/>
              </w:rPr>
              <w:t>建筑隔声</w:t>
            </w:r>
            <w:r>
              <w:rPr>
                <w:rFonts w:cs="宋体" w:hint="eastAsia"/>
                <w:color w:val="000000" w:themeColor="text1"/>
              </w:rPr>
              <w:t>、</w:t>
            </w:r>
            <w:r>
              <w:rPr>
                <w:rFonts w:cs="宋体"/>
                <w:color w:val="000000" w:themeColor="text1"/>
              </w:rPr>
              <w:t>节能低噪声冷却塔</w:t>
            </w:r>
            <w:r>
              <w:rPr>
                <w:rFonts w:cs="宋体" w:hint="eastAsia"/>
                <w:color w:val="000000" w:themeColor="text1"/>
              </w:rPr>
              <w:t>。</w:t>
            </w:r>
          </w:p>
        </w:tc>
        <w:tc>
          <w:tcPr>
            <w:tcW w:w="1059" w:type="dxa"/>
            <w:vAlign w:val="center"/>
          </w:tcPr>
          <w:p w:rsidR="00C861DA" w:rsidRDefault="0044752E">
            <w:pPr>
              <w:pStyle w:val="TableParagraph"/>
              <w:autoSpaceDE/>
              <w:autoSpaceDN/>
              <w:adjustRightInd/>
              <w:spacing w:before="1"/>
              <w:ind w:leftChars="20" w:left="42"/>
              <w:jc w:val="center"/>
              <w:rPr>
                <w:rFonts w:cs="宋体"/>
                <w:color w:val="000000" w:themeColor="text1"/>
              </w:rPr>
            </w:pPr>
            <w:r>
              <w:rPr>
                <w:rFonts w:cs="宋体" w:hint="eastAsia"/>
                <w:color w:val="000000" w:themeColor="text1"/>
              </w:rPr>
              <w:t>达标</w:t>
            </w:r>
          </w:p>
        </w:tc>
        <w:tc>
          <w:tcPr>
            <w:tcW w:w="2410" w:type="dxa"/>
            <w:vAlign w:val="center"/>
          </w:tcPr>
          <w:p w:rsidR="00C861DA" w:rsidRDefault="0044752E">
            <w:pPr>
              <w:pStyle w:val="TableParagraph"/>
              <w:tabs>
                <w:tab w:val="center" w:pos="1486"/>
              </w:tabs>
              <w:autoSpaceDE/>
              <w:autoSpaceDN/>
              <w:adjustRightInd/>
              <w:spacing w:before="1"/>
              <w:ind w:leftChars="20" w:left="42"/>
              <w:jc w:val="center"/>
              <w:rPr>
                <w:rFonts w:cs="宋体"/>
                <w:color w:val="000000" w:themeColor="text1"/>
              </w:rPr>
            </w:pPr>
            <w:r>
              <w:rPr>
                <w:rFonts w:cs="宋体" w:hint="eastAsia"/>
                <w:color w:val="000000" w:themeColor="text1"/>
              </w:rPr>
              <w:t>/</w:t>
            </w:r>
          </w:p>
        </w:tc>
        <w:tc>
          <w:tcPr>
            <w:tcW w:w="851" w:type="dxa"/>
            <w:vAlign w:val="center"/>
          </w:tcPr>
          <w:p w:rsidR="00C861DA" w:rsidRDefault="0044752E">
            <w:pPr>
              <w:pStyle w:val="TableParagraph"/>
              <w:autoSpaceDE/>
              <w:autoSpaceDN/>
              <w:adjustRightInd/>
              <w:ind w:leftChars="20" w:left="42"/>
              <w:jc w:val="center"/>
              <w:rPr>
                <w:rFonts w:cs="宋体"/>
                <w:color w:val="000000" w:themeColor="text1"/>
              </w:rPr>
            </w:pPr>
            <w:r>
              <w:rPr>
                <w:rFonts w:cs="宋体" w:hint="eastAsia"/>
                <w:color w:val="000000" w:themeColor="text1"/>
              </w:rPr>
              <w:t>若干</w:t>
            </w:r>
          </w:p>
        </w:tc>
        <w:tc>
          <w:tcPr>
            <w:tcW w:w="3683" w:type="dxa"/>
            <w:vAlign w:val="center"/>
          </w:tcPr>
          <w:p w:rsidR="00C861DA" w:rsidRDefault="0044752E">
            <w:pPr>
              <w:pStyle w:val="TableParagraph"/>
              <w:spacing w:before="42"/>
              <w:jc w:val="center"/>
              <w:rPr>
                <w:rFonts w:cs="宋体"/>
                <w:color w:val="000000" w:themeColor="text1"/>
              </w:rPr>
            </w:pPr>
            <w:r>
              <w:rPr>
                <w:rFonts w:cs="宋体"/>
                <w:color w:val="000000" w:themeColor="text1"/>
              </w:rPr>
              <w:t>《工业企业厂界环境</w:t>
            </w:r>
          </w:p>
          <w:p w:rsidR="00C861DA" w:rsidRDefault="0044752E">
            <w:pPr>
              <w:pStyle w:val="TableParagraph"/>
              <w:spacing w:before="42"/>
              <w:jc w:val="center"/>
              <w:rPr>
                <w:color w:val="000000" w:themeColor="text1"/>
              </w:rPr>
            </w:pPr>
            <w:r>
              <w:rPr>
                <w:rFonts w:cs="宋体"/>
                <w:color w:val="000000" w:themeColor="text1"/>
              </w:rPr>
              <w:t>噪声</w:t>
            </w:r>
            <w:r>
              <w:rPr>
                <w:rFonts w:cs="宋体"/>
                <w:color w:val="000000" w:themeColor="text1"/>
              </w:rPr>
              <w:t xml:space="preserve"> </w:t>
            </w:r>
            <w:r>
              <w:rPr>
                <w:rFonts w:cs="宋体"/>
                <w:color w:val="000000" w:themeColor="text1"/>
              </w:rPr>
              <w:t>排放标准》</w:t>
            </w:r>
            <w:r>
              <w:rPr>
                <w:rFonts w:hint="eastAsia"/>
                <w:color w:val="000000" w:themeColor="text1"/>
              </w:rPr>
              <w:t>（</w:t>
            </w:r>
            <w:r>
              <w:rPr>
                <w:color w:val="000000" w:themeColor="text1"/>
              </w:rPr>
              <w:t>GB12348-2008</w:t>
            </w:r>
            <w:r>
              <w:rPr>
                <w:rFonts w:hint="eastAsia"/>
                <w:color w:val="000000" w:themeColor="text1"/>
              </w:rPr>
              <w:t>）</w:t>
            </w:r>
          </w:p>
          <w:p w:rsidR="00C861DA" w:rsidRDefault="0044752E">
            <w:pPr>
              <w:pStyle w:val="TableParagraph"/>
              <w:spacing w:before="42"/>
              <w:jc w:val="center"/>
              <w:rPr>
                <w:color w:val="000000" w:themeColor="text1"/>
              </w:rPr>
            </w:pPr>
            <w:r>
              <w:rPr>
                <w:color w:val="000000" w:themeColor="text1"/>
              </w:rPr>
              <w:t>3</w:t>
            </w:r>
            <w:r>
              <w:rPr>
                <w:rFonts w:cs="宋体"/>
                <w:color w:val="000000" w:themeColor="text1"/>
              </w:rPr>
              <w:t>类</w:t>
            </w:r>
          </w:p>
        </w:tc>
      </w:tr>
      <w:tr w:rsidR="00C861DA">
        <w:trPr>
          <w:trHeight w:val="454"/>
        </w:trPr>
        <w:tc>
          <w:tcPr>
            <w:tcW w:w="1109" w:type="dxa"/>
            <w:vMerge w:val="restart"/>
            <w:vAlign w:val="center"/>
          </w:tcPr>
          <w:p w:rsidR="00C861DA" w:rsidRDefault="0044752E">
            <w:pPr>
              <w:autoSpaceDE/>
              <w:autoSpaceDN/>
              <w:adjustRightInd/>
              <w:jc w:val="center"/>
              <w:rPr>
                <w:rFonts w:ascii="Times New Roman" w:eastAsia="宋体"/>
                <w:color w:val="000000" w:themeColor="text1"/>
              </w:rPr>
            </w:pPr>
            <w:r>
              <w:rPr>
                <w:rFonts w:ascii="Times New Roman" w:eastAsia="宋体" w:hint="eastAsia"/>
                <w:color w:val="000000" w:themeColor="text1"/>
              </w:rPr>
              <w:t>固废</w:t>
            </w:r>
          </w:p>
        </w:tc>
        <w:tc>
          <w:tcPr>
            <w:tcW w:w="569" w:type="dxa"/>
            <w:vMerge w:val="restart"/>
            <w:vAlign w:val="center"/>
          </w:tcPr>
          <w:p w:rsidR="00C861DA" w:rsidRDefault="0044752E">
            <w:pPr>
              <w:autoSpaceDE/>
              <w:autoSpaceDN/>
              <w:adjustRightInd/>
              <w:jc w:val="center"/>
              <w:rPr>
                <w:rFonts w:ascii="Times New Roman" w:eastAsia="宋体"/>
                <w:color w:val="000000" w:themeColor="text1"/>
              </w:rPr>
            </w:pPr>
            <w:r>
              <w:rPr>
                <w:rFonts w:ascii="Times New Roman" w:eastAsia="宋体" w:hint="eastAsia"/>
                <w:color w:val="000000" w:themeColor="text1"/>
              </w:rPr>
              <w:t>固废站</w:t>
            </w:r>
          </w:p>
        </w:tc>
        <w:tc>
          <w:tcPr>
            <w:tcW w:w="1017" w:type="dxa"/>
            <w:vAlign w:val="center"/>
          </w:tcPr>
          <w:p w:rsidR="00C861DA" w:rsidRDefault="0044752E">
            <w:pPr>
              <w:pStyle w:val="TableParagraph"/>
              <w:autoSpaceDE/>
              <w:autoSpaceDN/>
              <w:adjustRightInd/>
              <w:ind w:leftChars="20" w:left="42"/>
              <w:jc w:val="center"/>
              <w:rPr>
                <w:rFonts w:cs="宋体"/>
                <w:color w:val="000000" w:themeColor="text1"/>
              </w:rPr>
            </w:pPr>
            <w:r>
              <w:rPr>
                <w:rFonts w:cs="宋体"/>
                <w:color w:val="000000" w:themeColor="text1"/>
              </w:rPr>
              <w:t>危废</w:t>
            </w:r>
          </w:p>
          <w:p w:rsidR="00C861DA" w:rsidRDefault="0044752E">
            <w:pPr>
              <w:pStyle w:val="TableParagraph"/>
              <w:autoSpaceDE/>
              <w:autoSpaceDN/>
              <w:adjustRightInd/>
              <w:ind w:leftChars="20" w:left="42"/>
              <w:jc w:val="center"/>
              <w:rPr>
                <w:rFonts w:cs="宋体"/>
                <w:color w:val="000000" w:themeColor="text1"/>
              </w:rPr>
            </w:pPr>
            <w:r>
              <w:rPr>
                <w:rFonts w:cs="宋体"/>
                <w:color w:val="000000" w:themeColor="text1"/>
              </w:rPr>
              <w:t>暂存间</w:t>
            </w:r>
          </w:p>
        </w:tc>
        <w:tc>
          <w:tcPr>
            <w:tcW w:w="1558" w:type="dxa"/>
            <w:vAlign w:val="center"/>
          </w:tcPr>
          <w:p w:rsidR="00C861DA" w:rsidRDefault="0044752E">
            <w:pPr>
              <w:pStyle w:val="TableParagraph"/>
              <w:autoSpaceDE/>
              <w:autoSpaceDN/>
              <w:adjustRightInd/>
              <w:spacing w:before="1"/>
              <w:ind w:leftChars="20" w:left="42"/>
              <w:jc w:val="center"/>
              <w:rPr>
                <w:rFonts w:cs="宋体"/>
                <w:color w:val="000000" w:themeColor="text1"/>
              </w:rPr>
            </w:pPr>
            <w:r>
              <w:rPr>
                <w:rFonts w:cs="宋体" w:hint="eastAsia"/>
                <w:color w:val="000000" w:themeColor="text1"/>
              </w:rPr>
              <w:t>废催化剂、废机油等</w:t>
            </w:r>
          </w:p>
        </w:tc>
        <w:tc>
          <w:tcPr>
            <w:tcW w:w="3053" w:type="dxa"/>
            <w:vAlign w:val="center"/>
          </w:tcPr>
          <w:p w:rsidR="00C861DA" w:rsidRDefault="0044752E">
            <w:pPr>
              <w:pStyle w:val="TableParagraph"/>
              <w:autoSpaceDE/>
              <w:autoSpaceDN/>
              <w:adjustRightInd/>
              <w:ind w:leftChars="20" w:left="42"/>
              <w:jc w:val="center"/>
              <w:rPr>
                <w:rFonts w:cs="宋体"/>
                <w:color w:val="000000" w:themeColor="text1"/>
              </w:rPr>
            </w:pPr>
            <w:r>
              <w:rPr>
                <w:rFonts w:cs="宋体" w:hint="eastAsia"/>
                <w:color w:val="000000" w:themeColor="text1"/>
              </w:rPr>
              <w:t>危废暂存间设置在固废站内，危险废物储存周期不超过</w:t>
            </w:r>
            <w:r>
              <w:rPr>
                <w:rFonts w:cs="宋体" w:hint="eastAsia"/>
                <w:color w:val="000000" w:themeColor="text1"/>
              </w:rPr>
              <w:t>12</w:t>
            </w:r>
            <w:r>
              <w:rPr>
                <w:rFonts w:cs="宋体" w:hint="eastAsia"/>
                <w:color w:val="000000" w:themeColor="text1"/>
              </w:rPr>
              <w:t>个月，委托有资质的单位处置。</w:t>
            </w:r>
          </w:p>
        </w:tc>
        <w:tc>
          <w:tcPr>
            <w:tcW w:w="1059" w:type="dxa"/>
            <w:vAlign w:val="center"/>
          </w:tcPr>
          <w:p w:rsidR="00C861DA" w:rsidRDefault="0044752E">
            <w:pPr>
              <w:pStyle w:val="TableParagraph"/>
              <w:autoSpaceDE/>
              <w:autoSpaceDN/>
              <w:adjustRightInd/>
              <w:ind w:leftChars="20" w:left="42"/>
              <w:jc w:val="center"/>
              <w:rPr>
                <w:rFonts w:cs="宋体"/>
                <w:color w:val="000000" w:themeColor="text1"/>
              </w:rPr>
            </w:pPr>
            <w:r>
              <w:rPr>
                <w:rFonts w:cs="宋体" w:hint="eastAsia"/>
                <w:color w:val="000000" w:themeColor="text1"/>
              </w:rPr>
              <w:t>不外排</w:t>
            </w:r>
          </w:p>
        </w:tc>
        <w:tc>
          <w:tcPr>
            <w:tcW w:w="2410" w:type="dxa"/>
            <w:vAlign w:val="center"/>
          </w:tcPr>
          <w:p w:rsidR="00C861DA" w:rsidRDefault="0044752E">
            <w:pPr>
              <w:pStyle w:val="TableParagraph"/>
              <w:autoSpaceDE/>
              <w:autoSpaceDN/>
              <w:adjustRightInd/>
              <w:ind w:leftChars="20" w:left="42"/>
              <w:jc w:val="center"/>
              <w:rPr>
                <w:rFonts w:cs="宋体"/>
                <w:color w:val="000000" w:themeColor="text1"/>
              </w:rPr>
            </w:pPr>
            <w:r>
              <w:rPr>
                <w:rFonts w:cs="宋体"/>
                <w:color w:val="000000" w:themeColor="text1"/>
              </w:rPr>
              <w:t>建设危废暂存间，基础防渗、排水地沟等，建筑面积</w:t>
            </w:r>
            <w:r>
              <w:rPr>
                <w:color w:val="000000" w:themeColor="text1"/>
              </w:rPr>
              <w:t>30m</w:t>
            </w:r>
            <w:r>
              <w:rPr>
                <w:rFonts w:hint="eastAsia"/>
                <w:color w:val="000000" w:themeColor="text1"/>
                <w:vertAlign w:val="superscript"/>
              </w:rPr>
              <w:t>2</w:t>
            </w:r>
            <w:r>
              <w:rPr>
                <w:rFonts w:cs="宋体" w:hint="eastAsia"/>
                <w:color w:val="000000" w:themeColor="text1"/>
              </w:rPr>
              <w:t>。</w:t>
            </w:r>
          </w:p>
        </w:tc>
        <w:tc>
          <w:tcPr>
            <w:tcW w:w="851" w:type="dxa"/>
            <w:vAlign w:val="center"/>
          </w:tcPr>
          <w:p w:rsidR="00C861DA" w:rsidRDefault="0044752E">
            <w:pPr>
              <w:pStyle w:val="TableParagraph"/>
              <w:autoSpaceDE/>
              <w:autoSpaceDN/>
              <w:adjustRightInd/>
              <w:ind w:leftChars="20" w:left="42"/>
              <w:jc w:val="center"/>
              <w:rPr>
                <w:rFonts w:cs="宋体"/>
                <w:color w:val="000000" w:themeColor="text1"/>
              </w:rPr>
            </w:pPr>
            <w:r>
              <w:rPr>
                <w:rFonts w:cs="宋体" w:hint="eastAsia"/>
                <w:color w:val="000000" w:themeColor="text1"/>
              </w:rPr>
              <w:t>1</w:t>
            </w:r>
            <w:r>
              <w:rPr>
                <w:rFonts w:cs="宋体" w:hint="eastAsia"/>
                <w:color w:val="000000" w:themeColor="text1"/>
              </w:rPr>
              <w:t>座</w:t>
            </w:r>
          </w:p>
        </w:tc>
        <w:tc>
          <w:tcPr>
            <w:tcW w:w="3683" w:type="dxa"/>
            <w:vAlign w:val="center"/>
          </w:tcPr>
          <w:p w:rsidR="00C861DA" w:rsidRDefault="0044752E">
            <w:pPr>
              <w:pStyle w:val="TableParagraph"/>
              <w:autoSpaceDE/>
              <w:autoSpaceDN/>
              <w:adjustRightInd/>
              <w:ind w:leftChars="20" w:left="42"/>
              <w:jc w:val="center"/>
              <w:rPr>
                <w:color w:val="000000" w:themeColor="text1"/>
              </w:rPr>
            </w:pPr>
            <w:r>
              <w:rPr>
                <w:rFonts w:hint="eastAsia"/>
                <w:color w:val="000000" w:themeColor="text1"/>
              </w:rPr>
              <w:t>处置率</w:t>
            </w:r>
            <w:r>
              <w:rPr>
                <w:rFonts w:hint="eastAsia"/>
                <w:color w:val="000000" w:themeColor="text1"/>
              </w:rPr>
              <w:t>100%</w:t>
            </w:r>
          </w:p>
        </w:tc>
      </w:tr>
      <w:tr w:rsidR="00C861DA">
        <w:trPr>
          <w:trHeight w:val="454"/>
        </w:trPr>
        <w:tc>
          <w:tcPr>
            <w:tcW w:w="1109" w:type="dxa"/>
            <w:vMerge/>
            <w:vAlign w:val="center"/>
          </w:tcPr>
          <w:p w:rsidR="00C861DA" w:rsidRDefault="00C861DA">
            <w:pPr>
              <w:autoSpaceDE/>
              <w:autoSpaceDN/>
              <w:adjustRightInd/>
              <w:jc w:val="center"/>
              <w:rPr>
                <w:rFonts w:ascii="Times New Roman" w:eastAsia="宋体"/>
                <w:color w:val="000000" w:themeColor="text1"/>
              </w:rPr>
            </w:pPr>
          </w:p>
        </w:tc>
        <w:tc>
          <w:tcPr>
            <w:tcW w:w="569" w:type="dxa"/>
            <w:vMerge/>
            <w:vAlign w:val="center"/>
          </w:tcPr>
          <w:p w:rsidR="00C861DA" w:rsidRDefault="00C861DA">
            <w:pPr>
              <w:autoSpaceDE/>
              <w:autoSpaceDN/>
              <w:adjustRightInd/>
              <w:jc w:val="center"/>
              <w:rPr>
                <w:rFonts w:ascii="Times New Roman" w:eastAsia="宋体"/>
                <w:color w:val="000000" w:themeColor="text1"/>
              </w:rPr>
            </w:pPr>
          </w:p>
        </w:tc>
        <w:tc>
          <w:tcPr>
            <w:tcW w:w="1017" w:type="dxa"/>
            <w:vAlign w:val="center"/>
          </w:tcPr>
          <w:p w:rsidR="00C861DA" w:rsidRDefault="0044752E">
            <w:pPr>
              <w:pStyle w:val="TableParagraph"/>
              <w:autoSpaceDE/>
              <w:autoSpaceDN/>
              <w:adjustRightInd/>
              <w:ind w:leftChars="20" w:left="42"/>
              <w:jc w:val="center"/>
              <w:rPr>
                <w:color w:val="000000" w:themeColor="text1"/>
              </w:rPr>
            </w:pPr>
            <w:r>
              <w:rPr>
                <w:color w:val="000000" w:themeColor="text1"/>
              </w:rPr>
              <w:t>一般工业</w:t>
            </w:r>
          </w:p>
          <w:p w:rsidR="00C861DA" w:rsidRDefault="0044752E">
            <w:pPr>
              <w:pStyle w:val="TableParagraph"/>
              <w:autoSpaceDE/>
              <w:autoSpaceDN/>
              <w:adjustRightInd/>
              <w:ind w:leftChars="20" w:left="42"/>
              <w:jc w:val="center"/>
              <w:rPr>
                <w:rFonts w:cs="宋体"/>
                <w:color w:val="000000" w:themeColor="text1"/>
              </w:rPr>
            </w:pPr>
            <w:r>
              <w:rPr>
                <w:color w:val="000000" w:themeColor="text1"/>
              </w:rPr>
              <w:t>固废堆场</w:t>
            </w:r>
          </w:p>
        </w:tc>
        <w:tc>
          <w:tcPr>
            <w:tcW w:w="1558" w:type="dxa"/>
            <w:vAlign w:val="center"/>
          </w:tcPr>
          <w:p w:rsidR="00C861DA" w:rsidRDefault="0044752E">
            <w:pPr>
              <w:pStyle w:val="TableParagraph"/>
              <w:autoSpaceDE/>
              <w:autoSpaceDN/>
              <w:adjustRightInd/>
              <w:spacing w:before="1"/>
              <w:ind w:leftChars="20" w:left="42"/>
              <w:jc w:val="center"/>
              <w:rPr>
                <w:rFonts w:cs="宋体"/>
                <w:color w:val="000000" w:themeColor="text1"/>
              </w:rPr>
            </w:pPr>
            <w:r>
              <w:rPr>
                <w:rFonts w:cs="宋体" w:hint="eastAsia"/>
                <w:color w:val="000000" w:themeColor="text1"/>
              </w:rPr>
              <w:t>废包装材料</w:t>
            </w:r>
          </w:p>
        </w:tc>
        <w:tc>
          <w:tcPr>
            <w:tcW w:w="3053" w:type="dxa"/>
            <w:vAlign w:val="center"/>
          </w:tcPr>
          <w:p w:rsidR="00C861DA" w:rsidRDefault="0044752E">
            <w:pPr>
              <w:pStyle w:val="TableParagraph"/>
              <w:autoSpaceDE/>
              <w:autoSpaceDN/>
              <w:adjustRightInd/>
              <w:ind w:leftChars="20" w:left="42"/>
              <w:jc w:val="center"/>
              <w:rPr>
                <w:rFonts w:cs="宋体"/>
                <w:color w:val="000000" w:themeColor="text1"/>
              </w:rPr>
            </w:pPr>
            <w:r>
              <w:rPr>
                <w:rFonts w:hint="eastAsia"/>
                <w:color w:val="000000" w:themeColor="text1"/>
              </w:rPr>
              <w:t>堆场在</w:t>
            </w:r>
            <w:r>
              <w:rPr>
                <w:color w:val="000000" w:themeColor="text1"/>
              </w:rPr>
              <w:t>一般工业固废堆场</w:t>
            </w:r>
            <w:r>
              <w:rPr>
                <w:rFonts w:hint="eastAsia"/>
                <w:color w:val="000000" w:themeColor="text1"/>
              </w:rPr>
              <w:t>，收集后出售，综合利用</w:t>
            </w:r>
          </w:p>
        </w:tc>
        <w:tc>
          <w:tcPr>
            <w:tcW w:w="1059" w:type="dxa"/>
            <w:vAlign w:val="center"/>
          </w:tcPr>
          <w:p w:rsidR="00C861DA" w:rsidRDefault="0044752E">
            <w:pPr>
              <w:pStyle w:val="TableParagraph"/>
              <w:autoSpaceDE/>
              <w:autoSpaceDN/>
              <w:adjustRightInd/>
              <w:ind w:leftChars="20" w:left="42"/>
              <w:jc w:val="center"/>
              <w:rPr>
                <w:rFonts w:cs="宋体"/>
                <w:color w:val="000000" w:themeColor="text1"/>
              </w:rPr>
            </w:pPr>
            <w:r>
              <w:rPr>
                <w:rFonts w:cs="宋体" w:hint="eastAsia"/>
                <w:color w:val="000000" w:themeColor="text1"/>
              </w:rPr>
              <w:t>不外排</w:t>
            </w:r>
          </w:p>
        </w:tc>
        <w:tc>
          <w:tcPr>
            <w:tcW w:w="2410" w:type="dxa"/>
            <w:vAlign w:val="center"/>
          </w:tcPr>
          <w:p w:rsidR="00C861DA" w:rsidRDefault="0044752E">
            <w:pPr>
              <w:pStyle w:val="TableParagraph"/>
              <w:autoSpaceDE/>
              <w:autoSpaceDN/>
              <w:adjustRightInd/>
              <w:ind w:leftChars="20" w:left="42"/>
              <w:jc w:val="center"/>
              <w:rPr>
                <w:rFonts w:cs="宋体"/>
                <w:color w:val="000000" w:themeColor="text1"/>
              </w:rPr>
            </w:pPr>
            <w:r>
              <w:rPr>
                <w:rFonts w:cs="宋体"/>
                <w:color w:val="000000" w:themeColor="text1"/>
              </w:rPr>
              <w:t>地面用水泥硬化</w:t>
            </w:r>
            <w:r>
              <w:rPr>
                <w:rFonts w:cs="宋体" w:hint="eastAsia"/>
                <w:color w:val="000000" w:themeColor="text1"/>
              </w:rPr>
              <w:t>，</w:t>
            </w:r>
            <w:r>
              <w:rPr>
                <w:rFonts w:cs="宋体"/>
                <w:color w:val="000000" w:themeColor="text1"/>
              </w:rPr>
              <w:t>建筑面积</w:t>
            </w:r>
            <w:r>
              <w:rPr>
                <w:color w:val="000000" w:themeColor="text1"/>
              </w:rPr>
              <w:t>300m</w:t>
            </w:r>
            <w:r>
              <w:rPr>
                <w:rFonts w:hint="eastAsia"/>
                <w:color w:val="000000" w:themeColor="text1"/>
                <w:vertAlign w:val="superscript"/>
              </w:rPr>
              <w:t>2</w:t>
            </w:r>
          </w:p>
        </w:tc>
        <w:tc>
          <w:tcPr>
            <w:tcW w:w="851" w:type="dxa"/>
            <w:vAlign w:val="center"/>
          </w:tcPr>
          <w:p w:rsidR="00C861DA" w:rsidRDefault="0044752E">
            <w:pPr>
              <w:pStyle w:val="TableParagraph"/>
              <w:autoSpaceDE/>
              <w:autoSpaceDN/>
              <w:adjustRightInd/>
              <w:ind w:leftChars="20" w:left="42"/>
              <w:jc w:val="center"/>
              <w:rPr>
                <w:rFonts w:cs="宋体"/>
                <w:color w:val="000000" w:themeColor="text1"/>
              </w:rPr>
            </w:pPr>
            <w:r>
              <w:rPr>
                <w:rFonts w:cs="宋体" w:hint="eastAsia"/>
                <w:color w:val="000000" w:themeColor="text1"/>
              </w:rPr>
              <w:t>1</w:t>
            </w:r>
            <w:r>
              <w:rPr>
                <w:rFonts w:cs="宋体" w:hint="eastAsia"/>
                <w:color w:val="000000" w:themeColor="text1"/>
              </w:rPr>
              <w:t>座</w:t>
            </w:r>
          </w:p>
        </w:tc>
        <w:tc>
          <w:tcPr>
            <w:tcW w:w="3683" w:type="dxa"/>
            <w:vAlign w:val="center"/>
          </w:tcPr>
          <w:p w:rsidR="00C861DA" w:rsidRDefault="0044752E">
            <w:pPr>
              <w:pStyle w:val="TableParagraph"/>
              <w:autoSpaceDE/>
              <w:autoSpaceDN/>
              <w:adjustRightInd/>
              <w:ind w:leftChars="20" w:left="42"/>
              <w:jc w:val="center"/>
              <w:rPr>
                <w:color w:val="000000" w:themeColor="text1"/>
              </w:rPr>
            </w:pPr>
            <w:r>
              <w:rPr>
                <w:rFonts w:hint="eastAsia"/>
                <w:color w:val="000000" w:themeColor="text1"/>
              </w:rPr>
              <w:t>处置率</w:t>
            </w:r>
            <w:r>
              <w:rPr>
                <w:rFonts w:hint="eastAsia"/>
                <w:color w:val="000000" w:themeColor="text1"/>
              </w:rPr>
              <w:t>100%</w:t>
            </w:r>
          </w:p>
        </w:tc>
      </w:tr>
      <w:tr w:rsidR="00C861DA">
        <w:trPr>
          <w:trHeight w:val="454"/>
        </w:trPr>
        <w:tc>
          <w:tcPr>
            <w:tcW w:w="1109" w:type="dxa"/>
            <w:vAlign w:val="center"/>
          </w:tcPr>
          <w:p w:rsidR="00C861DA" w:rsidRDefault="0044752E">
            <w:pPr>
              <w:autoSpaceDE/>
              <w:autoSpaceDN/>
              <w:adjustRightInd/>
              <w:jc w:val="center"/>
              <w:rPr>
                <w:rFonts w:ascii="Times New Roman" w:eastAsia="宋体"/>
                <w:color w:val="000000" w:themeColor="text1"/>
              </w:rPr>
            </w:pPr>
            <w:r>
              <w:rPr>
                <w:rFonts w:ascii="Times New Roman" w:eastAsia="宋体" w:hint="eastAsia"/>
                <w:color w:val="000000" w:themeColor="text1"/>
              </w:rPr>
              <w:t>地下水</w:t>
            </w:r>
          </w:p>
        </w:tc>
        <w:tc>
          <w:tcPr>
            <w:tcW w:w="569" w:type="dxa"/>
            <w:vAlign w:val="center"/>
          </w:tcPr>
          <w:p w:rsidR="00C861DA" w:rsidRDefault="0044752E">
            <w:pPr>
              <w:autoSpaceDE/>
              <w:autoSpaceDN/>
              <w:adjustRightInd/>
              <w:jc w:val="center"/>
              <w:rPr>
                <w:rFonts w:ascii="Times New Roman" w:eastAsia="宋体"/>
                <w:color w:val="000000" w:themeColor="text1"/>
              </w:rPr>
            </w:pPr>
            <w:r>
              <w:rPr>
                <w:rFonts w:ascii="Times New Roman" w:eastAsia="宋体" w:hint="eastAsia"/>
                <w:color w:val="000000" w:themeColor="text1"/>
              </w:rPr>
              <w:t>地下水</w:t>
            </w:r>
          </w:p>
        </w:tc>
        <w:tc>
          <w:tcPr>
            <w:tcW w:w="2575" w:type="dxa"/>
            <w:gridSpan w:val="2"/>
            <w:vAlign w:val="center"/>
          </w:tcPr>
          <w:p w:rsidR="00C861DA" w:rsidRDefault="0044752E">
            <w:pPr>
              <w:pStyle w:val="TableParagraph"/>
              <w:autoSpaceDE/>
              <w:autoSpaceDN/>
              <w:adjustRightInd/>
              <w:ind w:leftChars="20" w:left="42"/>
              <w:jc w:val="center"/>
              <w:rPr>
                <w:rFonts w:cs="宋体"/>
                <w:color w:val="000000" w:themeColor="text1"/>
              </w:rPr>
            </w:pPr>
            <w:r>
              <w:rPr>
                <w:rFonts w:cs="宋体" w:hint="eastAsia"/>
                <w:color w:val="000000" w:themeColor="text1"/>
              </w:rPr>
              <w:t>pH</w:t>
            </w:r>
            <w:r>
              <w:rPr>
                <w:rFonts w:cs="宋体" w:hint="eastAsia"/>
                <w:color w:val="000000" w:themeColor="text1"/>
              </w:rPr>
              <w:t>、石油类、氟化物、氨氮</w:t>
            </w:r>
          </w:p>
        </w:tc>
        <w:tc>
          <w:tcPr>
            <w:tcW w:w="3053" w:type="dxa"/>
            <w:vAlign w:val="center"/>
          </w:tcPr>
          <w:p w:rsidR="00C861DA" w:rsidRDefault="0044752E">
            <w:pPr>
              <w:pStyle w:val="TableParagraph"/>
              <w:autoSpaceDE/>
              <w:autoSpaceDN/>
              <w:adjustRightInd/>
              <w:ind w:leftChars="20" w:left="42"/>
              <w:jc w:val="center"/>
              <w:rPr>
                <w:rFonts w:cs="宋体"/>
                <w:color w:val="000000" w:themeColor="text1"/>
              </w:rPr>
            </w:pPr>
            <w:r>
              <w:rPr>
                <w:rFonts w:cs="宋体" w:hint="eastAsia"/>
                <w:color w:val="000000" w:themeColor="text1"/>
              </w:rPr>
              <w:t>分区</w:t>
            </w:r>
            <w:r>
              <w:rPr>
                <w:rFonts w:cs="宋体"/>
                <w:color w:val="000000" w:themeColor="text1"/>
              </w:rPr>
              <w:t>防渗措施</w:t>
            </w:r>
            <w:r>
              <w:rPr>
                <w:rFonts w:cs="宋体" w:hint="eastAsia"/>
                <w:color w:val="000000" w:themeColor="text1"/>
              </w:rPr>
              <w:t>和</w:t>
            </w:r>
            <w:r>
              <w:rPr>
                <w:rFonts w:cs="宋体"/>
                <w:color w:val="000000" w:themeColor="text1"/>
              </w:rPr>
              <w:t>地下水监测井</w:t>
            </w:r>
          </w:p>
        </w:tc>
        <w:tc>
          <w:tcPr>
            <w:tcW w:w="4320" w:type="dxa"/>
            <w:gridSpan w:val="3"/>
            <w:vAlign w:val="center"/>
          </w:tcPr>
          <w:p w:rsidR="00C861DA" w:rsidRDefault="0044752E">
            <w:pPr>
              <w:pStyle w:val="TableParagraph"/>
              <w:autoSpaceDE/>
              <w:autoSpaceDN/>
              <w:adjustRightInd/>
              <w:ind w:leftChars="20" w:left="42"/>
              <w:jc w:val="center"/>
              <w:rPr>
                <w:color w:val="000000" w:themeColor="text1"/>
              </w:rPr>
            </w:pPr>
            <w:r>
              <w:rPr>
                <w:rFonts w:hint="eastAsia"/>
                <w:color w:val="000000" w:themeColor="text1"/>
              </w:rPr>
              <w:t>对地下水防渗措施落实情况进行检查。</w:t>
            </w:r>
          </w:p>
        </w:tc>
        <w:tc>
          <w:tcPr>
            <w:tcW w:w="3683" w:type="dxa"/>
            <w:vAlign w:val="center"/>
          </w:tcPr>
          <w:p w:rsidR="00C861DA" w:rsidRDefault="0044752E">
            <w:pPr>
              <w:pStyle w:val="TableParagraph"/>
              <w:autoSpaceDE/>
              <w:autoSpaceDN/>
              <w:adjustRightInd/>
              <w:ind w:leftChars="20" w:left="42"/>
              <w:jc w:val="center"/>
              <w:rPr>
                <w:color w:val="000000" w:themeColor="text1"/>
              </w:rPr>
            </w:pPr>
            <w:r>
              <w:rPr>
                <w:rFonts w:cs="宋体" w:hint="eastAsia"/>
                <w:color w:val="000000" w:themeColor="text1"/>
              </w:rPr>
              <w:t>《地下水质量标准》（</w:t>
            </w:r>
            <w:r>
              <w:rPr>
                <w:rFonts w:cs="宋体" w:hint="eastAsia"/>
                <w:color w:val="000000" w:themeColor="text1"/>
              </w:rPr>
              <w:t>GB/T14848-2017</w:t>
            </w:r>
            <w:r>
              <w:rPr>
                <w:rFonts w:cs="宋体" w:hint="eastAsia"/>
                <w:color w:val="000000" w:themeColor="text1"/>
              </w:rPr>
              <w:t>）Ⅲ类标准</w:t>
            </w:r>
          </w:p>
        </w:tc>
      </w:tr>
      <w:tr w:rsidR="00C861DA">
        <w:trPr>
          <w:trHeight w:val="454"/>
        </w:trPr>
        <w:tc>
          <w:tcPr>
            <w:tcW w:w="1109" w:type="dxa"/>
            <w:vAlign w:val="center"/>
          </w:tcPr>
          <w:p w:rsidR="00C861DA" w:rsidRDefault="0044752E">
            <w:pPr>
              <w:autoSpaceDE/>
              <w:autoSpaceDN/>
              <w:adjustRightInd/>
              <w:jc w:val="center"/>
              <w:rPr>
                <w:rFonts w:ascii="Times New Roman" w:eastAsia="宋体"/>
                <w:color w:val="000000" w:themeColor="text1"/>
              </w:rPr>
            </w:pPr>
            <w:r>
              <w:rPr>
                <w:rFonts w:ascii="Times New Roman" w:eastAsia="宋体" w:hint="eastAsia"/>
                <w:color w:val="000000" w:themeColor="text1"/>
              </w:rPr>
              <w:t>土壤</w:t>
            </w:r>
          </w:p>
        </w:tc>
        <w:tc>
          <w:tcPr>
            <w:tcW w:w="569" w:type="dxa"/>
            <w:vAlign w:val="center"/>
          </w:tcPr>
          <w:p w:rsidR="00C861DA" w:rsidRDefault="0044752E">
            <w:pPr>
              <w:autoSpaceDE/>
              <w:autoSpaceDN/>
              <w:adjustRightInd/>
              <w:jc w:val="center"/>
              <w:rPr>
                <w:rFonts w:ascii="Times New Roman" w:eastAsia="宋体"/>
                <w:color w:val="000000" w:themeColor="text1"/>
              </w:rPr>
            </w:pPr>
            <w:r>
              <w:rPr>
                <w:rFonts w:ascii="Times New Roman" w:eastAsia="宋体" w:hint="eastAsia"/>
                <w:color w:val="000000" w:themeColor="text1"/>
              </w:rPr>
              <w:t>土壤</w:t>
            </w:r>
          </w:p>
        </w:tc>
        <w:tc>
          <w:tcPr>
            <w:tcW w:w="2575" w:type="dxa"/>
            <w:gridSpan w:val="2"/>
            <w:vAlign w:val="center"/>
          </w:tcPr>
          <w:p w:rsidR="00C861DA" w:rsidRDefault="0044752E">
            <w:pPr>
              <w:pStyle w:val="TableParagraph"/>
              <w:autoSpaceDE/>
              <w:autoSpaceDN/>
              <w:adjustRightInd/>
              <w:ind w:leftChars="20" w:left="42"/>
              <w:jc w:val="center"/>
              <w:rPr>
                <w:rFonts w:cs="宋体"/>
                <w:color w:val="000000" w:themeColor="text1"/>
              </w:rPr>
            </w:pPr>
            <w:r>
              <w:rPr>
                <w:rFonts w:cs="仿宋"/>
                <w:bCs/>
                <w:color w:val="000000" w:themeColor="text1"/>
              </w:rPr>
              <w:t>pH</w:t>
            </w:r>
            <w:r>
              <w:rPr>
                <w:rFonts w:cs="仿宋"/>
                <w:bCs/>
                <w:color w:val="000000" w:themeColor="text1"/>
              </w:rPr>
              <w:t>、</w:t>
            </w:r>
            <w:r>
              <w:rPr>
                <w:rFonts w:cs="仿宋" w:hint="eastAsia"/>
                <w:bCs/>
                <w:color w:val="000000" w:themeColor="text1"/>
              </w:rPr>
              <w:t>氟化物、石油类</w:t>
            </w:r>
          </w:p>
        </w:tc>
        <w:tc>
          <w:tcPr>
            <w:tcW w:w="3053" w:type="dxa"/>
            <w:vAlign w:val="center"/>
          </w:tcPr>
          <w:p w:rsidR="00C861DA" w:rsidRDefault="0044752E">
            <w:pPr>
              <w:pStyle w:val="TableParagraph"/>
              <w:autoSpaceDE/>
              <w:autoSpaceDN/>
              <w:adjustRightInd/>
              <w:ind w:leftChars="20" w:left="42"/>
              <w:jc w:val="center"/>
              <w:rPr>
                <w:rFonts w:cs="宋体"/>
                <w:color w:val="000000" w:themeColor="text1"/>
              </w:rPr>
            </w:pPr>
            <w:r>
              <w:rPr>
                <w:rFonts w:cs="仿宋"/>
                <w:bCs/>
                <w:color w:val="000000" w:themeColor="text1"/>
              </w:rPr>
              <w:t>厂区绿地</w:t>
            </w:r>
          </w:p>
        </w:tc>
        <w:tc>
          <w:tcPr>
            <w:tcW w:w="4320" w:type="dxa"/>
            <w:gridSpan w:val="3"/>
            <w:vAlign w:val="center"/>
          </w:tcPr>
          <w:p w:rsidR="00C861DA" w:rsidRDefault="0044752E">
            <w:pPr>
              <w:pStyle w:val="TableParagraph"/>
              <w:autoSpaceDE/>
              <w:autoSpaceDN/>
              <w:adjustRightInd/>
              <w:ind w:leftChars="20" w:left="42"/>
              <w:jc w:val="center"/>
              <w:rPr>
                <w:rFonts w:cs="宋体"/>
                <w:color w:val="000000" w:themeColor="text1"/>
              </w:rPr>
            </w:pPr>
            <w:r>
              <w:rPr>
                <w:rFonts w:cs="宋体" w:hint="eastAsia"/>
                <w:color w:val="000000" w:themeColor="text1"/>
              </w:rPr>
              <w:t>/</w:t>
            </w:r>
          </w:p>
        </w:tc>
        <w:tc>
          <w:tcPr>
            <w:tcW w:w="3683" w:type="dxa"/>
            <w:vAlign w:val="center"/>
          </w:tcPr>
          <w:p w:rsidR="00C861DA" w:rsidRDefault="0044752E">
            <w:pPr>
              <w:pStyle w:val="TableParagraph"/>
              <w:autoSpaceDE/>
              <w:autoSpaceDN/>
              <w:adjustRightInd/>
              <w:ind w:leftChars="20" w:left="42"/>
              <w:jc w:val="center"/>
              <w:rPr>
                <w:rFonts w:cs="宋体"/>
                <w:color w:val="000000" w:themeColor="text1"/>
              </w:rPr>
            </w:pPr>
            <w:r>
              <w:rPr>
                <w:rFonts w:hint="eastAsia"/>
                <w:color w:val="000000" w:themeColor="text1"/>
              </w:rPr>
              <w:t>《土壤环境质量</w:t>
            </w:r>
            <w:r>
              <w:rPr>
                <w:rFonts w:hint="eastAsia"/>
                <w:color w:val="000000" w:themeColor="text1"/>
              </w:rPr>
              <w:t xml:space="preserve"> </w:t>
            </w:r>
            <w:r>
              <w:rPr>
                <w:rFonts w:hint="eastAsia"/>
                <w:color w:val="000000" w:themeColor="text1"/>
              </w:rPr>
              <w:t>建设用地土壤污染风险管控标准（试行）》（</w:t>
            </w:r>
            <w:r>
              <w:rPr>
                <w:rFonts w:hint="eastAsia"/>
                <w:color w:val="000000" w:themeColor="text1"/>
              </w:rPr>
              <w:t>GB36600-2018</w:t>
            </w:r>
            <w:r>
              <w:rPr>
                <w:rFonts w:hint="eastAsia"/>
                <w:color w:val="000000" w:themeColor="text1"/>
              </w:rPr>
              <w:t>）</w:t>
            </w:r>
          </w:p>
        </w:tc>
      </w:tr>
      <w:tr w:rsidR="00C861DA">
        <w:trPr>
          <w:trHeight w:val="454"/>
        </w:trPr>
        <w:tc>
          <w:tcPr>
            <w:tcW w:w="4253" w:type="dxa"/>
            <w:gridSpan w:val="4"/>
            <w:vAlign w:val="center"/>
          </w:tcPr>
          <w:p w:rsidR="00C861DA" w:rsidRDefault="0044752E">
            <w:pPr>
              <w:autoSpaceDE/>
              <w:autoSpaceDN/>
              <w:adjustRightInd/>
              <w:ind w:leftChars="20" w:left="42"/>
              <w:jc w:val="center"/>
              <w:rPr>
                <w:rFonts w:ascii="Times New Roman" w:eastAsia="宋体"/>
                <w:color w:val="000000" w:themeColor="text1"/>
              </w:rPr>
            </w:pPr>
            <w:r>
              <w:rPr>
                <w:rFonts w:ascii="Times New Roman" w:eastAsia="宋体" w:hint="eastAsia"/>
                <w:color w:val="000000" w:themeColor="text1"/>
              </w:rPr>
              <w:t>环境管理</w:t>
            </w:r>
          </w:p>
        </w:tc>
        <w:tc>
          <w:tcPr>
            <w:tcW w:w="11056" w:type="dxa"/>
            <w:gridSpan w:val="5"/>
            <w:vAlign w:val="center"/>
          </w:tcPr>
          <w:p w:rsidR="00C861DA" w:rsidRDefault="0044752E">
            <w:pPr>
              <w:pStyle w:val="TableParagraph"/>
              <w:autoSpaceDE/>
              <w:autoSpaceDN/>
              <w:adjustRightInd/>
              <w:ind w:leftChars="20" w:left="42"/>
              <w:jc w:val="center"/>
              <w:rPr>
                <w:rFonts w:cs="宋体"/>
                <w:color w:val="000000" w:themeColor="text1"/>
              </w:rPr>
            </w:pPr>
            <w:r>
              <w:rPr>
                <w:rFonts w:hint="eastAsia"/>
                <w:color w:val="000000" w:themeColor="text1"/>
              </w:rPr>
              <w:t>配备专职环保管理人员</w:t>
            </w:r>
            <w:r>
              <w:rPr>
                <w:rFonts w:hint="eastAsia"/>
                <w:color w:val="000000" w:themeColor="text1"/>
              </w:rPr>
              <w:t xml:space="preserve"> 2</w:t>
            </w:r>
            <w:r>
              <w:rPr>
                <w:rFonts w:hint="eastAsia"/>
                <w:color w:val="000000" w:themeColor="text1"/>
              </w:rPr>
              <w:t>～</w:t>
            </w:r>
            <w:r>
              <w:rPr>
                <w:rFonts w:hint="eastAsia"/>
                <w:color w:val="000000" w:themeColor="text1"/>
              </w:rPr>
              <w:t xml:space="preserve">3 </w:t>
            </w:r>
            <w:r>
              <w:rPr>
                <w:rFonts w:hint="eastAsia"/>
                <w:color w:val="000000" w:themeColor="text1"/>
              </w:rPr>
              <w:t>人，由厂长直接管理；环境管理制度、试生产核查报告、风险应急预案等。</w:t>
            </w:r>
          </w:p>
        </w:tc>
      </w:tr>
      <w:tr w:rsidR="00C861DA">
        <w:trPr>
          <w:trHeight w:val="454"/>
        </w:trPr>
        <w:tc>
          <w:tcPr>
            <w:tcW w:w="4253" w:type="dxa"/>
            <w:gridSpan w:val="4"/>
            <w:vAlign w:val="center"/>
          </w:tcPr>
          <w:p w:rsidR="00C861DA" w:rsidRDefault="0044752E">
            <w:pPr>
              <w:autoSpaceDE/>
              <w:autoSpaceDN/>
              <w:adjustRightInd/>
              <w:ind w:leftChars="20" w:left="42"/>
              <w:jc w:val="center"/>
              <w:rPr>
                <w:rFonts w:ascii="Times New Roman" w:eastAsia="宋体"/>
                <w:color w:val="000000" w:themeColor="text1"/>
              </w:rPr>
            </w:pPr>
            <w:r>
              <w:rPr>
                <w:rFonts w:ascii="Times New Roman" w:eastAsia="宋体"/>
                <w:color w:val="000000" w:themeColor="text1"/>
              </w:rPr>
              <w:t>公众参与</w:t>
            </w:r>
          </w:p>
        </w:tc>
        <w:tc>
          <w:tcPr>
            <w:tcW w:w="11056" w:type="dxa"/>
            <w:gridSpan w:val="5"/>
            <w:vAlign w:val="center"/>
          </w:tcPr>
          <w:p w:rsidR="00C861DA" w:rsidRDefault="0044752E">
            <w:pPr>
              <w:pStyle w:val="TableParagraph"/>
              <w:autoSpaceDE/>
              <w:autoSpaceDN/>
              <w:adjustRightInd/>
              <w:ind w:leftChars="20" w:left="42"/>
              <w:jc w:val="center"/>
              <w:rPr>
                <w:rFonts w:cs="宋体"/>
                <w:color w:val="000000" w:themeColor="text1"/>
              </w:rPr>
            </w:pPr>
            <w:r>
              <w:rPr>
                <w:color w:val="000000" w:themeColor="text1"/>
              </w:rPr>
              <w:t>竣工验收监测期间，在项目影响区内实施公众意见调查，对调查意见汇总分析后给出明确结论，并作为验收报告中的一个单列章节进行分析评述。</w:t>
            </w:r>
          </w:p>
        </w:tc>
      </w:tr>
    </w:tbl>
    <w:p w:rsidR="00C861DA" w:rsidRDefault="00C861DA">
      <w:pPr>
        <w:pStyle w:val="21"/>
        <w:rPr>
          <w:color w:val="000000" w:themeColor="text1"/>
        </w:rPr>
        <w:sectPr w:rsidR="00C861DA">
          <w:pgSz w:w="16838" w:h="11906" w:orient="landscape"/>
          <w:pgMar w:top="1276" w:right="1440" w:bottom="1560" w:left="1440" w:header="851" w:footer="992" w:gutter="0"/>
          <w:cols w:space="425"/>
          <w:docGrid w:type="lines" w:linePitch="312"/>
        </w:sectPr>
      </w:pPr>
    </w:p>
    <w:p w:rsidR="00C861DA" w:rsidRDefault="0044752E">
      <w:pPr>
        <w:pStyle w:val="12"/>
        <w:jc w:val="center"/>
        <w:rPr>
          <w:rFonts w:ascii="Times New Roman" w:eastAsia="宋体"/>
          <w:b/>
          <w:color w:val="000000" w:themeColor="text1"/>
          <w:sz w:val="28"/>
          <w:szCs w:val="24"/>
        </w:rPr>
      </w:pPr>
      <w:bookmarkStart w:id="821" w:name="_Toc22835"/>
      <w:bookmarkStart w:id="822" w:name="_Toc16385"/>
      <w:bookmarkStart w:id="823" w:name="_Toc11119"/>
      <w:bookmarkStart w:id="824" w:name="_Toc6826950"/>
      <w:bookmarkStart w:id="825" w:name="_Toc21194"/>
      <w:r>
        <w:rPr>
          <w:rFonts w:ascii="Times New Roman" w:eastAsia="宋体" w:hint="eastAsia"/>
          <w:b/>
          <w:color w:val="000000" w:themeColor="text1"/>
          <w:sz w:val="28"/>
          <w:szCs w:val="24"/>
        </w:rPr>
        <w:t>13</w:t>
      </w:r>
      <w:r>
        <w:rPr>
          <w:rFonts w:ascii="Times New Roman" w:eastAsia="宋体" w:hint="eastAsia"/>
          <w:b/>
          <w:color w:val="000000" w:themeColor="text1"/>
          <w:sz w:val="28"/>
          <w:szCs w:val="24"/>
        </w:rPr>
        <w:t>、污染物总量控制</w:t>
      </w:r>
      <w:bookmarkEnd w:id="821"/>
      <w:bookmarkEnd w:id="822"/>
      <w:bookmarkEnd w:id="823"/>
      <w:bookmarkEnd w:id="824"/>
      <w:bookmarkEnd w:id="825"/>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污染物排放总量控制是针对工程分析、环保治理措施及环境影响预测和分析的结果，贯彻清洁生产的原则，根据对建设项目所在区域污染物的总量控制的原则，分析本项目废水、废气污染物排放总量控制方案，为环保部门监督管理提供重要依据。</w:t>
      </w:r>
    </w:p>
    <w:p w:rsidR="00C861DA" w:rsidRDefault="0044752E">
      <w:pPr>
        <w:pStyle w:val="22"/>
        <w:rPr>
          <w:rFonts w:ascii="Times New Roman" w:eastAsia="宋体" w:hAnsi="Times New Roman"/>
          <w:bCs w:val="0"/>
          <w:color w:val="000000" w:themeColor="text1"/>
          <w:sz w:val="28"/>
          <w:szCs w:val="28"/>
        </w:rPr>
      </w:pPr>
      <w:bookmarkStart w:id="826" w:name="_bookmark73"/>
      <w:bookmarkStart w:id="827" w:name="_Toc2639"/>
      <w:bookmarkStart w:id="828" w:name="_Toc313"/>
      <w:bookmarkStart w:id="829" w:name="_Toc16307"/>
      <w:bookmarkStart w:id="830" w:name="_Toc6826951"/>
      <w:bookmarkStart w:id="831" w:name="_Toc31579"/>
      <w:bookmarkEnd w:id="826"/>
      <w:r>
        <w:rPr>
          <w:rFonts w:ascii="Times New Roman" w:eastAsia="宋体" w:hAnsi="Times New Roman"/>
          <w:bCs w:val="0"/>
          <w:color w:val="000000" w:themeColor="text1"/>
          <w:sz w:val="28"/>
          <w:szCs w:val="28"/>
        </w:rPr>
        <w:t>1</w:t>
      </w:r>
      <w:r>
        <w:rPr>
          <w:rFonts w:ascii="Times New Roman" w:eastAsia="宋体" w:hAnsi="Times New Roman" w:hint="eastAsia"/>
          <w:bCs w:val="0"/>
          <w:color w:val="000000" w:themeColor="text1"/>
          <w:sz w:val="28"/>
          <w:szCs w:val="28"/>
        </w:rPr>
        <w:t>3</w:t>
      </w:r>
      <w:r>
        <w:rPr>
          <w:rFonts w:ascii="Times New Roman" w:eastAsia="宋体" w:hAnsi="Times New Roman"/>
          <w:bCs w:val="0"/>
          <w:color w:val="000000" w:themeColor="text1"/>
          <w:sz w:val="28"/>
          <w:szCs w:val="28"/>
        </w:rPr>
        <w:t>.1</w:t>
      </w:r>
      <w:r>
        <w:rPr>
          <w:rFonts w:ascii="Times New Roman" w:eastAsia="宋体" w:hAnsi="Times New Roman" w:hint="eastAsia"/>
          <w:bCs w:val="0"/>
          <w:color w:val="000000" w:themeColor="text1"/>
          <w:sz w:val="28"/>
          <w:szCs w:val="28"/>
        </w:rPr>
        <w:t>总量控制基本原则</w:t>
      </w:r>
      <w:bookmarkEnd w:id="827"/>
      <w:bookmarkEnd w:id="828"/>
      <w:bookmarkEnd w:id="829"/>
      <w:bookmarkEnd w:id="830"/>
      <w:bookmarkEnd w:id="831"/>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）污染物总量控制首先应保证实现达标排放。</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）固体废物应立足于综合利用和有效处置的原则。</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）要满足国家和当地关于主要污染物的总量控制指标要求。</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）依椐环境规划综合整治方案，总量控制必需确保环境功能区环境质量达标要求。</w:t>
      </w:r>
    </w:p>
    <w:p w:rsidR="00C861DA" w:rsidRDefault="0044752E">
      <w:pPr>
        <w:pStyle w:val="22"/>
        <w:rPr>
          <w:rFonts w:ascii="Times New Roman" w:eastAsia="宋体" w:hAnsi="Times New Roman"/>
          <w:bCs w:val="0"/>
          <w:color w:val="000000" w:themeColor="text1"/>
          <w:sz w:val="28"/>
          <w:szCs w:val="28"/>
        </w:rPr>
      </w:pPr>
      <w:bookmarkStart w:id="832" w:name="_bookmark74"/>
      <w:bookmarkStart w:id="833" w:name="_Toc4014"/>
      <w:bookmarkStart w:id="834" w:name="_Toc12048"/>
      <w:bookmarkStart w:id="835" w:name="_Toc10231"/>
      <w:bookmarkStart w:id="836" w:name="_Toc1175"/>
      <w:bookmarkStart w:id="837" w:name="_Toc6826952"/>
      <w:bookmarkEnd w:id="832"/>
      <w:r>
        <w:rPr>
          <w:rFonts w:ascii="Times New Roman" w:eastAsia="宋体" w:hAnsi="Times New Roman"/>
          <w:bCs w:val="0"/>
          <w:color w:val="000000" w:themeColor="text1"/>
          <w:sz w:val="28"/>
          <w:szCs w:val="28"/>
        </w:rPr>
        <w:t>1</w:t>
      </w:r>
      <w:r>
        <w:rPr>
          <w:rFonts w:ascii="Times New Roman" w:eastAsia="宋体" w:hAnsi="Times New Roman" w:hint="eastAsia"/>
          <w:bCs w:val="0"/>
          <w:color w:val="000000" w:themeColor="text1"/>
          <w:sz w:val="28"/>
          <w:szCs w:val="28"/>
        </w:rPr>
        <w:t>3</w:t>
      </w:r>
      <w:r>
        <w:rPr>
          <w:rFonts w:ascii="Times New Roman" w:eastAsia="宋体" w:hAnsi="Times New Roman"/>
          <w:bCs w:val="0"/>
          <w:color w:val="000000" w:themeColor="text1"/>
          <w:sz w:val="28"/>
          <w:szCs w:val="28"/>
        </w:rPr>
        <w:t>.2</w:t>
      </w:r>
      <w:r>
        <w:rPr>
          <w:rFonts w:ascii="Times New Roman" w:eastAsia="宋体" w:hAnsi="Times New Roman"/>
          <w:bCs w:val="0"/>
          <w:color w:val="000000" w:themeColor="text1"/>
          <w:sz w:val="28"/>
          <w:szCs w:val="28"/>
        </w:rPr>
        <w:t>总量控制指标分析</w:t>
      </w:r>
      <w:bookmarkEnd w:id="833"/>
      <w:bookmarkEnd w:id="834"/>
      <w:bookmarkEnd w:id="835"/>
      <w:bookmarkEnd w:id="836"/>
      <w:bookmarkEnd w:id="837"/>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根据《排污许可证申请与核发技术规范</w:t>
      </w:r>
      <w:r>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总则》（</w:t>
      </w:r>
      <w:r>
        <w:rPr>
          <w:rFonts w:ascii="Times New Roman" w:eastAsia="宋体" w:hAnsi="Times New Roman" w:cs="Times New Roman"/>
          <w:color w:val="000000" w:themeColor="text1"/>
          <w:sz w:val="24"/>
          <w:szCs w:val="24"/>
        </w:rPr>
        <w:t>HG942-2018</w:t>
      </w:r>
      <w:r>
        <w:rPr>
          <w:rFonts w:ascii="Times New Roman" w:eastAsia="宋体" w:hAnsi="Times New Roman" w:cs="Times New Roman"/>
          <w:color w:val="000000" w:themeColor="text1"/>
          <w:sz w:val="24"/>
          <w:szCs w:val="24"/>
        </w:rPr>
        <w:t>）的相关要求，结合本项目工程污染物排放情况，所在区域环境质量现状以及当地环境管理部门的要求，确定实行总量考核和控制的污染物分别为：</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①</w:t>
      </w:r>
      <w:r>
        <w:rPr>
          <w:rFonts w:ascii="Times New Roman" w:eastAsia="宋体" w:hAnsi="Times New Roman" w:cs="Times New Roman"/>
          <w:color w:val="000000" w:themeColor="text1"/>
          <w:sz w:val="24"/>
          <w:szCs w:val="24"/>
        </w:rPr>
        <w:t>废气：颗粒物（粉尘）、氨；</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②</w:t>
      </w:r>
      <w:r>
        <w:rPr>
          <w:rFonts w:ascii="Times New Roman" w:eastAsia="宋体" w:hAnsi="Times New Roman" w:cs="Times New Roman"/>
          <w:color w:val="000000" w:themeColor="text1"/>
          <w:sz w:val="24"/>
          <w:szCs w:val="24"/>
        </w:rPr>
        <w:t>废水：无；</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宋体" w:eastAsia="宋体" w:hAnsi="宋体" w:cs="宋体" w:hint="eastAsia"/>
          <w:color w:val="000000" w:themeColor="text1"/>
          <w:sz w:val="24"/>
          <w:szCs w:val="24"/>
        </w:rPr>
        <w:t>③</w:t>
      </w:r>
      <w:r>
        <w:rPr>
          <w:rFonts w:ascii="Times New Roman" w:eastAsia="宋体" w:hAnsi="Times New Roman" w:cs="Times New Roman"/>
          <w:color w:val="000000" w:themeColor="text1"/>
          <w:sz w:val="24"/>
          <w:szCs w:val="24"/>
        </w:rPr>
        <w:t>固废：工业固体废弃物及危险废物。</w:t>
      </w:r>
    </w:p>
    <w:p w:rsidR="00C861DA" w:rsidRDefault="0044752E">
      <w:pPr>
        <w:pStyle w:val="22"/>
        <w:rPr>
          <w:rFonts w:ascii="Times New Roman" w:eastAsia="宋体" w:hAnsi="Times New Roman"/>
          <w:bCs w:val="0"/>
          <w:color w:val="000000" w:themeColor="text1"/>
          <w:sz w:val="28"/>
          <w:szCs w:val="28"/>
        </w:rPr>
      </w:pPr>
      <w:bookmarkStart w:id="838" w:name="_bookmark75"/>
      <w:bookmarkStart w:id="839" w:name="_Toc3"/>
      <w:bookmarkStart w:id="840" w:name="_Toc18881"/>
      <w:bookmarkStart w:id="841" w:name="_Toc6826953"/>
      <w:bookmarkStart w:id="842" w:name="_Toc23934"/>
      <w:bookmarkStart w:id="843" w:name="_Toc478"/>
      <w:bookmarkEnd w:id="838"/>
      <w:r>
        <w:rPr>
          <w:rFonts w:ascii="Times New Roman" w:eastAsia="宋体" w:hAnsi="Times New Roman"/>
          <w:bCs w:val="0"/>
          <w:color w:val="000000" w:themeColor="text1"/>
          <w:sz w:val="28"/>
          <w:szCs w:val="28"/>
        </w:rPr>
        <w:t>1</w:t>
      </w:r>
      <w:r>
        <w:rPr>
          <w:rFonts w:ascii="Times New Roman" w:eastAsia="宋体" w:hAnsi="Times New Roman" w:hint="eastAsia"/>
          <w:bCs w:val="0"/>
          <w:color w:val="000000" w:themeColor="text1"/>
          <w:sz w:val="28"/>
          <w:szCs w:val="28"/>
        </w:rPr>
        <w:t>3</w:t>
      </w:r>
      <w:r>
        <w:rPr>
          <w:rFonts w:ascii="Times New Roman" w:eastAsia="宋体" w:hAnsi="Times New Roman"/>
          <w:bCs w:val="0"/>
          <w:color w:val="000000" w:themeColor="text1"/>
          <w:sz w:val="28"/>
          <w:szCs w:val="28"/>
        </w:rPr>
        <w:t>.3</w:t>
      </w:r>
      <w:r>
        <w:rPr>
          <w:rFonts w:ascii="Times New Roman" w:eastAsia="宋体" w:hAnsi="Times New Roman"/>
          <w:bCs w:val="0"/>
          <w:color w:val="000000" w:themeColor="text1"/>
          <w:sz w:val="28"/>
          <w:szCs w:val="28"/>
        </w:rPr>
        <w:t>建设项目污染物总量控制指标</w:t>
      </w:r>
      <w:bookmarkEnd w:id="839"/>
      <w:bookmarkEnd w:id="840"/>
      <w:bookmarkEnd w:id="841"/>
      <w:bookmarkEnd w:id="842"/>
      <w:bookmarkEnd w:id="843"/>
    </w:p>
    <w:p w:rsidR="00C861DA" w:rsidRDefault="0044752E">
      <w:pPr>
        <w:spacing w:line="360" w:lineRule="auto"/>
        <w:ind w:firstLineChars="200" w:firstLine="480"/>
        <w:rPr>
          <w:rFonts w:ascii="Times New Roman" w:eastAsia="宋体"/>
          <w:color w:val="000000" w:themeColor="text1"/>
          <w:sz w:val="24"/>
          <w:szCs w:val="24"/>
        </w:rPr>
        <w:sectPr w:rsidR="00C861DA">
          <w:pgSz w:w="11906" w:h="16838"/>
          <w:pgMar w:top="1440" w:right="1800" w:bottom="1440" w:left="1800" w:header="851" w:footer="992" w:gutter="0"/>
          <w:cols w:space="425"/>
          <w:docGrid w:type="lines" w:linePitch="312"/>
        </w:sectPr>
      </w:pPr>
      <w:r>
        <w:rPr>
          <w:rFonts w:ascii="Times New Roman" w:eastAsia="宋体"/>
          <w:color w:val="000000" w:themeColor="text1"/>
          <w:sz w:val="24"/>
          <w:szCs w:val="24"/>
        </w:rPr>
        <w:t>拟建项目实施后各污染物排放总量见表</w:t>
      </w:r>
      <w:r>
        <w:rPr>
          <w:rFonts w:ascii="Times New Roman" w:eastAsia="宋体"/>
          <w:color w:val="000000" w:themeColor="text1"/>
          <w:sz w:val="24"/>
          <w:szCs w:val="24"/>
        </w:rPr>
        <w:t>1</w:t>
      </w:r>
      <w:r>
        <w:rPr>
          <w:rFonts w:ascii="Times New Roman" w:eastAsia="宋体" w:hint="eastAsia"/>
          <w:color w:val="000000" w:themeColor="text1"/>
          <w:sz w:val="24"/>
          <w:szCs w:val="24"/>
        </w:rPr>
        <w:t>3.3</w:t>
      </w:r>
      <w:r>
        <w:rPr>
          <w:rFonts w:ascii="Times New Roman" w:eastAsia="宋体"/>
          <w:color w:val="000000" w:themeColor="text1"/>
          <w:sz w:val="24"/>
          <w:szCs w:val="24"/>
        </w:rPr>
        <w:t>-1</w:t>
      </w:r>
      <w:r>
        <w:rPr>
          <w:rFonts w:ascii="Times New Roman" w:eastAsia="宋体"/>
          <w:color w:val="000000" w:themeColor="text1"/>
          <w:sz w:val="24"/>
          <w:szCs w:val="24"/>
        </w:rPr>
        <w:t>。</w:t>
      </w:r>
    </w:p>
    <w:p w:rsidR="00C861DA" w:rsidRDefault="00C861DA">
      <w:pPr>
        <w:spacing w:line="360" w:lineRule="auto"/>
        <w:ind w:firstLineChars="200" w:firstLine="480"/>
        <w:rPr>
          <w:rFonts w:ascii="Times New Roman" w:eastAsia="宋体"/>
          <w:color w:val="000000" w:themeColor="text1"/>
          <w:sz w:val="24"/>
          <w:szCs w:val="24"/>
        </w:rPr>
      </w:pPr>
    </w:p>
    <w:p w:rsidR="00C861DA" w:rsidRDefault="0044752E">
      <w:pPr>
        <w:pStyle w:val="21"/>
        <w:jc w:val="center"/>
        <w:rPr>
          <w:b/>
          <w:color w:val="000000" w:themeColor="text1"/>
        </w:rPr>
      </w:pPr>
      <w:r>
        <w:rPr>
          <w:rFonts w:ascii="Times New Roman" w:eastAsia="宋体"/>
          <w:b/>
          <w:color w:val="000000" w:themeColor="text1"/>
          <w:sz w:val="24"/>
          <w:szCs w:val="24"/>
        </w:rPr>
        <w:t>1</w:t>
      </w:r>
      <w:r>
        <w:rPr>
          <w:rFonts w:ascii="Times New Roman" w:eastAsia="宋体" w:hint="eastAsia"/>
          <w:b/>
          <w:color w:val="000000" w:themeColor="text1"/>
          <w:sz w:val="24"/>
          <w:szCs w:val="24"/>
        </w:rPr>
        <w:t>3.3</w:t>
      </w:r>
      <w:r>
        <w:rPr>
          <w:rFonts w:ascii="Times New Roman" w:eastAsia="宋体"/>
          <w:b/>
          <w:color w:val="000000" w:themeColor="text1"/>
          <w:sz w:val="24"/>
          <w:szCs w:val="24"/>
        </w:rPr>
        <w:t xml:space="preserve">-1  </w:t>
      </w:r>
      <w:r>
        <w:rPr>
          <w:rFonts w:ascii="Times New Roman" w:eastAsia="宋体" w:hint="eastAsia"/>
          <w:b/>
          <w:color w:val="000000" w:themeColor="text1"/>
          <w:sz w:val="24"/>
          <w:szCs w:val="24"/>
        </w:rPr>
        <w:t>污染物产排情况汇总表</w:t>
      </w:r>
    </w:p>
    <w:tbl>
      <w:tblPr>
        <w:tblStyle w:val="affa"/>
        <w:tblW w:w="13948" w:type="dxa"/>
        <w:jc w:val="center"/>
        <w:tblLayout w:type="fixed"/>
        <w:tblLook w:val="04A0" w:firstRow="1" w:lastRow="0" w:firstColumn="1" w:lastColumn="0" w:noHBand="0" w:noVBand="1"/>
      </w:tblPr>
      <w:tblGrid>
        <w:gridCol w:w="702"/>
        <w:gridCol w:w="1278"/>
        <w:gridCol w:w="1983"/>
        <w:gridCol w:w="1135"/>
        <w:gridCol w:w="1699"/>
        <w:gridCol w:w="1278"/>
        <w:gridCol w:w="1133"/>
        <w:gridCol w:w="2268"/>
        <w:gridCol w:w="1275"/>
        <w:gridCol w:w="1197"/>
      </w:tblGrid>
      <w:tr w:rsidR="00C861DA">
        <w:trPr>
          <w:trHeight w:val="369"/>
          <w:jc w:val="center"/>
        </w:trPr>
        <w:tc>
          <w:tcPr>
            <w:tcW w:w="702"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废气</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产生源</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处理尾气</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排放污染物种类</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处置方法</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处理效率</w:t>
            </w: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排气量</w:t>
            </w:r>
            <w:r>
              <w:rPr>
                <w:rFonts w:ascii="Times New Roman" w:eastAsia="宋体" w:hAnsi="Times New Roman" w:cs="Times New Roman"/>
                <w:color w:val="000000" w:themeColor="text1"/>
                <w:kern w:val="1"/>
              </w:rPr>
              <w:t>（</w:t>
            </w:r>
            <w:r>
              <w:rPr>
                <w:rFonts w:ascii="Times New Roman" w:eastAsia="宋体" w:hAnsi="Times New Roman" w:cs="Times New Roman"/>
                <w:color w:val="000000" w:themeColor="text1"/>
                <w:kern w:val="1"/>
              </w:rPr>
              <w:t>m</w:t>
            </w:r>
            <w:r>
              <w:rPr>
                <w:rFonts w:ascii="Times New Roman" w:eastAsia="宋体" w:hAnsi="Times New Roman" w:cs="Times New Roman"/>
                <w:color w:val="000000" w:themeColor="text1"/>
                <w:kern w:val="1"/>
                <w:vertAlign w:val="superscript"/>
              </w:rPr>
              <w:t>3</w:t>
            </w:r>
            <w:r>
              <w:rPr>
                <w:rFonts w:ascii="Times New Roman" w:eastAsia="宋体" w:hAnsi="Times New Roman" w:cs="Times New Roman"/>
                <w:color w:val="000000" w:themeColor="text1"/>
                <w:kern w:val="1"/>
              </w:rPr>
              <w:t>/h</w:t>
            </w:r>
            <w:r>
              <w:rPr>
                <w:rFonts w:ascii="Times New Roman" w:eastAsia="宋体" w:hAnsi="Times New Roman" w:cs="Times New Roman"/>
                <w:color w:val="000000" w:themeColor="text1"/>
                <w:kern w:val="1"/>
              </w:rPr>
              <w:t>）</w:t>
            </w:r>
          </w:p>
        </w:tc>
        <w:tc>
          <w:tcPr>
            <w:tcW w:w="226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排气筒参数</w:t>
            </w:r>
          </w:p>
        </w:tc>
        <w:tc>
          <w:tcPr>
            <w:tcW w:w="127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排放速率（</w:t>
            </w:r>
            <w:r>
              <w:rPr>
                <w:rFonts w:ascii="Times New Roman" w:eastAsia="宋体" w:hAnsi="Times New Roman" w:cs="Times New Roman"/>
                <w:color w:val="000000" w:themeColor="text1"/>
                <w:kern w:val="0"/>
              </w:rPr>
              <w:t>kg/h</w:t>
            </w:r>
            <w:r>
              <w:rPr>
                <w:rFonts w:ascii="Times New Roman" w:eastAsia="宋体" w:hAnsi="Times New Roman" w:cs="Times New Roman"/>
                <w:color w:val="000000" w:themeColor="text1"/>
                <w:kern w:val="0"/>
              </w:rPr>
              <w:t>）</w:t>
            </w:r>
          </w:p>
        </w:tc>
        <w:tc>
          <w:tcPr>
            <w:tcW w:w="1197"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排放浓度（</w:t>
            </w:r>
            <w:r>
              <w:rPr>
                <w:rFonts w:ascii="Times New Roman" w:eastAsia="宋体" w:hAnsi="Times New Roman" w:cs="Times New Roman"/>
                <w:color w:val="000000" w:themeColor="text1"/>
                <w:kern w:val="0"/>
              </w:rPr>
              <w:t>mg/m</w:t>
            </w:r>
            <w:r>
              <w:rPr>
                <w:rFonts w:ascii="Times New Roman" w:eastAsia="宋体" w:hAnsi="Times New Roman" w:cs="Times New Roman"/>
                <w:color w:val="000000" w:themeColor="text1"/>
                <w:kern w:val="0"/>
                <w:vertAlign w:val="superscript"/>
              </w:rPr>
              <w:t>3</w:t>
            </w:r>
            <w:r>
              <w:rPr>
                <w:rFonts w:ascii="Times New Roman" w:eastAsia="宋体" w:hAnsi="Times New Roman" w:cs="Times New Roman"/>
                <w:color w:val="000000" w:themeColor="text1"/>
                <w:kern w:val="0"/>
              </w:rPr>
              <w:t>）</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w:t>
            </w:r>
            <w:r>
              <w:rPr>
                <w:rFonts w:ascii="Times New Roman" w:eastAsia="宋体" w:hAnsi="Times New Roman" w:cs="Times New Roman"/>
                <w:color w:val="000000" w:themeColor="text1"/>
                <w:kern w:val="0"/>
              </w:rPr>
              <w:t>排气筒</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G1</w:t>
            </w:r>
            <w:r>
              <w:rPr>
                <w:rFonts w:ascii="Times New Roman" w:eastAsia="宋体" w:hAnsi="Times New Roman" w:cs="Times New Roman"/>
                <w:color w:val="000000" w:themeColor="text1"/>
                <w:kern w:val="1"/>
              </w:rPr>
              <w:t>：稀硝酸生产吸收塔尾气</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NO</w:t>
            </w:r>
            <w:r>
              <w:rPr>
                <w:rFonts w:ascii="Times New Roman" w:eastAsia="宋体" w:hAnsi="Times New Roman" w:cs="Times New Roman"/>
                <w:color w:val="000000" w:themeColor="text1"/>
                <w:kern w:val="0"/>
                <w:vertAlign w:val="subscript"/>
              </w:rPr>
              <w:t>X</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SCR</w:t>
            </w:r>
            <w:r>
              <w:rPr>
                <w:rFonts w:ascii="Times New Roman" w:eastAsia="宋体" w:hAnsi="Times New Roman" w:cs="Times New Roman"/>
                <w:color w:val="000000" w:themeColor="text1"/>
                <w:kern w:val="0"/>
              </w:rPr>
              <w:t>脱硝系统脱硝处理</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95%</w:t>
            </w: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70833</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48m</w:t>
            </w:r>
          </w:p>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1.0m</w:t>
            </w:r>
          </w:p>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60</w:t>
            </w:r>
            <w:r>
              <w:rPr>
                <w:rFonts w:ascii="宋体" w:eastAsia="宋体" w:hAnsi="宋体" w:cs="宋体" w:hint="eastAsia"/>
                <w:color w:val="000000" w:themeColor="text1"/>
                <w:kern w:val="1"/>
              </w:rPr>
              <w:t>℃</w:t>
            </w:r>
          </w:p>
        </w:tc>
        <w:tc>
          <w:tcPr>
            <w:tcW w:w="127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1.8</w:t>
            </w:r>
          </w:p>
        </w:tc>
        <w:tc>
          <w:tcPr>
            <w:tcW w:w="1197"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24.28</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2#</w:t>
            </w:r>
            <w:r>
              <w:rPr>
                <w:rFonts w:ascii="Times New Roman" w:eastAsia="宋体" w:hAnsi="Times New Roman" w:cs="Times New Roman"/>
                <w:color w:val="000000" w:themeColor="text1"/>
                <w:kern w:val="0"/>
              </w:rPr>
              <w:t>排气筒</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G3</w:t>
            </w:r>
            <w:r>
              <w:rPr>
                <w:rFonts w:ascii="Times New Roman" w:eastAsia="宋体" w:hAnsi="Times New Roman" w:cs="Times New Roman"/>
                <w:color w:val="000000" w:themeColor="text1"/>
                <w:kern w:val="1"/>
              </w:rPr>
              <w:t>：硝基有机肥生产备料废气</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颗粒物</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布袋除尘</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99%</w:t>
            </w: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5000</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15m</w:t>
            </w:r>
          </w:p>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0.5m</w:t>
            </w:r>
          </w:p>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25</w:t>
            </w:r>
            <w:r>
              <w:rPr>
                <w:rFonts w:ascii="宋体" w:eastAsia="宋体" w:hAnsi="宋体" w:cs="宋体" w:hint="eastAsia"/>
                <w:color w:val="000000" w:themeColor="text1"/>
                <w:kern w:val="1"/>
              </w:rPr>
              <w:t>℃</w:t>
            </w:r>
          </w:p>
        </w:tc>
        <w:tc>
          <w:tcPr>
            <w:tcW w:w="127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0.18</w:t>
            </w:r>
          </w:p>
        </w:tc>
        <w:tc>
          <w:tcPr>
            <w:tcW w:w="1197"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36</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3#</w:t>
            </w:r>
            <w:r>
              <w:rPr>
                <w:rFonts w:ascii="Times New Roman" w:eastAsia="宋体" w:hAnsi="Times New Roman" w:cs="Times New Roman"/>
                <w:color w:val="000000" w:themeColor="text1"/>
                <w:kern w:val="0"/>
              </w:rPr>
              <w:t>排气筒</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G4</w:t>
            </w:r>
            <w:r>
              <w:rPr>
                <w:rFonts w:ascii="Times New Roman" w:eastAsia="宋体" w:hAnsi="Times New Roman" w:cs="Times New Roman"/>
                <w:color w:val="000000" w:themeColor="text1"/>
                <w:kern w:val="1"/>
              </w:rPr>
              <w:t>：硝基有机肥造粒废气</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颗粒物</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布袋除尘</w:t>
            </w:r>
            <w:r>
              <w:rPr>
                <w:rFonts w:ascii="Times New Roman" w:eastAsia="宋体" w:hAnsi="Times New Roman" w:cs="Times New Roman"/>
                <w:color w:val="000000" w:themeColor="text1"/>
                <w:kern w:val="0"/>
              </w:rPr>
              <w:t xml:space="preserve"> </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99.5%</w:t>
            </w: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75000</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100m</w:t>
            </w:r>
          </w:p>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1.2m</w:t>
            </w:r>
          </w:p>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45</w:t>
            </w:r>
            <w:r>
              <w:rPr>
                <w:rFonts w:ascii="宋体" w:eastAsia="宋体" w:hAnsi="宋体" w:cs="宋体" w:hint="eastAsia"/>
                <w:color w:val="000000" w:themeColor="text1"/>
                <w:kern w:val="1"/>
              </w:rPr>
              <w:t>℃</w:t>
            </w:r>
          </w:p>
        </w:tc>
        <w:tc>
          <w:tcPr>
            <w:tcW w:w="127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1.165</w:t>
            </w:r>
          </w:p>
        </w:tc>
        <w:tc>
          <w:tcPr>
            <w:tcW w:w="1197"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15.53</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4#</w:t>
            </w:r>
            <w:r>
              <w:rPr>
                <w:rFonts w:ascii="Times New Roman" w:eastAsia="宋体" w:hAnsi="Times New Roman" w:cs="Times New Roman"/>
                <w:color w:val="000000" w:themeColor="text1"/>
                <w:kern w:val="0"/>
              </w:rPr>
              <w:t>排气筒</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G5</w:t>
            </w:r>
            <w:r>
              <w:rPr>
                <w:rFonts w:ascii="Times New Roman" w:eastAsia="宋体" w:hAnsi="Times New Roman" w:cs="Times New Roman"/>
                <w:color w:val="000000" w:themeColor="text1"/>
                <w:kern w:val="1"/>
              </w:rPr>
              <w:t>：硝基复合肥产品滚筒冷却筛分废气</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颗粒物</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布袋除尘</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99%</w:t>
            </w: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7500</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15m</w:t>
            </w:r>
          </w:p>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0.5m</w:t>
            </w:r>
          </w:p>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25</w:t>
            </w:r>
            <w:r>
              <w:rPr>
                <w:rFonts w:ascii="宋体" w:eastAsia="宋体" w:hAnsi="宋体" w:cs="宋体" w:hint="eastAsia"/>
                <w:color w:val="000000" w:themeColor="text1"/>
                <w:kern w:val="1"/>
              </w:rPr>
              <w:t>℃</w:t>
            </w:r>
          </w:p>
        </w:tc>
        <w:tc>
          <w:tcPr>
            <w:tcW w:w="127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0.42</w:t>
            </w:r>
          </w:p>
        </w:tc>
        <w:tc>
          <w:tcPr>
            <w:tcW w:w="1197"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56</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w:t>
            </w:r>
            <w:r>
              <w:rPr>
                <w:rFonts w:ascii="Times New Roman" w:eastAsia="宋体" w:hAnsi="Times New Roman" w:cs="Times New Roman"/>
                <w:color w:val="000000" w:themeColor="text1"/>
                <w:kern w:val="0"/>
              </w:rPr>
              <w:t>排气筒</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G6</w:t>
            </w:r>
            <w:r>
              <w:rPr>
                <w:rFonts w:ascii="Times New Roman" w:eastAsia="宋体" w:hAnsi="Times New Roman" w:cs="Times New Roman"/>
                <w:color w:val="000000" w:themeColor="text1"/>
                <w:kern w:val="0"/>
              </w:rPr>
              <w:t>：尿素合成尾气</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尾气吸收器中使用工艺冷凝液和蒸汽冷凝液分段洗涤</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92.4%</w:t>
            </w: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5000</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30m</w:t>
            </w:r>
          </w:p>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0.8m</w:t>
            </w:r>
          </w:p>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25</w:t>
            </w:r>
            <w:r>
              <w:rPr>
                <w:rFonts w:ascii="宋体" w:eastAsia="宋体" w:hAnsi="宋体" w:cs="宋体" w:hint="eastAsia"/>
                <w:color w:val="000000" w:themeColor="text1"/>
                <w:kern w:val="1"/>
              </w:rPr>
              <w:t>℃</w:t>
            </w:r>
          </w:p>
        </w:tc>
        <w:tc>
          <w:tcPr>
            <w:tcW w:w="127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0.0125</w:t>
            </w:r>
          </w:p>
        </w:tc>
        <w:tc>
          <w:tcPr>
            <w:tcW w:w="1197"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2.5</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6#</w:t>
            </w:r>
            <w:r>
              <w:rPr>
                <w:rFonts w:ascii="Times New Roman" w:eastAsia="宋体" w:hAnsi="Times New Roman" w:cs="Times New Roman"/>
                <w:color w:val="000000" w:themeColor="text1"/>
                <w:kern w:val="0"/>
              </w:rPr>
              <w:t>排气筒</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G7</w:t>
            </w:r>
            <w:r>
              <w:rPr>
                <w:rFonts w:ascii="Times New Roman" w:eastAsia="宋体" w:hAnsi="Times New Roman" w:cs="Times New Roman"/>
                <w:color w:val="000000" w:themeColor="text1"/>
                <w:kern w:val="0"/>
              </w:rPr>
              <w:t>：中压吸收尾气</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氨</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甲铵液和稀氨水吸收</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常压尾气洗涤器吸收处理</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95%+95%</w:t>
            </w:r>
          </w:p>
        </w:tc>
        <w:tc>
          <w:tcPr>
            <w:tcW w:w="113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2000</w:t>
            </w:r>
          </w:p>
        </w:tc>
        <w:tc>
          <w:tcPr>
            <w:tcW w:w="2268" w:type="dxa"/>
            <w:vMerge w:val="restart"/>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30m</w:t>
            </w:r>
          </w:p>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0.8m</w:t>
            </w:r>
          </w:p>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25</w:t>
            </w:r>
            <w:r>
              <w:rPr>
                <w:rFonts w:ascii="宋体" w:eastAsia="宋体" w:hAnsi="宋体" w:cs="宋体" w:hint="eastAsia"/>
                <w:color w:val="000000" w:themeColor="text1"/>
                <w:kern w:val="1"/>
              </w:rPr>
              <w:t>℃</w:t>
            </w:r>
          </w:p>
        </w:tc>
        <w:tc>
          <w:tcPr>
            <w:tcW w:w="127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0.035</w:t>
            </w:r>
          </w:p>
        </w:tc>
        <w:tc>
          <w:tcPr>
            <w:tcW w:w="1197"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17.5</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G8</w:t>
            </w:r>
            <w:r>
              <w:rPr>
                <w:rFonts w:ascii="Times New Roman" w:eastAsia="宋体" w:hAnsi="Times New Roman" w:cs="Times New Roman"/>
                <w:color w:val="000000" w:themeColor="text1"/>
                <w:kern w:val="0"/>
              </w:rPr>
              <w:t>：低压吸收尾气</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低压尾气洗涤器吸收处理</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95%</w:t>
            </w:r>
          </w:p>
        </w:tc>
        <w:tc>
          <w:tcPr>
            <w:tcW w:w="113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1000</w:t>
            </w:r>
          </w:p>
        </w:tc>
        <w:tc>
          <w:tcPr>
            <w:tcW w:w="2268" w:type="dxa"/>
            <w:vMerge/>
            <w:vAlign w:val="center"/>
          </w:tcPr>
          <w:p w:rsidR="00C861DA" w:rsidRDefault="00C861DA">
            <w:pPr>
              <w:jc w:val="center"/>
              <w:rPr>
                <w:rFonts w:ascii="Times New Roman" w:eastAsia="宋体" w:hAnsi="Times New Roman" w:cs="Times New Roman"/>
                <w:color w:val="000000" w:themeColor="text1"/>
                <w:kern w:val="1"/>
              </w:rPr>
            </w:pPr>
          </w:p>
        </w:tc>
        <w:tc>
          <w:tcPr>
            <w:tcW w:w="127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0.021</w:t>
            </w:r>
          </w:p>
        </w:tc>
        <w:tc>
          <w:tcPr>
            <w:tcW w:w="1197"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21.0</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小计</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13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3000</w:t>
            </w:r>
          </w:p>
        </w:tc>
        <w:tc>
          <w:tcPr>
            <w:tcW w:w="2268" w:type="dxa"/>
            <w:vMerge/>
            <w:vAlign w:val="center"/>
          </w:tcPr>
          <w:p w:rsidR="00C861DA" w:rsidRDefault="00C861DA">
            <w:pPr>
              <w:jc w:val="center"/>
              <w:rPr>
                <w:rFonts w:ascii="Times New Roman" w:eastAsia="宋体" w:hAnsi="Times New Roman" w:cs="Times New Roman"/>
                <w:color w:val="000000" w:themeColor="text1"/>
                <w:kern w:val="1"/>
              </w:rPr>
            </w:pPr>
          </w:p>
        </w:tc>
        <w:tc>
          <w:tcPr>
            <w:tcW w:w="127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0.056</w:t>
            </w:r>
          </w:p>
        </w:tc>
        <w:tc>
          <w:tcPr>
            <w:tcW w:w="1197"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38.5</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7#</w:t>
            </w:r>
            <w:r>
              <w:rPr>
                <w:rFonts w:ascii="Times New Roman" w:eastAsia="宋体" w:hAnsi="Times New Roman" w:cs="Times New Roman"/>
                <w:color w:val="000000" w:themeColor="text1"/>
                <w:kern w:val="0"/>
              </w:rPr>
              <w:t>排气筒</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G9</w:t>
            </w:r>
            <w:r>
              <w:rPr>
                <w:rFonts w:ascii="Times New Roman" w:eastAsia="宋体" w:hAnsi="Times New Roman" w:cs="Times New Roman"/>
                <w:color w:val="000000" w:themeColor="text1"/>
                <w:kern w:val="0"/>
              </w:rPr>
              <w:t>：尿液蒸发尾气</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两段蒸发分离</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两段蒸发冷凝</w:t>
            </w:r>
          </w:p>
        </w:tc>
        <w:tc>
          <w:tcPr>
            <w:tcW w:w="1278" w:type="dxa"/>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18000</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50m</w:t>
            </w:r>
          </w:p>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1.2m</w:t>
            </w:r>
          </w:p>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25</w:t>
            </w:r>
            <w:r>
              <w:rPr>
                <w:rFonts w:ascii="宋体" w:eastAsia="宋体" w:hAnsi="宋体" w:cs="宋体" w:hint="eastAsia"/>
                <w:color w:val="000000" w:themeColor="text1"/>
                <w:kern w:val="1"/>
              </w:rPr>
              <w:t>℃</w:t>
            </w:r>
          </w:p>
        </w:tc>
        <w:tc>
          <w:tcPr>
            <w:tcW w:w="127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0.475</w:t>
            </w:r>
          </w:p>
        </w:tc>
        <w:tc>
          <w:tcPr>
            <w:tcW w:w="1197"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26.39</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8#</w:t>
            </w:r>
            <w:r>
              <w:rPr>
                <w:rFonts w:ascii="Times New Roman" w:eastAsia="宋体" w:hAnsi="Times New Roman" w:cs="Times New Roman"/>
                <w:color w:val="000000" w:themeColor="text1"/>
                <w:kern w:val="0"/>
              </w:rPr>
              <w:t>排气筒</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G10</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1"/>
              </w:rPr>
              <w:t>尿基有机肥生产备料废气</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颗粒物</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布袋除尘</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99%</w:t>
            </w:r>
          </w:p>
        </w:tc>
        <w:tc>
          <w:tcPr>
            <w:tcW w:w="113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7500</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25m</w:t>
            </w:r>
          </w:p>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0.5m</w:t>
            </w:r>
          </w:p>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25</w:t>
            </w:r>
            <w:r>
              <w:rPr>
                <w:rFonts w:ascii="宋体" w:eastAsia="宋体" w:hAnsi="宋体" w:cs="宋体" w:hint="eastAsia"/>
                <w:color w:val="000000" w:themeColor="text1"/>
                <w:kern w:val="1"/>
              </w:rPr>
              <w:t>℃</w:t>
            </w:r>
          </w:p>
        </w:tc>
        <w:tc>
          <w:tcPr>
            <w:tcW w:w="127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0.276</w:t>
            </w:r>
          </w:p>
        </w:tc>
        <w:tc>
          <w:tcPr>
            <w:tcW w:w="1197"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36.8</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w:t>
            </w:r>
            <w:r>
              <w:rPr>
                <w:rFonts w:ascii="Times New Roman" w:eastAsia="宋体" w:hAnsi="Times New Roman" w:cs="Times New Roman"/>
                <w:color w:val="000000" w:themeColor="text1"/>
                <w:kern w:val="0"/>
              </w:rPr>
              <w:t>排气筒</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G11-G14</w:t>
            </w:r>
            <w:r>
              <w:rPr>
                <w:rFonts w:ascii="Times New Roman" w:eastAsia="宋体" w:hAnsi="Times New Roman" w:cs="Times New Roman"/>
                <w:color w:val="000000" w:themeColor="text1"/>
                <w:kern w:val="0"/>
              </w:rPr>
              <w:t>：尿基复合肥造粒塔尾气</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颗粒物</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布袋除尘</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99.5%</w:t>
            </w:r>
          </w:p>
        </w:tc>
        <w:tc>
          <w:tcPr>
            <w:tcW w:w="113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125000</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排气筒高度：</w:t>
            </w:r>
            <w:r>
              <w:rPr>
                <w:rFonts w:ascii="Times New Roman" w:eastAsia="宋体" w:hAnsi="Times New Roman" w:cs="Times New Roman"/>
                <w:color w:val="000000" w:themeColor="text1"/>
                <w:kern w:val="1"/>
              </w:rPr>
              <w:t>110m</w:t>
            </w:r>
          </w:p>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排放口内径：</w:t>
            </w:r>
            <w:r>
              <w:rPr>
                <w:rFonts w:ascii="Times New Roman" w:eastAsia="宋体" w:hAnsi="Times New Roman" w:cs="Times New Roman"/>
                <w:color w:val="000000" w:themeColor="text1"/>
                <w:kern w:val="1"/>
              </w:rPr>
              <w:t>1.2m</w:t>
            </w:r>
          </w:p>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温度：</w:t>
            </w:r>
            <w:r>
              <w:rPr>
                <w:rFonts w:ascii="Times New Roman" w:eastAsia="宋体" w:hAnsi="Times New Roman" w:cs="Times New Roman"/>
                <w:color w:val="000000" w:themeColor="text1"/>
                <w:kern w:val="1"/>
              </w:rPr>
              <w:t>45</w:t>
            </w:r>
            <w:r>
              <w:rPr>
                <w:rFonts w:ascii="宋体" w:eastAsia="宋体" w:hAnsi="宋体" w:cs="宋体" w:hint="eastAsia"/>
                <w:color w:val="000000" w:themeColor="text1"/>
                <w:kern w:val="1"/>
              </w:rPr>
              <w:t>℃</w:t>
            </w:r>
          </w:p>
        </w:tc>
        <w:tc>
          <w:tcPr>
            <w:tcW w:w="127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1.945</w:t>
            </w:r>
          </w:p>
        </w:tc>
        <w:tc>
          <w:tcPr>
            <w:tcW w:w="1197"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15.56</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硝酸生产单元</w:t>
            </w:r>
          </w:p>
        </w:tc>
        <w:tc>
          <w:tcPr>
            <w:tcW w:w="1983"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跑冒滴漏无组织挥发</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13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w:t>
            </w:r>
          </w:p>
        </w:tc>
        <w:tc>
          <w:tcPr>
            <w:tcW w:w="2268" w:type="dxa"/>
            <w:vMerge w:val="restart"/>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61m×30m</w:t>
            </w:r>
          </w:p>
        </w:tc>
        <w:tc>
          <w:tcPr>
            <w:tcW w:w="127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0.011</w:t>
            </w:r>
          </w:p>
        </w:tc>
        <w:tc>
          <w:tcPr>
            <w:tcW w:w="1197"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983" w:type="dxa"/>
            <w:vMerge/>
            <w:vAlign w:val="center"/>
          </w:tcPr>
          <w:p w:rsidR="00C861DA" w:rsidRDefault="00C861DA">
            <w:pPr>
              <w:jc w:val="center"/>
              <w:rPr>
                <w:rFonts w:ascii="Times New Roman" w:eastAsia="宋体" w:hAnsi="Times New Roman" w:cs="Times New Roman"/>
                <w:color w:val="000000" w:themeColor="text1"/>
                <w:kern w:val="0"/>
              </w:rPr>
            </w:pP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氮氧化物</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13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w:t>
            </w:r>
          </w:p>
        </w:tc>
        <w:tc>
          <w:tcPr>
            <w:tcW w:w="2268" w:type="dxa"/>
            <w:vMerge/>
            <w:vAlign w:val="center"/>
          </w:tcPr>
          <w:p w:rsidR="00C861DA" w:rsidRDefault="00C861DA">
            <w:pPr>
              <w:jc w:val="center"/>
              <w:rPr>
                <w:rFonts w:ascii="Times New Roman" w:eastAsia="宋体" w:hAnsi="Times New Roman" w:cs="Times New Roman"/>
                <w:color w:val="000000" w:themeColor="text1"/>
                <w:kern w:val="1"/>
              </w:rPr>
            </w:pPr>
          </w:p>
        </w:tc>
        <w:tc>
          <w:tcPr>
            <w:tcW w:w="127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0.015</w:t>
            </w:r>
          </w:p>
        </w:tc>
        <w:tc>
          <w:tcPr>
            <w:tcW w:w="1197"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硝铵生产单元</w:t>
            </w:r>
          </w:p>
        </w:tc>
        <w:tc>
          <w:tcPr>
            <w:tcW w:w="1983"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跑冒滴漏无组织挥发</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13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268" w:type="dxa"/>
            <w:vMerge w:val="restart"/>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61m×40m</w:t>
            </w:r>
          </w:p>
        </w:tc>
        <w:tc>
          <w:tcPr>
            <w:tcW w:w="127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0.015</w:t>
            </w:r>
          </w:p>
        </w:tc>
        <w:tc>
          <w:tcPr>
            <w:tcW w:w="1197"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983" w:type="dxa"/>
            <w:vMerge/>
            <w:vAlign w:val="center"/>
          </w:tcPr>
          <w:p w:rsidR="00C861DA" w:rsidRDefault="00C861DA">
            <w:pPr>
              <w:jc w:val="center"/>
              <w:rPr>
                <w:rFonts w:ascii="Times New Roman" w:eastAsia="宋体" w:hAnsi="Times New Roman" w:cs="Times New Roman"/>
                <w:color w:val="000000" w:themeColor="text1"/>
                <w:kern w:val="0"/>
              </w:rPr>
            </w:pP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氮氧化物</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13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268" w:type="dxa"/>
            <w:vMerge/>
            <w:vAlign w:val="center"/>
          </w:tcPr>
          <w:p w:rsidR="00C861DA" w:rsidRDefault="00C861DA">
            <w:pPr>
              <w:jc w:val="center"/>
              <w:rPr>
                <w:rFonts w:ascii="Times New Roman" w:eastAsia="宋体" w:hAnsi="Times New Roman" w:cs="Times New Roman"/>
                <w:color w:val="000000" w:themeColor="text1"/>
                <w:kern w:val="1"/>
              </w:rPr>
            </w:pPr>
          </w:p>
        </w:tc>
        <w:tc>
          <w:tcPr>
            <w:tcW w:w="127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0.025</w:t>
            </w:r>
          </w:p>
        </w:tc>
        <w:tc>
          <w:tcPr>
            <w:tcW w:w="1197"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硝基复合肥生产单元</w:t>
            </w:r>
          </w:p>
        </w:tc>
        <w:tc>
          <w:tcPr>
            <w:tcW w:w="1983"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跑冒滴漏无组织挥发</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13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268" w:type="dxa"/>
            <w:vMerge w:val="restart"/>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30m×80m</w:t>
            </w:r>
          </w:p>
        </w:tc>
        <w:tc>
          <w:tcPr>
            <w:tcW w:w="127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0.04</w:t>
            </w:r>
          </w:p>
        </w:tc>
        <w:tc>
          <w:tcPr>
            <w:tcW w:w="1197"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983" w:type="dxa"/>
            <w:vMerge/>
            <w:vAlign w:val="center"/>
          </w:tcPr>
          <w:p w:rsidR="00C861DA" w:rsidRDefault="00C861DA">
            <w:pPr>
              <w:jc w:val="center"/>
              <w:rPr>
                <w:rFonts w:ascii="Times New Roman" w:eastAsia="宋体" w:hAnsi="Times New Roman" w:cs="Times New Roman"/>
                <w:color w:val="000000" w:themeColor="text1"/>
                <w:kern w:val="0"/>
              </w:rPr>
            </w:pP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颗粒物</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13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268" w:type="dxa"/>
            <w:vMerge/>
            <w:vAlign w:val="center"/>
          </w:tcPr>
          <w:p w:rsidR="00C861DA" w:rsidRDefault="00C861DA">
            <w:pPr>
              <w:jc w:val="center"/>
              <w:rPr>
                <w:rFonts w:ascii="Times New Roman" w:eastAsia="宋体" w:hAnsi="Times New Roman" w:cs="Times New Roman"/>
                <w:color w:val="000000" w:themeColor="text1"/>
                <w:kern w:val="1"/>
              </w:rPr>
            </w:pPr>
          </w:p>
        </w:tc>
        <w:tc>
          <w:tcPr>
            <w:tcW w:w="127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0.038</w:t>
            </w:r>
          </w:p>
        </w:tc>
        <w:tc>
          <w:tcPr>
            <w:tcW w:w="1197"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尿素生产单元</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跑冒滴漏无组织挥发</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氨</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13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40m×50m</w:t>
            </w:r>
          </w:p>
        </w:tc>
        <w:tc>
          <w:tcPr>
            <w:tcW w:w="127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0.004</w:t>
            </w:r>
          </w:p>
        </w:tc>
        <w:tc>
          <w:tcPr>
            <w:tcW w:w="1197"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尿基复合肥生产单元</w:t>
            </w:r>
          </w:p>
        </w:tc>
        <w:tc>
          <w:tcPr>
            <w:tcW w:w="1983"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跑冒滴漏无组织挥发</w:t>
            </w: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氨</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13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268" w:type="dxa"/>
            <w:vMerge w:val="restart"/>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60m×50m</w:t>
            </w:r>
          </w:p>
        </w:tc>
        <w:tc>
          <w:tcPr>
            <w:tcW w:w="127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0.041</w:t>
            </w:r>
          </w:p>
        </w:tc>
        <w:tc>
          <w:tcPr>
            <w:tcW w:w="1197"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983" w:type="dxa"/>
            <w:vMerge/>
            <w:vAlign w:val="center"/>
          </w:tcPr>
          <w:p w:rsidR="00C861DA" w:rsidRDefault="00C861DA">
            <w:pPr>
              <w:jc w:val="center"/>
              <w:rPr>
                <w:rFonts w:ascii="Times New Roman" w:eastAsia="宋体" w:hAnsi="Times New Roman" w:cs="Times New Roman"/>
                <w:color w:val="000000" w:themeColor="text1"/>
                <w:kern w:val="0"/>
              </w:rPr>
            </w:pPr>
          </w:p>
        </w:tc>
        <w:tc>
          <w:tcPr>
            <w:tcW w:w="1135"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颗粒物</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113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268" w:type="dxa"/>
            <w:vMerge/>
            <w:vAlign w:val="center"/>
          </w:tcPr>
          <w:p w:rsidR="00C861DA" w:rsidRDefault="00C861DA">
            <w:pPr>
              <w:jc w:val="center"/>
              <w:rPr>
                <w:rFonts w:ascii="Times New Roman" w:eastAsia="宋体" w:hAnsi="Times New Roman" w:cs="Times New Roman"/>
                <w:color w:val="000000" w:themeColor="text1"/>
                <w:kern w:val="1"/>
              </w:rPr>
            </w:pPr>
          </w:p>
        </w:tc>
        <w:tc>
          <w:tcPr>
            <w:tcW w:w="127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0.039</w:t>
            </w:r>
          </w:p>
        </w:tc>
        <w:tc>
          <w:tcPr>
            <w:tcW w:w="1197"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r>
      <w:tr w:rsidR="00C861DA">
        <w:trPr>
          <w:trHeight w:val="369"/>
          <w:jc w:val="center"/>
        </w:trPr>
        <w:tc>
          <w:tcPr>
            <w:tcW w:w="702"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废水</w:t>
            </w:r>
          </w:p>
        </w:tc>
        <w:tc>
          <w:tcPr>
            <w:tcW w:w="1278"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硝酸生产单元</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硝酸生产废水</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含氨废水</w:t>
            </w:r>
          </w:p>
        </w:tc>
        <w:tc>
          <w:tcPr>
            <w:tcW w:w="1699"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排入生产废水收集池后，送祥丰金麦球磨工段，作为生产补充水。</w:t>
            </w:r>
          </w:p>
        </w:tc>
        <w:tc>
          <w:tcPr>
            <w:tcW w:w="1278"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100%</w:t>
            </w: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472" w:type="dxa"/>
            <w:gridSpan w:val="2"/>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废水不外排</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98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余热锅炉排污水</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高盐废水</w:t>
            </w:r>
          </w:p>
        </w:tc>
        <w:tc>
          <w:tcPr>
            <w:tcW w:w="1699"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472" w:type="dxa"/>
            <w:gridSpan w:val="2"/>
            <w:vMerge/>
            <w:vAlign w:val="center"/>
          </w:tcPr>
          <w:p w:rsidR="00C861DA" w:rsidRDefault="00C861DA">
            <w:pPr>
              <w:jc w:val="center"/>
              <w:rPr>
                <w:rFonts w:ascii="Times New Roman" w:eastAsia="宋体" w:hAnsi="Times New Roman" w:cs="Times New Roman"/>
                <w:color w:val="000000" w:themeColor="text1"/>
                <w:kern w:val="0"/>
              </w:rPr>
            </w:pP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硝酸铵生产单元</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氨回收冷凝废水</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含氨废水</w:t>
            </w:r>
          </w:p>
        </w:tc>
        <w:tc>
          <w:tcPr>
            <w:tcW w:w="1699"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472" w:type="dxa"/>
            <w:gridSpan w:val="2"/>
            <w:vMerge/>
            <w:vAlign w:val="center"/>
          </w:tcPr>
          <w:p w:rsidR="00C861DA" w:rsidRDefault="00C861DA">
            <w:pPr>
              <w:jc w:val="center"/>
              <w:rPr>
                <w:rFonts w:ascii="Times New Roman" w:eastAsia="宋体" w:hAnsi="Times New Roman" w:cs="Times New Roman"/>
                <w:color w:val="000000" w:themeColor="text1"/>
                <w:kern w:val="0"/>
              </w:rPr>
            </w:pP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硝基复合肥造粒导员</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硝基复合肥造粒废气洗涤废水</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含氨废水</w:t>
            </w:r>
          </w:p>
        </w:tc>
        <w:tc>
          <w:tcPr>
            <w:tcW w:w="1699"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472" w:type="dxa"/>
            <w:gridSpan w:val="2"/>
            <w:vMerge/>
            <w:vAlign w:val="center"/>
          </w:tcPr>
          <w:p w:rsidR="00C861DA" w:rsidRDefault="00C861DA">
            <w:pPr>
              <w:jc w:val="center"/>
              <w:rPr>
                <w:rFonts w:ascii="Times New Roman" w:eastAsia="宋体" w:hAnsi="Times New Roman" w:cs="Times New Roman"/>
                <w:color w:val="000000" w:themeColor="text1"/>
                <w:kern w:val="0"/>
              </w:rPr>
            </w:pP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尿素生产单元</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尿素合成尾气洗涤废水</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含氨废水</w:t>
            </w:r>
          </w:p>
        </w:tc>
        <w:tc>
          <w:tcPr>
            <w:tcW w:w="1699"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472" w:type="dxa"/>
            <w:gridSpan w:val="2"/>
            <w:vMerge/>
            <w:vAlign w:val="center"/>
          </w:tcPr>
          <w:p w:rsidR="00C861DA" w:rsidRDefault="00C861DA">
            <w:pPr>
              <w:jc w:val="center"/>
              <w:rPr>
                <w:rFonts w:ascii="Times New Roman" w:eastAsia="宋体" w:hAnsi="Times New Roman" w:cs="Times New Roman"/>
                <w:color w:val="000000" w:themeColor="text1"/>
                <w:kern w:val="0"/>
              </w:rPr>
            </w:pP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中压、低压尾气洗涤废水</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含氨废水</w:t>
            </w:r>
          </w:p>
        </w:tc>
        <w:tc>
          <w:tcPr>
            <w:tcW w:w="1699"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472" w:type="dxa"/>
            <w:gridSpan w:val="2"/>
            <w:vMerge/>
            <w:vAlign w:val="center"/>
          </w:tcPr>
          <w:p w:rsidR="00C861DA" w:rsidRDefault="00C861DA">
            <w:pPr>
              <w:jc w:val="center"/>
              <w:rPr>
                <w:rFonts w:ascii="Times New Roman" w:eastAsia="宋体" w:hAnsi="Times New Roman" w:cs="Times New Roman"/>
                <w:color w:val="000000" w:themeColor="text1"/>
                <w:kern w:val="0"/>
              </w:rPr>
            </w:pP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解析水解废水</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含氨废水</w:t>
            </w:r>
          </w:p>
        </w:tc>
        <w:tc>
          <w:tcPr>
            <w:tcW w:w="1699"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472" w:type="dxa"/>
            <w:gridSpan w:val="2"/>
            <w:vMerge/>
            <w:vAlign w:val="center"/>
          </w:tcPr>
          <w:p w:rsidR="00C861DA" w:rsidRDefault="00C861DA">
            <w:pPr>
              <w:jc w:val="center"/>
              <w:rPr>
                <w:rFonts w:ascii="Times New Roman" w:eastAsia="宋体" w:hAnsi="Times New Roman" w:cs="Times New Roman"/>
                <w:color w:val="000000" w:themeColor="text1"/>
                <w:kern w:val="0"/>
              </w:rPr>
            </w:pP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尿素造粒导员</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造粒尾气洗涤废水</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含氨废水</w:t>
            </w:r>
          </w:p>
        </w:tc>
        <w:tc>
          <w:tcPr>
            <w:tcW w:w="1699"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472" w:type="dxa"/>
            <w:gridSpan w:val="2"/>
            <w:vMerge/>
            <w:vAlign w:val="center"/>
          </w:tcPr>
          <w:p w:rsidR="00C861DA" w:rsidRDefault="00C861DA">
            <w:pPr>
              <w:jc w:val="center"/>
              <w:rPr>
                <w:rFonts w:ascii="Times New Roman" w:eastAsia="宋体" w:hAnsi="Times New Roman" w:cs="Times New Roman"/>
                <w:color w:val="000000" w:themeColor="text1"/>
                <w:kern w:val="0"/>
              </w:rPr>
            </w:pP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厂区</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地坪冲洗水</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冲洗废水</w:t>
            </w:r>
          </w:p>
        </w:tc>
        <w:tc>
          <w:tcPr>
            <w:tcW w:w="1699"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472" w:type="dxa"/>
            <w:gridSpan w:val="2"/>
            <w:vMerge/>
            <w:vAlign w:val="center"/>
          </w:tcPr>
          <w:p w:rsidR="00C861DA" w:rsidRDefault="00C861DA">
            <w:pPr>
              <w:jc w:val="center"/>
              <w:rPr>
                <w:rFonts w:ascii="Times New Roman" w:eastAsia="宋体" w:hAnsi="Times New Roman" w:cs="Times New Roman"/>
                <w:color w:val="000000" w:themeColor="text1"/>
                <w:kern w:val="0"/>
              </w:rPr>
            </w:pP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生活区</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生活污水</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hint="eastAsia"/>
                <w:color w:val="000000" w:themeColor="text1"/>
                <w:kern w:val="1"/>
              </w:rPr>
              <w:t>生活废水</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依托</w:t>
            </w:r>
            <w:r>
              <w:rPr>
                <w:rFonts w:ascii="Times New Roman" w:eastAsia="宋体" w:hAnsi="Times New Roman" w:cs="Times New Roman"/>
                <w:color w:val="000000" w:themeColor="text1"/>
                <w:kern w:val="0"/>
              </w:rPr>
              <w:t>“30</w:t>
            </w:r>
            <w:r>
              <w:rPr>
                <w:rFonts w:ascii="Times New Roman" w:eastAsia="宋体" w:hAnsi="Times New Roman" w:cs="Times New Roman"/>
                <w:color w:val="000000" w:themeColor="text1"/>
                <w:kern w:val="0"/>
              </w:rPr>
              <w:t>万吨合成氨装置项目</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生活污水处理站处理后用于绿化</w:t>
            </w: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0"/>
              </w:rPr>
              <w:t>/</w:t>
            </w:r>
          </w:p>
        </w:tc>
        <w:tc>
          <w:tcPr>
            <w:tcW w:w="2472" w:type="dxa"/>
            <w:gridSpan w:val="2"/>
            <w:vMerge/>
            <w:vAlign w:val="center"/>
          </w:tcPr>
          <w:p w:rsidR="00C861DA" w:rsidRDefault="00C861DA">
            <w:pPr>
              <w:jc w:val="center"/>
              <w:rPr>
                <w:rFonts w:ascii="Times New Roman" w:eastAsia="宋体" w:hAnsi="Times New Roman" w:cs="Times New Roman"/>
                <w:color w:val="000000" w:themeColor="text1"/>
                <w:kern w:val="0"/>
              </w:rPr>
            </w:pPr>
          </w:p>
        </w:tc>
      </w:tr>
      <w:tr w:rsidR="00C861DA">
        <w:trPr>
          <w:trHeight w:val="369"/>
          <w:jc w:val="center"/>
        </w:trPr>
        <w:tc>
          <w:tcPr>
            <w:tcW w:w="702"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固废</w:t>
            </w:r>
          </w:p>
        </w:tc>
        <w:tc>
          <w:tcPr>
            <w:tcW w:w="1278"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硝酸生产单元</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液氨</w:t>
            </w:r>
            <w:r>
              <w:rPr>
                <w:rFonts w:ascii="Times New Roman" w:eastAsia="宋体" w:hAnsi="Times New Roman" w:cs="Times New Roman"/>
                <w:color w:val="000000" w:themeColor="text1"/>
                <w:kern w:val="1"/>
              </w:rPr>
              <w:t>/</w:t>
            </w:r>
            <w:r>
              <w:rPr>
                <w:rFonts w:ascii="Times New Roman" w:eastAsia="宋体" w:hAnsi="Times New Roman" w:cs="Times New Roman"/>
                <w:color w:val="000000" w:themeColor="text1"/>
                <w:kern w:val="1"/>
              </w:rPr>
              <w:t>气氨过滤废滤料</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废催化剂</w:t>
            </w:r>
          </w:p>
        </w:tc>
        <w:tc>
          <w:tcPr>
            <w:tcW w:w="1699"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更换厂家回收处置</w:t>
            </w:r>
          </w:p>
        </w:tc>
        <w:tc>
          <w:tcPr>
            <w:tcW w:w="1278"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100%</w:t>
            </w: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w:t>
            </w:r>
          </w:p>
        </w:tc>
        <w:tc>
          <w:tcPr>
            <w:tcW w:w="2472" w:type="dxa"/>
            <w:gridSpan w:val="2"/>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5kg/</w:t>
            </w:r>
            <w:r>
              <w:rPr>
                <w:rFonts w:ascii="Times New Roman" w:eastAsia="宋体" w:hAnsi="Times New Roman" w:cs="Times New Roman"/>
                <w:color w:val="000000" w:themeColor="text1"/>
                <w:kern w:val="0"/>
              </w:rPr>
              <w:t>次</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氧化炉废催化剂</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废催化剂</w:t>
            </w:r>
          </w:p>
        </w:tc>
        <w:tc>
          <w:tcPr>
            <w:tcW w:w="1699"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w:t>
            </w:r>
          </w:p>
        </w:tc>
        <w:tc>
          <w:tcPr>
            <w:tcW w:w="2472" w:type="dxa"/>
            <w:gridSpan w:val="2"/>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12kg/a</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尿素生产单元</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二氧化碳脱氢废催化剂</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废催化剂</w:t>
            </w:r>
          </w:p>
        </w:tc>
        <w:tc>
          <w:tcPr>
            <w:tcW w:w="1699"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w:t>
            </w:r>
          </w:p>
        </w:tc>
        <w:tc>
          <w:tcPr>
            <w:tcW w:w="2472" w:type="dxa"/>
            <w:gridSpan w:val="2"/>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1.1m</w:t>
            </w:r>
            <w:r>
              <w:rPr>
                <w:rFonts w:ascii="Times New Roman" w:eastAsia="宋体" w:hAnsi="Times New Roman" w:cs="Times New Roman"/>
                <w:color w:val="000000" w:themeColor="text1"/>
                <w:kern w:val="0"/>
                <w:vertAlign w:val="superscript"/>
              </w:rPr>
              <w:t>3</w:t>
            </w:r>
            <w:r>
              <w:rPr>
                <w:rFonts w:ascii="Times New Roman" w:eastAsia="宋体" w:hAnsi="Times New Roman" w:cs="Times New Roman"/>
                <w:color w:val="000000" w:themeColor="text1"/>
                <w:kern w:val="0"/>
              </w:rPr>
              <w:t>/3</w:t>
            </w:r>
            <w:r>
              <w:rPr>
                <w:rFonts w:ascii="Times New Roman" w:eastAsia="宋体" w:hAnsi="Times New Roman" w:cs="Times New Roman"/>
                <w:color w:val="000000" w:themeColor="text1"/>
                <w:kern w:val="0"/>
              </w:rPr>
              <w:t>年</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硝基复合肥备料单元</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硝基复合肥除尘器收尘</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颗粒物</w:t>
            </w:r>
          </w:p>
        </w:tc>
        <w:tc>
          <w:tcPr>
            <w:tcW w:w="1699"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建设方统一收集回用于复合肥生产</w:t>
            </w: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w:t>
            </w:r>
          </w:p>
        </w:tc>
        <w:tc>
          <w:tcPr>
            <w:tcW w:w="2472" w:type="dxa"/>
            <w:gridSpan w:val="2"/>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128.42t/a</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restart"/>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硝基复合肥造粒单元</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硝基复合肥造粒塔布袋除尘器收尘</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颗粒物</w:t>
            </w:r>
          </w:p>
        </w:tc>
        <w:tc>
          <w:tcPr>
            <w:tcW w:w="1699"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w:t>
            </w:r>
          </w:p>
        </w:tc>
        <w:tc>
          <w:tcPr>
            <w:tcW w:w="2472" w:type="dxa"/>
            <w:gridSpan w:val="2"/>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1663.2t/a</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硝基复合肥产品筛分冷却除尘器收尘</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颗粒物</w:t>
            </w:r>
          </w:p>
        </w:tc>
        <w:tc>
          <w:tcPr>
            <w:tcW w:w="1699"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w:t>
            </w:r>
          </w:p>
        </w:tc>
        <w:tc>
          <w:tcPr>
            <w:tcW w:w="2472" w:type="dxa"/>
            <w:gridSpan w:val="2"/>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297t/a</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尿基复合肥配料单元</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尿基复合肥配料除尘器收尘</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颗粒物</w:t>
            </w:r>
          </w:p>
        </w:tc>
        <w:tc>
          <w:tcPr>
            <w:tcW w:w="1699"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w:t>
            </w:r>
          </w:p>
        </w:tc>
        <w:tc>
          <w:tcPr>
            <w:tcW w:w="2472" w:type="dxa"/>
            <w:gridSpan w:val="2"/>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197.41t/a</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尿基复合肥造粒单元</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尿复合肥造粒塔布袋除尘器收尘</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颗粒物</w:t>
            </w:r>
          </w:p>
        </w:tc>
        <w:tc>
          <w:tcPr>
            <w:tcW w:w="1699"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w:t>
            </w:r>
          </w:p>
        </w:tc>
        <w:tc>
          <w:tcPr>
            <w:tcW w:w="2472" w:type="dxa"/>
            <w:gridSpan w:val="2"/>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2772t/a</w:t>
            </w:r>
          </w:p>
        </w:tc>
      </w:tr>
      <w:tr w:rsidR="00C861DA">
        <w:trPr>
          <w:trHeight w:val="369"/>
          <w:jc w:val="center"/>
        </w:trPr>
        <w:tc>
          <w:tcPr>
            <w:tcW w:w="702" w:type="dxa"/>
            <w:vMerge/>
            <w:vAlign w:val="center"/>
          </w:tcPr>
          <w:p w:rsidR="00C861DA" w:rsidRDefault="00C861DA">
            <w:pPr>
              <w:jc w:val="center"/>
              <w:rPr>
                <w:rFonts w:ascii="Times New Roman" w:eastAsia="宋体" w:hAnsi="Times New Roman" w:cs="Times New Roman"/>
                <w:color w:val="000000" w:themeColor="text1"/>
                <w:kern w:val="0"/>
              </w:rPr>
            </w:pP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生活区</w:t>
            </w:r>
          </w:p>
        </w:tc>
        <w:tc>
          <w:tcPr>
            <w:tcW w:w="1983"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生活垃圾</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生活垃圾</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统一收集定期委托环卫处理</w:t>
            </w:r>
          </w:p>
        </w:tc>
        <w:tc>
          <w:tcPr>
            <w:tcW w:w="1278" w:type="dxa"/>
            <w:vMerge/>
            <w:vAlign w:val="center"/>
          </w:tcPr>
          <w:p w:rsidR="00C861DA" w:rsidRDefault="00C861DA">
            <w:pPr>
              <w:jc w:val="center"/>
              <w:rPr>
                <w:rFonts w:ascii="Times New Roman" w:eastAsia="宋体" w:hAnsi="Times New Roman" w:cs="Times New Roman"/>
                <w:color w:val="000000" w:themeColor="text1"/>
                <w:kern w:val="0"/>
              </w:rPr>
            </w:pP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w:t>
            </w:r>
          </w:p>
        </w:tc>
        <w:tc>
          <w:tcPr>
            <w:tcW w:w="2472" w:type="dxa"/>
            <w:gridSpan w:val="2"/>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36t/a</w:t>
            </w:r>
          </w:p>
        </w:tc>
      </w:tr>
      <w:tr w:rsidR="00C861DA">
        <w:trPr>
          <w:trHeight w:val="369"/>
          <w:jc w:val="center"/>
        </w:trPr>
        <w:tc>
          <w:tcPr>
            <w:tcW w:w="702"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噪声</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各生产设备</w:t>
            </w:r>
          </w:p>
        </w:tc>
        <w:tc>
          <w:tcPr>
            <w:tcW w:w="198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设备噪声</w:t>
            </w:r>
          </w:p>
        </w:tc>
        <w:tc>
          <w:tcPr>
            <w:tcW w:w="1135"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噪声</w:t>
            </w:r>
          </w:p>
        </w:tc>
        <w:tc>
          <w:tcPr>
            <w:tcW w:w="1699"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基座减震</w:t>
            </w:r>
          </w:p>
        </w:tc>
        <w:tc>
          <w:tcPr>
            <w:tcW w:w="1278"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衰减</w:t>
            </w:r>
            <w:r>
              <w:rPr>
                <w:rFonts w:ascii="Times New Roman" w:eastAsia="宋体" w:hAnsi="Times New Roman" w:cs="Times New Roman"/>
                <w:color w:val="000000" w:themeColor="text1"/>
                <w:kern w:val="0"/>
              </w:rPr>
              <w:t>10~20db</w:t>
            </w:r>
          </w:p>
        </w:tc>
        <w:tc>
          <w:tcPr>
            <w:tcW w:w="1133" w:type="dxa"/>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w:t>
            </w:r>
          </w:p>
        </w:tc>
        <w:tc>
          <w:tcPr>
            <w:tcW w:w="2268" w:type="dxa"/>
            <w:vAlign w:val="center"/>
          </w:tcPr>
          <w:p w:rsidR="00C861DA" w:rsidRDefault="0044752E">
            <w:pPr>
              <w:jc w:val="center"/>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kern w:val="1"/>
              </w:rPr>
              <w:t>/</w:t>
            </w:r>
          </w:p>
        </w:tc>
        <w:tc>
          <w:tcPr>
            <w:tcW w:w="2472" w:type="dxa"/>
            <w:gridSpan w:val="2"/>
            <w:vAlign w:val="center"/>
          </w:tcPr>
          <w:p w:rsidR="00C861DA" w:rsidRDefault="0044752E">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1"/>
              </w:rPr>
              <w:t>75~90db</w:t>
            </w:r>
          </w:p>
        </w:tc>
      </w:tr>
    </w:tbl>
    <w:p w:rsidR="00C861DA" w:rsidRDefault="00C861DA">
      <w:pPr>
        <w:pStyle w:val="21"/>
      </w:pPr>
    </w:p>
    <w:p w:rsidR="00C861DA" w:rsidRDefault="0044752E">
      <w:pPr>
        <w:pStyle w:val="21"/>
        <w:spacing w:line="240" w:lineRule="auto"/>
        <w:ind w:firstLine="0"/>
        <w:jc w:val="center"/>
        <w:rPr>
          <w:rFonts w:ascii="Times New Roman" w:eastAsia="宋体"/>
          <w:b/>
          <w:color w:val="000000" w:themeColor="text1"/>
          <w:sz w:val="24"/>
          <w:szCs w:val="24"/>
        </w:rPr>
      </w:pPr>
      <w:r>
        <w:rPr>
          <w:rFonts w:ascii="Times New Roman" w:eastAsia="宋体"/>
          <w:b/>
          <w:color w:val="000000" w:themeColor="text1"/>
          <w:sz w:val="24"/>
          <w:szCs w:val="24"/>
        </w:rPr>
        <w:t>1</w:t>
      </w:r>
      <w:r>
        <w:rPr>
          <w:rFonts w:ascii="Times New Roman" w:eastAsia="宋体" w:hint="eastAsia"/>
          <w:b/>
          <w:color w:val="000000" w:themeColor="text1"/>
          <w:sz w:val="24"/>
          <w:szCs w:val="24"/>
        </w:rPr>
        <w:t>3.3</w:t>
      </w:r>
      <w:r>
        <w:rPr>
          <w:rFonts w:ascii="Times New Roman" w:eastAsia="宋体"/>
          <w:b/>
          <w:color w:val="000000" w:themeColor="text1"/>
          <w:sz w:val="24"/>
          <w:szCs w:val="24"/>
        </w:rPr>
        <w:t xml:space="preserve">-1  </w:t>
      </w:r>
      <w:r>
        <w:rPr>
          <w:rFonts w:ascii="Times New Roman" w:eastAsia="宋体" w:hint="eastAsia"/>
          <w:b/>
          <w:color w:val="000000" w:themeColor="text1"/>
          <w:sz w:val="24"/>
          <w:szCs w:val="24"/>
        </w:rPr>
        <w:t>外排污染物汇总表</w:t>
      </w:r>
    </w:p>
    <w:tbl>
      <w:tblPr>
        <w:tblStyle w:val="affa"/>
        <w:tblW w:w="13948" w:type="dxa"/>
        <w:jc w:val="center"/>
        <w:tblLayout w:type="fixed"/>
        <w:tblLook w:val="04A0" w:firstRow="1" w:lastRow="0" w:firstColumn="1" w:lastColumn="0" w:noHBand="0" w:noVBand="1"/>
      </w:tblPr>
      <w:tblGrid>
        <w:gridCol w:w="1980"/>
        <w:gridCol w:w="1984"/>
        <w:gridCol w:w="5245"/>
        <w:gridCol w:w="4739"/>
      </w:tblGrid>
      <w:tr w:rsidR="00C861DA">
        <w:trPr>
          <w:trHeight w:val="369"/>
          <w:jc w:val="center"/>
        </w:trPr>
        <w:tc>
          <w:tcPr>
            <w:tcW w:w="1980" w:type="dxa"/>
            <w:vAlign w:val="center"/>
          </w:tcPr>
          <w:p w:rsidR="00C861DA" w:rsidRDefault="0044752E">
            <w:pPr>
              <w:pStyle w:val="21"/>
              <w:spacing w:line="240" w:lineRule="auto"/>
              <w:ind w:firstLine="0"/>
              <w:jc w:val="center"/>
              <w:rPr>
                <w:rFonts w:ascii="Times New Roman" w:eastAsia="宋体" w:hAnsi="Times New Roman" w:cs="Times New Roman"/>
                <w:b/>
                <w:kern w:val="0"/>
                <w:szCs w:val="20"/>
              </w:rPr>
            </w:pPr>
            <w:r>
              <w:rPr>
                <w:rFonts w:ascii="Times New Roman" w:eastAsia="宋体" w:hAnsi="Times New Roman" w:cs="Times New Roman"/>
                <w:b/>
                <w:kern w:val="0"/>
                <w:szCs w:val="20"/>
              </w:rPr>
              <w:t>序号</w:t>
            </w:r>
          </w:p>
        </w:tc>
        <w:tc>
          <w:tcPr>
            <w:tcW w:w="7229" w:type="dxa"/>
            <w:gridSpan w:val="2"/>
            <w:vAlign w:val="center"/>
          </w:tcPr>
          <w:p w:rsidR="00C861DA" w:rsidRDefault="0044752E">
            <w:pPr>
              <w:pStyle w:val="21"/>
              <w:spacing w:line="240" w:lineRule="auto"/>
              <w:ind w:firstLine="0"/>
              <w:jc w:val="center"/>
              <w:rPr>
                <w:rFonts w:ascii="Times New Roman" w:eastAsia="宋体" w:hAnsi="Times New Roman" w:cs="Times New Roman"/>
                <w:b/>
                <w:kern w:val="0"/>
                <w:szCs w:val="20"/>
              </w:rPr>
            </w:pPr>
            <w:r>
              <w:rPr>
                <w:rFonts w:ascii="Times New Roman" w:eastAsia="宋体" w:hAnsi="Times New Roman" w:cs="Times New Roman"/>
                <w:b/>
                <w:kern w:val="0"/>
                <w:szCs w:val="20"/>
              </w:rPr>
              <w:t>污染物</w:t>
            </w:r>
          </w:p>
        </w:tc>
        <w:tc>
          <w:tcPr>
            <w:tcW w:w="4739" w:type="dxa"/>
            <w:vAlign w:val="center"/>
          </w:tcPr>
          <w:p w:rsidR="00C861DA" w:rsidRDefault="0044752E">
            <w:pPr>
              <w:pStyle w:val="21"/>
              <w:spacing w:line="240" w:lineRule="auto"/>
              <w:ind w:firstLine="0"/>
              <w:jc w:val="center"/>
              <w:rPr>
                <w:rFonts w:ascii="Times New Roman" w:eastAsia="宋体" w:hAnsi="Times New Roman" w:cs="Times New Roman"/>
                <w:b/>
                <w:kern w:val="0"/>
                <w:szCs w:val="20"/>
              </w:rPr>
            </w:pPr>
            <w:r>
              <w:rPr>
                <w:rFonts w:ascii="Times New Roman" w:eastAsia="宋体" w:hAnsi="Times New Roman" w:cs="Times New Roman"/>
                <w:b/>
                <w:kern w:val="0"/>
                <w:szCs w:val="20"/>
              </w:rPr>
              <w:t>排放量</w:t>
            </w:r>
            <w:r>
              <w:rPr>
                <w:rFonts w:ascii="Times New Roman" w:eastAsia="宋体" w:hAnsi="Times New Roman" w:cs="Times New Roman"/>
                <w:b/>
                <w:kern w:val="0"/>
                <w:szCs w:val="20"/>
              </w:rPr>
              <w:t>(t/a)</w:t>
            </w:r>
          </w:p>
        </w:tc>
      </w:tr>
      <w:tr w:rsidR="00C861DA">
        <w:trPr>
          <w:trHeight w:val="369"/>
          <w:jc w:val="center"/>
        </w:trPr>
        <w:tc>
          <w:tcPr>
            <w:tcW w:w="1980" w:type="dxa"/>
            <w:vAlign w:val="center"/>
          </w:tcPr>
          <w:p w:rsidR="00C861DA" w:rsidRDefault="0044752E">
            <w:pPr>
              <w:pStyle w:val="21"/>
              <w:spacing w:line="240" w:lineRule="auto"/>
              <w:ind w:firstLine="0"/>
              <w:jc w:val="center"/>
              <w:rPr>
                <w:rFonts w:ascii="Times New Roman" w:eastAsia="宋体" w:hAnsi="Times New Roman" w:cs="Times New Roman"/>
                <w:kern w:val="0"/>
                <w:szCs w:val="20"/>
              </w:rPr>
            </w:pPr>
            <w:r>
              <w:rPr>
                <w:rFonts w:ascii="Times New Roman" w:eastAsia="宋体" w:hAnsi="Times New Roman" w:cs="Times New Roman"/>
                <w:kern w:val="0"/>
                <w:szCs w:val="20"/>
              </w:rPr>
              <w:t>1</w:t>
            </w:r>
          </w:p>
        </w:tc>
        <w:tc>
          <w:tcPr>
            <w:tcW w:w="1984" w:type="dxa"/>
            <w:vMerge w:val="restart"/>
            <w:vAlign w:val="center"/>
          </w:tcPr>
          <w:p w:rsidR="00C861DA" w:rsidRDefault="0044752E">
            <w:pPr>
              <w:pStyle w:val="21"/>
              <w:spacing w:line="240" w:lineRule="auto"/>
              <w:ind w:firstLine="0"/>
              <w:jc w:val="center"/>
              <w:rPr>
                <w:rFonts w:ascii="Times New Roman" w:eastAsia="宋体" w:hAnsi="Times New Roman" w:cs="Times New Roman"/>
                <w:kern w:val="0"/>
                <w:szCs w:val="20"/>
              </w:rPr>
            </w:pPr>
            <w:r>
              <w:rPr>
                <w:rFonts w:ascii="Times New Roman" w:eastAsia="宋体" w:hAnsi="Times New Roman" w:cs="Times New Roman"/>
                <w:kern w:val="0"/>
                <w:szCs w:val="20"/>
              </w:rPr>
              <w:t>废气</w:t>
            </w:r>
          </w:p>
        </w:tc>
        <w:tc>
          <w:tcPr>
            <w:tcW w:w="5245" w:type="dxa"/>
            <w:vAlign w:val="center"/>
          </w:tcPr>
          <w:p w:rsidR="00C861DA" w:rsidRDefault="0044752E">
            <w:pPr>
              <w:pStyle w:val="21"/>
              <w:spacing w:line="240" w:lineRule="auto"/>
              <w:ind w:firstLine="0"/>
              <w:jc w:val="center"/>
              <w:rPr>
                <w:rFonts w:ascii="Times New Roman" w:eastAsia="宋体" w:hAnsi="Times New Roman" w:cs="Times New Roman"/>
                <w:kern w:val="0"/>
                <w:szCs w:val="20"/>
              </w:rPr>
            </w:pPr>
            <w:r>
              <w:rPr>
                <w:rFonts w:ascii="Times New Roman" w:eastAsia="宋体" w:hAnsi="Times New Roman" w:cs="Times New Roman"/>
                <w:kern w:val="0"/>
                <w:szCs w:val="20"/>
              </w:rPr>
              <w:t>氨</w:t>
            </w:r>
          </w:p>
        </w:tc>
        <w:tc>
          <w:tcPr>
            <w:tcW w:w="4739" w:type="dxa"/>
            <w:vAlign w:val="center"/>
          </w:tcPr>
          <w:p w:rsidR="00C861DA" w:rsidRDefault="0044752E">
            <w:pPr>
              <w:pStyle w:val="21"/>
              <w:spacing w:line="240" w:lineRule="auto"/>
              <w:ind w:firstLine="0"/>
              <w:jc w:val="center"/>
              <w:rPr>
                <w:rFonts w:ascii="Times New Roman" w:eastAsia="宋体" w:hAnsi="Times New Roman" w:cs="Times New Roman"/>
                <w:kern w:val="0"/>
                <w:szCs w:val="20"/>
              </w:rPr>
            </w:pPr>
            <w:r>
              <w:rPr>
                <w:rFonts w:ascii="Times New Roman" w:eastAsia="宋体" w:hAnsi="Times New Roman" w:cs="Times New Roman"/>
                <w:kern w:val="0"/>
                <w:szCs w:val="20"/>
              </w:rPr>
              <w:t>2.54</w:t>
            </w:r>
          </w:p>
        </w:tc>
      </w:tr>
      <w:tr w:rsidR="00C861DA">
        <w:trPr>
          <w:trHeight w:val="369"/>
          <w:jc w:val="center"/>
        </w:trPr>
        <w:tc>
          <w:tcPr>
            <w:tcW w:w="1980" w:type="dxa"/>
            <w:vAlign w:val="center"/>
          </w:tcPr>
          <w:p w:rsidR="00C861DA" w:rsidRDefault="0044752E">
            <w:pPr>
              <w:pStyle w:val="21"/>
              <w:spacing w:line="240" w:lineRule="auto"/>
              <w:ind w:firstLine="0"/>
              <w:jc w:val="center"/>
              <w:rPr>
                <w:rFonts w:ascii="Times New Roman" w:eastAsia="宋体" w:hAnsi="Times New Roman" w:cs="Times New Roman"/>
                <w:kern w:val="0"/>
                <w:szCs w:val="20"/>
              </w:rPr>
            </w:pPr>
            <w:r>
              <w:rPr>
                <w:rFonts w:ascii="Times New Roman" w:eastAsia="宋体" w:hAnsi="Times New Roman" w:cs="Times New Roman"/>
                <w:kern w:val="0"/>
                <w:szCs w:val="20"/>
              </w:rPr>
              <w:t>2</w:t>
            </w:r>
          </w:p>
        </w:tc>
        <w:tc>
          <w:tcPr>
            <w:tcW w:w="1984" w:type="dxa"/>
            <w:vMerge/>
            <w:vAlign w:val="center"/>
          </w:tcPr>
          <w:p w:rsidR="00C861DA" w:rsidRDefault="00C861DA">
            <w:pPr>
              <w:pStyle w:val="21"/>
              <w:spacing w:line="240" w:lineRule="auto"/>
              <w:ind w:firstLine="0"/>
              <w:jc w:val="center"/>
              <w:rPr>
                <w:rFonts w:ascii="Times New Roman" w:eastAsia="宋体" w:hAnsi="Times New Roman" w:cs="Times New Roman"/>
                <w:kern w:val="0"/>
                <w:szCs w:val="20"/>
              </w:rPr>
            </w:pPr>
          </w:p>
        </w:tc>
        <w:tc>
          <w:tcPr>
            <w:tcW w:w="5245" w:type="dxa"/>
            <w:vAlign w:val="center"/>
          </w:tcPr>
          <w:p w:rsidR="00C861DA" w:rsidRDefault="0044752E">
            <w:pPr>
              <w:pStyle w:val="21"/>
              <w:spacing w:line="240" w:lineRule="auto"/>
              <w:ind w:firstLine="0"/>
              <w:jc w:val="center"/>
              <w:rPr>
                <w:rFonts w:ascii="Times New Roman" w:eastAsia="宋体" w:hAnsi="Times New Roman" w:cs="Times New Roman"/>
                <w:kern w:val="0"/>
                <w:szCs w:val="20"/>
              </w:rPr>
            </w:pPr>
            <w:r>
              <w:rPr>
                <w:rFonts w:ascii="Times New Roman" w:eastAsia="宋体" w:hAnsi="Times New Roman" w:cs="Times New Roman"/>
                <w:kern w:val="0"/>
                <w:szCs w:val="20"/>
              </w:rPr>
              <w:t>NO</w:t>
            </w:r>
            <w:r>
              <w:rPr>
                <w:rFonts w:ascii="Times New Roman" w:eastAsia="宋体" w:hAnsi="Times New Roman" w:cs="Times New Roman"/>
                <w:kern w:val="0"/>
                <w:szCs w:val="20"/>
                <w:vertAlign w:val="subscript"/>
              </w:rPr>
              <w:t>X</w:t>
            </w:r>
          </w:p>
        </w:tc>
        <w:tc>
          <w:tcPr>
            <w:tcW w:w="4739" w:type="dxa"/>
            <w:vAlign w:val="center"/>
          </w:tcPr>
          <w:p w:rsidR="00C861DA" w:rsidRDefault="0044752E">
            <w:pPr>
              <w:pStyle w:val="21"/>
              <w:spacing w:line="240" w:lineRule="auto"/>
              <w:ind w:firstLine="0"/>
              <w:jc w:val="center"/>
              <w:rPr>
                <w:rFonts w:ascii="Times New Roman" w:eastAsia="宋体" w:hAnsi="Times New Roman" w:cs="Times New Roman"/>
                <w:kern w:val="0"/>
                <w:szCs w:val="20"/>
              </w:rPr>
            </w:pPr>
            <w:r>
              <w:rPr>
                <w:rFonts w:ascii="Times New Roman" w:eastAsia="宋体" w:hAnsi="Times New Roman" w:cs="Times New Roman"/>
                <w:kern w:val="0"/>
                <w:szCs w:val="20"/>
              </w:rPr>
              <w:t>8.25</w:t>
            </w:r>
          </w:p>
        </w:tc>
      </w:tr>
      <w:tr w:rsidR="00C861DA">
        <w:trPr>
          <w:trHeight w:val="369"/>
          <w:jc w:val="center"/>
        </w:trPr>
        <w:tc>
          <w:tcPr>
            <w:tcW w:w="1980" w:type="dxa"/>
            <w:vAlign w:val="center"/>
          </w:tcPr>
          <w:p w:rsidR="00C861DA" w:rsidRDefault="0044752E">
            <w:pPr>
              <w:pStyle w:val="21"/>
              <w:spacing w:line="240" w:lineRule="auto"/>
              <w:ind w:firstLine="0"/>
              <w:jc w:val="center"/>
              <w:rPr>
                <w:rFonts w:ascii="Times New Roman" w:eastAsia="宋体" w:hAnsi="Times New Roman" w:cs="Times New Roman"/>
                <w:kern w:val="0"/>
                <w:szCs w:val="20"/>
              </w:rPr>
            </w:pPr>
            <w:r>
              <w:rPr>
                <w:rFonts w:ascii="Times New Roman" w:eastAsia="宋体" w:hAnsi="Times New Roman" w:cs="Times New Roman"/>
                <w:kern w:val="0"/>
                <w:szCs w:val="20"/>
              </w:rPr>
              <w:t>3</w:t>
            </w:r>
          </w:p>
        </w:tc>
        <w:tc>
          <w:tcPr>
            <w:tcW w:w="1984" w:type="dxa"/>
            <w:vMerge/>
            <w:vAlign w:val="center"/>
          </w:tcPr>
          <w:p w:rsidR="00C861DA" w:rsidRDefault="00C861DA">
            <w:pPr>
              <w:pStyle w:val="21"/>
              <w:spacing w:line="240" w:lineRule="auto"/>
              <w:ind w:firstLine="0"/>
              <w:jc w:val="center"/>
              <w:rPr>
                <w:rFonts w:ascii="Times New Roman" w:eastAsia="宋体" w:hAnsi="Times New Roman" w:cs="Times New Roman"/>
                <w:kern w:val="0"/>
                <w:szCs w:val="20"/>
              </w:rPr>
            </w:pPr>
          </w:p>
        </w:tc>
        <w:tc>
          <w:tcPr>
            <w:tcW w:w="5245" w:type="dxa"/>
            <w:vAlign w:val="center"/>
          </w:tcPr>
          <w:p w:rsidR="00C861DA" w:rsidRDefault="0044752E">
            <w:pPr>
              <w:pStyle w:val="21"/>
              <w:spacing w:line="240" w:lineRule="auto"/>
              <w:ind w:firstLine="0"/>
              <w:jc w:val="center"/>
              <w:rPr>
                <w:rFonts w:ascii="Times New Roman" w:eastAsia="宋体" w:hAnsi="Times New Roman" w:cs="Times New Roman"/>
                <w:kern w:val="0"/>
                <w:szCs w:val="20"/>
              </w:rPr>
            </w:pPr>
            <w:r>
              <w:rPr>
                <w:rFonts w:ascii="Times New Roman" w:eastAsia="宋体" w:hAnsi="Times New Roman" w:cs="Times New Roman"/>
                <w:kern w:val="0"/>
                <w:szCs w:val="20"/>
              </w:rPr>
              <w:t>颗粒物</w:t>
            </w:r>
          </w:p>
        </w:tc>
        <w:tc>
          <w:tcPr>
            <w:tcW w:w="4739" w:type="dxa"/>
            <w:vAlign w:val="center"/>
          </w:tcPr>
          <w:p w:rsidR="00C861DA" w:rsidRDefault="0044752E">
            <w:pPr>
              <w:pStyle w:val="21"/>
              <w:spacing w:line="240" w:lineRule="auto"/>
              <w:ind w:firstLine="0"/>
              <w:jc w:val="center"/>
              <w:rPr>
                <w:rFonts w:ascii="Times New Roman" w:eastAsia="宋体" w:hAnsi="Times New Roman" w:cs="Times New Roman"/>
                <w:kern w:val="0"/>
                <w:szCs w:val="20"/>
              </w:rPr>
            </w:pPr>
            <w:r>
              <w:rPr>
                <w:rFonts w:ascii="Times New Roman" w:eastAsia="宋体" w:hAnsi="Times New Roman" w:cs="Times New Roman"/>
                <w:kern w:val="0"/>
                <w:szCs w:val="20"/>
              </w:rPr>
              <w:t>28.956</w:t>
            </w:r>
          </w:p>
        </w:tc>
      </w:tr>
    </w:tbl>
    <w:p w:rsidR="00C861DA" w:rsidRDefault="00C861DA">
      <w:pPr>
        <w:pStyle w:val="21"/>
      </w:pPr>
    </w:p>
    <w:p w:rsidR="00C861DA" w:rsidRDefault="00C861DA">
      <w:pPr>
        <w:pStyle w:val="21"/>
        <w:rPr>
          <w:color w:val="000000" w:themeColor="text1"/>
        </w:rPr>
      </w:pPr>
    </w:p>
    <w:p w:rsidR="00C861DA" w:rsidRDefault="00C861DA">
      <w:pPr>
        <w:pStyle w:val="21"/>
        <w:rPr>
          <w:color w:val="000000" w:themeColor="text1"/>
        </w:rPr>
        <w:sectPr w:rsidR="00C861DA">
          <w:pgSz w:w="16838" w:h="11906" w:orient="landscape"/>
          <w:pgMar w:top="1800" w:right="1440" w:bottom="1800" w:left="1440" w:header="851" w:footer="992" w:gutter="0"/>
          <w:cols w:space="425"/>
          <w:docGrid w:type="lines" w:linePitch="312"/>
        </w:sectPr>
      </w:pPr>
    </w:p>
    <w:p w:rsidR="00C861DA" w:rsidRDefault="0044752E">
      <w:pPr>
        <w:pStyle w:val="22"/>
        <w:rPr>
          <w:rFonts w:ascii="Times New Roman" w:eastAsia="宋体" w:hAnsi="Times New Roman"/>
          <w:bCs w:val="0"/>
          <w:color w:val="000000" w:themeColor="text1"/>
          <w:sz w:val="28"/>
          <w:szCs w:val="28"/>
        </w:rPr>
      </w:pPr>
      <w:bookmarkStart w:id="844" w:name="_Toc22837"/>
      <w:bookmarkStart w:id="845" w:name="_Toc11142"/>
      <w:bookmarkStart w:id="846" w:name="_Toc23217"/>
      <w:bookmarkStart w:id="847" w:name="_Toc17626"/>
      <w:bookmarkStart w:id="848" w:name="_Toc6826954"/>
      <w:r>
        <w:rPr>
          <w:rFonts w:ascii="Times New Roman" w:eastAsia="宋体" w:hAnsi="Times New Roman" w:hint="eastAsia"/>
          <w:bCs w:val="0"/>
          <w:color w:val="000000" w:themeColor="text1"/>
          <w:sz w:val="28"/>
          <w:szCs w:val="28"/>
        </w:rPr>
        <w:t>13.4</w:t>
      </w:r>
      <w:r>
        <w:rPr>
          <w:rFonts w:ascii="Times New Roman" w:eastAsia="宋体" w:hAnsi="Times New Roman" w:hint="eastAsia"/>
          <w:bCs w:val="0"/>
          <w:color w:val="000000" w:themeColor="text1"/>
          <w:sz w:val="28"/>
          <w:szCs w:val="28"/>
        </w:rPr>
        <w:t>污染物总量控制分析</w:t>
      </w:r>
      <w:bookmarkEnd w:id="844"/>
      <w:bookmarkEnd w:id="845"/>
      <w:bookmarkEnd w:id="846"/>
      <w:bookmarkEnd w:id="847"/>
      <w:bookmarkEnd w:id="848"/>
    </w:p>
    <w:p w:rsidR="00C861DA" w:rsidRDefault="0044752E">
      <w:pPr>
        <w:pStyle w:val="32"/>
        <w:rPr>
          <w:rFonts w:ascii="Times New Roman" w:eastAsia="宋体"/>
          <w:bCs w:val="0"/>
          <w:color w:val="000000" w:themeColor="text1"/>
          <w:sz w:val="24"/>
          <w:szCs w:val="24"/>
        </w:rPr>
      </w:pPr>
      <w:bookmarkStart w:id="849" w:name="_Toc3179"/>
      <w:bookmarkStart w:id="850" w:name="_Toc17620"/>
      <w:bookmarkStart w:id="851" w:name="_Toc10082"/>
      <w:bookmarkStart w:id="852" w:name="_Toc29385"/>
      <w:bookmarkStart w:id="853" w:name="_Toc6826955"/>
      <w:r>
        <w:rPr>
          <w:rFonts w:ascii="Times New Roman" w:eastAsia="宋体" w:hint="eastAsia"/>
          <w:bCs w:val="0"/>
          <w:color w:val="000000" w:themeColor="text1"/>
          <w:sz w:val="24"/>
          <w:szCs w:val="24"/>
        </w:rPr>
        <w:t>13.4.1</w:t>
      </w:r>
      <w:r>
        <w:rPr>
          <w:rFonts w:ascii="Times New Roman" w:eastAsia="宋体" w:hint="eastAsia"/>
          <w:bCs w:val="0"/>
          <w:color w:val="000000" w:themeColor="text1"/>
          <w:sz w:val="24"/>
          <w:szCs w:val="24"/>
        </w:rPr>
        <w:t>大气污染物总量控制分析</w:t>
      </w:r>
      <w:bookmarkEnd w:id="849"/>
      <w:bookmarkEnd w:id="850"/>
      <w:bookmarkEnd w:id="851"/>
      <w:bookmarkEnd w:id="852"/>
      <w:bookmarkEnd w:id="853"/>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拟建工程各种废气污染源均采取了有效的治理措施，排放浓度和排放速率均可满足《大气污染物综合排放标准》（</w:t>
      </w:r>
      <w:r>
        <w:rPr>
          <w:rFonts w:ascii="Times New Roman" w:eastAsia="宋体" w:hint="eastAsia"/>
          <w:color w:val="000000" w:themeColor="text1"/>
          <w:sz w:val="24"/>
          <w:szCs w:val="24"/>
        </w:rPr>
        <w:t>GB16297-1996</w:t>
      </w:r>
      <w:r>
        <w:rPr>
          <w:rFonts w:ascii="Times New Roman" w:eastAsia="宋体" w:hint="eastAsia"/>
          <w:color w:val="000000" w:themeColor="text1"/>
          <w:sz w:val="24"/>
          <w:szCs w:val="24"/>
        </w:rPr>
        <w:t>）表</w:t>
      </w:r>
      <w:r>
        <w:rPr>
          <w:rFonts w:ascii="Times New Roman" w:eastAsia="宋体" w:hint="eastAsia"/>
          <w:color w:val="000000" w:themeColor="text1"/>
          <w:sz w:val="24"/>
          <w:szCs w:val="24"/>
        </w:rPr>
        <w:t>2</w:t>
      </w:r>
      <w:r>
        <w:rPr>
          <w:rFonts w:ascii="Times New Roman" w:eastAsia="宋体" w:hint="eastAsia"/>
          <w:color w:val="000000" w:themeColor="text1"/>
          <w:sz w:val="24"/>
          <w:szCs w:val="24"/>
        </w:rPr>
        <w:t>中二级标准排放限值。</w:t>
      </w:r>
    </w:p>
    <w:p w:rsidR="00C861DA" w:rsidRDefault="0044752E">
      <w:pPr>
        <w:pStyle w:val="32"/>
        <w:rPr>
          <w:rFonts w:ascii="Times New Roman" w:eastAsia="宋体"/>
          <w:bCs w:val="0"/>
          <w:color w:val="000000" w:themeColor="text1"/>
          <w:sz w:val="24"/>
          <w:szCs w:val="24"/>
        </w:rPr>
      </w:pPr>
      <w:bookmarkStart w:id="854" w:name="_Toc29726"/>
      <w:bookmarkStart w:id="855" w:name="_Toc25764"/>
      <w:bookmarkStart w:id="856" w:name="_Toc12620"/>
      <w:bookmarkStart w:id="857" w:name="_Toc17720"/>
      <w:bookmarkStart w:id="858" w:name="_Toc6826956"/>
      <w:r>
        <w:rPr>
          <w:rFonts w:ascii="Times New Roman" w:eastAsia="宋体" w:hint="eastAsia"/>
          <w:bCs w:val="0"/>
          <w:color w:val="000000" w:themeColor="text1"/>
          <w:sz w:val="24"/>
          <w:szCs w:val="24"/>
        </w:rPr>
        <w:t>13.4.2</w:t>
      </w:r>
      <w:r>
        <w:rPr>
          <w:rFonts w:ascii="Times New Roman" w:eastAsia="宋体" w:hint="eastAsia"/>
          <w:bCs w:val="0"/>
          <w:color w:val="000000" w:themeColor="text1"/>
          <w:sz w:val="24"/>
          <w:szCs w:val="24"/>
        </w:rPr>
        <w:t>水污染物总量控制分析</w:t>
      </w:r>
      <w:bookmarkEnd w:id="854"/>
      <w:bookmarkEnd w:id="855"/>
      <w:bookmarkEnd w:id="856"/>
      <w:bookmarkEnd w:id="857"/>
      <w:bookmarkEnd w:id="858"/>
    </w:p>
    <w:p w:rsidR="00C861DA" w:rsidRDefault="0044752E">
      <w:pPr>
        <w:pStyle w:val="af4"/>
        <w:spacing w:after="0"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项目建成后，全厂生活废水依托</w:t>
      </w:r>
      <w:r>
        <w:rPr>
          <w:rFonts w:ascii="Times New Roman" w:eastAsia="宋体" w:hAnsi="Times New Roman" w:cs="Times New Roman"/>
          <w:color w:val="000000" w:themeColor="text1"/>
          <w:sz w:val="24"/>
          <w:szCs w:val="24"/>
        </w:rPr>
        <w:t>“30</w:t>
      </w:r>
      <w:r>
        <w:rPr>
          <w:rFonts w:ascii="Times New Roman" w:eastAsia="宋体" w:hAnsi="Times New Roman" w:cs="Times New Roman"/>
          <w:color w:val="000000" w:themeColor="text1"/>
          <w:sz w:val="24"/>
          <w:szCs w:val="24"/>
        </w:rPr>
        <w:t>万吨合成氨装置项目</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生活废水处理设施处置，生产废水为冷却废水，废水通过管道输送至祥丰金麦有限公司湿法球磨站作为补充水，不外排，综上，本项目废水均不外排，故不</w:t>
      </w:r>
      <w:r>
        <w:rPr>
          <w:rFonts w:ascii="Times New Roman" w:eastAsia="宋体" w:hAnsi="Times New Roman" w:cs="Times New Roman" w:hint="eastAsia"/>
          <w:color w:val="000000" w:themeColor="text1"/>
          <w:sz w:val="24"/>
          <w:szCs w:val="24"/>
        </w:rPr>
        <w:t>无总排放量</w:t>
      </w:r>
      <w:r>
        <w:rPr>
          <w:rFonts w:ascii="Times New Roman" w:eastAsia="宋体" w:hAnsi="Times New Roman" w:cs="Times New Roman"/>
          <w:color w:val="000000" w:themeColor="text1"/>
          <w:sz w:val="24"/>
          <w:szCs w:val="24"/>
        </w:rPr>
        <w:t>。</w:t>
      </w:r>
    </w:p>
    <w:p w:rsidR="00C861DA" w:rsidRDefault="0044752E">
      <w:pPr>
        <w:pStyle w:val="32"/>
        <w:rPr>
          <w:rFonts w:ascii="Times New Roman" w:eastAsia="宋体"/>
          <w:bCs w:val="0"/>
          <w:color w:val="000000" w:themeColor="text1"/>
          <w:sz w:val="24"/>
          <w:szCs w:val="24"/>
        </w:rPr>
      </w:pPr>
      <w:bookmarkStart w:id="859" w:name="_Toc4883"/>
      <w:bookmarkStart w:id="860" w:name="_Toc4401"/>
      <w:bookmarkStart w:id="861" w:name="_Toc6826957"/>
      <w:bookmarkStart w:id="862" w:name="_Toc12857"/>
      <w:bookmarkStart w:id="863" w:name="_Toc5912"/>
      <w:r>
        <w:rPr>
          <w:rFonts w:ascii="Times New Roman" w:eastAsia="宋体"/>
          <w:bCs w:val="0"/>
          <w:color w:val="000000" w:themeColor="text1"/>
          <w:sz w:val="24"/>
          <w:szCs w:val="24"/>
        </w:rPr>
        <w:t>1</w:t>
      </w:r>
      <w:r>
        <w:rPr>
          <w:rFonts w:ascii="Times New Roman" w:eastAsia="宋体" w:hint="eastAsia"/>
          <w:bCs w:val="0"/>
          <w:color w:val="000000" w:themeColor="text1"/>
          <w:sz w:val="24"/>
          <w:szCs w:val="24"/>
        </w:rPr>
        <w:t>3</w:t>
      </w:r>
      <w:r>
        <w:rPr>
          <w:rFonts w:ascii="Times New Roman" w:eastAsia="宋体"/>
          <w:bCs w:val="0"/>
          <w:color w:val="000000" w:themeColor="text1"/>
          <w:sz w:val="24"/>
          <w:szCs w:val="24"/>
        </w:rPr>
        <w:t>.</w:t>
      </w:r>
      <w:r>
        <w:rPr>
          <w:rFonts w:ascii="Times New Roman" w:eastAsia="宋体" w:hint="eastAsia"/>
          <w:bCs w:val="0"/>
          <w:color w:val="000000" w:themeColor="text1"/>
          <w:sz w:val="24"/>
          <w:szCs w:val="24"/>
        </w:rPr>
        <w:t>4.3</w:t>
      </w:r>
      <w:r>
        <w:rPr>
          <w:rFonts w:ascii="Times New Roman" w:eastAsia="宋体" w:hint="eastAsia"/>
          <w:bCs w:val="0"/>
          <w:color w:val="000000" w:themeColor="text1"/>
          <w:sz w:val="24"/>
          <w:szCs w:val="24"/>
        </w:rPr>
        <w:t>工业固体废物总量控制分析</w:t>
      </w:r>
      <w:bookmarkEnd w:id="859"/>
      <w:bookmarkEnd w:id="860"/>
      <w:bookmarkEnd w:id="861"/>
      <w:bookmarkEnd w:id="862"/>
      <w:bookmarkEnd w:id="863"/>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拟建项目对工业固体废物的控制坚持</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减量化、资源化和无害化</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的原则，通过对生产过程的全程控制，采用清洁生产工艺，尽量选用无毒无害或低毒原材料替代有毒有害物料，可循环利用材料，从源头减少污染物的产生量，同时积极开展废物的综合利用。</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拟建项目达产后，危险废物收集后在厂区危废暂存间暂存，委托有资质的单位安全处置。因此，本项目产生的危险固体废物处置率可达到</w:t>
      </w:r>
      <w:r>
        <w:rPr>
          <w:rFonts w:ascii="Times New Roman" w:eastAsia="宋体" w:hAnsi="Times New Roman" w:cs="Times New Roman"/>
          <w:color w:val="000000" w:themeColor="text1"/>
          <w:sz w:val="24"/>
          <w:szCs w:val="24"/>
        </w:rPr>
        <w:t>100%</w:t>
      </w:r>
      <w:r>
        <w:rPr>
          <w:rFonts w:ascii="Times New Roman" w:eastAsia="宋体" w:hAnsi="Times New Roman" w:cs="Times New Roman"/>
          <w:color w:val="000000" w:themeColor="text1"/>
          <w:sz w:val="24"/>
          <w:szCs w:val="24"/>
        </w:rPr>
        <w:t>。</w:t>
      </w:r>
    </w:p>
    <w:p w:rsidR="00C861DA" w:rsidRDefault="00C861DA">
      <w:pPr>
        <w:pStyle w:val="21"/>
        <w:rPr>
          <w:color w:val="000000" w:themeColor="text1"/>
        </w:rPr>
        <w:sectPr w:rsidR="00C861DA">
          <w:pgSz w:w="11906" w:h="16838"/>
          <w:pgMar w:top="1440" w:right="1800" w:bottom="1440" w:left="1800" w:header="851" w:footer="992" w:gutter="0"/>
          <w:cols w:space="425"/>
          <w:docGrid w:type="lines" w:linePitch="312"/>
        </w:sectPr>
      </w:pPr>
    </w:p>
    <w:p w:rsidR="00C861DA" w:rsidRDefault="0044752E">
      <w:pPr>
        <w:pStyle w:val="12"/>
        <w:jc w:val="center"/>
        <w:rPr>
          <w:rFonts w:ascii="Times New Roman" w:eastAsia="宋体"/>
          <w:b/>
          <w:color w:val="000000" w:themeColor="text1"/>
          <w:sz w:val="28"/>
          <w:szCs w:val="24"/>
        </w:rPr>
      </w:pPr>
      <w:bookmarkStart w:id="864" w:name="_Toc165870298"/>
      <w:bookmarkStart w:id="865" w:name="_Toc19588"/>
      <w:bookmarkStart w:id="866" w:name="_Toc22090"/>
      <w:bookmarkStart w:id="867" w:name="_Toc23961"/>
      <w:bookmarkStart w:id="868" w:name="_Toc19060"/>
      <w:bookmarkStart w:id="869" w:name="_Toc6826958"/>
      <w:r>
        <w:rPr>
          <w:rFonts w:ascii="Times New Roman" w:eastAsia="宋体" w:hint="eastAsia"/>
          <w:b/>
          <w:color w:val="000000" w:themeColor="text1"/>
          <w:sz w:val="28"/>
          <w:szCs w:val="24"/>
        </w:rPr>
        <w:t>14</w:t>
      </w:r>
      <w:r>
        <w:rPr>
          <w:rFonts w:ascii="Times New Roman" w:eastAsia="宋体" w:hint="eastAsia"/>
          <w:b/>
          <w:color w:val="000000" w:themeColor="text1"/>
          <w:sz w:val="28"/>
          <w:szCs w:val="24"/>
        </w:rPr>
        <w:t>、结论</w:t>
      </w:r>
      <w:bookmarkEnd w:id="864"/>
      <w:bookmarkEnd w:id="865"/>
      <w:bookmarkEnd w:id="866"/>
      <w:bookmarkEnd w:id="867"/>
      <w:bookmarkEnd w:id="868"/>
      <w:bookmarkEnd w:id="869"/>
    </w:p>
    <w:p w:rsidR="00C861DA" w:rsidRDefault="0044752E">
      <w:pPr>
        <w:pStyle w:val="22"/>
        <w:rPr>
          <w:rFonts w:ascii="Times New Roman" w:eastAsia="宋体" w:hAnsi="Times New Roman"/>
          <w:bCs w:val="0"/>
          <w:color w:val="000000" w:themeColor="text1"/>
          <w:sz w:val="28"/>
          <w:szCs w:val="28"/>
        </w:rPr>
      </w:pPr>
      <w:bookmarkStart w:id="870" w:name="_Toc29501"/>
      <w:bookmarkStart w:id="871" w:name="_Toc6826959"/>
      <w:r>
        <w:rPr>
          <w:rFonts w:ascii="Times New Roman" w:eastAsia="宋体" w:hAnsi="Times New Roman" w:hint="eastAsia"/>
          <w:bCs w:val="0"/>
          <w:color w:val="000000" w:themeColor="text1"/>
          <w:sz w:val="28"/>
          <w:szCs w:val="28"/>
        </w:rPr>
        <w:t>14.1</w:t>
      </w:r>
      <w:r>
        <w:rPr>
          <w:rFonts w:ascii="Times New Roman" w:eastAsia="宋体" w:hAnsi="Times New Roman" w:hint="eastAsia"/>
          <w:bCs w:val="0"/>
          <w:color w:val="000000" w:themeColor="text1"/>
          <w:sz w:val="28"/>
          <w:szCs w:val="28"/>
        </w:rPr>
        <w:t>产业政策相符性</w:t>
      </w:r>
      <w:bookmarkEnd w:id="870"/>
      <w:bookmarkEnd w:id="871"/>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本项目以液氨、磷酸一铵、硫酸钾和有机质、腐殖酸及二氧化碳气等生产绿色有机绿色</w:t>
      </w:r>
      <w:r>
        <w:rPr>
          <w:rFonts w:ascii="Times New Roman" w:eastAsia="宋体" w:hAnsi="Times New Roman" w:cs="Times New Roman" w:hint="eastAsia"/>
          <w:color w:val="000000" w:themeColor="text1"/>
          <w:sz w:val="24"/>
        </w:rPr>
        <w:t>有机</w:t>
      </w:r>
      <w:r>
        <w:rPr>
          <w:rFonts w:ascii="Times New Roman" w:eastAsia="宋体" w:hAnsi="Times New Roman" w:cs="Times New Roman"/>
          <w:color w:val="000000" w:themeColor="text1"/>
          <w:sz w:val="24"/>
        </w:rPr>
        <w:t>硝基复合肥和绿色有机尿基复合肥，根据国家发改委</w:t>
      </w:r>
      <w:r>
        <w:rPr>
          <w:rFonts w:ascii="Times New Roman" w:eastAsia="宋体" w:hAnsi="Times New Roman" w:cs="Times New Roman"/>
          <w:color w:val="000000" w:themeColor="text1"/>
          <w:sz w:val="24"/>
        </w:rPr>
        <w:t>2011</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9</w:t>
      </w:r>
      <w:r>
        <w:rPr>
          <w:rFonts w:ascii="Times New Roman" w:eastAsia="宋体" w:hAnsi="Times New Roman" w:cs="Times New Roman"/>
          <w:color w:val="000000" w:themeColor="text1"/>
          <w:sz w:val="24"/>
        </w:rPr>
        <w:t>号令及</w:t>
      </w:r>
      <w:r>
        <w:rPr>
          <w:rFonts w:ascii="Times New Roman" w:eastAsia="宋体" w:hAnsi="Times New Roman" w:cs="Times New Roman"/>
          <w:color w:val="000000" w:themeColor="text1"/>
          <w:sz w:val="24"/>
        </w:rPr>
        <w:t>2013</w:t>
      </w:r>
      <w:r>
        <w:rPr>
          <w:rFonts w:ascii="Times New Roman" w:eastAsia="宋体" w:hAnsi="Times New Roman" w:cs="Times New Roman"/>
          <w:color w:val="000000" w:themeColor="text1"/>
          <w:sz w:val="24"/>
        </w:rPr>
        <w:t>年</w:t>
      </w:r>
      <w:r>
        <w:rPr>
          <w:rFonts w:ascii="Times New Roman" w:eastAsia="宋体" w:hAnsi="Times New Roman" w:cs="Times New Roman"/>
          <w:color w:val="000000" w:themeColor="text1"/>
          <w:sz w:val="24"/>
        </w:rPr>
        <w:t>21</w:t>
      </w:r>
      <w:r>
        <w:rPr>
          <w:rFonts w:ascii="Times New Roman" w:eastAsia="宋体" w:hAnsi="Times New Roman" w:cs="Times New Roman"/>
          <w:color w:val="000000" w:themeColor="text1"/>
          <w:sz w:val="24"/>
        </w:rPr>
        <w:t>号令公布的《产业结构调整指导目录》（</w:t>
      </w:r>
      <w:r>
        <w:rPr>
          <w:rFonts w:ascii="Times New Roman" w:eastAsia="宋体" w:hAnsi="Times New Roman" w:cs="Times New Roman"/>
          <w:color w:val="000000" w:themeColor="text1"/>
          <w:sz w:val="24"/>
        </w:rPr>
        <w:t>2011</w:t>
      </w:r>
      <w:r>
        <w:rPr>
          <w:rFonts w:ascii="Times New Roman" w:eastAsia="宋体" w:hAnsi="Times New Roman" w:cs="Times New Roman"/>
          <w:color w:val="000000" w:themeColor="text1"/>
          <w:sz w:val="24"/>
        </w:rPr>
        <w:t>年本）（</w:t>
      </w:r>
      <w:r>
        <w:rPr>
          <w:rFonts w:ascii="Times New Roman" w:eastAsia="宋体" w:hAnsi="Times New Roman" w:cs="Times New Roman"/>
          <w:color w:val="000000" w:themeColor="text1"/>
          <w:sz w:val="24"/>
        </w:rPr>
        <w:t>2013</w:t>
      </w:r>
      <w:r>
        <w:rPr>
          <w:rFonts w:ascii="Times New Roman" w:eastAsia="宋体" w:hAnsi="Times New Roman" w:cs="Times New Roman"/>
          <w:color w:val="000000" w:themeColor="text1"/>
          <w:sz w:val="24"/>
        </w:rPr>
        <w:t>年修正）为鼓励类第一条农林业</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第</w:t>
      </w:r>
      <w:r>
        <w:rPr>
          <w:rFonts w:ascii="Times New Roman" w:eastAsia="宋体" w:hAnsi="Times New Roman" w:cs="Times New Roman"/>
          <w:color w:val="000000" w:themeColor="text1"/>
          <w:sz w:val="24"/>
        </w:rPr>
        <w:t>30</w:t>
      </w:r>
      <w:r>
        <w:rPr>
          <w:rFonts w:ascii="Times New Roman" w:eastAsia="宋体" w:hAnsi="Times New Roman" w:cs="Times New Roman"/>
          <w:color w:val="000000" w:themeColor="text1"/>
          <w:sz w:val="24"/>
        </w:rPr>
        <w:t>小条</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有机废弃物无害化处理及有机肥料产业化技术开发与应用</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w:t>
      </w:r>
    </w:p>
    <w:p w:rsidR="00C861DA" w:rsidRDefault="0044752E">
      <w:pPr>
        <w:pStyle w:val="22"/>
        <w:rPr>
          <w:rFonts w:ascii="Times New Roman" w:eastAsia="宋体" w:hAnsi="Times New Roman"/>
          <w:bCs w:val="0"/>
          <w:color w:val="000000" w:themeColor="text1"/>
          <w:sz w:val="28"/>
          <w:szCs w:val="28"/>
        </w:rPr>
      </w:pPr>
      <w:bookmarkStart w:id="872" w:name="_Toc29328"/>
      <w:bookmarkStart w:id="873" w:name="_Toc6826960"/>
      <w:bookmarkStart w:id="874" w:name="_Toc22921"/>
      <w:bookmarkStart w:id="875" w:name="_Toc6806"/>
      <w:bookmarkStart w:id="876" w:name="_Toc29553"/>
      <w:r>
        <w:rPr>
          <w:rFonts w:ascii="Times New Roman" w:eastAsia="宋体" w:hAnsi="Times New Roman" w:hint="eastAsia"/>
          <w:bCs w:val="0"/>
          <w:color w:val="000000" w:themeColor="text1"/>
          <w:sz w:val="28"/>
          <w:szCs w:val="28"/>
        </w:rPr>
        <w:t>14.2</w:t>
      </w:r>
      <w:r>
        <w:rPr>
          <w:rFonts w:ascii="Times New Roman" w:eastAsia="宋体" w:hAnsi="Times New Roman" w:hint="eastAsia"/>
          <w:bCs w:val="0"/>
          <w:color w:val="000000" w:themeColor="text1"/>
          <w:sz w:val="28"/>
          <w:szCs w:val="28"/>
        </w:rPr>
        <w:t>选址合理性</w:t>
      </w:r>
      <w:bookmarkEnd w:id="872"/>
      <w:bookmarkEnd w:id="873"/>
      <w:bookmarkEnd w:id="874"/>
      <w:bookmarkEnd w:id="875"/>
      <w:bookmarkEnd w:id="876"/>
    </w:p>
    <w:p w:rsidR="00C861DA" w:rsidRDefault="0044752E">
      <w:pPr>
        <w:pStyle w:val="39"/>
        <w:spacing w:line="360" w:lineRule="auto"/>
        <w:ind w:firstLineChars="200" w:firstLine="480"/>
        <w:jc w:val="both"/>
        <w:rPr>
          <w:rFonts w:ascii="Times New Roman" w:eastAsia="宋体" w:hAnsi="Times New Roman" w:cs="Times New Roman"/>
          <w:color w:val="000000" w:themeColor="text1"/>
          <w:sz w:val="24"/>
          <w:szCs w:val="21"/>
        </w:rPr>
      </w:pPr>
      <w:r>
        <w:rPr>
          <w:rFonts w:ascii="Times New Roman" w:eastAsia="宋体" w:hAnsi="Times New Roman" w:cs="Times New Roman"/>
          <w:color w:val="000000" w:themeColor="text1"/>
          <w:sz w:val="24"/>
          <w:szCs w:val="21"/>
        </w:rPr>
        <w:t>本项目位于安宁市工业园区禄脿片区，生产新型生态绿色有机肥，选址符合《安宁工业园区规划修编（</w:t>
      </w:r>
      <w:r>
        <w:rPr>
          <w:rFonts w:ascii="Times New Roman" w:eastAsia="宋体" w:hAnsi="Times New Roman" w:cs="Times New Roman"/>
          <w:color w:val="000000" w:themeColor="text1"/>
          <w:sz w:val="24"/>
          <w:szCs w:val="21"/>
        </w:rPr>
        <w:t>2012-2020</w:t>
      </w:r>
      <w:r>
        <w:rPr>
          <w:rFonts w:ascii="Times New Roman" w:eastAsia="宋体" w:hAnsi="Times New Roman" w:cs="Times New Roman"/>
          <w:color w:val="000000" w:themeColor="text1"/>
          <w:sz w:val="24"/>
          <w:szCs w:val="21"/>
        </w:rPr>
        <w:t>）》的相关要求，同时符合区域规划发展定位于产业发展向导，满足《云南省安宁工业园区总体规划修编（</w:t>
      </w:r>
      <w:r>
        <w:rPr>
          <w:rFonts w:ascii="Times New Roman" w:eastAsia="宋体" w:hAnsi="Times New Roman" w:cs="Times New Roman"/>
          <w:color w:val="000000" w:themeColor="text1"/>
          <w:sz w:val="24"/>
          <w:szCs w:val="21"/>
        </w:rPr>
        <w:t>2012-2020</w:t>
      </w:r>
      <w:r>
        <w:rPr>
          <w:rFonts w:ascii="Times New Roman" w:eastAsia="宋体" w:hAnsi="Times New Roman" w:cs="Times New Roman"/>
          <w:color w:val="000000" w:themeColor="text1"/>
          <w:sz w:val="24"/>
          <w:szCs w:val="21"/>
        </w:rPr>
        <w:t>）环境影响报告书》的相关要求。</w:t>
      </w:r>
    </w:p>
    <w:p w:rsidR="00C861DA" w:rsidRDefault="0044752E">
      <w:pPr>
        <w:pStyle w:val="22"/>
        <w:rPr>
          <w:rFonts w:ascii="Times New Roman" w:eastAsia="宋体" w:hAnsi="Times New Roman"/>
          <w:bCs w:val="0"/>
          <w:color w:val="000000" w:themeColor="text1"/>
          <w:sz w:val="28"/>
          <w:szCs w:val="28"/>
        </w:rPr>
      </w:pPr>
      <w:bookmarkStart w:id="877" w:name="_Toc16091"/>
      <w:bookmarkStart w:id="878" w:name="_Toc3352"/>
      <w:bookmarkStart w:id="879" w:name="_Toc6826961"/>
      <w:bookmarkStart w:id="880" w:name="_Toc13338"/>
      <w:bookmarkStart w:id="881" w:name="_Toc601"/>
      <w:r>
        <w:rPr>
          <w:rFonts w:ascii="Times New Roman" w:eastAsia="宋体" w:hAnsi="Times New Roman" w:hint="eastAsia"/>
          <w:bCs w:val="0"/>
          <w:color w:val="000000" w:themeColor="text1"/>
          <w:sz w:val="28"/>
          <w:szCs w:val="28"/>
        </w:rPr>
        <w:t>14.3</w:t>
      </w:r>
      <w:r>
        <w:rPr>
          <w:rFonts w:ascii="Times New Roman" w:eastAsia="宋体" w:hAnsi="Times New Roman" w:hint="eastAsia"/>
          <w:bCs w:val="0"/>
          <w:color w:val="000000" w:themeColor="text1"/>
          <w:sz w:val="28"/>
          <w:szCs w:val="28"/>
        </w:rPr>
        <w:t>环境质量现状</w:t>
      </w:r>
      <w:bookmarkEnd w:id="877"/>
      <w:bookmarkEnd w:id="878"/>
      <w:bookmarkEnd w:id="879"/>
      <w:bookmarkEnd w:id="880"/>
      <w:bookmarkEnd w:id="881"/>
    </w:p>
    <w:p w:rsidR="00C861DA" w:rsidRDefault="0044752E">
      <w:pPr>
        <w:spacing w:line="360" w:lineRule="auto"/>
        <w:ind w:firstLineChars="200" w:firstLine="480"/>
        <w:rPr>
          <w:rFonts w:ascii="Times New Roman" w:eastAsia="宋体"/>
          <w:bCs/>
          <w:color w:val="000000" w:themeColor="text1"/>
          <w:sz w:val="24"/>
        </w:rPr>
      </w:pPr>
      <w:r>
        <w:rPr>
          <w:rFonts w:ascii="Times New Roman" w:eastAsia="宋体" w:cs="宋体" w:hint="eastAsia"/>
          <w:bCs/>
          <w:color w:val="000000" w:themeColor="text1"/>
          <w:sz w:val="24"/>
          <w:lang w:bidi="ar"/>
        </w:rPr>
        <w:t>（</w:t>
      </w:r>
      <w:r>
        <w:rPr>
          <w:rFonts w:ascii="Times New Roman" w:eastAsia="宋体"/>
          <w:bCs/>
          <w:color w:val="000000" w:themeColor="text1"/>
          <w:sz w:val="24"/>
          <w:lang w:bidi="ar"/>
        </w:rPr>
        <w:t>1</w:t>
      </w:r>
      <w:r>
        <w:rPr>
          <w:rFonts w:ascii="Times New Roman" w:eastAsia="宋体" w:cs="宋体" w:hint="eastAsia"/>
          <w:bCs/>
          <w:color w:val="000000" w:themeColor="text1"/>
          <w:sz w:val="24"/>
          <w:lang w:bidi="ar"/>
        </w:rPr>
        <w:t>）大气环境</w:t>
      </w:r>
    </w:p>
    <w:p w:rsidR="00C861DA" w:rsidRDefault="0044752E">
      <w:pPr>
        <w:autoSpaceDE/>
        <w:autoSpaceDN/>
        <w:snapToGrid w:val="0"/>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项目所在地为安宁市工业园区，根据安宁市</w:t>
      </w:r>
      <w:r>
        <w:rPr>
          <w:rFonts w:ascii="Times New Roman" w:eastAsia="宋体" w:hAnsi="Times New Roman" w:cs="Times New Roman"/>
          <w:color w:val="000000" w:themeColor="text1"/>
          <w:sz w:val="24"/>
        </w:rPr>
        <w:t>2017</w:t>
      </w:r>
      <w:r>
        <w:rPr>
          <w:rFonts w:ascii="Times New Roman" w:eastAsia="宋体" w:hAnsi="Times New Roman" w:cs="Times New Roman"/>
          <w:color w:val="000000" w:themeColor="text1"/>
          <w:sz w:val="24"/>
        </w:rPr>
        <w:t>年环境空气质量通报，环境空气</w:t>
      </w:r>
      <w:r>
        <w:rPr>
          <w:rFonts w:ascii="Times New Roman" w:eastAsia="宋体" w:hAnsi="Times New Roman" w:cs="Times New Roman"/>
          <w:color w:val="000000" w:themeColor="text1"/>
          <w:sz w:val="24"/>
        </w:rPr>
        <w:t>6</w:t>
      </w:r>
      <w:r>
        <w:rPr>
          <w:rFonts w:ascii="Times New Roman" w:eastAsia="宋体" w:hAnsi="Times New Roman" w:cs="Times New Roman"/>
          <w:color w:val="000000" w:themeColor="text1"/>
          <w:sz w:val="24"/>
        </w:rPr>
        <w:t>项基本因子均能够满足</w:t>
      </w:r>
      <w:r>
        <w:rPr>
          <w:rFonts w:ascii="Times New Roman" w:eastAsia="宋体" w:hAnsi="Times New Roman" w:cs="Times New Roman"/>
          <w:color w:val="000000" w:themeColor="text1"/>
          <w:sz w:val="24"/>
        </w:rPr>
        <w:t>HJ 663-2013</w:t>
      </w:r>
      <w:r>
        <w:rPr>
          <w:rFonts w:ascii="Times New Roman" w:eastAsia="宋体" w:hAnsi="Times New Roman" w:cs="Times New Roman"/>
          <w:color w:val="000000" w:themeColor="text1"/>
          <w:sz w:val="24"/>
        </w:rPr>
        <w:t>《环境空气质量评价技术规范（试行）》及</w:t>
      </w:r>
      <w:r>
        <w:rPr>
          <w:rFonts w:ascii="Times New Roman" w:eastAsia="宋体" w:hAnsi="Times New Roman" w:cs="Times New Roman"/>
          <w:color w:val="000000" w:themeColor="text1"/>
          <w:sz w:val="24"/>
        </w:rPr>
        <w:t>HJ2.2-2018</w:t>
      </w:r>
      <w:r>
        <w:rPr>
          <w:rFonts w:ascii="Times New Roman" w:eastAsia="宋体" w:hAnsi="Times New Roman" w:cs="Times New Roman"/>
          <w:color w:val="000000" w:themeColor="text1"/>
          <w:sz w:val="24"/>
        </w:rPr>
        <w:t>《环境影响评价技术导则</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大气环境》中有关环境空气质量达标区的要求，安宁市属于环境空气质量达标区域。</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根据空气环境质量现状监测结果，本项目特征污染因子和项目所在区域特征污染因子均能达到标准。</w:t>
      </w:r>
    </w:p>
    <w:p w:rsidR="00C861DA" w:rsidRDefault="0044752E">
      <w:pPr>
        <w:spacing w:line="360" w:lineRule="auto"/>
        <w:ind w:firstLineChars="200" w:firstLine="480"/>
        <w:rPr>
          <w:rFonts w:ascii="Times New Roman" w:eastAsia="宋体"/>
          <w:bCs/>
          <w:color w:val="000000" w:themeColor="text1"/>
          <w:sz w:val="24"/>
        </w:rPr>
      </w:pPr>
      <w:r>
        <w:rPr>
          <w:rFonts w:ascii="Times New Roman" w:eastAsia="宋体" w:cs="宋体" w:hint="eastAsia"/>
          <w:bCs/>
          <w:color w:val="000000" w:themeColor="text1"/>
          <w:sz w:val="24"/>
          <w:lang w:bidi="ar"/>
        </w:rPr>
        <w:t>（</w:t>
      </w:r>
      <w:r>
        <w:rPr>
          <w:rFonts w:ascii="Times New Roman" w:eastAsia="宋体"/>
          <w:bCs/>
          <w:color w:val="000000" w:themeColor="text1"/>
          <w:sz w:val="24"/>
          <w:lang w:bidi="ar"/>
        </w:rPr>
        <w:t>2</w:t>
      </w:r>
      <w:r>
        <w:rPr>
          <w:rFonts w:ascii="Times New Roman" w:eastAsia="宋体" w:cs="宋体" w:hint="eastAsia"/>
          <w:bCs/>
          <w:color w:val="000000" w:themeColor="text1"/>
          <w:sz w:val="24"/>
          <w:lang w:bidi="ar"/>
        </w:rPr>
        <w:t>）地表水环境</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本项目周边地表水</w:t>
      </w:r>
      <w:r>
        <w:rPr>
          <w:rFonts w:ascii="Times New Roman" w:eastAsia="宋体" w:hAnsi="Times New Roman" w:cs="Times New Roman" w:hint="eastAsia"/>
          <w:color w:val="000000" w:themeColor="text1"/>
          <w:sz w:val="24"/>
        </w:rPr>
        <w:t>禄脿河和螃蟹河水库</w:t>
      </w:r>
      <w:r>
        <w:rPr>
          <w:rFonts w:ascii="Times New Roman" w:eastAsia="宋体" w:hAnsi="Times New Roman" w:cs="Times New Roman"/>
          <w:color w:val="000000" w:themeColor="text1"/>
          <w:sz w:val="24"/>
        </w:rPr>
        <w:t>各项指标均能满足《地表水环境质量标准》（</w:t>
      </w:r>
      <w:r>
        <w:rPr>
          <w:rFonts w:ascii="Times New Roman" w:eastAsia="宋体" w:hAnsi="Times New Roman" w:cs="Times New Roman"/>
          <w:color w:val="000000" w:themeColor="text1"/>
          <w:sz w:val="24"/>
        </w:rPr>
        <w:t>GB3838-2002</w:t>
      </w:r>
      <w:r>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Ⅲ</w:t>
      </w:r>
      <w:r>
        <w:rPr>
          <w:rFonts w:ascii="Times New Roman" w:eastAsia="宋体" w:hAnsi="Times New Roman" w:cs="Times New Roman"/>
          <w:color w:val="000000" w:themeColor="text1"/>
          <w:sz w:val="24"/>
        </w:rPr>
        <w:t>类标准，禄脿河氨氮、</w:t>
      </w:r>
      <w:r>
        <w:rPr>
          <w:rFonts w:ascii="Times New Roman" w:eastAsia="宋体" w:hAnsi="Times New Roman" w:cs="Times New Roman"/>
          <w:color w:val="000000" w:themeColor="text1"/>
          <w:sz w:val="24"/>
        </w:rPr>
        <w:t>COD</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BOD5</w:t>
      </w:r>
      <w:r>
        <w:rPr>
          <w:rFonts w:ascii="Times New Roman" w:eastAsia="宋体" w:hAnsi="Times New Roman" w:cs="Times New Roman"/>
          <w:color w:val="000000" w:themeColor="text1"/>
          <w:sz w:val="24"/>
        </w:rPr>
        <w:t>均出现超标情况，推测超标原因是禄脿河接纳周边村庄生活废水。</w:t>
      </w:r>
    </w:p>
    <w:p w:rsidR="00C861DA" w:rsidRDefault="0044752E">
      <w:pPr>
        <w:spacing w:line="360" w:lineRule="auto"/>
        <w:ind w:firstLineChars="200" w:firstLine="480"/>
        <w:rPr>
          <w:rFonts w:ascii="Times New Roman" w:eastAsia="宋体"/>
          <w:bCs/>
          <w:color w:val="000000" w:themeColor="text1"/>
          <w:sz w:val="24"/>
        </w:rPr>
      </w:pPr>
      <w:r>
        <w:rPr>
          <w:rFonts w:ascii="Times New Roman" w:eastAsia="宋体" w:cs="宋体" w:hint="eastAsia"/>
          <w:bCs/>
          <w:color w:val="000000" w:themeColor="text1"/>
          <w:sz w:val="24"/>
          <w:lang w:bidi="ar"/>
        </w:rPr>
        <w:t>（</w:t>
      </w:r>
      <w:r>
        <w:rPr>
          <w:rFonts w:ascii="Times New Roman" w:eastAsia="宋体"/>
          <w:bCs/>
          <w:color w:val="000000" w:themeColor="text1"/>
          <w:sz w:val="24"/>
          <w:lang w:bidi="ar"/>
        </w:rPr>
        <w:t>3</w:t>
      </w:r>
      <w:r>
        <w:rPr>
          <w:rFonts w:ascii="Times New Roman" w:eastAsia="宋体" w:cs="宋体" w:hint="eastAsia"/>
          <w:bCs/>
          <w:color w:val="000000" w:themeColor="text1"/>
          <w:sz w:val="24"/>
          <w:lang w:bidi="ar"/>
        </w:rPr>
        <w:t>）地下水环境</w:t>
      </w:r>
    </w:p>
    <w:p w:rsidR="00C861DA" w:rsidRDefault="0044752E">
      <w:pPr>
        <w:snapToGrid w:val="0"/>
        <w:spacing w:line="360" w:lineRule="auto"/>
        <w:ind w:firstLine="482"/>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从监测结果来看，</w:t>
      </w:r>
      <w:r>
        <w:rPr>
          <w:rFonts w:ascii="Times New Roman" w:eastAsia="宋体" w:hAnsi="Times New Roman" w:cs="Times New Roman"/>
          <w:color w:val="000000" w:themeColor="text1"/>
          <w:sz w:val="24"/>
        </w:rPr>
        <w:t>本项目所在区域内地下水除</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合成氨厂界内溶解性总固体及</w:t>
      </w:r>
      <w:r>
        <w:rPr>
          <w:rFonts w:ascii="Times New Roman" w:eastAsia="宋体" w:hAnsi="Times New Roman" w:cs="Times New Roman"/>
          <w:color w:val="000000" w:themeColor="text1"/>
          <w:sz w:val="24"/>
        </w:rPr>
        <w:t>5#</w:t>
      </w:r>
      <w:r>
        <w:rPr>
          <w:rFonts w:ascii="Times New Roman" w:eastAsia="宋体" w:hAnsi="Times New Roman" w:cs="Times New Roman"/>
          <w:color w:val="000000" w:themeColor="text1"/>
          <w:sz w:val="24"/>
        </w:rPr>
        <w:t>水井湾总大肠杆菌两项指标外，各项指标均能满足《地下水质量标准》（</w:t>
      </w:r>
      <w:r>
        <w:rPr>
          <w:rFonts w:ascii="Times New Roman" w:eastAsia="宋体" w:hAnsi="Times New Roman" w:cs="Times New Roman"/>
          <w:color w:val="000000" w:themeColor="text1"/>
          <w:sz w:val="24"/>
        </w:rPr>
        <w:t>GB/T14848-2017</w:t>
      </w:r>
      <w:r>
        <w:rPr>
          <w:rFonts w:ascii="Times New Roman" w:eastAsia="宋体" w:hAnsi="Times New Roman" w:cs="Times New Roman"/>
          <w:color w:val="000000" w:themeColor="text1"/>
          <w:sz w:val="24"/>
        </w:rPr>
        <w:t>）中的</w:t>
      </w:r>
      <w:r>
        <w:rPr>
          <w:rFonts w:ascii="Times New Roman" w:eastAsia="宋体" w:hAnsi="Times New Roman" w:cs="Times New Roman" w:hint="eastAsia"/>
          <w:color w:val="000000" w:themeColor="text1"/>
          <w:sz w:val="24"/>
        </w:rPr>
        <w:t>Ⅲ</w:t>
      </w:r>
      <w:r>
        <w:rPr>
          <w:rFonts w:ascii="Times New Roman" w:eastAsia="宋体" w:hAnsi="Times New Roman" w:cs="Times New Roman"/>
          <w:color w:val="000000" w:themeColor="text1"/>
          <w:sz w:val="24"/>
        </w:rPr>
        <w:t>类标准的各项要求</w:t>
      </w:r>
      <w:r>
        <w:rPr>
          <w:rFonts w:ascii="Times New Roman" w:eastAsia="宋体" w:hAnsi="Times New Roman" w:cs="Times New Roman" w:hint="eastAsia"/>
          <w:color w:val="000000" w:themeColor="text1"/>
          <w:sz w:val="24"/>
        </w:rPr>
        <w:t>，总大肠菌群超标原因可能与现有村庄利用化粪池废水浇灌农作物有关，溶解性总固体超标原因可能与采样地区正在施工有关。</w:t>
      </w:r>
    </w:p>
    <w:p w:rsidR="00C861DA" w:rsidRDefault="0044752E">
      <w:pPr>
        <w:spacing w:line="360" w:lineRule="auto"/>
        <w:ind w:firstLineChars="200" w:firstLine="480"/>
        <w:rPr>
          <w:rFonts w:ascii="Times New Roman" w:eastAsia="宋体"/>
          <w:bCs/>
          <w:color w:val="000000" w:themeColor="text1"/>
          <w:sz w:val="24"/>
        </w:rPr>
      </w:pPr>
      <w:r>
        <w:rPr>
          <w:rFonts w:ascii="Times New Roman" w:eastAsia="宋体" w:cs="宋体" w:hint="eastAsia"/>
          <w:bCs/>
          <w:color w:val="000000" w:themeColor="text1"/>
          <w:sz w:val="24"/>
          <w:lang w:bidi="ar"/>
        </w:rPr>
        <w:t>（</w:t>
      </w:r>
      <w:r>
        <w:rPr>
          <w:rFonts w:ascii="Times New Roman" w:eastAsia="宋体"/>
          <w:bCs/>
          <w:color w:val="000000" w:themeColor="text1"/>
          <w:sz w:val="24"/>
          <w:lang w:bidi="ar"/>
        </w:rPr>
        <w:t>4</w:t>
      </w:r>
      <w:r>
        <w:rPr>
          <w:rFonts w:ascii="Times New Roman" w:eastAsia="宋体" w:cs="宋体" w:hint="eastAsia"/>
          <w:bCs/>
          <w:color w:val="000000" w:themeColor="text1"/>
          <w:sz w:val="24"/>
          <w:lang w:bidi="ar"/>
        </w:rPr>
        <w:t>）声环境</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从监测结果看，厂界外背景声环境质量较好，能满足</w:t>
      </w:r>
      <w:r>
        <w:rPr>
          <w:rFonts w:ascii="Times New Roman" w:eastAsia="宋体" w:hAnsi="Times New Roman" w:cs="Times New Roman"/>
          <w:color w:val="000000" w:themeColor="text1"/>
          <w:sz w:val="24"/>
        </w:rPr>
        <w:t>GB3096-2008</w:t>
      </w:r>
      <w:r>
        <w:rPr>
          <w:rFonts w:ascii="Times New Roman" w:eastAsia="宋体" w:hAnsi="Times New Roman" w:cs="Times New Roman"/>
          <w:color w:val="000000" w:themeColor="text1"/>
          <w:sz w:val="24"/>
        </w:rPr>
        <w:t>《声环境质量标准》</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类标准的要求。</w:t>
      </w:r>
    </w:p>
    <w:p w:rsidR="00C861DA" w:rsidRDefault="0044752E">
      <w:pPr>
        <w:spacing w:line="360" w:lineRule="auto"/>
        <w:ind w:firstLineChars="200" w:firstLine="480"/>
        <w:rPr>
          <w:rFonts w:ascii="Times New Roman" w:eastAsia="宋体"/>
          <w:bCs/>
          <w:color w:val="000000" w:themeColor="text1"/>
          <w:sz w:val="24"/>
        </w:rPr>
      </w:pPr>
      <w:r>
        <w:rPr>
          <w:rFonts w:ascii="Times New Roman" w:eastAsia="宋体" w:cs="宋体" w:hint="eastAsia"/>
          <w:bCs/>
          <w:color w:val="000000" w:themeColor="text1"/>
          <w:sz w:val="24"/>
          <w:lang w:bidi="ar"/>
        </w:rPr>
        <w:t>（</w:t>
      </w:r>
      <w:r>
        <w:rPr>
          <w:rFonts w:ascii="Times New Roman" w:eastAsia="宋体"/>
          <w:bCs/>
          <w:color w:val="000000" w:themeColor="text1"/>
          <w:sz w:val="24"/>
          <w:lang w:bidi="ar"/>
        </w:rPr>
        <w:t>5</w:t>
      </w:r>
      <w:r>
        <w:rPr>
          <w:rFonts w:ascii="Times New Roman" w:eastAsia="宋体" w:cs="宋体" w:hint="eastAsia"/>
          <w:bCs/>
          <w:color w:val="000000" w:themeColor="text1"/>
          <w:sz w:val="24"/>
          <w:lang w:bidi="ar"/>
        </w:rPr>
        <w:t>）土壤环境</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根据《安宁市工业园区规划环评修编》中的监测数据，</w:t>
      </w:r>
      <w:r>
        <w:rPr>
          <w:rFonts w:ascii="Times New Roman" w:eastAsia="宋体" w:hAnsi="Times New Roman" w:cs="Times New Roman"/>
          <w:color w:val="000000" w:themeColor="text1"/>
          <w:sz w:val="24"/>
        </w:rPr>
        <w:t>禄脿片区土壤环境能满足《土壤环境质量</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农用地土壤污染风险管控标准（试行）》（</w:t>
      </w:r>
      <w:r>
        <w:rPr>
          <w:rFonts w:ascii="Times New Roman" w:eastAsia="宋体" w:hAnsi="Times New Roman" w:cs="Times New Roman"/>
          <w:color w:val="000000" w:themeColor="text1"/>
          <w:sz w:val="24"/>
        </w:rPr>
        <w:t>GB15618-2018</w:t>
      </w:r>
      <w:r>
        <w:rPr>
          <w:rFonts w:ascii="Times New Roman" w:eastAsia="宋体" w:hAnsi="Times New Roman" w:cs="Times New Roman"/>
          <w:color w:val="000000" w:themeColor="text1"/>
          <w:sz w:val="24"/>
        </w:rPr>
        <w:t>）中土壤污染风险筛选值和风险管制值，铬含量接近标准。</w:t>
      </w:r>
    </w:p>
    <w:p w:rsidR="00C861DA" w:rsidRDefault="0044752E">
      <w:pPr>
        <w:spacing w:line="360" w:lineRule="auto"/>
        <w:ind w:firstLineChars="200" w:firstLine="480"/>
        <w:rPr>
          <w:rFonts w:ascii="Times New Roman" w:eastAsia="宋体" w:cs="宋体"/>
          <w:bCs/>
          <w:color w:val="000000" w:themeColor="text1"/>
          <w:sz w:val="24"/>
          <w:lang w:bidi="ar"/>
        </w:rPr>
      </w:pPr>
      <w:r>
        <w:rPr>
          <w:rFonts w:ascii="Times New Roman" w:eastAsia="宋体" w:hint="eastAsia"/>
          <w:color w:val="000000" w:themeColor="text1"/>
          <w:sz w:val="24"/>
        </w:rPr>
        <w:t>（</w:t>
      </w:r>
      <w:r>
        <w:rPr>
          <w:rFonts w:ascii="Times New Roman" w:eastAsia="宋体" w:hint="eastAsia"/>
          <w:color w:val="000000" w:themeColor="text1"/>
          <w:sz w:val="24"/>
        </w:rPr>
        <w:t>5</w:t>
      </w:r>
      <w:r>
        <w:rPr>
          <w:rFonts w:ascii="Times New Roman" w:eastAsia="宋体" w:hint="eastAsia"/>
          <w:color w:val="000000" w:themeColor="text1"/>
          <w:sz w:val="24"/>
        </w:rPr>
        <w:t>）生态</w:t>
      </w:r>
      <w:r>
        <w:rPr>
          <w:rFonts w:ascii="Times New Roman" w:eastAsia="宋体" w:cs="宋体" w:hint="eastAsia"/>
          <w:bCs/>
          <w:color w:val="000000" w:themeColor="text1"/>
          <w:sz w:val="24"/>
          <w:lang w:bidi="ar"/>
        </w:rPr>
        <w:t>环境</w:t>
      </w:r>
    </w:p>
    <w:p w:rsidR="00C861DA" w:rsidRDefault="0044752E">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评价区人类活动历史悠久，亦无原生生态系统分布，以人工生态系统为主，仅有少量次生自然植被，且受人为活动干扰严重，评价区已不具备野生动物的良好栖息条件。项目评价区内的野生植物和动物均为地区常见物种，评价区内无国家或云南省级重点保护野生动植物物种分布，也无地方狭域特有物种分布。</w:t>
      </w:r>
    </w:p>
    <w:p w:rsidR="00C861DA" w:rsidRDefault="0044752E">
      <w:pPr>
        <w:pStyle w:val="22"/>
        <w:rPr>
          <w:rFonts w:ascii="Times New Roman" w:eastAsia="宋体" w:hAnsi="Times New Roman"/>
          <w:bCs w:val="0"/>
          <w:color w:val="000000" w:themeColor="text1"/>
          <w:sz w:val="28"/>
          <w:szCs w:val="28"/>
        </w:rPr>
      </w:pPr>
      <w:bookmarkStart w:id="882" w:name="_Toc4680"/>
      <w:bookmarkStart w:id="883" w:name="_Toc18642"/>
      <w:bookmarkStart w:id="884" w:name="_Toc23839"/>
      <w:bookmarkStart w:id="885" w:name="_Toc6826962"/>
      <w:bookmarkStart w:id="886" w:name="_Toc22453"/>
      <w:r>
        <w:rPr>
          <w:rFonts w:ascii="Times New Roman" w:eastAsia="宋体" w:hAnsi="Times New Roman" w:hint="eastAsia"/>
          <w:bCs w:val="0"/>
          <w:color w:val="000000" w:themeColor="text1"/>
          <w:sz w:val="28"/>
          <w:szCs w:val="28"/>
        </w:rPr>
        <w:t>14.4</w:t>
      </w:r>
      <w:r>
        <w:rPr>
          <w:rFonts w:ascii="Times New Roman" w:eastAsia="宋体" w:hAnsi="Times New Roman" w:hint="eastAsia"/>
          <w:bCs w:val="0"/>
          <w:color w:val="000000" w:themeColor="text1"/>
          <w:sz w:val="28"/>
          <w:szCs w:val="28"/>
        </w:rPr>
        <w:t>污染物排放达标情况</w:t>
      </w:r>
      <w:bookmarkEnd w:id="882"/>
      <w:bookmarkEnd w:id="883"/>
      <w:bookmarkEnd w:id="884"/>
      <w:bookmarkEnd w:id="885"/>
      <w:bookmarkEnd w:id="886"/>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）废气</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项目生产废气经处理后，污染物排放能满足《大气污染物综合排放标准》（</w:t>
      </w:r>
      <w:r>
        <w:rPr>
          <w:rFonts w:ascii="Times New Roman" w:eastAsia="宋体" w:hAnsi="Times New Roman" w:cs="Times New Roman"/>
          <w:color w:val="000000" w:themeColor="text1"/>
          <w:sz w:val="24"/>
        </w:rPr>
        <w:t>GB16297-1996</w:t>
      </w:r>
      <w:r>
        <w:rPr>
          <w:rFonts w:ascii="Times New Roman" w:eastAsia="宋体" w:hAnsi="Times New Roman" w:cs="Times New Roman"/>
          <w:color w:val="000000" w:themeColor="text1"/>
          <w:sz w:val="24"/>
        </w:rPr>
        <w:t>）表</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中二级标准。</w:t>
      </w:r>
      <w:r>
        <w:rPr>
          <w:rFonts w:ascii="Times New Roman" w:eastAsia="宋体" w:hAnsi="Times New Roman" w:cs="Times New Roman"/>
          <w:color w:val="000000" w:themeColor="text1"/>
          <w:sz w:val="24"/>
        </w:rPr>
        <w:t xml:space="preserve"> </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）废水</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rPr>
        <w:t>本项目生产废水、生活污水、初期雨水经收集后，</w:t>
      </w:r>
      <w:r>
        <w:rPr>
          <w:rFonts w:ascii="Times New Roman" w:eastAsia="宋体" w:hAnsi="Times New Roman" w:cs="Times New Roman"/>
          <w:color w:val="000000" w:themeColor="text1"/>
          <w:sz w:val="24"/>
          <w:szCs w:val="24"/>
        </w:rPr>
        <w:t>生产废水输送至祥丰金麦有限公司湿法球磨站作为补充水，生活废水依托</w:t>
      </w:r>
      <w:r>
        <w:rPr>
          <w:rFonts w:ascii="Times New Roman" w:eastAsia="宋体" w:hAnsi="Times New Roman" w:cs="Times New Roman"/>
          <w:color w:val="000000" w:themeColor="text1"/>
          <w:sz w:val="24"/>
          <w:szCs w:val="24"/>
        </w:rPr>
        <w:t>“30</w:t>
      </w:r>
      <w:r>
        <w:rPr>
          <w:rFonts w:ascii="Times New Roman" w:eastAsia="宋体" w:hAnsi="Times New Roman" w:cs="Times New Roman"/>
          <w:color w:val="000000" w:themeColor="text1"/>
          <w:sz w:val="24"/>
          <w:szCs w:val="24"/>
        </w:rPr>
        <w:t>万吨合成氨装置项目</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生活废水处置设施处理，废水均不外排。</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3</w:t>
      </w:r>
      <w:r>
        <w:rPr>
          <w:rFonts w:ascii="Times New Roman" w:eastAsia="宋体" w:hAnsi="Times New Roman" w:cs="Times New Roman"/>
          <w:color w:val="000000" w:themeColor="text1"/>
          <w:sz w:val="24"/>
        </w:rPr>
        <w:t>）噪声</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szCs w:val="24"/>
        </w:rPr>
        <w:t>项目主要噪声源为空压机等各种高噪声设备产生的噪声，声级为</w:t>
      </w:r>
      <w:r>
        <w:rPr>
          <w:rFonts w:ascii="Times New Roman" w:eastAsia="宋体" w:hAnsi="Times New Roman" w:cs="Times New Roman"/>
          <w:color w:val="000000" w:themeColor="text1"/>
          <w:sz w:val="24"/>
          <w:szCs w:val="24"/>
        </w:rPr>
        <w:t>75~95dB</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A</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rPr>
        <w:t>采用降噪措施后，</w:t>
      </w:r>
      <w:r>
        <w:rPr>
          <w:rFonts w:ascii="Times New Roman" w:eastAsia="宋体" w:hAnsi="Times New Roman" w:cs="Times New Roman"/>
          <w:color w:val="000000" w:themeColor="text1"/>
          <w:sz w:val="24"/>
          <w:szCs w:val="24"/>
        </w:rPr>
        <w:t>厂界昼、夜间噪声值能满足《工业企业厂界环境噪声排放标准》（</w:t>
      </w:r>
      <w:r>
        <w:rPr>
          <w:rFonts w:ascii="Times New Roman" w:eastAsia="宋体" w:hAnsi="Times New Roman" w:cs="Times New Roman"/>
          <w:color w:val="000000" w:themeColor="text1"/>
          <w:sz w:val="24"/>
          <w:szCs w:val="24"/>
        </w:rPr>
        <w:t>GB12348-2008</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类区标准的要求</w:t>
      </w:r>
      <w:r>
        <w:rPr>
          <w:rFonts w:ascii="Times New Roman" w:eastAsia="宋体" w:hAnsi="Times New Roman" w:cs="Times New Roman"/>
          <w:color w:val="000000" w:themeColor="text1"/>
          <w:sz w:val="24"/>
        </w:rPr>
        <w:t>。</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）固废</w:t>
      </w:r>
    </w:p>
    <w:p w:rsidR="00C861DA" w:rsidRDefault="0044752E">
      <w:pPr>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项目所有固废均进行有效处置，全部资源化利用或无害化处置。</w:t>
      </w:r>
    </w:p>
    <w:p w:rsidR="00C861DA" w:rsidRDefault="0044752E">
      <w:pPr>
        <w:pStyle w:val="22"/>
        <w:rPr>
          <w:rFonts w:ascii="Times New Roman" w:eastAsia="宋体" w:hAnsi="Times New Roman"/>
          <w:bCs w:val="0"/>
          <w:color w:val="000000" w:themeColor="text1"/>
          <w:sz w:val="28"/>
          <w:szCs w:val="28"/>
        </w:rPr>
      </w:pPr>
      <w:bookmarkStart w:id="887" w:name="_Toc10133"/>
      <w:bookmarkStart w:id="888" w:name="_Toc6826963"/>
      <w:bookmarkStart w:id="889" w:name="_Toc15977"/>
      <w:bookmarkStart w:id="890" w:name="_Toc3159"/>
      <w:bookmarkStart w:id="891" w:name="_Toc5499"/>
      <w:r>
        <w:rPr>
          <w:rFonts w:ascii="Times New Roman" w:eastAsia="宋体" w:hAnsi="Times New Roman" w:hint="eastAsia"/>
          <w:bCs w:val="0"/>
          <w:color w:val="000000" w:themeColor="text1"/>
          <w:sz w:val="28"/>
          <w:szCs w:val="28"/>
        </w:rPr>
        <w:t>14.5</w:t>
      </w:r>
      <w:r>
        <w:rPr>
          <w:rFonts w:ascii="Times New Roman" w:eastAsia="宋体" w:hAnsi="Times New Roman" w:hint="eastAsia"/>
          <w:bCs w:val="0"/>
          <w:color w:val="000000" w:themeColor="text1"/>
          <w:sz w:val="28"/>
          <w:szCs w:val="28"/>
        </w:rPr>
        <w:t>项目建设对环境的影响</w:t>
      </w:r>
      <w:bookmarkEnd w:id="887"/>
      <w:bookmarkEnd w:id="888"/>
      <w:bookmarkEnd w:id="889"/>
      <w:bookmarkEnd w:id="890"/>
      <w:bookmarkEnd w:id="891"/>
    </w:p>
    <w:p w:rsidR="00C861DA" w:rsidRDefault="0044752E">
      <w:pPr>
        <w:pStyle w:val="39"/>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）环境空气质量影响</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本项目所在区域属于</w:t>
      </w:r>
      <w:r>
        <w:rPr>
          <w:rFonts w:ascii="Times New Roman" w:eastAsia="宋体" w:hAnsi="Times New Roman" w:cs="Times New Roman"/>
          <w:iCs/>
          <w:color w:val="000000" w:themeColor="text1"/>
          <w:sz w:val="24"/>
          <w:szCs w:val="24"/>
        </w:rPr>
        <w:t>大气环境达标区，</w:t>
      </w:r>
      <w:r>
        <w:rPr>
          <w:rFonts w:ascii="Times New Roman" w:eastAsia="宋体" w:hAnsi="Times New Roman" w:cs="Times New Roman"/>
          <w:color w:val="000000" w:themeColor="text1"/>
          <w:sz w:val="24"/>
          <w:szCs w:val="24"/>
        </w:rPr>
        <w:t>排放的废气污染物主要为氨，在正常排放情况下，项目排放的废气污染物最大落地浓度预测值均能满足相应的《环境空气质量标准》（</w:t>
      </w:r>
      <w:r>
        <w:rPr>
          <w:rFonts w:ascii="Times New Roman" w:eastAsia="宋体" w:hAnsi="Times New Roman" w:cs="Times New Roman"/>
          <w:color w:val="000000" w:themeColor="text1"/>
          <w:sz w:val="24"/>
          <w:szCs w:val="24"/>
        </w:rPr>
        <w:t>GB3095-2012</w:t>
      </w:r>
      <w:r>
        <w:rPr>
          <w:rFonts w:ascii="Times New Roman" w:eastAsia="宋体" w:hAnsi="Times New Roman" w:cs="Times New Roman"/>
          <w:color w:val="000000" w:themeColor="text1"/>
          <w:sz w:val="24"/>
          <w:szCs w:val="24"/>
        </w:rPr>
        <w:t>）浓度限值及其他标准限值要求，</w:t>
      </w:r>
      <w:r>
        <w:rPr>
          <w:rFonts w:ascii="Times New Roman" w:eastAsia="宋体" w:hAnsi="Times New Roman" w:cs="Times New Roman"/>
          <w:iCs/>
          <w:color w:val="000000" w:themeColor="text1"/>
          <w:sz w:val="24"/>
          <w:szCs w:val="24"/>
        </w:rPr>
        <w:t>1</w:t>
      </w:r>
      <w:r>
        <w:rPr>
          <w:rFonts w:ascii="Times New Roman" w:eastAsia="宋体" w:hAnsi="Times New Roman" w:cs="Times New Roman"/>
          <w:iCs/>
          <w:color w:val="000000" w:themeColor="text1"/>
          <w:sz w:val="24"/>
          <w:szCs w:val="24"/>
        </w:rPr>
        <w:t>小时最大浓度贡献值、日均最大浓度贡献值占标率小于</w:t>
      </w:r>
      <w:r>
        <w:rPr>
          <w:rFonts w:ascii="Times New Roman" w:eastAsia="宋体" w:hAnsi="Times New Roman" w:cs="Times New Roman"/>
          <w:iCs/>
          <w:color w:val="000000" w:themeColor="text1"/>
          <w:sz w:val="24"/>
          <w:szCs w:val="24"/>
        </w:rPr>
        <w:t>100%</w:t>
      </w:r>
      <w:r>
        <w:rPr>
          <w:rFonts w:ascii="Times New Roman" w:eastAsia="宋体" w:hAnsi="Times New Roman" w:cs="Times New Roman"/>
          <w:iCs/>
          <w:color w:val="000000" w:themeColor="text1"/>
          <w:sz w:val="24"/>
          <w:szCs w:val="24"/>
        </w:rPr>
        <w:t>，年均最大浓度贡献值占标率小于</w:t>
      </w:r>
      <w:r>
        <w:rPr>
          <w:rFonts w:ascii="Times New Roman" w:eastAsia="宋体" w:hAnsi="Times New Roman" w:cs="Times New Roman"/>
          <w:iCs/>
          <w:color w:val="000000" w:themeColor="text1"/>
          <w:sz w:val="24"/>
          <w:szCs w:val="24"/>
        </w:rPr>
        <w:t>30%</w:t>
      </w:r>
      <w:r>
        <w:rPr>
          <w:rFonts w:ascii="Times New Roman" w:eastAsia="宋体" w:hAnsi="Times New Roman" w:cs="Times New Roman"/>
          <w:iCs/>
          <w:color w:val="000000" w:themeColor="text1"/>
          <w:sz w:val="24"/>
          <w:szCs w:val="24"/>
        </w:rPr>
        <w:t>。</w:t>
      </w:r>
    </w:p>
    <w:p w:rsidR="00C861DA" w:rsidRDefault="0044752E">
      <w:pPr>
        <w:spacing w:line="360" w:lineRule="auto"/>
        <w:ind w:firstLineChars="200" w:firstLine="480"/>
        <w:jc w:val="both"/>
        <w:rPr>
          <w:rFonts w:ascii="Times New Roman" w:eastAsia="宋体" w:hAnsi="Times New Roman" w:cs="Times New Roman"/>
          <w:iCs/>
          <w:color w:val="000000" w:themeColor="text1"/>
          <w:sz w:val="24"/>
          <w:szCs w:val="24"/>
        </w:rPr>
      </w:pPr>
      <w:r>
        <w:rPr>
          <w:rFonts w:ascii="Times New Roman" w:eastAsia="宋体" w:hAnsi="Times New Roman" w:cs="Times New Roman"/>
          <w:color w:val="000000" w:themeColor="text1"/>
          <w:sz w:val="24"/>
          <w:szCs w:val="24"/>
        </w:rPr>
        <w:t>氨</w:t>
      </w:r>
      <w:r>
        <w:rPr>
          <w:rFonts w:ascii="Times New Roman" w:eastAsia="宋体" w:hAnsi="Times New Roman" w:cs="Times New Roman"/>
          <w:iCs/>
          <w:color w:val="000000" w:themeColor="text1"/>
          <w:sz w:val="24"/>
          <w:szCs w:val="24"/>
        </w:rPr>
        <w:t>日均最大浓度预测值叠加背景值后最大占标率为</w:t>
      </w:r>
      <w:r>
        <w:rPr>
          <w:rFonts w:ascii="Times New Roman" w:eastAsia="宋体" w:hAnsi="Times New Roman" w:cs="Times New Roman"/>
          <w:iCs/>
          <w:color w:val="000000" w:themeColor="text1"/>
          <w:sz w:val="24"/>
          <w:szCs w:val="24"/>
        </w:rPr>
        <w:t>38.73%</w:t>
      </w:r>
      <w:r>
        <w:rPr>
          <w:rFonts w:ascii="Times New Roman" w:eastAsia="宋体" w:hAnsi="Times New Roman" w:cs="Times New Roman"/>
          <w:iCs/>
          <w:color w:val="000000" w:themeColor="text1"/>
          <w:sz w:val="24"/>
          <w:szCs w:val="24"/>
        </w:rPr>
        <w:t>，已接近二级标准值，但氨日均最大浓度贡献值、年均最大浓度贡献值占标率分别仅为</w:t>
      </w:r>
      <w:r>
        <w:rPr>
          <w:rFonts w:ascii="Times New Roman" w:eastAsia="宋体" w:hAnsi="Times New Roman" w:cs="Times New Roman"/>
          <w:iCs/>
          <w:color w:val="000000" w:themeColor="text1"/>
          <w:sz w:val="24"/>
          <w:szCs w:val="24"/>
        </w:rPr>
        <w:t>21.71%</w:t>
      </w:r>
      <w:r>
        <w:rPr>
          <w:rFonts w:ascii="Times New Roman" w:eastAsia="宋体" w:hAnsi="Times New Roman" w:cs="Times New Roman"/>
          <w:iCs/>
          <w:color w:val="000000" w:themeColor="text1"/>
          <w:sz w:val="24"/>
          <w:szCs w:val="24"/>
        </w:rPr>
        <w:t>、</w:t>
      </w:r>
      <w:r>
        <w:rPr>
          <w:rFonts w:ascii="Times New Roman" w:eastAsia="宋体" w:hAnsi="Times New Roman" w:cs="Times New Roman"/>
          <w:iCs/>
          <w:color w:val="000000" w:themeColor="text1"/>
          <w:sz w:val="24"/>
          <w:szCs w:val="24"/>
        </w:rPr>
        <w:t>10.45%</w:t>
      </w:r>
      <w:r>
        <w:rPr>
          <w:rFonts w:ascii="Times New Roman" w:eastAsia="宋体" w:hAnsi="Times New Roman" w:cs="Times New Roman"/>
          <w:iCs/>
          <w:color w:val="000000" w:themeColor="text1"/>
          <w:sz w:val="24"/>
          <w:szCs w:val="24"/>
        </w:rPr>
        <w:t>，说明本项目对评价区域氨影响很小。</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由预测可知，本项目</w:t>
      </w:r>
      <w:r>
        <w:rPr>
          <w:rFonts w:ascii="Times New Roman" w:eastAsia="宋体" w:hAnsi="Times New Roman" w:cs="Times New Roman"/>
          <w:iCs/>
          <w:color w:val="000000" w:themeColor="text1"/>
          <w:sz w:val="24"/>
          <w:szCs w:val="24"/>
        </w:rPr>
        <w:t>厂界氨无组织排放最大地面浓度均满</w:t>
      </w:r>
      <w:r>
        <w:rPr>
          <w:rFonts w:ascii="Times New Roman" w:eastAsia="宋体" w:hAnsi="Times New Roman" w:cs="Times New Roman"/>
          <w:iCs/>
          <w:color w:val="000000" w:themeColor="text1"/>
          <w:sz w:val="24"/>
          <w:szCs w:val="24"/>
        </w:rPr>
        <w:t>足《大气污染物综合排放标准》（</w:t>
      </w:r>
      <w:r>
        <w:rPr>
          <w:rFonts w:ascii="Times New Roman" w:eastAsia="宋体" w:hAnsi="Times New Roman" w:cs="Times New Roman"/>
          <w:iCs/>
          <w:color w:val="000000" w:themeColor="text1"/>
          <w:sz w:val="24"/>
          <w:szCs w:val="24"/>
        </w:rPr>
        <w:t>GB16297-1996</w:t>
      </w:r>
      <w:r>
        <w:rPr>
          <w:rFonts w:ascii="Times New Roman" w:eastAsia="宋体" w:hAnsi="Times New Roman" w:cs="Times New Roman"/>
          <w:iCs/>
          <w:color w:val="000000" w:themeColor="text1"/>
          <w:sz w:val="24"/>
          <w:szCs w:val="24"/>
        </w:rPr>
        <w:t>）表中二级标准。</w:t>
      </w:r>
      <w:r>
        <w:rPr>
          <w:rFonts w:ascii="Times New Roman" w:eastAsia="宋体" w:hAnsi="Times New Roman" w:cs="Times New Roman"/>
          <w:color w:val="000000" w:themeColor="text1"/>
          <w:sz w:val="24"/>
          <w:szCs w:val="24"/>
        </w:rPr>
        <w:t>非正常情况下，氨的小时浓度值出现超标，对区域环境的影响较正常情况增幅较大，故项目运营期，必须严格管理，采取措施减少非正常排放情况的发生。</w:t>
      </w:r>
      <w:r>
        <w:rPr>
          <w:rFonts w:ascii="Times New Roman" w:eastAsia="宋体" w:hAnsi="Times New Roman" w:cs="Times New Roman"/>
          <w:iCs/>
          <w:color w:val="000000" w:themeColor="text1"/>
          <w:sz w:val="24"/>
          <w:szCs w:val="24"/>
        </w:rPr>
        <w:t>厂界外网格区域的小时最大浓度预测值满足环境质量标准，无超标点，本项目不需设置大气环境防护距离</w:t>
      </w:r>
      <w:r>
        <w:rPr>
          <w:rFonts w:ascii="Times New Roman" w:eastAsia="宋体" w:hAnsi="Times New Roman" w:cs="Times New Roman"/>
          <w:color w:val="000000" w:themeColor="text1"/>
          <w:sz w:val="24"/>
          <w:szCs w:val="24"/>
        </w:rPr>
        <w:t>，但应设置</w:t>
      </w:r>
      <w:r>
        <w:rPr>
          <w:rFonts w:ascii="Times New Roman" w:eastAsia="宋体" w:hAnsi="Times New Roman" w:cs="Times New Roman"/>
          <w:color w:val="000000" w:themeColor="text1"/>
          <w:sz w:val="24"/>
          <w:szCs w:val="24"/>
        </w:rPr>
        <w:t>400m</w:t>
      </w:r>
      <w:r>
        <w:rPr>
          <w:rFonts w:ascii="Times New Roman" w:eastAsia="宋体" w:hAnsi="Times New Roman" w:cs="Times New Roman"/>
          <w:color w:val="000000" w:themeColor="text1"/>
          <w:sz w:val="24"/>
          <w:szCs w:val="24"/>
        </w:rPr>
        <w:t>的卫生防护距离。</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综上所述，本项目对大气环境的影响是可以接受的。</w:t>
      </w:r>
    </w:p>
    <w:p w:rsidR="00C861DA" w:rsidRDefault="0044752E">
      <w:pPr>
        <w:pStyle w:val="39"/>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）地表水环境影响</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rPr>
        <w:t>本项目地表水均不外排，对周围水体影响较小，不会改变周围水体水环境功能。</w:t>
      </w:r>
    </w:p>
    <w:p w:rsidR="00C861DA" w:rsidRDefault="0044752E">
      <w:pPr>
        <w:spacing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）声环境影响</w:t>
      </w:r>
    </w:p>
    <w:p w:rsidR="00C861DA" w:rsidRDefault="0044752E">
      <w:pPr>
        <w:pStyle w:val="af4"/>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本项目采取有效的噪声防治措施后，根据预测分析结果可知，项目厂界昼夜噪声预测值均可达《工业企业厂界环境噪声排放标准》</w:t>
      </w:r>
      <w:r>
        <w:rPr>
          <w:rFonts w:ascii="Times New Roman" w:eastAsia="宋体" w:hAnsi="Times New Roman" w:cs="Times New Roman"/>
          <w:color w:val="000000" w:themeColor="text1"/>
          <w:sz w:val="24"/>
          <w:szCs w:val="24"/>
        </w:rPr>
        <w:t>GB12348-2008</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类区标准，项目噪声对声环境敏感点无影响。</w:t>
      </w:r>
    </w:p>
    <w:p w:rsidR="00C861DA" w:rsidRDefault="0044752E">
      <w:pPr>
        <w:pStyle w:val="39"/>
        <w:spacing w:line="360" w:lineRule="auto"/>
        <w:ind w:firstLineChars="200" w:firstLine="480"/>
        <w:jc w:val="both"/>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4</w:t>
      </w:r>
      <w:r>
        <w:rPr>
          <w:rFonts w:ascii="Times New Roman" w:eastAsia="宋体" w:hAnsi="Times New Roman" w:cs="Times New Roman"/>
          <w:color w:val="000000" w:themeColor="text1"/>
          <w:sz w:val="24"/>
        </w:rPr>
        <w:t>）地下水环境影响</w:t>
      </w:r>
    </w:p>
    <w:p w:rsidR="00C861DA" w:rsidRDefault="0044752E">
      <w:pPr>
        <w:pStyle w:val="af4"/>
        <w:spacing w:after="0" w:line="360" w:lineRule="auto"/>
        <w:ind w:firstLineChars="200" w:firstLine="480"/>
        <w:jc w:val="both"/>
        <w:rPr>
          <w:rStyle w:val="afff5"/>
          <w:rFonts w:ascii="Times New Roman" w:eastAsia="宋体" w:hAnsi="Times New Roman" w:cs="Times New Roman"/>
          <w:color w:val="000000" w:themeColor="text1"/>
          <w:kern w:val="0"/>
          <w:sz w:val="24"/>
          <w:szCs w:val="24"/>
          <w:u w:val="none"/>
        </w:rPr>
      </w:pPr>
      <w:r>
        <w:rPr>
          <w:rStyle w:val="afff5"/>
          <w:rFonts w:ascii="Times New Roman" w:eastAsia="宋体" w:hAnsi="Times New Roman" w:cs="Times New Roman"/>
          <w:color w:val="000000" w:themeColor="text1"/>
          <w:kern w:val="0"/>
          <w:sz w:val="24"/>
          <w:szCs w:val="24"/>
          <w:u w:val="none"/>
        </w:rPr>
        <w:t>正常工况下特征污染物氨氮不外排，且项目本身对可能存在污染的施工过程及设施、建筑等进行了防渗、沉淀等措施，污染物从源头和末端均得到控制，污染物不会直接进入地下水。在正常状况下项目地下水污染源难以对地下水水质产生影响，正常状况下项目对地下水水质的影响小。</w:t>
      </w:r>
    </w:p>
    <w:p w:rsidR="00C861DA" w:rsidRDefault="0044752E">
      <w:pPr>
        <w:pStyle w:val="af4"/>
        <w:spacing w:after="0" w:line="360" w:lineRule="auto"/>
        <w:ind w:firstLineChars="200" w:firstLine="480"/>
        <w:jc w:val="both"/>
        <w:rPr>
          <w:rStyle w:val="afff5"/>
          <w:rFonts w:ascii="Times New Roman" w:eastAsia="宋体" w:hAnsi="Times New Roman" w:cs="Times New Roman"/>
          <w:color w:val="000000" w:themeColor="text1"/>
          <w:kern w:val="0"/>
          <w:sz w:val="24"/>
          <w:szCs w:val="24"/>
          <w:u w:val="none"/>
        </w:rPr>
      </w:pPr>
      <w:r>
        <w:rPr>
          <w:rStyle w:val="afff5"/>
          <w:rFonts w:ascii="Times New Roman" w:eastAsia="宋体" w:hAnsi="Times New Roman" w:cs="Times New Roman"/>
          <w:color w:val="000000" w:themeColor="text1"/>
          <w:kern w:val="0"/>
          <w:sz w:val="24"/>
          <w:szCs w:val="24"/>
          <w:u w:val="none"/>
        </w:rPr>
        <w:t>非正常工况下特征污染物氨氮由于项目防渗功能下降而持续泄</w:t>
      </w:r>
      <w:r>
        <w:rPr>
          <w:rStyle w:val="afff5"/>
          <w:rFonts w:ascii="Times New Roman" w:eastAsia="宋体" w:hAnsi="Times New Roman" w:cs="Times New Roman"/>
          <w:color w:val="000000" w:themeColor="text1"/>
          <w:kern w:val="0"/>
          <w:sz w:val="24"/>
          <w:szCs w:val="24"/>
          <w:u w:val="none"/>
        </w:rPr>
        <w:t>露，在</w:t>
      </w:r>
      <w:r>
        <w:rPr>
          <w:rStyle w:val="afff5"/>
          <w:rFonts w:ascii="Times New Roman" w:eastAsia="宋体" w:hAnsi="Times New Roman" w:cs="Times New Roman"/>
          <w:color w:val="000000" w:themeColor="text1"/>
          <w:kern w:val="0"/>
          <w:sz w:val="24"/>
          <w:szCs w:val="24"/>
          <w:u w:val="none"/>
        </w:rPr>
        <w:t>7300</w:t>
      </w:r>
      <w:r>
        <w:rPr>
          <w:rStyle w:val="afff5"/>
          <w:rFonts w:ascii="Times New Roman" w:eastAsia="宋体" w:hAnsi="Times New Roman" w:cs="Times New Roman"/>
          <w:color w:val="000000" w:themeColor="text1"/>
          <w:kern w:val="0"/>
          <w:sz w:val="24"/>
          <w:szCs w:val="24"/>
          <w:u w:val="none"/>
        </w:rPr>
        <w:t>天（</w:t>
      </w:r>
      <w:r>
        <w:rPr>
          <w:rStyle w:val="afff5"/>
          <w:rFonts w:ascii="Times New Roman" w:eastAsia="宋体" w:hAnsi="Times New Roman" w:cs="Times New Roman"/>
          <w:color w:val="000000" w:themeColor="text1"/>
          <w:kern w:val="0"/>
          <w:sz w:val="24"/>
          <w:szCs w:val="24"/>
          <w:u w:val="none"/>
        </w:rPr>
        <w:t>20</w:t>
      </w:r>
      <w:r>
        <w:rPr>
          <w:rStyle w:val="afff5"/>
          <w:rFonts w:ascii="Times New Roman" w:eastAsia="宋体" w:hAnsi="Times New Roman" w:cs="Times New Roman"/>
          <w:color w:val="000000" w:themeColor="text1"/>
          <w:kern w:val="0"/>
          <w:sz w:val="24"/>
          <w:szCs w:val="24"/>
          <w:u w:val="none"/>
        </w:rPr>
        <w:t>年）预测时间内氨氮最大超标距离</w:t>
      </w:r>
      <w:r>
        <w:rPr>
          <w:rStyle w:val="afff5"/>
          <w:rFonts w:ascii="Times New Roman" w:eastAsia="宋体" w:hAnsi="Times New Roman" w:cs="Times New Roman"/>
          <w:color w:val="000000" w:themeColor="text1"/>
          <w:kern w:val="0"/>
          <w:sz w:val="24"/>
          <w:szCs w:val="24"/>
          <w:u w:val="none"/>
        </w:rPr>
        <w:t>382m</w:t>
      </w:r>
      <w:r>
        <w:rPr>
          <w:rStyle w:val="afff5"/>
          <w:rFonts w:ascii="Times New Roman" w:eastAsia="宋体" w:hAnsi="Times New Roman" w:cs="Times New Roman"/>
          <w:color w:val="000000" w:themeColor="text1"/>
          <w:kern w:val="0"/>
          <w:sz w:val="24"/>
          <w:szCs w:val="24"/>
          <w:u w:val="none"/>
        </w:rPr>
        <w:t>，距污染源</w:t>
      </w:r>
      <w:r>
        <w:rPr>
          <w:rStyle w:val="afff5"/>
          <w:rFonts w:ascii="Times New Roman" w:eastAsia="宋体" w:hAnsi="Times New Roman" w:cs="Times New Roman"/>
          <w:color w:val="000000" w:themeColor="text1"/>
          <w:kern w:val="0"/>
          <w:sz w:val="24"/>
          <w:szCs w:val="24"/>
          <w:u w:val="none"/>
        </w:rPr>
        <w:t>300m</w:t>
      </w:r>
      <w:r>
        <w:rPr>
          <w:rStyle w:val="afff5"/>
          <w:rFonts w:ascii="Times New Roman" w:eastAsia="宋体" w:hAnsi="Times New Roman" w:cs="Times New Roman"/>
          <w:color w:val="000000" w:themeColor="text1"/>
          <w:kern w:val="0"/>
          <w:sz w:val="24"/>
          <w:szCs w:val="24"/>
          <w:u w:val="none"/>
        </w:rPr>
        <w:t>处的跟踪监测点</w:t>
      </w:r>
      <w:r>
        <w:rPr>
          <w:rFonts w:ascii="Times New Roman" w:eastAsia="宋体" w:hAnsi="Times New Roman" w:cs="Times New Roman"/>
          <w:color w:val="000000" w:themeColor="text1"/>
          <w:sz w:val="24"/>
        </w:rPr>
        <w:t>氨氮</w:t>
      </w:r>
      <w:r>
        <w:rPr>
          <w:rStyle w:val="afff5"/>
          <w:rFonts w:ascii="Times New Roman" w:eastAsia="宋体" w:hAnsi="Times New Roman" w:cs="Times New Roman"/>
          <w:color w:val="000000" w:themeColor="text1"/>
          <w:kern w:val="0"/>
          <w:sz w:val="24"/>
          <w:szCs w:val="24"/>
          <w:u w:val="none"/>
        </w:rPr>
        <w:t>预测结果</w:t>
      </w:r>
      <w:r>
        <w:rPr>
          <w:rFonts w:ascii="Times New Roman" w:eastAsia="宋体" w:hAnsi="Times New Roman" w:cs="Times New Roman"/>
          <w:bCs/>
          <w:color w:val="000000" w:themeColor="text1"/>
          <w:sz w:val="24"/>
          <w:szCs w:val="24"/>
        </w:rPr>
        <w:t>自</w:t>
      </w:r>
      <w:r>
        <w:rPr>
          <w:rFonts w:ascii="Times New Roman" w:eastAsia="宋体" w:hAnsi="Times New Roman" w:cs="Times New Roman"/>
          <w:bCs/>
          <w:color w:val="000000" w:themeColor="text1"/>
          <w:sz w:val="24"/>
          <w:szCs w:val="24"/>
        </w:rPr>
        <w:t>5150</w:t>
      </w:r>
      <w:r>
        <w:rPr>
          <w:rFonts w:ascii="Times New Roman" w:eastAsia="宋体" w:hAnsi="Times New Roman" w:cs="Times New Roman"/>
          <w:bCs/>
          <w:color w:val="000000" w:themeColor="text1"/>
          <w:sz w:val="24"/>
          <w:szCs w:val="24"/>
        </w:rPr>
        <w:t>天开始超标</w:t>
      </w:r>
      <w:r>
        <w:rPr>
          <w:rStyle w:val="afff5"/>
          <w:rFonts w:ascii="Times New Roman" w:eastAsia="宋体" w:hAnsi="Times New Roman" w:cs="Times New Roman"/>
          <w:color w:val="000000" w:themeColor="text1"/>
          <w:kern w:val="0"/>
          <w:sz w:val="24"/>
          <w:szCs w:val="24"/>
          <w:u w:val="none"/>
        </w:rPr>
        <w:t>。由于表层第四系松散粘土层渗透系数较小，且项目区地形平缓，水力坡度较小，特征污染物在含水层中扩散距离有限，但一旦造成污染，地下水污染修复难度较大，因此，工程建设过程中一定要做好防渗措施，且制定完善的监测制度，在项目运营期定期对涉及生产废水的设施进行防渗检查。</w:t>
      </w:r>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hint="eastAsia"/>
          <w:color w:val="000000" w:themeColor="text1"/>
          <w:sz w:val="24"/>
          <w:szCs w:val="24"/>
        </w:rPr>
        <w:t>（</w:t>
      </w:r>
      <w:r>
        <w:rPr>
          <w:rFonts w:ascii="Times New Roman" w:eastAsia="宋体" w:hint="eastAsia"/>
          <w:color w:val="000000" w:themeColor="text1"/>
          <w:sz w:val="24"/>
          <w:szCs w:val="24"/>
        </w:rPr>
        <w:t>5</w:t>
      </w:r>
      <w:r>
        <w:rPr>
          <w:rFonts w:ascii="Times New Roman" w:eastAsia="宋体" w:hint="eastAsia"/>
          <w:color w:val="000000" w:themeColor="text1"/>
          <w:sz w:val="24"/>
          <w:szCs w:val="24"/>
        </w:rPr>
        <w:t>）固体废物影响</w:t>
      </w:r>
    </w:p>
    <w:p w:rsidR="00C861DA" w:rsidRDefault="0044752E">
      <w:pPr>
        <w:spacing w:line="360" w:lineRule="auto"/>
        <w:ind w:firstLineChars="200" w:firstLine="480"/>
        <w:jc w:val="both"/>
        <w:rPr>
          <w:rFonts w:ascii="Times New Roman" w:eastAsia="宋体"/>
          <w:color w:val="000000" w:themeColor="text1"/>
          <w:sz w:val="24"/>
        </w:rPr>
      </w:pPr>
      <w:r>
        <w:rPr>
          <w:rFonts w:ascii="Times New Roman" w:eastAsia="宋体" w:hint="eastAsia"/>
          <w:color w:val="000000" w:themeColor="text1"/>
          <w:sz w:val="24"/>
        </w:rPr>
        <w:t>本项目</w:t>
      </w:r>
      <w:r>
        <w:rPr>
          <w:rFonts w:ascii="Times New Roman" w:eastAsia="宋体"/>
          <w:color w:val="000000" w:themeColor="text1"/>
          <w:sz w:val="24"/>
        </w:rPr>
        <w:t>固体废物的收集</w:t>
      </w:r>
      <w:r>
        <w:rPr>
          <w:rFonts w:ascii="Times New Roman" w:eastAsia="宋体" w:hint="eastAsia"/>
          <w:color w:val="000000" w:themeColor="text1"/>
          <w:sz w:val="24"/>
        </w:rPr>
        <w:t>、</w:t>
      </w:r>
      <w:r>
        <w:rPr>
          <w:rFonts w:ascii="Times New Roman" w:eastAsia="宋体"/>
          <w:color w:val="000000" w:themeColor="text1"/>
          <w:sz w:val="24"/>
        </w:rPr>
        <w:t>贮存</w:t>
      </w:r>
      <w:r>
        <w:rPr>
          <w:rFonts w:ascii="Times New Roman" w:eastAsia="宋体" w:hint="eastAsia"/>
          <w:color w:val="000000" w:themeColor="text1"/>
          <w:sz w:val="24"/>
        </w:rPr>
        <w:t>和处置</w:t>
      </w:r>
      <w:r>
        <w:rPr>
          <w:rFonts w:ascii="Times New Roman" w:eastAsia="宋体"/>
          <w:color w:val="000000" w:themeColor="text1"/>
          <w:sz w:val="24"/>
        </w:rPr>
        <w:t>严格按照《一般工业固体废物贮存、处置场污染控制标准》（</w:t>
      </w:r>
      <w:r>
        <w:rPr>
          <w:rFonts w:ascii="Times New Roman" w:eastAsia="宋体"/>
          <w:color w:val="000000" w:themeColor="text1"/>
          <w:sz w:val="24"/>
        </w:rPr>
        <w:t>GBl8599-2001</w:t>
      </w:r>
      <w:r>
        <w:rPr>
          <w:rFonts w:ascii="Times New Roman" w:eastAsia="宋体"/>
          <w:color w:val="000000" w:themeColor="text1"/>
          <w:sz w:val="24"/>
        </w:rPr>
        <w:t>）及其修改单标准、《危险废物贮存污染控制标准》（</w:t>
      </w:r>
      <w:r>
        <w:rPr>
          <w:rFonts w:ascii="Times New Roman" w:eastAsia="宋体"/>
          <w:color w:val="000000" w:themeColor="text1"/>
          <w:sz w:val="24"/>
        </w:rPr>
        <w:t>GB18597-2001</w:t>
      </w:r>
      <w:r>
        <w:rPr>
          <w:rFonts w:ascii="Times New Roman" w:eastAsia="宋体"/>
          <w:color w:val="000000" w:themeColor="text1"/>
          <w:sz w:val="24"/>
        </w:rPr>
        <w:t>）及其修改单标准以及《危险废物收集</w:t>
      </w:r>
      <w:r>
        <w:rPr>
          <w:rFonts w:ascii="Times New Roman" w:eastAsia="宋体"/>
          <w:color w:val="000000" w:themeColor="text1"/>
          <w:sz w:val="24"/>
        </w:rPr>
        <w:t xml:space="preserve"> </w:t>
      </w:r>
      <w:r>
        <w:rPr>
          <w:rFonts w:ascii="Times New Roman" w:eastAsia="宋体"/>
          <w:color w:val="000000" w:themeColor="text1"/>
          <w:sz w:val="24"/>
        </w:rPr>
        <w:t>贮存</w:t>
      </w:r>
      <w:r>
        <w:rPr>
          <w:rFonts w:ascii="Times New Roman" w:eastAsia="宋体"/>
          <w:color w:val="000000" w:themeColor="text1"/>
          <w:sz w:val="24"/>
        </w:rPr>
        <w:t xml:space="preserve"> </w:t>
      </w:r>
      <w:r>
        <w:rPr>
          <w:rFonts w:ascii="Times New Roman" w:eastAsia="宋体"/>
          <w:color w:val="000000" w:themeColor="text1"/>
          <w:sz w:val="24"/>
        </w:rPr>
        <w:t>运输技术规范》（</w:t>
      </w:r>
      <w:r>
        <w:rPr>
          <w:rFonts w:ascii="Times New Roman" w:eastAsia="宋体"/>
          <w:color w:val="000000" w:themeColor="text1"/>
          <w:sz w:val="24"/>
        </w:rPr>
        <w:t>HJ2025-2012</w:t>
      </w:r>
      <w:r>
        <w:rPr>
          <w:rFonts w:ascii="Times New Roman" w:eastAsia="宋体"/>
          <w:color w:val="000000" w:themeColor="text1"/>
          <w:sz w:val="24"/>
        </w:rPr>
        <w:t>）等相关规范进行，在加强管理并落实好各项污染防治措施和安全处置措施的前提下，项目产生的固体废物对周围环境的影响较小。</w:t>
      </w:r>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hint="eastAsia"/>
          <w:color w:val="000000" w:themeColor="text1"/>
          <w:sz w:val="24"/>
          <w:szCs w:val="24"/>
        </w:rPr>
        <w:t>（</w:t>
      </w:r>
      <w:r>
        <w:rPr>
          <w:rFonts w:ascii="Times New Roman" w:eastAsia="宋体" w:hint="eastAsia"/>
          <w:color w:val="000000" w:themeColor="text1"/>
          <w:sz w:val="24"/>
          <w:szCs w:val="24"/>
        </w:rPr>
        <w:t>6</w:t>
      </w:r>
      <w:r>
        <w:rPr>
          <w:rFonts w:ascii="Times New Roman" w:eastAsia="宋体" w:hint="eastAsia"/>
          <w:color w:val="000000" w:themeColor="text1"/>
          <w:sz w:val="24"/>
          <w:szCs w:val="24"/>
        </w:rPr>
        <w:t>）生态环境影响</w:t>
      </w:r>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hint="eastAsia"/>
          <w:color w:val="000000" w:themeColor="text1"/>
          <w:sz w:val="24"/>
        </w:rPr>
        <w:t>本项目位于安宁工业园区内，所在区域内无珍稀动、植物和自然保护区，</w:t>
      </w:r>
      <w:r>
        <w:rPr>
          <w:rFonts w:ascii="Times New Roman" w:eastAsia="宋体" w:hint="eastAsia"/>
          <w:color w:val="000000" w:themeColor="text1"/>
          <w:sz w:val="24"/>
          <w:szCs w:val="24"/>
        </w:rPr>
        <w:t>废气达标排放，废水不外排，对生态环境影响不大。</w:t>
      </w:r>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hint="eastAsia"/>
          <w:color w:val="000000" w:themeColor="text1"/>
          <w:sz w:val="24"/>
          <w:szCs w:val="24"/>
        </w:rPr>
        <w:t>（</w:t>
      </w:r>
      <w:r>
        <w:rPr>
          <w:rFonts w:ascii="Times New Roman" w:eastAsia="宋体" w:hint="eastAsia"/>
          <w:color w:val="000000" w:themeColor="text1"/>
          <w:sz w:val="24"/>
          <w:szCs w:val="24"/>
        </w:rPr>
        <w:t>7</w:t>
      </w:r>
      <w:r>
        <w:rPr>
          <w:rFonts w:ascii="Times New Roman" w:eastAsia="宋体" w:hint="eastAsia"/>
          <w:color w:val="000000" w:themeColor="text1"/>
          <w:sz w:val="24"/>
          <w:szCs w:val="24"/>
        </w:rPr>
        <w:t>）土壤环境影响</w:t>
      </w:r>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hint="eastAsia"/>
          <w:color w:val="000000" w:themeColor="text1"/>
          <w:sz w:val="24"/>
        </w:rPr>
        <w:t>本项目</w:t>
      </w:r>
      <w:r>
        <w:rPr>
          <w:rFonts w:ascii="Times New Roman" w:eastAsia="宋体" w:hint="eastAsia"/>
          <w:color w:val="000000" w:themeColor="text1"/>
          <w:sz w:val="24"/>
          <w:szCs w:val="24"/>
        </w:rPr>
        <w:t>废气达标排放，废水不外排，固体废物处置率</w:t>
      </w:r>
      <w:r>
        <w:rPr>
          <w:rFonts w:ascii="Times New Roman" w:eastAsia="宋体" w:hint="eastAsia"/>
          <w:color w:val="000000" w:themeColor="text1"/>
          <w:sz w:val="24"/>
          <w:szCs w:val="24"/>
        </w:rPr>
        <w:t>100%</w:t>
      </w:r>
      <w:r>
        <w:rPr>
          <w:rFonts w:ascii="Times New Roman" w:eastAsia="宋体" w:hint="eastAsia"/>
          <w:color w:val="000000" w:themeColor="text1"/>
          <w:sz w:val="24"/>
          <w:szCs w:val="24"/>
        </w:rPr>
        <w:t>，</w:t>
      </w:r>
      <w:r>
        <w:rPr>
          <w:rFonts w:ascii="Times New Roman" w:eastAsia="宋体" w:hint="eastAsia"/>
          <w:color w:val="000000" w:themeColor="text1"/>
          <w:sz w:val="24"/>
          <w:szCs w:val="22"/>
        </w:rPr>
        <w:t>污染物进入土壤环境的机率较小，对土壤影响较小。</w:t>
      </w:r>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hint="eastAsia"/>
          <w:color w:val="000000" w:themeColor="text1"/>
          <w:sz w:val="24"/>
          <w:szCs w:val="24"/>
        </w:rPr>
        <w:t>（</w:t>
      </w:r>
      <w:r>
        <w:rPr>
          <w:rFonts w:ascii="Times New Roman" w:eastAsia="宋体" w:hint="eastAsia"/>
          <w:color w:val="000000" w:themeColor="text1"/>
          <w:sz w:val="24"/>
          <w:szCs w:val="24"/>
        </w:rPr>
        <w:t>8</w:t>
      </w:r>
      <w:r>
        <w:rPr>
          <w:rFonts w:ascii="Times New Roman" w:eastAsia="宋体" w:hint="eastAsia"/>
          <w:color w:val="000000" w:themeColor="text1"/>
          <w:sz w:val="24"/>
          <w:szCs w:val="24"/>
        </w:rPr>
        <w:t>）环境风险评价</w:t>
      </w:r>
    </w:p>
    <w:p w:rsidR="00C861DA" w:rsidRDefault="0044752E">
      <w:pPr>
        <w:spacing w:line="360" w:lineRule="auto"/>
        <w:ind w:firstLineChars="200" w:firstLine="480"/>
        <w:jc w:val="both"/>
        <w:rPr>
          <w:rFonts w:ascii="Times New Roman" w:eastAsia="宋体"/>
          <w:color w:val="000000" w:themeColor="text1"/>
          <w:sz w:val="24"/>
          <w:szCs w:val="24"/>
        </w:rPr>
      </w:pPr>
      <w:r>
        <w:rPr>
          <w:rFonts w:ascii="Times New Roman" w:eastAsia="宋体" w:hint="eastAsia"/>
          <w:color w:val="000000" w:themeColor="text1"/>
          <w:sz w:val="24"/>
          <w:szCs w:val="24"/>
        </w:rPr>
        <w:t>在切实履行本报告所提环境风险防范措施的基础上，本项目环境风险是可以接受的。</w:t>
      </w:r>
    </w:p>
    <w:p w:rsidR="00C861DA" w:rsidRDefault="0044752E">
      <w:pPr>
        <w:pStyle w:val="22"/>
        <w:rPr>
          <w:rFonts w:ascii="Times New Roman" w:eastAsia="宋体" w:hAnsi="Times New Roman"/>
          <w:bCs w:val="0"/>
          <w:color w:val="000000" w:themeColor="text1"/>
          <w:sz w:val="28"/>
          <w:szCs w:val="28"/>
        </w:rPr>
      </w:pPr>
      <w:bookmarkStart w:id="892" w:name="_Toc30738"/>
      <w:bookmarkStart w:id="893" w:name="_Toc160197523"/>
      <w:bookmarkStart w:id="894" w:name="_Toc163300213"/>
      <w:bookmarkStart w:id="895" w:name="_Toc165870307"/>
      <w:bookmarkStart w:id="896" w:name="_Toc26185"/>
      <w:bookmarkStart w:id="897" w:name="_Toc25096"/>
      <w:bookmarkStart w:id="898" w:name="_Toc67411172"/>
      <w:bookmarkStart w:id="899" w:name="_Toc6826964"/>
      <w:bookmarkStart w:id="900" w:name="_Toc12901"/>
      <w:bookmarkStart w:id="901" w:name="_Toc115584101"/>
      <w:bookmarkStart w:id="902" w:name="_Toc30324716"/>
      <w:bookmarkStart w:id="903" w:name="_Toc33691474"/>
      <w:bookmarkStart w:id="904" w:name="_Toc79490087"/>
      <w:bookmarkStart w:id="905" w:name="_Toc79491987"/>
      <w:bookmarkStart w:id="906" w:name="_Toc81054569"/>
      <w:bookmarkStart w:id="907" w:name="_Toc85189057"/>
      <w:bookmarkStart w:id="908" w:name="_Toc160018755"/>
      <w:r>
        <w:rPr>
          <w:rFonts w:ascii="Times New Roman" w:eastAsia="宋体" w:hAnsi="Times New Roman" w:hint="eastAsia"/>
          <w:bCs w:val="0"/>
          <w:color w:val="000000" w:themeColor="text1"/>
          <w:sz w:val="28"/>
          <w:szCs w:val="28"/>
        </w:rPr>
        <w:t>14.6</w:t>
      </w:r>
      <w:r>
        <w:rPr>
          <w:rFonts w:ascii="Times New Roman" w:eastAsia="宋体" w:hAnsi="Times New Roman" w:hint="eastAsia"/>
          <w:bCs w:val="0"/>
          <w:color w:val="000000" w:themeColor="text1"/>
          <w:sz w:val="28"/>
          <w:szCs w:val="28"/>
        </w:rPr>
        <w:t>公众参与</w:t>
      </w:r>
      <w:bookmarkStart w:id="909" w:name="_Hlt67405372"/>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rsidR="00C861DA" w:rsidRDefault="0044752E">
      <w:pPr>
        <w:spacing w:line="360" w:lineRule="auto"/>
        <w:ind w:firstLineChars="200" w:firstLine="480"/>
        <w:rPr>
          <w:rFonts w:ascii="Times New Roman" w:eastAsia="宋体"/>
          <w:color w:val="000000" w:themeColor="text1"/>
          <w:sz w:val="24"/>
          <w:szCs w:val="24"/>
        </w:rPr>
      </w:pPr>
      <w:bookmarkStart w:id="910" w:name="_Toc25511"/>
      <w:bookmarkStart w:id="911" w:name="_Toc15400"/>
      <w:bookmarkStart w:id="912" w:name="_Toc17884"/>
      <w:bookmarkStart w:id="913" w:name="_Toc11857"/>
      <w:r>
        <w:rPr>
          <w:rFonts w:ascii="Times New Roman" w:eastAsia="宋体" w:hint="eastAsia"/>
          <w:color w:val="000000" w:themeColor="text1"/>
          <w:sz w:val="24"/>
          <w:szCs w:val="24"/>
        </w:rPr>
        <w:t>在环评期间，建设单位根据生态环境部第</w:t>
      </w:r>
      <w:r>
        <w:rPr>
          <w:rFonts w:ascii="Times New Roman" w:eastAsia="宋体" w:hint="eastAsia"/>
          <w:color w:val="000000" w:themeColor="text1"/>
          <w:sz w:val="24"/>
          <w:szCs w:val="24"/>
        </w:rPr>
        <w:t>4</w:t>
      </w:r>
      <w:r>
        <w:rPr>
          <w:rFonts w:ascii="Times New Roman" w:eastAsia="宋体" w:hint="eastAsia"/>
          <w:color w:val="000000" w:themeColor="text1"/>
          <w:sz w:val="24"/>
          <w:szCs w:val="24"/>
        </w:rPr>
        <w:t>号部令《环境影响评价公众参与办法》（</w:t>
      </w:r>
      <w:r>
        <w:rPr>
          <w:rFonts w:ascii="Times New Roman" w:eastAsia="宋体" w:hint="eastAsia"/>
          <w:color w:val="000000" w:themeColor="text1"/>
          <w:sz w:val="24"/>
          <w:szCs w:val="24"/>
        </w:rPr>
        <w:t>2</w:t>
      </w:r>
      <w:r>
        <w:rPr>
          <w:rFonts w:ascii="Times New Roman" w:eastAsia="宋体"/>
          <w:color w:val="000000" w:themeColor="text1"/>
          <w:sz w:val="24"/>
          <w:szCs w:val="24"/>
        </w:rPr>
        <w:t>019</w:t>
      </w:r>
      <w:r>
        <w:rPr>
          <w:rFonts w:ascii="Times New Roman" w:eastAsia="宋体" w:hint="eastAsia"/>
          <w:color w:val="000000" w:themeColor="text1"/>
          <w:sz w:val="24"/>
          <w:szCs w:val="24"/>
        </w:rPr>
        <w:t>年</w:t>
      </w:r>
      <w:r>
        <w:rPr>
          <w:rFonts w:ascii="Times New Roman" w:eastAsia="宋体" w:hint="eastAsia"/>
          <w:color w:val="000000" w:themeColor="text1"/>
          <w:sz w:val="24"/>
          <w:szCs w:val="24"/>
        </w:rPr>
        <w:t>1</w:t>
      </w:r>
      <w:r>
        <w:rPr>
          <w:rFonts w:ascii="Times New Roman" w:eastAsia="宋体" w:hint="eastAsia"/>
          <w:color w:val="000000" w:themeColor="text1"/>
          <w:sz w:val="24"/>
          <w:szCs w:val="24"/>
        </w:rPr>
        <w:t>月</w:t>
      </w:r>
      <w:r>
        <w:rPr>
          <w:rFonts w:ascii="Times New Roman" w:eastAsia="宋体" w:hint="eastAsia"/>
          <w:color w:val="000000" w:themeColor="text1"/>
          <w:sz w:val="24"/>
          <w:szCs w:val="24"/>
        </w:rPr>
        <w:t>1</w:t>
      </w:r>
      <w:r>
        <w:rPr>
          <w:rFonts w:ascii="Times New Roman" w:eastAsia="宋体" w:hint="eastAsia"/>
          <w:color w:val="000000" w:themeColor="text1"/>
          <w:sz w:val="24"/>
          <w:szCs w:val="24"/>
        </w:rPr>
        <w:t>日实施）进行了公众参与第一次信息公开，并附有问卷调查网络连接及反馈途径，在项目公示期间，没有收到公众任何反馈意见。</w:t>
      </w:r>
    </w:p>
    <w:p w:rsidR="00C861DA" w:rsidRDefault="0044752E">
      <w:pPr>
        <w:autoSpaceDE/>
        <w:autoSpaceDN/>
        <w:adjustRightInd/>
        <w:spacing w:line="360" w:lineRule="auto"/>
        <w:ind w:firstLineChars="200" w:firstLine="480"/>
        <w:rPr>
          <w:rFonts w:ascii="Times New Roman" w:eastAsia="宋体" w:cs="仿宋"/>
          <w:color w:val="000000" w:themeColor="text1"/>
          <w:sz w:val="24"/>
          <w:szCs w:val="24"/>
        </w:rPr>
      </w:pPr>
      <w:r>
        <w:rPr>
          <w:rFonts w:ascii="Times New Roman" w:eastAsia="宋体" w:hint="eastAsia"/>
          <w:color w:val="000000" w:themeColor="text1"/>
          <w:sz w:val="24"/>
          <w:szCs w:val="24"/>
        </w:rPr>
        <w:t>在项目建设和运营期间，业主应做好相关的环境保护工作，项目建设和运行过程中应严格按照本报告提出的各项要求进行污染治理和管理，确保各项污染物达标排放，不对周围居民生活造成不良影响，以解除公众的顾虑。</w:t>
      </w:r>
    </w:p>
    <w:p w:rsidR="00C861DA" w:rsidRDefault="0044752E">
      <w:pPr>
        <w:pStyle w:val="22"/>
        <w:rPr>
          <w:rFonts w:ascii="Times New Roman" w:eastAsia="宋体" w:hAnsi="Times New Roman"/>
          <w:bCs w:val="0"/>
          <w:color w:val="000000" w:themeColor="text1"/>
          <w:sz w:val="28"/>
          <w:szCs w:val="28"/>
        </w:rPr>
      </w:pPr>
      <w:bookmarkStart w:id="914" w:name="_Toc6826965"/>
      <w:r>
        <w:rPr>
          <w:rFonts w:ascii="Times New Roman" w:eastAsia="宋体" w:hAnsi="Times New Roman" w:hint="eastAsia"/>
          <w:bCs w:val="0"/>
          <w:color w:val="000000" w:themeColor="text1"/>
          <w:sz w:val="28"/>
          <w:szCs w:val="28"/>
        </w:rPr>
        <w:t>14.7</w:t>
      </w:r>
      <w:r>
        <w:rPr>
          <w:rFonts w:ascii="Times New Roman" w:eastAsia="宋体" w:hAnsi="Times New Roman" w:hint="eastAsia"/>
          <w:bCs w:val="0"/>
          <w:color w:val="000000" w:themeColor="text1"/>
          <w:sz w:val="28"/>
          <w:szCs w:val="28"/>
        </w:rPr>
        <w:t>污染物总量控制</w:t>
      </w:r>
      <w:bookmarkEnd w:id="910"/>
      <w:bookmarkEnd w:id="911"/>
      <w:bookmarkEnd w:id="912"/>
      <w:bookmarkEnd w:id="913"/>
      <w:bookmarkEnd w:id="914"/>
    </w:p>
    <w:p w:rsidR="00C861DA" w:rsidRDefault="0044752E">
      <w:pPr>
        <w:pStyle w:val="af4"/>
        <w:spacing w:after="0"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拟建工程</w:t>
      </w:r>
      <w:r>
        <w:rPr>
          <w:rFonts w:ascii="Times New Roman" w:eastAsia="宋体"/>
          <w:color w:val="000000" w:themeColor="text1"/>
          <w:sz w:val="24"/>
          <w:szCs w:val="24"/>
        </w:rPr>
        <w:t>颗粒物</w:t>
      </w:r>
      <w:r>
        <w:rPr>
          <w:rFonts w:ascii="Times New Roman" w:eastAsia="宋体" w:hint="eastAsia"/>
          <w:color w:val="000000" w:themeColor="text1"/>
          <w:sz w:val="24"/>
          <w:szCs w:val="24"/>
        </w:rPr>
        <w:t>排放量为</w:t>
      </w:r>
      <w:r>
        <w:rPr>
          <w:rFonts w:ascii="Times New Roman" w:eastAsia="宋体" w:hint="eastAsia"/>
          <w:color w:val="000000" w:themeColor="text1"/>
          <w:sz w:val="24"/>
          <w:szCs w:val="24"/>
        </w:rPr>
        <w:t>8.63t/a</w:t>
      </w:r>
      <w:r>
        <w:rPr>
          <w:rFonts w:ascii="Times New Roman" w:eastAsia="宋体" w:hint="eastAsia"/>
          <w:color w:val="000000" w:themeColor="text1"/>
          <w:sz w:val="24"/>
          <w:szCs w:val="24"/>
        </w:rPr>
        <w:t>，氨为本项目特征污染物总排放量为</w:t>
      </w:r>
      <w:r>
        <w:rPr>
          <w:rFonts w:ascii="Times New Roman" w:eastAsia="宋体" w:hint="eastAsia"/>
          <w:color w:val="000000" w:themeColor="text1"/>
          <w:sz w:val="24"/>
          <w:szCs w:val="24"/>
        </w:rPr>
        <w:t>72.52t/a</w:t>
      </w:r>
      <w:r>
        <w:rPr>
          <w:rFonts w:ascii="Times New Roman" w:eastAsia="宋体" w:hint="eastAsia"/>
          <w:color w:val="000000" w:themeColor="text1"/>
          <w:sz w:val="24"/>
          <w:szCs w:val="24"/>
        </w:rPr>
        <w:t>。项目建成投产后</w:t>
      </w:r>
      <w:r>
        <w:rPr>
          <w:rFonts w:ascii="Times New Roman" w:eastAsia="宋体"/>
          <w:color w:val="000000" w:themeColor="text1"/>
          <w:sz w:val="24"/>
          <w:szCs w:val="24"/>
        </w:rPr>
        <w:t>生产废水</w:t>
      </w:r>
      <w:r>
        <w:rPr>
          <w:rFonts w:ascii="Times New Roman" w:eastAsia="宋体" w:hint="eastAsia"/>
          <w:color w:val="000000" w:themeColor="text1"/>
          <w:sz w:val="24"/>
          <w:szCs w:val="24"/>
        </w:rPr>
        <w:t>输送至祥丰金麦有限公司湿法球磨站作为补充水，</w:t>
      </w:r>
      <w:r>
        <w:rPr>
          <w:rFonts w:ascii="Times New Roman" w:eastAsia="宋体"/>
          <w:color w:val="000000" w:themeColor="text1"/>
          <w:sz w:val="24"/>
          <w:szCs w:val="24"/>
        </w:rPr>
        <w:t>生活污水</w:t>
      </w:r>
      <w:r>
        <w:rPr>
          <w:rFonts w:ascii="Times New Roman" w:eastAsia="宋体" w:hint="eastAsia"/>
          <w:color w:val="000000" w:themeColor="text1"/>
          <w:sz w:val="24"/>
          <w:szCs w:val="24"/>
        </w:rPr>
        <w:t>平均产生量</w:t>
      </w:r>
      <w:r>
        <w:rPr>
          <w:rFonts w:ascii="Times New Roman" w:eastAsia="宋体"/>
          <w:color w:val="000000" w:themeColor="text1"/>
          <w:sz w:val="24"/>
          <w:szCs w:val="24"/>
        </w:rPr>
        <w:t>约为</w:t>
      </w:r>
      <w:r>
        <w:rPr>
          <w:rFonts w:ascii="Times New Roman" w:eastAsia="宋体" w:hint="eastAsia"/>
          <w:color w:val="000000" w:themeColor="text1"/>
          <w:sz w:val="24"/>
          <w:szCs w:val="24"/>
        </w:rPr>
        <w:t>367.33</w:t>
      </w:r>
      <w:r>
        <w:rPr>
          <w:rFonts w:ascii="Times New Roman" w:eastAsia="宋体"/>
          <w:color w:val="000000" w:themeColor="text1"/>
          <w:sz w:val="24"/>
          <w:szCs w:val="24"/>
        </w:rPr>
        <w:t>m3/d</w:t>
      </w:r>
      <w:r>
        <w:rPr>
          <w:rFonts w:ascii="Times New Roman" w:eastAsia="宋体" w:hint="eastAsia"/>
          <w:color w:val="000000" w:themeColor="text1"/>
          <w:sz w:val="24"/>
          <w:szCs w:val="24"/>
        </w:rPr>
        <w:t>，“</w:t>
      </w:r>
      <w:r>
        <w:rPr>
          <w:rFonts w:ascii="Times New Roman" w:eastAsia="宋体" w:hint="eastAsia"/>
          <w:color w:val="000000" w:themeColor="text1"/>
          <w:sz w:val="24"/>
          <w:szCs w:val="24"/>
        </w:rPr>
        <w:t>3</w:t>
      </w:r>
      <w:r>
        <w:rPr>
          <w:rFonts w:ascii="Times New Roman" w:eastAsia="宋体"/>
          <w:color w:val="000000" w:themeColor="text1"/>
          <w:sz w:val="24"/>
          <w:szCs w:val="24"/>
        </w:rPr>
        <w:t>0</w:t>
      </w:r>
      <w:r>
        <w:rPr>
          <w:rFonts w:ascii="Times New Roman" w:eastAsia="宋体" w:hint="eastAsia"/>
          <w:color w:val="000000" w:themeColor="text1"/>
          <w:sz w:val="24"/>
          <w:szCs w:val="24"/>
        </w:rPr>
        <w:t>万吨合成氨装置项目”生活废水处置设施处置，废水均不外排，固废处置率达</w:t>
      </w:r>
      <w:r>
        <w:rPr>
          <w:rFonts w:ascii="Times New Roman" w:eastAsia="宋体" w:hint="eastAsia"/>
          <w:color w:val="000000" w:themeColor="text1"/>
          <w:sz w:val="24"/>
          <w:szCs w:val="24"/>
        </w:rPr>
        <w:t>1</w:t>
      </w:r>
      <w:r>
        <w:rPr>
          <w:rFonts w:ascii="Times New Roman" w:eastAsia="宋体"/>
          <w:color w:val="000000" w:themeColor="text1"/>
          <w:sz w:val="24"/>
          <w:szCs w:val="24"/>
        </w:rPr>
        <w:t>00%</w:t>
      </w:r>
      <w:r>
        <w:rPr>
          <w:rFonts w:ascii="Times New Roman" w:eastAsia="宋体"/>
          <w:color w:val="000000" w:themeColor="text1"/>
          <w:sz w:val="24"/>
          <w:szCs w:val="24"/>
        </w:rPr>
        <w:t>。</w:t>
      </w:r>
    </w:p>
    <w:p w:rsidR="00C861DA" w:rsidRDefault="0044752E">
      <w:pPr>
        <w:pStyle w:val="22"/>
        <w:rPr>
          <w:rFonts w:ascii="Times New Roman" w:eastAsia="宋体" w:hAnsi="Times New Roman"/>
          <w:bCs w:val="0"/>
          <w:color w:val="000000" w:themeColor="text1"/>
          <w:sz w:val="28"/>
          <w:szCs w:val="28"/>
        </w:rPr>
      </w:pPr>
      <w:bookmarkStart w:id="915" w:name="_Toc13363"/>
      <w:bookmarkStart w:id="916" w:name="_Toc28305"/>
      <w:bookmarkStart w:id="917" w:name="_Toc29467"/>
      <w:bookmarkStart w:id="918" w:name="_Toc6826966"/>
      <w:bookmarkStart w:id="919" w:name="_Toc33691475"/>
      <w:bookmarkStart w:id="920" w:name="_Toc115584103"/>
      <w:bookmarkStart w:id="921" w:name="_Toc529438308"/>
      <w:bookmarkStart w:id="922" w:name="_Toc23300"/>
      <w:bookmarkStart w:id="923" w:name="_Toc67411173"/>
      <w:bookmarkStart w:id="924" w:name="_Toc163300215"/>
      <w:bookmarkStart w:id="925" w:name="_Toc79491988"/>
      <w:bookmarkStart w:id="926" w:name="_Toc79490088"/>
      <w:bookmarkStart w:id="927" w:name="_Toc160018757"/>
      <w:bookmarkStart w:id="928" w:name="_Toc160197525"/>
      <w:bookmarkStart w:id="929" w:name="_Toc81054571"/>
      <w:bookmarkStart w:id="930" w:name="_Toc165870309"/>
      <w:bookmarkStart w:id="931" w:name="_Toc30324717"/>
      <w:bookmarkStart w:id="932" w:name="_Toc536380454"/>
      <w:bookmarkStart w:id="933" w:name="_Toc85189059"/>
      <w:r>
        <w:rPr>
          <w:rFonts w:ascii="Times New Roman" w:eastAsia="宋体" w:hAnsi="Times New Roman" w:hint="eastAsia"/>
          <w:bCs w:val="0"/>
          <w:color w:val="000000" w:themeColor="text1"/>
          <w:sz w:val="28"/>
          <w:szCs w:val="28"/>
        </w:rPr>
        <w:t>14.8</w:t>
      </w:r>
      <w:r>
        <w:rPr>
          <w:rFonts w:ascii="Times New Roman" w:eastAsia="宋体" w:hAnsi="Times New Roman" w:hint="eastAsia"/>
          <w:bCs w:val="0"/>
          <w:color w:val="000000" w:themeColor="text1"/>
          <w:sz w:val="28"/>
          <w:szCs w:val="28"/>
        </w:rPr>
        <w:t>总</w:t>
      </w:r>
      <w:r>
        <w:rPr>
          <w:rFonts w:ascii="Times New Roman" w:eastAsia="宋体" w:hAnsi="Times New Roman" w:hint="eastAsia"/>
          <w:bCs w:val="0"/>
          <w:color w:val="000000" w:themeColor="text1"/>
          <w:sz w:val="28"/>
          <w:szCs w:val="28"/>
        </w:rPr>
        <w:t>结论</w:t>
      </w:r>
      <w:bookmarkStart w:id="934" w:name="_Hlt67394450"/>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rsidR="00C861DA" w:rsidRDefault="0044752E">
      <w:pPr>
        <w:tabs>
          <w:tab w:val="left" w:pos="0"/>
        </w:tabs>
        <w:snapToGrid w:val="0"/>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本项目</w:t>
      </w:r>
      <w:r>
        <w:rPr>
          <w:rFonts w:ascii="Times New Roman" w:eastAsia="宋体"/>
          <w:color w:val="000000" w:themeColor="text1"/>
          <w:sz w:val="24"/>
          <w:szCs w:val="24"/>
        </w:rPr>
        <w:t>在</w:t>
      </w:r>
      <w:r>
        <w:rPr>
          <w:rFonts w:ascii="Times New Roman" w:eastAsia="宋体" w:hint="eastAsia"/>
          <w:color w:val="000000" w:themeColor="text1"/>
          <w:sz w:val="24"/>
          <w:szCs w:val="24"/>
        </w:rPr>
        <w:t>安宁市工业园区</w:t>
      </w:r>
      <w:r>
        <w:rPr>
          <w:rFonts w:ascii="Times New Roman" w:eastAsia="宋体"/>
          <w:color w:val="000000" w:themeColor="text1"/>
          <w:sz w:val="24"/>
          <w:szCs w:val="24"/>
        </w:rPr>
        <w:t>内建设，符合国家、地方产业政策</w:t>
      </w:r>
      <w:r>
        <w:rPr>
          <w:rFonts w:ascii="Times New Roman" w:eastAsia="宋体" w:hint="eastAsia"/>
          <w:color w:val="000000" w:themeColor="text1"/>
          <w:sz w:val="24"/>
          <w:szCs w:val="24"/>
        </w:rPr>
        <w:t>和行业发展规划，拟选厂址符合昆明经济技术开发区发展规划和环境功能区划，符合规划环评要求。产品性能先进，适应市场需要，经济效益显著，有利于企业和地方经济的发展；生产过程中采用低污染的原材料，工艺和设备先进，符合清洁生产要求；废气、废水、噪声、固体废物处理措施先进可靠，项目污染物排放可实现最大程度地削减，产生的各类污染物能够达标排放并满足总量控制要求，对各环境敏感点不会产生明显影响；公众赞成拟建工程的建设，未对拟建厂址提出异议。</w:t>
      </w:r>
    </w:p>
    <w:p w:rsidR="00C861DA" w:rsidRDefault="0044752E">
      <w:pPr>
        <w:spacing w:line="360" w:lineRule="auto"/>
        <w:ind w:firstLineChars="200" w:firstLine="480"/>
        <w:rPr>
          <w:rFonts w:ascii="Times New Roman" w:eastAsia="宋体"/>
          <w:color w:val="000000" w:themeColor="text1"/>
          <w:sz w:val="24"/>
          <w:szCs w:val="24"/>
        </w:rPr>
      </w:pPr>
      <w:r>
        <w:rPr>
          <w:rFonts w:ascii="Times New Roman" w:eastAsia="宋体" w:hint="eastAsia"/>
          <w:color w:val="000000" w:themeColor="text1"/>
          <w:sz w:val="24"/>
          <w:szCs w:val="24"/>
        </w:rPr>
        <w:t>本项目的建设是评价区域整体环境可以承纳的，建设单位应认真落实报告书提出的各项污染治理措施和建议，从环保角度，本项目的建设可行。</w:t>
      </w:r>
    </w:p>
    <w:p w:rsidR="00C861DA" w:rsidRDefault="0044752E">
      <w:pPr>
        <w:pStyle w:val="22"/>
        <w:rPr>
          <w:rFonts w:ascii="Times New Roman" w:eastAsia="宋体" w:cs="Arial"/>
          <w:b w:val="0"/>
          <w:bCs w:val="0"/>
          <w:color w:val="000000" w:themeColor="text1"/>
          <w:sz w:val="24"/>
          <w:szCs w:val="28"/>
        </w:rPr>
      </w:pPr>
      <w:bookmarkStart w:id="935" w:name="_Toc31795"/>
      <w:bookmarkStart w:id="936" w:name="_Toc6826967"/>
      <w:bookmarkStart w:id="937" w:name="_Toc28938"/>
      <w:bookmarkStart w:id="938" w:name="_Toc24999"/>
      <w:bookmarkStart w:id="939" w:name="_Toc22269"/>
      <w:r>
        <w:rPr>
          <w:rFonts w:ascii="Times New Roman" w:eastAsia="宋体" w:hAnsi="Times New Roman" w:hint="eastAsia"/>
          <w:bCs w:val="0"/>
          <w:color w:val="000000" w:themeColor="text1"/>
          <w:sz w:val="28"/>
          <w:szCs w:val="28"/>
        </w:rPr>
        <w:t>14.9</w:t>
      </w:r>
      <w:r>
        <w:rPr>
          <w:rFonts w:ascii="Times New Roman" w:eastAsia="宋体" w:hAnsi="Times New Roman" w:hint="eastAsia"/>
          <w:bCs w:val="0"/>
          <w:color w:val="000000" w:themeColor="text1"/>
          <w:sz w:val="28"/>
          <w:szCs w:val="28"/>
        </w:rPr>
        <w:t>建议</w:t>
      </w:r>
      <w:bookmarkEnd w:id="935"/>
      <w:bookmarkEnd w:id="936"/>
      <w:bookmarkEnd w:id="937"/>
      <w:bookmarkEnd w:id="938"/>
      <w:bookmarkEnd w:id="939"/>
      <w:r>
        <w:rPr>
          <w:rFonts w:ascii="Times New Roman" w:eastAsia="宋体" w:hAnsi="Times New Roman" w:hint="eastAsia"/>
          <w:bCs w:val="0"/>
          <w:color w:val="000000" w:themeColor="text1"/>
          <w:sz w:val="28"/>
          <w:szCs w:val="28"/>
        </w:rPr>
        <w:tab/>
      </w:r>
    </w:p>
    <w:p w:rsidR="00C861DA" w:rsidRDefault="0044752E">
      <w:pPr>
        <w:tabs>
          <w:tab w:val="left" w:pos="0"/>
        </w:tabs>
        <w:snapToGrid w:val="0"/>
        <w:spacing w:line="360" w:lineRule="auto"/>
        <w:ind w:firstLineChars="200" w:firstLine="480"/>
        <w:jc w:val="both"/>
        <w:rPr>
          <w:rFonts w:ascii="Times New Roman" w:eastAsia="宋体"/>
          <w:color w:val="000000" w:themeColor="text1"/>
          <w:sz w:val="24"/>
          <w:szCs w:val="24"/>
        </w:rPr>
      </w:pPr>
      <w:r>
        <w:rPr>
          <w:rFonts w:ascii="Times New Roman" w:eastAsia="宋体" w:hint="eastAsia"/>
          <w:color w:val="000000" w:themeColor="text1"/>
          <w:sz w:val="24"/>
          <w:szCs w:val="24"/>
        </w:rPr>
        <w:t>（</w:t>
      </w:r>
      <w:r>
        <w:rPr>
          <w:rFonts w:ascii="Times New Roman" w:eastAsia="宋体" w:hint="eastAsia"/>
          <w:color w:val="000000" w:themeColor="text1"/>
          <w:sz w:val="24"/>
          <w:szCs w:val="24"/>
        </w:rPr>
        <w:t>1</w:t>
      </w:r>
      <w:r>
        <w:rPr>
          <w:rFonts w:ascii="Times New Roman" w:eastAsia="宋体" w:hint="eastAsia"/>
          <w:color w:val="000000" w:themeColor="text1"/>
          <w:sz w:val="24"/>
          <w:szCs w:val="24"/>
        </w:rPr>
        <w:t>）各类环保措施应严格执行“三同时”，确保各类环保措施能够和生产同时投入使用。同时，建设单位应将施工期的环境保护纳入与施工单位签订承包合同，要求施工单位加强管理，按本报告书施工期环境保护要求进行施工。运营期严格落实本报告提出的各项要求，明确各类危废处置的最终去向，完善相关处置协议。</w:t>
      </w:r>
    </w:p>
    <w:p w:rsidR="00C861DA" w:rsidRDefault="0044752E">
      <w:pPr>
        <w:tabs>
          <w:tab w:val="left" w:pos="0"/>
        </w:tabs>
        <w:snapToGrid w:val="0"/>
        <w:spacing w:line="360" w:lineRule="auto"/>
        <w:ind w:firstLineChars="200" w:firstLine="480"/>
        <w:jc w:val="both"/>
        <w:rPr>
          <w:rFonts w:ascii="Times New Roman" w:eastAsia="宋体"/>
          <w:color w:val="000000" w:themeColor="text1"/>
          <w:sz w:val="24"/>
          <w:szCs w:val="24"/>
        </w:rPr>
      </w:pPr>
      <w:r>
        <w:rPr>
          <w:rFonts w:ascii="Times New Roman" w:eastAsia="宋体" w:hint="eastAsia"/>
          <w:color w:val="000000" w:themeColor="text1"/>
          <w:sz w:val="24"/>
          <w:szCs w:val="24"/>
        </w:rPr>
        <w:t>（</w:t>
      </w:r>
      <w:r>
        <w:rPr>
          <w:rFonts w:ascii="Times New Roman" w:eastAsia="宋体" w:hint="eastAsia"/>
          <w:color w:val="000000" w:themeColor="text1"/>
          <w:sz w:val="24"/>
          <w:szCs w:val="24"/>
        </w:rPr>
        <w:t>2</w:t>
      </w:r>
      <w:r>
        <w:rPr>
          <w:rFonts w:ascii="Times New Roman" w:eastAsia="宋体" w:hint="eastAsia"/>
          <w:color w:val="000000" w:themeColor="text1"/>
          <w:sz w:val="24"/>
          <w:szCs w:val="24"/>
        </w:rPr>
        <w:t>）建设单位应委托有资质专业机构进行项目施工期环境监理，加强现场监督和检查，确保</w:t>
      </w:r>
      <w:r>
        <w:rPr>
          <w:rFonts w:ascii="Times New Roman" w:eastAsia="宋体" w:hint="eastAsia"/>
          <w:color w:val="000000" w:themeColor="text1"/>
          <w:sz w:val="24"/>
          <w:szCs w:val="24"/>
        </w:rPr>
        <w:t>施工单位按环境保护要求进行施工。</w:t>
      </w:r>
    </w:p>
    <w:p w:rsidR="00C861DA" w:rsidRDefault="0044752E">
      <w:pPr>
        <w:tabs>
          <w:tab w:val="left" w:pos="0"/>
        </w:tabs>
        <w:snapToGrid w:val="0"/>
        <w:spacing w:line="360" w:lineRule="auto"/>
        <w:ind w:firstLineChars="200" w:firstLine="480"/>
        <w:jc w:val="both"/>
        <w:rPr>
          <w:rFonts w:ascii="Times New Roman" w:eastAsia="宋体"/>
          <w:color w:val="000000" w:themeColor="text1"/>
          <w:sz w:val="24"/>
          <w:szCs w:val="24"/>
        </w:rPr>
      </w:pPr>
      <w:r>
        <w:rPr>
          <w:rFonts w:ascii="Times New Roman" w:eastAsia="宋体" w:hint="eastAsia"/>
          <w:color w:val="000000" w:themeColor="text1"/>
          <w:sz w:val="24"/>
          <w:szCs w:val="24"/>
        </w:rPr>
        <w:t>（</w:t>
      </w:r>
      <w:r>
        <w:rPr>
          <w:rFonts w:ascii="Times New Roman" w:eastAsia="宋体" w:hint="eastAsia"/>
          <w:color w:val="000000" w:themeColor="text1"/>
          <w:sz w:val="24"/>
          <w:szCs w:val="24"/>
        </w:rPr>
        <w:t>3</w:t>
      </w:r>
      <w:r>
        <w:rPr>
          <w:rFonts w:ascii="Times New Roman" w:eastAsia="宋体" w:hint="eastAsia"/>
          <w:color w:val="000000" w:themeColor="text1"/>
          <w:sz w:val="24"/>
          <w:szCs w:val="24"/>
        </w:rPr>
        <w:t>）建设单位应推行清洁生产和循环经济，加大废物资源化利用的力度，并在企业生产活动全过程进行污染防治，削减污染物的产生量及排放量。</w:t>
      </w:r>
    </w:p>
    <w:p w:rsidR="00C861DA" w:rsidRDefault="0044752E">
      <w:pPr>
        <w:tabs>
          <w:tab w:val="left" w:pos="0"/>
        </w:tabs>
        <w:snapToGrid w:val="0"/>
        <w:spacing w:line="360" w:lineRule="auto"/>
        <w:ind w:firstLineChars="200" w:firstLine="480"/>
        <w:jc w:val="both"/>
        <w:rPr>
          <w:rFonts w:ascii="Times New Roman" w:eastAsia="宋体"/>
          <w:color w:val="000000" w:themeColor="text1"/>
          <w:sz w:val="24"/>
          <w:szCs w:val="24"/>
        </w:rPr>
      </w:pPr>
      <w:r>
        <w:rPr>
          <w:rFonts w:ascii="Times New Roman" w:eastAsia="宋体" w:hint="eastAsia"/>
          <w:color w:val="000000" w:themeColor="text1"/>
          <w:sz w:val="24"/>
          <w:szCs w:val="24"/>
        </w:rPr>
        <w:t>（</w:t>
      </w:r>
      <w:r>
        <w:rPr>
          <w:rFonts w:ascii="Times New Roman" w:eastAsia="宋体" w:hint="eastAsia"/>
          <w:color w:val="000000" w:themeColor="text1"/>
          <w:sz w:val="24"/>
          <w:szCs w:val="24"/>
        </w:rPr>
        <w:t>4</w:t>
      </w:r>
      <w:r>
        <w:rPr>
          <w:rFonts w:ascii="Times New Roman" w:eastAsia="宋体" w:hint="eastAsia"/>
          <w:color w:val="000000" w:themeColor="text1"/>
          <w:sz w:val="24"/>
          <w:szCs w:val="24"/>
        </w:rPr>
        <w:t>）严格执行环境管理与监测计划，做好污染源监控和监测工作，防止超标排放，污染环境。</w:t>
      </w:r>
    </w:p>
    <w:p w:rsidR="00C861DA" w:rsidRDefault="0044752E">
      <w:pPr>
        <w:spacing w:line="360" w:lineRule="auto"/>
        <w:ind w:firstLineChars="200" w:firstLine="480"/>
        <w:jc w:val="both"/>
        <w:rPr>
          <w:rFonts w:ascii="Times New Roman" w:eastAsia="宋体"/>
          <w:color w:val="000000" w:themeColor="text1"/>
        </w:rPr>
      </w:pPr>
      <w:r>
        <w:rPr>
          <w:rFonts w:ascii="Times New Roman" w:eastAsia="宋体" w:hint="eastAsia"/>
          <w:color w:val="000000" w:themeColor="text1"/>
          <w:sz w:val="24"/>
          <w:szCs w:val="24"/>
        </w:rPr>
        <w:t>（</w:t>
      </w:r>
      <w:r>
        <w:rPr>
          <w:rFonts w:ascii="Times New Roman" w:eastAsia="宋体" w:hint="eastAsia"/>
          <w:color w:val="000000" w:themeColor="text1"/>
          <w:sz w:val="24"/>
          <w:szCs w:val="24"/>
        </w:rPr>
        <w:t>5</w:t>
      </w:r>
      <w:r>
        <w:rPr>
          <w:rFonts w:ascii="Times New Roman" w:eastAsia="宋体" w:hint="eastAsia"/>
          <w:color w:val="000000" w:themeColor="text1"/>
          <w:sz w:val="24"/>
          <w:szCs w:val="24"/>
        </w:rPr>
        <w:t>）加强生产过程的安全管理，严格落实本项目提出的各项风险管理和防范措施，结合安全评价所提的要求，全面执行应急救援预案所提的措施和要求。</w:t>
      </w:r>
    </w:p>
    <w:p w:rsidR="00C861DA" w:rsidRDefault="00C861DA">
      <w:pPr>
        <w:pStyle w:val="21"/>
        <w:rPr>
          <w:color w:val="000000" w:themeColor="text1"/>
        </w:rPr>
      </w:pPr>
    </w:p>
    <w:sectPr w:rsidR="00C861DA">
      <w:pgSz w:w="11906" w:h="16838"/>
      <w:pgMar w:top="1440" w:right="1800" w:bottom="1440" w:left="1800" w:header="850" w:footer="1077"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52E" w:rsidRDefault="0044752E">
      <w:r>
        <w:separator/>
      </w:r>
    </w:p>
  </w:endnote>
  <w:endnote w:type="continuationSeparator" w:id="0">
    <w:p w:rsidR="0044752E" w:rsidRDefault="00447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体">
    <w:altName w:val="宋体"/>
    <w:charset w:val="86"/>
    <w:family w:val="roman"/>
    <w:pitch w:val="default"/>
    <w:sig w:usb0="00000000" w:usb1="00000000" w:usb2="00000010" w:usb3="00000000" w:csb0="00040000" w:csb1="00000000"/>
  </w:font>
  <w:font w:name="文鼎CS中宋">
    <w:altName w:val="宋体"/>
    <w:charset w:val="86"/>
    <w:family w:val="modern"/>
    <w:pitch w:val="default"/>
    <w:sig w:usb0="00000000" w:usb1="00000000" w:usb2="00000010" w:usb3="00000000" w:csb0="00040000" w:csb1="00000000"/>
  </w:font>
  <w:font w:name="ˎ̥">
    <w:altName w:val="Times New Roman"/>
    <w:charset w:val="00"/>
    <w:family w:val="roman"/>
    <w:pitch w:val="default"/>
  </w:font>
  <w:font w:name="Calibri Light">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wis721 Lt BT">
    <w:charset w:val="00"/>
    <w:family w:val="swiss"/>
    <w:pitch w:val="variable"/>
    <w:sig w:usb0="00000087" w:usb1="00000000" w:usb2="00000000" w:usb3="00000000" w:csb0="0000001B" w:csb1="00000000"/>
  </w:font>
  <w:font w:name="Microsoft YaHei UI">
    <w:charset w:val="86"/>
    <w:family w:val="swiss"/>
    <w:pitch w:val="variable"/>
    <w:sig w:usb0="80000287" w:usb1="28CF3C52" w:usb2="00000016" w:usb3="00000000" w:csb0="0004001F" w:csb1="00000000"/>
  </w:font>
  <w:font w:name="H Ya 6gj">
    <w:altName w:val="宋体"/>
    <w:charset w:val="86"/>
    <w:family w:val="roman"/>
    <w:pitch w:val="default"/>
    <w:sig w:usb0="00000000" w:usb1="00000000" w:usb2="00000010" w:usb3="00000000" w:csb0="00040000" w:csb1="00000000"/>
  </w:font>
  <w:font w:name="Swis721 BT">
    <w:charset w:val="00"/>
    <w:family w:val="swiss"/>
    <w:pitch w:val="variable"/>
    <w:sig w:usb0="00000087" w:usb1="00000000" w:usb2="00000000" w:usb3="00000000" w:csb0="0000001B" w:csb1="00000000"/>
  </w:font>
  <w:font w:name="方正小标宋_GBK">
    <w:altName w:val="微软雅黑"/>
    <w:charset w:val="86"/>
    <w:family w:val="script"/>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文鼎粗行楷简">
    <w:altName w:val="宋体"/>
    <w:charset w:val="86"/>
    <w:family w:val="modern"/>
    <w:pitch w:val="default"/>
    <w:sig w:usb0="00000000" w:usb1="0000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宋">
    <w:altName w:val="宋体"/>
    <w:charset w:val="86"/>
    <w:family w:val="roman"/>
    <w:pitch w:val="default"/>
    <w:sig w:usb0="00000000" w:usb1="0000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幼圆">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imesNewRoman">
    <w:altName w:val="黑体"/>
    <w:charset w:val="86"/>
    <w:family w:val="auto"/>
    <w:pitch w:val="default"/>
    <w:sig w:usb0="00000000" w:usb1="00000000" w:usb2="00000010" w:usb3="00000000" w:csb0="00060000" w:csb1="00000000"/>
  </w:font>
  <w:font w:name="微软简老宋">
    <w:altName w:val="黑体"/>
    <w:charset w:val="86"/>
    <w:family w:val="auto"/>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华文中宋">
    <w:panose1 w:val="02010600040101010101"/>
    <w:charset w:val="86"/>
    <w:family w:val="auto"/>
    <w:pitch w:val="variable"/>
    <w:sig w:usb0="00000287" w:usb1="080F0000" w:usb2="00000010" w:usb3="00000000" w:csb0="0004009F" w:csb1="00000000"/>
  </w:font>
  <w:font w:name="方正宋黑简体">
    <w:altName w:val="黑体"/>
    <w:charset w:val="86"/>
    <w:family w:val="script"/>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微软简魏碑">
    <w:altName w:val="黑体"/>
    <w:charset w:val="86"/>
    <w:family w:val="auto"/>
    <w:pitch w:val="default"/>
    <w:sig w:usb0="00000000" w:usb1="00000000" w:usb2="00000010" w:usb3="00000000" w:csb0="00040000" w:csb1="00000000"/>
  </w:font>
  <w:font w:name="CG Times (WN)">
    <w:altName w:val="Times New Roman"/>
    <w:charset w:val="00"/>
    <w:family w:val="roman"/>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长城仿宋体">
    <w:altName w:val="宋体"/>
    <w:charset w:val="86"/>
    <w:family w:val="modern"/>
    <w:pitch w:val="default"/>
    <w:sig w:usb0="00000000" w:usb1="00000000" w:usb2="00000010" w:usb3="00000000" w:csb0="00040000" w:csb1="00000000"/>
  </w:font>
  <w:font w:name="Ђˎ̥">
    <w:altName w:val="Times New Roman"/>
    <w:charset w:val="00"/>
    <w:family w:val="roman"/>
    <w:pitch w:val="default"/>
    <w:sig w:usb0="00000000" w:usb1="00000000" w:usb2="00000000" w:usb3="00000000" w:csb0="00040001" w:csb1="00000000"/>
  </w:font>
  <w:font w:name="Times">
    <w:panose1 w:val="02020603050405020304"/>
    <w:charset w:val="00"/>
    <w:family w:val="roman"/>
    <w:pitch w:val="variable"/>
    <w:sig w:usb0="00000007" w:usb1="00000000" w:usb2="00000000" w:usb3="00000000" w:csb0="00000093" w:csb1="00000000"/>
  </w:font>
  <w:font w:name="MingLiU">
    <w:altName w:val="細明體"/>
    <w:panose1 w:val="02020509000000000000"/>
    <w:charset w:val="88"/>
    <w:family w:val="modern"/>
    <w:pitch w:val="fixed"/>
    <w:sig w:usb0="A00002FF" w:usb1="28CFFCFA" w:usb2="00000016" w:usb3="00000000" w:csb0="00100001" w:csb1="00000000"/>
  </w:font>
  <w:font w:name="汉鼎简特宋">
    <w:altName w:val="宋体"/>
    <w:charset w:val="86"/>
    <w:family w:val="modern"/>
    <w:pitch w:val="default"/>
    <w:sig w:usb0="00000000" w:usb1="0000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CorpoSLig">
    <w:altName w:val="Times New Roman"/>
    <w:charset w:val="00"/>
    <w:family w:val="auto"/>
    <w:pitch w:val="default"/>
    <w:sig w:usb0="00000000" w:usb1="00000000" w:usb2="00000000" w:usb3="00000000" w:csb0="00000093" w:csb1="00000000"/>
  </w:font>
  <w:font w:name="方正仿宋_GBK">
    <w:charset w:val="86"/>
    <w:family w:val="script"/>
    <w:pitch w:val="default"/>
    <w:sig w:usb0="00000001" w:usb1="080E0000" w:usb2="00000000" w:usb3="00000000" w:csb0="00040000" w:csb1="00000000"/>
  </w:font>
  <w:font w:name="CorpoS">
    <w:altName w:val="Times New Roman"/>
    <w:charset w:val="00"/>
    <w:family w:val="auto"/>
    <w:pitch w:val="default"/>
    <w:sig w:usb0="00000000" w:usb1="00000000" w:usb2="00000000" w:usb3="00000000" w:csb0="00000001" w:csb1="00000000"/>
  </w:font>
  <w:font w:name="全真中明體">
    <w:altName w:val="Adobe 明體 Std L"/>
    <w:charset w:val="88"/>
    <w:family w:val="modern"/>
    <w:pitch w:val="default"/>
    <w:sig w:usb0="00000000" w:usb1="00000000" w:usb2="00000010" w:usb3="00000000" w:csb0="00100000" w:csb1="00000000"/>
  </w:font>
  <w:font w:name="方正姚体">
    <w:panose1 w:val="02010601030101010101"/>
    <w:charset w:val="86"/>
    <w:family w:val="auto"/>
    <w:pitch w:val="variable"/>
    <w:sig w:usb0="00000003"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全真楷書">
    <w:altName w:val="楷体_GB2312"/>
    <w:charset w:val="88"/>
    <w:family w:val="modern"/>
    <w:pitch w:val="default"/>
    <w:sig w:usb0="00000000" w:usb1="00000000" w:usb2="00000010" w:usb3="00000000" w:csb0="00100000" w:csb1="00000000"/>
  </w:font>
  <w:font w:name="..">
    <w:altName w:val="Arial"/>
    <w:charset w:val="00"/>
    <w:family w:val="swiss"/>
    <w:pitch w:val="default"/>
    <w:sig w:usb0="00000000" w:usb1="00000000" w:usb2="00000000" w:usb3="00000000" w:csb0="0000019F" w:csb1="00000000"/>
  </w:font>
  <w:font w:name="H Yc 1gj">
    <w:altName w:val="宋体"/>
    <w:charset w:val="86"/>
    <w:family w:val="roman"/>
    <w:pitch w:val="default"/>
    <w:sig w:usb0="00000000" w:usb1="0000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新宋体-18030">
    <w:altName w:val="宋体"/>
    <w:charset w:val="86"/>
    <w:family w:val="modern"/>
    <w:pitch w:val="default"/>
    <w:sig w:usb0="00000000" w:usb1="00000000" w:usb2="000A005E" w:usb3="00000000" w:csb0="00040001" w:csb1="00000000"/>
  </w:font>
  <w:font w:name="华文行楷">
    <w:panose1 w:val="02010800040101010101"/>
    <w:charset w:val="86"/>
    <w:family w:val="auto"/>
    <w:pitch w:val="variable"/>
    <w:sig w:usb0="00000001" w:usb1="080F0000" w:usb2="00000010" w:usb3="00000000" w:csb0="00040000" w:csb1="00000000"/>
  </w:font>
  <w:font w:name="五">
    <w:altName w:val="黑体"/>
    <w:charset w:val="86"/>
    <w:family w:val="auto"/>
    <w:pitch w:val="default"/>
    <w:sig w:usb0="00000000" w:usb1="00000000" w:usb2="00000010" w:usb3="00000000" w:csb0="00040000" w:csb1="00000000"/>
  </w:font>
  <w:font w:name="方正黑体_GBK">
    <w:charset w:val="86"/>
    <w:family w:val="script"/>
    <w:pitch w:val="default"/>
    <w:sig w:usb0="00000001" w:usb1="080E0000" w:usb2="00000000" w:usb3="00000000" w:csb0="00040000" w:csb1="00000000"/>
  </w:font>
  <w:font w:name="..ì.">
    <w:altName w:val="宋体"/>
    <w:charset w:val="86"/>
    <w:family w:val="roman"/>
    <w:pitch w:val="default"/>
    <w:sig w:usb0="00000000" w:usb1="00000000" w:usb2="00000000" w:usb3="00000000" w:csb0="00040001" w:csb1="00000000"/>
  </w:font>
  <w:font w:name="CorporateS-Regular">
    <w:altName w:val="Courier New"/>
    <w:charset w:val="00"/>
    <w:family w:val="auto"/>
    <w:pitch w:val="default"/>
    <w:sig w:usb0="00000000" w:usb1="00000000" w:usb2="00000000" w:usb3="00000000" w:csb0="00000001" w:csb1="00000000"/>
  </w:font>
  <w:font w:name="CF-簡秀宋體">
    <w:altName w:val="宋体"/>
    <w:charset w:val="88"/>
    <w:family w:val="modern"/>
    <w:pitch w:val="default"/>
    <w:sig w:usb0="00000000" w:usb1="00000000" w:usb2="00000010" w:usb3="00000000" w:csb0="00100000" w:csb1="00000000"/>
  </w:font>
  <w:font w:name="DFKai-SB">
    <w:panose1 w:val="03000509000000000000"/>
    <w:charset w:val="88"/>
    <w:family w:val="script"/>
    <w:pitch w:val="fixed"/>
    <w:sig w:usb0="00000003" w:usb1="080E0000" w:usb2="00000016" w:usb3="00000000" w:csb0="00100001" w:csb1="00000000"/>
  </w:font>
  <w:font w:name="方正黑体简体">
    <w:charset w:val="86"/>
    <w:family w:val="swiss"/>
    <w:pitch w:val="default"/>
    <w:sig w:usb0="00000001" w:usb1="080E0000" w:usb2="00000000" w:usb3="00000000" w:csb0="00040000" w:csb1="00000000"/>
  </w:font>
  <w:font w:name="TimesNewRomanPSMT">
    <w:altName w:val="等线"/>
    <w:charset w:val="00"/>
    <w:family w:val="auto"/>
    <w:pitch w:val="default"/>
  </w:font>
  <w:font w:name="华文隶书">
    <w:panose1 w:val="02010800040101010101"/>
    <w:charset w:val="86"/>
    <w:family w:val="auto"/>
    <w:pitch w:val="variable"/>
    <w:sig w:usb0="00000001" w:usb1="080F0000" w:usb2="00000010" w:usb3="00000000" w:csb0="00040000" w:csb1="00000000"/>
  </w:font>
  <w:font w:name="華康中楷體">
    <w:altName w:val="Arial Unicode MS"/>
    <w:charset w:val="88"/>
    <w:family w:val="modern"/>
    <w:pitch w:val="default"/>
    <w:sig w:usb0="00000000" w:usb1="00000000" w:usb2="00000010" w:usb3="00000000" w:csb0="00100000" w:csb1="00000000"/>
  </w:font>
  <w:font w:name="Բ">
    <w:altName w:val="Times New Roman"/>
    <w:charset w:val="00"/>
    <w:family w:val="roman"/>
    <w:pitch w:val="default"/>
    <w:sig w:usb0="00000000" w:usb1="00000000" w:usb2="00000000" w:usb3="00000000" w:csb0="00040001" w:csb1="00000000"/>
  </w:font>
  <w:font w:name="IINFIO+TimesNewRoman">
    <w:altName w:val="宋体"/>
    <w:charset w:val="86"/>
    <w:family w:val="roman"/>
    <w:pitch w:val="default"/>
    <w:sig w:usb0="00000000" w:usb1="0000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微软简标宋">
    <w:altName w:val="黑体"/>
    <w:charset w:val="86"/>
    <w:family w:val="auto"/>
    <w:pitch w:val="default"/>
    <w:sig w:usb0="00000000" w:usb1="00000000" w:usb2="00000010" w:usb3="00000000" w:csb0="00040000" w:csb1="00000000"/>
  </w:font>
  <w:font w:name="ZapfDingbats BT">
    <w:altName w:val="Arial"/>
    <w:charset w:val="00"/>
    <w:family w:val="swiss"/>
    <w:pitch w:val="default"/>
    <w:sig w:usb0="00000000" w:usb1="00000000" w:usb2="00000000" w:usb3="00000000" w:csb0="00000001" w:csb1="00000000"/>
  </w:font>
  <w:font w:name="”“Times New Roman”“">
    <w:altName w:val="宋体"/>
    <w:charset w:val="86"/>
    <w:family w:val="roman"/>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entury">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Yu Mincho">
    <w:altName w:val="Kozuka Mincho Pr6N R"/>
    <w:charset w:val="80"/>
    <w:family w:val="roman"/>
    <w:pitch w:val="default"/>
    <w:sig w:usb0="00000000" w:usb1="00000000"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752854"/>
    </w:sdtPr>
    <w:sdtEndPr/>
    <w:sdtContent>
      <w:p w:rsidR="00C861DA" w:rsidRDefault="0044752E">
        <w:pPr>
          <w:pStyle w:val="afc"/>
          <w:jc w:val="center"/>
        </w:pPr>
        <w:r>
          <w:fldChar w:fldCharType="begin"/>
        </w:r>
        <w:r>
          <w:instrText>PAGE   \* MERGEFORMAT</w:instrText>
        </w:r>
        <w:r>
          <w:fldChar w:fldCharType="separate"/>
        </w:r>
        <w:r w:rsidR="00B236CD" w:rsidRPr="00B236CD">
          <w:rPr>
            <w:noProof/>
            <w:lang w:val="zh-CN"/>
          </w:rPr>
          <w:t>32</w:t>
        </w:r>
        <w:r>
          <w:fldChar w:fldCharType="end"/>
        </w:r>
      </w:p>
    </w:sdtContent>
  </w:sdt>
  <w:p w:rsidR="00C861DA" w:rsidRDefault="00C861DA">
    <w:pPr>
      <w:pStyle w:val="afc"/>
      <w:pBdr>
        <w:top w:val="single" w:sz="4"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52E" w:rsidRDefault="0044752E">
      <w:r>
        <w:separator/>
      </w:r>
    </w:p>
  </w:footnote>
  <w:footnote w:type="continuationSeparator" w:id="0">
    <w:p w:rsidR="0044752E" w:rsidRDefault="004475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1DA" w:rsidRDefault="00C861DA">
    <w:pPr>
      <w:pStyle w:val="afe"/>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1DA" w:rsidRDefault="00C861DA">
    <w:pPr>
      <w:pStyle w:val="afe"/>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FFFFFF80"/>
    <w:lvl w:ilvl="0">
      <w:start w:val="1"/>
      <w:numFmt w:val="bullet"/>
      <w:pStyle w:val="Char1"/>
      <w:lvlText w:val=""/>
      <w:lvlJc w:val="left"/>
      <w:pPr>
        <w:tabs>
          <w:tab w:val="left" w:pos="2040"/>
        </w:tabs>
        <w:ind w:left="2040" w:hanging="360"/>
      </w:pPr>
      <w:rPr>
        <w:rFonts w:ascii="Wingdings" w:hAnsi="Wingdings" w:hint="default"/>
      </w:rPr>
    </w:lvl>
  </w:abstractNum>
  <w:abstractNum w:abstractNumId="1">
    <w:nsid w:val="0000000A"/>
    <w:multiLevelType w:val="multilevel"/>
    <w:tmpl w:val="0000000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pStyle w:val="305050505"/>
      <w:lvlText w:val="%3."/>
      <w:lvlJc w:val="right"/>
      <w:pPr>
        <w:ind w:left="1260" w:hanging="420"/>
      </w:pPr>
    </w:lvl>
    <w:lvl w:ilvl="3">
      <w:start w:val="1"/>
      <w:numFmt w:val="decimal"/>
      <w:pStyle w:val="413"/>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0B"/>
    <w:multiLevelType w:val="singleLevel"/>
    <w:tmpl w:val="0000000B"/>
    <w:lvl w:ilvl="0">
      <w:start w:val="1"/>
      <w:numFmt w:val="decimal"/>
      <w:pStyle w:val="2TimesNewRoman050"/>
      <w:lvlText w:val="%1."/>
      <w:lvlJc w:val="left"/>
      <w:pPr>
        <w:tabs>
          <w:tab w:val="left" w:pos="360"/>
        </w:tabs>
        <w:ind w:left="360" w:hanging="360"/>
      </w:pPr>
    </w:lvl>
  </w:abstractNum>
  <w:abstractNum w:abstractNumId="3">
    <w:nsid w:val="0000000C"/>
    <w:multiLevelType w:val="multilevel"/>
    <w:tmpl w:val="0000000C"/>
    <w:lvl w:ilvl="0">
      <w:start w:val="1"/>
      <w:numFmt w:val="decimal"/>
      <w:pStyle w:val="1h1H1PIM1111SectionHeadHeader11stlevell12"/>
      <w:lvlText w:val="%1."/>
      <w:lvlJc w:val="left"/>
      <w:pPr>
        <w:tabs>
          <w:tab w:val="left" w:pos="425"/>
        </w:tabs>
        <w:ind w:left="425" w:hanging="425"/>
      </w:pPr>
    </w:lvl>
    <w:lvl w:ilvl="1">
      <w:start w:val="1"/>
      <w:numFmt w:val="decimal"/>
      <w:lvlText w:val="%1.%2."/>
      <w:lvlJc w:val="left"/>
      <w:pPr>
        <w:tabs>
          <w:tab w:val="left" w:pos="567"/>
        </w:tabs>
        <w:ind w:left="567" w:hanging="567"/>
      </w:pPr>
      <w:rPr>
        <w:rFonts w:ascii="Times New Roman" w:hAnsi="Times New Roman" w:cs="Times New Roman" w:hint="default"/>
        <w:color w:val="auto"/>
      </w:rPr>
    </w:lvl>
    <w:lvl w:ilvl="2">
      <w:start w:val="1"/>
      <w:numFmt w:val="decimal"/>
      <w:lvlText w:val="%1.%2.%3."/>
      <w:lvlJc w:val="left"/>
      <w:pPr>
        <w:tabs>
          <w:tab w:val="left" w:pos="919"/>
        </w:tabs>
        <w:ind w:left="919" w:hanging="709"/>
      </w:pPr>
      <w:rPr>
        <w:b/>
        <w:color w:val="auto"/>
      </w:r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4">
    <w:nsid w:val="0000000E"/>
    <w:multiLevelType w:val="multilevel"/>
    <w:tmpl w:val="0000000E"/>
    <w:lvl w:ilvl="0">
      <w:start w:val="1"/>
      <w:numFmt w:val="decimal"/>
      <w:pStyle w:val="Chapter"/>
      <w:lvlText w:val="（%1）"/>
      <w:lvlJc w:val="left"/>
      <w:pPr>
        <w:tabs>
          <w:tab w:val="left" w:pos="1155"/>
        </w:tabs>
        <w:ind w:left="1155" w:hanging="720"/>
      </w:pPr>
      <w:rPr>
        <w:rFonts w:cs="Times New Roman" w:hint="default"/>
      </w:rPr>
    </w:lvl>
    <w:lvl w:ilvl="1">
      <w:start w:val="1"/>
      <w:numFmt w:val="lowerLetter"/>
      <w:pStyle w:val="book11"/>
      <w:lvlText w:val="%2)"/>
      <w:lvlJc w:val="left"/>
      <w:pPr>
        <w:tabs>
          <w:tab w:val="left" w:pos="1275"/>
        </w:tabs>
        <w:ind w:left="1275" w:hanging="420"/>
      </w:pPr>
      <w:rPr>
        <w:rFonts w:cs="Times New Roman"/>
      </w:rPr>
    </w:lvl>
    <w:lvl w:ilvl="2">
      <w:start w:val="1"/>
      <w:numFmt w:val="lowerRoman"/>
      <w:lvlText w:val="%3."/>
      <w:lvlJc w:val="right"/>
      <w:pPr>
        <w:tabs>
          <w:tab w:val="left" w:pos="1695"/>
        </w:tabs>
        <w:ind w:left="1695" w:hanging="420"/>
      </w:pPr>
      <w:rPr>
        <w:rFonts w:cs="Times New Roman"/>
      </w:rPr>
    </w:lvl>
    <w:lvl w:ilvl="3">
      <w:start w:val="1"/>
      <w:numFmt w:val="decimal"/>
      <w:pStyle w:val="book1111"/>
      <w:lvlText w:val="%4."/>
      <w:lvlJc w:val="left"/>
      <w:pPr>
        <w:tabs>
          <w:tab w:val="left" w:pos="2115"/>
        </w:tabs>
        <w:ind w:left="2115" w:hanging="420"/>
      </w:pPr>
      <w:rPr>
        <w:rFonts w:cs="Times New Roman"/>
      </w:rPr>
    </w:lvl>
    <w:lvl w:ilvl="4">
      <w:start w:val="1"/>
      <w:numFmt w:val="lowerLetter"/>
      <w:pStyle w:val="1"/>
      <w:lvlText w:val="%5)"/>
      <w:lvlJc w:val="left"/>
      <w:pPr>
        <w:tabs>
          <w:tab w:val="left" w:pos="2535"/>
        </w:tabs>
        <w:ind w:left="2535" w:hanging="420"/>
      </w:pPr>
      <w:rPr>
        <w:rFonts w:cs="Times New Roman"/>
      </w:rPr>
    </w:lvl>
    <w:lvl w:ilvl="5">
      <w:start w:val="1"/>
      <w:numFmt w:val="lowerRoman"/>
      <w:lvlText w:val="%6."/>
      <w:lvlJc w:val="right"/>
      <w:pPr>
        <w:tabs>
          <w:tab w:val="left" w:pos="2955"/>
        </w:tabs>
        <w:ind w:left="2955" w:hanging="420"/>
      </w:pPr>
      <w:rPr>
        <w:rFonts w:cs="Times New Roman"/>
      </w:rPr>
    </w:lvl>
    <w:lvl w:ilvl="6">
      <w:start w:val="1"/>
      <w:numFmt w:val="decimal"/>
      <w:lvlText w:val="%7."/>
      <w:lvlJc w:val="left"/>
      <w:pPr>
        <w:tabs>
          <w:tab w:val="left" w:pos="3375"/>
        </w:tabs>
        <w:ind w:left="3375" w:hanging="420"/>
      </w:pPr>
      <w:rPr>
        <w:rFonts w:cs="Times New Roman"/>
      </w:rPr>
    </w:lvl>
    <w:lvl w:ilvl="7">
      <w:start w:val="1"/>
      <w:numFmt w:val="lowerLetter"/>
      <w:lvlText w:val="%8)"/>
      <w:lvlJc w:val="left"/>
      <w:pPr>
        <w:tabs>
          <w:tab w:val="left" w:pos="3795"/>
        </w:tabs>
        <w:ind w:left="3795" w:hanging="420"/>
      </w:pPr>
      <w:rPr>
        <w:rFonts w:cs="Times New Roman"/>
      </w:rPr>
    </w:lvl>
    <w:lvl w:ilvl="8">
      <w:start w:val="1"/>
      <w:numFmt w:val="lowerRoman"/>
      <w:lvlText w:val="%9."/>
      <w:lvlJc w:val="right"/>
      <w:pPr>
        <w:tabs>
          <w:tab w:val="left" w:pos="4215"/>
        </w:tabs>
        <w:ind w:left="4215" w:hanging="420"/>
      </w:pPr>
      <w:rPr>
        <w:rFonts w:cs="Times New Roman"/>
      </w:rPr>
    </w:lvl>
  </w:abstractNum>
  <w:abstractNum w:abstractNumId="5">
    <w:nsid w:val="00000010"/>
    <w:multiLevelType w:val="singleLevel"/>
    <w:tmpl w:val="00000010"/>
    <w:lvl w:ilvl="0">
      <w:start w:val="1"/>
      <w:numFmt w:val="decimal"/>
      <w:pStyle w:val="a"/>
      <w:suff w:val="nothing"/>
      <w:lvlText w:val="（%1）"/>
      <w:lvlJc w:val="left"/>
    </w:lvl>
  </w:abstractNum>
  <w:abstractNum w:abstractNumId="6">
    <w:nsid w:val="00000013"/>
    <w:multiLevelType w:val="singleLevel"/>
    <w:tmpl w:val="00000013"/>
    <w:lvl w:ilvl="0">
      <w:start w:val="1"/>
      <w:numFmt w:val="decimal"/>
      <w:pStyle w:val="5"/>
      <w:lvlText w:val="%1."/>
      <w:lvlJc w:val="left"/>
      <w:pPr>
        <w:tabs>
          <w:tab w:val="left" w:pos="2040"/>
        </w:tabs>
        <w:ind w:left="2040" w:hanging="360"/>
      </w:pPr>
    </w:lvl>
  </w:abstractNum>
  <w:abstractNum w:abstractNumId="7">
    <w:nsid w:val="00000014"/>
    <w:multiLevelType w:val="singleLevel"/>
    <w:tmpl w:val="00000014"/>
    <w:lvl w:ilvl="0">
      <w:start w:val="1"/>
      <w:numFmt w:val="bullet"/>
      <w:pStyle w:val="2"/>
      <w:lvlText w:val=""/>
      <w:lvlJc w:val="left"/>
      <w:pPr>
        <w:tabs>
          <w:tab w:val="left" w:pos="780"/>
        </w:tabs>
        <w:ind w:left="780" w:hanging="360"/>
      </w:pPr>
      <w:rPr>
        <w:rFonts w:ascii="Wingdings" w:hAnsi="Wingdings" w:hint="default"/>
      </w:rPr>
    </w:lvl>
  </w:abstractNum>
  <w:abstractNum w:abstractNumId="8">
    <w:nsid w:val="02A6521C"/>
    <w:multiLevelType w:val="multilevel"/>
    <w:tmpl w:val="02A6521C"/>
    <w:lvl w:ilvl="0">
      <w:start w:val="1"/>
      <w:numFmt w:val="decimal"/>
      <w:pStyle w:val="3"/>
      <w:lvlText w:val="%1、"/>
      <w:lvlJc w:val="left"/>
      <w:pPr>
        <w:tabs>
          <w:tab w:val="left" w:pos="1287"/>
        </w:tabs>
        <w:ind w:left="0" w:firstLine="567"/>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05A77F5F"/>
    <w:multiLevelType w:val="multilevel"/>
    <w:tmpl w:val="05A77F5F"/>
    <w:lvl w:ilvl="0">
      <w:start w:val="1"/>
      <w:numFmt w:val="decimal"/>
      <w:pStyle w:val="Achievement"/>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0">
    <w:nsid w:val="0EAC2138"/>
    <w:multiLevelType w:val="multilevel"/>
    <w:tmpl w:val="0EAC2138"/>
    <w:lvl w:ilvl="0">
      <w:start w:val="1"/>
      <w:numFmt w:val="bullet"/>
      <w:pStyle w:val="04"/>
      <w:lvlText w:val=""/>
      <w:lvlJc w:val="left"/>
      <w:pPr>
        <w:tabs>
          <w:tab w:val="left" w:pos="1701"/>
        </w:tabs>
        <w:ind w:left="0" w:firstLine="1134"/>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nsid w:val="25EC7B2E"/>
    <w:multiLevelType w:val="multilevel"/>
    <w:tmpl w:val="25EC7B2E"/>
    <w:lvl w:ilvl="0">
      <w:start w:val="1"/>
      <w:numFmt w:val="decimal"/>
      <w:pStyle w:val="GB-1"/>
      <w:suff w:val="space"/>
      <w:lvlText w:val="%1"/>
      <w:lvlJc w:val="left"/>
      <w:pPr>
        <w:ind w:left="0" w:firstLine="0"/>
      </w:pPr>
      <w:rPr>
        <w:rFonts w:eastAsia="宋体" w:hint="eastAsia"/>
        <w:b/>
        <w:i w:val="0"/>
        <w:sz w:val="24"/>
      </w:rPr>
    </w:lvl>
    <w:lvl w:ilvl="1">
      <w:start w:val="1"/>
      <w:numFmt w:val="decimal"/>
      <w:pStyle w:val="GB-11"/>
      <w:suff w:val="space"/>
      <w:lvlText w:val="%1.%2"/>
      <w:lvlJc w:val="left"/>
      <w:pPr>
        <w:ind w:left="0" w:firstLine="0"/>
      </w:pPr>
      <w:rPr>
        <w:rFonts w:eastAsia="宋体" w:hint="eastAsia"/>
        <w:b w:val="0"/>
        <w:i w:val="0"/>
        <w:sz w:val="21"/>
      </w:rPr>
    </w:lvl>
    <w:lvl w:ilvl="2">
      <w:start w:val="1"/>
      <w:numFmt w:val="decimal"/>
      <w:pStyle w:val="GB-111"/>
      <w:suff w:val="space"/>
      <w:lvlText w:val="%1.%2.%3"/>
      <w:lvlJc w:val="left"/>
      <w:pPr>
        <w:ind w:left="432" w:firstLine="0"/>
      </w:pPr>
      <w:rPr>
        <w:rFonts w:eastAsia="宋体" w:hint="eastAsia"/>
        <w:b w:val="0"/>
        <w:i w:val="0"/>
        <w:sz w:val="21"/>
      </w:rPr>
    </w:lvl>
    <w:lvl w:ilvl="3">
      <w:start w:val="1"/>
      <w:numFmt w:val="decimal"/>
      <w:pStyle w:val="GB-1111"/>
      <w:suff w:val="space"/>
      <w:lvlText w:val="%1.%2.%3.%4"/>
      <w:lvlJc w:val="left"/>
      <w:pPr>
        <w:ind w:left="0" w:firstLine="0"/>
      </w:pPr>
      <w:rPr>
        <w:rFonts w:eastAsia="宋体" w:hint="eastAsia"/>
        <w:b w:val="0"/>
        <w:i w:val="0"/>
        <w:sz w:val="21"/>
      </w:rPr>
    </w:lvl>
    <w:lvl w:ilvl="4">
      <w:start w:val="1"/>
      <w:numFmt w:val="decimal"/>
      <w:pStyle w:val="GB-11111"/>
      <w:isLgl/>
      <w:suff w:val="space"/>
      <w:lvlText w:val="%1.%2.%3.%4.%5"/>
      <w:lvlJc w:val="left"/>
      <w:pPr>
        <w:ind w:left="0" w:firstLine="0"/>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2">
    <w:nsid w:val="3A114B99"/>
    <w:multiLevelType w:val="multilevel"/>
    <w:tmpl w:val="3A114B99"/>
    <w:lvl w:ilvl="0">
      <w:start w:val="2"/>
      <w:numFmt w:val="japaneseCounting"/>
      <w:lvlText w:val="第%1节"/>
      <w:lvlJc w:val="left"/>
      <w:pPr>
        <w:tabs>
          <w:tab w:val="left" w:pos="1130"/>
        </w:tabs>
        <w:ind w:left="1130" w:hanging="1140"/>
      </w:pPr>
      <w:rPr>
        <w:rFonts w:hint="default"/>
      </w:rPr>
    </w:lvl>
    <w:lvl w:ilvl="1">
      <w:start w:val="1"/>
      <w:numFmt w:val="japaneseCounting"/>
      <w:lvlText w:val="（%2）"/>
      <w:lvlJc w:val="left"/>
      <w:pPr>
        <w:tabs>
          <w:tab w:val="left" w:pos="1265"/>
        </w:tabs>
        <w:ind w:left="1265" w:hanging="855"/>
      </w:pPr>
      <w:rPr>
        <w:rFonts w:eastAsia="宋体" w:hint="default"/>
        <w:b w:val="0"/>
        <w:sz w:val="28"/>
        <w:lang w:val="en-US"/>
      </w:rPr>
    </w:lvl>
    <w:lvl w:ilvl="2">
      <w:start w:val="1"/>
      <w:numFmt w:val="decimal"/>
      <w:lvlText w:val="%3、"/>
      <w:lvlJc w:val="left"/>
      <w:pPr>
        <w:tabs>
          <w:tab w:val="left" w:pos="1550"/>
        </w:tabs>
        <w:ind w:left="1550" w:hanging="720"/>
      </w:pPr>
      <w:rPr>
        <w:rFonts w:hint="default"/>
      </w:rPr>
    </w:lvl>
    <w:lvl w:ilvl="3">
      <w:start w:val="1"/>
      <w:numFmt w:val="decimal"/>
      <w:lvlText w:val="%4."/>
      <w:lvlJc w:val="left"/>
      <w:pPr>
        <w:tabs>
          <w:tab w:val="left" w:pos="1670"/>
        </w:tabs>
        <w:ind w:left="1670" w:hanging="420"/>
      </w:pPr>
    </w:lvl>
    <w:lvl w:ilvl="4">
      <w:start w:val="1"/>
      <w:numFmt w:val="lowerLetter"/>
      <w:lvlText w:val="%5)"/>
      <w:lvlJc w:val="left"/>
      <w:pPr>
        <w:tabs>
          <w:tab w:val="left" w:pos="2090"/>
        </w:tabs>
        <w:ind w:left="2090" w:hanging="420"/>
      </w:pPr>
    </w:lvl>
    <w:lvl w:ilvl="5">
      <w:start w:val="1"/>
      <w:numFmt w:val="lowerRoman"/>
      <w:lvlText w:val="%6."/>
      <w:lvlJc w:val="right"/>
      <w:pPr>
        <w:tabs>
          <w:tab w:val="left" w:pos="2510"/>
        </w:tabs>
        <w:ind w:left="2510" w:hanging="420"/>
      </w:pPr>
    </w:lvl>
    <w:lvl w:ilvl="6">
      <w:start w:val="1"/>
      <w:numFmt w:val="decimal"/>
      <w:lvlText w:val="%7."/>
      <w:lvlJc w:val="left"/>
      <w:pPr>
        <w:tabs>
          <w:tab w:val="left" w:pos="2930"/>
        </w:tabs>
        <w:ind w:left="2930" w:hanging="420"/>
      </w:pPr>
    </w:lvl>
    <w:lvl w:ilvl="7">
      <w:start w:val="1"/>
      <w:numFmt w:val="lowerLetter"/>
      <w:lvlText w:val="%8)"/>
      <w:lvlJc w:val="left"/>
      <w:pPr>
        <w:tabs>
          <w:tab w:val="left" w:pos="3350"/>
        </w:tabs>
        <w:ind w:left="3350" w:hanging="420"/>
      </w:pPr>
    </w:lvl>
    <w:lvl w:ilvl="8">
      <w:start w:val="1"/>
      <w:numFmt w:val="japaneseCounting"/>
      <w:pStyle w:val="03"/>
      <w:lvlText w:val="（%9）"/>
      <w:lvlJc w:val="left"/>
      <w:pPr>
        <w:tabs>
          <w:tab w:val="left" w:pos="410"/>
        </w:tabs>
        <w:ind w:left="410" w:hanging="420"/>
      </w:pPr>
      <w:rPr>
        <w:rFonts w:ascii="Garamond" w:eastAsia="宋体" w:hAnsi="Garamond" w:cs="Times New Roman" w:hint="default"/>
      </w:rPr>
    </w:lvl>
  </w:abstractNum>
  <w:abstractNum w:abstractNumId="13">
    <w:nsid w:val="3FA30BBD"/>
    <w:multiLevelType w:val="multilevel"/>
    <w:tmpl w:val="3FA30BBD"/>
    <w:lvl w:ilvl="0">
      <w:start w:val="1"/>
      <w:numFmt w:val="decimal"/>
      <w:pStyle w:val="MyList-1"/>
      <w:lvlText w:val="%1"/>
      <w:lvlJc w:val="left"/>
      <w:pPr>
        <w:tabs>
          <w:tab w:val="left" w:pos="567"/>
        </w:tabs>
        <w:ind w:left="0" w:firstLine="0"/>
      </w:pPr>
      <w:rPr>
        <w:rFonts w:hint="eastAsia"/>
      </w:rPr>
    </w:lvl>
    <w:lvl w:ilvl="1">
      <w:start w:val="1"/>
      <w:numFmt w:val="decimal"/>
      <w:pStyle w:val="MyList-2"/>
      <w:lvlText w:val="%1.%2"/>
      <w:lvlJc w:val="left"/>
      <w:pPr>
        <w:tabs>
          <w:tab w:val="left" w:pos="794"/>
        </w:tabs>
        <w:ind w:left="0" w:firstLine="0"/>
      </w:pPr>
      <w:rPr>
        <w:rFonts w:hint="eastAsia"/>
      </w:rPr>
    </w:lvl>
    <w:lvl w:ilvl="2">
      <w:start w:val="1"/>
      <w:numFmt w:val="decimal"/>
      <w:pStyle w:val="MyList-3"/>
      <w:lvlText w:val="%1.%2.%3"/>
      <w:lvlJc w:val="left"/>
      <w:pPr>
        <w:tabs>
          <w:tab w:val="left" w:pos="1021"/>
        </w:tabs>
        <w:ind w:left="0" w:firstLine="0"/>
      </w:pPr>
      <w:rPr>
        <w:rFonts w:hint="eastAsia"/>
      </w:rPr>
    </w:lvl>
    <w:lvl w:ilvl="3">
      <w:start w:val="1"/>
      <w:numFmt w:val="decimal"/>
      <w:pStyle w:val="MyList-4"/>
      <w:lvlText w:val="%1.%2.%3.%4"/>
      <w:lvlJc w:val="left"/>
      <w:pPr>
        <w:tabs>
          <w:tab w:val="left" w:pos="1191"/>
        </w:tabs>
        <w:ind w:left="0" w:firstLine="0"/>
      </w:pPr>
      <w:rPr>
        <w:rFonts w:hint="eastAsia"/>
      </w:rPr>
    </w:lvl>
    <w:lvl w:ilvl="4">
      <w:start w:val="1"/>
      <w:numFmt w:val="decimal"/>
      <w:pStyle w:val="MyList-5"/>
      <w:lvlText w:val="%1.%2.%3.%4.%5"/>
      <w:lvlJc w:val="left"/>
      <w:pPr>
        <w:tabs>
          <w:tab w:val="left" w:pos="1418"/>
        </w:tabs>
        <w:ind w:left="0" w:firstLine="0"/>
      </w:pPr>
      <w:rPr>
        <w:rFonts w:hint="eastAsia"/>
      </w:rPr>
    </w:lvl>
    <w:lvl w:ilvl="5">
      <w:start w:val="1"/>
      <w:numFmt w:val="decimal"/>
      <w:suff w:val="nothing"/>
      <w:lvlText w:val="%1.%2.%3.%4.%5.%6　"/>
      <w:lvlJc w:val="left"/>
      <w:pPr>
        <w:ind w:left="0" w:firstLine="0"/>
      </w:pPr>
      <w:rPr>
        <w:rFonts w:hint="eastAsia"/>
      </w:rPr>
    </w:lvl>
    <w:lvl w:ilvl="6">
      <w:start w:val="1"/>
      <w:numFmt w:val="decimal"/>
      <w:suff w:val="nothing"/>
      <w:lvlText w:val="%1.%2.%3.%4.%5.%6.%7　"/>
      <w:lvlJc w:val="left"/>
      <w:pPr>
        <w:ind w:left="0" w:firstLine="0"/>
      </w:pPr>
      <w:rPr>
        <w:rFonts w:hint="eastAsia"/>
      </w:rPr>
    </w:lvl>
    <w:lvl w:ilvl="7">
      <w:start w:val="1"/>
      <w:numFmt w:val="decimal"/>
      <w:suff w:val="nothing"/>
      <w:lvlText w:val="%1.%2.%3.%4.%5.%6.%7.%8　"/>
      <w:lvlJc w:val="left"/>
      <w:pPr>
        <w:ind w:left="0" w:firstLine="0"/>
      </w:pPr>
      <w:rPr>
        <w:rFonts w:hint="eastAsia"/>
      </w:rPr>
    </w:lvl>
    <w:lvl w:ilvl="8">
      <w:start w:val="1"/>
      <w:numFmt w:val="decimal"/>
      <w:suff w:val="nothing"/>
      <w:lvlText w:val="%1.%2.%3.%4.%5.%6.%7.%8.%9　"/>
      <w:lvlJc w:val="left"/>
      <w:pPr>
        <w:ind w:left="0" w:firstLine="0"/>
      </w:pPr>
      <w:rPr>
        <w:rFonts w:hint="eastAsia"/>
      </w:rPr>
    </w:lvl>
  </w:abstractNum>
  <w:abstractNum w:abstractNumId="14">
    <w:nsid w:val="41A9432C"/>
    <w:multiLevelType w:val="multilevel"/>
    <w:tmpl w:val="41A9432C"/>
    <w:lvl w:ilvl="0">
      <w:start w:val="1"/>
      <w:numFmt w:val="decimal"/>
      <w:pStyle w:val="10"/>
      <w:lvlText w:val="%1"/>
      <w:lvlJc w:val="left"/>
      <w:pPr>
        <w:tabs>
          <w:tab w:val="left" w:pos="425"/>
        </w:tabs>
        <w:ind w:left="425" w:hanging="425"/>
      </w:pPr>
      <w:rPr>
        <w:color w:val="auto"/>
      </w:rPr>
    </w:lvl>
    <w:lvl w:ilvl="1">
      <w:start w:val="1"/>
      <w:numFmt w:val="decimal"/>
      <w:pStyle w:val="221121H2SeHeadwsa211"/>
      <w:lvlText w:val="%1.%2"/>
      <w:lvlJc w:val="left"/>
      <w:pPr>
        <w:tabs>
          <w:tab w:val="left" w:pos="567"/>
        </w:tabs>
        <w:ind w:left="567" w:hanging="567"/>
      </w:pPr>
    </w:lvl>
    <w:lvl w:ilvl="2">
      <w:start w:val="1"/>
      <w:numFmt w:val="decimal"/>
      <w:pStyle w:val="30"/>
      <w:lvlText w:val="%1.%2.%3"/>
      <w:lvlJc w:val="left"/>
      <w:pPr>
        <w:tabs>
          <w:tab w:val="left" w:pos="1418"/>
        </w:tabs>
        <w:ind w:left="1418" w:hanging="567"/>
      </w:pPr>
      <w:rPr>
        <w:color w:val="auto"/>
      </w:rPr>
    </w:lvl>
    <w:lvl w:ilvl="3">
      <w:start w:val="1"/>
      <w:numFmt w:val="decimal"/>
      <w:pStyle w:val="4"/>
      <w:lvlText w:val="%1.%2.%3.%4"/>
      <w:lvlJc w:val="left"/>
      <w:pPr>
        <w:tabs>
          <w:tab w:val="left" w:pos="1984"/>
        </w:tabs>
        <w:ind w:left="1984" w:hanging="708"/>
      </w:pPr>
      <w:rPr>
        <w:b w:val="0"/>
      </w:r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5">
    <w:nsid w:val="43F6728F"/>
    <w:multiLevelType w:val="multilevel"/>
    <w:tmpl w:val="43F6728F"/>
    <w:lvl w:ilvl="0">
      <w:start w:val="1"/>
      <w:numFmt w:val="decimal"/>
      <w:pStyle w:val="a0"/>
      <w:lvlText w:val="%1．"/>
      <w:lvlJc w:val="left"/>
      <w:pPr>
        <w:tabs>
          <w:tab w:val="left" w:pos="737"/>
        </w:tabs>
        <w:ind w:left="737" w:hanging="567"/>
      </w:pPr>
      <w:rPr>
        <w:rFonts w:hint="eastAsia"/>
      </w:rPr>
    </w:lvl>
    <w:lvl w:ilvl="1">
      <w:start w:val="1"/>
      <w:numFmt w:val="lowerLetter"/>
      <w:lvlText w:val="%2)"/>
      <w:lvlJc w:val="left"/>
      <w:pPr>
        <w:tabs>
          <w:tab w:val="left" w:pos="1080"/>
        </w:tabs>
        <w:ind w:left="1080" w:hanging="420"/>
      </w:pPr>
    </w:lvl>
    <w:lvl w:ilvl="2">
      <w:start w:val="1"/>
      <w:numFmt w:val="lowerRoman"/>
      <w:lvlText w:val="%3."/>
      <w:lvlJc w:val="right"/>
      <w:pPr>
        <w:tabs>
          <w:tab w:val="left" w:pos="1500"/>
        </w:tabs>
        <w:ind w:left="1500" w:hanging="420"/>
      </w:pPr>
    </w:lvl>
    <w:lvl w:ilvl="3">
      <w:start w:val="1"/>
      <w:numFmt w:val="decimal"/>
      <w:lvlText w:val="%4."/>
      <w:lvlJc w:val="left"/>
      <w:pPr>
        <w:tabs>
          <w:tab w:val="left" w:pos="1920"/>
        </w:tabs>
        <w:ind w:left="1920" w:hanging="420"/>
      </w:pPr>
    </w:lvl>
    <w:lvl w:ilvl="4">
      <w:start w:val="1"/>
      <w:numFmt w:val="lowerLetter"/>
      <w:lvlText w:val="%5)"/>
      <w:lvlJc w:val="left"/>
      <w:pPr>
        <w:tabs>
          <w:tab w:val="left" w:pos="2340"/>
        </w:tabs>
        <w:ind w:left="2340" w:hanging="420"/>
      </w:pPr>
    </w:lvl>
    <w:lvl w:ilvl="5">
      <w:start w:val="1"/>
      <w:numFmt w:val="lowerRoman"/>
      <w:lvlText w:val="%6."/>
      <w:lvlJc w:val="right"/>
      <w:pPr>
        <w:tabs>
          <w:tab w:val="left" w:pos="2760"/>
        </w:tabs>
        <w:ind w:left="2760" w:hanging="420"/>
      </w:pPr>
    </w:lvl>
    <w:lvl w:ilvl="6">
      <w:start w:val="1"/>
      <w:numFmt w:val="decimal"/>
      <w:lvlText w:val="%7."/>
      <w:lvlJc w:val="left"/>
      <w:pPr>
        <w:tabs>
          <w:tab w:val="left" w:pos="3180"/>
        </w:tabs>
        <w:ind w:left="3180" w:hanging="420"/>
      </w:pPr>
    </w:lvl>
    <w:lvl w:ilvl="7">
      <w:start w:val="1"/>
      <w:numFmt w:val="lowerLetter"/>
      <w:lvlText w:val="%8)"/>
      <w:lvlJc w:val="left"/>
      <w:pPr>
        <w:tabs>
          <w:tab w:val="left" w:pos="3600"/>
        </w:tabs>
        <w:ind w:left="3600" w:hanging="420"/>
      </w:pPr>
    </w:lvl>
    <w:lvl w:ilvl="8">
      <w:start w:val="1"/>
      <w:numFmt w:val="lowerRoman"/>
      <w:lvlText w:val="%9."/>
      <w:lvlJc w:val="right"/>
      <w:pPr>
        <w:tabs>
          <w:tab w:val="left" w:pos="4020"/>
        </w:tabs>
        <w:ind w:left="4020" w:hanging="420"/>
      </w:pPr>
    </w:lvl>
  </w:abstractNum>
  <w:abstractNum w:abstractNumId="16">
    <w:nsid w:val="5F9A6D59"/>
    <w:multiLevelType w:val="multilevel"/>
    <w:tmpl w:val="5F9A6D59"/>
    <w:lvl w:ilvl="0">
      <w:start w:val="1"/>
      <w:numFmt w:val="decimal"/>
      <w:lvlText w:val="%1"/>
      <w:lvlJc w:val="left"/>
      <w:pPr>
        <w:tabs>
          <w:tab w:val="left" w:pos="567"/>
        </w:tabs>
        <w:ind w:left="0" w:firstLine="0"/>
      </w:pPr>
      <w:rPr>
        <w:rFonts w:ascii="Times New Roman" w:eastAsia="宋体" w:hAnsi="Times New Roman" w:hint="default"/>
        <w:b/>
        <w:i w:val="0"/>
        <w:sz w:val="24"/>
      </w:rPr>
    </w:lvl>
    <w:lvl w:ilvl="1">
      <w:start w:val="1"/>
      <w:numFmt w:val="decimal"/>
      <w:lvlText w:val="%1.%2"/>
      <w:lvlJc w:val="left"/>
      <w:pPr>
        <w:tabs>
          <w:tab w:val="left" w:pos="794"/>
        </w:tabs>
        <w:ind w:left="0" w:firstLine="0"/>
      </w:pPr>
      <w:rPr>
        <w:rFonts w:ascii="Times New Roman" w:eastAsia="宋体" w:hAnsi="Times New Roman" w:hint="default"/>
        <w:b/>
        <w:i w:val="0"/>
        <w:sz w:val="24"/>
      </w:rPr>
    </w:lvl>
    <w:lvl w:ilvl="2">
      <w:start w:val="1"/>
      <w:numFmt w:val="decimal"/>
      <w:lvlText w:val="%1.%2.%3"/>
      <w:lvlJc w:val="left"/>
      <w:pPr>
        <w:tabs>
          <w:tab w:val="left" w:pos="964"/>
        </w:tabs>
        <w:ind w:left="0" w:firstLine="0"/>
      </w:pPr>
      <w:rPr>
        <w:rFonts w:ascii="Times New Roman" w:eastAsia="宋体" w:hAnsi="Times New Roman" w:hint="default"/>
        <w:b w:val="0"/>
        <w:i w:val="0"/>
        <w:sz w:val="24"/>
      </w:rPr>
    </w:lvl>
    <w:lvl w:ilvl="3">
      <w:start w:val="1"/>
      <w:numFmt w:val="decimal"/>
      <w:lvlText w:val="%1.%2.%3.%4"/>
      <w:lvlJc w:val="left"/>
      <w:pPr>
        <w:tabs>
          <w:tab w:val="left" w:pos="1134"/>
        </w:tabs>
        <w:ind w:left="0" w:firstLine="0"/>
      </w:pPr>
      <w:rPr>
        <w:rFonts w:hint="eastAsia"/>
      </w:rPr>
    </w:lvl>
    <w:lvl w:ilvl="4">
      <w:start w:val="1"/>
      <w:numFmt w:val="decimal"/>
      <w:pStyle w:val="E"/>
      <w:lvlText w:val="(%5)"/>
      <w:lvlJc w:val="left"/>
      <w:pPr>
        <w:tabs>
          <w:tab w:val="left" w:pos="360"/>
        </w:tabs>
        <w:ind w:left="0" w:firstLine="0"/>
      </w:pPr>
      <w:rPr>
        <w:rFonts w:hint="eastAsia"/>
        <w:sz w:val="24"/>
      </w:rPr>
    </w:lvl>
    <w:lvl w:ilvl="5">
      <w:start w:val="1"/>
      <w:numFmt w:val="decimal"/>
      <w:lvlText w:val="%6)"/>
      <w:lvlJc w:val="left"/>
      <w:pPr>
        <w:tabs>
          <w:tab w:val="left" w:pos="360"/>
        </w:tabs>
        <w:ind w:left="0" w:firstLine="0"/>
      </w:pPr>
      <w:rPr>
        <w:rFonts w:hint="eastAsia"/>
        <w:sz w:val="24"/>
        <w:vertAlign w:val="baseline"/>
      </w:rPr>
    </w:lvl>
    <w:lvl w:ilvl="6">
      <w:start w:val="1"/>
      <w:numFmt w:val="lowerLetter"/>
      <w:lvlText w:val="(%7)"/>
      <w:lvlJc w:val="left"/>
      <w:pPr>
        <w:tabs>
          <w:tab w:val="left" w:pos="0"/>
        </w:tabs>
        <w:ind w:left="0" w:firstLine="0"/>
      </w:pPr>
      <w:rPr>
        <w:rFonts w:hint="eastAsia"/>
      </w:rPr>
    </w:lvl>
    <w:lvl w:ilvl="7">
      <w:start w:val="1"/>
      <w:numFmt w:val="lowerLetter"/>
      <w:lvlText w:val="%8)"/>
      <w:lvlJc w:val="left"/>
      <w:pPr>
        <w:tabs>
          <w:tab w:val="left" w:pos="0"/>
        </w:tabs>
        <w:ind w:left="0" w:firstLine="0"/>
      </w:pPr>
      <w:rPr>
        <w:rFonts w:hint="eastAsia"/>
      </w:rPr>
    </w:lvl>
    <w:lvl w:ilvl="8">
      <w:start w:val="1"/>
      <w:numFmt w:val="decimal"/>
      <w:lvlText w:val="%8).%9"/>
      <w:lvlJc w:val="left"/>
      <w:pPr>
        <w:tabs>
          <w:tab w:val="left" w:pos="0"/>
        </w:tabs>
        <w:ind w:left="0" w:firstLine="0"/>
      </w:pPr>
      <w:rPr>
        <w:rFonts w:hint="eastAsia"/>
      </w:rPr>
    </w:lvl>
  </w:abstractNum>
  <w:abstractNum w:abstractNumId="17">
    <w:nsid w:val="62DD0F1B"/>
    <w:multiLevelType w:val="multilevel"/>
    <w:tmpl w:val="62DD0F1B"/>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nsid w:val="684B485D"/>
    <w:multiLevelType w:val="multilevel"/>
    <w:tmpl w:val="684B485D"/>
    <w:lvl w:ilvl="0">
      <w:start w:val="1"/>
      <w:numFmt w:val="decimal"/>
      <w:pStyle w:val="11"/>
      <w:suff w:val="nothing"/>
      <w:lvlText w:val="%1"/>
      <w:lvlJc w:val="left"/>
      <w:pPr>
        <w:ind w:left="0" w:firstLine="0"/>
      </w:pPr>
      <w:rPr>
        <w:rFonts w:ascii="Times New Roman" w:eastAsia="宋体" w:hAnsi="Times New Roman" w:hint="default"/>
        <w:b/>
        <w:i w:val="0"/>
        <w:sz w:val="44"/>
        <w:lang w:val="en-US"/>
      </w:rPr>
    </w:lvl>
    <w:lvl w:ilvl="1">
      <w:start w:val="1"/>
      <w:numFmt w:val="decimal"/>
      <w:pStyle w:val="20"/>
      <w:suff w:val="nothing"/>
      <w:lvlText w:val="%1.%2"/>
      <w:lvlJc w:val="left"/>
      <w:pPr>
        <w:ind w:left="1560" w:firstLine="0"/>
      </w:pPr>
      <w:rPr>
        <w:rFonts w:ascii="Times New Roman" w:eastAsia="宋体" w:hAnsi="Times New Roman" w:hint="default"/>
        <w:b/>
        <w:i w:val="0"/>
        <w:sz w:val="32"/>
      </w:rPr>
    </w:lvl>
    <w:lvl w:ilvl="2">
      <w:start w:val="1"/>
      <w:numFmt w:val="decimal"/>
      <w:pStyle w:val="31"/>
      <w:suff w:val="nothing"/>
      <w:lvlText w:val="%1.%2.%3"/>
      <w:lvlJc w:val="left"/>
      <w:pPr>
        <w:ind w:left="568" w:firstLine="0"/>
      </w:pPr>
      <w:rPr>
        <w:rFonts w:ascii="Times New Roman" w:eastAsia="宋体" w:hAnsi="Times New Roman" w:hint="default"/>
        <w:b/>
        <w:i w:val="0"/>
        <w:sz w:val="28"/>
      </w:rPr>
    </w:lvl>
    <w:lvl w:ilvl="3">
      <w:start w:val="1"/>
      <w:numFmt w:val="decimal"/>
      <w:pStyle w:val="40"/>
      <w:suff w:val="nothing"/>
      <w:lvlText w:val="%1.%2.%3.%4"/>
      <w:lvlJc w:val="left"/>
      <w:pPr>
        <w:ind w:left="710" w:firstLine="0"/>
      </w:pPr>
      <w:rPr>
        <w:rFonts w:ascii="Times New Roman" w:eastAsia="宋体" w:hAnsi="Times New Roman" w:hint="default"/>
        <w:b/>
        <w:i w:val="0"/>
        <w:sz w:val="24"/>
      </w:rPr>
    </w:lvl>
    <w:lvl w:ilvl="4">
      <w:start w:val="1"/>
      <w:numFmt w:val="decimal"/>
      <w:lvlRestart w:val="0"/>
      <w:lvlText w:val="%1.%2.%3.%4.%5"/>
      <w:lvlJc w:val="left"/>
      <w:pPr>
        <w:ind w:left="2551" w:hanging="850"/>
      </w:pPr>
      <w:rPr>
        <w:rFonts w:hint="eastAsia"/>
      </w:rPr>
    </w:lvl>
    <w:lvl w:ilvl="5">
      <w:start w:val="1"/>
      <w:numFmt w:val="decimal"/>
      <w:lvlRestart w:val="2"/>
      <w:pStyle w:val="a1"/>
      <w:suff w:val="space"/>
      <w:lvlText w:val="表%1.%2-%6"/>
      <w:lvlJc w:val="center"/>
      <w:pPr>
        <w:ind w:left="0" w:firstLine="0"/>
      </w:pPr>
      <w:rPr>
        <w:rFonts w:ascii="Times New Roman" w:eastAsia="宋体" w:hAnsi="Times New Roman" w:hint="default"/>
        <w:b/>
        <w:i w:val="0"/>
        <w:sz w:val="24"/>
        <w:lang w:val="en-US"/>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70070A61"/>
    <w:multiLevelType w:val="multilevel"/>
    <w:tmpl w:val="70070A61"/>
    <w:lvl w:ilvl="0">
      <w:start w:val="1"/>
      <w:numFmt w:val="decimal"/>
      <w:pStyle w:val="55"/>
      <w:lvlText w:val="表4.5-%1"/>
      <w:lvlJc w:val="center"/>
      <w:pPr>
        <w:tabs>
          <w:tab w:val="left" w:pos="2363"/>
        </w:tabs>
        <w:ind w:left="1639" w:firstLine="4"/>
      </w:pPr>
      <w:rPr>
        <w:rFonts w:ascii="Times New Roman" w:hAnsi="Times New Roman" w:hint="default"/>
        <w:b/>
        <w:i w:val="0"/>
        <w:sz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7"/>
  </w:num>
  <w:num w:numId="2">
    <w:abstractNumId w:val="6"/>
  </w:num>
  <w:num w:numId="3">
    <w:abstractNumId w:val="5"/>
  </w:num>
  <w:num w:numId="4">
    <w:abstractNumId w:val="18"/>
  </w:num>
  <w:num w:numId="5">
    <w:abstractNumId w:val="14"/>
  </w:num>
  <w:num w:numId="6">
    <w:abstractNumId w:val="13"/>
  </w:num>
  <w:num w:numId="7">
    <w:abstractNumId w:val="12"/>
  </w:num>
  <w:num w:numId="8">
    <w:abstractNumId w:val="19"/>
  </w:num>
  <w:num w:numId="9">
    <w:abstractNumId w:val="15"/>
  </w:num>
  <w:num w:numId="10">
    <w:abstractNumId w:val="1"/>
  </w:num>
  <w:num w:numId="11">
    <w:abstractNumId w:val="0"/>
  </w:num>
  <w:num w:numId="12">
    <w:abstractNumId w:val="8"/>
  </w:num>
  <w:num w:numId="13">
    <w:abstractNumId w:val="4"/>
  </w:num>
  <w:num w:numId="14">
    <w:abstractNumId w:val="11"/>
  </w:num>
  <w:num w:numId="15">
    <w:abstractNumId w:val="16"/>
  </w:num>
  <w:num w:numId="16">
    <w:abstractNumId w:val="10"/>
  </w:num>
  <w:num w:numId="17">
    <w:abstractNumId w:val="3"/>
  </w:num>
  <w:num w:numId="18">
    <w:abstractNumId w:val="2"/>
  </w:num>
  <w:num w:numId="19">
    <w:abstractNumId w:val="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9F1"/>
    <w:rsid w:val="00002279"/>
    <w:rsid w:val="000031CB"/>
    <w:rsid w:val="000074BF"/>
    <w:rsid w:val="00007F59"/>
    <w:rsid w:val="000156A2"/>
    <w:rsid w:val="000162CE"/>
    <w:rsid w:val="0001667C"/>
    <w:rsid w:val="00030AC3"/>
    <w:rsid w:val="00032228"/>
    <w:rsid w:val="00036102"/>
    <w:rsid w:val="0004477D"/>
    <w:rsid w:val="00054B17"/>
    <w:rsid w:val="00054B52"/>
    <w:rsid w:val="00055001"/>
    <w:rsid w:val="00055F1E"/>
    <w:rsid w:val="000573C8"/>
    <w:rsid w:val="00064909"/>
    <w:rsid w:val="00067734"/>
    <w:rsid w:val="000767A1"/>
    <w:rsid w:val="00082674"/>
    <w:rsid w:val="00082A8D"/>
    <w:rsid w:val="00086F16"/>
    <w:rsid w:val="00087868"/>
    <w:rsid w:val="000A0E60"/>
    <w:rsid w:val="000A36B5"/>
    <w:rsid w:val="000B376A"/>
    <w:rsid w:val="000B7B2D"/>
    <w:rsid w:val="000C0D06"/>
    <w:rsid w:val="000D5020"/>
    <w:rsid w:val="000D63DD"/>
    <w:rsid w:val="000E59CD"/>
    <w:rsid w:val="000F24CE"/>
    <w:rsid w:val="000F45D4"/>
    <w:rsid w:val="00102A04"/>
    <w:rsid w:val="001115CA"/>
    <w:rsid w:val="001131D0"/>
    <w:rsid w:val="00114E79"/>
    <w:rsid w:val="001151E5"/>
    <w:rsid w:val="00115BC7"/>
    <w:rsid w:val="00116CC7"/>
    <w:rsid w:val="00122D6C"/>
    <w:rsid w:val="00130E0A"/>
    <w:rsid w:val="00134867"/>
    <w:rsid w:val="00145B7C"/>
    <w:rsid w:val="00146B8C"/>
    <w:rsid w:val="00150294"/>
    <w:rsid w:val="0015250C"/>
    <w:rsid w:val="00162056"/>
    <w:rsid w:val="001621C8"/>
    <w:rsid w:val="0016336D"/>
    <w:rsid w:val="00166B88"/>
    <w:rsid w:val="00172AE6"/>
    <w:rsid w:val="0017708D"/>
    <w:rsid w:val="001840BC"/>
    <w:rsid w:val="001860C4"/>
    <w:rsid w:val="00187DD3"/>
    <w:rsid w:val="00191742"/>
    <w:rsid w:val="00191874"/>
    <w:rsid w:val="001A10BB"/>
    <w:rsid w:val="001A763C"/>
    <w:rsid w:val="001B1C59"/>
    <w:rsid w:val="001B3B30"/>
    <w:rsid w:val="001C06C9"/>
    <w:rsid w:val="001D093A"/>
    <w:rsid w:val="001E125C"/>
    <w:rsid w:val="001E2825"/>
    <w:rsid w:val="001E3E2E"/>
    <w:rsid w:val="001E53B2"/>
    <w:rsid w:val="001E582E"/>
    <w:rsid w:val="001F3A60"/>
    <w:rsid w:val="00201545"/>
    <w:rsid w:val="00204907"/>
    <w:rsid w:val="00205E9B"/>
    <w:rsid w:val="00206E60"/>
    <w:rsid w:val="00207A2E"/>
    <w:rsid w:val="002156E4"/>
    <w:rsid w:val="0022223B"/>
    <w:rsid w:val="00224375"/>
    <w:rsid w:val="00233766"/>
    <w:rsid w:val="00237A1F"/>
    <w:rsid w:val="00240A0A"/>
    <w:rsid w:val="00243AE8"/>
    <w:rsid w:val="002454D2"/>
    <w:rsid w:val="00247118"/>
    <w:rsid w:val="00253CD2"/>
    <w:rsid w:val="00266E91"/>
    <w:rsid w:val="00273D64"/>
    <w:rsid w:val="00280FB1"/>
    <w:rsid w:val="00285A17"/>
    <w:rsid w:val="00286971"/>
    <w:rsid w:val="002A1243"/>
    <w:rsid w:val="002A1599"/>
    <w:rsid w:val="002A1D6E"/>
    <w:rsid w:val="002A2D87"/>
    <w:rsid w:val="002A3465"/>
    <w:rsid w:val="002A4C02"/>
    <w:rsid w:val="002B530D"/>
    <w:rsid w:val="002B58FF"/>
    <w:rsid w:val="002C1802"/>
    <w:rsid w:val="002F2225"/>
    <w:rsid w:val="002F4E5C"/>
    <w:rsid w:val="002F6B01"/>
    <w:rsid w:val="0030101F"/>
    <w:rsid w:val="00301885"/>
    <w:rsid w:val="00304A32"/>
    <w:rsid w:val="00306D44"/>
    <w:rsid w:val="00312084"/>
    <w:rsid w:val="00315D5E"/>
    <w:rsid w:val="003163BC"/>
    <w:rsid w:val="003220BC"/>
    <w:rsid w:val="00335AAA"/>
    <w:rsid w:val="00340FF4"/>
    <w:rsid w:val="00341856"/>
    <w:rsid w:val="00341FD3"/>
    <w:rsid w:val="003428A9"/>
    <w:rsid w:val="00345AF8"/>
    <w:rsid w:val="00347974"/>
    <w:rsid w:val="00350901"/>
    <w:rsid w:val="0035566D"/>
    <w:rsid w:val="003654D4"/>
    <w:rsid w:val="003705E5"/>
    <w:rsid w:val="003707EA"/>
    <w:rsid w:val="00373BD7"/>
    <w:rsid w:val="00375B52"/>
    <w:rsid w:val="00376614"/>
    <w:rsid w:val="003770DB"/>
    <w:rsid w:val="0038053B"/>
    <w:rsid w:val="0038091E"/>
    <w:rsid w:val="00383212"/>
    <w:rsid w:val="00386C1A"/>
    <w:rsid w:val="00393835"/>
    <w:rsid w:val="003A12EB"/>
    <w:rsid w:val="003A1738"/>
    <w:rsid w:val="003A6373"/>
    <w:rsid w:val="003B4EE3"/>
    <w:rsid w:val="003B5737"/>
    <w:rsid w:val="003C51A0"/>
    <w:rsid w:val="003C5A9B"/>
    <w:rsid w:val="003C77CF"/>
    <w:rsid w:val="003D0813"/>
    <w:rsid w:val="003D1AE2"/>
    <w:rsid w:val="003E2750"/>
    <w:rsid w:val="003F2802"/>
    <w:rsid w:val="003F6174"/>
    <w:rsid w:val="003F780A"/>
    <w:rsid w:val="0040170D"/>
    <w:rsid w:val="0040287A"/>
    <w:rsid w:val="0040361B"/>
    <w:rsid w:val="00423E2C"/>
    <w:rsid w:val="00424E25"/>
    <w:rsid w:val="0042535F"/>
    <w:rsid w:val="0043062D"/>
    <w:rsid w:val="00432213"/>
    <w:rsid w:val="00432653"/>
    <w:rsid w:val="004326E0"/>
    <w:rsid w:val="00440DDC"/>
    <w:rsid w:val="0044752E"/>
    <w:rsid w:val="00450042"/>
    <w:rsid w:val="00453FF6"/>
    <w:rsid w:val="004558A2"/>
    <w:rsid w:val="00467C93"/>
    <w:rsid w:val="00471702"/>
    <w:rsid w:val="00475FE2"/>
    <w:rsid w:val="004763C5"/>
    <w:rsid w:val="00480BBF"/>
    <w:rsid w:val="004816CB"/>
    <w:rsid w:val="00482277"/>
    <w:rsid w:val="004857E5"/>
    <w:rsid w:val="00487C35"/>
    <w:rsid w:val="004961F9"/>
    <w:rsid w:val="004A0E74"/>
    <w:rsid w:val="004A217D"/>
    <w:rsid w:val="004A556E"/>
    <w:rsid w:val="004A759F"/>
    <w:rsid w:val="004A77DD"/>
    <w:rsid w:val="004A7DFE"/>
    <w:rsid w:val="004B2A82"/>
    <w:rsid w:val="004B3529"/>
    <w:rsid w:val="004B536F"/>
    <w:rsid w:val="004C0034"/>
    <w:rsid w:val="004C2476"/>
    <w:rsid w:val="004D4F38"/>
    <w:rsid w:val="004D5BB2"/>
    <w:rsid w:val="004E1AC8"/>
    <w:rsid w:val="004F4C7F"/>
    <w:rsid w:val="004F607E"/>
    <w:rsid w:val="004F7177"/>
    <w:rsid w:val="004F7C18"/>
    <w:rsid w:val="005005D2"/>
    <w:rsid w:val="005040CE"/>
    <w:rsid w:val="005104FF"/>
    <w:rsid w:val="005164F0"/>
    <w:rsid w:val="005178C4"/>
    <w:rsid w:val="005238DE"/>
    <w:rsid w:val="00527684"/>
    <w:rsid w:val="00527E8B"/>
    <w:rsid w:val="0053072F"/>
    <w:rsid w:val="00530740"/>
    <w:rsid w:val="00532087"/>
    <w:rsid w:val="00537B21"/>
    <w:rsid w:val="00537CC6"/>
    <w:rsid w:val="00540778"/>
    <w:rsid w:val="00540FF1"/>
    <w:rsid w:val="00550E5A"/>
    <w:rsid w:val="00552BFA"/>
    <w:rsid w:val="00554252"/>
    <w:rsid w:val="005665EA"/>
    <w:rsid w:val="005837D7"/>
    <w:rsid w:val="005841D1"/>
    <w:rsid w:val="005903AD"/>
    <w:rsid w:val="005929E4"/>
    <w:rsid w:val="005948FD"/>
    <w:rsid w:val="005A1DD2"/>
    <w:rsid w:val="005A4C76"/>
    <w:rsid w:val="005A4CE5"/>
    <w:rsid w:val="005B47A2"/>
    <w:rsid w:val="005B4EDB"/>
    <w:rsid w:val="005E0880"/>
    <w:rsid w:val="005E0D5A"/>
    <w:rsid w:val="005E1653"/>
    <w:rsid w:val="005E1C51"/>
    <w:rsid w:val="005E532B"/>
    <w:rsid w:val="005F416F"/>
    <w:rsid w:val="005F43B1"/>
    <w:rsid w:val="005F7048"/>
    <w:rsid w:val="005F77A2"/>
    <w:rsid w:val="005F7C28"/>
    <w:rsid w:val="00606863"/>
    <w:rsid w:val="00610275"/>
    <w:rsid w:val="00610ABC"/>
    <w:rsid w:val="0061487E"/>
    <w:rsid w:val="0062000F"/>
    <w:rsid w:val="00620096"/>
    <w:rsid w:val="00623DFF"/>
    <w:rsid w:val="00631D5B"/>
    <w:rsid w:val="006327CB"/>
    <w:rsid w:val="00640432"/>
    <w:rsid w:val="00641EE2"/>
    <w:rsid w:val="00651C68"/>
    <w:rsid w:val="00654F31"/>
    <w:rsid w:val="006554D7"/>
    <w:rsid w:val="00661F2C"/>
    <w:rsid w:val="006669CE"/>
    <w:rsid w:val="00670397"/>
    <w:rsid w:val="00673238"/>
    <w:rsid w:val="00674A7C"/>
    <w:rsid w:val="0067711A"/>
    <w:rsid w:val="00693F09"/>
    <w:rsid w:val="00695F63"/>
    <w:rsid w:val="00697DE4"/>
    <w:rsid w:val="006A0FF0"/>
    <w:rsid w:val="006A1242"/>
    <w:rsid w:val="006A3B18"/>
    <w:rsid w:val="006A642F"/>
    <w:rsid w:val="006A78ED"/>
    <w:rsid w:val="006B15B9"/>
    <w:rsid w:val="006B3841"/>
    <w:rsid w:val="006C3362"/>
    <w:rsid w:val="006C668D"/>
    <w:rsid w:val="006D15BA"/>
    <w:rsid w:val="006D1C08"/>
    <w:rsid w:val="006D4CC5"/>
    <w:rsid w:val="006D5CB0"/>
    <w:rsid w:val="006E10A3"/>
    <w:rsid w:val="006E280D"/>
    <w:rsid w:val="006E4849"/>
    <w:rsid w:val="006F0321"/>
    <w:rsid w:val="00702B83"/>
    <w:rsid w:val="0070442E"/>
    <w:rsid w:val="007056D8"/>
    <w:rsid w:val="00712990"/>
    <w:rsid w:val="00714F6E"/>
    <w:rsid w:val="00717D6F"/>
    <w:rsid w:val="00721604"/>
    <w:rsid w:val="00724940"/>
    <w:rsid w:val="007268EB"/>
    <w:rsid w:val="00734392"/>
    <w:rsid w:val="007359C6"/>
    <w:rsid w:val="00736A28"/>
    <w:rsid w:val="00743255"/>
    <w:rsid w:val="00751CE4"/>
    <w:rsid w:val="007547F9"/>
    <w:rsid w:val="00756E10"/>
    <w:rsid w:val="0076553B"/>
    <w:rsid w:val="00782A2B"/>
    <w:rsid w:val="00783E75"/>
    <w:rsid w:val="007850A4"/>
    <w:rsid w:val="00794644"/>
    <w:rsid w:val="007A2D41"/>
    <w:rsid w:val="007A6259"/>
    <w:rsid w:val="007A7FC8"/>
    <w:rsid w:val="007B3EE0"/>
    <w:rsid w:val="007B5B2F"/>
    <w:rsid w:val="007C1F7B"/>
    <w:rsid w:val="007C39A2"/>
    <w:rsid w:val="007C3B75"/>
    <w:rsid w:val="007D052E"/>
    <w:rsid w:val="007D4B91"/>
    <w:rsid w:val="007D5776"/>
    <w:rsid w:val="007D66FF"/>
    <w:rsid w:val="007D738C"/>
    <w:rsid w:val="007E030C"/>
    <w:rsid w:val="007E0F3D"/>
    <w:rsid w:val="007E12D5"/>
    <w:rsid w:val="007E1DA9"/>
    <w:rsid w:val="007E5BDA"/>
    <w:rsid w:val="007E65DE"/>
    <w:rsid w:val="007F2F7A"/>
    <w:rsid w:val="007F3C6D"/>
    <w:rsid w:val="007F424D"/>
    <w:rsid w:val="007F7395"/>
    <w:rsid w:val="00800365"/>
    <w:rsid w:val="00803877"/>
    <w:rsid w:val="00812671"/>
    <w:rsid w:val="00813178"/>
    <w:rsid w:val="00814B8D"/>
    <w:rsid w:val="008161F6"/>
    <w:rsid w:val="00823633"/>
    <w:rsid w:val="0083034E"/>
    <w:rsid w:val="0083093B"/>
    <w:rsid w:val="008350C9"/>
    <w:rsid w:val="00842903"/>
    <w:rsid w:val="008520BC"/>
    <w:rsid w:val="008568A2"/>
    <w:rsid w:val="008717CB"/>
    <w:rsid w:val="008732F5"/>
    <w:rsid w:val="008764EE"/>
    <w:rsid w:val="0088096F"/>
    <w:rsid w:val="00880AFA"/>
    <w:rsid w:val="00881847"/>
    <w:rsid w:val="00885247"/>
    <w:rsid w:val="00893826"/>
    <w:rsid w:val="00894ADC"/>
    <w:rsid w:val="0089556F"/>
    <w:rsid w:val="00896A23"/>
    <w:rsid w:val="00896A9C"/>
    <w:rsid w:val="008A1ED1"/>
    <w:rsid w:val="008B22A6"/>
    <w:rsid w:val="008B26C3"/>
    <w:rsid w:val="008E590F"/>
    <w:rsid w:val="008F5851"/>
    <w:rsid w:val="009046B6"/>
    <w:rsid w:val="00907034"/>
    <w:rsid w:val="00912179"/>
    <w:rsid w:val="009207C7"/>
    <w:rsid w:val="00924296"/>
    <w:rsid w:val="00937AF4"/>
    <w:rsid w:val="0094230A"/>
    <w:rsid w:val="009646B8"/>
    <w:rsid w:val="00974589"/>
    <w:rsid w:val="009844BE"/>
    <w:rsid w:val="00990753"/>
    <w:rsid w:val="009917B4"/>
    <w:rsid w:val="00992F7E"/>
    <w:rsid w:val="00996174"/>
    <w:rsid w:val="009A2243"/>
    <w:rsid w:val="009A2B32"/>
    <w:rsid w:val="009A3E96"/>
    <w:rsid w:val="009A6768"/>
    <w:rsid w:val="009B24B4"/>
    <w:rsid w:val="009B3723"/>
    <w:rsid w:val="009B4E26"/>
    <w:rsid w:val="009C5962"/>
    <w:rsid w:val="009D0C8D"/>
    <w:rsid w:val="009D1AD0"/>
    <w:rsid w:val="009E3071"/>
    <w:rsid w:val="009E5796"/>
    <w:rsid w:val="009E6C1C"/>
    <w:rsid w:val="009F2854"/>
    <w:rsid w:val="009F3070"/>
    <w:rsid w:val="00A10574"/>
    <w:rsid w:val="00A1512F"/>
    <w:rsid w:val="00A17389"/>
    <w:rsid w:val="00A23674"/>
    <w:rsid w:val="00A31CFF"/>
    <w:rsid w:val="00A35663"/>
    <w:rsid w:val="00A43DAF"/>
    <w:rsid w:val="00A456A3"/>
    <w:rsid w:val="00A53E90"/>
    <w:rsid w:val="00A55002"/>
    <w:rsid w:val="00A55FBF"/>
    <w:rsid w:val="00A57551"/>
    <w:rsid w:val="00A62CED"/>
    <w:rsid w:val="00A63045"/>
    <w:rsid w:val="00A70A63"/>
    <w:rsid w:val="00A723E5"/>
    <w:rsid w:val="00A72EC5"/>
    <w:rsid w:val="00A76409"/>
    <w:rsid w:val="00A77D5C"/>
    <w:rsid w:val="00A85F9F"/>
    <w:rsid w:val="00A8619A"/>
    <w:rsid w:val="00A862D2"/>
    <w:rsid w:val="00A909D1"/>
    <w:rsid w:val="00AA0F99"/>
    <w:rsid w:val="00AA6CA6"/>
    <w:rsid w:val="00AA78B2"/>
    <w:rsid w:val="00AB4CF6"/>
    <w:rsid w:val="00AC2239"/>
    <w:rsid w:val="00AC6C1C"/>
    <w:rsid w:val="00AD21D9"/>
    <w:rsid w:val="00AE5E40"/>
    <w:rsid w:val="00AF1E80"/>
    <w:rsid w:val="00AF508F"/>
    <w:rsid w:val="00B03AB4"/>
    <w:rsid w:val="00B06CDF"/>
    <w:rsid w:val="00B104AB"/>
    <w:rsid w:val="00B12D88"/>
    <w:rsid w:val="00B1427F"/>
    <w:rsid w:val="00B15F57"/>
    <w:rsid w:val="00B236CD"/>
    <w:rsid w:val="00B246D3"/>
    <w:rsid w:val="00B2561F"/>
    <w:rsid w:val="00B26E2A"/>
    <w:rsid w:val="00B27794"/>
    <w:rsid w:val="00B324DB"/>
    <w:rsid w:val="00B42069"/>
    <w:rsid w:val="00B47263"/>
    <w:rsid w:val="00B63B31"/>
    <w:rsid w:val="00B6662F"/>
    <w:rsid w:val="00B66915"/>
    <w:rsid w:val="00B66DA8"/>
    <w:rsid w:val="00B746EB"/>
    <w:rsid w:val="00B83DA5"/>
    <w:rsid w:val="00B84082"/>
    <w:rsid w:val="00B87180"/>
    <w:rsid w:val="00B94414"/>
    <w:rsid w:val="00BA070E"/>
    <w:rsid w:val="00BA5FDC"/>
    <w:rsid w:val="00BA6DD4"/>
    <w:rsid w:val="00BB495F"/>
    <w:rsid w:val="00BB6F96"/>
    <w:rsid w:val="00BC5DB0"/>
    <w:rsid w:val="00BC6128"/>
    <w:rsid w:val="00BC71A4"/>
    <w:rsid w:val="00BD005F"/>
    <w:rsid w:val="00BD6E05"/>
    <w:rsid w:val="00BD704C"/>
    <w:rsid w:val="00BF0ED2"/>
    <w:rsid w:val="00BF5855"/>
    <w:rsid w:val="00BF7ACF"/>
    <w:rsid w:val="00C145FF"/>
    <w:rsid w:val="00C20EF3"/>
    <w:rsid w:val="00C213BE"/>
    <w:rsid w:val="00C374A8"/>
    <w:rsid w:val="00C37E31"/>
    <w:rsid w:val="00C4201C"/>
    <w:rsid w:val="00C424CB"/>
    <w:rsid w:val="00C73B67"/>
    <w:rsid w:val="00C7636E"/>
    <w:rsid w:val="00C80A5E"/>
    <w:rsid w:val="00C83ECD"/>
    <w:rsid w:val="00C861DA"/>
    <w:rsid w:val="00C87847"/>
    <w:rsid w:val="00C92AE6"/>
    <w:rsid w:val="00C931A6"/>
    <w:rsid w:val="00C97A49"/>
    <w:rsid w:val="00CB262E"/>
    <w:rsid w:val="00CB3EC3"/>
    <w:rsid w:val="00CB5B2A"/>
    <w:rsid w:val="00CC227C"/>
    <w:rsid w:val="00CD141A"/>
    <w:rsid w:val="00CD1D38"/>
    <w:rsid w:val="00CD3458"/>
    <w:rsid w:val="00CD76D4"/>
    <w:rsid w:val="00CF1301"/>
    <w:rsid w:val="00CF6C7C"/>
    <w:rsid w:val="00CF79EF"/>
    <w:rsid w:val="00D0179B"/>
    <w:rsid w:val="00D11A5F"/>
    <w:rsid w:val="00D151A5"/>
    <w:rsid w:val="00D2272A"/>
    <w:rsid w:val="00D26A56"/>
    <w:rsid w:val="00D326E4"/>
    <w:rsid w:val="00D37134"/>
    <w:rsid w:val="00D41AC9"/>
    <w:rsid w:val="00D4215C"/>
    <w:rsid w:val="00D43D93"/>
    <w:rsid w:val="00D45DDA"/>
    <w:rsid w:val="00D50920"/>
    <w:rsid w:val="00D510F7"/>
    <w:rsid w:val="00D702E6"/>
    <w:rsid w:val="00D75BDF"/>
    <w:rsid w:val="00D80E2C"/>
    <w:rsid w:val="00D830C9"/>
    <w:rsid w:val="00D83611"/>
    <w:rsid w:val="00D83FB9"/>
    <w:rsid w:val="00D84E3B"/>
    <w:rsid w:val="00D85222"/>
    <w:rsid w:val="00D86ED1"/>
    <w:rsid w:val="00D87C89"/>
    <w:rsid w:val="00D94F33"/>
    <w:rsid w:val="00DB03CA"/>
    <w:rsid w:val="00DB586B"/>
    <w:rsid w:val="00DB7AC9"/>
    <w:rsid w:val="00DC4C14"/>
    <w:rsid w:val="00DC6387"/>
    <w:rsid w:val="00DC6904"/>
    <w:rsid w:val="00DD51AD"/>
    <w:rsid w:val="00DD65E4"/>
    <w:rsid w:val="00DD6730"/>
    <w:rsid w:val="00DD7890"/>
    <w:rsid w:val="00DE16B2"/>
    <w:rsid w:val="00DF1E06"/>
    <w:rsid w:val="00E027A0"/>
    <w:rsid w:val="00E32CB3"/>
    <w:rsid w:val="00E34C40"/>
    <w:rsid w:val="00E34CA3"/>
    <w:rsid w:val="00E45386"/>
    <w:rsid w:val="00E525F8"/>
    <w:rsid w:val="00E61462"/>
    <w:rsid w:val="00E61F90"/>
    <w:rsid w:val="00E651C6"/>
    <w:rsid w:val="00E711CC"/>
    <w:rsid w:val="00E72762"/>
    <w:rsid w:val="00E75223"/>
    <w:rsid w:val="00E801BD"/>
    <w:rsid w:val="00E90A7C"/>
    <w:rsid w:val="00E94090"/>
    <w:rsid w:val="00EA01BA"/>
    <w:rsid w:val="00EA55BC"/>
    <w:rsid w:val="00EB09F1"/>
    <w:rsid w:val="00EB4A09"/>
    <w:rsid w:val="00EB6871"/>
    <w:rsid w:val="00EB74C2"/>
    <w:rsid w:val="00EB74CD"/>
    <w:rsid w:val="00EC0F0C"/>
    <w:rsid w:val="00EC1959"/>
    <w:rsid w:val="00EC5E87"/>
    <w:rsid w:val="00ED1932"/>
    <w:rsid w:val="00EE66A6"/>
    <w:rsid w:val="00EF36AF"/>
    <w:rsid w:val="00F04C08"/>
    <w:rsid w:val="00F12EC2"/>
    <w:rsid w:val="00F157F1"/>
    <w:rsid w:val="00F24B61"/>
    <w:rsid w:val="00F259A4"/>
    <w:rsid w:val="00F27F2D"/>
    <w:rsid w:val="00F30034"/>
    <w:rsid w:val="00F32DB4"/>
    <w:rsid w:val="00F53EBA"/>
    <w:rsid w:val="00F57B6B"/>
    <w:rsid w:val="00F60F17"/>
    <w:rsid w:val="00F61417"/>
    <w:rsid w:val="00F636A4"/>
    <w:rsid w:val="00F73B1E"/>
    <w:rsid w:val="00F761A7"/>
    <w:rsid w:val="00F820C7"/>
    <w:rsid w:val="00FA37D6"/>
    <w:rsid w:val="00FA68EF"/>
    <w:rsid w:val="00FB1B90"/>
    <w:rsid w:val="00FB2BB5"/>
    <w:rsid w:val="00FB3F68"/>
    <w:rsid w:val="00FB64D0"/>
    <w:rsid w:val="00FD1891"/>
    <w:rsid w:val="00FD75B1"/>
    <w:rsid w:val="00FD7FE5"/>
    <w:rsid w:val="00FF2B3E"/>
    <w:rsid w:val="00FF32D4"/>
    <w:rsid w:val="00FF4767"/>
    <w:rsid w:val="4D1C456A"/>
    <w:rsid w:val="70E81C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nhideWhenUsed="1"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unhideWhenUsed="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nhideWhenUsed="1" w:qFormat="1"/>
    <w:lsdException w:name="header" w:uiPriority="99" w:unhideWhenUsed="1" w:qFormat="1"/>
    <w:lsdException w:name="footer" w:uiPriority="99" w:unhideWhenUsed="1" w:qFormat="1"/>
    <w:lsdException w:name="index heading" w:qFormat="1"/>
    <w:lsdException w:name="caption" w:qFormat="1"/>
    <w:lsdException w:name="table of figures" w:qFormat="1"/>
    <w:lsdException w:name="envelope address" w:qFormat="1"/>
    <w:lsdException w:name="envelope return" w:qFormat="1"/>
    <w:lsdException w:name="annotation reference" w:unhideWhenUsed="1"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unhideWhenUsed="1"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Strong" w:uiPriority="22" w:qFormat="1"/>
    <w:lsdException w:name="Emphasis" w:uiPriority="20" w:qFormat="1"/>
    <w:lsdException w:name="Document Map" w:uiPriority="99"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Preformatted"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2" w:semiHidden="1" w:uiPriority="99" w:unhideWhenUsed="1"/>
    <w:lsdException w:name="Table Simple 3"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6" w:semiHidden="1" w:uiPriority="99" w:unhideWhenUsed="1"/>
    <w:lsdException w:name="Table List 1" w:semiHidden="1" w:uiPriority="99" w:unhideWhenUsed="1"/>
    <w:lsdException w:name="Table List 2" w:semiHidden="1" w:uiPriority="99" w:unhideWhenUsed="1"/>
    <w:lsdException w:name="Table List 4" w:semiHidden="1" w:uiPriority="99" w:unhideWhenUsed="1"/>
    <w:lsdException w:name="Table List 5"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unhideWhenUsed="1" w:qFormat="1"/>
    <w:lsdException w:name="Table Grid"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next w:val="21"/>
    <w:qFormat/>
    <w:pPr>
      <w:widowControl w:val="0"/>
      <w:autoSpaceDE w:val="0"/>
      <w:autoSpaceDN w:val="0"/>
      <w:adjustRightInd w:val="0"/>
    </w:pPr>
    <w:rPr>
      <w:kern w:val="2"/>
      <w:sz w:val="21"/>
      <w:szCs w:val="21"/>
    </w:rPr>
  </w:style>
  <w:style w:type="paragraph" w:styleId="12">
    <w:name w:val="heading 1"/>
    <w:basedOn w:val="a2"/>
    <w:next w:val="a2"/>
    <w:link w:val="1Char"/>
    <w:uiPriority w:val="9"/>
    <w:qFormat/>
    <w:pPr>
      <w:keepNext/>
      <w:keepLines/>
      <w:spacing w:line="360" w:lineRule="auto"/>
      <w:textAlignment w:val="center"/>
      <w:outlineLvl w:val="0"/>
    </w:pPr>
    <w:rPr>
      <w:rFonts w:ascii="Calibri" w:eastAsia="黑体"/>
      <w:bCs/>
      <w:kern w:val="44"/>
      <w:sz w:val="48"/>
      <w:szCs w:val="48"/>
    </w:rPr>
  </w:style>
  <w:style w:type="paragraph" w:styleId="22">
    <w:name w:val="heading 2"/>
    <w:basedOn w:val="a2"/>
    <w:next w:val="a2"/>
    <w:link w:val="2Char1"/>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2">
    <w:name w:val="heading 3"/>
    <w:basedOn w:val="a2"/>
    <w:next w:val="a2"/>
    <w:link w:val="3Char"/>
    <w:unhideWhenUsed/>
    <w:qFormat/>
    <w:pPr>
      <w:keepNext/>
      <w:keepLines/>
      <w:spacing w:before="260" w:after="260" w:line="416" w:lineRule="auto"/>
      <w:outlineLvl w:val="2"/>
    </w:pPr>
    <w:rPr>
      <w:b/>
      <w:bCs/>
      <w:sz w:val="32"/>
      <w:szCs w:val="32"/>
    </w:rPr>
  </w:style>
  <w:style w:type="paragraph" w:styleId="41">
    <w:name w:val="heading 4"/>
    <w:basedOn w:val="a2"/>
    <w:next w:val="a2"/>
    <w:link w:val="4Char"/>
    <w:qFormat/>
    <w:pPr>
      <w:keepNext/>
      <w:keepLines/>
      <w:spacing w:beforeLines="50" w:before="156" w:line="360" w:lineRule="auto"/>
      <w:ind w:leftChars="50" w:left="105" w:rightChars="50" w:right="105"/>
      <w:outlineLvl w:val="3"/>
    </w:pPr>
    <w:rPr>
      <w:rFonts w:ascii="黑体" w:eastAsia="黑体"/>
      <w:bCs/>
      <w:szCs w:val="28"/>
    </w:rPr>
  </w:style>
  <w:style w:type="paragraph" w:styleId="50">
    <w:name w:val="heading 5"/>
    <w:basedOn w:val="a2"/>
    <w:next w:val="a2"/>
    <w:link w:val="5Char"/>
    <w:qFormat/>
    <w:pPr>
      <w:keepNext/>
      <w:keepLines/>
      <w:tabs>
        <w:tab w:val="left" w:pos="1008"/>
      </w:tabs>
      <w:spacing w:before="280" w:after="290" w:line="376" w:lineRule="auto"/>
      <w:ind w:left="1008" w:hanging="1008"/>
      <w:outlineLvl w:val="4"/>
    </w:pPr>
    <w:rPr>
      <w:rFonts w:ascii="Calibri" w:eastAsia="宋体"/>
      <w:b/>
      <w:bCs/>
      <w:szCs w:val="28"/>
    </w:rPr>
  </w:style>
  <w:style w:type="paragraph" w:styleId="6">
    <w:name w:val="heading 6"/>
    <w:basedOn w:val="a2"/>
    <w:next w:val="a2"/>
    <w:link w:val="6Char"/>
    <w:uiPriority w:val="9"/>
    <w:qFormat/>
    <w:pPr>
      <w:keepNext/>
      <w:keepLines/>
      <w:tabs>
        <w:tab w:val="left" w:pos="165"/>
      </w:tabs>
      <w:spacing w:before="240" w:after="64" w:line="320" w:lineRule="auto"/>
      <w:ind w:left="165" w:hanging="165"/>
      <w:outlineLvl w:val="5"/>
    </w:pPr>
    <w:rPr>
      <w:rFonts w:eastAsia="黑体" w:hAnsi="Arial"/>
      <w:b/>
      <w:sz w:val="24"/>
    </w:rPr>
  </w:style>
  <w:style w:type="paragraph" w:styleId="7">
    <w:name w:val="heading 7"/>
    <w:basedOn w:val="a2"/>
    <w:next w:val="a3"/>
    <w:link w:val="7Char"/>
    <w:uiPriority w:val="9"/>
    <w:qFormat/>
    <w:pPr>
      <w:keepNext/>
      <w:keepLines/>
      <w:tabs>
        <w:tab w:val="left" w:pos="165"/>
      </w:tabs>
      <w:spacing w:before="240" w:after="64" w:line="320" w:lineRule="auto"/>
      <w:ind w:left="165" w:hanging="165"/>
      <w:outlineLvl w:val="6"/>
    </w:pPr>
    <w:rPr>
      <w:rFonts w:ascii="Calibri" w:eastAsia="宋体"/>
      <w:b/>
      <w:sz w:val="24"/>
    </w:rPr>
  </w:style>
  <w:style w:type="paragraph" w:styleId="8">
    <w:name w:val="heading 8"/>
    <w:basedOn w:val="a2"/>
    <w:next w:val="a2"/>
    <w:link w:val="8Char"/>
    <w:uiPriority w:val="9"/>
    <w:qFormat/>
    <w:pPr>
      <w:keepNext/>
      <w:keepLines/>
      <w:tabs>
        <w:tab w:val="left" w:pos="165"/>
      </w:tabs>
      <w:spacing w:before="240" w:after="64" w:line="320" w:lineRule="auto"/>
      <w:ind w:left="165" w:hanging="165"/>
      <w:outlineLvl w:val="7"/>
    </w:pPr>
    <w:rPr>
      <w:rFonts w:eastAsia="黑体" w:hAnsi="Arial"/>
      <w:sz w:val="24"/>
    </w:rPr>
  </w:style>
  <w:style w:type="paragraph" w:styleId="9">
    <w:name w:val="heading 9"/>
    <w:basedOn w:val="a2"/>
    <w:next w:val="a3"/>
    <w:link w:val="9Char"/>
    <w:uiPriority w:val="9"/>
    <w:qFormat/>
    <w:pPr>
      <w:keepNext/>
      <w:keepLines/>
      <w:tabs>
        <w:tab w:val="left" w:pos="165"/>
      </w:tabs>
      <w:spacing w:before="240" w:after="64" w:line="320" w:lineRule="auto"/>
      <w:ind w:left="165" w:hanging="165"/>
      <w:outlineLvl w:val="8"/>
    </w:pPr>
    <w:rPr>
      <w:rFonts w:eastAsia="黑体" w:hAnsi="Aria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正文首行缩进2"/>
    <w:basedOn w:val="a2"/>
    <w:uiPriority w:val="99"/>
    <w:qFormat/>
    <w:pPr>
      <w:spacing w:line="500" w:lineRule="atLeast"/>
      <w:ind w:firstLine="560"/>
      <w:jc w:val="both"/>
    </w:pPr>
  </w:style>
  <w:style w:type="paragraph" w:styleId="a7">
    <w:name w:val="macro"/>
    <w:link w:val="Char"/>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Lines="50" w:before="60" w:afterLines="50" w:after="50" w:line="360" w:lineRule="auto"/>
      <w:ind w:firstLineChars="40" w:firstLine="482"/>
    </w:pPr>
    <w:rPr>
      <w:rFonts w:ascii="Courier New" w:hAnsi="Courier New"/>
      <w:kern w:val="2"/>
      <w:sz w:val="24"/>
      <w:szCs w:val="21"/>
    </w:rPr>
  </w:style>
  <w:style w:type="paragraph" w:styleId="a3">
    <w:name w:val="Normal Indent"/>
    <w:basedOn w:val="a2"/>
    <w:link w:val="Char0"/>
    <w:qFormat/>
    <w:pPr>
      <w:ind w:firstLineChars="200" w:firstLine="420"/>
    </w:pPr>
    <w:rPr>
      <w:rFonts w:eastAsia="宋体"/>
      <w:szCs w:val="24"/>
    </w:rPr>
  </w:style>
  <w:style w:type="paragraph" w:styleId="33">
    <w:name w:val="List 3"/>
    <w:basedOn w:val="a2"/>
    <w:qFormat/>
    <w:pPr>
      <w:ind w:leftChars="400" w:left="100" w:hangingChars="200" w:hanging="200"/>
      <w:jc w:val="both"/>
    </w:pPr>
  </w:style>
  <w:style w:type="paragraph" w:styleId="70">
    <w:name w:val="toc 7"/>
    <w:basedOn w:val="a2"/>
    <w:next w:val="a2"/>
    <w:uiPriority w:val="39"/>
    <w:qFormat/>
    <w:pPr>
      <w:ind w:left="1050"/>
    </w:pPr>
    <w:rPr>
      <w:rFonts w:eastAsiaTheme="minorHAnsi"/>
      <w:sz w:val="20"/>
      <w:szCs w:val="20"/>
    </w:rPr>
  </w:style>
  <w:style w:type="paragraph" w:styleId="23">
    <w:name w:val="List Number 2"/>
    <w:basedOn w:val="a2"/>
    <w:qFormat/>
    <w:pPr>
      <w:tabs>
        <w:tab w:val="left" w:pos="780"/>
        <w:tab w:val="left" w:pos="840"/>
      </w:tabs>
      <w:ind w:left="780" w:hanging="420"/>
    </w:pPr>
  </w:style>
  <w:style w:type="paragraph" w:styleId="a8">
    <w:name w:val="table of authorities"/>
    <w:basedOn w:val="a2"/>
    <w:next w:val="a2"/>
    <w:qFormat/>
    <w:pPr>
      <w:ind w:leftChars="200" w:left="420"/>
      <w:jc w:val="both"/>
    </w:pPr>
  </w:style>
  <w:style w:type="paragraph" w:styleId="a9">
    <w:name w:val="Note Heading"/>
    <w:basedOn w:val="a2"/>
    <w:next w:val="a2"/>
    <w:link w:val="Char2"/>
    <w:qFormat/>
    <w:pPr>
      <w:snapToGrid w:val="0"/>
      <w:spacing w:line="280" w:lineRule="atLeast"/>
      <w:jc w:val="center"/>
    </w:pPr>
    <w:rPr>
      <w:sz w:val="18"/>
      <w:szCs w:val="22"/>
    </w:rPr>
  </w:style>
  <w:style w:type="paragraph" w:styleId="42">
    <w:name w:val="List Bullet 4"/>
    <w:basedOn w:val="a2"/>
    <w:qFormat/>
    <w:pPr>
      <w:tabs>
        <w:tab w:val="left" w:pos="1620"/>
      </w:tabs>
      <w:spacing w:before="60"/>
      <w:ind w:leftChars="600" w:left="1620" w:hangingChars="200" w:hanging="360"/>
    </w:pPr>
    <w:rPr>
      <w:rFonts w:eastAsia="仿宋_GB2312" w:hAnsi="Arial"/>
      <w:sz w:val="24"/>
    </w:rPr>
  </w:style>
  <w:style w:type="paragraph" w:styleId="80">
    <w:name w:val="index 8"/>
    <w:basedOn w:val="a2"/>
    <w:next w:val="a2"/>
    <w:qFormat/>
    <w:pPr>
      <w:ind w:left="2940"/>
      <w:jc w:val="both"/>
    </w:pPr>
  </w:style>
  <w:style w:type="paragraph" w:styleId="aa">
    <w:name w:val="E-mail Signature"/>
    <w:basedOn w:val="a2"/>
    <w:link w:val="Char3"/>
    <w:qFormat/>
    <w:rPr>
      <w:szCs w:val="22"/>
    </w:rPr>
  </w:style>
  <w:style w:type="paragraph" w:styleId="ab">
    <w:name w:val="List Number"/>
    <w:basedOn w:val="a2"/>
    <w:qFormat/>
    <w:pPr>
      <w:tabs>
        <w:tab w:val="left" w:pos="855"/>
      </w:tabs>
      <w:snapToGrid w:val="0"/>
      <w:spacing w:line="500" w:lineRule="exact"/>
      <w:ind w:left="855" w:hanging="855"/>
    </w:pPr>
    <w:rPr>
      <w:rFonts w:ascii="仿宋_GB2312" w:eastAsia="仿宋_GB2312"/>
    </w:rPr>
  </w:style>
  <w:style w:type="paragraph" w:styleId="ac">
    <w:name w:val="caption"/>
    <w:basedOn w:val="a2"/>
    <w:next w:val="a2"/>
    <w:link w:val="Char4"/>
    <w:qFormat/>
    <w:rPr>
      <w:rFonts w:ascii="Cambria" w:eastAsia="黑体" w:hAnsi="Cambria"/>
      <w:szCs w:val="22"/>
    </w:rPr>
  </w:style>
  <w:style w:type="paragraph" w:styleId="51">
    <w:name w:val="index 5"/>
    <w:basedOn w:val="a2"/>
    <w:next w:val="a2"/>
    <w:qFormat/>
    <w:pPr>
      <w:ind w:left="1680"/>
      <w:jc w:val="both"/>
    </w:pPr>
  </w:style>
  <w:style w:type="paragraph" w:styleId="ad">
    <w:name w:val="List Bullet"/>
    <w:basedOn w:val="a2"/>
    <w:qFormat/>
    <w:pPr>
      <w:tabs>
        <w:tab w:val="left" w:pos="360"/>
        <w:tab w:val="left" w:pos="1140"/>
      </w:tabs>
      <w:ind w:left="360" w:hanging="600"/>
    </w:pPr>
  </w:style>
  <w:style w:type="paragraph" w:styleId="ae">
    <w:name w:val="envelope address"/>
    <w:basedOn w:val="a2"/>
    <w:qFormat/>
    <w:pPr>
      <w:snapToGrid w:val="0"/>
      <w:ind w:leftChars="1400" w:left="100"/>
      <w:jc w:val="both"/>
    </w:pPr>
    <w:rPr>
      <w:rFonts w:hAnsi="Arial" w:cs="Arial"/>
      <w:sz w:val="24"/>
    </w:rPr>
  </w:style>
  <w:style w:type="paragraph" w:styleId="af">
    <w:name w:val="Document Map"/>
    <w:basedOn w:val="a2"/>
    <w:link w:val="Char5"/>
    <w:uiPriority w:val="99"/>
    <w:qFormat/>
    <w:rPr>
      <w:rFonts w:ascii="宋体" w:eastAsia="仿宋"/>
      <w:sz w:val="24"/>
      <w:szCs w:val="18"/>
    </w:rPr>
  </w:style>
  <w:style w:type="paragraph" w:styleId="af0">
    <w:name w:val="toa heading"/>
    <w:basedOn w:val="a2"/>
    <w:next w:val="a2"/>
    <w:qFormat/>
    <w:pPr>
      <w:spacing w:before="120"/>
      <w:jc w:val="both"/>
    </w:pPr>
    <w:rPr>
      <w:rFonts w:hAnsi="Arial" w:cs="Arial"/>
      <w:sz w:val="24"/>
    </w:rPr>
  </w:style>
  <w:style w:type="paragraph" w:styleId="af1">
    <w:name w:val="annotation text"/>
    <w:basedOn w:val="a2"/>
    <w:link w:val="Char6"/>
    <w:unhideWhenUsed/>
    <w:qFormat/>
  </w:style>
  <w:style w:type="paragraph" w:styleId="60">
    <w:name w:val="index 6"/>
    <w:basedOn w:val="a2"/>
    <w:next w:val="a2"/>
    <w:qFormat/>
    <w:pPr>
      <w:ind w:left="2100"/>
      <w:jc w:val="both"/>
    </w:pPr>
  </w:style>
  <w:style w:type="paragraph" w:styleId="af2">
    <w:name w:val="Salutation"/>
    <w:basedOn w:val="a2"/>
    <w:next w:val="a2"/>
    <w:link w:val="Char7"/>
    <w:qFormat/>
    <w:rPr>
      <w:sz w:val="32"/>
      <w:szCs w:val="22"/>
    </w:rPr>
  </w:style>
  <w:style w:type="paragraph" w:styleId="34">
    <w:name w:val="Body Text 3"/>
    <w:basedOn w:val="a2"/>
    <w:link w:val="3Char0"/>
    <w:qFormat/>
    <w:pPr>
      <w:spacing w:after="120"/>
    </w:pPr>
    <w:rPr>
      <w:sz w:val="16"/>
      <w:szCs w:val="16"/>
    </w:rPr>
  </w:style>
  <w:style w:type="paragraph" w:styleId="af3">
    <w:name w:val="Closing"/>
    <w:basedOn w:val="a2"/>
    <w:next w:val="a2"/>
    <w:link w:val="Char8"/>
    <w:qFormat/>
    <w:pPr>
      <w:ind w:left="4320"/>
    </w:pPr>
    <w:rPr>
      <w:sz w:val="32"/>
      <w:szCs w:val="22"/>
    </w:rPr>
  </w:style>
  <w:style w:type="paragraph" w:styleId="35">
    <w:name w:val="List Bullet 3"/>
    <w:basedOn w:val="a2"/>
    <w:qFormat/>
    <w:pPr>
      <w:tabs>
        <w:tab w:val="left" w:pos="1200"/>
      </w:tabs>
      <w:spacing w:before="60"/>
      <w:ind w:left="1200" w:hanging="360"/>
    </w:pPr>
    <w:rPr>
      <w:rFonts w:eastAsia="仿宋_GB2312" w:hAnsi="Arial"/>
      <w:sz w:val="24"/>
    </w:rPr>
  </w:style>
  <w:style w:type="paragraph" w:styleId="af4">
    <w:name w:val="Body Text"/>
    <w:basedOn w:val="a2"/>
    <w:link w:val="Char9"/>
    <w:qFormat/>
    <w:pPr>
      <w:spacing w:after="120"/>
    </w:pPr>
    <w:rPr>
      <w:szCs w:val="22"/>
    </w:rPr>
  </w:style>
  <w:style w:type="paragraph" w:styleId="af5">
    <w:name w:val="Body Text Indent"/>
    <w:basedOn w:val="a2"/>
    <w:link w:val="Chara"/>
    <w:qFormat/>
    <w:pPr>
      <w:spacing w:after="120"/>
      <w:ind w:leftChars="200" w:left="420"/>
    </w:pPr>
    <w:rPr>
      <w:szCs w:val="24"/>
    </w:rPr>
  </w:style>
  <w:style w:type="paragraph" w:styleId="36">
    <w:name w:val="List Number 3"/>
    <w:basedOn w:val="a2"/>
    <w:qFormat/>
    <w:pPr>
      <w:tabs>
        <w:tab w:val="left" w:pos="1200"/>
      </w:tabs>
      <w:spacing w:before="60"/>
      <w:ind w:left="1200" w:hanging="360"/>
    </w:pPr>
    <w:rPr>
      <w:rFonts w:eastAsia="仿宋_GB2312" w:hAnsi="Arial"/>
      <w:sz w:val="24"/>
    </w:rPr>
  </w:style>
  <w:style w:type="paragraph" w:styleId="24">
    <w:name w:val="List 2"/>
    <w:basedOn w:val="a2"/>
    <w:qFormat/>
    <w:pPr>
      <w:ind w:leftChars="200" w:left="100" w:hangingChars="200" w:hanging="200"/>
    </w:pPr>
  </w:style>
  <w:style w:type="paragraph" w:styleId="af6">
    <w:name w:val="List Continue"/>
    <w:basedOn w:val="a2"/>
    <w:link w:val="Charb"/>
    <w:qFormat/>
    <w:pPr>
      <w:spacing w:before="60" w:after="120"/>
      <w:ind w:left="420" w:firstLine="482"/>
    </w:pPr>
    <w:rPr>
      <w:rFonts w:eastAsia="仿宋_GB2312" w:hAnsi="Arial"/>
      <w:sz w:val="24"/>
      <w:szCs w:val="22"/>
    </w:rPr>
  </w:style>
  <w:style w:type="paragraph" w:styleId="af7">
    <w:name w:val="Block Text"/>
    <w:basedOn w:val="a2"/>
    <w:qFormat/>
    <w:pPr>
      <w:ind w:leftChars="-1" w:left="-2" w:rightChars="-37" w:right="-78" w:firstLineChars="225" w:firstLine="630"/>
    </w:pPr>
    <w:rPr>
      <w:rFonts w:ascii="宋体" w:hAnsi="宋体"/>
    </w:rPr>
  </w:style>
  <w:style w:type="paragraph" w:styleId="2">
    <w:name w:val="List Bullet 2"/>
    <w:basedOn w:val="a2"/>
    <w:qFormat/>
    <w:pPr>
      <w:numPr>
        <w:numId w:val="1"/>
      </w:numPr>
      <w:tabs>
        <w:tab w:val="clear" w:pos="780"/>
        <w:tab w:val="left" w:pos="1200"/>
      </w:tabs>
      <w:spacing w:line="500" w:lineRule="exact"/>
      <w:ind w:left="1200" w:firstLine="0"/>
    </w:pPr>
    <w:rPr>
      <w:rFonts w:hAnsi="宋体"/>
      <w:spacing w:val="6"/>
      <w:sz w:val="24"/>
    </w:rPr>
  </w:style>
  <w:style w:type="paragraph" w:styleId="HTML">
    <w:name w:val="HTML Address"/>
    <w:basedOn w:val="a2"/>
    <w:link w:val="HTMLChar"/>
    <w:pPr>
      <w:spacing w:line="360" w:lineRule="auto"/>
      <w:jc w:val="both"/>
    </w:pPr>
    <w:rPr>
      <w:sz w:val="18"/>
      <w:szCs w:val="18"/>
    </w:rPr>
  </w:style>
  <w:style w:type="paragraph" w:styleId="43">
    <w:name w:val="index 4"/>
    <w:basedOn w:val="a2"/>
    <w:next w:val="a2"/>
    <w:qFormat/>
    <w:pPr>
      <w:ind w:left="1260"/>
      <w:jc w:val="both"/>
    </w:pPr>
  </w:style>
  <w:style w:type="paragraph" w:styleId="52">
    <w:name w:val="toc 5"/>
    <w:basedOn w:val="a2"/>
    <w:next w:val="a2"/>
    <w:uiPriority w:val="39"/>
    <w:qFormat/>
    <w:pPr>
      <w:ind w:left="630"/>
    </w:pPr>
    <w:rPr>
      <w:rFonts w:eastAsiaTheme="minorHAnsi"/>
      <w:sz w:val="20"/>
      <w:szCs w:val="20"/>
    </w:rPr>
  </w:style>
  <w:style w:type="paragraph" w:styleId="37">
    <w:name w:val="toc 3"/>
    <w:basedOn w:val="a2"/>
    <w:next w:val="a2"/>
    <w:uiPriority w:val="39"/>
    <w:qFormat/>
    <w:pPr>
      <w:ind w:left="210"/>
    </w:pPr>
    <w:rPr>
      <w:rFonts w:eastAsiaTheme="minorHAnsi"/>
      <w:sz w:val="20"/>
      <w:szCs w:val="20"/>
    </w:rPr>
  </w:style>
  <w:style w:type="paragraph" w:styleId="af8">
    <w:name w:val="Plain Text"/>
    <w:basedOn w:val="a2"/>
    <w:link w:val="Charc"/>
    <w:qFormat/>
    <w:rPr>
      <w:rFonts w:ascii="宋体" w:eastAsia="宋体" w:hAnsi="Courier New"/>
      <w:kern w:val="24"/>
      <w:sz w:val="24"/>
    </w:rPr>
  </w:style>
  <w:style w:type="paragraph" w:styleId="53">
    <w:name w:val="List Bullet 5"/>
    <w:basedOn w:val="a2"/>
    <w:qFormat/>
    <w:pPr>
      <w:tabs>
        <w:tab w:val="left" w:pos="2040"/>
      </w:tabs>
      <w:spacing w:before="60"/>
      <w:ind w:left="2040" w:hanging="360"/>
    </w:pPr>
    <w:rPr>
      <w:rFonts w:eastAsia="仿宋_GB2312" w:hAnsi="Arial"/>
      <w:sz w:val="24"/>
    </w:rPr>
  </w:style>
  <w:style w:type="paragraph" w:styleId="44">
    <w:name w:val="List Number 4"/>
    <w:basedOn w:val="a2"/>
    <w:qFormat/>
    <w:pPr>
      <w:tabs>
        <w:tab w:val="left" w:pos="1620"/>
      </w:tabs>
      <w:spacing w:before="60"/>
      <w:ind w:left="1620" w:hanging="360"/>
    </w:pPr>
    <w:rPr>
      <w:rFonts w:eastAsia="仿宋_GB2312" w:hAnsi="Arial"/>
      <w:sz w:val="24"/>
    </w:rPr>
  </w:style>
  <w:style w:type="paragraph" w:styleId="81">
    <w:name w:val="toc 8"/>
    <w:basedOn w:val="a2"/>
    <w:next w:val="a2"/>
    <w:uiPriority w:val="39"/>
    <w:qFormat/>
    <w:pPr>
      <w:ind w:left="1260"/>
    </w:pPr>
    <w:rPr>
      <w:rFonts w:eastAsiaTheme="minorHAnsi"/>
      <w:sz w:val="20"/>
      <w:szCs w:val="20"/>
    </w:rPr>
  </w:style>
  <w:style w:type="paragraph" w:styleId="38">
    <w:name w:val="index 3"/>
    <w:basedOn w:val="a2"/>
    <w:next w:val="a2"/>
    <w:qFormat/>
    <w:pPr>
      <w:ind w:left="840"/>
      <w:jc w:val="both"/>
    </w:pPr>
  </w:style>
  <w:style w:type="paragraph" w:styleId="af9">
    <w:name w:val="Date"/>
    <w:basedOn w:val="a2"/>
    <w:next w:val="a2"/>
    <w:link w:val="Chard"/>
    <w:unhideWhenUsed/>
    <w:qFormat/>
    <w:pPr>
      <w:ind w:leftChars="2500" w:left="100"/>
    </w:pPr>
  </w:style>
  <w:style w:type="paragraph" w:styleId="25">
    <w:name w:val="Body Text Indent 2"/>
    <w:basedOn w:val="a2"/>
    <w:link w:val="2Char"/>
    <w:qFormat/>
    <w:pPr>
      <w:spacing w:after="120" w:line="480" w:lineRule="auto"/>
      <w:ind w:leftChars="200" w:left="420"/>
    </w:pPr>
    <w:rPr>
      <w:szCs w:val="24"/>
    </w:rPr>
  </w:style>
  <w:style w:type="paragraph" w:styleId="afa">
    <w:name w:val="endnote text"/>
    <w:basedOn w:val="a2"/>
    <w:link w:val="Chare"/>
    <w:qFormat/>
    <w:pPr>
      <w:snapToGrid w:val="0"/>
      <w:spacing w:line="360" w:lineRule="auto"/>
    </w:pPr>
    <w:rPr>
      <w:sz w:val="24"/>
      <w:szCs w:val="24"/>
    </w:rPr>
  </w:style>
  <w:style w:type="paragraph" w:styleId="54">
    <w:name w:val="List Continue 5"/>
    <w:basedOn w:val="a2"/>
    <w:qFormat/>
    <w:pPr>
      <w:spacing w:after="120" w:line="440" w:lineRule="exact"/>
      <w:ind w:leftChars="1000" w:left="2100"/>
      <w:jc w:val="both"/>
    </w:pPr>
    <w:rPr>
      <w:sz w:val="24"/>
    </w:rPr>
  </w:style>
  <w:style w:type="paragraph" w:styleId="afb">
    <w:name w:val="Balloon Text"/>
    <w:basedOn w:val="a2"/>
    <w:link w:val="Charf"/>
    <w:uiPriority w:val="99"/>
    <w:unhideWhenUsed/>
    <w:qFormat/>
    <w:rPr>
      <w:sz w:val="18"/>
      <w:szCs w:val="18"/>
    </w:rPr>
  </w:style>
  <w:style w:type="paragraph" w:styleId="afc">
    <w:name w:val="footer"/>
    <w:basedOn w:val="a2"/>
    <w:link w:val="Charf0"/>
    <w:uiPriority w:val="99"/>
    <w:unhideWhenUsed/>
    <w:qFormat/>
    <w:pPr>
      <w:tabs>
        <w:tab w:val="center" w:pos="4153"/>
        <w:tab w:val="right" w:pos="8306"/>
      </w:tabs>
      <w:autoSpaceDE/>
      <w:autoSpaceDN/>
      <w:adjustRightInd/>
      <w:snapToGrid w:val="0"/>
    </w:pPr>
    <w:rPr>
      <w:sz w:val="18"/>
      <w:szCs w:val="18"/>
    </w:rPr>
  </w:style>
  <w:style w:type="paragraph" w:styleId="afd">
    <w:name w:val="envelope return"/>
    <w:basedOn w:val="a2"/>
    <w:qFormat/>
    <w:pPr>
      <w:snapToGrid w:val="0"/>
    </w:pPr>
    <w:rPr>
      <w:rFonts w:hAnsi="Arial"/>
    </w:rPr>
  </w:style>
  <w:style w:type="paragraph" w:styleId="afe">
    <w:name w:val="header"/>
    <w:basedOn w:val="a2"/>
    <w:link w:val="Charf1"/>
    <w:uiPriority w:val="99"/>
    <w:unhideWhenUsed/>
    <w:qFormat/>
    <w:pPr>
      <w:pBdr>
        <w:bottom w:val="single" w:sz="6" w:space="1" w:color="auto"/>
      </w:pBdr>
      <w:tabs>
        <w:tab w:val="center" w:pos="4153"/>
        <w:tab w:val="right" w:pos="8306"/>
      </w:tabs>
      <w:autoSpaceDE/>
      <w:autoSpaceDN/>
      <w:adjustRightInd/>
      <w:snapToGrid w:val="0"/>
      <w:jc w:val="center"/>
    </w:pPr>
    <w:rPr>
      <w:sz w:val="18"/>
      <w:szCs w:val="18"/>
    </w:rPr>
  </w:style>
  <w:style w:type="paragraph" w:styleId="aff">
    <w:name w:val="Signature"/>
    <w:basedOn w:val="a2"/>
    <w:link w:val="Charf2"/>
    <w:qFormat/>
    <w:pPr>
      <w:spacing w:before="60"/>
      <w:ind w:left="4320" w:firstLine="482"/>
    </w:pPr>
    <w:rPr>
      <w:rFonts w:eastAsia="仿宋_GB2312" w:hAnsi="Arial"/>
      <w:sz w:val="24"/>
      <w:szCs w:val="22"/>
    </w:rPr>
  </w:style>
  <w:style w:type="paragraph" w:styleId="13">
    <w:name w:val="toc 1"/>
    <w:basedOn w:val="a2"/>
    <w:next w:val="a2"/>
    <w:uiPriority w:val="39"/>
    <w:qFormat/>
    <w:pPr>
      <w:spacing w:before="360"/>
    </w:pPr>
    <w:rPr>
      <w:rFonts w:asciiTheme="majorHAnsi" w:eastAsiaTheme="majorHAnsi"/>
      <w:b/>
      <w:bCs/>
      <w:caps/>
      <w:sz w:val="24"/>
      <w:szCs w:val="24"/>
    </w:rPr>
  </w:style>
  <w:style w:type="paragraph" w:styleId="45">
    <w:name w:val="List Continue 4"/>
    <w:basedOn w:val="a2"/>
    <w:qFormat/>
    <w:pPr>
      <w:spacing w:after="120"/>
      <w:ind w:left="1680"/>
      <w:jc w:val="both"/>
    </w:pPr>
  </w:style>
  <w:style w:type="paragraph" w:styleId="46">
    <w:name w:val="toc 4"/>
    <w:basedOn w:val="a2"/>
    <w:next w:val="a2"/>
    <w:uiPriority w:val="39"/>
    <w:qFormat/>
    <w:pPr>
      <w:ind w:left="420"/>
    </w:pPr>
    <w:rPr>
      <w:rFonts w:eastAsiaTheme="minorHAnsi"/>
      <w:sz w:val="20"/>
      <w:szCs w:val="20"/>
    </w:rPr>
  </w:style>
  <w:style w:type="paragraph" w:styleId="aff0">
    <w:name w:val="index heading"/>
    <w:basedOn w:val="a2"/>
    <w:next w:val="14"/>
    <w:qFormat/>
    <w:pPr>
      <w:spacing w:line="500" w:lineRule="exact"/>
    </w:pPr>
    <w:rPr>
      <w:rFonts w:ascii="仿宋_GB2312" w:eastAsia="仿宋_GB2312"/>
    </w:rPr>
  </w:style>
  <w:style w:type="paragraph" w:styleId="14">
    <w:name w:val="index 1"/>
    <w:basedOn w:val="a2"/>
    <w:next w:val="a2"/>
    <w:unhideWhenUsed/>
    <w:qFormat/>
  </w:style>
  <w:style w:type="paragraph" w:styleId="aff1">
    <w:name w:val="Subtitle"/>
    <w:basedOn w:val="a2"/>
    <w:link w:val="Charf3"/>
    <w:qFormat/>
    <w:pPr>
      <w:spacing w:before="240" w:after="60" w:line="312" w:lineRule="auto"/>
      <w:jc w:val="center"/>
      <w:outlineLvl w:val="1"/>
    </w:pPr>
    <w:rPr>
      <w:rFonts w:hAnsi="Arial" w:cs="Arial"/>
      <w:b/>
      <w:bCs/>
      <w:kern w:val="28"/>
      <w:sz w:val="32"/>
      <w:szCs w:val="32"/>
    </w:rPr>
  </w:style>
  <w:style w:type="paragraph" w:styleId="5">
    <w:name w:val="List Number 5"/>
    <w:basedOn w:val="a2"/>
    <w:qFormat/>
    <w:pPr>
      <w:numPr>
        <w:numId w:val="2"/>
      </w:numPr>
      <w:ind w:left="0" w:firstLine="0"/>
    </w:pPr>
    <w:rPr>
      <w:rFonts w:hAnsi="宋体"/>
    </w:rPr>
  </w:style>
  <w:style w:type="paragraph" w:styleId="aff2">
    <w:name w:val="List"/>
    <w:basedOn w:val="a2"/>
    <w:link w:val="Charf4"/>
    <w:qFormat/>
    <w:pPr>
      <w:spacing w:line="360" w:lineRule="exact"/>
      <w:jc w:val="center"/>
    </w:pPr>
    <w:rPr>
      <w:rFonts w:ascii="仿宋_GB2312" w:eastAsia="仿宋_GB2312"/>
      <w:sz w:val="24"/>
      <w:szCs w:val="22"/>
    </w:rPr>
  </w:style>
  <w:style w:type="paragraph" w:styleId="aff3">
    <w:name w:val="footnote text"/>
    <w:basedOn w:val="a2"/>
    <w:link w:val="Char10"/>
    <w:qFormat/>
    <w:pPr>
      <w:snapToGrid w:val="0"/>
      <w:spacing w:beforeLines="50" w:before="50" w:afterLines="50" w:after="50" w:line="300" w:lineRule="auto"/>
      <w:ind w:firstLineChars="200" w:firstLine="200"/>
    </w:pPr>
    <w:rPr>
      <w:rFonts w:hAnsi="Arial"/>
      <w:bCs/>
      <w:sz w:val="18"/>
      <w:szCs w:val="18"/>
    </w:rPr>
  </w:style>
  <w:style w:type="paragraph" w:styleId="61">
    <w:name w:val="toc 6"/>
    <w:basedOn w:val="a2"/>
    <w:next w:val="a2"/>
    <w:uiPriority w:val="39"/>
    <w:qFormat/>
    <w:pPr>
      <w:ind w:left="840"/>
    </w:pPr>
    <w:rPr>
      <w:rFonts w:eastAsiaTheme="minorHAnsi"/>
      <w:sz w:val="20"/>
      <w:szCs w:val="20"/>
    </w:rPr>
  </w:style>
  <w:style w:type="paragraph" w:styleId="56">
    <w:name w:val="List 5"/>
    <w:basedOn w:val="a2"/>
    <w:qFormat/>
    <w:pPr>
      <w:tabs>
        <w:tab w:val="left" w:pos="780"/>
      </w:tabs>
      <w:spacing w:before="50" w:line="500" w:lineRule="exact"/>
      <w:ind w:left="780" w:hanging="360"/>
    </w:pPr>
    <w:rPr>
      <w:rFonts w:hAnsi="宋体"/>
      <w:spacing w:val="6"/>
      <w:sz w:val="24"/>
    </w:rPr>
  </w:style>
  <w:style w:type="paragraph" w:styleId="39">
    <w:name w:val="Body Text Indent 3"/>
    <w:basedOn w:val="a2"/>
    <w:link w:val="3Char1"/>
    <w:qFormat/>
    <w:pPr>
      <w:spacing w:line="540" w:lineRule="atLeast"/>
      <w:ind w:firstLine="570"/>
    </w:pPr>
    <w:rPr>
      <w:szCs w:val="22"/>
    </w:rPr>
  </w:style>
  <w:style w:type="paragraph" w:styleId="71">
    <w:name w:val="index 7"/>
    <w:basedOn w:val="a2"/>
    <w:next w:val="a2"/>
    <w:qFormat/>
    <w:pPr>
      <w:ind w:left="2520"/>
      <w:jc w:val="both"/>
    </w:pPr>
  </w:style>
  <w:style w:type="paragraph" w:styleId="90">
    <w:name w:val="index 9"/>
    <w:basedOn w:val="a2"/>
    <w:next w:val="a2"/>
    <w:qFormat/>
    <w:pPr>
      <w:snapToGrid w:val="0"/>
      <w:spacing w:before="120" w:after="120" w:line="360" w:lineRule="auto"/>
      <w:ind w:leftChars="1600" w:left="1600" w:firstLineChars="200" w:firstLine="200"/>
      <w:jc w:val="both"/>
    </w:pPr>
    <w:rPr>
      <w:sz w:val="24"/>
    </w:rPr>
  </w:style>
  <w:style w:type="paragraph" w:styleId="aff4">
    <w:name w:val="table of figures"/>
    <w:basedOn w:val="a2"/>
    <w:next w:val="a2"/>
    <w:qFormat/>
    <w:pPr>
      <w:spacing w:line="500" w:lineRule="atLeast"/>
      <w:jc w:val="center"/>
    </w:pPr>
    <w:rPr>
      <w:rFonts w:ascii="仿宋_GB2312" w:eastAsia="仿宋_GB2312" w:hint="eastAsia"/>
    </w:rPr>
  </w:style>
  <w:style w:type="paragraph" w:styleId="26">
    <w:name w:val="toc 2"/>
    <w:basedOn w:val="a2"/>
    <w:next w:val="a2"/>
    <w:uiPriority w:val="39"/>
    <w:qFormat/>
    <w:pPr>
      <w:spacing w:before="240"/>
    </w:pPr>
    <w:rPr>
      <w:rFonts w:eastAsiaTheme="minorHAnsi"/>
      <w:b/>
      <w:bCs/>
      <w:sz w:val="20"/>
      <w:szCs w:val="20"/>
    </w:rPr>
  </w:style>
  <w:style w:type="paragraph" w:styleId="91">
    <w:name w:val="toc 9"/>
    <w:basedOn w:val="a2"/>
    <w:next w:val="a2"/>
    <w:uiPriority w:val="39"/>
    <w:qFormat/>
    <w:pPr>
      <w:ind w:left="1470"/>
    </w:pPr>
    <w:rPr>
      <w:rFonts w:eastAsiaTheme="minorHAnsi"/>
      <w:sz w:val="20"/>
      <w:szCs w:val="20"/>
    </w:rPr>
  </w:style>
  <w:style w:type="paragraph" w:styleId="27">
    <w:name w:val="Body Text 2"/>
    <w:basedOn w:val="a2"/>
    <w:link w:val="2Char0"/>
    <w:qFormat/>
    <w:pPr>
      <w:jc w:val="center"/>
    </w:pPr>
    <w:rPr>
      <w:rFonts w:eastAsia="仿宋_GB2312"/>
      <w:szCs w:val="24"/>
    </w:rPr>
  </w:style>
  <w:style w:type="paragraph" w:styleId="47">
    <w:name w:val="List 4"/>
    <w:basedOn w:val="a2"/>
    <w:qFormat/>
    <w:pPr>
      <w:ind w:leftChars="600" w:left="100" w:hangingChars="200" w:hanging="200"/>
      <w:jc w:val="both"/>
    </w:pPr>
  </w:style>
  <w:style w:type="paragraph" w:styleId="28">
    <w:name w:val="List Continue 2"/>
    <w:basedOn w:val="a2"/>
    <w:qFormat/>
    <w:pPr>
      <w:spacing w:before="60" w:after="120"/>
      <w:ind w:left="840" w:firstLine="482"/>
    </w:pPr>
    <w:rPr>
      <w:rFonts w:eastAsia="仿宋_GB2312" w:hAnsi="Arial"/>
      <w:sz w:val="24"/>
    </w:rPr>
  </w:style>
  <w:style w:type="paragraph" w:styleId="aff5">
    <w:name w:val="Message Header"/>
    <w:basedOn w:val="a2"/>
    <w:link w:val="Charf5"/>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both"/>
    </w:pPr>
    <w:rPr>
      <w:rFonts w:hAnsi="Arial"/>
      <w:sz w:val="24"/>
      <w:szCs w:val="24"/>
    </w:rPr>
  </w:style>
  <w:style w:type="paragraph" w:styleId="HTML0">
    <w:name w:val="HTML Preformatted"/>
    <w:basedOn w:val="a2"/>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 w:val="24"/>
      <w:szCs w:val="24"/>
    </w:rPr>
  </w:style>
  <w:style w:type="paragraph" w:styleId="aff6">
    <w:name w:val="Normal (Web)"/>
    <w:basedOn w:val="a2"/>
    <w:uiPriority w:val="99"/>
    <w:qFormat/>
    <w:rPr>
      <w:rFonts w:eastAsia="仿宋_GB2312"/>
      <w:sz w:val="24"/>
    </w:rPr>
  </w:style>
  <w:style w:type="paragraph" w:styleId="3a">
    <w:name w:val="List Continue 3"/>
    <w:basedOn w:val="a2"/>
    <w:qFormat/>
    <w:pPr>
      <w:spacing w:after="120"/>
      <w:ind w:leftChars="600" w:left="1260"/>
      <w:jc w:val="both"/>
    </w:pPr>
  </w:style>
  <w:style w:type="paragraph" w:styleId="29">
    <w:name w:val="index 2"/>
    <w:basedOn w:val="a2"/>
    <w:next w:val="a2"/>
    <w:qFormat/>
    <w:pPr>
      <w:snapToGrid w:val="0"/>
      <w:ind w:leftChars="200" w:left="200"/>
    </w:pPr>
    <w:rPr>
      <w:rFonts w:ascii="宋体" w:hAnsi="宋体"/>
      <w:sz w:val="24"/>
    </w:rPr>
  </w:style>
  <w:style w:type="paragraph" w:styleId="aff7">
    <w:name w:val="Title"/>
    <w:basedOn w:val="a2"/>
    <w:next w:val="a2"/>
    <w:link w:val="Charf6"/>
    <w:qFormat/>
    <w:pPr>
      <w:spacing w:before="240" w:after="60"/>
      <w:jc w:val="center"/>
      <w:outlineLvl w:val="0"/>
    </w:pPr>
    <w:rPr>
      <w:rFonts w:hAnsi="Arial" w:cs="Arial"/>
      <w:b/>
      <w:bCs/>
      <w:sz w:val="32"/>
      <w:szCs w:val="32"/>
    </w:rPr>
  </w:style>
  <w:style w:type="paragraph" w:styleId="aff8">
    <w:name w:val="annotation subject"/>
    <w:basedOn w:val="af1"/>
    <w:next w:val="af1"/>
    <w:link w:val="Charf7"/>
    <w:uiPriority w:val="99"/>
    <w:unhideWhenUsed/>
    <w:qFormat/>
    <w:rPr>
      <w:b/>
      <w:bCs/>
    </w:rPr>
  </w:style>
  <w:style w:type="paragraph" w:styleId="aff9">
    <w:name w:val="Body Text First Indent"/>
    <w:basedOn w:val="af4"/>
    <w:link w:val="Charf8"/>
    <w:qFormat/>
    <w:pPr>
      <w:ind w:firstLineChars="100" w:firstLine="420"/>
    </w:pPr>
    <w:rPr>
      <w:rFonts w:eastAsia="宋体"/>
      <w:szCs w:val="24"/>
    </w:rPr>
  </w:style>
  <w:style w:type="paragraph" w:styleId="2a">
    <w:name w:val="Body Text First Indent 2"/>
    <w:basedOn w:val="af5"/>
    <w:link w:val="2Char2"/>
    <w:qFormat/>
    <w:pPr>
      <w:ind w:firstLineChars="200" w:firstLine="420"/>
    </w:pPr>
  </w:style>
  <w:style w:type="table" w:styleId="affa">
    <w:name w:val="Table Grid"/>
    <w:basedOn w:val="a5"/>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b">
    <w:name w:val="Table Theme"/>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c">
    <w:name w:val="Table Elegant"/>
    <w:basedOn w:val="a5"/>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5">
    <w:name w:val="Table Classic 1"/>
    <w:basedOn w:val="a5"/>
    <w:pPr>
      <w:widowControl w:val="0"/>
      <w:jc w:val="both"/>
    </w:pPr>
    <w:rPr>
      <w:rFonts w:ascii="Times New Roman" w:eastAsia="宋体"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6">
    <w:name w:val="Table Simple 1"/>
    <w:basedOn w:val="a5"/>
    <w:pPr>
      <w:widowControl w:val="0"/>
      <w:jc w:val="both"/>
    </w:pPr>
    <w:rPr>
      <w:rFonts w:ascii="Times New Roman" w:eastAsia="宋体"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3b">
    <w:name w:val="Table List 3"/>
    <w:basedOn w:val="a5"/>
    <w:pPr>
      <w:widowControl w:val="0"/>
      <w:jc w:val="both"/>
    </w:pPr>
    <w:rPr>
      <w:rFonts w:ascii="Times New Roman" w:eastAsia="宋体" w:hAnsi="Times New Roman" w:cs="Times New Roman"/>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62">
    <w:name w:val="Table List 6"/>
    <w:basedOn w:val="a5"/>
    <w:pPr>
      <w:widowControl w:val="0"/>
      <w:spacing w:line="360" w:lineRule="auto"/>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fd">
    <w:name w:val="Table Contemporary"/>
    <w:basedOn w:val="a5"/>
    <w:pPr>
      <w:widowControl w:val="0"/>
      <w:jc w:val="both"/>
    </w:pPr>
    <w:rPr>
      <w:rFonts w:ascii="Times New Roman" w:eastAsia="宋体" w:hAnsi="Times New Roman" w:cs="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7">
    <w:name w:val="Table Grid 1"/>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7">
    <w:name w:val="Table Grid 5"/>
    <w:basedOn w:val="a5"/>
    <w:pPr>
      <w:widowControl w:val="0"/>
      <w:jc w:val="both"/>
    </w:pPr>
    <w:rPr>
      <w:rFonts w:ascii="Times New Roman" w:eastAsia="宋体"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Grid 7"/>
    <w:basedOn w:val="a5"/>
    <w:pPr>
      <w:widowControl w:val="0"/>
      <w:jc w:val="both"/>
    </w:pPr>
    <w:rPr>
      <w:rFonts w:ascii="Times New Roman" w:eastAsia="宋体"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5"/>
    <w:pPr>
      <w:widowControl w:val="0"/>
      <w:jc w:val="both"/>
    </w:pPr>
    <w:rPr>
      <w:rFonts w:ascii="Times New Roman" w:eastAsia="宋体"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e">
    <w:name w:val="Table Professional"/>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
    <w:name w:val="Strong"/>
    <w:uiPriority w:val="22"/>
    <w:qFormat/>
    <w:rPr>
      <w:b/>
      <w:bCs/>
    </w:rPr>
  </w:style>
  <w:style w:type="character" w:styleId="afff0">
    <w:name w:val="endnote reference"/>
    <w:rPr>
      <w:vertAlign w:val="superscript"/>
    </w:rPr>
  </w:style>
  <w:style w:type="character" w:styleId="afff1">
    <w:name w:val="page number"/>
    <w:basedOn w:val="a4"/>
  </w:style>
  <w:style w:type="character" w:styleId="afff2">
    <w:name w:val="FollowedHyperlink"/>
    <w:rPr>
      <w:color w:val="800080"/>
      <w:u w:val="single"/>
    </w:rPr>
  </w:style>
  <w:style w:type="character" w:styleId="afff3">
    <w:name w:val="Emphasis"/>
    <w:uiPriority w:val="20"/>
    <w:qFormat/>
    <w:rPr>
      <w:color w:val="CC0000"/>
    </w:rPr>
  </w:style>
  <w:style w:type="character" w:styleId="afff4">
    <w:name w:val="line number"/>
    <w:basedOn w:val="a4"/>
  </w:style>
  <w:style w:type="character" w:styleId="HTML1">
    <w:name w:val="HTML Definition"/>
    <w:rPr>
      <w:i/>
      <w:iCs/>
    </w:rPr>
  </w:style>
  <w:style w:type="character" w:styleId="HTML2">
    <w:name w:val="HTML Typewriter"/>
    <w:rPr>
      <w:rFonts w:ascii="黑体" w:eastAsia="黑体" w:hAnsi="Courier New" w:cs="Courier New"/>
      <w:sz w:val="20"/>
      <w:szCs w:val="20"/>
    </w:rPr>
  </w:style>
  <w:style w:type="character" w:styleId="HTML3">
    <w:name w:val="HTML Acronym"/>
    <w:basedOn w:val="a4"/>
  </w:style>
  <w:style w:type="character" w:styleId="HTML4">
    <w:name w:val="HTML Variable"/>
    <w:rPr>
      <w:i/>
      <w:iCs/>
    </w:rPr>
  </w:style>
  <w:style w:type="character" w:styleId="afff5">
    <w:name w:val="Hyperlink"/>
    <w:uiPriority w:val="99"/>
    <w:rPr>
      <w:color w:val="0000FF"/>
      <w:u w:val="single"/>
    </w:rPr>
  </w:style>
  <w:style w:type="character" w:styleId="HTML5">
    <w:name w:val="HTML Code"/>
    <w:rPr>
      <w:rFonts w:ascii="黑体" w:eastAsia="黑体" w:hAnsi="Courier New" w:cs="Courier New"/>
      <w:sz w:val="24"/>
      <w:szCs w:val="24"/>
    </w:rPr>
  </w:style>
  <w:style w:type="character" w:styleId="afff6">
    <w:name w:val="annotation reference"/>
    <w:basedOn w:val="a4"/>
    <w:unhideWhenUsed/>
    <w:qFormat/>
    <w:rPr>
      <w:sz w:val="21"/>
      <w:szCs w:val="21"/>
    </w:rPr>
  </w:style>
  <w:style w:type="character" w:styleId="HTML6">
    <w:name w:val="HTML Cite"/>
    <w:rPr>
      <w:i/>
      <w:iCs/>
    </w:rPr>
  </w:style>
  <w:style w:type="character" w:styleId="afff7">
    <w:name w:val="footnote reference"/>
    <w:rPr>
      <w:vertAlign w:val="superscript"/>
    </w:rPr>
  </w:style>
  <w:style w:type="character" w:styleId="HTML7">
    <w:name w:val="HTML Keyboard"/>
    <w:rPr>
      <w:rFonts w:ascii="Courier New" w:hAnsi="Courier New" w:cs="Courier New"/>
      <w:sz w:val="20"/>
      <w:szCs w:val="20"/>
    </w:rPr>
  </w:style>
  <w:style w:type="character" w:styleId="HTML8">
    <w:name w:val="HTML Sample"/>
    <w:rPr>
      <w:rFonts w:ascii="Courier New" w:hAnsi="Courier New" w:cs="Courier New"/>
    </w:rPr>
  </w:style>
  <w:style w:type="character" w:customStyle="1" w:styleId="Charf1">
    <w:name w:val="页眉 Char"/>
    <w:basedOn w:val="a4"/>
    <w:link w:val="afe"/>
    <w:uiPriority w:val="99"/>
    <w:qFormat/>
    <w:rPr>
      <w:sz w:val="18"/>
      <w:szCs w:val="18"/>
    </w:rPr>
  </w:style>
  <w:style w:type="character" w:customStyle="1" w:styleId="Charf0">
    <w:name w:val="页脚 Char"/>
    <w:basedOn w:val="a4"/>
    <w:link w:val="afc"/>
    <w:uiPriority w:val="99"/>
    <w:qFormat/>
    <w:rPr>
      <w:sz w:val="18"/>
      <w:szCs w:val="18"/>
    </w:rPr>
  </w:style>
  <w:style w:type="paragraph" w:customStyle="1" w:styleId="5Char0">
    <w:name w:val="5 Char"/>
    <w:basedOn w:val="a2"/>
    <w:qFormat/>
    <w:rPr>
      <w:sz w:val="24"/>
    </w:rPr>
  </w:style>
  <w:style w:type="paragraph" w:styleId="afff8">
    <w:name w:val="No Spacing"/>
    <w:basedOn w:val="a2"/>
    <w:qFormat/>
    <w:rPr>
      <w:sz w:val="22"/>
      <w:szCs w:val="22"/>
    </w:rPr>
  </w:style>
  <w:style w:type="character" w:customStyle="1" w:styleId="Chard">
    <w:name w:val="日期 Char"/>
    <w:basedOn w:val="a4"/>
    <w:link w:val="af9"/>
    <w:rPr>
      <w:rFonts w:ascii="Arial" w:eastAsia="楷体_GB2312" w:hAnsi="Times New Roman" w:cs="Times New Roman"/>
      <w:spacing w:val="-6"/>
      <w:kern w:val="0"/>
      <w:sz w:val="28"/>
      <w:szCs w:val="20"/>
    </w:rPr>
  </w:style>
  <w:style w:type="character" w:customStyle="1" w:styleId="1Char">
    <w:name w:val="标题 1 Char"/>
    <w:basedOn w:val="a4"/>
    <w:link w:val="12"/>
    <w:uiPriority w:val="9"/>
    <w:qFormat/>
    <w:rPr>
      <w:rFonts w:ascii="Calibri" w:eastAsia="黑体" w:hAnsi="Times New Roman" w:cs="Times New Roman"/>
      <w:bCs/>
      <w:kern w:val="44"/>
      <w:sz w:val="48"/>
      <w:szCs w:val="48"/>
    </w:rPr>
  </w:style>
  <w:style w:type="paragraph" w:customStyle="1" w:styleId="afff9">
    <w:name w:val="样式 四号"/>
    <w:basedOn w:val="a2"/>
    <w:qFormat/>
    <w:pPr>
      <w:spacing w:beforeLines="50" w:before="156" w:afterLines="50" w:after="156" w:line="360" w:lineRule="auto"/>
      <w:ind w:firstLineChars="192" w:firstLine="461"/>
    </w:pPr>
    <w:rPr>
      <w:rFonts w:cs="宋体"/>
      <w:sz w:val="24"/>
    </w:rPr>
  </w:style>
  <w:style w:type="character" w:customStyle="1" w:styleId="Char6">
    <w:name w:val="批注文字 Char"/>
    <w:basedOn w:val="a4"/>
    <w:link w:val="af1"/>
    <w:qFormat/>
    <w:rPr>
      <w:rFonts w:ascii="Arial" w:eastAsia="楷体_GB2312" w:hAnsi="Times New Roman" w:cs="Times New Roman"/>
      <w:spacing w:val="-6"/>
      <w:kern w:val="0"/>
      <w:sz w:val="28"/>
      <w:szCs w:val="20"/>
    </w:rPr>
  </w:style>
  <w:style w:type="character" w:customStyle="1" w:styleId="Charf7">
    <w:name w:val="批注主题 Char"/>
    <w:basedOn w:val="Char6"/>
    <w:link w:val="aff8"/>
    <w:uiPriority w:val="99"/>
    <w:semiHidden/>
    <w:qFormat/>
    <w:rPr>
      <w:rFonts w:ascii="Arial" w:eastAsia="楷体_GB2312" w:hAnsi="Times New Roman" w:cs="Times New Roman"/>
      <w:b/>
      <w:bCs/>
      <w:spacing w:val="-6"/>
      <w:kern w:val="0"/>
      <w:sz w:val="28"/>
      <w:szCs w:val="20"/>
    </w:rPr>
  </w:style>
  <w:style w:type="character" w:customStyle="1" w:styleId="Charf">
    <w:name w:val="批注框文本 Char"/>
    <w:basedOn w:val="a4"/>
    <w:link w:val="afb"/>
    <w:uiPriority w:val="99"/>
    <w:qFormat/>
    <w:rPr>
      <w:rFonts w:ascii="Arial" w:eastAsia="楷体_GB2312" w:hAnsi="Times New Roman" w:cs="Times New Roman"/>
      <w:spacing w:val="-6"/>
      <w:kern w:val="0"/>
      <w:sz w:val="18"/>
      <w:szCs w:val="18"/>
    </w:rPr>
  </w:style>
  <w:style w:type="character" w:customStyle="1" w:styleId="Char4">
    <w:name w:val="题注 Char"/>
    <w:link w:val="ac"/>
    <w:rPr>
      <w:rFonts w:ascii="Cambria" w:eastAsia="黑体" w:hAnsi="Cambria"/>
    </w:rPr>
  </w:style>
  <w:style w:type="character" w:customStyle="1" w:styleId="18">
    <w:name w:val="页脚 字符1"/>
    <w:uiPriority w:val="99"/>
    <w:qFormat/>
    <w:rPr>
      <w:kern w:val="2"/>
      <w:sz w:val="18"/>
      <w:szCs w:val="18"/>
    </w:rPr>
  </w:style>
  <w:style w:type="character" w:customStyle="1" w:styleId="2Char1">
    <w:name w:val="标题 2 Char1"/>
    <w:basedOn w:val="a4"/>
    <w:link w:val="22"/>
    <w:uiPriority w:val="9"/>
    <w:qFormat/>
    <w:rPr>
      <w:rFonts w:asciiTheme="majorHAnsi" w:eastAsiaTheme="majorEastAsia" w:hAnsiTheme="majorHAnsi" w:cstheme="majorBidi"/>
      <w:b/>
      <w:bCs/>
      <w:spacing w:val="-6"/>
      <w:kern w:val="0"/>
      <w:sz w:val="32"/>
      <w:szCs w:val="32"/>
    </w:rPr>
  </w:style>
  <w:style w:type="character" w:customStyle="1" w:styleId="3Char">
    <w:name w:val="标题 3 Char"/>
    <w:basedOn w:val="a4"/>
    <w:link w:val="32"/>
    <w:qFormat/>
    <w:rPr>
      <w:rFonts w:ascii="Arial" w:eastAsia="楷体_GB2312" w:hAnsi="Times New Roman" w:cs="Times New Roman"/>
      <w:b/>
      <w:bCs/>
      <w:spacing w:val="-6"/>
      <w:kern w:val="0"/>
      <w:sz w:val="32"/>
      <w:szCs w:val="32"/>
    </w:rPr>
  </w:style>
  <w:style w:type="character" w:customStyle="1" w:styleId="4Char">
    <w:name w:val="标题 4 Char"/>
    <w:basedOn w:val="a4"/>
    <w:link w:val="41"/>
    <w:rPr>
      <w:rFonts w:ascii="黑体" w:eastAsia="黑体" w:hAnsi="Times New Roman" w:cs="Times New Roman"/>
      <w:bCs/>
      <w:kern w:val="0"/>
      <w:sz w:val="28"/>
      <w:szCs w:val="28"/>
    </w:rPr>
  </w:style>
  <w:style w:type="character" w:customStyle="1" w:styleId="5Char">
    <w:name w:val="标题 5 Char"/>
    <w:basedOn w:val="a4"/>
    <w:link w:val="50"/>
    <w:rPr>
      <w:rFonts w:ascii="Calibri" w:eastAsia="宋体" w:hAnsi="Times New Roman" w:cs="Times New Roman"/>
      <w:b/>
      <w:bCs/>
      <w:sz w:val="28"/>
      <w:szCs w:val="28"/>
    </w:rPr>
  </w:style>
  <w:style w:type="character" w:customStyle="1" w:styleId="6Char">
    <w:name w:val="标题 6 Char"/>
    <w:basedOn w:val="a4"/>
    <w:link w:val="6"/>
    <w:uiPriority w:val="9"/>
    <w:rPr>
      <w:rFonts w:ascii="Arial" w:eastAsia="黑体" w:hAnsi="Arial" w:cs="Times New Roman"/>
      <w:b/>
      <w:sz w:val="24"/>
      <w:szCs w:val="20"/>
    </w:rPr>
  </w:style>
  <w:style w:type="character" w:customStyle="1" w:styleId="7Char">
    <w:name w:val="标题 7 Char"/>
    <w:basedOn w:val="a4"/>
    <w:link w:val="7"/>
    <w:uiPriority w:val="9"/>
    <w:rPr>
      <w:rFonts w:ascii="Calibri" w:eastAsia="宋体" w:hAnsi="Times New Roman" w:cs="Times New Roman"/>
      <w:b/>
      <w:sz w:val="24"/>
      <w:szCs w:val="20"/>
    </w:rPr>
  </w:style>
  <w:style w:type="character" w:customStyle="1" w:styleId="8Char">
    <w:name w:val="标题 8 Char"/>
    <w:basedOn w:val="a4"/>
    <w:link w:val="8"/>
    <w:uiPriority w:val="9"/>
    <w:rPr>
      <w:rFonts w:ascii="Arial" w:eastAsia="黑体" w:hAnsi="Arial" w:cs="Times New Roman"/>
      <w:sz w:val="24"/>
      <w:szCs w:val="20"/>
    </w:rPr>
  </w:style>
  <w:style w:type="character" w:customStyle="1" w:styleId="9Char">
    <w:name w:val="标题 9 Char"/>
    <w:basedOn w:val="a4"/>
    <w:link w:val="9"/>
    <w:uiPriority w:val="9"/>
    <w:rPr>
      <w:rFonts w:ascii="Arial" w:eastAsia="黑体" w:hAnsi="Arial" w:cs="Times New Roman"/>
      <w:szCs w:val="20"/>
    </w:rPr>
  </w:style>
  <w:style w:type="character" w:customStyle="1" w:styleId="Charf9">
    <w:name w:val="表格图名 Char"/>
    <w:link w:val="afffa"/>
    <w:rPr>
      <w:rFonts w:cs="宋体"/>
    </w:rPr>
  </w:style>
  <w:style w:type="paragraph" w:customStyle="1" w:styleId="afffa">
    <w:name w:val="表格图名"/>
    <w:basedOn w:val="a2"/>
    <w:link w:val="Charf9"/>
    <w:qFormat/>
    <w:pPr>
      <w:snapToGrid w:val="0"/>
      <w:jc w:val="center"/>
    </w:pPr>
    <w:rPr>
      <w:rFonts w:cs="宋体"/>
      <w:szCs w:val="22"/>
    </w:rPr>
  </w:style>
  <w:style w:type="character" w:customStyle="1" w:styleId="Charfa">
    <w:name w:val="表 头 Char"/>
    <w:link w:val="afffb"/>
    <w:locked/>
    <w:rPr>
      <w:rFonts w:ascii="宋体" w:eastAsia="黑体" w:hAnsi="宋体" w:cs="宋体"/>
      <w:spacing w:val="10"/>
      <w:sz w:val="24"/>
    </w:rPr>
  </w:style>
  <w:style w:type="paragraph" w:customStyle="1" w:styleId="afffb">
    <w:name w:val="表 头"/>
    <w:basedOn w:val="a2"/>
    <w:link w:val="Charfa"/>
    <w:qFormat/>
    <w:pPr>
      <w:spacing w:before="120" w:after="120" w:line="360" w:lineRule="atLeast"/>
      <w:jc w:val="center"/>
    </w:pPr>
    <w:rPr>
      <w:rFonts w:ascii="宋体" w:eastAsia="黑体" w:hAnsi="宋体" w:cs="宋体"/>
      <w:spacing w:val="10"/>
      <w:sz w:val="24"/>
      <w:szCs w:val="22"/>
    </w:rPr>
  </w:style>
  <w:style w:type="character" w:customStyle="1" w:styleId="nr1">
    <w:name w:val="nr1"/>
    <w:rPr>
      <w:rFonts w:ascii="宋体" w:eastAsia="宋体" w:hAnsi="宋体" w:hint="eastAsia"/>
      <w:color w:val="000000"/>
      <w:sz w:val="22"/>
    </w:rPr>
  </w:style>
  <w:style w:type="character" w:customStyle="1" w:styleId="CharChar2">
    <w:name w:val="Char Char2"/>
    <w:rPr>
      <w:rFonts w:eastAsia="宋体"/>
      <w:kern w:val="24"/>
      <w:sz w:val="24"/>
      <w:szCs w:val="18"/>
      <w:lang w:val="en-US" w:eastAsia="zh-CN" w:bidi="ar-SA"/>
    </w:rPr>
  </w:style>
  <w:style w:type="character" w:customStyle="1" w:styleId="2pt5">
    <w:name w:val="正文文本 + 间距 2 pt5"/>
    <w:rPr>
      <w:rFonts w:ascii="Arial Unicode MS" w:eastAsia="Arial Unicode MS" w:cs="Arial Unicode MS"/>
      <w:spacing w:val="40"/>
      <w:sz w:val="27"/>
      <w:szCs w:val="27"/>
      <w:u w:val="none"/>
    </w:rPr>
  </w:style>
  <w:style w:type="character" w:customStyle="1" w:styleId="CharChar">
    <w:name w:val="节标题 Char Char"/>
    <w:rPr>
      <w:rFonts w:eastAsia="宋体"/>
      <w:b/>
      <w:bCs/>
      <w:color w:val="000000"/>
      <w:kern w:val="2"/>
      <w:sz w:val="28"/>
      <w:szCs w:val="24"/>
      <w:lang w:val="en-US" w:eastAsia="zh-CN" w:bidi="ar-SA"/>
    </w:rPr>
  </w:style>
  <w:style w:type="character" w:customStyle="1" w:styleId="keyword1">
    <w:name w:val="keyword1"/>
    <w:rPr>
      <w:color w:val="FF0000"/>
    </w:rPr>
  </w:style>
  <w:style w:type="character" w:customStyle="1" w:styleId="Char20">
    <w:name w:val="页眉 Char2"/>
    <w:rPr>
      <w:rFonts w:ascii="Times New Roman" w:eastAsia="宋体" w:hAnsi="Times New Roman" w:cs="Times New Roman"/>
      <w:sz w:val="18"/>
      <w:szCs w:val="18"/>
    </w:rPr>
  </w:style>
  <w:style w:type="character" w:customStyle="1" w:styleId="CharCharCharCharCharCharChar">
    <w:name w:val="燕山正文 Char Char Char Char Char Char Char"/>
    <w:link w:val="CharCharCharChar"/>
    <w:rPr>
      <w:rFonts w:ascii="宋体"/>
      <w:sz w:val="24"/>
      <w:szCs w:val="24"/>
    </w:rPr>
  </w:style>
  <w:style w:type="paragraph" w:customStyle="1" w:styleId="CharCharCharChar">
    <w:name w:val="燕山正文 Char Char Char Char"/>
    <w:basedOn w:val="a2"/>
    <w:link w:val="CharCharCharCharCharCharChar"/>
    <w:qFormat/>
    <w:pPr>
      <w:snapToGrid w:val="0"/>
      <w:spacing w:line="440" w:lineRule="exact"/>
      <w:ind w:firstLine="454"/>
      <w:jc w:val="both"/>
    </w:pPr>
    <w:rPr>
      <w:rFonts w:ascii="宋体"/>
      <w:sz w:val="24"/>
      <w:szCs w:val="24"/>
    </w:rPr>
  </w:style>
  <w:style w:type="character" w:customStyle="1" w:styleId="CharChar0">
    <w:name w:val="样式 报告书表格 + Char Char"/>
    <w:basedOn w:val="CharChar1"/>
    <w:link w:val="afffc"/>
    <w:rPr>
      <w:rFonts w:ascii="Times New Roman" w:hAnsi="Times New Roman"/>
      <w:sz w:val="21"/>
    </w:rPr>
  </w:style>
  <w:style w:type="character" w:customStyle="1" w:styleId="CharChar1">
    <w:name w:val="报告书表格 Char Char"/>
    <w:rPr>
      <w:rFonts w:ascii="Times New Roman" w:hAnsi="Times New Roman"/>
      <w:sz w:val="21"/>
    </w:rPr>
  </w:style>
  <w:style w:type="paragraph" w:customStyle="1" w:styleId="afffc">
    <w:name w:val="样式 报告书表格 +"/>
    <w:basedOn w:val="afffd"/>
    <w:link w:val="CharChar0"/>
    <w:qFormat/>
    <w:pPr>
      <w:tabs>
        <w:tab w:val="center" w:pos="4540"/>
        <w:tab w:val="right" w:pos="8505"/>
      </w:tabs>
      <w:snapToGrid w:val="0"/>
      <w:spacing w:line="240" w:lineRule="auto"/>
    </w:pPr>
    <w:rPr>
      <w:rFonts w:ascii="Times New Roman" w:eastAsiaTheme="minorEastAsia"/>
      <w:sz w:val="21"/>
    </w:rPr>
  </w:style>
  <w:style w:type="paragraph" w:customStyle="1" w:styleId="afffd">
    <w:name w:val="报告书表格"/>
    <w:basedOn w:val="a2"/>
    <w:link w:val="Charfb"/>
    <w:qFormat/>
    <w:pPr>
      <w:spacing w:line="400" w:lineRule="exact"/>
      <w:jc w:val="center"/>
      <w:textAlignment w:val="baseline"/>
    </w:pPr>
    <w:rPr>
      <w:rFonts w:eastAsia="仿宋_GB2312"/>
      <w:sz w:val="24"/>
      <w:szCs w:val="22"/>
    </w:rPr>
  </w:style>
  <w:style w:type="character" w:customStyle="1" w:styleId="2C">
    <w:name w:val="标题 2 C"/>
    <w:rPr>
      <w:rFonts w:ascii="宋体" w:eastAsia="宋体" w:hAnsi="Arial"/>
      <w:b/>
      <w:bCs/>
      <w:kern w:val="2"/>
      <w:sz w:val="32"/>
      <w:szCs w:val="32"/>
      <w:lang w:val="en-US" w:eastAsia="zh-CN"/>
    </w:rPr>
  </w:style>
  <w:style w:type="character" w:customStyle="1" w:styleId="m361">
    <w:name w:val="m_361"/>
  </w:style>
  <w:style w:type="character" w:customStyle="1" w:styleId="CharChar3">
    <w:name w:val="新正文 Char Char"/>
    <w:link w:val="afffe"/>
    <w:rPr>
      <w:rFonts w:ascii="宋体" w:eastAsia="宋体"/>
      <w:sz w:val="24"/>
    </w:rPr>
  </w:style>
  <w:style w:type="paragraph" w:customStyle="1" w:styleId="afffe">
    <w:name w:val="新正文"/>
    <w:basedOn w:val="a2"/>
    <w:link w:val="CharChar3"/>
    <w:qFormat/>
    <w:pPr>
      <w:spacing w:line="460" w:lineRule="exact"/>
      <w:ind w:firstLine="454"/>
    </w:pPr>
    <w:rPr>
      <w:rFonts w:ascii="宋体" w:eastAsia="宋体"/>
      <w:sz w:val="24"/>
      <w:szCs w:val="22"/>
    </w:rPr>
  </w:style>
  <w:style w:type="character" w:customStyle="1" w:styleId="1CharChar">
    <w:name w:val="样式1 Char Char"/>
    <w:link w:val="19"/>
    <w:rPr>
      <w:rFonts w:ascii="黑体" w:eastAsia="黑体"/>
      <w:bCs/>
      <w:sz w:val="30"/>
      <w:szCs w:val="28"/>
    </w:rPr>
  </w:style>
  <w:style w:type="paragraph" w:customStyle="1" w:styleId="19">
    <w:name w:val="样式1"/>
    <w:basedOn w:val="41"/>
    <w:link w:val="1CharChar"/>
    <w:qFormat/>
    <w:rPr>
      <w:sz w:val="30"/>
    </w:rPr>
  </w:style>
  <w:style w:type="character" w:customStyle="1" w:styleId="CharCharCharCharCharCharChar1">
    <w:name w:val="Char Char Char Char Char Char Char1"/>
    <w:link w:val="CharCharCharCharCharChar14"/>
    <w:rPr>
      <w:rFonts w:hAnsi="宋体"/>
      <w:sz w:val="24"/>
    </w:rPr>
  </w:style>
  <w:style w:type="paragraph" w:customStyle="1" w:styleId="CharCharCharCharCharChar14">
    <w:name w:val="Char Char Char Char Char Char14"/>
    <w:basedOn w:val="a2"/>
    <w:link w:val="CharCharCharCharCharCharChar1"/>
    <w:qFormat/>
    <w:rPr>
      <w:rFonts w:hAnsi="宋体"/>
      <w:sz w:val="24"/>
      <w:szCs w:val="22"/>
    </w:rPr>
  </w:style>
  <w:style w:type="character" w:customStyle="1" w:styleId="TableTitleChar5">
    <w:name w:val="Table Title Char5"/>
    <w:rPr>
      <w:rFonts w:eastAsia="宋体"/>
      <w:kern w:val="2"/>
      <w:sz w:val="24"/>
      <w:szCs w:val="24"/>
      <w:lang w:val="en-US" w:eastAsia="zh-CN" w:bidi="ar-SA"/>
    </w:rPr>
  </w:style>
  <w:style w:type="character" w:customStyle="1" w:styleId="f14b1">
    <w:name w:val="f14b1"/>
    <w:rPr>
      <w:b/>
      <w:bCs/>
      <w:sz w:val="23"/>
      <w:szCs w:val="23"/>
    </w:rPr>
  </w:style>
  <w:style w:type="character" w:customStyle="1" w:styleId="HTMLChar3">
    <w:name w:val="HTML 预设格式 Char3"/>
    <w:uiPriority w:val="99"/>
    <w:semiHidden/>
    <w:rPr>
      <w:rFonts w:ascii="Courier New" w:hAnsi="Courier New" w:cs="Courier New"/>
      <w:kern w:val="2"/>
    </w:rPr>
  </w:style>
  <w:style w:type="character" w:customStyle="1" w:styleId="Charfc">
    <w:name w:val="报告书正文 Char"/>
    <w:rPr>
      <w:rFonts w:eastAsia="宋体"/>
      <w:sz w:val="24"/>
      <w:szCs w:val="24"/>
      <w:lang w:val="en-US" w:eastAsia="zh-CN" w:bidi="ar-SA"/>
    </w:rPr>
  </w:style>
  <w:style w:type="character" w:customStyle="1" w:styleId="1012CharChar">
    <w:name w:val="样式 样式 首行缩进:  1.01 厘米 + 首行缩进:  2 字符 Char Char"/>
    <w:basedOn w:val="101CharChar"/>
    <w:rPr>
      <w:rFonts w:ascii="宋体" w:eastAsia="宋体" w:hAnsi="宋体"/>
      <w:b/>
      <w:color w:val="000000"/>
      <w:kern w:val="2"/>
      <w:sz w:val="21"/>
      <w:szCs w:val="21"/>
      <w:lang w:val="en-US" w:eastAsia="zh-CN" w:bidi="ar-SA"/>
    </w:rPr>
  </w:style>
  <w:style w:type="character" w:customStyle="1" w:styleId="101CharChar">
    <w:name w:val="样式 首行缩进:  1.01 厘米 Char Char"/>
    <w:rPr>
      <w:rFonts w:ascii="宋体" w:eastAsia="宋体" w:hAnsi="宋体"/>
      <w:b/>
      <w:color w:val="000000"/>
      <w:kern w:val="2"/>
      <w:sz w:val="21"/>
      <w:szCs w:val="21"/>
      <w:lang w:val="en-US" w:eastAsia="zh-CN" w:bidi="ar-SA"/>
    </w:rPr>
  </w:style>
  <w:style w:type="character" w:customStyle="1" w:styleId="bigtitle1">
    <w:name w:val="bigtitle1"/>
    <w:rPr>
      <w:b/>
      <w:bCs/>
      <w:color w:val="0000FF"/>
      <w:sz w:val="24"/>
      <w:szCs w:val="24"/>
    </w:rPr>
  </w:style>
  <w:style w:type="character" w:customStyle="1" w:styleId="CharChar211">
    <w:name w:val="Char Char211"/>
    <w:rPr>
      <w:rFonts w:ascii="Calibri" w:eastAsia="宋体" w:hAnsi="Calibri"/>
      <w:b/>
      <w:kern w:val="2"/>
      <w:sz w:val="24"/>
      <w:lang w:val="en-US" w:eastAsia="zh-CN" w:bidi="ar-SA"/>
    </w:rPr>
  </w:style>
  <w:style w:type="character" w:customStyle="1" w:styleId="edit-number">
    <w:name w:val="edit-number"/>
    <w:basedOn w:val="a4"/>
  </w:style>
  <w:style w:type="character" w:customStyle="1" w:styleId="215CharChar">
    <w:name w:val="标准文本 首行缩进:2 字符 行距1.5倍 Char Char"/>
    <w:link w:val="215"/>
    <w:rPr>
      <w:rFonts w:eastAsia="宋体" w:cs="宋体"/>
      <w:sz w:val="24"/>
      <w:szCs w:val="24"/>
    </w:rPr>
  </w:style>
  <w:style w:type="paragraph" w:customStyle="1" w:styleId="215">
    <w:name w:val="标准文本 首行缩进:2 字符 行距1.5倍"/>
    <w:basedOn w:val="a2"/>
    <w:link w:val="215CharChar"/>
    <w:qFormat/>
    <w:pPr>
      <w:snapToGrid w:val="0"/>
      <w:spacing w:line="360" w:lineRule="auto"/>
      <w:ind w:firstLineChars="200" w:firstLine="200"/>
      <w:textAlignment w:val="center"/>
    </w:pPr>
    <w:rPr>
      <w:rFonts w:eastAsia="宋体" w:cs="宋体"/>
      <w:sz w:val="24"/>
      <w:szCs w:val="24"/>
    </w:rPr>
  </w:style>
  <w:style w:type="character" w:customStyle="1" w:styleId="Charfd">
    <w:name w:val="正文小四 标准 Char"/>
    <w:rPr>
      <w:rFonts w:eastAsia="宋体" w:cs="宋体"/>
      <w:kern w:val="2"/>
      <w:sz w:val="24"/>
      <w:lang w:val="en-US" w:eastAsia="zh-CN" w:bidi="ar-SA"/>
    </w:rPr>
  </w:style>
  <w:style w:type="character" w:customStyle="1" w:styleId="trans">
    <w:name w:val="trans"/>
    <w:basedOn w:val="a4"/>
  </w:style>
  <w:style w:type="character" w:customStyle="1" w:styleId="CharChar103">
    <w:name w:val="Char Char103"/>
    <w:rPr>
      <w:rFonts w:eastAsia="仿宋_GB2312"/>
      <w:kern w:val="2"/>
      <w:sz w:val="24"/>
      <w:szCs w:val="24"/>
      <w:lang w:val="en-US" w:eastAsia="zh-CN" w:bidi="ar-SA"/>
    </w:rPr>
  </w:style>
  <w:style w:type="character" w:customStyle="1" w:styleId="HTMLChar">
    <w:name w:val="HTML 地址 Char"/>
    <w:link w:val="HTML"/>
    <w:rPr>
      <w:sz w:val="18"/>
      <w:szCs w:val="18"/>
    </w:rPr>
  </w:style>
  <w:style w:type="character" w:customStyle="1" w:styleId="101Char">
    <w:name w:val="样式 首行缩进:  1.01 厘米 Char"/>
    <w:link w:val="101"/>
    <w:rPr>
      <w:rFonts w:ascii="黑体" w:eastAsia="黑体" w:hAnsi="宋体"/>
      <w:color w:val="000000"/>
      <w:szCs w:val="21"/>
    </w:rPr>
  </w:style>
  <w:style w:type="paragraph" w:customStyle="1" w:styleId="101">
    <w:name w:val="样式 首行缩进:  1.01 厘米"/>
    <w:basedOn w:val="a2"/>
    <w:link w:val="101Char"/>
    <w:qFormat/>
    <w:pPr>
      <w:spacing w:line="360" w:lineRule="auto"/>
      <w:ind w:firstLineChars="353" w:firstLine="741"/>
      <w:jc w:val="both"/>
    </w:pPr>
    <w:rPr>
      <w:rFonts w:ascii="黑体" w:eastAsia="黑体" w:hAnsi="宋体"/>
      <w:color w:val="000000"/>
    </w:rPr>
  </w:style>
  <w:style w:type="character" w:customStyle="1" w:styleId="1Char0">
    <w:name w:val="标题1宋体黑色 Char"/>
    <w:link w:val="1a"/>
    <w:locked/>
    <w:rPr>
      <w:rFonts w:eastAsia="黑体"/>
      <w:b/>
      <w:bCs/>
      <w:kern w:val="44"/>
      <w:sz w:val="36"/>
      <w:szCs w:val="44"/>
    </w:rPr>
  </w:style>
  <w:style w:type="paragraph" w:customStyle="1" w:styleId="1a">
    <w:name w:val="标题1宋体黑色"/>
    <w:basedOn w:val="12"/>
    <w:link w:val="1Char0"/>
    <w:qFormat/>
    <w:pPr>
      <w:spacing w:before="360" w:after="120" w:line="240" w:lineRule="auto"/>
      <w:textAlignment w:val="auto"/>
    </w:pPr>
    <w:rPr>
      <w:rFonts w:asciiTheme="minorHAnsi"/>
      <w:b/>
      <w:sz w:val="36"/>
      <w:szCs w:val="44"/>
    </w:rPr>
  </w:style>
  <w:style w:type="character" w:customStyle="1" w:styleId="font71">
    <w:name w:val="font71"/>
    <w:qFormat/>
    <w:rPr>
      <w:rFonts w:ascii="Times New Roman" w:hAnsi="Times New Roman" w:cs="Times New Roman" w:hint="default"/>
      <w:color w:val="000000"/>
      <w:sz w:val="18"/>
      <w:szCs w:val="18"/>
      <w:u w:val="none"/>
      <w:vertAlign w:val="subscript"/>
    </w:rPr>
  </w:style>
  <w:style w:type="character" w:customStyle="1" w:styleId="tt1">
    <w:name w:val="tt1"/>
    <w:rPr>
      <w:b/>
      <w:bCs/>
      <w:color w:val="FF0000"/>
    </w:rPr>
  </w:style>
  <w:style w:type="character" w:customStyle="1" w:styleId="FooterChar">
    <w:name w:val="Footer Char"/>
    <w:locked/>
    <w:rPr>
      <w:rFonts w:eastAsia="宋体"/>
      <w:sz w:val="18"/>
      <w:szCs w:val="18"/>
      <w:lang w:bidi="ar-SA"/>
    </w:rPr>
  </w:style>
  <w:style w:type="character" w:customStyle="1" w:styleId="Char11">
    <w:name w:val="正文首行缩进 Char1"/>
    <w:locked/>
    <w:rPr>
      <w:kern w:val="2"/>
      <w:sz w:val="24"/>
    </w:rPr>
  </w:style>
  <w:style w:type="character" w:customStyle="1" w:styleId="m461">
    <w:name w:val="m_461"/>
  </w:style>
  <w:style w:type="character" w:customStyle="1" w:styleId="9Char1">
    <w:name w:val="标题 9 Char1"/>
    <w:uiPriority w:val="9"/>
    <w:rPr>
      <w:rFonts w:ascii="Cambria" w:eastAsia="宋体" w:hAnsi="Cambria" w:cs="Times New Roman"/>
      <w:sz w:val="21"/>
      <w:szCs w:val="21"/>
    </w:rPr>
  </w:style>
  <w:style w:type="character" w:customStyle="1" w:styleId="zw1">
    <w:name w:val="zw1"/>
    <w:rPr>
      <w:rFonts w:ascii="宋体" w:eastAsia="宋体" w:hAnsi="宋体"/>
      <w:sz w:val="22"/>
    </w:rPr>
  </w:style>
  <w:style w:type="character" w:customStyle="1" w:styleId="CCharChar">
    <w:name w:val="C Char Char"/>
    <w:basedOn w:val="BCharChar"/>
    <w:rPr>
      <w:b/>
    </w:rPr>
  </w:style>
  <w:style w:type="character" w:customStyle="1" w:styleId="BCharChar">
    <w:name w:val="B Char Char"/>
    <w:link w:val="B"/>
    <w:rPr>
      <w:b/>
    </w:rPr>
  </w:style>
  <w:style w:type="paragraph" w:customStyle="1" w:styleId="B">
    <w:name w:val="B"/>
    <w:basedOn w:val="aff2"/>
    <w:link w:val="BCharChar"/>
    <w:qFormat/>
    <w:pPr>
      <w:spacing w:beforeLines="20" w:before="62" w:afterLines="20" w:after="62" w:line="240" w:lineRule="auto"/>
    </w:pPr>
    <w:rPr>
      <w:rFonts w:asciiTheme="minorHAnsi" w:eastAsiaTheme="minorEastAsia"/>
      <w:b/>
      <w:sz w:val="21"/>
    </w:rPr>
  </w:style>
  <w:style w:type="character" w:customStyle="1" w:styleId="CharCharCharCharCharChar">
    <w:name w:val="燕山正文 Char Char Char Char Char Char"/>
    <w:link w:val="affff"/>
    <w:rPr>
      <w:rFonts w:ascii="宋体" w:hAnsi="宋体"/>
      <w:color w:val="000000"/>
      <w:sz w:val="24"/>
      <w:szCs w:val="28"/>
    </w:rPr>
  </w:style>
  <w:style w:type="paragraph" w:customStyle="1" w:styleId="affff">
    <w:name w:val="燕山正文"/>
    <w:basedOn w:val="a2"/>
    <w:link w:val="CharCharCharCharCharChar"/>
    <w:qFormat/>
    <w:pPr>
      <w:tabs>
        <w:tab w:val="left" w:pos="4680"/>
      </w:tabs>
      <w:snapToGrid w:val="0"/>
      <w:spacing w:line="360" w:lineRule="auto"/>
      <w:ind w:firstLineChars="200" w:firstLine="560"/>
    </w:pPr>
    <w:rPr>
      <w:rFonts w:ascii="宋体" w:hAnsi="宋体"/>
      <w:color w:val="000000"/>
      <w:sz w:val="24"/>
      <w:szCs w:val="28"/>
    </w:rPr>
  </w:style>
  <w:style w:type="character" w:customStyle="1" w:styleId="2Char3">
    <w:name w:val="正文首行缩进 2 Char3"/>
    <w:uiPriority w:val="99"/>
    <w:semiHidden/>
  </w:style>
  <w:style w:type="character" w:customStyle="1" w:styleId="CharChar143">
    <w:name w:val="Char Char143"/>
    <w:rPr>
      <w:rFonts w:eastAsia="宋体"/>
      <w:kern w:val="2"/>
      <w:sz w:val="21"/>
      <w:szCs w:val="24"/>
      <w:lang w:val="en-US" w:eastAsia="zh-CN" w:bidi="ar-SA"/>
    </w:rPr>
  </w:style>
  <w:style w:type="character" w:customStyle="1" w:styleId="z-Char4">
    <w:name w:val="z-窗体底端 Char4"/>
    <w:uiPriority w:val="99"/>
    <w:semiHidden/>
    <w:rPr>
      <w:rFonts w:ascii="Arial" w:hAnsi="Arial" w:cs="Arial"/>
      <w:vanish/>
      <w:kern w:val="2"/>
      <w:sz w:val="16"/>
      <w:szCs w:val="16"/>
    </w:rPr>
  </w:style>
  <w:style w:type="character" w:customStyle="1" w:styleId="company-content">
    <w:name w:val="company-content"/>
  </w:style>
  <w:style w:type="character" w:customStyle="1" w:styleId="CharChar20">
    <w:name w:val="Char Char20"/>
    <w:rPr>
      <w:rFonts w:ascii="Arial" w:eastAsia="黑体" w:hAnsi="Arial"/>
      <w:kern w:val="2"/>
      <w:sz w:val="24"/>
      <w:lang w:val="en-US" w:eastAsia="zh-CN" w:bidi="ar-SA"/>
    </w:rPr>
  </w:style>
  <w:style w:type="character" w:customStyle="1" w:styleId="bt21">
    <w:name w:val="bt21"/>
    <w:rPr>
      <w:rFonts w:ascii="黑体" w:eastAsia="黑体"/>
      <w:sz w:val="24"/>
    </w:rPr>
  </w:style>
  <w:style w:type="character" w:customStyle="1" w:styleId="biaowenChar">
    <w:name w:val="biaowen Char"/>
    <w:link w:val="biaowen"/>
    <w:rPr>
      <w:sz w:val="24"/>
      <w:szCs w:val="24"/>
    </w:rPr>
  </w:style>
  <w:style w:type="paragraph" w:customStyle="1" w:styleId="biaowen">
    <w:name w:val="biaowen"/>
    <w:basedOn w:val="a2"/>
    <w:link w:val="biaowenChar"/>
    <w:qFormat/>
    <w:pPr>
      <w:jc w:val="both"/>
    </w:pPr>
    <w:rPr>
      <w:sz w:val="24"/>
      <w:szCs w:val="24"/>
    </w:rPr>
  </w:style>
  <w:style w:type="character" w:customStyle="1" w:styleId="wjChar">
    <w:name w:val="wj样式 Char"/>
    <w:link w:val="wj"/>
    <w:rPr>
      <w:spacing w:val="14"/>
      <w:sz w:val="24"/>
      <w:szCs w:val="24"/>
    </w:rPr>
  </w:style>
  <w:style w:type="paragraph" w:customStyle="1" w:styleId="wj">
    <w:name w:val="wj样式"/>
    <w:basedOn w:val="a2"/>
    <w:next w:val="a2"/>
    <w:link w:val="wjChar"/>
    <w:pPr>
      <w:autoSpaceDE/>
      <w:autoSpaceDN/>
      <w:adjustRightInd/>
      <w:spacing w:line="360" w:lineRule="auto"/>
      <w:ind w:firstLineChars="200" w:firstLine="200"/>
      <w:jc w:val="both"/>
    </w:pPr>
    <w:rPr>
      <w:spacing w:val="14"/>
      <w:sz w:val="24"/>
      <w:szCs w:val="24"/>
    </w:rPr>
  </w:style>
  <w:style w:type="character" w:customStyle="1" w:styleId="1b">
    <w:name w:val="标题1"/>
  </w:style>
  <w:style w:type="character" w:customStyle="1" w:styleId="fs1">
    <w:name w:val="fs1"/>
    <w:rPr>
      <w:color w:val="093F7C"/>
      <w:sz w:val="18"/>
      <w:u w:val="none"/>
    </w:rPr>
  </w:style>
  <w:style w:type="character" w:customStyle="1" w:styleId="CharChar4">
    <w:name w:val="正文文本 Char Char"/>
    <w:rPr>
      <w:rFonts w:eastAsia="宋体"/>
      <w:kern w:val="2"/>
      <w:sz w:val="24"/>
      <w:lang w:val="en-US" w:eastAsia="zh-CN"/>
    </w:rPr>
  </w:style>
  <w:style w:type="character" w:customStyle="1" w:styleId="3Char2">
    <w:name w:val="黄桥标题3 Char"/>
    <w:rPr>
      <w:rFonts w:eastAsia="宋体" w:cs="宋体"/>
      <w:b/>
      <w:sz w:val="24"/>
      <w:szCs w:val="24"/>
      <w:lang w:val="en-US" w:eastAsia="zh-CN" w:bidi="ar-SA"/>
    </w:rPr>
  </w:style>
  <w:style w:type="character" w:customStyle="1" w:styleId="Char12">
    <w:name w:val="纯文本 Char1"/>
    <w:locked/>
    <w:rPr>
      <w:rFonts w:ascii="宋体" w:hAnsi="Courier New"/>
      <w:kern w:val="24"/>
      <w:sz w:val="21"/>
    </w:rPr>
  </w:style>
  <w:style w:type="character" w:customStyle="1" w:styleId="4Char0">
    <w:name w:val="4标题(治) Char"/>
    <w:link w:val="48"/>
    <w:rPr>
      <w:rFonts w:eastAsia="黑体"/>
      <w:sz w:val="28"/>
    </w:rPr>
  </w:style>
  <w:style w:type="paragraph" w:customStyle="1" w:styleId="48">
    <w:name w:val="4标题(治)"/>
    <w:basedOn w:val="a2"/>
    <w:next w:val="a2"/>
    <w:link w:val="4Char0"/>
    <w:qFormat/>
    <w:pPr>
      <w:snapToGrid w:val="0"/>
      <w:spacing w:line="360" w:lineRule="auto"/>
      <w:jc w:val="both"/>
      <w:textAlignment w:val="baseline"/>
      <w:outlineLvl w:val="3"/>
    </w:pPr>
    <w:rPr>
      <w:rFonts w:eastAsia="黑体"/>
      <w:szCs w:val="22"/>
    </w:rPr>
  </w:style>
  <w:style w:type="character" w:customStyle="1" w:styleId="Char21">
    <w:name w:val="称呼 Char2"/>
    <w:uiPriority w:val="99"/>
    <w:semiHidden/>
    <w:rPr>
      <w:kern w:val="2"/>
      <w:sz w:val="21"/>
      <w:szCs w:val="22"/>
    </w:rPr>
  </w:style>
  <w:style w:type="character" w:customStyle="1" w:styleId="CharChar5">
    <w:name w:val="带括号的正文 Char Char"/>
    <w:link w:val="affff0"/>
    <w:rPr>
      <w:sz w:val="24"/>
      <w:szCs w:val="28"/>
    </w:rPr>
  </w:style>
  <w:style w:type="paragraph" w:customStyle="1" w:styleId="affff0">
    <w:name w:val="带括号的正文"/>
    <w:basedOn w:val="a2"/>
    <w:next w:val="a2"/>
    <w:link w:val="CharChar5"/>
    <w:qFormat/>
    <w:pPr>
      <w:snapToGrid w:val="0"/>
      <w:spacing w:line="360" w:lineRule="auto"/>
      <w:ind w:firstLineChars="200" w:firstLine="200"/>
      <w:jc w:val="both"/>
    </w:pPr>
    <w:rPr>
      <w:sz w:val="24"/>
      <w:szCs w:val="28"/>
    </w:rPr>
  </w:style>
  <w:style w:type="character" w:customStyle="1" w:styleId="Char22">
    <w:name w:val="正文首行缩进 Char2"/>
    <w:basedOn w:val="Char23"/>
    <w:rPr>
      <w:rFonts w:ascii="Times New Roman" w:eastAsia="宋体" w:hAnsi="Times New Roman" w:cs="Times New Roman"/>
      <w:szCs w:val="24"/>
    </w:rPr>
  </w:style>
  <w:style w:type="character" w:customStyle="1" w:styleId="Char23">
    <w:name w:val="正文文本 Char2"/>
    <w:rPr>
      <w:rFonts w:ascii="Times New Roman" w:eastAsia="宋体" w:hAnsi="Times New Roman" w:cs="Times New Roman"/>
      <w:szCs w:val="24"/>
    </w:rPr>
  </w:style>
  <w:style w:type="character" w:styleId="affff1">
    <w:name w:val="Placeholder Text"/>
    <w:rPr>
      <w:color w:val="808080"/>
    </w:rPr>
  </w:style>
  <w:style w:type="character" w:customStyle="1" w:styleId="BodyText21Char">
    <w:name w:val="Body Text 21 Char"/>
    <w:rPr>
      <w:rFonts w:eastAsia="仿宋体"/>
      <w:kern w:val="2"/>
      <w:sz w:val="24"/>
      <w:lang w:val="en-US" w:eastAsia="zh-CN" w:bidi="ar-SA"/>
    </w:rPr>
  </w:style>
  <w:style w:type="character" w:customStyle="1" w:styleId="NormalCharChar">
    <w:name w:val="Normal Char Char"/>
    <w:link w:val="NormalChar"/>
    <w:rPr>
      <w:sz w:val="34"/>
      <w:szCs w:val="24"/>
    </w:rPr>
  </w:style>
  <w:style w:type="paragraph" w:customStyle="1" w:styleId="NormalChar">
    <w:name w:val="Normal Char"/>
    <w:link w:val="NormalCharChar"/>
    <w:qFormat/>
    <w:pPr>
      <w:widowControl w:val="0"/>
      <w:adjustRightInd w:val="0"/>
      <w:spacing w:line="360" w:lineRule="atLeast"/>
      <w:jc w:val="center"/>
      <w:textAlignment w:val="baseline"/>
    </w:pPr>
    <w:rPr>
      <w:kern w:val="2"/>
      <w:sz w:val="34"/>
      <w:szCs w:val="24"/>
    </w:rPr>
  </w:style>
  <w:style w:type="character" w:customStyle="1" w:styleId="2Char30">
    <w:name w:val="正文文本 2 Char3"/>
    <w:uiPriority w:val="99"/>
    <w:semiHidden/>
    <w:rPr>
      <w:kern w:val="2"/>
      <w:sz w:val="21"/>
      <w:szCs w:val="22"/>
    </w:rPr>
  </w:style>
  <w:style w:type="character" w:customStyle="1" w:styleId="MytabletailerChar">
    <w:name w:val="My table tailer Char"/>
    <w:rPr>
      <w:rFonts w:ascii="宋体" w:eastAsia="宋体" w:hAnsi="宋体"/>
      <w:spacing w:val="-1"/>
      <w:sz w:val="21"/>
      <w:szCs w:val="21"/>
      <w:lang w:val="en-US" w:bidi="ar-SA"/>
    </w:rPr>
  </w:style>
  <w:style w:type="character" w:customStyle="1" w:styleId="CharChar6">
    <w:name w:val="条名 Char Char"/>
    <w:link w:val="a"/>
    <w:rPr>
      <w:rFonts w:hAnsi="Arial"/>
      <w:bCs/>
      <w:color w:val="000000"/>
      <w:szCs w:val="32"/>
    </w:rPr>
  </w:style>
  <w:style w:type="paragraph" w:customStyle="1" w:styleId="a">
    <w:name w:val="条名"/>
    <w:basedOn w:val="affff2"/>
    <w:link w:val="CharChar6"/>
    <w:qFormat/>
    <w:pPr>
      <w:keepNext/>
      <w:keepLines/>
      <w:numPr>
        <w:numId w:val="3"/>
      </w:numPr>
      <w:jc w:val="left"/>
      <w:textAlignment w:val="baseline"/>
      <w:outlineLvl w:val="3"/>
    </w:pPr>
    <w:rPr>
      <w:rFonts w:hAnsi="Arial"/>
      <w:bCs/>
      <w:color w:val="000000"/>
      <w:szCs w:val="32"/>
    </w:rPr>
  </w:style>
  <w:style w:type="paragraph" w:customStyle="1" w:styleId="affff2">
    <w:name w:val="条"/>
    <w:basedOn w:val="a2"/>
    <w:uiPriority w:val="99"/>
    <w:qFormat/>
    <w:pPr>
      <w:spacing w:line="360" w:lineRule="auto"/>
      <w:jc w:val="both"/>
    </w:pPr>
  </w:style>
  <w:style w:type="character" w:customStyle="1" w:styleId="title141">
    <w:name w:val="title141"/>
    <w:rPr>
      <w:spacing w:val="408"/>
      <w:sz w:val="18"/>
      <w:szCs w:val="18"/>
      <w:u w:val="none"/>
    </w:rPr>
  </w:style>
  <w:style w:type="character" w:customStyle="1" w:styleId="CharChar7">
    <w:name w:val="图文框 Char Char"/>
    <w:rPr>
      <w:rFonts w:ascii="仿宋_GB2312" w:eastAsia="仿宋_GB2312"/>
      <w:kern w:val="28"/>
      <w:sz w:val="21"/>
      <w:lang w:val="en-US" w:eastAsia="zh-CN" w:bidi="ar-SA"/>
    </w:rPr>
  </w:style>
  <w:style w:type="character" w:customStyle="1" w:styleId="CharChar50">
    <w:name w:val="Char Char5"/>
    <w:rPr>
      <w:rFonts w:eastAsia="宋体"/>
      <w:b/>
      <w:bCs/>
      <w:color w:val="000000"/>
      <w:kern w:val="2"/>
      <w:sz w:val="28"/>
      <w:szCs w:val="24"/>
      <w:lang w:val="en-US" w:eastAsia="zh-CN" w:bidi="ar-SA"/>
    </w:rPr>
  </w:style>
  <w:style w:type="character" w:customStyle="1" w:styleId="Char40">
    <w:name w:val="页脚 Char4"/>
    <w:uiPriority w:val="99"/>
    <w:semiHidden/>
    <w:rPr>
      <w:sz w:val="18"/>
      <w:szCs w:val="18"/>
    </w:rPr>
  </w:style>
  <w:style w:type="character" w:customStyle="1" w:styleId="textblack15style18">
    <w:name w:val="text_black15 style18"/>
  </w:style>
  <w:style w:type="character" w:customStyle="1" w:styleId="110">
    <w:name w:val="超链接11"/>
    <w:rPr>
      <w:color w:val="0000FF"/>
      <w:u w:val="single"/>
    </w:rPr>
  </w:style>
  <w:style w:type="character" w:customStyle="1" w:styleId="Char13">
    <w:name w:val="称呼 Char1"/>
    <w:locked/>
    <w:rPr>
      <w:rFonts w:eastAsia="楷体_GB2312"/>
      <w:kern w:val="2"/>
      <w:sz w:val="32"/>
    </w:rPr>
  </w:style>
  <w:style w:type="character" w:customStyle="1" w:styleId="2Char4">
    <w:name w:val="样式 首行缩进:  2 字符 Char"/>
    <w:rPr>
      <w:rFonts w:ascii="Times New Roman" w:eastAsia="宋体" w:hAnsi="Times New Roman" w:cs="宋体"/>
      <w:kern w:val="0"/>
      <w:sz w:val="24"/>
      <w:szCs w:val="20"/>
    </w:rPr>
  </w:style>
  <w:style w:type="character" w:customStyle="1" w:styleId="CharChar173">
    <w:name w:val="Char Char173"/>
    <w:rPr>
      <w:sz w:val="18"/>
      <w:szCs w:val="18"/>
    </w:rPr>
  </w:style>
  <w:style w:type="character" w:customStyle="1" w:styleId="1CharChar0">
    <w:name w:val="1正文段落 Char Char"/>
    <w:rPr>
      <w:rFonts w:eastAsia="宋体"/>
      <w:snapToGrid w:val="0"/>
      <w:sz w:val="24"/>
      <w:szCs w:val="24"/>
    </w:rPr>
  </w:style>
  <w:style w:type="character" w:customStyle="1" w:styleId="Char14">
    <w:name w:val="尾注文本 Char1"/>
    <w:locked/>
    <w:rPr>
      <w:kern w:val="2"/>
      <w:sz w:val="24"/>
    </w:rPr>
  </w:style>
  <w:style w:type="character" w:customStyle="1" w:styleId="Charfe">
    <w:name w:val="正文标准样式 Char"/>
    <w:rPr>
      <w:rFonts w:ascii="Times New Roman" w:hAnsi="Times New Roman"/>
      <w:sz w:val="24"/>
    </w:rPr>
  </w:style>
  <w:style w:type="character" w:customStyle="1" w:styleId="CharChar151">
    <w:name w:val="Char Char151"/>
    <w:rPr>
      <w:rFonts w:ascii="Times New Roman" w:eastAsia="宋体" w:hAnsi="Times New Roman" w:cs="Times New Roman" w:hint="default"/>
      <w:b/>
      <w:bCs/>
      <w:sz w:val="32"/>
      <w:szCs w:val="32"/>
    </w:rPr>
  </w:style>
  <w:style w:type="character" w:customStyle="1" w:styleId="CharChar82">
    <w:name w:val="Char Char82"/>
    <w:rPr>
      <w:rFonts w:eastAsia="仿宋_GB2312"/>
      <w:kern w:val="2"/>
      <w:sz w:val="18"/>
      <w:szCs w:val="18"/>
      <w:lang w:val="en-US" w:eastAsia="zh-CN" w:bidi="ar-SA"/>
    </w:rPr>
  </w:style>
  <w:style w:type="character" w:customStyle="1" w:styleId="z1">
    <w:name w:val="z1"/>
    <w:rPr>
      <w:spacing w:val="400"/>
      <w:sz w:val="18"/>
      <w:szCs w:val="18"/>
    </w:rPr>
  </w:style>
  <w:style w:type="character" w:customStyle="1" w:styleId="Charff">
    <w:name w:val="可研正文 Char"/>
    <w:rPr>
      <w:rFonts w:ascii="仿宋_GB2312" w:eastAsia="仿宋_GB2312"/>
      <w:snapToGrid w:val="0"/>
      <w:color w:val="000000"/>
      <w:spacing w:val="-14"/>
      <w:sz w:val="28"/>
      <w:szCs w:val="28"/>
      <w:lang w:val="en-US" w:eastAsia="zh-CN" w:bidi="ar-SA"/>
    </w:rPr>
  </w:style>
  <w:style w:type="character" w:customStyle="1" w:styleId="HTMLChar0">
    <w:name w:val="HTML 预设格式 Char"/>
    <w:link w:val="HTML0"/>
    <w:rPr>
      <w:rFonts w:ascii="宋体" w:eastAsia="宋体" w:hAnsi="宋体" w:cs="宋体"/>
      <w:sz w:val="24"/>
      <w:szCs w:val="24"/>
    </w:rPr>
  </w:style>
  <w:style w:type="character" w:customStyle="1" w:styleId="dectext1">
    <w:name w:val="dectext1"/>
    <w:rPr>
      <w:rFonts w:ascii="宋体" w:eastAsia="宋体" w:hAnsi="宋体"/>
      <w:color w:val="auto"/>
      <w:sz w:val="21"/>
      <w:u w:val="none"/>
    </w:rPr>
  </w:style>
  <w:style w:type="character" w:customStyle="1" w:styleId="12161">
    <w:name w:val="12161"/>
    <w:rPr>
      <w:sz w:val="18"/>
      <w:szCs w:val="18"/>
    </w:rPr>
  </w:style>
  <w:style w:type="character" w:customStyle="1" w:styleId="infodetail1">
    <w:name w:val="infodetail1"/>
    <w:rPr>
      <w:rFonts w:hint="default"/>
      <w:sz w:val="22"/>
      <w:szCs w:val="22"/>
    </w:rPr>
  </w:style>
  <w:style w:type="character" w:customStyle="1" w:styleId="CharChar8">
    <w:name w:val="正文 + 首行缩进 Char Char"/>
    <w:link w:val="affff3"/>
    <w:locked/>
    <w:rPr>
      <w:rFonts w:ascii="Arial" w:hAnsi="Arial"/>
      <w:color w:val="000000"/>
      <w:sz w:val="28"/>
      <w:szCs w:val="28"/>
      <w:lang w:val="zh-CN"/>
    </w:rPr>
  </w:style>
  <w:style w:type="paragraph" w:customStyle="1" w:styleId="affff3">
    <w:name w:val="正文 + 首行缩进"/>
    <w:basedOn w:val="a2"/>
    <w:link w:val="CharChar8"/>
    <w:qFormat/>
    <w:pPr>
      <w:spacing w:line="360" w:lineRule="auto"/>
      <w:ind w:firstLine="560"/>
      <w:jc w:val="both"/>
    </w:pPr>
    <w:rPr>
      <w:rFonts w:hAnsi="Arial"/>
      <w:color w:val="000000"/>
      <w:szCs w:val="28"/>
      <w:lang w:val="zh-CN"/>
    </w:rPr>
  </w:style>
  <w:style w:type="character" w:customStyle="1" w:styleId="CharChar9">
    <w:name w:val="表名 Char Char"/>
    <w:link w:val="Charff0"/>
    <w:rPr>
      <w:rFonts w:ascii="Arial" w:hAnsi="Arial"/>
      <w:b/>
      <w:sz w:val="24"/>
      <w:szCs w:val="18"/>
    </w:rPr>
  </w:style>
  <w:style w:type="paragraph" w:customStyle="1" w:styleId="Charff0">
    <w:name w:val="表名 Char"/>
    <w:basedOn w:val="a2"/>
    <w:link w:val="CharChar9"/>
    <w:qFormat/>
    <w:pPr>
      <w:keepNext/>
      <w:spacing w:line="360" w:lineRule="auto"/>
      <w:ind w:firstLineChars="200" w:firstLine="200"/>
      <w:jc w:val="center"/>
      <w:outlineLvl w:val="3"/>
    </w:pPr>
    <w:rPr>
      <w:rFonts w:hAnsi="Arial"/>
      <w:b/>
      <w:sz w:val="24"/>
      <w:szCs w:val="18"/>
    </w:rPr>
  </w:style>
  <w:style w:type="character" w:customStyle="1" w:styleId="Char15">
    <w:name w:val="表蕊 Char1"/>
    <w:link w:val="affff4"/>
    <w:rPr>
      <w:rFonts w:eastAsia="楷体_GB2312"/>
      <w:spacing w:val="-10"/>
    </w:rPr>
  </w:style>
  <w:style w:type="paragraph" w:customStyle="1" w:styleId="affff4">
    <w:name w:val="表蕊"/>
    <w:basedOn w:val="a2"/>
    <w:link w:val="Char15"/>
    <w:qFormat/>
    <w:pPr>
      <w:spacing w:line="320" w:lineRule="atLeast"/>
      <w:textAlignment w:val="baseline"/>
    </w:pPr>
    <w:rPr>
      <w:spacing w:val="-10"/>
      <w:szCs w:val="22"/>
    </w:rPr>
  </w:style>
  <w:style w:type="character" w:customStyle="1" w:styleId="1c">
    <w:name w:val="批注文字 字符1"/>
    <w:rPr>
      <w:kern w:val="2"/>
      <w:sz w:val="21"/>
      <w:szCs w:val="24"/>
    </w:rPr>
  </w:style>
  <w:style w:type="character" w:customStyle="1" w:styleId="241CharChar">
    <w:name w:val="正文（241） Char Char"/>
    <w:rPr>
      <w:rFonts w:eastAsia="宋体"/>
      <w:snapToGrid w:val="0"/>
      <w:color w:val="000000"/>
      <w:sz w:val="24"/>
      <w:szCs w:val="24"/>
    </w:rPr>
  </w:style>
  <w:style w:type="character" w:customStyle="1" w:styleId="2b">
    <w:name w:val="标题2"/>
  </w:style>
  <w:style w:type="character" w:customStyle="1" w:styleId="green">
    <w:name w:val="green"/>
  </w:style>
  <w:style w:type="character" w:customStyle="1" w:styleId="emailstyle407">
    <w:name w:val="emailstyle407"/>
    <w:rPr>
      <w:rFonts w:ascii="Arial" w:eastAsia="宋体" w:hAnsi="Arial" w:cs="Arial" w:hint="default"/>
      <w:color w:val="000080"/>
      <w:sz w:val="18"/>
      <w:szCs w:val="20"/>
    </w:rPr>
  </w:style>
  <w:style w:type="character" w:customStyle="1" w:styleId="d1">
    <w:name w:val="d1"/>
    <w:rPr>
      <w:color w:val="333333"/>
      <w:spacing w:val="31680"/>
    </w:rPr>
  </w:style>
  <w:style w:type="character" w:customStyle="1" w:styleId="Charff1">
    <w:name w:val="宋体正文小四蓝色 Char"/>
    <w:link w:val="affff5"/>
    <w:qFormat/>
    <w:rPr>
      <w:color w:val="0000FF"/>
      <w:sz w:val="24"/>
      <w:szCs w:val="24"/>
    </w:rPr>
  </w:style>
  <w:style w:type="paragraph" w:customStyle="1" w:styleId="affff5">
    <w:name w:val="宋体正文小四蓝色"/>
    <w:link w:val="Charff1"/>
    <w:qFormat/>
    <w:pPr>
      <w:spacing w:line="500" w:lineRule="exact"/>
      <w:ind w:firstLineChars="200" w:firstLine="480"/>
    </w:pPr>
    <w:rPr>
      <w:color w:val="0000FF"/>
      <w:kern w:val="2"/>
      <w:sz w:val="24"/>
      <w:szCs w:val="24"/>
    </w:rPr>
  </w:style>
  <w:style w:type="character" w:customStyle="1" w:styleId="Charff2">
    <w:name w:val="表格标题 Char"/>
    <w:link w:val="affff6"/>
    <w:rPr>
      <w:rFonts w:eastAsia="文鼎CS中宋"/>
      <w:spacing w:val="8"/>
      <w:sz w:val="24"/>
    </w:rPr>
  </w:style>
  <w:style w:type="paragraph" w:customStyle="1" w:styleId="affff6">
    <w:name w:val="表格标题"/>
    <w:basedOn w:val="a2"/>
    <w:link w:val="Charff2"/>
    <w:qFormat/>
    <w:pPr>
      <w:spacing w:before="120" w:line="480" w:lineRule="exact"/>
      <w:jc w:val="center"/>
      <w:textAlignment w:val="baseline"/>
    </w:pPr>
    <w:rPr>
      <w:rFonts w:eastAsia="文鼎CS中宋"/>
      <w:spacing w:val="8"/>
      <w:sz w:val="24"/>
      <w:szCs w:val="22"/>
    </w:rPr>
  </w:style>
  <w:style w:type="character" w:customStyle="1" w:styleId="1Char1">
    <w:name w:val="正文1 Char1"/>
    <w:rPr>
      <w:rFonts w:ascii="宋体" w:hAnsi="Times New Roman"/>
    </w:rPr>
  </w:style>
  <w:style w:type="character" w:customStyle="1" w:styleId="bj1">
    <w:name w:val="bj1"/>
    <w:rPr>
      <w:rFonts w:ascii="宋体" w:eastAsia="宋体" w:hAnsi="宋体" w:hint="eastAsia"/>
      <w:sz w:val="18"/>
      <w:szCs w:val="18"/>
    </w:rPr>
  </w:style>
  <w:style w:type="character" w:customStyle="1" w:styleId="m441">
    <w:name w:val="m_441"/>
  </w:style>
  <w:style w:type="character" w:customStyle="1" w:styleId="1H1SectionHeadHeader1h11stlevell1Heading0Fab-1Char">
    <w:name w:val="样式 标题 1H1Section HeadHeader1h11st levell1Heading 0Fab-1... Char"/>
    <w:link w:val="1H1SectionHeadHeader1h11stlevell1Heading0Fab-1"/>
    <w:qFormat/>
    <w:rPr>
      <w:rFonts w:hAnsi="宋体"/>
      <w:b/>
      <w:bCs/>
      <w:kern w:val="44"/>
      <w:sz w:val="44"/>
      <w:szCs w:val="44"/>
    </w:rPr>
  </w:style>
  <w:style w:type="paragraph" w:customStyle="1" w:styleId="1H1SectionHeadHeader1h11stlevell1Heading0Fab-1">
    <w:name w:val="样式 标题 1H1Section HeadHeader1h11st levell1Heading 0Fab-1..."/>
    <w:basedOn w:val="12"/>
    <w:link w:val="1H1SectionHeadHeader1h11stlevell1Heading0Fab-1Char"/>
    <w:qFormat/>
    <w:pPr>
      <w:spacing w:before="340" w:after="330" w:line="498" w:lineRule="exact"/>
      <w:jc w:val="both"/>
      <w:textAlignment w:val="auto"/>
    </w:pPr>
    <w:rPr>
      <w:rFonts w:asciiTheme="minorHAnsi" w:eastAsiaTheme="minorEastAsia" w:hAnsi="宋体"/>
      <w:b/>
      <w:sz w:val="44"/>
      <w:szCs w:val="44"/>
    </w:rPr>
  </w:style>
  <w:style w:type="character" w:customStyle="1" w:styleId="font121">
    <w:name w:val="font121"/>
    <w:qFormat/>
    <w:rPr>
      <w:rFonts w:ascii="宋体" w:eastAsia="宋体" w:hAnsi="宋体" w:cs="宋体" w:hint="eastAsia"/>
      <w:color w:val="000000"/>
      <w:sz w:val="21"/>
      <w:szCs w:val="21"/>
      <w:u w:val="none"/>
    </w:rPr>
  </w:style>
  <w:style w:type="character" w:customStyle="1" w:styleId="Char16">
    <w:name w:val="注释标题 Char1"/>
    <w:locked/>
    <w:rPr>
      <w:kern w:val="2"/>
      <w:sz w:val="18"/>
    </w:rPr>
  </w:style>
  <w:style w:type="character" w:customStyle="1" w:styleId="CharChar153">
    <w:name w:val="Char Char153"/>
    <w:rPr>
      <w:rFonts w:eastAsia="宋体"/>
      <w:kern w:val="2"/>
      <w:sz w:val="24"/>
      <w:lang w:val="en-US" w:eastAsia="zh-CN" w:bidi="ar-SA"/>
    </w:rPr>
  </w:style>
  <w:style w:type="character" w:customStyle="1" w:styleId="mainarttxt1">
    <w:name w:val="mainarttxt1"/>
    <w:rPr>
      <w:rFonts w:ascii="Arial" w:hAnsi="Arial" w:cs="Arial" w:hint="default"/>
      <w:color w:val="000000"/>
      <w:sz w:val="20"/>
      <w:szCs w:val="20"/>
    </w:rPr>
  </w:style>
  <w:style w:type="character" w:customStyle="1" w:styleId="wz1">
    <w:name w:val="wz1"/>
    <w:rPr>
      <w:rFonts w:ascii="ˎ̥" w:hAnsi="ˎ̥" w:hint="default"/>
      <w:color w:val="000000"/>
      <w:sz w:val="22"/>
      <w:szCs w:val="22"/>
    </w:rPr>
  </w:style>
  <w:style w:type="character" w:customStyle="1" w:styleId="4CharChar">
    <w:name w:val="样式4 Char Char"/>
    <w:link w:val="49"/>
    <w:rPr>
      <w:rFonts w:ascii="黑体" w:eastAsia="黑体" w:cs="宋体"/>
      <w:sz w:val="28"/>
      <w:szCs w:val="28"/>
    </w:rPr>
  </w:style>
  <w:style w:type="paragraph" w:customStyle="1" w:styleId="49">
    <w:name w:val="样式4"/>
    <w:basedOn w:val="a2"/>
    <w:link w:val="4CharChar"/>
    <w:qFormat/>
    <w:rPr>
      <w:rFonts w:ascii="黑体" w:eastAsia="黑体" w:cs="宋体"/>
      <w:szCs w:val="28"/>
    </w:rPr>
  </w:style>
  <w:style w:type="character" w:customStyle="1" w:styleId="6Char0">
    <w:name w:val="6表(图)头(治) Char"/>
    <w:rPr>
      <w:rFonts w:eastAsia="黑体"/>
      <w:b/>
      <w:sz w:val="28"/>
      <w:szCs w:val="28"/>
      <w:lang w:val="en-US" w:eastAsia="zh-CN" w:bidi="ar-SA"/>
    </w:rPr>
  </w:style>
  <w:style w:type="character" w:customStyle="1" w:styleId="Char24">
    <w:name w:val="副标题 Char2"/>
    <w:uiPriority w:val="11"/>
    <w:rPr>
      <w:rFonts w:ascii="Calibri Light" w:hAnsi="Calibri Light" w:cs="Times New Roman"/>
      <w:b/>
      <w:bCs/>
      <w:kern w:val="28"/>
      <w:sz w:val="32"/>
      <w:szCs w:val="32"/>
    </w:rPr>
  </w:style>
  <w:style w:type="character" w:customStyle="1" w:styleId="Charf4">
    <w:name w:val="列表 Char"/>
    <w:link w:val="aff2"/>
    <w:rPr>
      <w:rFonts w:ascii="仿宋_GB2312" w:eastAsia="仿宋_GB2312"/>
      <w:sz w:val="24"/>
    </w:rPr>
  </w:style>
  <w:style w:type="character" w:customStyle="1" w:styleId="SimSun67">
    <w:name w:val="正文文本 + SimSun67"/>
    <w:rPr>
      <w:rFonts w:ascii="宋体" w:eastAsia="宋体" w:cs="宋体"/>
      <w:sz w:val="21"/>
      <w:szCs w:val="21"/>
      <w:u w:val="none"/>
    </w:rPr>
  </w:style>
  <w:style w:type="character" w:customStyle="1" w:styleId="2TextChar">
    <w:name w:val="2Text Char"/>
    <w:link w:val="2Text"/>
    <w:rPr>
      <w:sz w:val="24"/>
      <w:szCs w:val="24"/>
    </w:rPr>
  </w:style>
  <w:style w:type="paragraph" w:customStyle="1" w:styleId="2Text">
    <w:name w:val="2Text"/>
    <w:link w:val="2TextChar"/>
    <w:qFormat/>
    <w:pPr>
      <w:widowControl w:val="0"/>
      <w:spacing w:line="360" w:lineRule="auto"/>
      <w:ind w:firstLineChars="200" w:firstLine="200"/>
      <w:jc w:val="both"/>
    </w:pPr>
    <w:rPr>
      <w:kern w:val="2"/>
      <w:sz w:val="24"/>
      <w:szCs w:val="24"/>
    </w:rPr>
  </w:style>
  <w:style w:type="character" w:customStyle="1" w:styleId="Charf2">
    <w:name w:val="签名 Char"/>
    <w:link w:val="aff"/>
    <w:rPr>
      <w:rFonts w:ascii="Arial" w:eastAsia="仿宋_GB2312" w:hAnsi="Arial"/>
      <w:sz w:val="24"/>
    </w:rPr>
  </w:style>
  <w:style w:type="character" w:customStyle="1" w:styleId="CharChar201">
    <w:name w:val="Char Char201"/>
    <w:rPr>
      <w:rFonts w:ascii="Arial" w:eastAsia="黑体" w:hAnsi="Arial" w:cs="Arial" w:hint="default"/>
      <w:kern w:val="2"/>
      <w:sz w:val="24"/>
      <w:lang w:val="en-US" w:eastAsia="zh-CN" w:bidi="ar-SA"/>
    </w:rPr>
  </w:style>
  <w:style w:type="character" w:customStyle="1" w:styleId="BChar">
    <w:name w:val="样式 B + 宋体 Char"/>
    <w:rPr>
      <w:rFonts w:ascii="宋体" w:hAnsi="宋体"/>
      <w:b/>
      <w:bCs/>
    </w:rPr>
  </w:style>
  <w:style w:type="character" w:customStyle="1" w:styleId="z-Char40">
    <w:name w:val="z-窗体顶端 Char4"/>
    <w:uiPriority w:val="99"/>
    <w:semiHidden/>
    <w:rPr>
      <w:rFonts w:ascii="Arial" w:hAnsi="Arial" w:cs="Arial"/>
      <w:vanish/>
      <w:kern w:val="2"/>
      <w:sz w:val="16"/>
      <w:szCs w:val="16"/>
    </w:rPr>
  </w:style>
  <w:style w:type="character" w:customStyle="1" w:styleId="1Char2">
    <w:name w:val="标题样式1 Char"/>
    <w:rPr>
      <w:rFonts w:ascii="黑体" w:eastAsia="黑体"/>
      <w:b/>
      <w:bCs/>
      <w:kern w:val="44"/>
      <w:sz w:val="28"/>
      <w:szCs w:val="28"/>
      <w:lang w:val="en-US" w:eastAsia="zh-CN" w:bidi="ar-SA"/>
    </w:rPr>
  </w:style>
  <w:style w:type="character" w:customStyle="1" w:styleId="Char50">
    <w:name w:val="签名 Char5"/>
    <w:rPr>
      <w:kern w:val="2"/>
      <w:sz w:val="24"/>
      <w:szCs w:val="24"/>
    </w:rPr>
  </w:style>
  <w:style w:type="character" w:customStyle="1" w:styleId="z-">
    <w:name w:val="z-窗体顶端 字符"/>
    <w:link w:val="z-1"/>
    <w:rPr>
      <w:rFonts w:ascii="Arial" w:hAnsi="Arial"/>
      <w:vanish/>
      <w:sz w:val="16"/>
      <w:szCs w:val="16"/>
    </w:rPr>
  </w:style>
  <w:style w:type="paragraph" w:customStyle="1" w:styleId="z-1">
    <w:name w:val="z-窗体顶端1"/>
    <w:basedOn w:val="a2"/>
    <w:next w:val="a2"/>
    <w:link w:val="z-"/>
    <w:pPr>
      <w:pBdr>
        <w:bottom w:val="single" w:sz="6" w:space="1" w:color="auto"/>
      </w:pBdr>
      <w:snapToGrid w:val="0"/>
      <w:spacing w:line="300" w:lineRule="auto"/>
      <w:jc w:val="center"/>
    </w:pPr>
    <w:rPr>
      <w:rFonts w:hAnsi="Arial"/>
      <w:vanish/>
      <w:sz w:val="16"/>
      <w:szCs w:val="16"/>
    </w:rPr>
  </w:style>
  <w:style w:type="character" w:customStyle="1" w:styleId="GB231210125CharChar">
    <w:name w:val="样式 普通(网站) + 仿宋_GB2312 四号 两端对齐 首行缩进:  1.01 厘米 行距: 固定值 25 磅 Char Char"/>
    <w:link w:val="GB231210125"/>
    <w:rPr>
      <w:rFonts w:ascii="仿宋_GB2312" w:eastAsia="仿宋_GB2312" w:hAnsi="宋体" w:cs="宋体"/>
      <w:sz w:val="28"/>
    </w:rPr>
  </w:style>
  <w:style w:type="paragraph" w:customStyle="1" w:styleId="GB231210125">
    <w:name w:val="样式 普通(网站) + 仿宋_GB2312 四号 两端对齐 首行缩进:  1.01 厘米 行距: 固定值 25 磅"/>
    <w:basedOn w:val="aff6"/>
    <w:link w:val="GB231210125CharChar"/>
    <w:qFormat/>
    <w:pPr>
      <w:spacing w:line="500" w:lineRule="exact"/>
      <w:ind w:firstLine="570"/>
      <w:jc w:val="both"/>
    </w:pPr>
    <w:rPr>
      <w:rFonts w:ascii="仿宋_GB2312" w:hAnsi="宋体" w:cs="宋体"/>
      <w:sz w:val="28"/>
      <w:szCs w:val="22"/>
    </w:rPr>
  </w:style>
  <w:style w:type="character" w:customStyle="1" w:styleId="2Char5">
    <w:name w:val="样式 正文 + 首行缩进:  2 字符 + 宋体 四号 Char"/>
    <w:qFormat/>
    <w:rPr>
      <w:rFonts w:ascii="宋体" w:eastAsia="宋体" w:hAnsi="宋体" w:cs="宋体"/>
      <w:kern w:val="2"/>
      <w:sz w:val="28"/>
      <w:lang w:val="en-US" w:eastAsia="zh-CN" w:bidi="ar-SA"/>
    </w:rPr>
  </w:style>
  <w:style w:type="character" w:customStyle="1" w:styleId="chenCharChar">
    <w:name w:val="chen 正文字体 Char Char"/>
    <w:link w:val="chen"/>
    <w:qFormat/>
    <w:rPr>
      <w:rFonts w:ascii="宋体" w:eastAsia="宋体" w:hAnsi="宋体" w:cs="宋体"/>
      <w:color w:val="000000"/>
      <w:sz w:val="24"/>
    </w:rPr>
  </w:style>
  <w:style w:type="paragraph" w:customStyle="1" w:styleId="chen">
    <w:name w:val="chen 正文字体"/>
    <w:basedOn w:val="a2"/>
    <w:link w:val="chenCharChar"/>
    <w:qFormat/>
    <w:pPr>
      <w:spacing w:line="360" w:lineRule="auto"/>
      <w:ind w:firstLineChars="200" w:firstLine="200"/>
    </w:pPr>
    <w:rPr>
      <w:rFonts w:ascii="宋体" w:eastAsia="宋体" w:hAnsi="宋体" w:cs="宋体"/>
      <w:color w:val="000000"/>
      <w:sz w:val="24"/>
      <w:szCs w:val="22"/>
    </w:rPr>
  </w:style>
  <w:style w:type="character" w:customStyle="1" w:styleId="63">
    <w:name w:val="表格标题6"/>
    <w:rPr>
      <w:rFonts w:ascii="宋体" w:eastAsia="宋体" w:cs="宋体"/>
      <w:sz w:val="21"/>
      <w:szCs w:val="21"/>
      <w:u w:val="none"/>
    </w:rPr>
  </w:style>
  <w:style w:type="character" w:customStyle="1" w:styleId="CharChara">
    <w:name w:val="编号下正文 Char Char"/>
    <w:rPr>
      <w:rFonts w:eastAsia="宋体"/>
      <w:bCs/>
      <w:kern w:val="2"/>
      <w:sz w:val="24"/>
      <w:szCs w:val="24"/>
      <w:lang w:val="en-US" w:eastAsia="zh-CN" w:bidi="ar-SA"/>
    </w:rPr>
  </w:style>
  <w:style w:type="character" w:customStyle="1" w:styleId="Char25">
    <w:name w:val="脚注文本 Char2"/>
    <w:uiPriority w:val="99"/>
    <w:semiHidden/>
    <w:rPr>
      <w:kern w:val="2"/>
      <w:sz w:val="18"/>
      <w:szCs w:val="18"/>
    </w:rPr>
  </w:style>
  <w:style w:type="character" w:customStyle="1" w:styleId="08515CharChar">
    <w:name w:val="样式 宋体 小四 首行缩进:  0.85 厘米 行距: 1.5 倍行距 Char Char"/>
    <w:rPr>
      <w:rFonts w:ascii="宋体" w:hAnsi="Times New Roman"/>
      <w:sz w:val="24"/>
    </w:rPr>
  </w:style>
  <w:style w:type="character" w:customStyle="1" w:styleId="3Char3">
    <w:name w:val="正文文本缩进 3 Char3"/>
    <w:uiPriority w:val="99"/>
    <w:semiHidden/>
    <w:rPr>
      <w:kern w:val="2"/>
      <w:sz w:val="16"/>
      <w:szCs w:val="16"/>
    </w:rPr>
  </w:style>
  <w:style w:type="character" w:customStyle="1" w:styleId="6CharChar">
    <w:name w:val="样式6 Char Char"/>
    <w:link w:val="64"/>
    <w:rPr>
      <w:sz w:val="24"/>
      <w:szCs w:val="24"/>
    </w:rPr>
  </w:style>
  <w:style w:type="paragraph" w:customStyle="1" w:styleId="64">
    <w:name w:val="样式6"/>
    <w:basedOn w:val="af4"/>
    <w:next w:val="af5"/>
    <w:link w:val="6CharChar"/>
    <w:qFormat/>
    <w:pPr>
      <w:snapToGrid w:val="0"/>
      <w:spacing w:beforeLines="50" w:before="156" w:afterLines="50" w:after="156" w:line="400" w:lineRule="exact"/>
      <w:ind w:firstLineChars="200" w:firstLine="480"/>
    </w:pPr>
    <w:rPr>
      <w:sz w:val="24"/>
      <w:szCs w:val="24"/>
    </w:rPr>
  </w:style>
  <w:style w:type="character" w:customStyle="1" w:styleId="Batang9">
    <w:name w:val="表格标题 + Batang9"/>
    <w:rPr>
      <w:rFonts w:ascii="Batang" w:eastAsia="Batang" w:cs="Batang"/>
      <w:sz w:val="18"/>
      <w:szCs w:val="18"/>
      <w:u w:val="none"/>
      <w:lang w:val="en-US" w:eastAsia="en-US"/>
    </w:rPr>
  </w:style>
  <w:style w:type="character" w:customStyle="1" w:styleId="1CharChar1">
    <w:name w:val="正文样式1 Char Char1"/>
    <w:link w:val="1Char3"/>
    <w:rPr>
      <w:position w:val="-12"/>
      <w:sz w:val="24"/>
      <w:szCs w:val="24"/>
    </w:rPr>
  </w:style>
  <w:style w:type="paragraph" w:customStyle="1" w:styleId="1Char3">
    <w:name w:val="正文样式1 Char"/>
    <w:basedOn w:val="a2"/>
    <w:link w:val="1CharChar1"/>
    <w:qFormat/>
    <w:pPr>
      <w:spacing w:beforeLines="10" w:afterLines="10" w:line="312" w:lineRule="auto"/>
      <w:ind w:firstLineChars="200" w:firstLine="200"/>
      <w:jc w:val="both"/>
      <w:textAlignment w:val="baseline"/>
    </w:pPr>
    <w:rPr>
      <w:position w:val="-12"/>
      <w:sz w:val="24"/>
      <w:szCs w:val="24"/>
    </w:rPr>
  </w:style>
  <w:style w:type="character" w:customStyle="1" w:styleId="CharChar104">
    <w:name w:val="Char Char104"/>
    <w:rPr>
      <w:rFonts w:eastAsia="仿宋_GB2312"/>
      <w:kern w:val="2"/>
      <w:sz w:val="24"/>
      <w:szCs w:val="24"/>
      <w:lang w:val="en-US" w:eastAsia="zh-CN" w:bidi="ar-SA"/>
    </w:rPr>
  </w:style>
  <w:style w:type="character" w:customStyle="1" w:styleId="1Char4">
    <w:name w:val="正缩1 Char"/>
    <w:link w:val="1d"/>
    <w:rPr>
      <w:rFonts w:eastAsia="仿宋_GB2312"/>
      <w:color w:val="000000"/>
      <w:sz w:val="28"/>
    </w:rPr>
  </w:style>
  <w:style w:type="paragraph" w:customStyle="1" w:styleId="1d">
    <w:name w:val="正缩1"/>
    <w:basedOn w:val="a2"/>
    <w:link w:val="1Char4"/>
    <w:pPr>
      <w:autoSpaceDE/>
      <w:autoSpaceDN/>
      <w:snapToGrid w:val="0"/>
      <w:spacing w:line="500" w:lineRule="exact"/>
      <w:ind w:firstLineChars="200" w:firstLine="567"/>
      <w:jc w:val="both"/>
    </w:pPr>
    <w:rPr>
      <w:rFonts w:eastAsia="仿宋_GB2312"/>
      <w:color w:val="000000"/>
      <w:szCs w:val="22"/>
    </w:rPr>
  </w:style>
  <w:style w:type="character" w:customStyle="1" w:styleId="CharCharb">
    <w:name w:val="公表序 Char Char"/>
    <w:link w:val="affff7"/>
    <w:rPr>
      <w:rFonts w:ascii="黑体" w:eastAsia="黑体" w:hAnsi="Swis721 Lt BT"/>
      <w:sz w:val="24"/>
    </w:rPr>
  </w:style>
  <w:style w:type="paragraph" w:customStyle="1" w:styleId="affff7">
    <w:name w:val="公表序"/>
    <w:basedOn w:val="a2"/>
    <w:link w:val="CharCharb"/>
    <w:qFormat/>
    <w:pPr>
      <w:snapToGrid w:val="0"/>
      <w:spacing w:after="60" w:line="560" w:lineRule="exact"/>
      <w:ind w:firstLineChars="100" w:firstLine="100"/>
    </w:pPr>
    <w:rPr>
      <w:rFonts w:ascii="黑体" w:eastAsia="黑体" w:hAnsi="Swis721 Lt BT"/>
      <w:sz w:val="24"/>
      <w:szCs w:val="22"/>
    </w:rPr>
  </w:style>
  <w:style w:type="character" w:customStyle="1" w:styleId="Charff3">
    <w:name w:val="表格文本 Char"/>
    <w:link w:val="affff8"/>
    <w:rPr>
      <w:rFonts w:eastAsia="仿宋_GB2312" w:hAnsi="宋体" w:cs="宋体"/>
      <w:color w:val="000000"/>
      <w:sz w:val="24"/>
      <w:szCs w:val="21"/>
    </w:rPr>
  </w:style>
  <w:style w:type="paragraph" w:customStyle="1" w:styleId="affff8">
    <w:name w:val="表格文本"/>
    <w:basedOn w:val="a2"/>
    <w:next w:val="a2"/>
    <w:link w:val="Charff3"/>
    <w:qFormat/>
    <w:pPr>
      <w:spacing w:line="240" w:lineRule="atLeast"/>
      <w:jc w:val="center"/>
      <w:textAlignment w:val="center"/>
    </w:pPr>
    <w:rPr>
      <w:rFonts w:eastAsia="仿宋_GB2312" w:hAnsi="宋体" w:cs="宋体"/>
      <w:color w:val="000000"/>
      <w:sz w:val="24"/>
    </w:rPr>
  </w:style>
  <w:style w:type="character" w:customStyle="1" w:styleId="CharCharCharCharCharCharCharCharCharCharCharCharCharCharChar">
    <w:name w:val="正文格式 Char Char Char Char Char Char Char Char Char Char Char Char Char Char Char"/>
    <w:rPr>
      <w:rFonts w:eastAsia="宋体"/>
      <w:kern w:val="2"/>
      <w:sz w:val="28"/>
      <w:szCs w:val="28"/>
      <w:lang w:val="en-US" w:eastAsia="zh-CN" w:bidi="ar-SA"/>
    </w:rPr>
  </w:style>
  <w:style w:type="character" w:customStyle="1" w:styleId="CharChar12">
    <w:name w:val="Char Char12"/>
    <w:link w:val="Char60"/>
    <w:locked/>
  </w:style>
  <w:style w:type="paragraph" w:customStyle="1" w:styleId="Char60">
    <w:name w:val="Char6"/>
    <w:basedOn w:val="a2"/>
    <w:link w:val="CharChar12"/>
    <w:qFormat/>
    <w:rPr>
      <w:szCs w:val="22"/>
    </w:rPr>
  </w:style>
  <w:style w:type="character" w:customStyle="1" w:styleId="unnamed31">
    <w:name w:val="unnamed31"/>
    <w:rPr>
      <w:sz w:val="20"/>
      <w:szCs w:val="20"/>
    </w:rPr>
  </w:style>
  <w:style w:type="character" w:customStyle="1" w:styleId="Charff4">
    <w:name w:val="我的表格 Char"/>
    <w:link w:val="affff9"/>
    <w:uiPriority w:val="99"/>
    <w:locked/>
    <w:rPr>
      <w:szCs w:val="21"/>
    </w:rPr>
  </w:style>
  <w:style w:type="paragraph" w:customStyle="1" w:styleId="affff9">
    <w:name w:val="我的表格"/>
    <w:basedOn w:val="a2"/>
    <w:link w:val="Charff4"/>
    <w:uiPriority w:val="99"/>
    <w:pPr>
      <w:jc w:val="center"/>
    </w:pPr>
  </w:style>
  <w:style w:type="character" w:customStyle="1" w:styleId="Char30">
    <w:name w:val="标题 Char3"/>
    <w:uiPriority w:val="10"/>
    <w:rPr>
      <w:rFonts w:ascii="Calibri Light" w:hAnsi="Calibri Light" w:cs="Times New Roman"/>
      <w:b/>
      <w:bCs/>
      <w:kern w:val="2"/>
      <w:sz w:val="32"/>
      <w:szCs w:val="32"/>
    </w:rPr>
  </w:style>
  <w:style w:type="character" w:customStyle="1" w:styleId="83">
    <w:name w:val="表格标题 (8)_"/>
    <w:link w:val="810"/>
    <w:qFormat/>
    <w:rPr>
      <w:rFonts w:ascii="Batang" w:eastAsia="Batang"/>
      <w:sz w:val="26"/>
      <w:szCs w:val="26"/>
      <w:shd w:val="clear" w:color="auto" w:fill="FFFFFF"/>
      <w:lang w:eastAsia="en-US"/>
    </w:rPr>
  </w:style>
  <w:style w:type="paragraph" w:customStyle="1" w:styleId="810">
    <w:name w:val="表格标题 (8)1"/>
    <w:basedOn w:val="a2"/>
    <w:link w:val="83"/>
    <w:qFormat/>
    <w:pPr>
      <w:shd w:val="clear" w:color="auto" w:fill="FFFFFF"/>
      <w:spacing w:line="240" w:lineRule="atLeast"/>
    </w:pPr>
    <w:rPr>
      <w:rFonts w:ascii="Batang" w:eastAsia="Batang"/>
      <w:sz w:val="26"/>
      <w:szCs w:val="26"/>
      <w:lang w:eastAsia="en-US"/>
    </w:rPr>
  </w:style>
  <w:style w:type="character" w:customStyle="1" w:styleId="TimesNewRoman1">
    <w:name w:val="样式 Times New Roman1"/>
    <w:rPr>
      <w:rFonts w:ascii="Times New Roman" w:hAnsi="Times New Roman" w:cs="Times New Roman" w:hint="default"/>
    </w:rPr>
  </w:style>
  <w:style w:type="character" w:customStyle="1" w:styleId="m491">
    <w:name w:val="m_491"/>
  </w:style>
  <w:style w:type="character" w:customStyle="1" w:styleId="CharCharCharCharCharCharChar2">
    <w:name w:val="Char Char Char Char Char Char Char2"/>
    <w:link w:val="CharCharCharCharCharChar2"/>
  </w:style>
  <w:style w:type="paragraph" w:customStyle="1" w:styleId="CharCharCharCharCharChar2">
    <w:name w:val="Char Char Char Char Char Char2"/>
    <w:basedOn w:val="a2"/>
    <w:link w:val="CharCharCharCharCharCharChar2"/>
    <w:qFormat/>
    <w:rPr>
      <w:szCs w:val="22"/>
    </w:rPr>
  </w:style>
  <w:style w:type="character" w:customStyle="1" w:styleId="CharCharc">
    <w:name w:val="无页眉 Char Char"/>
    <w:rPr>
      <w:rFonts w:eastAsia="宋体"/>
      <w:kern w:val="2"/>
      <w:sz w:val="18"/>
      <w:szCs w:val="18"/>
      <w:lang w:val="en-US" w:eastAsia="zh-CN" w:bidi="ar-SA"/>
    </w:rPr>
  </w:style>
  <w:style w:type="character" w:customStyle="1" w:styleId="1e">
    <w:name w:val="标题字符1"/>
    <w:rPr>
      <w:rFonts w:ascii="Calibri" w:hAnsi="Calibri" w:cs="Times New Roman"/>
      <w:b/>
      <w:bCs/>
      <w:kern w:val="2"/>
      <w:sz w:val="32"/>
      <w:szCs w:val="32"/>
    </w:rPr>
  </w:style>
  <w:style w:type="character" w:customStyle="1" w:styleId="list1">
    <w:name w:val="list1"/>
    <w:rPr>
      <w:rFonts w:ascii="ˎ̥" w:hAnsi="ˎ̥" w:hint="default"/>
      <w:b/>
      <w:bCs/>
      <w:color w:val="003366"/>
      <w:sz w:val="18"/>
      <w:szCs w:val="18"/>
    </w:rPr>
  </w:style>
  <w:style w:type="character" w:customStyle="1" w:styleId="op-map-singlepoint-info-right1">
    <w:name w:val="op-map-singlepoint-info-right1"/>
  </w:style>
  <w:style w:type="character" w:customStyle="1" w:styleId="001CharChar">
    <w:name w:val="正文001 Char Char"/>
    <w:rPr>
      <w:sz w:val="24"/>
    </w:rPr>
  </w:style>
  <w:style w:type="character" w:customStyle="1" w:styleId="CharChar241">
    <w:name w:val="Char Char241"/>
    <w:rPr>
      <w:rFonts w:eastAsia="宋体"/>
      <w:b/>
      <w:kern w:val="44"/>
      <w:sz w:val="32"/>
      <w:lang w:val="en-US" w:eastAsia="zh-CN" w:bidi="ar-SA"/>
    </w:rPr>
  </w:style>
  <w:style w:type="character" w:customStyle="1" w:styleId="Char26">
    <w:name w:val="题注 Char2"/>
    <w:rPr>
      <w:rFonts w:ascii="Cambria" w:eastAsia="黑体" w:hAnsi="Cambria"/>
      <w:kern w:val="2"/>
    </w:rPr>
  </w:style>
  <w:style w:type="character" w:customStyle="1" w:styleId="topbt1">
    <w:name w:val="top_bt1"/>
    <w:rPr>
      <w:b/>
      <w:bCs/>
      <w:color w:val="000000"/>
      <w:sz w:val="21"/>
      <w:szCs w:val="21"/>
    </w:rPr>
  </w:style>
  <w:style w:type="character" w:customStyle="1" w:styleId="zhenwen141">
    <w:name w:val="zhenwen141"/>
    <w:rPr>
      <w:rFonts w:ascii="ˎ̥" w:hAnsi="ˎ̥" w:hint="default"/>
      <w:sz w:val="21"/>
      <w:szCs w:val="21"/>
    </w:rPr>
  </w:style>
  <w:style w:type="character" w:customStyle="1" w:styleId="1Char10">
    <w:name w:val="正文（1） Char1"/>
    <w:rPr>
      <w:rFonts w:eastAsia="宋体"/>
      <w:kern w:val="2"/>
      <w:sz w:val="28"/>
      <w:lang w:val="en-US" w:eastAsia="zh-CN"/>
    </w:rPr>
  </w:style>
  <w:style w:type="character" w:customStyle="1" w:styleId="T4Char">
    <w:name w:val="T4 Char"/>
    <w:rPr>
      <w:rFonts w:ascii="Times New Roman" w:hAnsi="Times New Roman"/>
      <w:b/>
      <w:bCs/>
      <w:sz w:val="24"/>
      <w:szCs w:val="28"/>
    </w:rPr>
  </w:style>
  <w:style w:type="character" w:customStyle="1" w:styleId="fs121">
    <w:name w:val="fs121"/>
    <w:rPr>
      <w:sz w:val="18"/>
      <w:szCs w:val="18"/>
    </w:rPr>
  </w:style>
  <w:style w:type="character" w:customStyle="1" w:styleId="CharChar51">
    <w:name w:val="Char Char51"/>
    <w:rPr>
      <w:rFonts w:eastAsia="宋体"/>
      <w:b/>
      <w:bCs/>
      <w:color w:val="000000"/>
      <w:kern w:val="2"/>
      <w:sz w:val="28"/>
      <w:szCs w:val="24"/>
      <w:lang w:val="en-US" w:eastAsia="zh-CN" w:bidi="ar-SA"/>
    </w:rPr>
  </w:style>
  <w:style w:type="character" w:customStyle="1" w:styleId="1f">
    <w:name w:val="明显强调1"/>
    <w:qFormat/>
    <w:rPr>
      <w:b/>
      <w:i/>
      <w:sz w:val="24"/>
      <w:szCs w:val="24"/>
      <w:u w:val="single"/>
    </w:rPr>
  </w:style>
  <w:style w:type="character" w:customStyle="1" w:styleId="Char27">
    <w:name w:val="正文文字 Char2"/>
    <w:rPr>
      <w:rFonts w:eastAsia="仿宋_GB2312"/>
      <w:kern w:val="2"/>
      <w:sz w:val="24"/>
      <w:szCs w:val="24"/>
      <w:lang w:val="en-US" w:eastAsia="zh-CN" w:bidi="ar-SA"/>
    </w:rPr>
  </w:style>
  <w:style w:type="character" w:customStyle="1" w:styleId="AChar">
    <w:name w:val="自动A Char"/>
    <w:link w:val="Affffa"/>
    <w:rPr>
      <w:color w:val="000000"/>
      <w:sz w:val="24"/>
    </w:rPr>
  </w:style>
  <w:style w:type="paragraph" w:customStyle="1" w:styleId="Affffa">
    <w:name w:val="自动A"/>
    <w:basedOn w:val="a2"/>
    <w:link w:val="AChar"/>
    <w:qFormat/>
    <w:pPr>
      <w:spacing w:before="120" w:after="120" w:line="360" w:lineRule="auto"/>
      <w:ind w:firstLineChars="200" w:firstLine="480"/>
      <w:jc w:val="both"/>
    </w:pPr>
    <w:rPr>
      <w:color w:val="000000"/>
      <w:sz w:val="24"/>
      <w:szCs w:val="22"/>
    </w:rPr>
  </w:style>
  <w:style w:type="character" w:customStyle="1" w:styleId="CharChard">
    <w:name w:val="表 Char Char"/>
    <w:rPr>
      <w:rFonts w:eastAsia="宋体"/>
      <w:spacing w:val="2"/>
      <w:kern w:val="2"/>
      <w:sz w:val="24"/>
      <w:lang w:val="en-US" w:eastAsia="zh-CN" w:bidi="ar-SA"/>
    </w:rPr>
  </w:style>
  <w:style w:type="character" w:customStyle="1" w:styleId="Char41">
    <w:name w:val="文档结构图 Char4"/>
    <w:uiPriority w:val="99"/>
    <w:semiHidden/>
    <w:rPr>
      <w:rFonts w:ascii="宋体" w:eastAsia="宋体"/>
      <w:sz w:val="18"/>
      <w:szCs w:val="18"/>
    </w:rPr>
  </w:style>
  <w:style w:type="character" w:customStyle="1" w:styleId="BodyText21CharChar">
    <w:name w:val="Body Text 21 Char Char"/>
    <w:link w:val="BodyText21"/>
    <w:rPr>
      <w:rFonts w:eastAsia="仿宋体"/>
      <w:sz w:val="24"/>
    </w:rPr>
  </w:style>
  <w:style w:type="paragraph" w:customStyle="1" w:styleId="BodyText21">
    <w:name w:val="Body Text 21"/>
    <w:basedOn w:val="a2"/>
    <w:link w:val="BodyText21CharChar"/>
    <w:qFormat/>
    <w:rPr>
      <w:rFonts w:eastAsia="仿宋体"/>
      <w:sz w:val="24"/>
      <w:szCs w:val="22"/>
    </w:rPr>
  </w:style>
  <w:style w:type="character" w:customStyle="1" w:styleId="CharChare">
    <w:name w:val="条款 Char Char"/>
    <w:link w:val="affffb"/>
  </w:style>
  <w:style w:type="paragraph" w:customStyle="1" w:styleId="affffb">
    <w:name w:val="条款"/>
    <w:basedOn w:val="a2"/>
    <w:link w:val="CharChare"/>
    <w:qFormat/>
    <w:rPr>
      <w:szCs w:val="22"/>
    </w:rPr>
  </w:style>
  <w:style w:type="character" w:customStyle="1" w:styleId="CharChar17">
    <w:name w:val="Char Char17"/>
    <w:rPr>
      <w:snapToGrid/>
      <w:spacing w:val="10"/>
      <w:sz w:val="24"/>
    </w:rPr>
  </w:style>
  <w:style w:type="character" w:customStyle="1" w:styleId="Char31">
    <w:name w:val="文档结构图 Char3"/>
    <w:uiPriority w:val="99"/>
    <w:semiHidden/>
    <w:rPr>
      <w:rFonts w:ascii="Microsoft YaHei UI" w:eastAsia="Microsoft YaHei UI"/>
      <w:kern w:val="2"/>
      <w:sz w:val="18"/>
      <w:szCs w:val="18"/>
    </w:rPr>
  </w:style>
  <w:style w:type="character" w:customStyle="1" w:styleId="3CharChar">
    <w:name w:val="环标3 Char Char"/>
    <w:link w:val="3c"/>
    <w:rPr>
      <w:rFonts w:ascii="宋体" w:hAnsi="宋体"/>
      <w:sz w:val="24"/>
    </w:rPr>
  </w:style>
  <w:style w:type="paragraph" w:customStyle="1" w:styleId="3c">
    <w:name w:val="环标3"/>
    <w:basedOn w:val="32"/>
    <w:link w:val="3CharChar"/>
    <w:qFormat/>
    <w:pPr>
      <w:keepNext w:val="0"/>
      <w:keepLines w:val="0"/>
      <w:spacing w:before="0" w:after="0" w:line="312" w:lineRule="atLeast"/>
      <w:textAlignment w:val="baseline"/>
    </w:pPr>
    <w:rPr>
      <w:rFonts w:ascii="宋体" w:hAnsi="宋体"/>
      <w:b w:val="0"/>
      <w:bCs w:val="0"/>
      <w:sz w:val="24"/>
      <w:szCs w:val="22"/>
    </w:rPr>
  </w:style>
  <w:style w:type="character" w:customStyle="1" w:styleId="A70">
    <w:name w:val="A7"/>
    <w:rPr>
      <w:rFonts w:cs="H Ya 6gj"/>
      <w:color w:val="000000"/>
      <w:sz w:val="20"/>
      <w:szCs w:val="20"/>
    </w:rPr>
  </w:style>
  <w:style w:type="character" w:customStyle="1" w:styleId="CharCharf">
    <w:name w:val="图目录 Char Char"/>
    <w:rPr>
      <w:rFonts w:ascii="宋体" w:eastAsia="宋体"/>
      <w:kern w:val="2"/>
      <w:sz w:val="21"/>
      <w:szCs w:val="24"/>
      <w:lang w:val="en-US" w:eastAsia="zh-CN" w:bidi="ar-SA"/>
    </w:rPr>
  </w:style>
  <w:style w:type="character" w:customStyle="1" w:styleId="CharCharCharCharCharCharCharChar">
    <w:name w:val="燕山正文 Char Char Char Char Char Char Char Char"/>
    <w:link w:val="CharCharf0"/>
    <w:rPr>
      <w:color w:val="000000"/>
      <w:sz w:val="24"/>
      <w:szCs w:val="24"/>
    </w:rPr>
  </w:style>
  <w:style w:type="paragraph" w:customStyle="1" w:styleId="CharCharf0">
    <w:name w:val="燕山正文 Char Char"/>
    <w:basedOn w:val="a2"/>
    <w:link w:val="CharCharCharCharCharCharCharChar"/>
    <w:qFormat/>
    <w:pPr>
      <w:tabs>
        <w:tab w:val="left" w:pos="4680"/>
      </w:tabs>
      <w:snapToGrid w:val="0"/>
      <w:spacing w:line="360" w:lineRule="auto"/>
      <w:ind w:firstLineChars="200" w:firstLine="480"/>
      <w:jc w:val="both"/>
    </w:pPr>
    <w:rPr>
      <w:color w:val="000000"/>
      <w:sz w:val="24"/>
      <w:szCs w:val="24"/>
    </w:rPr>
  </w:style>
  <w:style w:type="character" w:customStyle="1" w:styleId="3CharChar0">
    <w:name w:val="公标题3 Char Char"/>
    <w:link w:val="3d"/>
    <w:rPr>
      <w:rFonts w:ascii="Swis721 BT" w:eastAsia="黑体" w:hAnsi="Swis721 BT"/>
      <w:sz w:val="24"/>
    </w:rPr>
  </w:style>
  <w:style w:type="paragraph" w:customStyle="1" w:styleId="3d">
    <w:name w:val="公标题3"/>
    <w:basedOn w:val="a2"/>
    <w:link w:val="3CharChar0"/>
    <w:qFormat/>
    <w:pPr>
      <w:snapToGrid w:val="0"/>
      <w:spacing w:beforeLines="30" w:before="93" w:afterLines="30" w:after="93" w:line="353" w:lineRule="auto"/>
      <w:outlineLvl w:val="2"/>
    </w:pPr>
    <w:rPr>
      <w:rFonts w:ascii="Swis721 BT" w:eastAsia="黑体" w:hAnsi="Swis721 BT"/>
      <w:sz w:val="24"/>
      <w:szCs w:val="22"/>
    </w:rPr>
  </w:style>
  <w:style w:type="character" w:customStyle="1" w:styleId="CharCharCharCharCharCharCharCharChar">
    <w:name w:val="正文样式 Char Char Char Char Char Char Char Char Char"/>
    <w:link w:val="Charff5"/>
    <w:rPr>
      <w:rFonts w:ascii="宋体" w:eastAsia="宋体" w:hAnsi="宋体"/>
      <w:color w:val="000000"/>
      <w:sz w:val="24"/>
      <w:szCs w:val="24"/>
    </w:rPr>
  </w:style>
  <w:style w:type="paragraph" w:customStyle="1" w:styleId="Charff5">
    <w:name w:val="正文样式 Char"/>
    <w:basedOn w:val="a2"/>
    <w:link w:val="CharCharCharCharCharCharCharCharChar"/>
    <w:qFormat/>
    <w:pPr>
      <w:spacing w:line="360" w:lineRule="auto"/>
      <w:ind w:firstLineChars="200" w:firstLine="480"/>
    </w:pPr>
    <w:rPr>
      <w:rFonts w:ascii="宋体" w:eastAsia="宋体" w:hAnsi="宋体"/>
      <w:color w:val="000000"/>
      <w:sz w:val="24"/>
      <w:szCs w:val="24"/>
    </w:rPr>
  </w:style>
  <w:style w:type="character" w:customStyle="1" w:styleId="98Char">
    <w:name w:val="样式98 Char"/>
    <w:rPr>
      <w:rFonts w:ascii="Times New Roman" w:eastAsia="仿宋_GB2312" w:hAnsi="Times New Roman" w:cs="Times New Roman"/>
      <w:bCs/>
      <w:color w:val="000000"/>
      <w:kern w:val="0"/>
      <w:szCs w:val="21"/>
    </w:rPr>
  </w:style>
  <w:style w:type="character" w:customStyle="1" w:styleId="5Char1">
    <w:name w:val="5文章(治) Char"/>
    <w:link w:val="58"/>
    <w:rPr>
      <w:rFonts w:ascii="仿宋_GB2312" w:eastAsia="仿宋_GB2312" w:hAnsi="宋体"/>
      <w:color w:val="0000FF"/>
      <w:kern w:val="28"/>
      <w:sz w:val="28"/>
    </w:rPr>
  </w:style>
  <w:style w:type="paragraph" w:customStyle="1" w:styleId="58">
    <w:name w:val="5文章(治)"/>
    <w:basedOn w:val="a2"/>
    <w:link w:val="5Char1"/>
    <w:qFormat/>
    <w:pPr>
      <w:spacing w:line="500" w:lineRule="exact"/>
      <w:ind w:firstLineChars="200" w:firstLine="560"/>
    </w:pPr>
    <w:rPr>
      <w:rFonts w:ascii="仿宋_GB2312" w:eastAsia="仿宋_GB2312" w:hAnsi="宋体"/>
      <w:color w:val="0000FF"/>
      <w:kern w:val="28"/>
      <w:szCs w:val="22"/>
    </w:rPr>
  </w:style>
  <w:style w:type="character" w:customStyle="1" w:styleId="111CharChar">
    <w:name w:val="1.1.1  标题/文字 Char Char"/>
    <w:link w:val="111"/>
    <w:qFormat/>
    <w:rPr>
      <w:rFonts w:ascii="宋体" w:hAnsi="宋体"/>
      <w:sz w:val="24"/>
      <w:szCs w:val="21"/>
    </w:rPr>
  </w:style>
  <w:style w:type="paragraph" w:customStyle="1" w:styleId="111">
    <w:name w:val="1.1.1  标题/文字"/>
    <w:basedOn w:val="a2"/>
    <w:link w:val="111CharChar"/>
    <w:qFormat/>
    <w:pPr>
      <w:spacing w:after="50" w:line="460" w:lineRule="exact"/>
      <w:jc w:val="both"/>
    </w:pPr>
    <w:rPr>
      <w:rFonts w:ascii="宋体" w:hAnsi="宋体"/>
      <w:sz w:val="24"/>
    </w:rPr>
  </w:style>
  <w:style w:type="character" w:customStyle="1" w:styleId="11Char">
    <w:name w:val="1.1　标题/文字 Char"/>
    <w:link w:val="112"/>
    <w:rPr>
      <w:rFonts w:ascii="宋体"/>
      <w:sz w:val="24"/>
      <w:szCs w:val="24"/>
      <w:lang w:val="zh-CN"/>
    </w:rPr>
  </w:style>
  <w:style w:type="paragraph" w:customStyle="1" w:styleId="112">
    <w:name w:val="1.1　标题/文字"/>
    <w:basedOn w:val="a2"/>
    <w:link w:val="11Char"/>
    <w:qFormat/>
    <w:pPr>
      <w:spacing w:line="440" w:lineRule="exact"/>
      <w:jc w:val="both"/>
    </w:pPr>
    <w:rPr>
      <w:rFonts w:ascii="宋体"/>
      <w:sz w:val="24"/>
      <w:szCs w:val="24"/>
      <w:lang w:val="zh-CN"/>
    </w:rPr>
  </w:style>
  <w:style w:type="character" w:customStyle="1" w:styleId="font14px1">
    <w:name w:val="font14px1"/>
    <w:rPr>
      <w:rFonts w:ascii="ˎ̥" w:hAnsi="ˎ̥" w:hint="default"/>
      <w:color w:val="0A0A0A"/>
      <w:sz w:val="21"/>
      <w:szCs w:val="21"/>
    </w:rPr>
  </w:style>
  <w:style w:type="character" w:customStyle="1" w:styleId="6Char1">
    <w:name w:val="项目6 Char"/>
    <w:rPr>
      <w:rFonts w:eastAsia="宋体"/>
      <w:color w:val="000000"/>
      <w:kern w:val="2"/>
      <w:sz w:val="24"/>
      <w:szCs w:val="24"/>
      <w:lang w:val="en-US" w:eastAsia="zh-CN" w:bidi="ar-SA"/>
    </w:rPr>
  </w:style>
  <w:style w:type="character" w:customStyle="1" w:styleId="91CharChar">
    <w:name w:val="样式91 Char Char"/>
    <w:link w:val="910"/>
    <w:rPr>
      <w:rFonts w:eastAsia="黑体"/>
      <w:bCs/>
      <w:color w:val="000000"/>
      <w:szCs w:val="21"/>
    </w:rPr>
  </w:style>
  <w:style w:type="paragraph" w:customStyle="1" w:styleId="910">
    <w:name w:val="样式91"/>
    <w:basedOn w:val="a2"/>
    <w:link w:val="91CharChar"/>
    <w:qFormat/>
    <w:pPr>
      <w:spacing w:before="60" w:line="500" w:lineRule="exact"/>
      <w:jc w:val="center"/>
      <w:textAlignment w:val="baseline"/>
    </w:pPr>
    <w:rPr>
      <w:rFonts w:eastAsia="黑体"/>
      <w:bCs/>
      <w:color w:val="000000"/>
    </w:rPr>
  </w:style>
  <w:style w:type="character" w:customStyle="1" w:styleId="affffc">
    <w:name w:val="正文文本缩进字符"/>
    <w:rPr>
      <w:kern w:val="2"/>
      <w:sz w:val="24"/>
    </w:rPr>
  </w:style>
  <w:style w:type="character" w:customStyle="1" w:styleId="5Char2">
    <w:name w:val="样式5 Char"/>
    <w:rPr>
      <w:rFonts w:ascii="仿宋_GB2312" w:eastAsia="仿宋_GB2312" w:hAnsi="Times New Roman" w:cs="Times New Roman"/>
      <w:kern w:val="0"/>
      <w:sz w:val="28"/>
      <w:szCs w:val="20"/>
      <w:lang w:val="en-AU"/>
    </w:rPr>
  </w:style>
  <w:style w:type="character" w:customStyle="1" w:styleId="hhcwtCharChar">
    <w:name w:val="hhcwt表格内文字 Char Char"/>
    <w:link w:val="hhcwt"/>
    <w:rPr>
      <w:rFonts w:eastAsia="仿宋_GB2312" w:cs="宋体"/>
      <w:szCs w:val="21"/>
    </w:rPr>
  </w:style>
  <w:style w:type="paragraph" w:customStyle="1" w:styleId="hhcwt">
    <w:name w:val="hhcwt表格内文字"/>
    <w:basedOn w:val="a2"/>
    <w:link w:val="hhcwtCharChar"/>
    <w:qFormat/>
    <w:pPr>
      <w:jc w:val="center"/>
    </w:pPr>
    <w:rPr>
      <w:rFonts w:eastAsia="仿宋_GB2312" w:cs="宋体"/>
    </w:rPr>
  </w:style>
  <w:style w:type="character" w:customStyle="1" w:styleId="z-Char2">
    <w:name w:val="z-窗体底端 Char2"/>
    <w:uiPriority w:val="99"/>
    <w:semiHidden/>
    <w:rPr>
      <w:rFonts w:ascii="Arial" w:hAnsi="Arial" w:cs="Arial"/>
      <w:vanish/>
      <w:kern w:val="2"/>
      <w:sz w:val="16"/>
      <w:szCs w:val="16"/>
    </w:rPr>
  </w:style>
  <w:style w:type="character" w:customStyle="1" w:styleId="3CharChar1">
    <w:name w:val="标题 3 Char Char1"/>
    <w:rPr>
      <w:rFonts w:eastAsia="宋体"/>
      <w:b/>
      <w:bCs/>
      <w:kern w:val="2"/>
      <w:sz w:val="32"/>
      <w:szCs w:val="32"/>
      <w:lang w:val="en-US" w:eastAsia="zh-CN" w:bidi="ar-SA"/>
    </w:rPr>
  </w:style>
  <w:style w:type="character" w:customStyle="1" w:styleId="CharChar111">
    <w:name w:val="Char Char111"/>
    <w:rPr>
      <w:rFonts w:eastAsia="宋体"/>
      <w:kern w:val="2"/>
      <w:sz w:val="21"/>
      <w:szCs w:val="24"/>
      <w:lang w:val="en-US" w:eastAsia="zh-CN" w:bidi="ar-SA"/>
    </w:rPr>
  </w:style>
  <w:style w:type="character" w:customStyle="1" w:styleId="style9">
    <w:name w:val="style9"/>
    <w:basedOn w:val="a4"/>
  </w:style>
  <w:style w:type="character" w:customStyle="1" w:styleId="Char42">
    <w:name w:val="正文首行缩进 Char4"/>
    <w:uiPriority w:val="99"/>
    <w:semiHidden/>
  </w:style>
  <w:style w:type="character" w:customStyle="1" w:styleId="3CharChar2">
    <w:name w:val="标题样式3 Char Char"/>
    <w:link w:val="3e"/>
    <w:rPr>
      <w:rFonts w:ascii="黑体" w:eastAsia="黑体" w:cs="黑体"/>
      <w:bCs/>
      <w:color w:val="000000"/>
      <w:sz w:val="24"/>
      <w:szCs w:val="24"/>
      <w:lang w:val="zh-CN"/>
    </w:rPr>
  </w:style>
  <w:style w:type="paragraph" w:customStyle="1" w:styleId="3e">
    <w:name w:val="标题样式3"/>
    <w:basedOn w:val="32"/>
    <w:link w:val="3CharChar2"/>
    <w:qFormat/>
    <w:pPr>
      <w:keepNext w:val="0"/>
      <w:tabs>
        <w:tab w:val="left" w:pos="5040"/>
      </w:tabs>
      <w:spacing w:before="0" w:after="0" w:line="360" w:lineRule="auto"/>
      <w:jc w:val="both"/>
    </w:pPr>
    <w:rPr>
      <w:rFonts w:ascii="黑体" w:eastAsia="黑体" w:cs="黑体"/>
      <w:b w:val="0"/>
      <w:color w:val="000000"/>
      <w:sz w:val="24"/>
      <w:szCs w:val="24"/>
      <w:lang w:val="zh-CN"/>
    </w:rPr>
  </w:style>
  <w:style w:type="character" w:customStyle="1" w:styleId="30303CharChar">
    <w:name w:val="公标题3 + 段前: 0.3 行 段后: 0.3 行 Char Char"/>
    <w:link w:val="30303"/>
    <w:rPr>
      <w:rFonts w:ascii="Arial" w:eastAsia="方正小标宋_GBK" w:hAnsi="Arial"/>
      <w:sz w:val="28"/>
    </w:rPr>
  </w:style>
  <w:style w:type="paragraph" w:customStyle="1" w:styleId="30303">
    <w:name w:val="公标题3 + 段前: 0.3 行 段后: 0.3 行"/>
    <w:basedOn w:val="a2"/>
    <w:link w:val="30303CharChar"/>
    <w:qFormat/>
    <w:pPr>
      <w:snapToGrid w:val="0"/>
      <w:spacing w:line="560" w:lineRule="exact"/>
      <w:outlineLvl w:val="2"/>
    </w:pPr>
    <w:rPr>
      <w:rFonts w:eastAsia="方正小标宋_GBK" w:hAnsi="Arial"/>
      <w:szCs w:val="22"/>
    </w:rPr>
  </w:style>
  <w:style w:type="character" w:customStyle="1" w:styleId="Char90">
    <w:name w:val="Char9"/>
    <w:rPr>
      <w:rFonts w:eastAsia="仿宋_GB2312"/>
      <w:b/>
      <w:kern w:val="44"/>
      <w:sz w:val="32"/>
      <w:szCs w:val="44"/>
      <w:lang w:val="en-US" w:eastAsia="zh-CN" w:bidi="ar-SA"/>
    </w:rPr>
  </w:style>
  <w:style w:type="character" w:customStyle="1" w:styleId="TimesNewRomanCharChar">
    <w:name w:val="样式 题注 + (西文) Times New Roman (中文) 宋体 四号 Char Char"/>
    <w:rPr>
      <w:rFonts w:ascii="Times New Roman" w:eastAsia="宋体" w:hAnsi="Times New Roman" w:cs="Arial"/>
      <w:kern w:val="2"/>
      <w:sz w:val="28"/>
      <w:lang w:val="en-US" w:eastAsia="zh-CN" w:bidi="ar-SA"/>
    </w:rPr>
  </w:style>
  <w:style w:type="character" w:customStyle="1" w:styleId="isellp">
    <w:name w:val="isellp"/>
  </w:style>
  <w:style w:type="character" w:customStyle="1" w:styleId="1Char5">
    <w:name w:val="表格文本1 Char"/>
    <w:link w:val="1f0"/>
    <w:rPr>
      <w:rFonts w:ascii="Arial" w:hAnsi="Arial"/>
      <w:color w:val="FF0000"/>
      <w:spacing w:val="-5"/>
      <w:szCs w:val="18"/>
      <w:lang w:bidi="en-US"/>
    </w:rPr>
  </w:style>
  <w:style w:type="paragraph" w:customStyle="1" w:styleId="1f0">
    <w:name w:val="表格文本1"/>
    <w:basedOn w:val="a2"/>
    <w:link w:val="1Char5"/>
    <w:qFormat/>
    <w:pPr>
      <w:widowControl/>
      <w:autoSpaceDE/>
      <w:autoSpaceDN/>
      <w:adjustRightInd/>
      <w:spacing w:line="240" w:lineRule="exact"/>
      <w:jc w:val="center"/>
    </w:pPr>
    <w:rPr>
      <w:rFonts w:hAnsi="Arial"/>
      <w:color w:val="FF0000"/>
      <w:spacing w:val="-5"/>
      <w:szCs w:val="18"/>
      <w:lang w:bidi="en-US"/>
    </w:rPr>
  </w:style>
  <w:style w:type="character" w:customStyle="1" w:styleId="Char5">
    <w:name w:val="文档结构图 Char"/>
    <w:link w:val="af"/>
    <w:uiPriority w:val="99"/>
    <w:rPr>
      <w:rFonts w:ascii="宋体" w:eastAsia="仿宋"/>
      <w:sz w:val="24"/>
      <w:szCs w:val="18"/>
    </w:rPr>
  </w:style>
  <w:style w:type="character" w:customStyle="1" w:styleId="CharCharCharRGB00160Char">
    <w:name w:val="样式 首行缩进 Char Char Char + 自定义颜色(RGB(00160)) Char"/>
    <w:link w:val="CharCharCharRGB00160"/>
    <w:rPr>
      <w:rFonts w:ascii="宋体" w:hAnsi="宋体"/>
      <w:sz w:val="24"/>
      <w:szCs w:val="24"/>
    </w:rPr>
  </w:style>
  <w:style w:type="paragraph" w:customStyle="1" w:styleId="CharCharCharRGB00160">
    <w:name w:val="样式 首行缩进 Char Char Char + 自定义颜色(RGB(00160))"/>
    <w:basedOn w:val="a2"/>
    <w:link w:val="CharCharCharRGB00160Char"/>
    <w:qFormat/>
    <w:pPr>
      <w:snapToGrid w:val="0"/>
      <w:spacing w:line="440" w:lineRule="exact"/>
      <w:ind w:firstLineChars="225" w:firstLine="540"/>
      <w:jc w:val="both"/>
    </w:pPr>
    <w:rPr>
      <w:rFonts w:ascii="宋体" w:hAnsi="宋体"/>
      <w:sz w:val="24"/>
      <w:szCs w:val="24"/>
    </w:rPr>
  </w:style>
  <w:style w:type="character" w:customStyle="1" w:styleId="Char17">
    <w:name w:val="页眉 Char1"/>
    <w:locked/>
    <w:rPr>
      <w:kern w:val="2"/>
      <w:sz w:val="18"/>
    </w:rPr>
  </w:style>
  <w:style w:type="character" w:customStyle="1" w:styleId="ww">
    <w:name w:val="ww"/>
    <w:basedOn w:val="a4"/>
  </w:style>
  <w:style w:type="character" w:customStyle="1" w:styleId="chenCharChar0">
    <w:name w:val="谏壁chen表格内文字 Char Char"/>
    <w:link w:val="chen0"/>
    <w:rPr>
      <w:rFonts w:eastAsia="宋体"/>
      <w:szCs w:val="21"/>
    </w:rPr>
  </w:style>
  <w:style w:type="paragraph" w:customStyle="1" w:styleId="chen0">
    <w:name w:val="谏壁chen表格内文字"/>
    <w:basedOn w:val="a2"/>
    <w:link w:val="chenCharChar0"/>
    <w:qFormat/>
    <w:pPr>
      <w:spacing w:line="0" w:lineRule="atLeast"/>
      <w:jc w:val="center"/>
    </w:pPr>
    <w:rPr>
      <w:rFonts w:eastAsia="宋体"/>
    </w:rPr>
  </w:style>
  <w:style w:type="character" w:customStyle="1" w:styleId="1Char6">
    <w:name w:val="1正文段落 Char"/>
    <w:link w:val="1f1"/>
    <w:rPr>
      <w:sz w:val="24"/>
      <w:szCs w:val="24"/>
    </w:rPr>
  </w:style>
  <w:style w:type="paragraph" w:customStyle="1" w:styleId="1f1">
    <w:name w:val="1正文段落"/>
    <w:basedOn w:val="a2"/>
    <w:link w:val="1Char6"/>
    <w:qFormat/>
    <w:pPr>
      <w:spacing w:line="360" w:lineRule="auto"/>
      <w:ind w:firstLineChars="200" w:firstLine="480"/>
    </w:pPr>
    <w:rPr>
      <w:sz w:val="24"/>
      <w:szCs w:val="24"/>
    </w:rPr>
  </w:style>
  <w:style w:type="character" w:customStyle="1" w:styleId="A3Char">
    <w:name w:val="样式 A标题3 + 自动设置 Char"/>
    <w:rPr>
      <w:rFonts w:ascii="Times New Roman" w:eastAsia="黑体" w:hAnsi="Times New Roman"/>
      <w:b/>
      <w:bCs/>
      <w:spacing w:val="20"/>
      <w:sz w:val="28"/>
      <w:lang w:val="en-US" w:eastAsia="zh-CN"/>
    </w:rPr>
  </w:style>
  <w:style w:type="character" w:customStyle="1" w:styleId="font21">
    <w:name w:val="font21"/>
    <w:rPr>
      <w:rFonts w:ascii="宋体" w:eastAsia="宋体" w:hAnsi="宋体" w:hint="eastAsia"/>
      <w:color w:val="000000"/>
      <w:sz w:val="21"/>
      <w:szCs w:val="21"/>
    </w:rPr>
  </w:style>
  <w:style w:type="character" w:customStyle="1" w:styleId="m61">
    <w:name w:val="m_61"/>
  </w:style>
  <w:style w:type="character" w:customStyle="1" w:styleId="Ch">
    <w:name w:val="图标题 Ch"/>
    <w:rPr>
      <w:rFonts w:eastAsia="宋体"/>
      <w:kern w:val="2"/>
      <w:sz w:val="21"/>
      <w:szCs w:val="24"/>
      <w:lang w:val="en-US" w:eastAsia="zh-CN" w:bidi="ar-SA"/>
    </w:rPr>
  </w:style>
  <w:style w:type="character" w:customStyle="1" w:styleId="CharChar83">
    <w:name w:val="Char Char83"/>
    <w:rPr>
      <w:rFonts w:eastAsia="仿宋_GB2312"/>
      <w:kern w:val="2"/>
      <w:sz w:val="18"/>
      <w:szCs w:val="18"/>
      <w:lang w:val="en-US" w:eastAsia="zh-CN" w:bidi="ar-SA"/>
    </w:rPr>
  </w:style>
  <w:style w:type="character" w:customStyle="1" w:styleId="subtablealtbg2tmsg">
    <w:name w:val="subtable altbg2 t_msg"/>
  </w:style>
  <w:style w:type="character" w:customStyle="1" w:styleId="z-Char1">
    <w:name w:val="z-窗体顶端 Char1"/>
    <w:locked/>
    <w:rPr>
      <w:rFonts w:ascii="Arial" w:hAnsi="Arial"/>
      <w:vanish/>
      <w:kern w:val="2"/>
      <w:sz w:val="16"/>
    </w:rPr>
  </w:style>
  <w:style w:type="character" w:customStyle="1" w:styleId="font16">
    <w:name w:val="font16"/>
    <w:basedOn w:val="a4"/>
  </w:style>
  <w:style w:type="character" w:customStyle="1" w:styleId="2Char6">
    <w:name w:val="表格2 Char"/>
    <w:link w:val="2d"/>
  </w:style>
  <w:style w:type="paragraph" w:customStyle="1" w:styleId="2d">
    <w:name w:val="表格2"/>
    <w:basedOn w:val="affffd"/>
    <w:link w:val="2Char6"/>
    <w:qFormat/>
    <w:pPr>
      <w:widowControl w:val="0"/>
      <w:snapToGrid/>
      <w:spacing w:line="240" w:lineRule="auto"/>
      <w:jc w:val="both"/>
      <w:textAlignment w:val="auto"/>
      <w:outlineLvl w:val="0"/>
    </w:pPr>
    <w:rPr>
      <w:rFonts w:asciiTheme="minorHAnsi" w:hAnsiTheme="minorHAnsi"/>
      <w:szCs w:val="22"/>
    </w:rPr>
  </w:style>
  <w:style w:type="paragraph" w:customStyle="1" w:styleId="affffd">
    <w:name w:val="表格"/>
    <w:basedOn w:val="a2"/>
    <w:link w:val="CharCharf1"/>
    <w:qFormat/>
    <w:pPr>
      <w:widowControl/>
      <w:snapToGrid w:val="0"/>
      <w:spacing w:line="280" w:lineRule="atLeast"/>
      <w:jc w:val="center"/>
      <w:textAlignment w:val="center"/>
    </w:pPr>
    <w:rPr>
      <w:rFonts w:ascii="宋体" w:hAnsi="宋体"/>
      <w:szCs w:val="24"/>
    </w:rPr>
  </w:style>
  <w:style w:type="character" w:customStyle="1" w:styleId="font61">
    <w:name w:val="font61"/>
    <w:rPr>
      <w:rFonts w:ascii="Times New Roman" w:hAnsi="Times New Roman" w:cs="Times New Roman" w:hint="default"/>
      <w:color w:val="000000"/>
      <w:sz w:val="20"/>
      <w:szCs w:val="20"/>
      <w:u w:val="none"/>
    </w:rPr>
  </w:style>
  <w:style w:type="character" w:customStyle="1" w:styleId="6CharChar0">
    <w:name w:val="标题6 Char Char"/>
    <w:link w:val="65"/>
    <w:rPr>
      <w:rFonts w:ascii="Arial" w:eastAsia="楷体_GB2312" w:hAnsi="Arial"/>
    </w:rPr>
  </w:style>
  <w:style w:type="paragraph" w:customStyle="1" w:styleId="65">
    <w:name w:val="标题6"/>
    <w:basedOn w:val="a2"/>
    <w:link w:val="6CharChar0"/>
    <w:qFormat/>
    <w:pPr>
      <w:keepNext/>
      <w:jc w:val="center"/>
    </w:pPr>
    <w:rPr>
      <w:rFonts w:hAnsi="Arial"/>
      <w:szCs w:val="22"/>
    </w:rPr>
  </w:style>
  <w:style w:type="character" w:customStyle="1" w:styleId="Charff6">
    <w:name w:val="表图 Char"/>
    <w:link w:val="affffe"/>
  </w:style>
  <w:style w:type="paragraph" w:customStyle="1" w:styleId="affffe">
    <w:name w:val="表图"/>
    <w:basedOn w:val="a2"/>
    <w:link w:val="Charff6"/>
    <w:pPr>
      <w:widowControl/>
      <w:autoSpaceDE/>
      <w:autoSpaceDN/>
      <w:snapToGrid w:val="0"/>
      <w:spacing w:line="320" w:lineRule="atLeast"/>
      <w:ind w:firstLineChars="200" w:firstLine="200"/>
      <w:jc w:val="center"/>
    </w:pPr>
    <w:rPr>
      <w:szCs w:val="22"/>
    </w:rPr>
  </w:style>
  <w:style w:type="character" w:customStyle="1" w:styleId="12Char3">
    <w:name w:val="样式 正文1 + 首行缩进:  2 字符 Char3"/>
    <w:link w:val="120"/>
    <w:rPr>
      <w:rFonts w:ascii="宋体" w:cs="宋体"/>
      <w:sz w:val="24"/>
      <w:szCs w:val="24"/>
    </w:rPr>
  </w:style>
  <w:style w:type="paragraph" w:customStyle="1" w:styleId="120">
    <w:name w:val="样式 正文1 + 首行缩进:  2 字符"/>
    <w:basedOn w:val="a2"/>
    <w:link w:val="12Char3"/>
    <w:qFormat/>
    <w:pPr>
      <w:autoSpaceDE/>
      <w:autoSpaceDN/>
      <w:adjustRightInd/>
      <w:spacing w:line="360" w:lineRule="auto"/>
      <w:ind w:firstLineChars="200" w:firstLine="200"/>
      <w:jc w:val="both"/>
    </w:pPr>
    <w:rPr>
      <w:rFonts w:ascii="宋体" w:cs="宋体"/>
      <w:sz w:val="24"/>
      <w:szCs w:val="24"/>
    </w:rPr>
  </w:style>
  <w:style w:type="character" w:customStyle="1" w:styleId="10115CharChar">
    <w:name w:val="样式 小四 首行缩进:  1.01 厘米 行距: 1.5 倍行距 Char Char"/>
    <w:rPr>
      <w:rFonts w:eastAsia="宋体" w:cs="宋体"/>
      <w:kern w:val="2"/>
      <w:sz w:val="24"/>
      <w:lang w:val="en-US" w:eastAsia="zh-CN" w:bidi="ar-SA"/>
    </w:rPr>
  </w:style>
  <w:style w:type="character" w:customStyle="1" w:styleId="scc">
    <w:name w:val="s c c"/>
  </w:style>
  <w:style w:type="character" w:customStyle="1" w:styleId="Char18">
    <w:name w:val="文本 Char1"/>
    <w:link w:val="afffff"/>
    <w:rPr>
      <w:rFonts w:eastAsia="宋体"/>
      <w:sz w:val="24"/>
      <w:szCs w:val="24"/>
    </w:rPr>
  </w:style>
  <w:style w:type="paragraph" w:customStyle="1" w:styleId="afffff">
    <w:name w:val="文本"/>
    <w:basedOn w:val="a2"/>
    <w:link w:val="Char18"/>
    <w:qFormat/>
    <w:pPr>
      <w:snapToGrid w:val="0"/>
      <w:spacing w:line="360" w:lineRule="auto"/>
      <w:ind w:firstLineChars="200" w:firstLine="200"/>
    </w:pPr>
    <w:rPr>
      <w:rFonts w:eastAsia="宋体"/>
      <w:sz w:val="24"/>
      <w:szCs w:val="24"/>
    </w:rPr>
  </w:style>
  <w:style w:type="character" w:customStyle="1" w:styleId="Charff7">
    <w:name w:val="图题 Char"/>
    <w:link w:val="afffff0"/>
    <w:rPr>
      <w:rFonts w:eastAsia="新宋体"/>
      <w:szCs w:val="21"/>
    </w:rPr>
  </w:style>
  <w:style w:type="paragraph" w:customStyle="1" w:styleId="afffff0">
    <w:name w:val="图题"/>
    <w:next w:val="a2"/>
    <w:link w:val="Charff7"/>
    <w:qFormat/>
    <w:pPr>
      <w:spacing w:beforeLines="50" w:before="156" w:afterLines="150" w:after="468"/>
    </w:pPr>
    <w:rPr>
      <w:rFonts w:eastAsia="新宋体"/>
      <w:kern w:val="2"/>
      <w:sz w:val="21"/>
      <w:szCs w:val="21"/>
    </w:rPr>
  </w:style>
  <w:style w:type="character" w:customStyle="1" w:styleId="1f2">
    <w:name w:val="不明显强调1"/>
    <w:qFormat/>
    <w:rPr>
      <w:i/>
      <w:iCs/>
      <w:color w:val="404040"/>
    </w:rPr>
  </w:style>
  <w:style w:type="character" w:customStyle="1" w:styleId="15Char">
    <w:name w:val="标准文本 居中 行距1.5倍 Char"/>
    <w:rPr>
      <w:rFonts w:eastAsia="宋体" w:cs="宋体"/>
      <w:kern w:val="2"/>
      <w:sz w:val="24"/>
      <w:szCs w:val="24"/>
      <w:lang w:val="en-US" w:eastAsia="zh-CN" w:bidi="ar-SA"/>
    </w:rPr>
  </w:style>
  <w:style w:type="character" w:customStyle="1" w:styleId="Charff8">
    <w:name w:val="样式 宋体 四号 Char"/>
    <w:link w:val="afffff1"/>
    <w:rPr>
      <w:rFonts w:ascii="宋体" w:hAnsi="宋体"/>
      <w:sz w:val="28"/>
    </w:rPr>
  </w:style>
  <w:style w:type="paragraph" w:customStyle="1" w:styleId="afffff1">
    <w:name w:val="样式 宋体 四号"/>
    <w:basedOn w:val="a2"/>
    <w:link w:val="Charff8"/>
    <w:qFormat/>
    <w:pPr>
      <w:ind w:firstLineChars="200" w:firstLine="560"/>
      <w:jc w:val="both"/>
    </w:pPr>
    <w:rPr>
      <w:rFonts w:ascii="宋体" w:hAnsi="宋体"/>
      <w:szCs w:val="22"/>
    </w:rPr>
  </w:style>
  <w:style w:type="character" w:customStyle="1" w:styleId="CharChar27">
    <w:name w:val="Char Char27"/>
    <w:rPr>
      <w:rFonts w:eastAsia="黑体"/>
      <w:b/>
      <w:bCs/>
      <w:kern w:val="44"/>
      <w:sz w:val="36"/>
      <w:szCs w:val="44"/>
      <w:lang w:bidi="ar-SA"/>
    </w:rPr>
  </w:style>
  <w:style w:type="character" w:customStyle="1" w:styleId="Char43">
    <w:name w:val="注释标题 Char4"/>
    <w:rPr>
      <w:kern w:val="2"/>
      <w:sz w:val="24"/>
      <w:szCs w:val="24"/>
    </w:rPr>
  </w:style>
  <w:style w:type="character" w:customStyle="1" w:styleId="1Char7">
    <w:name w:val="样1 Char"/>
    <w:link w:val="1f3"/>
    <w:rPr>
      <w:b/>
      <w:sz w:val="24"/>
      <w:szCs w:val="24"/>
    </w:rPr>
  </w:style>
  <w:style w:type="paragraph" w:customStyle="1" w:styleId="1f3">
    <w:name w:val="样1"/>
    <w:basedOn w:val="a2"/>
    <w:link w:val="1Char7"/>
    <w:pPr>
      <w:spacing w:line="360" w:lineRule="auto"/>
      <w:ind w:right="232" w:firstLineChars="200" w:firstLine="200"/>
      <w:jc w:val="center"/>
      <w:textAlignment w:val="bottom"/>
    </w:pPr>
    <w:rPr>
      <w:b/>
      <w:sz w:val="24"/>
      <w:szCs w:val="24"/>
    </w:rPr>
  </w:style>
  <w:style w:type="character" w:customStyle="1" w:styleId="Charff9">
    <w:name w:val="环保表内字（小五） Char"/>
    <w:rPr>
      <w:rFonts w:ascii="Times New Roman" w:hAnsi="Times New Roman"/>
      <w:snapToGrid w:val="0"/>
      <w:color w:val="000000"/>
      <w:sz w:val="18"/>
      <w:szCs w:val="18"/>
    </w:rPr>
  </w:style>
  <w:style w:type="character" w:customStyle="1" w:styleId="CharCharf2">
    <w:name w:val="文本框 Char Char"/>
    <w:link w:val="afffff2"/>
    <w:rPr>
      <w:rFonts w:ascii="仿宋_GB2312" w:eastAsia="仿宋_GB2312"/>
      <w:sz w:val="24"/>
      <w:szCs w:val="24"/>
    </w:rPr>
  </w:style>
  <w:style w:type="paragraph" w:customStyle="1" w:styleId="afffff2">
    <w:name w:val="文本框"/>
    <w:basedOn w:val="a2"/>
    <w:next w:val="a2"/>
    <w:link w:val="CharCharf2"/>
    <w:qFormat/>
    <w:pPr>
      <w:widowControl/>
      <w:spacing w:line="320" w:lineRule="exact"/>
      <w:ind w:firstLineChars="200" w:firstLine="200"/>
      <w:jc w:val="center"/>
    </w:pPr>
    <w:rPr>
      <w:rFonts w:ascii="仿宋_GB2312" w:eastAsia="仿宋_GB2312"/>
      <w:sz w:val="24"/>
      <w:szCs w:val="24"/>
    </w:rPr>
  </w:style>
  <w:style w:type="character" w:customStyle="1" w:styleId="CharCharChar">
    <w:name w:val="表格文本 五号 居中 单倍行距 Char Char Char"/>
    <w:rPr>
      <w:rFonts w:eastAsia="宋体" w:cs="宋体"/>
      <w:kern w:val="2"/>
      <w:sz w:val="21"/>
      <w:szCs w:val="21"/>
      <w:lang w:val="en-US" w:eastAsia="zh-CN" w:bidi="ar-SA"/>
    </w:rPr>
  </w:style>
  <w:style w:type="character" w:customStyle="1" w:styleId="Batang72">
    <w:name w:val="正文文本 + Batang72"/>
    <w:rPr>
      <w:rFonts w:ascii="Batang" w:eastAsia="Batang" w:cs="Batang"/>
      <w:sz w:val="19"/>
      <w:szCs w:val="19"/>
      <w:u w:val="none"/>
    </w:rPr>
  </w:style>
  <w:style w:type="character" w:customStyle="1" w:styleId="z-0">
    <w:name w:val="z-窗体底端 字符"/>
    <w:link w:val="z-10"/>
    <w:rPr>
      <w:rFonts w:ascii="Arial" w:eastAsia="仿宋_GB2312" w:hAnsi="Arial" w:cs="Arial"/>
      <w:vanish/>
      <w:sz w:val="16"/>
      <w:szCs w:val="16"/>
    </w:rPr>
  </w:style>
  <w:style w:type="paragraph" w:customStyle="1" w:styleId="z-10">
    <w:name w:val="z-窗体底端1"/>
    <w:basedOn w:val="a2"/>
    <w:next w:val="a2"/>
    <w:link w:val="z-0"/>
    <w:pPr>
      <w:pBdr>
        <w:top w:val="single" w:sz="6" w:space="1" w:color="auto"/>
      </w:pBdr>
      <w:snapToGrid w:val="0"/>
      <w:spacing w:line="300" w:lineRule="auto"/>
      <w:jc w:val="center"/>
    </w:pPr>
    <w:rPr>
      <w:rFonts w:eastAsia="仿宋_GB2312" w:hAnsi="Arial" w:cs="Arial"/>
      <w:vanish/>
      <w:sz w:val="16"/>
      <w:szCs w:val="16"/>
    </w:rPr>
  </w:style>
  <w:style w:type="character" w:customStyle="1" w:styleId="CharCharf3">
    <w:name w:val="环保表头 Char Char"/>
    <w:link w:val="afffff3"/>
    <w:rPr>
      <w:rFonts w:ascii="黑体" w:eastAsia="黑体"/>
      <w:sz w:val="24"/>
      <w:szCs w:val="24"/>
    </w:rPr>
  </w:style>
  <w:style w:type="paragraph" w:customStyle="1" w:styleId="afffff3">
    <w:name w:val="环保表头"/>
    <w:link w:val="CharCharf3"/>
    <w:qFormat/>
    <w:pPr>
      <w:snapToGrid w:val="0"/>
      <w:spacing w:before="60"/>
      <w:jc w:val="center"/>
    </w:pPr>
    <w:rPr>
      <w:rFonts w:ascii="黑体" w:eastAsia="黑体"/>
      <w:kern w:val="2"/>
      <w:sz w:val="24"/>
      <w:szCs w:val="24"/>
    </w:rPr>
  </w:style>
  <w:style w:type="character" w:customStyle="1" w:styleId="afffff4">
    <w:name w:val="样式 四"/>
    <w:rPr>
      <w:rFonts w:eastAsia="宋体"/>
      <w:kern w:val="2"/>
      <w:sz w:val="28"/>
      <w:szCs w:val="28"/>
      <w:lang w:val="en-US" w:eastAsia="zh-CN" w:bidi="ar-SA"/>
    </w:rPr>
  </w:style>
  <w:style w:type="character" w:customStyle="1" w:styleId="3Char4">
    <w:name w:val="标题样式3 Char"/>
    <w:rPr>
      <w:rFonts w:ascii="黑体" w:eastAsia="黑体" w:cs="黑体"/>
      <w:bCs/>
      <w:color w:val="000000"/>
      <w:kern w:val="2"/>
      <w:sz w:val="24"/>
      <w:szCs w:val="24"/>
      <w:lang w:val="zh-CN" w:eastAsia="zh-CN" w:bidi="ar-SA"/>
    </w:rPr>
  </w:style>
  <w:style w:type="character" w:customStyle="1" w:styleId="1CharChar2">
    <w:name w:val="题1 Char Char"/>
    <w:link w:val="1f4"/>
    <w:rPr>
      <w:rFonts w:eastAsia="仿宋_GB2312"/>
      <w:b/>
      <w:bCs/>
      <w:kern w:val="44"/>
      <w:sz w:val="32"/>
      <w:szCs w:val="32"/>
    </w:rPr>
  </w:style>
  <w:style w:type="paragraph" w:customStyle="1" w:styleId="1f4">
    <w:name w:val="题1"/>
    <w:basedOn w:val="12"/>
    <w:link w:val="1CharChar2"/>
    <w:qFormat/>
    <w:pPr>
      <w:tabs>
        <w:tab w:val="left" w:pos="1155"/>
      </w:tabs>
      <w:snapToGrid w:val="0"/>
      <w:spacing w:beforeLines="50" w:before="156" w:afterLines="50" w:after="156"/>
      <w:jc w:val="center"/>
      <w:textAlignment w:val="auto"/>
    </w:pPr>
    <w:rPr>
      <w:rFonts w:asciiTheme="minorHAnsi" w:eastAsia="仿宋_GB2312"/>
      <w:b/>
      <w:sz w:val="32"/>
      <w:szCs w:val="32"/>
    </w:rPr>
  </w:style>
  <w:style w:type="character" w:customStyle="1" w:styleId="CharChar121">
    <w:name w:val="Char Char121"/>
  </w:style>
  <w:style w:type="character" w:customStyle="1" w:styleId="Char19">
    <w:name w:val="批注文字 Char1"/>
    <w:locked/>
    <w:rPr>
      <w:kern w:val="2"/>
      <w:sz w:val="24"/>
    </w:rPr>
  </w:style>
  <w:style w:type="character" w:customStyle="1" w:styleId="3f">
    <w:name w:val="页码3"/>
  </w:style>
  <w:style w:type="character" w:customStyle="1" w:styleId="Char28">
    <w:name w:val="文档结构图 Char2"/>
    <w:rPr>
      <w:rFonts w:ascii="宋体" w:eastAsia="宋体" w:hAnsi="Times New Roman" w:cs="Times New Roman"/>
      <w:sz w:val="18"/>
      <w:szCs w:val="18"/>
    </w:rPr>
  </w:style>
  <w:style w:type="character" w:customStyle="1" w:styleId="Char1a">
    <w:name w:val="副标题 Char1"/>
    <w:rPr>
      <w:rFonts w:ascii="Cambria" w:hAnsi="Cambria" w:cs="Times New Roman"/>
      <w:b/>
      <w:bCs/>
      <w:kern w:val="28"/>
      <w:sz w:val="32"/>
      <w:szCs w:val="32"/>
    </w:rPr>
  </w:style>
  <w:style w:type="character" w:customStyle="1" w:styleId="Char1b">
    <w:name w:val="日期 Char1"/>
    <w:locked/>
    <w:rPr>
      <w:kern w:val="2"/>
      <w:sz w:val="24"/>
    </w:rPr>
  </w:style>
  <w:style w:type="character" w:customStyle="1" w:styleId="142Char">
    <w:name w:val="样式 样式 宋体 小四 行距: 多倍行距 1.4 字行2 + 黑色 Char"/>
    <w:qFormat/>
    <w:rPr>
      <w:rFonts w:ascii="宋体" w:eastAsia="宋体" w:hAnsi="宋体" w:cs="宋体"/>
      <w:color w:val="000000"/>
      <w:kern w:val="2"/>
      <w:sz w:val="24"/>
      <w:lang w:val="en-US" w:eastAsia="zh-CN" w:bidi="ar-SA"/>
    </w:rPr>
  </w:style>
  <w:style w:type="character" w:customStyle="1" w:styleId="px14">
    <w:name w:val="px14"/>
    <w:qFormat/>
    <w:rPr>
      <w:rFonts w:eastAsia="宋体"/>
      <w:kern w:val="2"/>
      <w:sz w:val="28"/>
      <w:szCs w:val="28"/>
      <w:lang w:val="en-US" w:eastAsia="zh-CN" w:bidi="ar-SA"/>
    </w:rPr>
  </w:style>
  <w:style w:type="character" w:customStyle="1" w:styleId="101TimesNewRomanChar">
    <w:name w:val="样式 样式 首行缩进:  1.01 厘米 + Times New Roman Char"/>
    <w:link w:val="101TimesNewRoman"/>
    <w:rPr>
      <w:color w:val="000000"/>
      <w:sz w:val="24"/>
      <w:szCs w:val="24"/>
    </w:rPr>
  </w:style>
  <w:style w:type="paragraph" w:customStyle="1" w:styleId="101TimesNewRoman">
    <w:name w:val="样式 样式 首行缩进:  1.01 厘米 + Times New Roman"/>
    <w:basedOn w:val="101"/>
    <w:link w:val="101TimesNewRomanChar"/>
    <w:qFormat/>
    <w:pPr>
      <w:spacing w:line="240" w:lineRule="auto"/>
      <w:ind w:firstLineChars="0" w:firstLine="0"/>
    </w:pPr>
    <w:rPr>
      <w:rFonts w:asciiTheme="minorHAnsi" w:eastAsiaTheme="minorEastAsia" w:hAnsiTheme="minorHAnsi"/>
      <w:sz w:val="24"/>
      <w:szCs w:val="24"/>
    </w:rPr>
  </w:style>
  <w:style w:type="character" w:customStyle="1" w:styleId="Charffa">
    <w:name w:val="正文(首行缩进) Char"/>
    <w:qFormat/>
    <w:rPr>
      <w:rFonts w:ascii="宋体" w:hAnsi="宋体"/>
      <w:color w:val="000000"/>
      <w:kern w:val="2"/>
      <w:sz w:val="21"/>
    </w:rPr>
  </w:style>
  <w:style w:type="character" w:customStyle="1" w:styleId="CharChar152">
    <w:name w:val="Char Char152"/>
    <w:qFormat/>
    <w:rPr>
      <w:rFonts w:ascii="Times New Roman" w:eastAsia="宋体" w:hAnsi="Times New Roman" w:cs="Times New Roman"/>
      <w:b/>
      <w:bCs/>
      <w:sz w:val="32"/>
      <w:szCs w:val="32"/>
    </w:rPr>
  </w:style>
  <w:style w:type="character" w:customStyle="1" w:styleId="CharChar174">
    <w:name w:val="Char Char174"/>
    <w:qFormat/>
    <w:rPr>
      <w:sz w:val="18"/>
      <w:szCs w:val="18"/>
    </w:rPr>
  </w:style>
  <w:style w:type="character" w:customStyle="1" w:styleId="5Char20">
    <w:name w:val="5文章(治) Char2"/>
    <w:qFormat/>
    <w:rPr>
      <w:rFonts w:eastAsia="宋体"/>
      <w:kern w:val="2"/>
      <w:sz w:val="24"/>
      <w:lang w:val="en-US" w:eastAsia="zh-CN" w:bidi="ar-SA"/>
    </w:rPr>
  </w:style>
  <w:style w:type="character" w:customStyle="1" w:styleId="CharCharf4">
    <w:name w:val="正文小四 Char Char"/>
    <w:rPr>
      <w:rFonts w:ascii="宋体" w:eastAsia="宋体" w:hAnsi="宋体" w:cs="宋体"/>
      <w:kern w:val="2"/>
      <w:sz w:val="24"/>
      <w:szCs w:val="24"/>
      <w:lang w:val="en-US" w:eastAsia="zh-CN" w:bidi="ar-SA"/>
    </w:rPr>
  </w:style>
  <w:style w:type="character" w:customStyle="1" w:styleId="CharChar213">
    <w:name w:val="Char Char213"/>
    <w:rPr>
      <w:rFonts w:eastAsia="宋体"/>
      <w:kern w:val="24"/>
      <w:sz w:val="24"/>
      <w:szCs w:val="18"/>
      <w:lang w:val="en-US" w:eastAsia="zh-CN" w:bidi="ar-SA"/>
    </w:rPr>
  </w:style>
  <w:style w:type="character" w:customStyle="1" w:styleId="keyword">
    <w:name w:val="keyword"/>
    <w:basedOn w:val="a4"/>
  </w:style>
  <w:style w:type="character" w:customStyle="1" w:styleId="Char32">
    <w:name w:val="正文缩进 Char3"/>
    <w:rPr>
      <w:rFonts w:eastAsia="宋体"/>
      <w:kern w:val="2"/>
      <w:sz w:val="21"/>
      <w:szCs w:val="24"/>
      <w:lang w:val="en-US" w:eastAsia="zh-CN" w:bidi="ar-SA"/>
    </w:rPr>
  </w:style>
  <w:style w:type="character" w:customStyle="1" w:styleId="CharCharf5">
    <w:name w:val="图表名称 Char Char"/>
    <w:rPr>
      <w:rFonts w:ascii="宋体" w:eastAsia="宋体" w:hAnsi="宋体"/>
      <w:b/>
      <w:bCs/>
      <w:snapToGrid w:val="0"/>
      <w:sz w:val="24"/>
      <w:szCs w:val="24"/>
      <w:lang w:val="en-US" w:eastAsia="zh-CN" w:bidi="ar-SA"/>
    </w:rPr>
  </w:style>
  <w:style w:type="character" w:customStyle="1" w:styleId="Charffb">
    <w:name w:val="表格内文字 Char"/>
    <w:rPr>
      <w:rFonts w:ascii="仿宋_GB2312" w:eastAsia="仿宋_GB2312" w:hAnsi="宋体"/>
      <w:kern w:val="2"/>
      <w:sz w:val="21"/>
      <w:szCs w:val="24"/>
      <w:lang w:val="en-US" w:eastAsia="zh-CN" w:bidi="ar-SA"/>
    </w:rPr>
  </w:style>
  <w:style w:type="character" w:customStyle="1" w:styleId="Charffc">
    <w:name w:val="表 Char"/>
    <w:link w:val="afffff5"/>
    <w:rPr>
      <w:rFonts w:ascii="宋体" w:eastAsia="黑体" w:hAnsi="宋体"/>
      <w:b/>
      <w:sz w:val="24"/>
    </w:rPr>
  </w:style>
  <w:style w:type="paragraph" w:customStyle="1" w:styleId="afffff5">
    <w:name w:val="表"/>
    <w:basedOn w:val="a2"/>
    <w:link w:val="Charffc"/>
    <w:qFormat/>
    <w:pPr>
      <w:keepLines/>
      <w:widowControl/>
      <w:tabs>
        <w:tab w:val="left" w:pos="1123"/>
      </w:tabs>
      <w:spacing w:beforeLines="50" w:before="156" w:line="400" w:lineRule="exact"/>
      <w:ind w:firstLine="403"/>
      <w:jc w:val="center"/>
    </w:pPr>
    <w:rPr>
      <w:rFonts w:ascii="宋体" w:eastAsia="黑体" w:hAnsi="宋体"/>
      <w:b/>
      <w:sz w:val="24"/>
      <w:szCs w:val="22"/>
    </w:rPr>
  </w:style>
  <w:style w:type="character" w:customStyle="1" w:styleId="z-Char20">
    <w:name w:val="z-窗体顶端 Char2"/>
    <w:uiPriority w:val="99"/>
    <w:semiHidden/>
    <w:rPr>
      <w:rFonts w:ascii="Arial" w:hAnsi="Arial" w:cs="Arial"/>
      <w:vanish/>
      <w:kern w:val="2"/>
      <w:sz w:val="16"/>
      <w:szCs w:val="16"/>
    </w:rPr>
  </w:style>
  <w:style w:type="character" w:customStyle="1" w:styleId="CharCharf6">
    <w:name w:val="正文标准样式 Char Char"/>
    <w:link w:val="afffff6"/>
    <w:rPr>
      <w:sz w:val="24"/>
    </w:rPr>
  </w:style>
  <w:style w:type="paragraph" w:customStyle="1" w:styleId="afffff6">
    <w:name w:val="正文标准样式"/>
    <w:basedOn w:val="a2"/>
    <w:link w:val="CharCharf6"/>
    <w:qFormat/>
    <w:pPr>
      <w:spacing w:line="300" w:lineRule="auto"/>
      <w:ind w:firstLine="482"/>
      <w:jc w:val="both"/>
      <w:textAlignment w:val="baseline"/>
    </w:pPr>
    <w:rPr>
      <w:sz w:val="24"/>
      <w:szCs w:val="22"/>
    </w:rPr>
  </w:style>
  <w:style w:type="character" w:customStyle="1" w:styleId="1Char8">
    <w:name w:val="标题1 Char"/>
    <w:rPr>
      <w:rFonts w:eastAsia="宋体" w:cs="Times New Roman"/>
      <w:b/>
      <w:bCs/>
      <w:kern w:val="44"/>
      <w:sz w:val="44"/>
      <w:szCs w:val="44"/>
      <w:lang w:val="en-US" w:eastAsia="zh-CN"/>
    </w:rPr>
  </w:style>
  <w:style w:type="character" w:customStyle="1" w:styleId="Charffd">
    <w:name w:val="表、图名 Char"/>
    <w:rPr>
      <w:rFonts w:ascii="黑体" w:eastAsia="黑体"/>
      <w:sz w:val="24"/>
      <w:lang w:val="en-US" w:eastAsia="zh-CN" w:bidi="ar-SA"/>
    </w:rPr>
  </w:style>
  <w:style w:type="character" w:customStyle="1" w:styleId="BCharChar1">
    <w:name w:val="B Char Char1"/>
    <w:rPr>
      <w:rFonts w:eastAsia="宋体"/>
      <w:b/>
      <w:bCs/>
      <w:kern w:val="44"/>
      <w:sz w:val="24"/>
      <w:szCs w:val="24"/>
      <w:lang w:val="en-US" w:eastAsia="zh-CN" w:bidi="ar-SA"/>
    </w:rPr>
  </w:style>
  <w:style w:type="character" w:customStyle="1" w:styleId="Char1c">
    <w:name w:val="电子邮件签名 Char1"/>
    <w:locked/>
    <w:rPr>
      <w:kern w:val="2"/>
      <w:sz w:val="21"/>
    </w:rPr>
  </w:style>
  <w:style w:type="character" w:customStyle="1" w:styleId="contentsize131">
    <w:name w:val="content_size_131"/>
    <w:rPr>
      <w:sz w:val="20"/>
    </w:rPr>
  </w:style>
  <w:style w:type="character" w:customStyle="1" w:styleId="textchinese1">
    <w:name w:val="text_chinese1"/>
    <w:rPr>
      <w:rFonts w:ascii="??" w:hAnsi="??" w:hint="default"/>
      <w:sz w:val="18"/>
      <w:szCs w:val="18"/>
      <w:u w:val="none"/>
    </w:rPr>
  </w:style>
  <w:style w:type="character" w:customStyle="1" w:styleId="javascript1">
    <w:name w:val="javascript1"/>
    <w:rPr>
      <w:rFonts w:ascii="Tahoma" w:hAnsi="Tahoma" w:hint="default"/>
      <w:sz w:val="14"/>
    </w:rPr>
  </w:style>
  <w:style w:type="character" w:customStyle="1" w:styleId="CharCharCharCharChar">
    <w:name w:val="日期 Char Char Char Char Char"/>
    <w:rPr>
      <w:rFonts w:ascii="Times New Roman" w:hAnsi="Times New Roman"/>
      <w:sz w:val="24"/>
    </w:rPr>
  </w:style>
  <w:style w:type="character" w:customStyle="1" w:styleId="Charffe">
    <w:name w:val="Char"/>
    <w:rPr>
      <w:rFonts w:eastAsia="仿宋_GB2312"/>
      <w:b/>
      <w:kern w:val="44"/>
      <w:sz w:val="32"/>
      <w:szCs w:val="44"/>
      <w:lang w:val="en-US" w:eastAsia="zh-CN" w:bidi="ar-SA"/>
    </w:rPr>
  </w:style>
  <w:style w:type="character" w:customStyle="1" w:styleId="1Char9">
    <w:name w:val="表题1 Char"/>
    <w:qFormat/>
    <w:rPr>
      <w:rFonts w:ascii="黑体" w:eastAsia="黑体" w:hAnsi="宋体"/>
      <w:color w:val="000000"/>
      <w:kern w:val="2"/>
      <w:sz w:val="24"/>
      <w:szCs w:val="24"/>
      <w:lang w:val="en-US" w:eastAsia="zh-CN" w:bidi="ar-SA"/>
    </w:rPr>
  </w:style>
  <w:style w:type="character" w:customStyle="1" w:styleId="CharCharf7">
    <w:name w:val="文档结构图 Char Char"/>
    <w:link w:val="1f5"/>
    <w:qFormat/>
    <w:rPr>
      <w:rFonts w:ascii="宋体"/>
      <w:sz w:val="18"/>
      <w:szCs w:val="18"/>
    </w:rPr>
  </w:style>
  <w:style w:type="paragraph" w:customStyle="1" w:styleId="1f5">
    <w:name w:val="文档结构图1"/>
    <w:basedOn w:val="a2"/>
    <w:link w:val="CharCharf7"/>
    <w:qFormat/>
    <w:pPr>
      <w:spacing w:line="360" w:lineRule="auto"/>
      <w:jc w:val="both"/>
    </w:pPr>
    <w:rPr>
      <w:rFonts w:ascii="宋体"/>
      <w:sz w:val="18"/>
      <w:szCs w:val="18"/>
    </w:rPr>
  </w:style>
  <w:style w:type="character" w:customStyle="1" w:styleId="ljx1Char">
    <w:name w:val="ljx正文1 Char"/>
    <w:qFormat/>
    <w:rPr>
      <w:rFonts w:ascii="Times New Roman" w:eastAsia="宋体" w:hAnsi="Times New Roman" w:cs="Times New Roman"/>
      <w:sz w:val="28"/>
      <w:szCs w:val="20"/>
    </w:rPr>
  </w:style>
  <w:style w:type="character" w:customStyle="1" w:styleId="CharChar124">
    <w:name w:val="Char Char124"/>
    <w:basedOn w:val="a4"/>
  </w:style>
  <w:style w:type="character" w:customStyle="1" w:styleId="8ArialUnicodeMS">
    <w:name w:val="表格标题 (8) + Arial Unicode MS"/>
    <w:rPr>
      <w:rFonts w:ascii="Arial Unicode MS" w:eastAsia="Arial Unicode MS" w:cs="Arial Unicode MS"/>
      <w:sz w:val="27"/>
      <w:szCs w:val="27"/>
      <w:u w:val="none"/>
      <w:lang w:val="en-US" w:eastAsia="en-US"/>
    </w:rPr>
  </w:style>
  <w:style w:type="character" w:customStyle="1" w:styleId="text01">
    <w:name w:val="text01"/>
  </w:style>
  <w:style w:type="character" w:customStyle="1" w:styleId="fontsz">
    <w:name w:val="fontsz"/>
  </w:style>
  <w:style w:type="character" w:customStyle="1" w:styleId="font31">
    <w:name w:val="font31"/>
    <w:rPr>
      <w:color w:val="660099"/>
      <w:sz w:val="18"/>
      <w:szCs w:val="18"/>
    </w:rPr>
  </w:style>
  <w:style w:type="character" w:customStyle="1" w:styleId="b21">
    <w:name w:val="b21"/>
    <w:rPr>
      <w:rFonts w:hint="default"/>
      <w:color w:val="000000"/>
      <w:sz w:val="20"/>
      <w:szCs w:val="20"/>
    </w:rPr>
  </w:style>
  <w:style w:type="character" w:customStyle="1" w:styleId="TimesNewRomanChar">
    <w:name w:val="样式 三级标题 + Times New Roman 自动设置 Char"/>
    <w:rPr>
      <w:rFonts w:ascii="Times New Roman" w:eastAsia="仿宋_GB2312" w:hAnsi="Times New Roman"/>
      <w:b/>
      <w:bCs/>
      <w:spacing w:val="1"/>
      <w:sz w:val="28"/>
    </w:rPr>
  </w:style>
  <w:style w:type="character" w:customStyle="1" w:styleId="Char1d">
    <w:name w:val="结束语 Char1"/>
    <w:locked/>
    <w:rPr>
      <w:rFonts w:eastAsia="楷体_GB2312"/>
      <w:kern w:val="2"/>
      <w:sz w:val="32"/>
    </w:rPr>
  </w:style>
  <w:style w:type="character" w:customStyle="1" w:styleId="wangCharChar">
    <w:name w:val="正文wang Char Char"/>
    <w:link w:val="wang"/>
    <w:rPr>
      <w:sz w:val="24"/>
      <w:szCs w:val="24"/>
    </w:rPr>
  </w:style>
  <w:style w:type="paragraph" w:customStyle="1" w:styleId="wang">
    <w:name w:val="正文wang"/>
    <w:basedOn w:val="a2"/>
    <w:link w:val="wangCharChar"/>
    <w:qFormat/>
    <w:pPr>
      <w:spacing w:line="360" w:lineRule="auto"/>
      <w:ind w:firstLineChars="200" w:firstLine="480"/>
      <w:jc w:val="both"/>
    </w:pPr>
    <w:rPr>
      <w:sz w:val="24"/>
      <w:szCs w:val="24"/>
    </w:rPr>
  </w:style>
  <w:style w:type="character" w:customStyle="1" w:styleId="Char1e">
    <w:name w:val="新正文 Char1"/>
    <w:rPr>
      <w:rFonts w:ascii="仿宋_GB2312" w:eastAsia="仿宋_GB2312"/>
      <w:bCs/>
      <w:sz w:val="28"/>
      <w:lang w:val="en-US" w:eastAsia="zh-CN" w:bidi="ar-SA"/>
    </w:rPr>
  </w:style>
  <w:style w:type="character" w:customStyle="1" w:styleId="CharChar30">
    <w:name w:val="Char Char3"/>
    <w:rPr>
      <w:rFonts w:ascii="Arial" w:eastAsia="黑体" w:hAnsi="Arial"/>
      <w:b/>
      <w:bCs/>
      <w:kern w:val="2"/>
      <w:sz w:val="32"/>
      <w:szCs w:val="32"/>
      <w:lang w:val="en-US" w:eastAsia="zh-CN" w:bidi="ar-SA"/>
    </w:rPr>
  </w:style>
  <w:style w:type="character" w:customStyle="1" w:styleId="2Char7">
    <w:name w:val="公式 首行缩进:  2 字符 Char"/>
    <w:rPr>
      <w:rFonts w:eastAsia="宋体" w:cs="宋体"/>
      <w:kern w:val="2"/>
      <w:sz w:val="24"/>
      <w:szCs w:val="24"/>
      <w:lang w:val="en-US" w:eastAsia="zh-CN" w:bidi="ar-SA"/>
    </w:rPr>
  </w:style>
  <w:style w:type="character" w:customStyle="1" w:styleId="Charfb">
    <w:name w:val="报告书表格 Char"/>
    <w:link w:val="afffd"/>
    <w:rPr>
      <w:rFonts w:eastAsia="仿宋_GB2312"/>
      <w:sz w:val="24"/>
    </w:rPr>
  </w:style>
  <w:style w:type="character" w:customStyle="1" w:styleId="CharChar38">
    <w:name w:val="Char Char38"/>
    <w:rPr>
      <w:rFonts w:ascii="Arial" w:eastAsia="黑体" w:hAnsi="Arial"/>
      <w:b/>
      <w:bCs/>
      <w:kern w:val="2"/>
      <w:sz w:val="32"/>
      <w:szCs w:val="32"/>
      <w:lang w:val="en-US" w:eastAsia="zh-CN" w:bidi="ar-SA"/>
    </w:rPr>
  </w:style>
  <w:style w:type="character" w:customStyle="1" w:styleId="Char33">
    <w:name w:val="信息标题 Char3"/>
    <w:uiPriority w:val="99"/>
    <w:semiHidden/>
    <w:rPr>
      <w:rFonts w:ascii="Cambria" w:eastAsia="宋体" w:hAnsi="Cambria" w:cs="Times New Roman"/>
      <w:sz w:val="24"/>
      <w:szCs w:val="24"/>
      <w:shd w:val="pct20" w:color="auto" w:fill="auto"/>
    </w:rPr>
  </w:style>
  <w:style w:type="character" w:customStyle="1" w:styleId="changChar">
    <w:name w:val="chang正文 Char"/>
    <w:rPr>
      <w:rFonts w:eastAsia="宋体" w:cs="宋体"/>
      <w:kern w:val="2"/>
      <w:sz w:val="24"/>
      <w:szCs w:val="24"/>
      <w:lang w:val="en-US" w:eastAsia="zh-CN" w:bidi="ar-SA"/>
    </w:rPr>
  </w:style>
  <w:style w:type="character" w:customStyle="1" w:styleId="ACharChar">
    <w:name w:val="A Char Char"/>
    <w:link w:val="Afffff7"/>
    <w:rPr>
      <w:b/>
      <w:bCs/>
      <w:kern w:val="44"/>
      <w:sz w:val="24"/>
      <w:szCs w:val="24"/>
    </w:rPr>
  </w:style>
  <w:style w:type="paragraph" w:customStyle="1" w:styleId="Afffff7">
    <w:name w:val="A"/>
    <w:basedOn w:val="12"/>
    <w:next w:val="B"/>
    <w:link w:val="ACharChar"/>
    <w:qFormat/>
    <w:pPr>
      <w:spacing w:beforeLines="50" w:before="50"/>
      <w:textAlignment w:val="auto"/>
    </w:pPr>
    <w:rPr>
      <w:rFonts w:asciiTheme="minorHAnsi" w:eastAsiaTheme="minorEastAsia"/>
      <w:b/>
      <w:sz w:val="24"/>
      <w:szCs w:val="24"/>
    </w:rPr>
  </w:style>
  <w:style w:type="character" w:customStyle="1" w:styleId="textsy">
    <w:name w:val="textsy"/>
  </w:style>
  <w:style w:type="character" w:customStyle="1" w:styleId="style61">
    <w:name w:val="style61"/>
    <w:rPr>
      <w:sz w:val="21"/>
      <w:szCs w:val="21"/>
    </w:rPr>
  </w:style>
  <w:style w:type="character" w:customStyle="1" w:styleId="CharChar123">
    <w:name w:val="Char Char123"/>
  </w:style>
  <w:style w:type="character" w:customStyle="1" w:styleId="p31">
    <w:name w:val="p31"/>
    <w:rPr>
      <w:rFonts w:ascii="文鼎粗行楷简" w:eastAsia="文鼎粗行楷简" w:hint="eastAsia"/>
      <w:color w:val="FF0000"/>
      <w:kern w:val="2"/>
      <w:sz w:val="26"/>
      <w:szCs w:val="26"/>
      <w:lang w:val="en-US" w:eastAsia="zh-CN" w:bidi="ar-SA"/>
    </w:rPr>
  </w:style>
  <w:style w:type="character" w:customStyle="1" w:styleId="Charfff">
    <w:name w:val="文字段 Char"/>
    <w:link w:val="afffff8"/>
    <w:qFormat/>
    <w:rPr>
      <w:rFonts w:ascii="宋体"/>
      <w:sz w:val="24"/>
      <w:szCs w:val="24"/>
      <w:lang w:val="zh-CN"/>
    </w:rPr>
  </w:style>
  <w:style w:type="paragraph" w:customStyle="1" w:styleId="afffff8">
    <w:name w:val="文字段"/>
    <w:basedOn w:val="a2"/>
    <w:link w:val="Charfff"/>
    <w:qFormat/>
    <w:pPr>
      <w:spacing w:line="460" w:lineRule="exact"/>
      <w:ind w:firstLineChars="200" w:firstLine="480"/>
      <w:jc w:val="both"/>
    </w:pPr>
    <w:rPr>
      <w:rFonts w:ascii="宋体"/>
      <w:sz w:val="24"/>
      <w:szCs w:val="24"/>
      <w:lang w:val="zh-CN"/>
    </w:rPr>
  </w:style>
  <w:style w:type="character" w:customStyle="1" w:styleId="CharCharCharCharChar0">
    <w:name w:val="表后段落 Char Char Char Char Char"/>
    <w:link w:val="CharCharChar0"/>
    <w:rPr>
      <w:rFonts w:eastAsia="楷体_GB2312"/>
      <w:sz w:val="28"/>
      <w:szCs w:val="28"/>
    </w:rPr>
  </w:style>
  <w:style w:type="paragraph" w:customStyle="1" w:styleId="CharCharChar0">
    <w:name w:val="表后段落 Char Char Char"/>
    <w:basedOn w:val="a2"/>
    <w:link w:val="CharCharCharCharChar0"/>
    <w:qFormat/>
    <w:pPr>
      <w:spacing w:beforeLines="75" w:line="360" w:lineRule="auto"/>
      <w:ind w:firstLineChars="200" w:firstLine="200"/>
      <w:jc w:val="both"/>
    </w:pPr>
    <w:rPr>
      <w:szCs w:val="28"/>
    </w:rPr>
  </w:style>
  <w:style w:type="character" w:customStyle="1" w:styleId="text">
    <w:name w:val="text"/>
    <w:rPr>
      <w:rFonts w:cs="Times New Roman"/>
    </w:rPr>
  </w:style>
  <w:style w:type="character" w:customStyle="1" w:styleId="Charfff0">
    <w:name w:val="表格标题新 Char"/>
    <w:link w:val="afffff9"/>
    <w:rPr>
      <w:rFonts w:ascii="仿宋_GB2312" w:eastAsia="黑体"/>
      <w:b/>
      <w:spacing w:val="4"/>
      <w:sz w:val="24"/>
      <w:szCs w:val="24"/>
    </w:rPr>
  </w:style>
  <w:style w:type="paragraph" w:customStyle="1" w:styleId="afffff9">
    <w:name w:val="表格标题新"/>
    <w:basedOn w:val="afffffa"/>
    <w:link w:val="Charfff0"/>
    <w:qFormat/>
    <w:pPr>
      <w:tabs>
        <w:tab w:val="left" w:pos="0"/>
      </w:tabs>
      <w:snapToGrid w:val="0"/>
      <w:spacing w:beforeLines="50" w:before="100" w:line="240" w:lineRule="auto"/>
      <w:ind w:firstLine="562"/>
    </w:pPr>
    <w:rPr>
      <w:rFonts w:eastAsia="黑体" w:hAnsiTheme="minorHAnsi"/>
      <w:b/>
      <w:spacing w:val="4"/>
      <w:sz w:val="24"/>
    </w:rPr>
  </w:style>
  <w:style w:type="paragraph" w:customStyle="1" w:styleId="afffffa">
    <w:name w:val="表格内文字"/>
    <w:basedOn w:val="a2"/>
    <w:link w:val="CharCharf8"/>
    <w:qFormat/>
    <w:pPr>
      <w:spacing w:line="360" w:lineRule="auto"/>
      <w:jc w:val="center"/>
    </w:pPr>
    <w:rPr>
      <w:rFonts w:ascii="仿宋_GB2312" w:eastAsia="仿宋_GB2312" w:hAnsi="宋体"/>
      <w:szCs w:val="24"/>
    </w:rPr>
  </w:style>
  <w:style w:type="character" w:customStyle="1" w:styleId="CharChar18">
    <w:name w:val="Char Char18"/>
    <w:rPr>
      <w:rFonts w:ascii="Arial" w:eastAsia="黑体" w:hAnsi="Arial"/>
      <w:sz w:val="24"/>
      <w:lang w:val="en-US" w:eastAsia="zh-CN" w:bidi="ar-SA"/>
    </w:rPr>
  </w:style>
  <w:style w:type="character" w:customStyle="1" w:styleId="CharCharf9">
    <w:name w:val="表格表格 Char Char"/>
    <w:link w:val="afffffb"/>
    <w:rPr>
      <w:rFonts w:cs="宋体"/>
      <w:color w:val="000000"/>
      <w:szCs w:val="21"/>
    </w:rPr>
  </w:style>
  <w:style w:type="paragraph" w:customStyle="1" w:styleId="afffffb">
    <w:name w:val="表格表格"/>
    <w:basedOn w:val="a2"/>
    <w:link w:val="CharCharf9"/>
    <w:qFormat/>
    <w:rPr>
      <w:rFonts w:cs="宋体"/>
      <w:color w:val="000000"/>
    </w:rPr>
  </w:style>
  <w:style w:type="character" w:customStyle="1" w:styleId="CharChar11">
    <w:name w:val="Char Char11"/>
    <w:rPr>
      <w:rFonts w:ascii="仿宋_GB2312" w:eastAsia="仿宋_GB2312" w:hAnsi="Times New Roman" w:cs="Times New Roman"/>
      <w:sz w:val="28"/>
      <w:szCs w:val="52"/>
    </w:rPr>
  </w:style>
  <w:style w:type="character" w:customStyle="1" w:styleId="hhcwtCharChar0">
    <w:name w:val="hhcwt表格文字 Char Char"/>
    <w:link w:val="hhcwt0"/>
    <w:rPr>
      <w:rFonts w:eastAsia="仿宋_GB2312" w:cs="宋体"/>
    </w:rPr>
  </w:style>
  <w:style w:type="paragraph" w:customStyle="1" w:styleId="hhcwt0">
    <w:name w:val="hhcwt表格文字"/>
    <w:basedOn w:val="a2"/>
    <w:link w:val="hhcwtCharChar0"/>
    <w:qFormat/>
    <w:pPr>
      <w:jc w:val="center"/>
    </w:pPr>
    <w:rPr>
      <w:rFonts w:eastAsia="仿宋_GB2312" w:cs="宋体"/>
      <w:szCs w:val="22"/>
    </w:rPr>
  </w:style>
  <w:style w:type="character" w:customStyle="1" w:styleId="paragragh1">
    <w:name w:val="paragragh1"/>
    <w:rPr>
      <w:color w:val="004040"/>
      <w:sz w:val="21"/>
    </w:rPr>
  </w:style>
  <w:style w:type="character" w:customStyle="1" w:styleId="Char29">
    <w:name w:val="批注文字 Char2"/>
    <w:rPr>
      <w:rFonts w:ascii="Times New Roman" w:eastAsia="宋体" w:hAnsi="Times New Roman" w:cs="Times New Roman"/>
      <w:szCs w:val="24"/>
    </w:rPr>
  </w:style>
  <w:style w:type="character" w:customStyle="1" w:styleId="903032CharChar">
    <w:name w:val="样式 样式 样式9 + 段前: 0.3 行 段后: 0.3 行 + 首行缩进:  2 字符 Char Char"/>
    <w:link w:val="903032"/>
    <w:rPr>
      <w:rFonts w:ascii="Swis721 BT" w:eastAsia="黑体" w:hAnsi="Swis721 BT"/>
      <w:sz w:val="28"/>
    </w:rPr>
  </w:style>
  <w:style w:type="paragraph" w:customStyle="1" w:styleId="903032">
    <w:name w:val="样式 样式 样式9 + 段前: 0.3 行 段后: 0.3 行 + 首行缩进:  2 字符"/>
    <w:basedOn w:val="a2"/>
    <w:link w:val="903032CharChar"/>
    <w:qFormat/>
    <w:pPr>
      <w:keepNext/>
      <w:keepLines/>
      <w:snapToGrid w:val="0"/>
      <w:spacing w:beforeLines="30" w:before="93" w:afterLines="30" w:after="93" w:line="353" w:lineRule="auto"/>
      <w:outlineLvl w:val="2"/>
    </w:pPr>
    <w:rPr>
      <w:rFonts w:ascii="Swis721 BT" w:eastAsia="黑体" w:hAnsi="Swis721 BT"/>
      <w:szCs w:val="22"/>
    </w:rPr>
  </w:style>
  <w:style w:type="character" w:customStyle="1" w:styleId="Char1f">
    <w:name w:val="表 Char1"/>
    <w:rPr>
      <w:rFonts w:eastAsia="宋体"/>
      <w:spacing w:val="2"/>
      <w:kern w:val="2"/>
      <w:sz w:val="24"/>
      <w:lang w:val="en-US" w:eastAsia="zh-CN" w:bidi="ar-SA"/>
    </w:rPr>
  </w:style>
  <w:style w:type="character" w:customStyle="1" w:styleId="CharGB2312Char">
    <w:name w:val="样式 样式 正文文本缩进特点标题正文文本缩进 Char + 黑色 + (西文) 楷体_GB2312 Char"/>
    <w:rPr>
      <w:rFonts w:ascii="楷体_GB2312" w:eastAsia="宋体" w:hAnsi="楷体_GB2312" w:cs="Times New Roman"/>
      <w:b/>
      <w:color w:val="000000"/>
      <w:kern w:val="0"/>
      <w:szCs w:val="21"/>
    </w:rPr>
  </w:style>
  <w:style w:type="character" w:customStyle="1" w:styleId="CharChar15">
    <w:name w:val="Char Char15"/>
    <w:rPr>
      <w:rFonts w:eastAsia="宋体"/>
      <w:kern w:val="2"/>
      <w:sz w:val="24"/>
      <w:lang w:val="en-US" w:eastAsia="zh-CN" w:bidi="ar-SA"/>
    </w:rPr>
  </w:style>
  <w:style w:type="character" w:customStyle="1" w:styleId="Charfff1">
    <w:name w:val="图 Char"/>
    <w:rPr>
      <w:rFonts w:ascii="宋体" w:eastAsia="宋体"/>
      <w:kern w:val="2"/>
      <w:sz w:val="24"/>
      <w:szCs w:val="24"/>
      <w:lang w:val="en-US" w:eastAsia="zh-CN" w:bidi="ar-SA"/>
    </w:rPr>
  </w:style>
  <w:style w:type="character" w:customStyle="1" w:styleId="aaCharCharCharChar">
    <w:name w:val="正文aa Char Char Char Char"/>
    <w:link w:val="aaCharCharChar"/>
    <w:rPr>
      <w:sz w:val="24"/>
      <w:szCs w:val="24"/>
    </w:rPr>
  </w:style>
  <w:style w:type="paragraph" w:customStyle="1" w:styleId="aaCharCharChar">
    <w:name w:val="正文aa Char Char Char"/>
    <w:basedOn w:val="a2"/>
    <w:link w:val="aaCharCharCharChar"/>
    <w:qFormat/>
    <w:pPr>
      <w:spacing w:line="360" w:lineRule="auto"/>
      <w:ind w:firstLineChars="200" w:firstLine="200"/>
      <w:jc w:val="both"/>
    </w:pPr>
    <w:rPr>
      <w:sz w:val="24"/>
      <w:szCs w:val="24"/>
    </w:rPr>
  </w:style>
  <w:style w:type="character" w:customStyle="1" w:styleId="Char34">
    <w:name w:val="称呼 Char3"/>
    <w:uiPriority w:val="99"/>
    <w:semiHidden/>
  </w:style>
  <w:style w:type="character" w:customStyle="1" w:styleId="2CharChar">
    <w:name w:val="样式 首行缩进:  2 字符 Char Char"/>
    <w:link w:val="2e"/>
    <w:rPr>
      <w:rFonts w:ascii="仿宋_GB2312" w:eastAsia="仿宋_GB2312" w:cs="宋体"/>
      <w:sz w:val="28"/>
    </w:rPr>
  </w:style>
  <w:style w:type="paragraph" w:customStyle="1" w:styleId="2e">
    <w:name w:val="样式 首行缩进:  2 字符"/>
    <w:basedOn w:val="a2"/>
    <w:link w:val="2CharChar"/>
    <w:qFormat/>
    <w:pPr>
      <w:snapToGrid w:val="0"/>
      <w:spacing w:line="300" w:lineRule="auto"/>
      <w:ind w:firstLineChars="200" w:firstLine="560"/>
    </w:pPr>
    <w:rPr>
      <w:rFonts w:ascii="仿宋_GB2312" w:eastAsia="仿宋_GB2312" w:cs="宋体"/>
      <w:szCs w:val="22"/>
    </w:rPr>
  </w:style>
  <w:style w:type="character" w:customStyle="1" w:styleId="CharCharfa">
    <w:name w:val="报告正文 Char Char"/>
    <w:link w:val="afffffc"/>
    <w:rPr>
      <w:bCs/>
      <w:sz w:val="24"/>
      <w:szCs w:val="24"/>
    </w:rPr>
  </w:style>
  <w:style w:type="paragraph" w:customStyle="1" w:styleId="afffffc">
    <w:name w:val="报告正文"/>
    <w:basedOn w:val="a2"/>
    <w:link w:val="CharCharfa"/>
    <w:qFormat/>
    <w:pPr>
      <w:spacing w:line="360" w:lineRule="auto"/>
      <w:ind w:firstLineChars="200" w:firstLine="480"/>
    </w:pPr>
    <w:rPr>
      <w:bCs/>
      <w:sz w:val="24"/>
      <w:szCs w:val="24"/>
    </w:rPr>
  </w:style>
  <w:style w:type="character" w:customStyle="1" w:styleId="EmailStyle271">
    <w:name w:val="EmailStyle271"/>
    <w:rPr>
      <w:rFonts w:ascii="Arial" w:eastAsia="宋体" w:hAnsi="Arial" w:cs="Arial"/>
      <w:color w:val="000080"/>
      <w:sz w:val="18"/>
      <w:szCs w:val="20"/>
    </w:rPr>
  </w:style>
  <w:style w:type="character" w:customStyle="1" w:styleId="CharCharfb">
    <w:name w:val="样式 居中 Char Char"/>
    <w:link w:val="afffffd"/>
    <w:rPr>
      <w:rFonts w:cs="宋体"/>
      <w:kern w:val="10"/>
      <w:sz w:val="24"/>
      <w:szCs w:val="24"/>
    </w:rPr>
  </w:style>
  <w:style w:type="paragraph" w:customStyle="1" w:styleId="afffffd">
    <w:name w:val="样式 居中"/>
    <w:basedOn w:val="a2"/>
    <w:link w:val="CharCharfb"/>
    <w:qFormat/>
    <w:pPr>
      <w:ind w:leftChars="38" w:left="179" w:hanging="88"/>
      <w:jc w:val="center"/>
    </w:pPr>
    <w:rPr>
      <w:rFonts w:cs="宋体"/>
      <w:kern w:val="10"/>
      <w:sz w:val="24"/>
      <w:szCs w:val="24"/>
    </w:rPr>
  </w:style>
  <w:style w:type="character" w:customStyle="1" w:styleId="TitleChar">
    <w:name w:val="Title Char"/>
    <w:locked/>
    <w:rPr>
      <w:rFonts w:ascii="Arial" w:eastAsia="宋体" w:hAnsi="Arial" w:cs="Arial"/>
      <w:b/>
      <w:bCs/>
      <w:kern w:val="2"/>
      <w:sz w:val="32"/>
      <w:szCs w:val="32"/>
      <w:lang w:val="en-US" w:eastAsia="zh-CN" w:bidi="ar-SA"/>
    </w:rPr>
  </w:style>
  <w:style w:type="character" w:customStyle="1" w:styleId="jjgk1">
    <w:name w:val="jjgk1"/>
    <w:qFormat/>
    <w:rPr>
      <w:color w:val="009900"/>
      <w:sz w:val="9"/>
    </w:rPr>
  </w:style>
  <w:style w:type="character" w:customStyle="1" w:styleId="CharCharCharCharCharChar0">
    <w:name w:val="正文文字 Char Char Char Char Char Char"/>
    <w:qFormat/>
    <w:rPr>
      <w:rFonts w:eastAsia="宋体"/>
      <w:snapToGrid w:val="0"/>
      <w:sz w:val="24"/>
      <w:szCs w:val="24"/>
      <w:lang w:val="en-US" w:eastAsia="zh-CN" w:bidi="ar-SA"/>
    </w:rPr>
  </w:style>
  <w:style w:type="character" w:customStyle="1" w:styleId="CharCharCharCharChar1">
    <w:name w:val="燕山正文 Char Char Char Char Char"/>
    <w:locked/>
    <w:rPr>
      <w:rFonts w:ascii="宋体" w:hAnsi="Times New Roman"/>
      <w:snapToGrid w:val="0"/>
      <w:sz w:val="24"/>
      <w:szCs w:val="24"/>
    </w:rPr>
  </w:style>
  <w:style w:type="character" w:customStyle="1" w:styleId="CharCharfc">
    <w:name w:val="样式 自动设置 Char Char"/>
    <w:link w:val="afffffe"/>
    <w:rPr>
      <w:rFonts w:cs="宋体"/>
      <w:sz w:val="24"/>
      <w:szCs w:val="24"/>
    </w:rPr>
  </w:style>
  <w:style w:type="paragraph" w:customStyle="1" w:styleId="afffffe">
    <w:name w:val="样式 自动设置"/>
    <w:basedOn w:val="a2"/>
    <w:link w:val="CharCharfc"/>
    <w:qFormat/>
    <w:pPr>
      <w:snapToGrid w:val="0"/>
      <w:spacing w:beforeLines="50" w:line="288" w:lineRule="auto"/>
      <w:ind w:firstLineChars="200" w:firstLine="200"/>
      <w:jc w:val="both"/>
    </w:pPr>
    <w:rPr>
      <w:rFonts w:cs="宋体"/>
      <w:sz w:val="24"/>
      <w:szCs w:val="24"/>
    </w:rPr>
  </w:style>
  <w:style w:type="character" w:customStyle="1" w:styleId="CharCharfd">
    <w:name w:val="样式表头 Char Char"/>
    <w:link w:val="affffff"/>
    <w:rPr>
      <w:rFonts w:eastAsia="楷体_GB2312" w:cs="宋体"/>
      <w:b/>
      <w:sz w:val="24"/>
    </w:rPr>
  </w:style>
  <w:style w:type="paragraph" w:customStyle="1" w:styleId="affffff">
    <w:name w:val="样式表头"/>
    <w:basedOn w:val="a2"/>
    <w:next w:val="a2"/>
    <w:link w:val="CharCharfd"/>
    <w:qFormat/>
    <w:pPr>
      <w:spacing w:after="120" w:line="500" w:lineRule="exact"/>
      <w:jc w:val="center"/>
    </w:pPr>
    <w:rPr>
      <w:rFonts w:cs="宋体"/>
      <w:b/>
      <w:sz w:val="24"/>
      <w:szCs w:val="22"/>
    </w:rPr>
  </w:style>
  <w:style w:type="character" w:customStyle="1" w:styleId="CharCharfe">
    <w:name w:val="我的正文 Char Char"/>
    <w:rPr>
      <w:rFonts w:eastAsia="宋体"/>
      <w:kern w:val="2"/>
      <w:sz w:val="28"/>
      <w:szCs w:val="24"/>
      <w:lang w:val="en-US" w:eastAsia="zh-CN" w:bidi="ar-SA"/>
    </w:rPr>
  </w:style>
  <w:style w:type="character" w:customStyle="1" w:styleId="CharChar24">
    <w:name w:val="Char Char24"/>
    <w:rPr>
      <w:rFonts w:ascii="Arial" w:eastAsia="黑体" w:hAnsi="Arial"/>
      <w:b/>
      <w:bCs/>
      <w:kern w:val="2"/>
      <w:sz w:val="28"/>
      <w:szCs w:val="28"/>
      <w:lang w:val="en-US" w:eastAsia="zh-CN" w:bidi="ar-SA"/>
    </w:rPr>
  </w:style>
  <w:style w:type="character" w:customStyle="1" w:styleId="CharCharff">
    <w:name w:val="样式正文 Char Char"/>
    <w:link w:val="affffff0"/>
    <w:rPr>
      <w:rFonts w:eastAsia="宋体" w:cs="宋体"/>
      <w:sz w:val="24"/>
      <w:szCs w:val="24"/>
    </w:rPr>
  </w:style>
  <w:style w:type="paragraph" w:customStyle="1" w:styleId="affffff0">
    <w:name w:val="样式正文"/>
    <w:basedOn w:val="a2"/>
    <w:link w:val="CharCharff"/>
    <w:qFormat/>
    <w:pPr>
      <w:spacing w:line="400" w:lineRule="exact"/>
      <w:ind w:firstLineChars="200" w:firstLine="200"/>
    </w:pPr>
    <w:rPr>
      <w:rFonts w:eastAsia="宋体" w:cs="宋体"/>
      <w:sz w:val="24"/>
      <w:szCs w:val="24"/>
    </w:rPr>
  </w:style>
  <w:style w:type="character" w:customStyle="1" w:styleId="CharCharff0">
    <w:name w:val="图 Char Char"/>
    <w:rPr>
      <w:rFonts w:ascii="宋体" w:eastAsia="宋体"/>
      <w:kern w:val="2"/>
      <w:sz w:val="24"/>
      <w:szCs w:val="24"/>
      <w:lang w:val="en-US" w:eastAsia="zh-CN" w:bidi="ar-SA"/>
    </w:rPr>
  </w:style>
  <w:style w:type="character" w:customStyle="1" w:styleId="Charfff2">
    <w:name w:val="表头小四 Char"/>
    <w:rPr>
      <w:rFonts w:ascii="宋体" w:hAnsi="宋体"/>
      <w:sz w:val="24"/>
      <w:szCs w:val="24"/>
    </w:rPr>
  </w:style>
  <w:style w:type="character" w:customStyle="1" w:styleId="style21">
    <w:name w:val="style21"/>
    <w:rPr>
      <w:sz w:val="18"/>
      <w:szCs w:val="18"/>
    </w:rPr>
  </w:style>
  <w:style w:type="character" w:customStyle="1" w:styleId="-1pt1">
    <w:name w:val="正文文本 + 间距 -1 pt1"/>
    <w:rPr>
      <w:rFonts w:ascii="Arial Unicode MS" w:eastAsia="Arial Unicode MS" w:cs="Arial Unicode MS"/>
      <w:spacing w:val="-30"/>
      <w:sz w:val="27"/>
      <w:szCs w:val="27"/>
      <w:u w:val="none"/>
    </w:rPr>
  </w:style>
  <w:style w:type="character" w:customStyle="1" w:styleId="HTML9">
    <w:name w:val="HTML 预设格式 字符"/>
    <w:uiPriority w:val="99"/>
    <w:semiHidden/>
    <w:rPr>
      <w:rFonts w:ascii="Courier New" w:hAnsi="Courier New" w:cs="Courier New"/>
      <w:kern w:val="2"/>
    </w:rPr>
  </w:style>
  <w:style w:type="character" w:customStyle="1" w:styleId="Char2a">
    <w:name w:val="结束语 Char2"/>
    <w:uiPriority w:val="99"/>
    <w:semiHidden/>
    <w:rPr>
      <w:kern w:val="2"/>
      <w:sz w:val="21"/>
      <w:szCs w:val="22"/>
    </w:rPr>
  </w:style>
  <w:style w:type="character" w:customStyle="1" w:styleId="pt14">
    <w:name w:val="pt14"/>
    <w:basedOn w:val="a4"/>
  </w:style>
  <w:style w:type="character" w:customStyle="1" w:styleId="Charfff3">
    <w:name w:val="表标题 Char"/>
    <w:link w:val="affffff1"/>
    <w:locked/>
    <w:rPr>
      <w:b/>
    </w:rPr>
  </w:style>
  <w:style w:type="paragraph" w:customStyle="1" w:styleId="affffff1">
    <w:name w:val="表标题"/>
    <w:basedOn w:val="aff7"/>
    <w:next w:val="a2"/>
    <w:link w:val="Charfff3"/>
    <w:qFormat/>
    <w:pPr>
      <w:spacing w:line="480" w:lineRule="atLeast"/>
      <w:textAlignment w:val="baseline"/>
    </w:pPr>
    <w:rPr>
      <w:rFonts w:hAnsiTheme="minorHAnsi" w:cstheme="minorBidi"/>
      <w:bCs w:val="0"/>
      <w:sz w:val="21"/>
      <w:szCs w:val="22"/>
    </w:rPr>
  </w:style>
  <w:style w:type="character" w:customStyle="1" w:styleId="aChar0">
    <w:name w:val="a) Char"/>
    <w:link w:val="affffff2"/>
    <w:rPr>
      <w:rFonts w:ascii="宋体"/>
      <w:sz w:val="24"/>
      <w:szCs w:val="24"/>
      <w:lang w:val="zh-CN"/>
    </w:rPr>
  </w:style>
  <w:style w:type="paragraph" w:customStyle="1" w:styleId="affffff2">
    <w:name w:val="a)"/>
    <w:basedOn w:val="afffff8"/>
    <w:link w:val="aChar0"/>
    <w:qFormat/>
    <w:pPr>
      <w:ind w:leftChars="228" w:left="959" w:hangingChars="200" w:hanging="480"/>
    </w:pPr>
  </w:style>
  <w:style w:type="character" w:customStyle="1" w:styleId="CharChar102">
    <w:name w:val="Char Char102"/>
    <w:rPr>
      <w:rFonts w:eastAsia="宋体"/>
      <w:kern w:val="2"/>
      <w:sz w:val="18"/>
      <w:szCs w:val="18"/>
      <w:lang w:val="en-US" w:eastAsia="zh-CN" w:bidi="ar-SA"/>
    </w:rPr>
  </w:style>
  <w:style w:type="character" w:customStyle="1" w:styleId="Charfff4">
    <w:name w:val="正文* Char"/>
    <w:rPr>
      <w:rFonts w:ascii="Times New Roman" w:hAnsi="宋体"/>
      <w:sz w:val="24"/>
      <w:szCs w:val="24"/>
    </w:rPr>
  </w:style>
  <w:style w:type="character" w:customStyle="1" w:styleId="2Char8">
    <w:name w:val="黄桥标题2 Char"/>
    <w:rPr>
      <w:rFonts w:eastAsia="宋体" w:cs="宋体"/>
      <w:b/>
      <w:sz w:val="28"/>
      <w:szCs w:val="28"/>
      <w:lang w:val="en-US" w:eastAsia="zh-CN" w:bidi="ar-SA"/>
    </w:rPr>
  </w:style>
  <w:style w:type="character" w:customStyle="1" w:styleId="252Char">
    <w:name w:val="样式 (西文) 宋体 四号 行距: 固定值 25 磅 首行缩进:  2 字符 Char"/>
    <w:rPr>
      <w:rFonts w:ascii="宋体" w:eastAsia="宋体" w:hAnsi="宋体" w:cs="宋体"/>
      <w:sz w:val="28"/>
      <w:szCs w:val="28"/>
      <w:lang w:val="en-US" w:eastAsia="zh-CN" w:bidi="ar-SA"/>
    </w:rPr>
  </w:style>
  <w:style w:type="character" w:customStyle="1" w:styleId="Charfff5">
    <w:name w:val="样式 表头 + 黑色 Char"/>
    <w:rPr>
      <w:rFonts w:ascii="Times New Roman" w:hAnsi="Times New Roman"/>
      <w:b/>
      <w:bCs/>
      <w:snapToGrid w:val="0"/>
      <w:color w:val="000000"/>
      <w:spacing w:val="-4"/>
      <w:sz w:val="24"/>
      <w:szCs w:val="24"/>
    </w:rPr>
  </w:style>
  <w:style w:type="character" w:customStyle="1" w:styleId="Heading3Char">
    <w:name w:val="Heading 3 Char"/>
    <w:locked/>
    <w:rPr>
      <w:rFonts w:ascii="宋体" w:eastAsia="宋体" w:hAnsi="Arial Black"/>
      <w:color w:val="000000"/>
      <w:kern w:val="44"/>
      <w:sz w:val="28"/>
      <w:szCs w:val="24"/>
      <w:lang w:val="en-US" w:eastAsia="zh-CN" w:bidi="ar-SA"/>
    </w:rPr>
  </w:style>
  <w:style w:type="character" w:customStyle="1" w:styleId="AChar1">
    <w:name w:val="正文A Char"/>
    <w:link w:val="Affffff3"/>
    <w:rPr>
      <w:snapToGrid w:val="0"/>
      <w:sz w:val="24"/>
    </w:rPr>
  </w:style>
  <w:style w:type="paragraph" w:customStyle="1" w:styleId="Affffff3">
    <w:name w:val="正文A"/>
    <w:link w:val="AChar1"/>
    <w:qFormat/>
    <w:pPr>
      <w:tabs>
        <w:tab w:val="left" w:pos="0"/>
      </w:tabs>
      <w:adjustRightInd w:val="0"/>
      <w:spacing w:line="360" w:lineRule="auto"/>
      <w:ind w:firstLine="482"/>
      <w:jc w:val="both"/>
    </w:pPr>
    <w:rPr>
      <w:snapToGrid w:val="0"/>
      <w:kern w:val="2"/>
      <w:sz w:val="24"/>
      <w:szCs w:val="21"/>
    </w:rPr>
  </w:style>
  <w:style w:type="character" w:customStyle="1" w:styleId="2Char9">
    <w:name w:val="标题2宋体黑色 Char"/>
    <w:link w:val="2f"/>
    <w:qFormat/>
    <w:rPr>
      <w:rFonts w:ascii="仿宋_GB2312" w:eastAsia="黑体" w:hAnsi="仿宋_GB2312"/>
      <w:b/>
      <w:bCs/>
      <w:sz w:val="32"/>
      <w:szCs w:val="32"/>
    </w:rPr>
  </w:style>
  <w:style w:type="paragraph" w:customStyle="1" w:styleId="2f">
    <w:name w:val="标题2宋体黑色"/>
    <w:basedOn w:val="22"/>
    <w:link w:val="2Char9"/>
    <w:qFormat/>
    <w:pPr>
      <w:spacing w:before="240" w:after="0" w:line="240" w:lineRule="auto"/>
    </w:pPr>
    <w:rPr>
      <w:rFonts w:ascii="仿宋_GB2312" w:eastAsia="黑体" w:hAnsi="仿宋_GB2312" w:cstheme="minorBidi"/>
    </w:rPr>
  </w:style>
  <w:style w:type="character" w:customStyle="1" w:styleId="1Chara">
    <w:name w:val="1正文 Char"/>
    <w:link w:val="1f6"/>
    <w:rPr>
      <w:sz w:val="24"/>
      <w:szCs w:val="24"/>
    </w:rPr>
  </w:style>
  <w:style w:type="paragraph" w:customStyle="1" w:styleId="1f6">
    <w:name w:val="1正文"/>
    <w:basedOn w:val="a2"/>
    <w:link w:val="1Chara"/>
    <w:qFormat/>
    <w:pPr>
      <w:spacing w:line="360" w:lineRule="auto"/>
      <w:ind w:firstLineChars="200" w:firstLine="480"/>
      <w:jc w:val="both"/>
    </w:pPr>
    <w:rPr>
      <w:sz w:val="24"/>
      <w:szCs w:val="24"/>
    </w:rPr>
  </w:style>
  <w:style w:type="character" w:customStyle="1" w:styleId="140">
    <w:name w:val="标题14"/>
  </w:style>
  <w:style w:type="character" w:customStyle="1" w:styleId="CharChar271">
    <w:name w:val="Char Char271"/>
    <w:rPr>
      <w:rFonts w:eastAsia="黑体"/>
      <w:b/>
      <w:bCs/>
      <w:kern w:val="44"/>
      <w:sz w:val="36"/>
      <w:szCs w:val="44"/>
      <w:lang w:bidi="ar-SA"/>
    </w:rPr>
  </w:style>
  <w:style w:type="character" w:customStyle="1" w:styleId="CharChar22">
    <w:name w:val="Char Char22"/>
    <w:rPr>
      <w:rFonts w:ascii="Calibri" w:eastAsia="宋体" w:hAnsi="Calibri"/>
      <w:kern w:val="2"/>
      <w:sz w:val="24"/>
      <w:lang w:val="en-US" w:eastAsia="zh-CN" w:bidi="ar-SA"/>
    </w:rPr>
  </w:style>
  <w:style w:type="character" w:customStyle="1" w:styleId="CharChar115">
    <w:name w:val="Char Char115"/>
    <w:rPr>
      <w:rFonts w:ascii="仿宋_GB2312" w:eastAsia="仿宋_GB2312"/>
      <w:b/>
      <w:bCs/>
      <w:kern w:val="44"/>
      <w:sz w:val="32"/>
      <w:szCs w:val="44"/>
      <w:lang w:val="en-US" w:eastAsia="zh-CN" w:bidi="ar-SA"/>
    </w:rPr>
  </w:style>
  <w:style w:type="character" w:customStyle="1" w:styleId="111Char">
    <w:name w:val="☆1.1.1 Char"/>
    <w:link w:val="1110"/>
    <w:rPr>
      <w:b/>
      <w:bCs/>
      <w:sz w:val="28"/>
      <w:szCs w:val="28"/>
    </w:rPr>
  </w:style>
  <w:style w:type="paragraph" w:customStyle="1" w:styleId="1110">
    <w:name w:val="☆1.1.1"/>
    <w:basedOn w:val="32"/>
    <w:link w:val="111Char"/>
    <w:qFormat/>
    <w:pPr>
      <w:spacing w:before="0" w:after="0" w:line="360" w:lineRule="auto"/>
      <w:jc w:val="both"/>
    </w:pPr>
    <w:rPr>
      <w:sz w:val="28"/>
      <w:szCs w:val="28"/>
    </w:rPr>
  </w:style>
  <w:style w:type="character" w:customStyle="1" w:styleId="1-Char">
    <w:name w:val="1-正文 Char"/>
    <w:link w:val="1-"/>
    <w:rPr>
      <w:rFonts w:ascii="宋体" w:hAnsi="宋体"/>
      <w:sz w:val="24"/>
      <w:szCs w:val="24"/>
    </w:rPr>
  </w:style>
  <w:style w:type="paragraph" w:customStyle="1" w:styleId="1-">
    <w:name w:val="1-正文"/>
    <w:basedOn w:val="a2"/>
    <w:link w:val="1-Char"/>
    <w:qFormat/>
    <w:pPr>
      <w:spacing w:line="360" w:lineRule="auto"/>
      <w:ind w:firstLineChars="200" w:firstLine="480"/>
      <w:jc w:val="both"/>
    </w:pPr>
    <w:rPr>
      <w:rFonts w:ascii="宋体" w:hAnsi="宋体"/>
      <w:sz w:val="24"/>
      <w:szCs w:val="24"/>
    </w:rPr>
  </w:style>
  <w:style w:type="character" w:customStyle="1" w:styleId="tuCharChar">
    <w:name w:val="tu Char Char"/>
    <w:link w:val="tu"/>
    <w:rPr>
      <w:b/>
      <w:sz w:val="28"/>
      <w:szCs w:val="24"/>
    </w:rPr>
  </w:style>
  <w:style w:type="paragraph" w:customStyle="1" w:styleId="tu">
    <w:name w:val="tu"/>
    <w:basedOn w:val="aff4"/>
    <w:link w:val="tuCharChar"/>
    <w:qFormat/>
    <w:pPr>
      <w:spacing w:line="360" w:lineRule="auto"/>
    </w:pPr>
    <w:rPr>
      <w:rFonts w:asciiTheme="minorHAnsi" w:eastAsiaTheme="minorEastAsia" w:hint="default"/>
      <w:b/>
      <w:szCs w:val="24"/>
    </w:rPr>
  </w:style>
  <w:style w:type="character" w:customStyle="1" w:styleId="CharChar203">
    <w:name w:val="Char Char203"/>
    <w:rPr>
      <w:rFonts w:ascii="Arial" w:eastAsia="黑体" w:hAnsi="Arial"/>
      <w:kern w:val="2"/>
      <w:sz w:val="24"/>
      <w:lang w:val="en-US" w:eastAsia="zh-CN" w:bidi="ar-SA"/>
    </w:rPr>
  </w:style>
  <w:style w:type="character" w:customStyle="1" w:styleId="4H4H41026Char">
    <w:name w:val="样式 标题 4四H4H41 + 段前: 0 磅 行距: 固定值 26 磅 Char"/>
    <w:locked/>
    <w:rPr>
      <w:rFonts w:ascii="Arial" w:hAnsi="Arial"/>
      <w:b/>
      <w:bCs/>
      <w:snapToGrid w:val="0"/>
      <w:sz w:val="24"/>
      <w:szCs w:val="28"/>
    </w:rPr>
  </w:style>
  <w:style w:type="character" w:customStyle="1" w:styleId="3CharCharCharCharCharChar">
    <w:name w:val="样式 标题 3 + 黑色 Char Char Char Char Char Char"/>
    <w:link w:val="3CharCharCharCharChar"/>
    <w:rPr>
      <w:rFonts w:ascii="宋体" w:hAnsi="宋体"/>
      <w:sz w:val="28"/>
      <w:szCs w:val="28"/>
    </w:rPr>
  </w:style>
  <w:style w:type="paragraph" w:customStyle="1" w:styleId="3CharCharCharCharChar">
    <w:name w:val="样式 标题 3 + 黑色 Char Char Char Char Char"/>
    <w:basedOn w:val="32"/>
    <w:link w:val="3CharCharCharCharCharChar"/>
    <w:qFormat/>
    <w:pPr>
      <w:keepNext w:val="0"/>
      <w:keepLines w:val="0"/>
      <w:tabs>
        <w:tab w:val="left" w:pos="993"/>
        <w:tab w:val="left" w:pos="1260"/>
      </w:tabs>
      <w:snapToGrid w:val="0"/>
      <w:spacing w:before="0" w:after="0" w:line="500" w:lineRule="exact"/>
      <w:ind w:left="567" w:hanging="420"/>
      <w:jc w:val="both"/>
      <w:outlineLvl w:val="9"/>
    </w:pPr>
    <w:rPr>
      <w:rFonts w:ascii="宋体" w:hAnsi="宋体"/>
      <w:b w:val="0"/>
      <w:bCs w:val="0"/>
      <w:sz w:val="28"/>
      <w:szCs w:val="28"/>
    </w:rPr>
  </w:style>
  <w:style w:type="character" w:customStyle="1" w:styleId="CharChar70">
    <w:name w:val="Char Char7"/>
    <w:locked/>
    <w:rPr>
      <w:rFonts w:ascii="宋体" w:eastAsia="宋体" w:hAnsi="宋体"/>
      <w:sz w:val="24"/>
      <w:lang w:val="en-US" w:eastAsia="zh-CN" w:bidi="ar-SA"/>
    </w:rPr>
  </w:style>
  <w:style w:type="character" w:customStyle="1" w:styleId="z-Char3">
    <w:name w:val="z-窗体顶端 Char3"/>
    <w:uiPriority w:val="99"/>
    <w:semiHidden/>
    <w:rPr>
      <w:rFonts w:ascii="Arial" w:hAnsi="Arial" w:cs="Arial"/>
      <w:vanish/>
      <w:sz w:val="16"/>
      <w:szCs w:val="16"/>
    </w:rPr>
  </w:style>
  <w:style w:type="character" w:customStyle="1" w:styleId="CharjophyCharChar">
    <w:name w:val="正文（首行缩进） Charjophy Char Char"/>
    <w:link w:val="Charjophy"/>
    <w:rPr>
      <w:sz w:val="24"/>
      <w:szCs w:val="24"/>
    </w:rPr>
  </w:style>
  <w:style w:type="paragraph" w:customStyle="1" w:styleId="Charjophy">
    <w:name w:val="正文（首行缩进） Charjophy"/>
    <w:basedOn w:val="a2"/>
    <w:link w:val="CharjophyCharChar"/>
    <w:qFormat/>
    <w:pPr>
      <w:overflowPunct w:val="0"/>
      <w:topLinePunct/>
      <w:snapToGrid w:val="0"/>
      <w:spacing w:line="360" w:lineRule="auto"/>
      <w:ind w:firstLineChars="200" w:firstLine="480"/>
      <w:jc w:val="both"/>
      <w:textAlignment w:val="baseline"/>
    </w:pPr>
    <w:rPr>
      <w:sz w:val="24"/>
      <w:szCs w:val="24"/>
    </w:rPr>
  </w:style>
  <w:style w:type="character" w:customStyle="1" w:styleId="CharCharCharCharCharCharChar0">
    <w:name w:val="环评正文 Char Char Char Char Char Char Char"/>
    <w:rPr>
      <w:rFonts w:eastAsia="宋体"/>
      <w:color w:val="000000"/>
      <w:kern w:val="21"/>
      <w:sz w:val="24"/>
      <w:szCs w:val="24"/>
      <w:lang w:val="en-US" w:eastAsia="zh-CN" w:bidi="ar-SA"/>
    </w:rPr>
  </w:style>
  <w:style w:type="character" w:customStyle="1" w:styleId="evcontent1">
    <w:name w:val="ev_content1"/>
    <w:rPr>
      <w:color w:val="495766"/>
      <w:sz w:val="21"/>
      <w:szCs w:val="21"/>
    </w:rPr>
  </w:style>
  <w:style w:type="character" w:customStyle="1" w:styleId="2CharChar0">
    <w:name w:val="样式 正文文本 + 首行缩进:  2 字符 Char Char"/>
    <w:link w:val="2f0"/>
    <w:rPr>
      <w:rFonts w:eastAsia="仿宋_GB2312" w:cs="宋体"/>
      <w:sz w:val="24"/>
    </w:rPr>
  </w:style>
  <w:style w:type="paragraph" w:customStyle="1" w:styleId="2f0">
    <w:name w:val="样式 正文文本 + 首行缩进:  2 字符"/>
    <w:basedOn w:val="af4"/>
    <w:link w:val="2CharChar0"/>
    <w:qFormat/>
    <w:pPr>
      <w:spacing w:after="60" w:line="264" w:lineRule="auto"/>
      <w:ind w:firstLineChars="200" w:firstLine="480"/>
      <w:jc w:val="both"/>
      <w:textAlignment w:val="baseline"/>
    </w:pPr>
    <w:rPr>
      <w:rFonts w:eastAsia="仿宋_GB2312" w:cs="宋体"/>
      <w:sz w:val="24"/>
    </w:rPr>
  </w:style>
  <w:style w:type="character" w:customStyle="1" w:styleId="article1">
    <w:name w:val="article1"/>
    <w:rPr>
      <w:sz w:val="21"/>
      <w:szCs w:val="21"/>
    </w:rPr>
  </w:style>
  <w:style w:type="character" w:customStyle="1" w:styleId="3xi">
    <w:name w:val="3xi"/>
    <w:basedOn w:val="a4"/>
  </w:style>
  <w:style w:type="character" w:customStyle="1" w:styleId="Char1f0">
    <w:name w:val="正文文本 Char1"/>
  </w:style>
  <w:style w:type="character" w:customStyle="1" w:styleId="font141">
    <w:name w:val="font_141"/>
    <w:rPr>
      <w:rFonts w:ascii="ˎ̥" w:hAnsi="ˎ̥" w:hint="default"/>
      <w:sz w:val="21"/>
      <w:szCs w:val="21"/>
    </w:rPr>
  </w:style>
  <w:style w:type="character" w:customStyle="1" w:styleId="red1">
    <w:name w:val="red1"/>
    <w:rPr>
      <w:color w:val="FF0000"/>
    </w:rPr>
  </w:style>
  <w:style w:type="character" w:customStyle="1" w:styleId="CharCharChar1CharCharChar">
    <w:name w:val="正文（首行缩进两字） Char Char Char1 Char Char Char"/>
    <w:rPr>
      <w:rFonts w:eastAsia="宋体"/>
      <w:kern w:val="2"/>
      <w:sz w:val="21"/>
      <w:szCs w:val="24"/>
      <w:lang w:val="en-US" w:eastAsia="zh-CN" w:bidi="ar-SA"/>
    </w:rPr>
  </w:style>
  <w:style w:type="character" w:customStyle="1" w:styleId="CharChar262">
    <w:name w:val="Char Char262"/>
    <w:rPr>
      <w:rFonts w:eastAsia="宋体"/>
      <w:b/>
      <w:kern w:val="44"/>
      <w:sz w:val="30"/>
      <w:szCs w:val="28"/>
      <w:lang w:bidi="ar-SA"/>
    </w:rPr>
  </w:style>
  <w:style w:type="character" w:customStyle="1" w:styleId="cucd-2Char">
    <w:name w:val="cucd-2 Char"/>
    <w:link w:val="cucd-2"/>
    <w:rPr>
      <w:rFonts w:eastAsia="黑体"/>
      <w:b/>
      <w:sz w:val="30"/>
      <w:szCs w:val="24"/>
    </w:rPr>
  </w:style>
  <w:style w:type="paragraph" w:customStyle="1" w:styleId="cucd-2">
    <w:name w:val="cucd-2"/>
    <w:next w:val="cucd-3"/>
    <w:link w:val="cucd-2Char"/>
    <w:pPr>
      <w:tabs>
        <w:tab w:val="left" w:pos="567"/>
      </w:tabs>
      <w:spacing w:line="360" w:lineRule="auto"/>
      <w:ind w:left="567" w:hanging="567"/>
      <w:jc w:val="both"/>
      <w:outlineLvl w:val="1"/>
    </w:pPr>
    <w:rPr>
      <w:rFonts w:eastAsia="黑体"/>
      <w:b/>
      <w:kern w:val="2"/>
      <w:sz w:val="30"/>
      <w:szCs w:val="24"/>
    </w:rPr>
  </w:style>
  <w:style w:type="paragraph" w:customStyle="1" w:styleId="cucd-3">
    <w:name w:val="cucd-3"/>
    <w:next w:val="a2"/>
    <w:pPr>
      <w:tabs>
        <w:tab w:val="left" w:pos="709"/>
      </w:tabs>
      <w:spacing w:line="360" w:lineRule="auto"/>
      <w:jc w:val="both"/>
      <w:outlineLvl w:val="2"/>
    </w:pPr>
    <w:rPr>
      <w:rFonts w:ascii="Times New Roman" w:eastAsia="宋体" w:hAnsi="Times New Roman" w:cs="Times New Roman"/>
      <w:bCs/>
      <w:kern w:val="2"/>
      <w:sz w:val="24"/>
      <w:szCs w:val="24"/>
    </w:rPr>
  </w:style>
  <w:style w:type="character" w:customStyle="1" w:styleId="a11">
    <w:name w:val="a11"/>
    <w:rPr>
      <w:color w:val="000000"/>
      <w:sz w:val="18"/>
      <w:szCs w:val="18"/>
    </w:rPr>
  </w:style>
  <w:style w:type="character" w:customStyle="1" w:styleId="Charc">
    <w:name w:val="纯文本 Char"/>
    <w:link w:val="af8"/>
    <w:rPr>
      <w:rFonts w:ascii="宋体" w:eastAsia="宋体" w:hAnsi="Courier New"/>
      <w:kern w:val="24"/>
      <w:sz w:val="24"/>
      <w:szCs w:val="21"/>
    </w:rPr>
  </w:style>
  <w:style w:type="character" w:customStyle="1" w:styleId="CharChar60">
    <w:name w:val="Char Char6"/>
    <w:locked/>
    <w:rPr>
      <w:rFonts w:ascii="宋体" w:eastAsia="宋体" w:hAnsi="宋体"/>
      <w:snapToGrid w:val="0"/>
      <w:sz w:val="18"/>
      <w:szCs w:val="18"/>
      <w:lang w:val="en-US" w:eastAsia="zh-CN" w:bidi="ar-SA"/>
    </w:rPr>
  </w:style>
  <w:style w:type="character" w:customStyle="1" w:styleId="Charfff6">
    <w:name w:val="明显引用 Char"/>
    <w:link w:val="affffff4"/>
    <w:rPr>
      <w:rFonts w:ascii="Calibri" w:eastAsia="仿宋" w:hAnsi="Calibri"/>
      <w:b/>
      <w:i/>
      <w:spacing w:val="-5"/>
      <w:sz w:val="28"/>
      <w:lang w:bidi="he-IL"/>
    </w:rPr>
  </w:style>
  <w:style w:type="paragraph" w:styleId="affffff4">
    <w:name w:val="Intense Quote"/>
    <w:basedOn w:val="a2"/>
    <w:next w:val="a2"/>
    <w:link w:val="Charfff6"/>
    <w:qFormat/>
    <w:pPr>
      <w:widowControl/>
      <w:autoSpaceDE/>
      <w:autoSpaceDN/>
      <w:adjustRightInd/>
      <w:spacing w:line="440" w:lineRule="exact"/>
      <w:ind w:left="720" w:right="720" w:firstLineChars="200" w:firstLine="200"/>
      <w:jc w:val="both"/>
    </w:pPr>
    <w:rPr>
      <w:rFonts w:ascii="Calibri" w:eastAsia="仿宋" w:hAnsi="Calibri"/>
      <w:b/>
      <w:i/>
      <w:spacing w:val="-5"/>
      <w:szCs w:val="22"/>
      <w:lang w:bidi="he-IL"/>
    </w:rPr>
  </w:style>
  <w:style w:type="character" w:customStyle="1" w:styleId="Charfff7">
    <w:name w:val="正文（首行缩进两字） Char"/>
    <w:rPr>
      <w:rFonts w:eastAsia="宋体"/>
      <w:kern w:val="2"/>
      <w:sz w:val="24"/>
      <w:lang w:val="en-US" w:eastAsia="zh-CN"/>
    </w:rPr>
  </w:style>
  <w:style w:type="character" w:customStyle="1" w:styleId="1f7">
    <w:name w:val="未命名1"/>
    <w:basedOn w:val="a4"/>
  </w:style>
  <w:style w:type="character" w:customStyle="1" w:styleId="215Char">
    <w:name w:val="标准文本 首行缩进:2 字符 行距1.5倍 Char"/>
    <w:rPr>
      <w:rFonts w:eastAsia="宋体" w:cs="宋体"/>
      <w:kern w:val="2"/>
      <w:sz w:val="24"/>
      <w:szCs w:val="24"/>
      <w:lang w:val="en-US" w:eastAsia="zh-CN" w:bidi="ar-SA"/>
    </w:rPr>
  </w:style>
  <w:style w:type="character" w:customStyle="1" w:styleId="CharChar244">
    <w:name w:val="Char Char244"/>
    <w:rPr>
      <w:rFonts w:ascii="Arial" w:eastAsia="黑体" w:hAnsi="Arial"/>
      <w:b/>
      <w:bCs/>
      <w:kern w:val="2"/>
      <w:sz w:val="28"/>
      <w:szCs w:val="28"/>
      <w:lang w:val="en-US" w:eastAsia="zh-CN" w:bidi="ar-SA"/>
    </w:rPr>
  </w:style>
  <w:style w:type="character" w:customStyle="1" w:styleId="CharChar10">
    <w:name w:val="正文文字缩进 Char Char1"/>
    <w:rPr>
      <w:rFonts w:eastAsia="宋体"/>
      <w:kern w:val="2"/>
      <w:sz w:val="28"/>
      <w:szCs w:val="24"/>
      <w:lang w:val="en-US" w:eastAsia="zh-CN" w:bidi="ar-SA"/>
    </w:rPr>
  </w:style>
  <w:style w:type="character" w:customStyle="1" w:styleId="black0001">
    <w:name w:val="black0001"/>
    <w:rPr>
      <w:b/>
      <w:bCs/>
      <w:color w:val="000000"/>
      <w:sz w:val="24"/>
      <w:szCs w:val="24"/>
    </w:rPr>
  </w:style>
  <w:style w:type="character" w:customStyle="1" w:styleId="3Char40">
    <w:name w:val="正文文本缩进 3 Char4"/>
    <w:uiPriority w:val="99"/>
    <w:semiHidden/>
    <w:rPr>
      <w:sz w:val="16"/>
      <w:szCs w:val="16"/>
    </w:rPr>
  </w:style>
  <w:style w:type="character" w:customStyle="1" w:styleId="1h1H1PIM1111SectionHeadHeader11stlevell11Char">
    <w:name w:val="样式 标题 1h1H1PIM 1标书11.标题 1Section HeadHeader11st levell1...1 Char"/>
    <w:rPr>
      <w:rFonts w:ascii="楷体_GB2312" w:eastAsia="黑体"/>
      <w:b/>
      <w:bCs/>
      <w:kern w:val="44"/>
      <w:sz w:val="30"/>
      <w:szCs w:val="44"/>
      <w:lang w:val="en-US" w:eastAsia="zh-CN" w:bidi="ar-SA"/>
    </w:rPr>
  </w:style>
  <w:style w:type="character" w:customStyle="1" w:styleId="CharCharff1">
    <w:name w:val="样式 正文格式 Char Char"/>
    <w:rPr>
      <w:rFonts w:ascii="宋体" w:eastAsia="宋体" w:hAnsi="宋体"/>
      <w:sz w:val="28"/>
      <w:szCs w:val="28"/>
      <w:lang w:val="en-US" w:eastAsia="zh-CN" w:bidi="ar-SA"/>
    </w:rPr>
  </w:style>
  <w:style w:type="character" w:customStyle="1" w:styleId="Hyperlink1">
    <w:name w:val="Hyperlink1"/>
    <w:rPr>
      <w:rFonts w:hint="default"/>
      <w:color w:val="0000FF"/>
      <w:u w:val="single"/>
    </w:rPr>
  </w:style>
  <w:style w:type="character" w:customStyle="1" w:styleId="myfont">
    <w:name w:val="myfont"/>
    <w:basedOn w:val="a4"/>
  </w:style>
  <w:style w:type="character" w:customStyle="1" w:styleId="3CharChar11">
    <w:name w:val="标题 3 Char Char11"/>
    <w:rPr>
      <w:rFonts w:ascii="宋体" w:eastAsia="宋体" w:hAnsi="宋体" w:hint="eastAsia"/>
      <w:b/>
      <w:bCs/>
      <w:kern w:val="2"/>
      <w:sz w:val="32"/>
      <w:szCs w:val="32"/>
      <w:lang w:val="en-US" w:eastAsia="zh-CN" w:bidi="ar-SA"/>
    </w:rPr>
  </w:style>
  <w:style w:type="character" w:customStyle="1" w:styleId="2f1">
    <w:name w:val="页码2"/>
    <w:basedOn w:val="a4"/>
  </w:style>
  <w:style w:type="character" w:customStyle="1" w:styleId="21521Char">
    <w:name w:val="样式 标准文本 首行缩进:2 字符 行距1.5倍 + 首行缩进:  2 字符1 Char"/>
  </w:style>
  <w:style w:type="character" w:customStyle="1" w:styleId="-">
    <w:name w:val="表格-小号字 字符"/>
    <w:link w:val="-0"/>
    <w:rPr>
      <w:spacing w:val="-5"/>
      <w:lang w:bidi="en-US"/>
    </w:rPr>
  </w:style>
  <w:style w:type="paragraph" w:customStyle="1" w:styleId="-0">
    <w:name w:val="表格-小号字"/>
    <w:basedOn w:val="affff8"/>
    <w:link w:val="-"/>
    <w:qFormat/>
    <w:pPr>
      <w:widowControl/>
      <w:autoSpaceDE/>
      <w:autoSpaceDN/>
      <w:adjustRightInd/>
      <w:spacing w:line="240" w:lineRule="exact"/>
      <w:jc w:val="left"/>
      <w:textAlignment w:val="auto"/>
    </w:pPr>
    <w:rPr>
      <w:rFonts w:eastAsiaTheme="minorEastAsia" w:hAnsiTheme="minorHAnsi" w:cstheme="minorBidi"/>
      <w:color w:val="auto"/>
      <w:spacing w:val="-5"/>
      <w:sz w:val="21"/>
      <w:szCs w:val="22"/>
      <w:lang w:bidi="en-US"/>
    </w:rPr>
  </w:style>
  <w:style w:type="character" w:customStyle="1" w:styleId="Charfff8">
    <w:name w:val="插图标题 Char"/>
    <w:rPr>
      <w:rFonts w:ascii="Times New Roman" w:eastAsia="黑体" w:hAnsi="Times New Roman" w:cs="Times New Roman"/>
      <w:b/>
      <w:snapToGrid w:val="0"/>
      <w:kern w:val="0"/>
      <w:sz w:val="24"/>
      <w:szCs w:val="24"/>
    </w:rPr>
  </w:style>
  <w:style w:type="character" w:customStyle="1" w:styleId="CharCharff2">
    <w:name w:val="文字 Char Char"/>
    <w:link w:val="affffff5"/>
    <w:rPr>
      <w:rFonts w:eastAsia="宋体"/>
      <w:sz w:val="24"/>
      <w:szCs w:val="24"/>
    </w:rPr>
  </w:style>
  <w:style w:type="paragraph" w:customStyle="1" w:styleId="affffff5">
    <w:name w:val="文字"/>
    <w:basedOn w:val="a2"/>
    <w:link w:val="CharCharff2"/>
    <w:qFormat/>
    <w:pPr>
      <w:spacing w:line="360" w:lineRule="auto"/>
      <w:ind w:firstLineChars="200" w:firstLine="200"/>
    </w:pPr>
    <w:rPr>
      <w:rFonts w:eastAsia="宋体"/>
      <w:sz w:val="24"/>
      <w:szCs w:val="24"/>
    </w:rPr>
  </w:style>
  <w:style w:type="character" w:customStyle="1" w:styleId="1CharChar3">
    <w:name w:val="表头1 Char Char"/>
    <w:link w:val="1f8"/>
    <w:rPr>
      <w:b/>
      <w:color w:val="000000"/>
      <w:sz w:val="24"/>
    </w:rPr>
  </w:style>
  <w:style w:type="paragraph" w:customStyle="1" w:styleId="1f8">
    <w:name w:val="表头1"/>
    <w:basedOn w:val="af8"/>
    <w:link w:val="1CharChar3"/>
    <w:qFormat/>
    <w:pPr>
      <w:spacing w:beforeLines="50" w:before="156"/>
      <w:jc w:val="center"/>
      <w:textAlignment w:val="baseline"/>
    </w:pPr>
    <w:rPr>
      <w:rFonts w:asciiTheme="minorHAnsi" w:eastAsiaTheme="minorEastAsia" w:hAnsiTheme="minorHAnsi"/>
      <w:b/>
      <w:color w:val="000000"/>
      <w:kern w:val="2"/>
      <w:szCs w:val="22"/>
    </w:rPr>
  </w:style>
  <w:style w:type="character" w:customStyle="1" w:styleId="2CharCharCharCharCharChar">
    <w:name w:val="正文文本 2 Char Char Char Char Char Char"/>
    <w:rPr>
      <w:rFonts w:eastAsia="仿宋_GB2312"/>
      <w:kern w:val="2"/>
      <w:sz w:val="21"/>
      <w:szCs w:val="24"/>
      <w:lang w:val="en-US" w:eastAsia="zh-CN" w:bidi="ar-SA"/>
    </w:rPr>
  </w:style>
  <w:style w:type="character" w:customStyle="1" w:styleId="CharCharChar1">
    <w:name w:val="环评正文 Char Char Char"/>
    <w:rPr>
      <w:rFonts w:eastAsia="宋体"/>
      <w:snapToGrid w:val="0"/>
      <w:color w:val="000000"/>
      <w:kern w:val="21"/>
      <w:sz w:val="24"/>
      <w:szCs w:val="24"/>
      <w:lang w:val="en-US" w:eastAsia="zh-CN" w:bidi="ar-SA"/>
    </w:rPr>
  </w:style>
  <w:style w:type="character" w:customStyle="1" w:styleId="textonly">
    <w:name w:val="textonly"/>
    <w:basedOn w:val="a4"/>
  </w:style>
  <w:style w:type="character" w:customStyle="1" w:styleId="Char44">
    <w:name w:val="纯文本 Char4"/>
    <w:uiPriority w:val="99"/>
    <w:semiHidden/>
    <w:rPr>
      <w:rFonts w:ascii="宋体" w:eastAsia="宋体" w:hAnsi="Courier New" w:cs="Courier New"/>
      <w:szCs w:val="21"/>
    </w:rPr>
  </w:style>
  <w:style w:type="character" w:customStyle="1" w:styleId="4CharChar0">
    <w:name w:val="小4正文 Char Char"/>
    <w:link w:val="4a"/>
    <w:rPr>
      <w:rFonts w:ascii="宋体" w:hAnsi="宋体"/>
      <w:color w:val="000000"/>
      <w:sz w:val="24"/>
      <w:szCs w:val="24"/>
    </w:rPr>
  </w:style>
  <w:style w:type="paragraph" w:customStyle="1" w:styleId="4a">
    <w:name w:val="小4正文"/>
    <w:basedOn w:val="a2"/>
    <w:link w:val="4CharChar0"/>
    <w:qFormat/>
    <w:pPr>
      <w:spacing w:line="360" w:lineRule="auto"/>
      <w:ind w:firstLineChars="200" w:firstLine="480"/>
    </w:pPr>
    <w:rPr>
      <w:rFonts w:ascii="宋体" w:hAnsi="宋体"/>
      <w:color w:val="000000"/>
      <w:sz w:val="24"/>
      <w:szCs w:val="24"/>
    </w:rPr>
  </w:style>
  <w:style w:type="character" w:customStyle="1" w:styleId="Char35">
    <w:name w:val="脚注文本 Char3"/>
    <w:uiPriority w:val="99"/>
    <w:semiHidden/>
    <w:rPr>
      <w:sz w:val="18"/>
      <w:szCs w:val="18"/>
    </w:rPr>
  </w:style>
  <w:style w:type="character" w:customStyle="1" w:styleId="m01">
    <w:name w:val="m_01"/>
  </w:style>
  <w:style w:type="character" w:customStyle="1" w:styleId="head121">
    <w:name w:val="head121"/>
    <w:rPr>
      <w:sz w:val="22"/>
    </w:rPr>
  </w:style>
  <w:style w:type="character" w:customStyle="1" w:styleId="1f9">
    <w:name w:val="批注主题 字符1"/>
    <w:rPr>
      <w:b/>
      <w:bCs/>
      <w:kern w:val="2"/>
      <w:sz w:val="21"/>
      <w:szCs w:val="24"/>
    </w:rPr>
  </w:style>
  <w:style w:type="character" w:customStyle="1" w:styleId="HTMLChar4">
    <w:name w:val="HTML 预设格式 Char4"/>
    <w:uiPriority w:val="99"/>
    <w:semiHidden/>
    <w:rPr>
      <w:rFonts w:ascii="Courier New" w:hAnsi="Courier New" w:cs="Courier New"/>
      <w:sz w:val="20"/>
      <w:szCs w:val="20"/>
    </w:rPr>
  </w:style>
  <w:style w:type="character" w:customStyle="1" w:styleId="HeaderChar">
    <w:name w:val="Header Char"/>
    <w:locked/>
    <w:rPr>
      <w:rFonts w:eastAsia="宋体"/>
      <w:sz w:val="18"/>
      <w:szCs w:val="18"/>
      <w:lang w:bidi="ar-SA"/>
    </w:rPr>
  </w:style>
  <w:style w:type="character" w:customStyle="1" w:styleId="Charf5">
    <w:name w:val="信息标题 Char"/>
    <w:link w:val="aff5"/>
    <w:rPr>
      <w:rFonts w:ascii="Arial" w:hAnsi="Arial"/>
      <w:sz w:val="24"/>
      <w:szCs w:val="24"/>
      <w:shd w:val="pct20" w:color="auto" w:fill="auto"/>
    </w:rPr>
  </w:style>
  <w:style w:type="character" w:customStyle="1" w:styleId="jj1">
    <w:name w:val="jj1"/>
    <w:rPr>
      <w:u w:val="none"/>
    </w:rPr>
  </w:style>
  <w:style w:type="character" w:customStyle="1" w:styleId="text1">
    <w:name w:val="text1"/>
    <w:rPr>
      <w:color w:val="257198"/>
      <w:sz w:val="20"/>
      <w:szCs w:val="20"/>
    </w:rPr>
  </w:style>
  <w:style w:type="character" w:customStyle="1" w:styleId="headline-content2">
    <w:name w:val="headline-content2"/>
  </w:style>
  <w:style w:type="character" w:customStyle="1" w:styleId="Charfff9">
    <w:name w:val="章 Char"/>
    <w:rPr>
      <w:b/>
      <w:kern w:val="44"/>
      <w:sz w:val="44"/>
    </w:rPr>
  </w:style>
  <w:style w:type="character" w:customStyle="1" w:styleId="4-25Char">
    <w:name w:val="4-25正 Char"/>
    <w:rPr>
      <w:rFonts w:ascii="Times New Roman" w:hAnsi="Times New Roman"/>
      <w:sz w:val="24"/>
    </w:rPr>
  </w:style>
  <w:style w:type="character" w:customStyle="1" w:styleId="a41">
    <w:name w:val="a41"/>
    <w:rPr>
      <w:sz w:val="21"/>
    </w:rPr>
  </w:style>
  <w:style w:type="character" w:customStyle="1" w:styleId="EmailStyle1371">
    <w:name w:val="EmailStyle1371"/>
    <w:qFormat/>
    <w:rPr>
      <w:rFonts w:ascii="Arial" w:eastAsia="宋体" w:hAnsi="Arial" w:cs="Arial"/>
      <w:color w:val="000080"/>
      <w:sz w:val="18"/>
      <w:szCs w:val="20"/>
    </w:rPr>
  </w:style>
  <w:style w:type="character" w:customStyle="1" w:styleId="CharChar142">
    <w:name w:val="Char Char142"/>
    <w:qFormat/>
    <w:rPr>
      <w:rFonts w:eastAsia="宋体"/>
      <w:kern w:val="2"/>
      <w:sz w:val="21"/>
      <w:szCs w:val="24"/>
      <w:lang w:val="en-US" w:eastAsia="zh-CN" w:bidi="ar-SA"/>
    </w:rPr>
  </w:style>
  <w:style w:type="character" w:customStyle="1" w:styleId="emailstyle402">
    <w:name w:val="emailstyle402"/>
    <w:rPr>
      <w:rFonts w:ascii="Arial" w:eastAsia="宋体" w:hAnsi="Arial" w:cs="Arial" w:hint="default"/>
      <w:color w:val="000080"/>
      <w:sz w:val="18"/>
      <w:szCs w:val="20"/>
    </w:rPr>
  </w:style>
  <w:style w:type="character" w:customStyle="1" w:styleId="CharCharff3">
    <w:name w:val="表题 Char Char"/>
    <w:rPr>
      <w:rFonts w:eastAsia="宋体"/>
      <w:b/>
      <w:snapToGrid w:val="0"/>
      <w:sz w:val="21"/>
      <w:lang w:val="en-US" w:eastAsia="zh-CN" w:bidi="ar-SA"/>
    </w:rPr>
  </w:style>
  <w:style w:type="character" w:customStyle="1" w:styleId="CharChar116">
    <w:name w:val="Char Char116"/>
    <w:rPr>
      <w:rFonts w:ascii="仿宋_GB2312" w:eastAsia="仿宋_GB2312"/>
      <w:b/>
      <w:kern w:val="44"/>
      <w:sz w:val="44"/>
      <w:lang w:val="en-US" w:eastAsia="zh-CN"/>
    </w:rPr>
  </w:style>
  <w:style w:type="character" w:customStyle="1" w:styleId="Charfffa">
    <w:name w:val="沁漠表头 Char"/>
    <w:link w:val="affffff6"/>
    <w:rPr>
      <w:rFonts w:hAnsi="宋体"/>
      <w:b/>
      <w:bCs/>
      <w:sz w:val="24"/>
      <w:szCs w:val="24"/>
    </w:rPr>
  </w:style>
  <w:style w:type="paragraph" w:customStyle="1" w:styleId="affffff6">
    <w:name w:val="沁漠表头"/>
    <w:basedOn w:val="a2"/>
    <w:link w:val="Charfffa"/>
    <w:qFormat/>
    <w:pPr>
      <w:snapToGrid w:val="0"/>
      <w:spacing w:beforeLines="50" w:before="120" w:line="240" w:lineRule="atLeast"/>
      <w:jc w:val="center"/>
    </w:pPr>
    <w:rPr>
      <w:rFonts w:hAnsi="宋体"/>
      <w:b/>
      <w:bCs/>
      <w:sz w:val="24"/>
      <w:szCs w:val="24"/>
    </w:rPr>
  </w:style>
  <w:style w:type="character" w:customStyle="1" w:styleId="Charfffb">
    <w:name w:val="无间隔 Char"/>
    <w:uiPriority w:val="1"/>
    <w:rPr>
      <w:rFonts w:ascii="Calibri" w:eastAsia="宋体" w:hAnsi="Calibri"/>
      <w:sz w:val="22"/>
      <w:szCs w:val="22"/>
      <w:lang w:val="en-US" w:eastAsia="zh-CN" w:bidi="ar-SA"/>
    </w:rPr>
  </w:style>
  <w:style w:type="character" w:customStyle="1" w:styleId="CharCharCharCharCharChar1">
    <w:name w:val="环评正文 Char Char Char Char Char Char"/>
    <w:link w:val="affffff7"/>
    <w:rPr>
      <w:rFonts w:ascii="仿宋_GB2312" w:eastAsia="仿宋_GB2312"/>
      <w:sz w:val="28"/>
    </w:rPr>
  </w:style>
  <w:style w:type="paragraph" w:customStyle="1" w:styleId="affffff7">
    <w:name w:val="环评正文"/>
    <w:basedOn w:val="af9"/>
    <w:link w:val="CharCharCharCharCharChar1"/>
    <w:qFormat/>
    <w:pPr>
      <w:spacing w:line="500" w:lineRule="exact"/>
      <w:ind w:leftChars="0" w:left="0" w:firstLineChars="200" w:firstLine="560"/>
      <w:jc w:val="both"/>
    </w:pPr>
    <w:rPr>
      <w:rFonts w:ascii="仿宋_GB2312" w:eastAsia="仿宋_GB2312"/>
      <w:szCs w:val="22"/>
    </w:rPr>
  </w:style>
  <w:style w:type="character" w:customStyle="1" w:styleId="Char2b">
    <w:name w:val="尾注文本 Char2"/>
    <w:uiPriority w:val="99"/>
    <w:semiHidden/>
    <w:rPr>
      <w:kern w:val="2"/>
      <w:sz w:val="21"/>
      <w:szCs w:val="22"/>
    </w:rPr>
  </w:style>
  <w:style w:type="character" w:customStyle="1" w:styleId="Heading2Char">
    <w:name w:val="Heading 2 Char"/>
    <w:locked/>
    <w:rPr>
      <w:rFonts w:ascii="宋体" w:eastAsia="宋体" w:hAnsi="Arial"/>
      <w:b/>
      <w:color w:val="000000"/>
      <w:kern w:val="44"/>
      <w:sz w:val="28"/>
      <w:szCs w:val="24"/>
      <w:lang w:val="en-US" w:eastAsia="zh-CN" w:bidi="ar-SA"/>
    </w:rPr>
  </w:style>
  <w:style w:type="character" w:customStyle="1" w:styleId="-2pt2">
    <w:name w:val="正文文本 + 间距 -2 pt2"/>
    <w:rPr>
      <w:rFonts w:ascii="Arial Unicode MS" w:eastAsia="Arial Unicode MS" w:cs="Arial Unicode MS"/>
      <w:spacing w:val="-50"/>
      <w:sz w:val="27"/>
      <w:szCs w:val="27"/>
      <w:u w:val="none"/>
    </w:rPr>
  </w:style>
  <w:style w:type="character" w:customStyle="1" w:styleId="GB2312093CharChar">
    <w:name w:val="样式 正文文字 + 楷体_GB2312 四号 首行缩进:  0.93 厘米 Char Char"/>
    <w:rPr>
      <w:rFonts w:eastAsia="楷体_GB2312"/>
      <w:spacing w:val="-4"/>
      <w:kern w:val="2"/>
      <w:sz w:val="28"/>
      <w:szCs w:val="28"/>
      <w:lang w:val="en-US" w:eastAsia="zh-CN" w:bidi="ar-SA"/>
    </w:rPr>
  </w:style>
  <w:style w:type="character" w:customStyle="1" w:styleId="un14b1">
    <w:name w:val="un14b1"/>
    <w:rPr>
      <w:color w:val="000000"/>
      <w:sz w:val="21"/>
      <w:szCs w:val="21"/>
      <w:u w:val="none"/>
    </w:rPr>
  </w:style>
  <w:style w:type="character" w:customStyle="1" w:styleId="3f0">
    <w:name w:val="标题3"/>
  </w:style>
  <w:style w:type="character" w:customStyle="1" w:styleId="CharCharf1">
    <w:name w:val="表格 Char Char"/>
    <w:link w:val="affffd"/>
    <w:rPr>
      <w:rFonts w:ascii="宋体" w:hAnsi="宋体"/>
      <w:szCs w:val="24"/>
    </w:rPr>
  </w:style>
  <w:style w:type="character" w:customStyle="1" w:styleId="Charfffc">
    <w:name w:val="样式 正文（首行缩进两字） + (符号) 宋体 Char"/>
    <w:rPr>
      <w:rFonts w:ascii="宋体" w:eastAsia="宋体"/>
      <w:kern w:val="2"/>
      <w:sz w:val="24"/>
      <w:szCs w:val="24"/>
      <w:lang w:val="en-US" w:eastAsia="zh-CN" w:bidi="ar-SA"/>
    </w:rPr>
  </w:style>
  <w:style w:type="character" w:customStyle="1" w:styleId="2Char10">
    <w:name w:val="正文文本缩进 2 Char1"/>
    <w:locked/>
    <w:rPr>
      <w:kern w:val="2"/>
      <w:sz w:val="24"/>
    </w:rPr>
  </w:style>
  <w:style w:type="character" w:customStyle="1" w:styleId="font51">
    <w:name w:val="font51"/>
    <w:rPr>
      <w:rFonts w:ascii="宋体" w:eastAsia="宋体" w:hAnsi="宋体" w:hint="eastAsia"/>
      <w:color w:val="000000"/>
      <w:sz w:val="21"/>
      <w:szCs w:val="21"/>
    </w:rPr>
  </w:style>
  <w:style w:type="character" w:customStyle="1" w:styleId="Char2c">
    <w:name w:val="宏文本 Char2"/>
    <w:uiPriority w:val="99"/>
    <w:semiHidden/>
    <w:rPr>
      <w:rFonts w:ascii="Courier New" w:hAnsi="Courier New" w:cs="Courier New"/>
      <w:kern w:val="2"/>
      <w:sz w:val="24"/>
      <w:szCs w:val="24"/>
    </w:rPr>
  </w:style>
  <w:style w:type="character" w:customStyle="1" w:styleId="Charfffd">
    <w:name w:val="表格文字 Char"/>
    <w:rPr>
      <w:rFonts w:ascii="Times New Roman" w:eastAsia="宋体" w:hAnsi="Times New Roman" w:cs="Times New Roman"/>
      <w:sz w:val="24"/>
      <w:szCs w:val="20"/>
    </w:rPr>
  </w:style>
  <w:style w:type="character" w:customStyle="1" w:styleId="2Chara">
    <w:name w:val="标题样式2 Char"/>
    <w:rPr>
      <w:rFonts w:ascii="黑体" w:eastAsia="黑体" w:hAnsi="Arial"/>
      <w:b/>
      <w:bCs/>
      <w:kern w:val="2"/>
      <w:sz w:val="28"/>
      <w:szCs w:val="28"/>
      <w:lang w:val="en-US" w:eastAsia="zh-CN" w:bidi="ar-SA"/>
    </w:rPr>
  </w:style>
  <w:style w:type="character" w:customStyle="1" w:styleId="CharCharff4">
    <w:name w:val="样式 表格 + 黑色 Char Char"/>
    <w:link w:val="affffff8"/>
    <w:rPr>
      <w:rFonts w:ascii="宋体" w:hAnsi="宋体"/>
      <w:color w:val="000000"/>
      <w:spacing w:val="-4"/>
      <w:szCs w:val="21"/>
    </w:rPr>
  </w:style>
  <w:style w:type="paragraph" w:customStyle="1" w:styleId="affffff8">
    <w:name w:val="样式 表格 + 黑色"/>
    <w:basedOn w:val="affffd"/>
    <w:link w:val="CharCharff4"/>
    <w:qFormat/>
    <w:pPr>
      <w:widowControl w:val="0"/>
      <w:spacing w:line="240" w:lineRule="auto"/>
      <w:textAlignment w:val="auto"/>
    </w:pPr>
    <w:rPr>
      <w:color w:val="000000"/>
      <w:spacing w:val="-4"/>
      <w:szCs w:val="21"/>
    </w:rPr>
  </w:style>
  <w:style w:type="character" w:customStyle="1" w:styleId="Char2d">
    <w:name w:val="正文文本缩进 Char2"/>
    <w:uiPriority w:val="99"/>
    <w:semiHidden/>
  </w:style>
  <w:style w:type="character" w:customStyle="1" w:styleId="zhengChar">
    <w:name w:val="zheng Char"/>
    <w:link w:val="zheng"/>
    <w:rPr>
      <w:sz w:val="24"/>
      <w:szCs w:val="24"/>
    </w:rPr>
  </w:style>
  <w:style w:type="paragraph" w:customStyle="1" w:styleId="zheng">
    <w:name w:val="zheng"/>
    <w:basedOn w:val="a2"/>
    <w:link w:val="zhengChar"/>
    <w:qFormat/>
    <w:pPr>
      <w:spacing w:line="440" w:lineRule="exact"/>
      <w:ind w:firstLineChars="200" w:firstLine="480"/>
      <w:jc w:val="both"/>
    </w:pPr>
    <w:rPr>
      <w:sz w:val="24"/>
      <w:szCs w:val="24"/>
    </w:rPr>
  </w:style>
  <w:style w:type="character" w:customStyle="1" w:styleId="6CharChar1">
    <w:name w:val="项目6 Char Char"/>
    <w:link w:val="66"/>
    <w:qFormat/>
    <w:rPr>
      <w:color w:val="000000"/>
      <w:sz w:val="24"/>
      <w:szCs w:val="24"/>
    </w:rPr>
  </w:style>
  <w:style w:type="paragraph" w:customStyle="1" w:styleId="66">
    <w:name w:val="项目6"/>
    <w:basedOn w:val="a2"/>
    <w:link w:val="6CharChar1"/>
    <w:qFormat/>
    <w:pPr>
      <w:spacing w:line="360" w:lineRule="auto"/>
      <w:ind w:firstLineChars="200" w:firstLine="480"/>
      <w:jc w:val="both"/>
    </w:pPr>
    <w:rPr>
      <w:color w:val="000000"/>
      <w:sz w:val="24"/>
      <w:szCs w:val="24"/>
    </w:rPr>
  </w:style>
  <w:style w:type="character" w:customStyle="1" w:styleId="CharCharChar13">
    <w:name w:val="Char Char Char13"/>
    <w:qFormat/>
  </w:style>
  <w:style w:type="character" w:customStyle="1" w:styleId="Charfffe">
    <w:name w:val="样式 表格 + 黑色 Char"/>
    <w:qFormat/>
    <w:rPr>
      <w:rFonts w:ascii="宋体" w:eastAsia="宋体" w:hAnsi="宋体"/>
      <w:snapToGrid w:val="0"/>
      <w:color w:val="000000"/>
      <w:spacing w:val="-4"/>
      <w:kern w:val="44"/>
      <w:sz w:val="21"/>
      <w:szCs w:val="21"/>
      <w:lang w:val="en-US" w:eastAsia="zh-CN" w:bidi="ar-SA"/>
    </w:rPr>
  </w:style>
  <w:style w:type="character" w:customStyle="1" w:styleId="Char36">
    <w:name w:val="纯文本 Char3"/>
    <w:uiPriority w:val="99"/>
    <w:semiHidden/>
    <w:rPr>
      <w:rFonts w:ascii="宋体" w:hAnsi="Courier New" w:cs="Courier New"/>
      <w:kern w:val="2"/>
      <w:sz w:val="21"/>
      <w:szCs w:val="21"/>
    </w:rPr>
  </w:style>
  <w:style w:type="character" w:customStyle="1" w:styleId="style91">
    <w:name w:val="style91"/>
    <w:rPr>
      <w:color w:val="000000"/>
      <w:sz w:val="14"/>
      <w:szCs w:val="14"/>
      <w:u w:val="none"/>
    </w:rPr>
  </w:style>
  <w:style w:type="character" w:customStyle="1" w:styleId="CharGB2312CharChar">
    <w:name w:val="样式 样式 正文文本缩进特点标题正文文本缩进 Char + 黑色 + (西文) 楷体_GB2312 Char Char"/>
    <w:link w:val="CharGB2312"/>
    <w:rPr>
      <w:rFonts w:ascii="楷体_GB2312" w:hAnsi="楷体_GB2312"/>
      <w:b/>
      <w:color w:val="000000"/>
      <w:szCs w:val="21"/>
    </w:rPr>
  </w:style>
  <w:style w:type="paragraph" w:customStyle="1" w:styleId="CharGB2312">
    <w:name w:val="样式 样式 正文文本缩进特点标题正文文本缩进 Char + 黑色 + (西文) 楷体_GB2312"/>
    <w:basedOn w:val="a2"/>
    <w:link w:val="CharGB2312CharChar"/>
    <w:qFormat/>
    <w:pPr>
      <w:spacing w:line="360" w:lineRule="exact"/>
      <w:jc w:val="center"/>
    </w:pPr>
    <w:rPr>
      <w:rFonts w:ascii="楷体_GB2312" w:hAnsi="楷体_GB2312"/>
      <w:b/>
      <w:color w:val="000000"/>
    </w:rPr>
  </w:style>
  <w:style w:type="character" w:customStyle="1" w:styleId="Batang110">
    <w:name w:val="正文文本 + Batang110"/>
    <w:rPr>
      <w:rFonts w:ascii="Batang" w:eastAsia="Batang" w:cs="Batang"/>
      <w:spacing w:val="20"/>
      <w:sz w:val="26"/>
      <w:szCs w:val="26"/>
      <w:u w:val="none"/>
      <w:lang w:val="en-US" w:eastAsia="en-US"/>
    </w:rPr>
  </w:style>
  <w:style w:type="character" w:customStyle="1" w:styleId="Char45">
    <w:name w:val="批注文字 Char4"/>
    <w:uiPriority w:val="99"/>
    <w:semiHidden/>
  </w:style>
  <w:style w:type="character" w:customStyle="1" w:styleId="CharChar13">
    <w:name w:val="Char Char13"/>
    <w:link w:val="Char80"/>
    <w:rPr>
      <w:rFonts w:eastAsia="宋体"/>
      <w:sz w:val="18"/>
    </w:rPr>
  </w:style>
  <w:style w:type="paragraph" w:customStyle="1" w:styleId="Char80">
    <w:name w:val="Char8"/>
    <w:basedOn w:val="a2"/>
    <w:link w:val="CharChar13"/>
    <w:qFormat/>
    <w:rPr>
      <w:rFonts w:eastAsia="宋体"/>
      <w:sz w:val="18"/>
      <w:szCs w:val="22"/>
    </w:rPr>
  </w:style>
  <w:style w:type="character" w:customStyle="1" w:styleId="-02-021CharChar">
    <w:name w:val="样式 表 + 左侧:  -0.2 字符 右侧:  -0.2 字符1 Char Char"/>
    <w:link w:val="-02-021"/>
    <w:rPr>
      <w:rFonts w:ascii="Arial" w:eastAsia="仿宋_GB2312" w:hAnsi="Arial" w:cs="宋体"/>
      <w:szCs w:val="21"/>
    </w:rPr>
  </w:style>
  <w:style w:type="paragraph" w:customStyle="1" w:styleId="-02-021">
    <w:name w:val="样式 表 + 左侧:  -0.2 字符 右侧:  -0.2 字符1"/>
    <w:basedOn w:val="9"/>
    <w:link w:val="-02-021CharChar"/>
    <w:qFormat/>
    <w:pPr>
      <w:keepNext w:val="0"/>
      <w:keepLines w:val="0"/>
      <w:tabs>
        <w:tab w:val="clear" w:pos="165"/>
      </w:tabs>
      <w:spacing w:before="0" w:after="0" w:line="240" w:lineRule="auto"/>
      <w:ind w:leftChars="-20" w:left="-20" w:rightChars="-20" w:right="-20" w:firstLine="19"/>
      <w:jc w:val="center"/>
      <w:textAlignment w:val="baseline"/>
      <w:outlineLvl w:val="9"/>
    </w:pPr>
    <w:rPr>
      <w:rFonts w:eastAsia="仿宋_GB2312" w:cs="宋体"/>
    </w:rPr>
  </w:style>
  <w:style w:type="character" w:customStyle="1" w:styleId="header11">
    <w:name w:val="header11"/>
    <w:rPr>
      <w:rFonts w:ascii="Verdana" w:hAnsi="Verdana"/>
      <w:b/>
      <w:bCs/>
      <w:color w:val="000000"/>
      <w:sz w:val="24"/>
      <w:szCs w:val="24"/>
    </w:rPr>
  </w:style>
  <w:style w:type="character" w:customStyle="1" w:styleId="-02-021CharChar0">
    <w:name w:val="样式 样式 表 + 左侧:  -0.2 字符 右侧:  -0.2 字符1 + 宋体 Char Char"/>
    <w:basedOn w:val="-02-021CharChar"/>
    <w:link w:val="-02-0210"/>
    <w:rPr>
      <w:rFonts w:ascii="Arial" w:eastAsia="仿宋_GB2312" w:hAnsi="Arial" w:cs="宋体"/>
      <w:szCs w:val="21"/>
    </w:rPr>
  </w:style>
  <w:style w:type="paragraph" w:customStyle="1" w:styleId="-02-0210">
    <w:name w:val="样式 样式 表 + 左侧:  -0.2 字符 右侧:  -0.2 字符1 + 宋体"/>
    <w:basedOn w:val="-02-021"/>
    <w:link w:val="-02-021CharChar0"/>
    <w:qFormat/>
  </w:style>
  <w:style w:type="character" w:customStyle="1" w:styleId="CharCharff5">
    <w:name w:val="表格五号 Char Char"/>
    <w:link w:val="affffff9"/>
    <w:rPr>
      <w:rFonts w:ascii="宋体" w:hAnsi="宋体"/>
      <w:szCs w:val="21"/>
    </w:rPr>
  </w:style>
  <w:style w:type="paragraph" w:customStyle="1" w:styleId="affffff9">
    <w:name w:val="表格五号"/>
    <w:basedOn w:val="a2"/>
    <w:link w:val="CharCharff5"/>
    <w:qFormat/>
    <w:pPr>
      <w:snapToGrid w:val="0"/>
      <w:jc w:val="center"/>
    </w:pPr>
    <w:rPr>
      <w:rFonts w:ascii="宋体" w:hAnsi="宋体"/>
    </w:rPr>
  </w:style>
  <w:style w:type="character" w:customStyle="1" w:styleId="2f2">
    <w:name w:val="访问过的超链接2"/>
    <w:rPr>
      <w:rFonts w:hint="default"/>
      <w:color w:val="800080"/>
      <w:u w:val="single"/>
    </w:rPr>
  </w:style>
  <w:style w:type="character" w:customStyle="1" w:styleId="bz-content1">
    <w:name w:val="bz-content1"/>
    <w:rPr>
      <w:sz w:val="20"/>
      <w:szCs w:val="20"/>
      <w:u w:val="none"/>
    </w:rPr>
  </w:style>
  <w:style w:type="character" w:customStyle="1" w:styleId="Charffff">
    <w:name w:val="表的标题 Char"/>
    <w:link w:val="affffffa"/>
    <w:rPr>
      <w:b/>
      <w:sz w:val="24"/>
      <w:szCs w:val="24"/>
    </w:rPr>
  </w:style>
  <w:style w:type="paragraph" w:customStyle="1" w:styleId="affffffa">
    <w:name w:val="表的标题"/>
    <w:basedOn w:val="a2"/>
    <w:link w:val="Charffff"/>
    <w:pPr>
      <w:autoSpaceDE/>
      <w:autoSpaceDN/>
      <w:adjustRightInd/>
      <w:spacing w:beforeLines="50" w:line="360" w:lineRule="auto"/>
      <w:ind w:firstLineChars="147" w:firstLine="354"/>
      <w:jc w:val="center"/>
    </w:pPr>
    <w:rPr>
      <w:b/>
      <w:sz w:val="24"/>
      <w:szCs w:val="24"/>
    </w:rPr>
  </w:style>
  <w:style w:type="character" w:customStyle="1" w:styleId="1fa">
    <w:name w:val="不明显参考1"/>
    <w:qFormat/>
    <w:rPr>
      <w:sz w:val="24"/>
      <w:szCs w:val="24"/>
      <w:u w:val="single"/>
    </w:rPr>
  </w:style>
  <w:style w:type="character" w:customStyle="1" w:styleId="5Char3">
    <w:name w:val="标5 Char"/>
    <w:link w:val="59"/>
    <w:rPr>
      <w:rFonts w:eastAsia="黑体"/>
      <w:b/>
      <w:bCs/>
      <w:sz w:val="28"/>
      <w:szCs w:val="24"/>
    </w:rPr>
  </w:style>
  <w:style w:type="paragraph" w:customStyle="1" w:styleId="59">
    <w:name w:val="标5"/>
    <w:basedOn w:val="41"/>
    <w:link w:val="5Char3"/>
    <w:qFormat/>
    <w:pPr>
      <w:tabs>
        <w:tab w:val="left" w:pos="360"/>
      </w:tabs>
      <w:snapToGrid w:val="0"/>
      <w:spacing w:beforeLines="0" w:before="240" w:after="120"/>
      <w:ind w:leftChars="0" w:left="360" w:rightChars="0" w:right="0" w:hangingChars="200" w:hanging="360"/>
      <w:jc w:val="both"/>
      <w:outlineLvl w:val="9"/>
    </w:pPr>
    <w:rPr>
      <w:rFonts w:asciiTheme="minorHAnsi"/>
      <w:b/>
      <w:szCs w:val="24"/>
    </w:rPr>
  </w:style>
  <w:style w:type="character" w:customStyle="1" w:styleId="4Char1">
    <w:name w:val="黄桥标题4 Char"/>
  </w:style>
  <w:style w:type="character" w:customStyle="1" w:styleId="CharCharff6">
    <w:name w:val="插图标题 Char Char"/>
    <w:link w:val="affffffb"/>
    <w:rPr>
      <w:rFonts w:eastAsia="黑体"/>
      <w:color w:val="0000FF"/>
      <w:spacing w:val="8"/>
      <w:sz w:val="24"/>
    </w:rPr>
  </w:style>
  <w:style w:type="paragraph" w:customStyle="1" w:styleId="affffffb">
    <w:name w:val="插图标题"/>
    <w:basedOn w:val="a2"/>
    <w:link w:val="CharCharff6"/>
    <w:qFormat/>
    <w:pPr>
      <w:spacing w:before="120" w:line="400" w:lineRule="exact"/>
      <w:jc w:val="center"/>
      <w:textAlignment w:val="baseline"/>
    </w:pPr>
    <w:rPr>
      <w:rFonts w:eastAsia="黑体"/>
      <w:color w:val="0000FF"/>
      <w:spacing w:val="8"/>
      <w:sz w:val="24"/>
      <w:szCs w:val="22"/>
    </w:rPr>
  </w:style>
  <w:style w:type="character" w:customStyle="1" w:styleId="small14">
    <w:name w:val="small14"/>
  </w:style>
  <w:style w:type="character" w:customStyle="1" w:styleId="Charffff0">
    <w:name w:val="条名 Char"/>
    <w:rPr>
      <w:rFonts w:ascii="Arial" w:hAnsi="Arial"/>
      <w:bCs/>
      <w:color w:val="000000"/>
      <w:sz w:val="28"/>
      <w:szCs w:val="32"/>
    </w:rPr>
  </w:style>
  <w:style w:type="character" w:customStyle="1" w:styleId="hs1">
    <w:name w:val="hs1"/>
    <w:rPr>
      <w:rFonts w:eastAsia="宋体"/>
      <w:color w:val="000000"/>
      <w:kern w:val="2"/>
      <w:sz w:val="18"/>
      <w:szCs w:val="18"/>
      <w:u w:val="none"/>
      <w:lang w:val="en-US" w:eastAsia="zh-CN" w:bidi="ar-SA"/>
    </w:rPr>
  </w:style>
  <w:style w:type="character" w:customStyle="1" w:styleId="Charffff1">
    <w:name w:val="小四表文 Char"/>
    <w:link w:val="affffffc"/>
    <w:rPr>
      <w:snapToGrid w:val="0"/>
      <w:sz w:val="24"/>
      <w:szCs w:val="24"/>
    </w:rPr>
  </w:style>
  <w:style w:type="paragraph" w:customStyle="1" w:styleId="affffffc">
    <w:name w:val="小四表文"/>
    <w:link w:val="Charffff1"/>
    <w:qFormat/>
    <w:pPr>
      <w:adjustRightInd w:val="0"/>
      <w:snapToGrid w:val="0"/>
      <w:jc w:val="center"/>
    </w:pPr>
    <w:rPr>
      <w:snapToGrid w:val="0"/>
      <w:kern w:val="2"/>
      <w:sz w:val="24"/>
      <w:szCs w:val="24"/>
    </w:rPr>
  </w:style>
  <w:style w:type="character" w:customStyle="1" w:styleId="1fb">
    <w:name w:val="要点1"/>
    <w:qFormat/>
    <w:rPr>
      <w:b/>
    </w:rPr>
  </w:style>
  <w:style w:type="character" w:customStyle="1" w:styleId="bold1">
    <w:name w:val="bold1"/>
    <w:qFormat/>
    <w:rPr>
      <w:rFonts w:ascii="Tahoma" w:hAnsi="Tahoma" w:cs="Tahoma" w:hint="default"/>
      <w:b/>
      <w:bCs/>
      <w:sz w:val="18"/>
      <w:szCs w:val="18"/>
      <w:bdr w:val="single" w:sz="6" w:space="0" w:color="BBE9FF"/>
      <w:shd w:val="clear" w:color="auto" w:fill="FFFFFF"/>
    </w:rPr>
  </w:style>
  <w:style w:type="character" w:customStyle="1" w:styleId="14fz1">
    <w:name w:val="14fz1"/>
    <w:rPr>
      <w:rFonts w:hint="default"/>
      <w:color w:val="000000"/>
      <w:sz w:val="32"/>
      <w:szCs w:val="32"/>
    </w:rPr>
  </w:style>
  <w:style w:type="character" w:customStyle="1" w:styleId="136Char">
    <w:name w:val="样式136 Char"/>
    <w:rPr>
      <w:rFonts w:ascii="宋体" w:eastAsia="宋体" w:hAnsi="宋体" w:cs="Times New Roman"/>
      <w:snapToGrid w:val="0"/>
      <w:color w:val="FF0000"/>
      <w:kern w:val="0"/>
      <w:sz w:val="24"/>
      <w:szCs w:val="24"/>
    </w:rPr>
  </w:style>
  <w:style w:type="character" w:customStyle="1" w:styleId="1fc">
    <w:name w:val="纯文本 字符1"/>
    <w:uiPriority w:val="99"/>
    <w:semiHidden/>
    <w:qFormat/>
    <w:rPr>
      <w:rFonts w:ascii="宋体" w:hAnsi="Courier New" w:cs="Courier New"/>
      <w:kern w:val="2"/>
      <w:sz w:val="21"/>
      <w:szCs w:val="21"/>
    </w:rPr>
  </w:style>
  <w:style w:type="character" w:customStyle="1" w:styleId="Charffff2">
    <w:name w:val="周正 Char"/>
    <w:qFormat/>
    <w:rPr>
      <w:rFonts w:ascii="Tahoma" w:eastAsia="Tahoma" w:hAnsi="Tahoma"/>
      <w:kern w:val="2"/>
      <w:sz w:val="21"/>
      <w:lang w:val="en-US"/>
    </w:rPr>
  </w:style>
  <w:style w:type="character" w:customStyle="1" w:styleId="nikey1">
    <w:name w:val="nikey1"/>
    <w:qFormat/>
    <w:rPr>
      <w:rFonts w:ascii="Verdana" w:hAnsi="Verdana" w:hint="default"/>
      <w:color w:val="000000"/>
      <w:sz w:val="18"/>
    </w:rPr>
  </w:style>
  <w:style w:type="character" w:customStyle="1" w:styleId="bfont">
    <w:name w:val="bfont"/>
    <w:qFormat/>
  </w:style>
  <w:style w:type="character" w:customStyle="1" w:styleId="A3CharChar">
    <w:name w:val="A3 Char Char"/>
    <w:link w:val="A30"/>
    <w:qFormat/>
    <w:rPr>
      <w:bCs/>
      <w:sz w:val="28"/>
      <w:szCs w:val="28"/>
    </w:rPr>
  </w:style>
  <w:style w:type="paragraph" w:customStyle="1" w:styleId="A30">
    <w:name w:val="A3"/>
    <w:basedOn w:val="32"/>
    <w:link w:val="A3CharChar"/>
    <w:qFormat/>
    <w:pPr>
      <w:tabs>
        <w:tab w:val="left" w:pos="652"/>
      </w:tabs>
      <w:jc w:val="both"/>
    </w:pPr>
    <w:rPr>
      <w:b w:val="0"/>
      <w:sz w:val="28"/>
      <w:szCs w:val="28"/>
    </w:rPr>
  </w:style>
  <w:style w:type="character" w:customStyle="1" w:styleId="2Charb">
    <w:name w:val="标题2级 Char"/>
    <w:rPr>
      <w:rFonts w:ascii="Times New Roman" w:eastAsia="宋体" w:hAnsi="Times New Roman"/>
      <w:b/>
      <w:sz w:val="28"/>
    </w:rPr>
  </w:style>
  <w:style w:type="character" w:customStyle="1" w:styleId="136CharChar">
    <w:name w:val="样式136 Char Char"/>
    <w:link w:val="136"/>
    <w:rPr>
      <w:rFonts w:ascii="宋体" w:hAnsi="宋体"/>
      <w:color w:val="FF0000"/>
      <w:sz w:val="24"/>
      <w:szCs w:val="24"/>
    </w:rPr>
  </w:style>
  <w:style w:type="paragraph" w:customStyle="1" w:styleId="136">
    <w:name w:val="样式136"/>
    <w:basedOn w:val="a2"/>
    <w:link w:val="136CharChar"/>
    <w:qFormat/>
    <w:pPr>
      <w:spacing w:beforeLines="50" w:afterLines="50" w:line="360" w:lineRule="auto"/>
      <w:ind w:firstLineChars="200" w:firstLine="480"/>
      <w:jc w:val="both"/>
    </w:pPr>
    <w:rPr>
      <w:rFonts w:ascii="宋体" w:hAnsi="宋体"/>
      <w:color w:val="FF0000"/>
      <w:sz w:val="24"/>
      <w:szCs w:val="24"/>
    </w:rPr>
  </w:style>
  <w:style w:type="character" w:customStyle="1" w:styleId="hg1">
    <w:name w:val="hg1"/>
  </w:style>
  <w:style w:type="character" w:customStyle="1" w:styleId="CharCharCharChar13">
    <w:name w:val="Char Char Char Char13"/>
    <w:rPr>
      <w:rFonts w:eastAsia="宋体"/>
      <w:kern w:val="2"/>
      <w:sz w:val="24"/>
      <w:szCs w:val="24"/>
      <w:lang w:val="en-US" w:eastAsia="zh-CN" w:bidi="ar-SA"/>
    </w:rPr>
  </w:style>
  <w:style w:type="character" w:customStyle="1" w:styleId="CharChar63">
    <w:name w:val="Char Char63"/>
    <w:rPr>
      <w:rFonts w:ascii="楷体_GB2312" w:eastAsia="楷体_GB2312"/>
      <w:b/>
      <w:bCs/>
      <w:kern w:val="44"/>
      <w:sz w:val="32"/>
      <w:szCs w:val="44"/>
      <w:lang w:val="en-US" w:eastAsia="zh-CN" w:bidi="ar-SA"/>
    </w:rPr>
  </w:style>
  <w:style w:type="character" w:customStyle="1" w:styleId="text12black31">
    <w:name w:val="text_12_black31"/>
    <w:rPr>
      <w:color w:val="000000"/>
      <w:sz w:val="16"/>
      <w:szCs w:val="16"/>
    </w:rPr>
  </w:style>
  <w:style w:type="character" w:customStyle="1" w:styleId="bl91">
    <w:name w:val="bl91"/>
    <w:rPr>
      <w:color w:val="000000"/>
      <w:sz w:val="18"/>
      <w:szCs w:val="18"/>
    </w:rPr>
  </w:style>
  <w:style w:type="character" w:customStyle="1" w:styleId="CharChar52">
    <w:name w:val="Char Char52"/>
    <w:locked/>
    <w:rPr>
      <w:rFonts w:ascii="宋体" w:eastAsia="宋体" w:hAnsi="宋体"/>
      <w:kern w:val="2"/>
      <w:sz w:val="21"/>
      <w:szCs w:val="24"/>
      <w:lang w:val="en-US" w:eastAsia="zh-CN" w:bidi="ar-SA"/>
    </w:rPr>
  </w:style>
  <w:style w:type="character" w:customStyle="1" w:styleId="Char1f1">
    <w:name w:val="题注 Char1"/>
    <w:rPr>
      <w:rFonts w:ascii="黑体" w:eastAsia="黑体" w:cs="Times New Roman"/>
      <w:kern w:val="2"/>
      <w:sz w:val="21"/>
      <w:szCs w:val="21"/>
      <w:lang w:val="en-US" w:eastAsia="zh-CN"/>
    </w:rPr>
  </w:style>
  <w:style w:type="character" w:customStyle="1" w:styleId="text11">
    <w:name w:val="text11"/>
    <w:rPr>
      <w:rFonts w:ascii="宋" w:eastAsia="宋" w:hint="eastAsia"/>
      <w:color w:val="000000"/>
      <w:sz w:val="18"/>
      <w:u w:val="none"/>
    </w:rPr>
  </w:style>
  <w:style w:type="character" w:customStyle="1" w:styleId="telephone">
    <w:name w:val="telephone"/>
    <w:basedOn w:val="a4"/>
  </w:style>
  <w:style w:type="character" w:customStyle="1" w:styleId="CharChar114">
    <w:name w:val="Char Char114"/>
    <w:rPr>
      <w:rFonts w:ascii="仿宋_GB2312" w:eastAsia="仿宋_GB2312"/>
      <w:b/>
      <w:bCs/>
      <w:kern w:val="44"/>
      <w:sz w:val="32"/>
      <w:szCs w:val="44"/>
      <w:lang w:val="en-US" w:eastAsia="zh-CN" w:bidi="ar-SA"/>
    </w:rPr>
  </w:style>
  <w:style w:type="character" w:customStyle="1" w:styleId="142TimesNewRoman1Char">
    <w:name w:val="样式 样式 样式 宋体 小四 行距: 多倍行距 1.4 字行2 + 黑色 + Times New Roman1 Char"/>
    <w:rPr>
      <w:rFonts w:eastAsia="宋体" w:cs="宋体"/>
      <w:color w:val="000000"/>
      <w:kern w:val="2"/>
      <w:sz w:val="24"/>
      <w:lang w:val="en-US" w:eastAsia="zh-CN" w:bidi="ar-SA"/>
    </w:rPr>
  </w:style>
  <w:style w:type="character" w:customStyle="1" w:styleId="Char1f2">
    <w:name w:val="标题 Char1"/>
    <w:locked/>
    <w:rPr>
      <w:rFonts w:ascii="Arial" w:hAnsi="Arial"/>
      <w:b/>
      <w:kern w:val="2"/>
      <w:sz w:val="32"/>
    </w:rPr>
  </w:style>
  <w:style w:type="character" w:customStyle="1" w:styleId="mChar">
    <w:name w:val="正文（首行缩进两字）m Char"/>
    <w:link w:val="m"/>
    <w:rPr>
      <w:color w:val="339966"/>
      <w:sz w:val="24"/>
    </w:rPr>
  </w:style>
  <w:style w:type="paragraph" w:customStyle="1" w:styleId="m">
    <w:name w:val="正文（首行缩进两字）m"/>
    <w:basedOn w:val="a3"/>
    <w:link w:val="mChar"/>
    <w:pPr>
      <w:tabs>
        <w:tab w:val="left" w:pos="1848"/>
        <w:tab w:val="left" w:pos="6061"/>
        <w:tab w:val="left" w:pos="8665"/>
      </w:tabs>
      <w:autoSpaceDE/>
      <w:autoSpaceDN/>
      <w:snapToGrid w:val="0"/>
      <w:spacing w:beforeLines="50" w:before="163" w:line="460" w:lineRule="exact"/>
      <w:ind w:firstLine="480"/>
      <w:jc w:val="both"/>
    </w:pPr>
    <w:rPr>
      <w:rFonts w:eastAsiaTheme="minorEastAsia"/>
      <w:color w:val="339966"/>
      <w:sz w:val="24"/>
      <w:szCs w:val="22"/>
    </w:rPr>
  </w:style>
  <w:style w:type="character" w:customStyle="1" w:styleId="style181">
    <w:name w:val="style181"/>
    <w:rPr>
      <w:color w:val="666666"/>
      <w:sz w:val="18"/>
      <w:szCs w:val="18"/>
    </w:rPr>
  </w:style>
  <w:style w:type="character" w:customStyle="1" w:styleId="CharCharff7">
    <w:name w:val="报告书正文 Char Char"/>
    <w:link w:val="affffffd"/>
    <w:rPr>
      <w:color w:val="000000"/>
      <w:sz w:val="24"/>
    </w:rPr>
  </w:style>
  <w:style w:type="paragraph" w:customStyle="1" w:styleId="affffffd">
    <w:name w:val="报告书正文"/>
    <w:basedOn w:val="affffffe"/>
    <w:link w:val="CharCharff7"/>
    <w:qFormat/>
    <w:pPr>
      <w:autoSpaceDE/>
      <w:autoSpaceDN/>
      <w:adjustRightInd/>
      <w:spacing w:line="520" w:lineRule="exact"/>
      <w:ind w:firstLine="514"/>
      <w:textAlignment w:val="auto"/>
    </w:pPr>
    <w:rPr>
      <w:rFonts w:asciiTheme="minorHAnsi" w:hAnsiTheme="minorHAnsi"/>
      <w:color w:val="000000"/>
      <w:szCs w:val="22"/>
    </w:rPr>
  </w:style>
  <w:style w:type="paragraph" w:customStyle="1" w:styleId="affffffe">
    <w:name w:val="正文段落"/>
    <w:basedOn w:val="a2"/>
    <w:qFormat/>
    <w:pPr>
      <w:spacing w:line="500" w:lineRule="exact"/>
      <w:ind w:firstLineChars="200" w:firstLine="200"/>
      <w:textAlignment w:val="baseline"/>
    </w:pPr>
    <w:rPr>
      <w:rFonts w:ascii="宋体" w:hAnsi="Tms Rmn"/>
      <w:sz w:val="24"/>
    </w:rPr>
  </w:style>
  <w:style w:type="character" w:customStyle="1" w:styleId="210">
    <w:name w:val="页码21"/>
  </w:style>
  <w:style w:type="character" w:customStyle="1" w:styleId="zhong1">
    <w:name w:val="zhong1"/>
    <w:rPr>
      <w:color w:val="000000"/>
      <w:sz w:val="18"/>
      <w:szCs w:val="18"/>
    </w:rPr>
  </w:style>
  <w:style w:type="character" w:customStyle="1" w:styleId="CharCharff8">
    <w:name w:val="表注 Char Char"/>
    <w:link w:val="afffffff"/>
    <w:rPr>
      <w:rFonts w:eastAsia="楷体_GB2312"/>
    </w:rPr>
  </w:style>
  <w:style w:type="paragraph" w:customStyle="1" w:styleId="afffffff">
    <w:name w:val="表注"/>
    <w:next w:val="a2"/>
    <w:link w:val="CharCharff8"/>
    <w:qFormat/>
    <w:pPr>
      <w:spacing w:beforeLines="50" w:before="50" w:afterLines="50" w:after="50" w:line="360" w:lineRule="auto"/>
      <w:ind w:firstLineChars="200" w:firstLine="200"/>
    </w:pPr>
    <w:rPr>
      <w:rFonts w:eastAsia="楷体_GB2312"/>
      <w:kern w:val="2"/>
      <w:sz w:val="21"/>
      <w:szCs w:val="21"/>
    </w:rPr>
  </w:style>
  <w:style w:type="character" w:customStyle="1" w:styleId="Char450">
    <w:name w:val="Char45"/>
    <w:rPr>
      <w:rFonts w:ascii="仿宋_GB2312" w:eastAsia="仿宋_GB2312" w:hint="eastAsia"/>
      <w:kern w:val="2"/>
      <w:sz w:val="28"/>
      <w:lang w:val="en-US" w:eastAsia="zh-CN"/>
    </w:rPr>
  </w:style>
  <w:style w:type="character" w:customStyle="1" w:styleId="074GB2312CharChar">
    <w:name w:val="样式 样式 首行缩进:  0.74 厘米 + 仿宋_GB2312 Char Char"/>
    <w:basedOn w:val="074CharChar"/>
    <w:link w:val="074GB2312"/>
    <w:rPr>
      <w:rFonts w:eastAsia="仿宋_GB2312" w:cs="宋体"/>
      <w:sz w:val="24"/>
      <w:szCs w:val="24"/>
    </w:rPr>
  </w:style>
  <w:style w:type="character" w:customStyle="1" w:styleId="074CharChar">
    <w:name w:val="样式 首行缩进:  0.74 厘米 Char Char"/>
    <w:link w:val="074"/>
    <w:rPr>
      <w:rFonts w:eastAsia="仿宋_GB2312" w:cs="宋体"/>
      <w:sz w:val="24"/>
      <w:szCs w:val="24"/>
    </w:rPr>
  </w:style>
  <w:style w:type="paragraph" w:customStyle="1" w:styleId="074">
    <w:name w:val="样式 首行缩进:  0.74 厘米"/>
    <w:basedOn w:val="a2"/>
    <w:link w:val="074CharChar"/>
    <w:qFormat/>
    <w:pPr>
      <w:spacing w:before="60"/>
      <w:ind w:firstLine="420"/>
      <w:jc w:val="both"/>
      <w:textAlignment w:val="baseline"/>
    </w:pPr>
    <w:rPr>
      <w:rFonts w:eastAsia="仿宋_GB2312" w:cs="宋体"/>
      <w:sz w:val="24"/>
      <w:szCs w:val="24"/>
    </w:rPr>
  </w:style>
  <w:style w:type="paragraph" w:customStyle="1" w:styleId="074GB2312">
    <w:name w:val="样式 样式 首行缩进:  0.74 厘米 + 仿宋_GB2312"/>
    <w:basedOn w:val="074"/>
    <w:link w:val="074GB2312CharChar"/>
    <w:qFormat/>
    <w:pPr>
      <w:spacing w:before="0"/>
      <w:ind w:firstLine="0"/>
      <w:jc w:val="center"/>
    </w:pPr>
  </w:style>
  <w:style w:type="character" w:customStyle="1" w:styleId="Char1f3">
    <w:name w:val="标准样式 Char1"/>
    <w:link w:val="afffffff0"/>
    <w:rPr>
      <w:sz w:val="28"/>
    </w:rPr>
  </w:style>
  <w:style w:type="paragraph" w:customStyle="1" w:styleId="afffffff0">
    <w:name w:val="标准样式"/>
    <w:basedOn w:val="a2"/>
    <w:link w:val="Char1f3"/>
    <w:pPr>
      <w:autoSpaceDE/>
      <w:autoSpaceDN/>
      <w:adjustRightInd/>
      <w:spacing w:line="600" w:lineRule="exact"/>
      <w:ind w:firstLine="567"/>
      <w:jc w:val="both"/>
    </w:pPr>
    <w:rPr>
      <w:szCs w:val="22"/>
    </w:rPr>
  </w:style>
  <w:style w:type="character" w:customStyle="1" w:styleId="Charffff3">
    <w:name w:val="表头或表尾 Char"/>
    <w:link w:val="afffffff1"/>
    <w:rPr>
      <w:b/>
      <w:sz w:val="24"/>
      <w:szCs w:val="24"/>
    </w:rPr>
  </w:style>
  <w:style w:type="paragraph" w:customStyle="1" w:styleId="afffffff1">
    <w:name w:val="表头或表尾"/>
    <w:basedOn w:val="a2"/>
    <w:next w:val="a2"/>
    <w:link w:val="Charffff3"/>
    <w:qFormat/>
    <w:pPr>
      <w:autoSpaceDE/>
      <w:autoSpaceDN/>
      <w:adjustRightInd/>
      <w:spacing w:beforeLines="20" w:afterLines="20"/>
      <w:jc w:val="center"/>
    </w:pPr>
    <w:rPr>
      <w:b/>
      <w:sz w:val="24"/>
      <w:szCs w:val="24"/>
    </w:rPr>
  </w:style>
  <w:style w:type="character" w:customStyle="1" w:styleId="CharjophyChar">
    <w:name w:val="正文（首行缩进） Charjophy Char"/>
    <w:rPr>
      <w:rFonts w:ascii="Times New Roman" w:eastAsia="宋体" w:hAnsi="Times New Roman" w:cs="Times New Roman"/>
      <w:snapToGrid w:val="0"/>
      <w:sz w:val="24"/>
      <w:szCs w:val="24"/>
    </w:rPr>
  </w:style>
  <w:style w:type="character" w:customStyle="1" w:styleId="listcontents1">
    <w:name w:val="listcontents1"/>
    <w:rPr>
      <w:color w:val="000000"/>
      <w:spacing w:val="480"/>
      <w:sz w:val="14"/>
      <w:szCs w:val="14"/>
    </w:rPr>
  </w:style>
  <w:style w:type="character" w:customStyle="1" w:styleId="CharCharCharChar0">
    <w:name w:val="四 Char Char Char Char"/>
    <w:rPr>
      <w:rFonts w:ascii="Arial" w:eastAsia="黑体" w:hAnsi="Arial"/>
      <w:b/>
      <w:bCs/>
      <w:kern w:val="2"/>
      <w:sz w:val="28"/>
      <w:szCs w:val="28"/>
      <w:lang w:val="en-US" w:eastAsia="zh-CN" w:bidi="ar-SA"/>
    </w:rPr>
  </w:style>
  <w:style w:type="character" w:customStyle="1" w:styleId="142TimesNewRoman1CharChar">
    <w:name w:val="样式 样式 样式 宋体 小四 行距: 多倍行距 1.4 字行2 + 黑色 + Times New Roman1 Char Char"/>
    <w:link w:val="142TimesNewRoman1"/>
    <w:rPr>
      <w:rFonts w:eastAsia="宋体" w:cs="宋体"/>
      <w:color w:val="000000"/>
      <w:sz w:val="24"/>
    </w:rPr>
  </w:style>
  <w:style w:type="paragraph" w:customStyle="1" w:styleId="142TimesNewRoman1">
    <w:name w:val="样式 样式 样式 宋体 小四 行距: 多倍行距 1.4 字行2 + 黑色 + Times New Roman1"/>
    <w:basedOn w:val="a2"/>
    <w:link w:val="142TimesNewRoman1CharChar"/>
    <w:qFormat/>
    <w:pPr>
      <w:spacing w:line="360" w:lineRule="auto"/>
      <w:ind w:firstLineChars="200" w:firstLine="200"/>
    </w:pPr>
    <w:rPr>
      <w:rFonts w:eastAsia="宋体" w:cs="宋体"/>
      <w:color w:val="000000"/>
      <w:sz w:val="24"/>
      <w:szCs w:val="22"/>
    </w:rPr>
  </w:style>
  <w:style w:type="character" w:customStyle="1" w:styleId="Char2e">
    <w:name w:val="注释标题 Char2"/>
    <w:uiPriority w:val="99"/>
    <w:semiHidden/>
    <w:rPr>
      <w:kern w:val="2"/>
      <w:sz w:val="21"/>
      <w:szCs w:val="22"/>
    </w:rPr>
  </w:style>
  <w:style w:type="character" w:customStyle="1" w:styleId="Charffff4">
    <w:name w:val="表项 Char"/>
    <w:rPr>
      <w:rFonts w:eastAsia="宋体"/>
      <w:kern w:val="2"/>
      <w:sz w:val="28"/>
      <w:szCs w:val="28"/>
      <w:lang w:val="en-US" w:eastAsia="zh-CN" w:bidi="ar-SA"/>
    </w:rPr>
  </w:style>
  <w:style w:type="character" w:customStyle="1" w:styleId="Charffff5">
    <w:name w:val="样式 小四 Char"/>
    <w:rPr>
      <w:rFonts w:ascii="Times New Roman" w:hAnsi="Times New Roman"/>
      <w:sz w:val="24"/>
    </w:rPr>
  </w:style>
  <w:style w:type="character" w:customStyle="1" w:styleId="27CharChar">
    <w:name w:val="样式27 Char Char"/>
    <w:link w:val="270"/>
    <w:rPr>
      <w:rFonts w:ascii="宋体" w:eastAsia="仿宋_GB2312" w:hAnsi="宋体"/>
      <w:sz w:val="28"/>
    </w:rPr>
  </w:style>
  <w:style w:type="paragraph" w:customStyle="1" w:styleId="270">
    <w:name w:val="样式27"/>
    <w:basedOn w:val="a2"/>
    <w:link w:val="27CharChar"/>
    <w:qFormat/>
    <w:pPr>
      <w:snapToGrid w:val="0"/>
      <w:spacing w:line="353" w:lineRule="auto"/>
      <w:ind w:firstLineChars="200" w:firstLine="200"/>
    </w:pPr>
    <w:rPr>
      <w:rFonts w:ascii="宋体" w:eastAsia="仿宋_GB2312" w:hAnsi="宋体"/>
      <w:szCs w:val="22"/>
    </w:rPr>
  </w:style>
  <w:style w:type="character" w:customStyle="1" w:styleId="3CharCharCharCharCharChar1">
    <w:name w:val="标题 3 Char Char Char Char Char Char1"/>
    <w:rPr>
      <w:rFonts w:eastAsia="宋体"/>
      <w:b/>
      <w:bCs/>
      <w:sz w:val="32"/>
      <w:szCs w:val="32"/>
      <w:lang w:val="en-US" w:eastAsia="zh-CN" w:bidi="ar-SA"/>
    </w:rPr>
  </w:style>
  <w:style w:type="character" w:customStyle="1" w:styleId="Charffff6">
    <w:name w:val="正文标准格式 Char"/>
    <w:rPr>
      <w:rFonts w:eastAsia="仿宋_GB2312"/>
      <w:color w:val="000000"/>
      <w:kern w:val="2"/>
      <w:sz w:val="28"/>
      <w:szCs w:val="28"/>
      <w:lang w:val="en-US" w:eastAsia="zh-CN"/>
    </w:rPr>
  </w:style>
  <w:style w:type="character" w:customStyle="1" w:styleId="41Char">
    <w:name w:val="样式 标题 4 + 图案: 清除 (白色)1 Char"/>
    <w:rPr>
      <w:rFonts w:ascii="Arial Narrow" w:eastAsia="仿宋_GB2312" w:hAnsi="Arial Narrow"/>
      <w:sz w:val="24"/>
      <w:shd w:val="clear" w:color="auto" w:fill="FFFFFF"/>
      <w:lang w:val="en-US" w:eastAsia="zh-CN" w:bidi="ar-SA"/>
    </w:rPr>
  </w:style>
  <w:style w:type="character" w:customStyle="1" w:styleId="3Char5">
    <w:name w:val="样式 标题 3 + 黑体 四号 Char"/>
    <w:rPr>
      <w:rFonts w:ascii="黑体" w:eastAsia="黑体"/>
      <w:bCs/>
      <w:kern w:val="2"/>
      <w:sz w:val="32"/>
      <w:szCs w:val="30"/>
      <w:lang w:val="en-US" w:eastAsia="zh-CN" w:bidi="ar-SA"/>
    </w:rPr>
  </w:style>
  <w:style w:type="character" w:customStyle="1" w:styleId="CharCharChar2">
    <w:name w:val="燕山正文 Char Char Char"/>
    <w:rPr>
      <w:rFonts w:ascii="Times New Roman" w:hAnsi="Times New Roman"/>
      <w:snapToGrid w:val="0"/>
      <w:color w:val="000000"/>
      <w:sz w:val="24"/>
      <w:szCs w:val="24"/>
    </w:rPr>
  </w:style>
  <w:style w:type="character" w:customStyle="1" w:styleId="Charffff7">
    <w:name w:val="【正文】 Char"/>
    <w:link w:val="afffffff2"/>
    <w:rPr>
      <w:spacing w:val="16"/>
      <w:sz w:val="24"/>
    </w:rPr>
  </w:style>
  <w:style w:type="paragraph" w:customStyle="1" w:styleId="afffffff2">
    <w:name w:val="【正文】"/>
    <w:basedOn w:val="a2"/>
    <w:link w:val="Charffff7"/>
    <w:qFormat/>
    <w:pPr>
      <w:spacing w:line="440" w:lineRule="exact"/>
      <w:ind w:firstLineChars="200" w:firstLine="544"/>
      <w:jc w:val="both"/>
    </w:pPr>
    <w:rPr>
      <w:spacing w:val="16"/>
      <w:sz w:val="24"/>
      <w:szCs w:val="22"/>
    </w:rPr>
  </w:style>
  <w:style w:type="character" w:customStyle="1" w:styleId="style11">
    <w:name w:val="style11"/>
    <w:rPr>
      <w:rFonts w:eastAsia="宋体"/>
      <w:kern w:val="2"/>
      <w:sz w:val="18"/>
      <w:szCs w:val="18"/>
      <w:lang w:val="en-US" w:eastAsia="zh-CN" w:bidi="ar-SA"/>
    </w:rPr>
  </w:style>
  <w:style w:type="character" w:customStyle="1" w:styleId="01Char">
    <w:name w:val="目录01 Char"/>
    <w:link w:val="01"/>
    <w:rPr>
      <w:rFonts w:ascii="宋体"/>
      <w:b/>
      <w:bCs/>
      <w:sz w:val="24"/>
    </w:rPr>
  </w:style>
  <w:style w:type="paragraph" w:customStyle="1" w:styleId="01">
    <w:name w:val="目录01"/>
    <w:basedOn w:val="a2"/>
    <w:link w:val="01Char"/>
    <w:qFormat/>
    <w:pPr>
      <w:spacing w:line="460" w:lineRule="exact"/>
      <w:jc w:val="both"/>
    </w:pPr>
    <w:rPr>
      <w:rFonts w:ascii="宋体"/>
      <w:b/>
      <w:bCs/>
      <w:sz w:val="24"/>
      <w:szCs w:val="22"/>
    </w:rPr>
  </w:style>
  <w:style w:type="character" w:customStyle="1" w:styleId="chenChar">
    <w:name w:val="谏壁chen表格内文字 Char"/>
    <w:rPr>
      <w:rFonts w:eastAsia="宋体"/>
      <w:kern w:val="2"/>
      <w:sz w:val="21"/>
      <w:szCs w:val="21"/>
      <w:lang w:val="en-US" w:eastAsia="zh-CN" w:bidi="ar-SA"/>
    </w:rPr>
  </w:style>
  <w:style w:type="character" w:customStyle="1" w:styleId="Charffff8">
    <w:name w:val="要点 Char"/>
    <w:rPr>
      <w:rFonts w:ascii="Times New Roman" w:eastAsia="宋体"/>
      <w:b/>
      <w:color w:val="000000"/>
      <w:spacing w:val="0"/>
      <w:w w:val="100"/>
      <w:sz w:val="21"/>
      <w:u w:val="none" w:color="000000"/>
      <w:vertAlign w:val="baseline"/>
      <w:lang w:val="en-US" w:eastAsia="zh-CN"/>
    </w:rPr>
  </w:style>
  <w:style w:type="character" w:customStyle="1" w:styleId="Char1f4">
    <w:name w:val="节 Char1"/>
    <w:rPr>
      <w:rFonts w:ascii="Arial" w:eastAsia="黑体" w:hAnsi="Arial"/>
      <w:b/>
      <w:bCs/>
      <w:kern w:val="2"/>
      <w:sz w:val="32"/>
      <w:szCs w:val="32"/>
      <w:lang w:val="en-US" w:eastAsia="zh-CN" w:bidi="ar-SA"/>
    </w:rPr>
  </w:style>
  <w:style w:type="character" w:customStyle="1" w:styleId="CharChar31">
    <w:name w:val="Char Char31"/>
    <w:locked/>
    <w:rPr>
      <w:rFonts w:ascii="宋体" w:eastAsia="宋体" w:hAnsi="宋体"/>
      <w:kern w:val="2"/>
      <w:sz w:val="21"/>
      <w:lang w:val="en-US" w:eastAsia="zh-CN" w:bidi="ar-SA"/>
    </w:rPr>
  </w:style>
  <w:style w:type="character" w:customStyle="1" w:styleId="aaCharCharChar1">
    <w:name w:val="正文aa Char Char Char1"/>
    <w:rPr>
      <w:rFonts w:eastAsia="宋体"/>
      <w:kern w:val="2"/>
      <w:sz w:val="24"/>
      <w:szCs w:val="24"/>
      <w:lang w:val="en-US" w:eastAsia="zh-CN" w:bidi="ar-SA"/>
    </w:rPr>
  </w:style>
  <w:style w:type="character" w:customStyle="1" w:styleId="Char46">
    <w:name w:val="正文文本 Char4"/>
    <w:uiPriority w:val="99"/>
    <w:semiHidden/>
  </w:style>
  <w:style w:type="character" w:customStyle="1" w:styleId="yyy1">
    <w:name w:val="yyy1"/>
    <w:rPr>
      <w:rFonts w:hint="default"/>
      <w:color w:val="FFFFFF"/>
      <w:sz w:val="21"/>
      <w:szCs w:val="21"/>
    </w:rPr>
  </w:style>
  <w:style w:type="character" w:customStyle="1" w:styleId="7Char0">
    <w:name w:val="7表格(治) Char"/>
    <w:link w:val="73"/>
    <w:rPr>
      <w:rFonts w:eastAsia="楷体_GB2312"/>
    </w:rPr>
  </w:style>
  <w:style w:type="paragraph" w:customStyle="1" w:styleId="73">
    <w:name w:val="7表格(治)"/>
    <w:link w:val="7Char0"/>
    <w:qFormat/>
    <w:pPr>
      <w:spacing w:beforeLines="50" w:before="50" w:afterLines="50" w:after="50" w:line="360" w:lineRule="auto"/>
      <w:ind w:firstLineChars="40" w:firstLine="40"/>
      <w:jc w:val="center"/>
    </w:pPr>
    <w:rPr>
      <w:rFonts w:eastAsia="楷体_GB2312"/>
      <w:kern w:val="2"/>
      <w:sz w:val="21"/>
      <w:szCs w:val="21"/>
    </w:rPr>
  </w:style>
  <w:style w:type="character" w:customStyle="1" w:styleId="flname">
    <w:name w:val="flname"/>
    <w:basedOn w:val="a4"/>
  </w:style>
  <w:style w:type="character" w:customStyle="1" w:styleId="1Charb">
    <w:name w:val="正文1 Char"/>
    <w:rPr>
      <w:rFonts w:eastAsia="宋体"/>
      <w:kern w:val="1"/>
      <w:sz w:val="28"/>
      <w:szCs w:val="28"/>
      <w:lang w:val="en-US" w:eastAsia="ar-SA" w:bidi="ar-SA"/>
    </w:rPr>
  </w:style>
  <w:style w:type="character" w:customStyle="1" w:styleId="indetail1">
    <w:name w:val="indetail1"/>
    <w:rPr>
      <w:sz w:val="18"/>
      <w:szCs w:val="18"/>
      <w:bdr w:val="single" w:sz="6" w:space="0" w:color="E2E2E2"/>
    </w:rPr>
  </w:style>
  <w:style w:type="character" w:customStyle="1" w:styleId="Char2f">
    <w:name w:val="信息标题 Char2"/>
    <w:uiPriority w:val="99"/>
    <w:semiHidden/>
    <w:rPr>
      <w:rFonts w:ascii="Calibri Light" w:eastAsia="宋体" w:hAnsi="Calibri Light" w:cs="Times New Roman"/>
      <w:kern w:val="2"/>
      <w:sz w:val="24"/>
      <w:szCs w:val="24"/>
      <w:shd w:val="pct20" w:color="auto" w:fill="auto"/>
    </w:rPr>
  </w:style>
  <w:style w:type="character" w:customStyle="1" w:styleId="CharChar14">
    <w:name w:val="Char Char14"/>
    <w:rPr>
      <w:rFonts w:ascii="幼圆" w:eastAsia="宋体" w:hAnsi="幼圆"/>
      <w:color w:val="000000"/>
      <w:kern w:val="2"/>
      <w:sz w:val="18"/>
      <w:szCs w:val="18"/>
      <w:lang w:val="en-US" w:eastAsia="zh-CN" w:bidi="ar-SA"/>
    </w:rPr>
  </w:style>
  <w:style w:type="character" w:customStyle="1" w:styleId="Char37">
    <w:name w:val="题注 Char3"/>
    <w:rPr>
      <w:rFonts w:ascii="Arial" w:eastAsia="黑体" w:hAnsi="Arial" w:cs="Times New Roman"/>
      <w:kern w:val="0"/>
      <w:sz w:val="24"/>
      <w:szCs w:val="20"/>
    </w:rPr>
  </w:style>
  <w:style w:type="character" w:customStyle="1" w:styleId="CharChar252">
    <w:name w:val="Char Char252"/>
    <w:rPr>
      <w:rFonts w:eastAsia="宋体"/>
      <w:b/>
      <w:bCs/>
      <w:iCs/>
      <w:kern w:val="2"/>
      <w:sz w:val="28"/>
      <w:szCs w:val="24"/>
      <w:lang w:bidi="ar-SA"/>
    </w:rPr>
  </w:style>
  <w:style w:type="character" w:customStyle="1" w:styleId="Charffff9">
    <w:name w:val="表格中文字 Char"/>
    <w:link w:val="afffffff3"/>
    <w:rPr>
      <w:kern w:val="18"/>
      <w:szCs w:val="21"/>
    </w:rPr>
  </w:style>
  <w:style w:type="paragraph" w:customStyle="1" w:styleId="afffffff3">
    <w:name w:val="表格中文字"/>
    <w:basedOn w:val="a2"/>
    <w:link w:val="Charffff9"/>
    <w:qFormat/>
    <w:pPr>
      <w:snapToGrid w:val="0"/>
      <w:jc w:val="center"/>
    </w:pPr>
    <w:rPr>
      <w:kern w:val="18"/>
    </w:rPr>
  </w:style>
  <w:style w:type="character" w:customStyle="1" w:styleId="afffffff4">
    <w:name w:val="纯文本 字符"/>
    <w:qFormat/>
    <w:locked/>
    <w:rPr>
      <w:rFonts w:ascii="宋体" w:hAnsi="Courier New" w:cs="Courier New"/>
      <w:kern w:val="2"/>
      <w:sz w:val="21"/>
      <w:szCs w:val="21"/>
    </w:rPr>
  </w:style>
  <w:style w:type="character" w:customStyle="1" w:styleId="3CharChar3">
    <w:name w:val="黄桥标题3 Char Char"/>
    <w:link w:val="3f1"/>
    <w:qFormat/>
    <w:rPr>
      <w:rFonts w:eastAsia="宋体" w:cs="宋体"/>
      <w:b/>
      <w:sz w:val="24"/>
      <w:szCs w:val="24"/>
    </w:rPr>
  </w:style>
  <w:style w:type="paragraph" w:customStyle="1" w:styleId="3f1">
    <w:name w:val="黄桥标题3"/>
    <w:basedOn w:val="a2"/>
    <w:next w:val="a2"/>
    <w:link w:val="3CharChar3"/>
    <w:qFormat/>
    <w:pPr>
      <w:keepNext/>
      <w:keepLines/>
      <w:widowControl/>
      <w:spacing w:line="360" w:lineRule="auto"/>
      <w:outlineLvl w:val="2"/>
    </w:pPr>
    <w:rPr>
      <w:rFonts w:eastAsia="宋体" w:cs="宋体"/>
      <w:b/>
      <w:sz w:val="24"/>
      <w:szCs w:val="24"/>
    </w:rPr>
  </w:style>
  <w:style w:type="character" w:customStyle="1" w:styleId="220">
    <w:name w:val="原文22"/>
    <w:qFormat/>
    <w:rPr>
      <w:rFonts w:ascii="Times New Roman" w:hAnsi="Times New Roman"/>
      <w:color w:val="0000FF"/>
      <w:kern w:val="22"/>
      <w:sz w:val="22"/>
    </w:rPr>
  </w:style>
  <w:style w:type="character" w:customStyle="1" w:styleId="3Char6">
    <w:name w:val="标题3宋体黑色 Char"/>
    <w:link w:val="3f2"/>
    <w:locked/>
    <w:rPr>
      <w:b/>
      <w:bCs/>
      <w:sz w:val="28"/>
      <w:szCs w:val="32"/>
    </w:rPr>
  </w:style>
  <w:style w:type="paragraph" w:customStyle="1" w:styleId="3f2">
    <w:name w:val="标题3宋体黑色"/>
    <w:basedOn w:val="32"/>
    <w:link w:val="3Char6"/>
    <w:qFormat/>
    <w:pPr>
      <w:spacing w:before="120" w:after="0" w:line="240" w:lineRule="auto"/>
    </w:pPr>
    <w:rPr>
      <w:sz w:val="28"/>
    </w:rPr>
  </w:style>
  <w:style w:type="character" w:customStyle="1" w:styleId="Footer-EvenChar1">
    <w:name w:val="Footer-Even Char1"/>
    <w:rPr>
      <w:rFonts w:eastAsia="宋体"/>
      <w:kern w:val="2"/>
      <w:sz w:val="18"/>
      <w:lang w:val="en-US" w:eastAsia="zh-CN"/>
    </w:rPr>
  </w:style>
  <w:style w:type="character" w:customStyle="1" w:styleId="ourfont3">
    <w:name w:val="ourfont3"/>
  </w:style>
  <w:style w:type="character" w:customStyle="1" w:styleId="Char38">
    <w:name w:val="宏文本 Char3"/>
    <w:uiPriority w:val="99"/>
    <w:semiHidden/>
    <w:rPr>
      <w:rFonts w:ascii="Courier New" w:eastAsia="宋体" w:hAnsi="Courier New" w:cs="Courier New"/>
      <w:sz w:val="24"/>
      <w:szCs w:val="24"/>
    </w:rPr>
  </w:style>
  <w:style w:type="character" w:customStyle="1" w:styleId="CharCharff9">
    <w:name w:val="环保表内字（小五） Char Char"/>
    <w:link w:val="afffffff5"/>
    <w:rPr>
      <w:color w:val="000000"/>
      <w:sz w:val="18"/>
      <w:szCs w:val="18"/>
    </w:rPr>
  </w:style>
  <w:style w:type="paragraph" w:customStyle="1" w:styleId="afffffff5">
    <w:name w:val="环保表内字（小五）"/>
    <w:basedOn w:val="a2"/>
    <w:link w:val="CharCharff9"/>
    <w:qFormat/>
    <w:pPr>
      <w:snapToGrid w:val="0"/>
      <w:spacing w:line="0" w:lineRule="atLeast"/>
      <w:jc w:val="both"/>
    </w:pPr>
    <w:rPr>
      <w:color w:val="000000"/>
      <w:sz w:val="18"/>
      <w:szCs w:val="18"/>
    </w:rPr>
  </w:style>
  <w:style w:type="character" w:customStyle="1" w:styleId="113">
    <w:name w:val="未命名11"/>
    <w:rPr>
      <w:rFonts w:ascii="宋体" w:eastAsia="宋体" w:hAnsi="宋体"/>
      <w:sz w:val="18"/>
    </w:rPr>
  </w:style>
  <w:style w:type="character" w:customStyle="1" w:styleId="CharChar73">
    <w:name w:val="Char Char73"/>
    <w:rPr>
      <w:rFonts w:ascii="Arial" w:eastAsia="黑体" w:hAnsi="Arial"/>
      <w:sz w:val="44"/>
      <w:lang w:val="en-US" w:eastAsia="zh-CN" w:bidi="ar-SA"/>
    </w:rPr>
  </w:style>
  <w:style w:type="character" w:customStyle="1" w:styleId="Charffffa">
    <w:name w:val="样式 报告书表格 + Char"/>
    <w:rPr>
      <w:rFonts w:ascii="Times New Roman" w:eastAsia="宋体" w:hAnsi="Times New Roman" w:cs="Times New Roman"/>
      <w:kern w:val="0"/>
      <w:szCs w:val="21"/>
    </w:rPr>
  </w:style>
  <w:style w:type="character" w:customStyle="1" w:styleId="TCharChar">
    <w:name w:val="T正文 Char Char"/>
    <w:link w:val="T"/>
    <w:rPr>
      <w:sz w:val="24"/>
      <w:szCs w:val="24"/>
    </w:rPr>
  </w:style>
  <w:style w:type="paragraph" w:customStyle="1" w:styleId="T">
    <w:name w:val="T正文"/>
    <w:link w:val="TCharChar"/>
    <w:qFormat/>
    <w:pPr>
      <w:widowControl w:val="0"/>
      <w:snapToGrid w:val="0"/>
      <w:spacing w:beforeLines="50" w:before="156" w:afterLines="50" w:after="50" w:line="360" w:lineRule="auto"/>
      <w:ind w:firstLineChars="200" w:firstLine="480"/>
      <w:jc w:val="both"/>
    </w:pPr>
    <w:rPr>
      <w:kern w:val="2"/>
      <w:sz w:val="24"/>
      <w:szCs w:val="24"/>
    </w:rPr>
  </w:style>
  <w:style w:type="character" w:customStyle="1" w:styleId="Charffffb">
    <w:name w:val="普通(网站) Char"/>
    <w:rPr>
      <w:rFonts w:ascii="Times New Roman" w:hAnsi="Times New Roman"/>
      <w:kern w:val="2"/>
      <w:sz w:val="18"/>
      <w:szCs w:val="18"/>
    </w:rPr>
  </w:style>
  <w:style w:type="character" w:customStyle="1" w:styleId="CharChar80">
    <w:name w:val="Char Char8"/>
    <w:rPr>
      <w:rFonts w:ascii="Times New Roman" w:eastAsia="仿宋_GB2312" w:hAnsi="Times New Roman" w:cs="Arial"/>
      <w:b/>
      <w:sz w:val="24"/>
      <w:szCs w:val="21"/>
      <w:lang w:val="en-US" w:eastAsia="zh-CN" w:bidi="ar-SA"/>
    </w:rPr>
  </w:style>
  <w:style w:type="character" w:customStyle="1" w:styleId="aaChar">
    <w:name w:val="正文aa Char"/>
    <w:link w:val="aa0"/>
    <w:rPr>
      <w:sz w:val="24"/>
      <w:szCs w:val="24"/>
    </w:rPr>
  </w:style>
  <w:style w:type="paragraph" w:customStyle="1" w:styleId="aa0">
    <w:name w:val="正文aa"/>
    <w:basedOn w:val="a2"/>
    <w:link w:val="aaChar"/>
    <w:qFormat/>
    <w:pPr>
      <w:spacing w:line="360" w:lineRule="auto"/>
      <w:ind w:firstLineChars="200" w:firstLine="200"/>
      <w:jc w:val="both"/>
    </w:pPr>
    <w:rPr>
      <w:sz w:val="24"/>
      <w:szCs w:val="24"/>
    </w:rPr>
  </w:style>
  <w:style w:type="character" w:customStyle="1" w:styleId="EmailStyle363">
    <w:name w:val="EmailStyle363"/>
    <w:rPr>
      <w:rFonts w:ascii="Arial" w:eastAsia="宋体" w:hAnsi="Arial" w:cs="Arial"/>
      <w:color w:val="000080"/>
      <w:sz w:val="18"/>
      <w:szCs w:val="20"/>
    </w:rPr>
  </w:style>
  <w:style w:type="character" w:customStyle="1" w:styleId="Charffffc">
    <w:name w:val="文字 Char"/>
    <w:rPr>
      <w:rFonts w:eastAsia="宋体"/>
      <w:kern w:val="2"/>
      <w:sz w:val="24"/>
      <w:szCs w:val="24"/>
      <w:lang w:val="en-US" w:eastAsia="zh-CN" w:bidi="ar-SA"/>
    </w:rPr>
  </w:style>
  <w:style w:type="character" w:customStyle="1" w:styleId="Charffffd">
    <w:name w:val="文本 Char"/>
    <w:rPr>
      <w:rFonts w:eastAsia="宋体"/>
      <w:kern w:val="2"/>
      <w:sz w:val="24"/>
      <w:szCs w:val="24"/>
      <w:lang w:val="en-US" w:eastAsia="zh-CN" w:bidi="ar-SA"/>
    </w:rPr>
  </w:style>
  <w:style w:type="character" w:customStyle="1" w:styleId="Batang71">
    <w:name w:val="正文文本 + Batang71"/>
    <w:rPr>
      <w:rFonts w:ascii="Batang" w:eastAsia="Batang" w:cs="Batang"/>
      <w:sz w:val="18"/>
      <w:szCs w:val="18"/>
      <w:u w:val="none"/>
      <w:lang w:val="en-US" w:eastAsia="en-US"/>
    </w:rPr>
  </w:style>
  <w:style w:type="character" w:customStyle="1" w:styleId="CharCharCharChar1">
    <w:name w:val="正文首行缩进 Char Char Char Char1"/>
    <w:rPr>
      <w:rFonts w:eastAsia="宋体"/>
      <w:snapToGrid w:val="0"/>
      <w:kern w:val="2"/>
      <w:sz w:val="24"/>
      <w:szCs w:val="24"/>
      <w:lang w:val="en-US" w:eastAsia="zh-CN" w:bidi="ar-SA"/>
    </w:rPr>
  </w:style>
  <w:style w:type="character" w:customStyle="1" w:styleId="CharCharffa">
    <w:name w:val="公正文 Char Char"/>
    <w:link w:val="afffffff6"/>
    <w:rPr>
      <w:rFonts w:ascii="仿宋_GB2312" w:eastAsia="仿宋_GB2312" w:hAnsi="宋体"/>
      <w:sz w:val="28"/>
    </w:rPr>
  </w:style>
  <w:style w:type="paragraph" w:customStyle="1" w:styleId="afffffff6">
    <w:name w:val="公正文"/>
    <w:basedOn w:val="a3"/>
    <w:link w:val="CharCharffa"/>
    <w:qFormat/>
    <w:pPr>
      <w:snapToGrid w:val="0"/>
      <w:spacing w:line="560" w:lineRule="exact"/>
      <w:ind w:firstLine="200"/>
    </w:pPr>
    <w:rPr>
      <w:rFonts w:ascii="仿宋_GB2312" w:eastAsia="仿宋_GB2312" w:hAnsi="宋体"/>
      <w:sz w:val="28"/>
      <w:szCs w:val="22"/>
    </w:rPr>
  </w:style>
  <w:style w:type="character" w:customStyle="1" w:styleId="Charffffe">
    <w:name w:val="默认段落字体 Char"/>
    <w:rPr>
      <w:color w:val="000000"/>
      <w:sz w:val="21"/>
      <w:u w:color="000000"/>
      <w:lang w:val="en-US" w:eastAsia="zh-CN"/>
    </w:rPr>
  </w:style>
  <w:style w:type="character" w:customStyle="1" w:styleId="3CharChar4">
    <w:name w:val="样式 标题 3 + 黑体 四号 Char Char"/>
    <w:link w:val="3f3"/>
    <w:rPr>
      <w:rFonts w:ascii="黑体" w:eastAsia="黑体"/>
      <w:bCs/>
      <w:sz w:val="32"/>
      <w:szCs w:val="30"/>
    </w:rPr>
  </w:style>
  <w:style w:type="paragraph" w:customStyle="1" w:styleId="3f3">
    <w:name w:val="样式 标题 3 + 黑体 四号"/>
    <w:basedOn w:val="32"/>
    <w:link w:val="3CharChar4"/>
    <w:qFormat/>
    <w:pPr>
      <w:tabs>
        <w:tab w:val="left" w:pos="5040"/>
      </w:tabs>
      <w:spacing w:before="40" w:after="40" w:line="360" w:lineRule="auto"/>
      <w:ind w:leftChars="50" w:left="105" w:rightChars="50" w:right="105"/>
      <w:jc w:val="both"/>
    </w:pPr>
    <w:rPr>
      <w:rFonts w:ascii="黑体" w:eastAsia="黑体"/>
      <w:b w:val="0"/>
      <w:szCs w:val="30"/>
    </w:rPr>
  </w:style>
  <w:style w:type="character" w:customStyle="1" w:styleId="CharChar29">
    <w:name w:val="Char Char29"/>
    <w:locked/>
    <w:rPr>
      <w:rFonts w:ascii="宋体" w:eastAsia="宋体" w:hAnsi="宋体"/>
      <w:b/>
      <w:bCs/>
      <w:kern w:val="2"/>
      <w:sz w:val="21"/>
      <w:szCs w:val="24"/>
      <w:lang w:val="en-US" w:eastAsia="zh-CN" w:bidi="ar-SA"/>
    </w:rPr>
  </w:style>
  <w:style w:type="character" w:customStyle="1" w:styleId="btCharChar">
    <w:name w:val="bt Char Char"/>
    <w:rPr>
      <w:rFonts w:eastAsia="宋体"/>
      <w:kern w:val="2"/>
      <w:sz w:val="24"/>
      <w:lang w:val="en-US" w:eastAsia="zh-CN" w:bidi="ar-SA"/>
    </w:rPr>
  </w:style>
  <w:style w:type="character" w:customStyle="1" w:styleId="Char2f0">
    <w:name w:val="报告书正文 Char2"/>
    <w:rPr>
      <w:kern w:val="2"/>
      <w:sz w:val="24"/>
      <w:szCs w:val="21"/>
    </w:rPr>
  </w:style>
  <w:style w:type="character" w:customStyle="1" w:styleId="Char">
    <w:name w:val="宏文本 Char"/>
    <w:link w:val="a7"/>
    <w:rPr>
      <w:rFonts w:ascii="Courier New" w:hAnsi="Courier New"/>
      <w:sz w:val="24"/>
    </w:rPr>
  </w:style>
  <w:style w:type="character" w:customStyle="1" w:styleId="A10">
    <w:name w:val="A10"/>
    <w:rPr>
      <w:rFonts w:cs="H Ya 6gj"/>
      <w:color w:val="000000"/>
      <w:sz w:val="11"/>
      <w:szCs w:val="11"/>
    </w:rPr>
  </w:style>
  <w:style w:type="character" w:customStyle="1" w:styleId="3Char7">
    <w:name w:val="陈标题3 Char"/>
    <w:link w:val="31"/>
    <w:uiPriority w:val="99"/>
    <w:rPr>
      <w:rFonts w:ascii="宋体" w:hAnsi="宋体"/>
      <w:b/>
      <w:color w:val="000000"/>
      <w:szCs w:val="28"/>
    </w:rPr>
  </w:style>
  <w:style w:type="paragraph" w:customStyle="1" w:styleId="31">
    <w:name w:val="陈标题3"/>
    <w:basedOn w:val="a2"/>
    <w:next w:val="a2"/>
    <w:link w:val="3Char7"/>
    <w:uiPriority w:val="99"/>
    <w:qFormat/>
    <w:pPr>
      <w:keepNext/>
      <w:keepLines/>
      <w:numPr>
        <w:ilvl w:val="2"/>
        <w:numId w:val="4"/>
      </w:numPr>
      <w:spacing w:line="360" w:lineRule="auto"/>
      <w:ind w:left="0"/>
      <w:jc w:val="both"/>
      <w:outlineLvl w:val="2"/>
    </w:pPr>
    <w:rPr>
      <w:rFonts w:ascii="宋体" w:hAnsi="宋体"/>
      <w:b/>
      <w:color w:val="000000"/>
      <w:szCs w:val="28"/>
    </w:rPr>
  </w:style>
  <w:style w:type="character" w:customStyle="1" w:styleId="2Char11">
    <w:name w:val="正文文本 2 Char1"/>
    <w:locked/>
    <w:rPr>
      <w:rFonts w:eastAsia="仿宋_GB2312"/>
      <w:kern w:val="2"/>
      <w:sz w:val="24"/>
    </w:rPr>
  </w:style>
  <w:style w:type="character" w:customStyle="1" w:styleId="Charfffff">
    <w:name w:val="表格五号 Char"/>
    <w:rPr>
      <w:rFonts w:ascii="宋体" w:hAnsi="宋体"/>
      <w:szCs w:val="21"/>
    </w:rPr>
  </w:style>
  <w:style w:type="character" w:customStyle="1" w:styleId="Charfffff0">
    <w:name w:val="黄桥表头 Char"/>
    <w:rPr>
      <w:rFonts w:eastAsia="宋体" w:cs="宋体"/>
      <w:b/>
      <w:bCs/>
      <w:sz w:val="24"/>
      <w:szCs w:val="24"/>
      <w:lang w:val="en-US" w:eastAsia="zh-CN" w:bidi="ar-SA"/>
    </w:rPr>
  </w:style>
  <w:style w:type="character" w:customStyle="1" w:styleId="tpccontent1">
    <w:name w:val="tpc_content1"/>
    <w:rPr>
      <w:rFonts w:hint="default"/>
      <w:sz w:val="18"/>
    </w:rPr>
  </w:style>
  <w:style w:type="character" w:customStyle="1" w:styleId="CharChar273">
    <w:name w:val="Char Char273"/>
    <w:rPr>
      <w:rFonts w:eastAsia="黑体"/>
      <w:b/>
      <w:bCs/>
      <w:kern w:val="44"/>
      <w:sz w:val="36"/>
      <w:szCs w:val="44"/>
      <w:lang w:bidi="ar-SA"/>
    </w:rPr>
  </w:style>
  <w:style w:type="character" w:customStyle="1" w:styleId="3CharChar5">
    <w:name w:val="正文文本 3 Char Char"/>
    <w:link w:val="310"/>
    <w:rPr>
      <w:rFonts w:ascii="宋体"/>
      <w:sz w:val="30"/>
    </w:rPr>
  </w:style>
  <w:style w:type="paragraph" w:customStyle="1" w:styleId="310">
    <w:name w:val="正文文本 31"/>
    <w:basedOn w:val="a2"/>
    <w:link w:val="3CharChar5"/>
    <w:qFormat/>
    <w:pPr>
      <w:spacing w:line="360" w:lineRule="auto"/>
      <w:jc w:val="both"/>
      <w:textAlignment w:val="baseline"/>
    </w:pPr>
    <w:rPr>
      <w:rFonts w:ascii="宋体"/>
      <w:sz w:val="30"/>
      <w:szCs w:val="22"/>
    </w:rPr>
  </w:style>
  <w:style w:type="character" w:customStyle="1" w:styleId="TimesNewRoman">
    <w:name w:val="样式 Times New Roman"/>
    <w:rPr>
      <w:rFonts w:ascii="Times New Roman" w:eastAsia="仿宋_GB2312" w:hAnsi="Times New Roman" w:cs="Times New Roman" w:hint="default"/>
      <w:sz w:val="28"/>
      <w:szCs w:val="28"/>
    </w:rPr>
  </w:style>
  <w:style w:type="character" w:customStyle="1" w:styleId="CharCharffb">
    <w:name w:val="文字缩进 Char Char"/>
    <w:rPr>
      <w:rFonts w:ascii="宋体" w:eastAsia="宋体" w:hAnsi="Courier New"/>
      <w:kern w:val="2"/>
      <w:sz w:val="21"/>
      <w:lang w:val="en-US" w:eastAsia="zh-CN" w:bidi="ar-SA"/>
    </w:rPr>
  </w:style>
  <w:style w:type="character" w:customStyle="1" w:styleId="TableTitleChar6">
    <w:name w:val="Table Title Char6"/>
    <w:rPr>
      <w:rFonts w:eastAsia="宋体"/>
      <w:kern w:val="2"/>
      <w:sz w:val="24"/>
      <w:szCs w:val="24"/>
      <w:lang w:val="en-US" w:eastAsia="zh-CN" w:bidi="ar-SA"/>
    </w:rPr>
  </w:style>
  <w:style w:type="character" w:customStyle="1" w:styleId="CharCharffc">
    <w:name w:val="正文内容 Char Char"/>
    <w:link w:val="afffffff7"/>
    <w:rPr>
      <w:sz w:val="24"/>
      <w:szCs w:val="24"/>
    </w:rPr>
  </w:style>
  <w:style w:type="paragraph" w:customStyle="1" w:styleId="afffffff7">
    <w:name w:val="正文内容"/>
    <w:basedOn w:val="a2"/>
    <w:next w:val="a2"/>
    <w:link w:val="CharCharffc"/>
    <w:qFormat/>
    <w:pPr>
      <w:snapToGrid w:val="0"/>
      <w:spacing w:beforeLines="25" w:before="78" w:afterLines="25" w:after="78" w:line="440" w:lineRule="exact"/>
      <w:ind w:firstLineChars="200" w:firstLine="200"/>
      <w:jc w:val="both"/>
    </w:pPr>
    <w:rPr>
      <w:sz w:val="24"/>
      <w:szCs w:val="24"/>
    </w:rPr>
  </w:style>
  <w:style w:type="character" w:customStyle="1" w:styleId="H5Char2">
    <w:name w:val="H5 Char2"/>
    <w:rPr>
      <w:rFonts w:eastAsia="宋体"/>
      <w:b/>
      <w:bCs/>
      <w:sz w:val="28"/>
      <w:szCs w:val="28"/>
      <w:lang w:val="en-US" w:eastAsia="zh-CN" w:bidi="ar-SA"/>
    </w:rPr>
  </w:style>
  <w:style w:type="character" w:customStyle="1" w:styleId="CharCharCharChar2">
    <w:name w:val="表格内容 Char Char Char Char"/>
    <w:rPr>
      <w:rFonts w:ascii="Arial" w:eastAsia="华文细黑" w:hAnsi="Arial"/>
      <w:kern w:val="2"/>
      <w:sz w:val="21"/>
      <w:szCs w:val="21"/>
      <w:lang w:val="en-US" w:eastAsia="zh-CN" w:bidi="ar-SA"/>
    </w:rPr>
  </w:style>
  <w:style w:type="character" w:customStyle="1" w:styleId="fblack1">
    <w:name w:val="fblack1"/>
    <w:rPr>
      <w:color w:val="000000"/>
    </w:rPr>
  </w:style>
  <w:style w:type="character" w:customStyle="1" w:styleId="emailstyle354">
    <w:name w:val="emailstyle354"/>
    <w:rPr>
      <w:rFonts w:ascii="Arial" w:eastAsia="宋体" w:hAnsi="Arial" w:cs="Arial" w:hint="default"/>
      <w:color w:val="000080"/>
      <w:sz w:val="18"/>
      <w:szCs w:val="20"/>
    </w:rPr>
  </w:style>
  <w:style w:type="character" w:customStyle="1" w:styleId="Char39">
    <w:name w:val="注释标题 Char3"/>
    <w:uiPriority w:val="99"/>
    <w:semiHidden/>
  </w:style>
  <w:style w:type="character" w:customStyle="1" w:styleId="2CharChar1">
    <w:name w:val="正文 + 首行缩进2 厘米 Char Char"/>
    <w:link w:val="2f3"/>
    <w:rPr>
      <w:rFonts w:eastAsia="仿宋_GB2312" w:hAnsi="仿宋_GB2312"/>
      <w:sz w:val="28"/>
    </w:rPr>
  </w:style>
  <w:style w:type="paragraph" w:customStyle="1" w:styleId="2f3">
    <w:name w:val="正文 + 首行缩进2 厘米"/>
    <w:basedOn w:val="a2"/>
    <w:link w:val="2CharChar1"/>
    <w:qFormat/>
    <w:pPr>
      <w:spacing w:line="360" w:lineRule="auto"/>
      <w:ind w:firstLine="360"/>
      <w:jc w:val="center"/>
    </w:pPr>
    <w:rPr>
      <w:rFonts w:eastAsia="仿宋_GB2312" w:hAnsi="仿宋_GB2312"/>
      <w:szCs w:val="22"/>
    </w:rPr>
  </w:style>
  <w:style w:type="character" w:customStyle="1" w:styleId="CharCharffd">
    <w:name w:val="我的样式（正文） Char Char"/>
    <w:link w:val="afffffff8"/>
    <w:rPr>
      <w:rFonts w:ascii="宋体"/>
      <w:sz w:val="28"/>
    </w:rPr>
  </w:style>
  <w:style w:type="paragraph" w:customStyle="1" w:styleId="afffffff8">
    <w:name w:val="我的样式（正文）"/>
    <w:basedOn w:val="a2"/>
    <w:link w:val="CharCharffd"/>
    <w:qFormat/>
    <w:pPr>
      <w:spacing w:line="440" w:lineRule="exact"/>
    </w:pPr>
    <w:rPr>
      <w:rFonts w:ascii="宋体"/>
      <w:szCs w:val="22"/>
    </w:rPr>
  </w:style>
  <w:style w:type="character" w:customStyle="1" w:styleId="hottext1">
    <w:name w:val="hottext1"/>
    <w:rPr>
      <w:rFonts w:ascii="宋体" w:eastAsia="宋体" w:hAnsi="宋体"/>
      <w:strike/>
      <w:sz w:val="22"/>
      <w:u w:val="none"/>
    </w:rPr>
  </w:style>
  <w:style w:type="character" w:customStyle="1" w:styleId="GB231209813Char">
    <w:name w:val="样式 仿宋_GB2312 四号 黑色 首行缩进:  0.98 厘米 行距: 多倍行距 1.3 字行 Char"/>
    <w:link w:val="GB231209813"/>
    <w:rPr>
      <w:rFonts w:ascii="仿宋_GB2312" w:eastAsia="仿宋_GB2312" w:hAnsi="宋体"/>
      <w:color w:val="000000"/>
      <w:sz w:val="28"/>
    </w:rPr>
  </w:style>
  <w:style w:type="paragraph" w:customStyle="1" w:styleId="GB231209813">
    <w:name w:val="样式 仿宋_GB2312 四号 黑色 首行缩进:  0.98 厘米 行距: 多倍行距 1.3 字行"/>
    <w:basedOn w:val="a2"/>
    <w:link w:val="GB231209813Char"/>
    <w:qFormat/>
    <w:pPr>
      <w:spacing w:line="520" w:lineRule="exact"/>
      <w:ind w:firstLine="556"/>
      <w:jc w:val="center"/>
    </w:pPr>
    <w:rPr>
      <w:rFonts w:ascii="仿宋_GB2312" w:eastAsia="仿宋_GB2312" w:hAnsi="宋体"/>
      <w:color w:val="000000"/>
      <w:szCs w:val="22"/>
    </w:rPr>
  </w:style>
  <w:style w:type="character" w:customStyle="1" w:styleId="Char1f5">
    <w:name w:val="表中文字 Char1"/>
    <w:link w:val="afffffff9"/>
    <w:rPr>
      <w:rFonts w:ascii="Arial" w:hAnsi="Arial"/>
      <w:lang w:eastAsia="zh-TW"/>
    </w:rPr>
  </w:style>
  <w:style w:type="paragraph" w:customStyle="1" w:styleId="afffffff9">
    <w:name w:val="表中文字"/>
    <w:basedOn w:val="a2"/>
    <w:link w:val="Char1f5"/>
    <w:qFormat/>
    <w:pPr>
      <w:snapToGrid w:val="0"/>
      <w:spacing w:line="340" w:lineRule="exact"/>
      <w:jc w:val="center"/>
    </w:pPr>
    <w:rPr>
      <w:rFonts w:hAnsi="Arial"/>
      <w:szCs w:val="22"/>
      <w:lang w:eastAsia="zh-TW"/>
    </w:rPr>
  </w:style>
  <w:style w:type="character" w:customStyle="1" w:styleId="CharCharffe">
    <w:name w:val="批注主题 Char Char"/>
    <w:link w:val="2f4"/>
    <w:rPr>
      <w:rFonts w:ascii="Courier New" w:hAnsi="Courier New"/>
      <w:b/>
    </w:rPr>
  </w:style>
  <w:style w:type="paragraph" w:customStyle="1" w:styleId="2f4">
    <w:name w:val="批注主题2"/>
    <w:basedOn w:val="af1"/>
    <w:next w:val="af1"/>
    <w:link w:val="CharCharffe"/>
    <w:qFormat/>
    <w:rPr>
      <w:rFonts w:ascii="Courier New" w:hAnsi="Courier New"/>
      <w:b/>
      <w:szCs w:val="22"/>
    </w:rPr>
  </w:style>
  <w:style w:type="character" w:customStyle="1" w:styleId="zhengwen1">
    <w:name w:val="zhengwen1"/>
    <w:rPr>
      <w:color w:val="000000"/>
      <w:sz w:val="20"/>
      <w:szCs w:val="20"/>
      <w:u w:val="none"/>
    </w:rPr>
  </w:style>
  <w:style w:type="character" w:customStyle="1" w:styleId="CharCharfff">
    <w:name w:val="普通文字 Char Char"/>
    <w:rPr>
      <w:rFonts w:ascii="宋体" w:eastAsia="宋体" w:hAnsi="Courier New"/>
      <w:kern w:val="2"/>
      <w:sz w:val="21"/>
      <w:lang w:val="en-US" w:eastAsia="zh-CN" w:bidi="ar-SA"/>
    </w:rPr>
  </w:style>
  <w:style w:type="character" w:customStyle="1" w:styleId="Char1f6">
    <w:name w:val="批注框文本 Char1"/>
    <w:locked/>
    <w:rPr>
      <w:kern w:val="2"/>
      <w:sz w:val="18"/>
    </w:rPr>
  </w:style>
  <w:style w:type="character" w:customStyle="1" w:styleId="CharCharfff0">
    <w:name w:val="二级项 Char Char"/>
    <w:rPr>
      <w:rFonts w:ascii="Cambria" w:eastAsia="宋体" w:hAnsi="Cambria" w:cs="Times New Roman"/>
      <w:b/>
      <w:bCs/>
      <w:sz w:val="24"/>
      <w:szCs w:val="24"/>
    </w:rPr>
  </w:style>
  <w:style w:type="character" w:customStyle="1" w:styleId="Char1f7">
    <w:name w:val="环评正文 Char1"/>
    <w:rPr>
      <w:rFonts w:eastAsia="宋体"/>
      <w:bCs/>
      <w:kern w:val="2"/>
      <w:sz w:val="24"/>
      <w:szCs w:val="24"/>
      <w:lang w:val="en-US" w:eastAsia="zh-CN" w:bidi="ar-SA"/>
    </w:rPr>
  </w:style>
  <w:style w:type="character" w:customStyle="1" w:styleId="CharChar32">
    <w:name w:val="Char Char32"/>
    <w:locked/>
    <w:rPr>
      <w:rFonts w:ascii="宋体" w:eastAsia="宋体" w:hAnsi="宋体"/>
      <w:kern w:val="2"/>
      <w:sz w:val="24"/>
      <w:lang w:val="en-US" w:eastAsia="zh-CN" w:bidi="ar-SA"/>
    </w:rPr>
  </w:style>
  <w:style w:type="character" w:customStyle="1" w:styleId="WJChar0">
    <w:name w:val="WJ正文 Char"/>
    <w:link w:val="WJ0"/>
    <w:rPr>
      <w:rFonts w:ascii="宋体" w:hAnsi="宋体"/>
      <w:color w:val="000000"/>
      <w:sz w:val="24"/>
      <w:szCs w:val="24"/>
    </w:rPr>
  </w:style>
  <w:style w:type="paragraph" w:customStyle="1" w:styleId="WJ0">
    <w:name w:val="WJ正文"/>
    <w:basedOn w:val="a2"/>
    <w:next w:val="a2"/>
    <w:link w:val="WJChar0"/>
    <w:qFormat/>
    <w:pPr>
      <w:tabs>
        <w:tab w:val="left" w:pos="600"/>
      </w:tabs>
      <w:spacing w:line="360" w:lineRule="auto"/>
      <w:ind w:firstLineChars="200" w:firstLine="200"/>
      <w:jc w:val="both"/>
    </w:pPr>
    <w:rPr>
      <w:rFonts w:ascii="宋体" w:hAnsi="宋体"/>
      <w:color w:val="000000"/>
      <w:sz w:val="24"/>
      <w:szCs w:val="24"/>
    </w:rPr>
  </w:style>
  <w:style w:type="character" w:customStyle="1" w:styleId="3Char50">
    <w:name w:val="正文文本 3 Char5"/>
    <w:rPr>
      <w:kern w:val="2"/>
      <w:sz w:val="16"/>
      <w:szCs w:val="16"/>
    </w:rPr>
  </w:style>
  <w:style w:type="character" w:customStyle="1" w:styleId="chen11Char">
    <w:name w:val="chen正文字体11 Char"/>
    <w:rPr>
      <w:rFonts w:eastAsia="宋体" w:cs="宋体"/>
      <w:color w:val="000000"/>
      <w:kern w:val="2"/>
      <w:sz w:val="24"/>
      <w:lang w:val="en-US" w:eastAsia="zh-CN" w:bidi="ar-SA"/>
    </w:rPr>
  </w:style>
  <w:style w:type="character" w:customStyle="1" w:styleId="style111">
    <w:name w:val="style111"/>
    <w:rPr>
      <w:sz w:val="18"/>
      <w:szCs w:val="18"/>
    </w:rPr>
  </w:style>
  <w:style w:type="character" w:customStyle="1" w:styleId="8Char1">
    <w:name w:val="标题 8 Char1"/>
    <w:uiPriority w:val="9"/>
    <w:rPr>
      <w:rFonts w:ascii="Cambria" w:eastAsia="宋体" w:hAnsi="Cambria" w:cs="Times New Roman"/>
      <w:sz w:val="24"/>
      <w:szCs w:val="24"/>
    </w:rPr>
  </w:style>
  <w:style w:type="character" w:customStyle="1" w:styleId="5Char10">
    <w:name w:val="标题 5 Char1"/>
    <w:rPr>
      <w:rFonts w:ascii="Arial" w:eastAsia="宋体" w:hAnsi="Arial" w:cs="Times New Roman"/>
      <w:b/>
      <w:bCs/>
      <w:spacing w:val="-5"/>
      <w:kern w:val="0"/>
      <w:sz w:val="28"/>
      <w:szCs w:val="28"/>
      <w:lang w:bidi="he-IL"/>
    </w:rPr>
  </w:style>
  <w:style w:type="character" w:customStyle="1" w:styleId="Char3a">
    <w:name w:val="批注框文本 Char3"/>
    <w:uiPriority w:val="99"/>
    <w:semiHidden/>
    <w:rPr>
      <w:kern w:val="2"/>
      <w:sz w:val="18"/>
      <w:szCs w:val="18"/>
    </w:rPr>
  </w:style>
  <w:style w:type="character" w:customStyle="1" w:styleId="BChar0">
    <w:name w:val="正文B Char"/>
    <w:locked/>
    <w:rPr>
      <w:rFonts w:ascii="楷体_GB2312" w:eastAsia="楷体_GB2312"/>
      <w:spacing w:val="8"/>
      <w:sz w:val="28"/>
    </w:rPr>
  </w:style>
  <w:style w:type="character" w:customStyle="1" w:styleId="Char1f8">
    <w:name w:val="页脚 Char1"/>
    <w:locked/>
    <w:rPr>
      <w:kern w:val="2"/>
      <w:sz w:val="18"/>
    </w:rPr>
  </w:style>
  <w:style w:type="character" w:customStyle="1" w:styleId="aaaChar">
    <w:name w:val="aaa Char"/>
    <w:link w:val="aaa"/>
    <w:rPr>
      <w:rFonts w:hAnsi="宋体"/>
      <w:sz w:val="24"/>
      <w:szCs w:val="24"/>
    </w:rPr>
  </w:style>
  <w:style w:type="paragraph" w:customStyle="1" w:styleId="aaa">
    <w:name w:val="aaa"/>
    <w:basedOn w:val="a2"/>
    <w:link w:val="aaaChar"/>
    <w:qFormat/>
    <w:pPr>
      <w:spacing w:line="360" w:lineRule="auto"/>
      <w:ind w:firstLineChars="200" w:firstLine="200"/>
    </w:pPr>
    <w:rPr>
      <w:rFonts w:hAnsi="宋体"/>
      <w:sz w:val="24"/>
      <w:szCs w:val="24"/>
    </w:rPr>
  </w:style>
  <w:style w:type="character" w:customStyle="1" w:styleId="htd01">
    <w:name w:val="htd01"/>
  </w:style>
  <w:style w:type="character" w:customStyle="1" w:styleId="aboutus1">
    <w:name w:val="aboutus1"/>
    <w:rPr>
      <w:rFonts w:ascii="ˎ̥" w:hAnsi="ˎ̥" w:hint="default"/>
      <w:color w:val="000000"/>
      <w:sz w:val="18"/>
      <w:szCs w:val="18"/>
      <w:u w:val="none"/>
    </w:rPr>
  </w:style>
  <w:style w:type="character" w:customStyle="1" w:styleId="changCharChar">
    <w:name w:val="chang正文 Char Char"/>
    <w:link w:val="chang"/>
    <w:rPr>
      <w:rFonts w:eastAsia="宋体" w:cs="宋体"/>
      <w:sz w:val="24"/>
      <w:szCs w:val="24"/>
    </w:rPr>
  </w:style>
  <w:style w:type="paragraph" w:customStyle="1" w:styleId="chang">
    <w:name w:val="chang正文"/>
    <w:basedOn w:val="a2"/>
    <w:link w:val="changCharChar"/>
    <w:qFormat/>
    <w:pPr>
      <w:spacing w:line="360" w:lineRule="auto"/>
      <w:ind w:firstLineChars="200" w:firstLine="200"/>
    </w:pPr>
    <w:rPr>
      <w:rFonts w:eastAsia="宋体" w:cs="宋体"/>
      <w:sz w:val="24"/>
      <w:szCs w:val="24"/>
    </w:rPr>
  </w:style>
  <w:style w:type="character" w:customStyle="1" w:styleId="ChapterHeadCharChar">
    <w:name w:val="Chapter Head Char Char"/>
    <w:rPr>
      <w:rFonts w:ascii="Arial" w:eastAsia="宋体" w:hAnsi="Arial" w:cs="Arial"/>
      <w:color w:val="5F5F5F"/>
      <w:kern w:val="32"/>
      <w:sz w:val="36"/>
      <w:szCs w:val="48"/>
      <w:lang w:val="de-DE" w:eastAsia="de-DE" w:bidi="ar-SA"/>
    </w:rPr>
  </w:style>
  <w:style w:type="character" w:customStyle="1" w:styleId="T4CharChar">
    <w:name w:val="T4 Char Char"/>
    <w:link w:val="T4"/>
    <w:rPr>
      <w:b/>
      <w:bCs/>
      <w:sz w:val="24"/>
      <w:szCs w:val="28"/>
    </w:rPr>
  </w:style>
  <w:style w:type="paragraph" w:customStyle="1" w:styleId="T4">
    <w:name w:val="T4"/>
    <w:basedOn w:val="41"/>
    <w:link w:val="T4CharChar"/>
    <w:qFormat/>
    <w:pPr>
      <w:tabs>
        <w:tab w:val="left" w:pos="2115"/>
      </w:tabs>
      <w:ind w:leftChars="0" w:left="0" w:rightChars="0" w:right="0"/>
    </w:pPr>
    <w:rPr>
      <w:rFonts w:asciiTheme="minorHAnsi" w:eastAsiaTheme="minorEastAsia"/>
      <w:b/>
      <w:sz w:val="24"/>
    </w:rPr>
  </w:style>
  <w:style w:type="character" w:customStyle="1" w:styleId="Charfffff1">
    <w:name w:val="热电厂正文 Char"/>
    <w:link w:val="afffffffa"/>
    <w:rPr>
      <w:sz w:val="24"/>
      <w:szCs w:val="24"/>
    </w:rPr>
  </w:style>
  <w:style w:type="paragraph" w:customStyle="1" w:styleId="afffffffa">
    <w:name w:val="热电厂正文"/>
    <w:basedOn w:val="a2"/>
    <w:link w:val="Charfffff1"/>
    <w:qFormat/>
    <w:pPr>
      <w:spacing w:line="440" w:lineRule="exact"/>
      <w:ind w:firstLineChars="200" w:firstLine="480"/>
      <w:jc w:val="both"/>
    </w:pPr>
    <w:rPr>
      <w:sz w:val="24"/>
      <w:szCs w:val="24"/>
    </w:rPr>
  </w:style>
  <w:style w:type="character" w:customStyle="1" w:styleId="Charfffff2">
    <w:name w:val="表内容 Char"/>
    <w:link w:val="afffffffb"/>
    <w:qFormat/>
    <w:rPr>
      <w:rFonts w:ascii="Arial" w:eastAsia="楷体_GB2312" w:hAnsi="Arial"/>
      <w:sz w:val="24"/>
    </w:rPr>
  </w:style>
  <w:style w:type="paragraph" w:customStyle="1" w:styleId="afffffffb">
    <w:name w:val="表内容"/>
    <w:basedOn w:val="a2"/>
    <w:link w:val="Charfffff2"/>
    <w:qFormat/>
    <w:pPr>
      <w:snapToGrid w:val="0"/>
      <w:spacing w:after="120"/>
      <w:textAlignment w:val="bottom"/>
    </w:pPr>
    <w:rPr>
      <w:rFonts w:hAnsi="Arial"/>
      <w:sz w:val="24"/>
      <w:szCs w:val="22"/>
    </w:rPr>
  </w:style>
  <w:style w:type="character" w:customStyle="1" w:styleId="zjgblk1">
    <w:name w:val="zjgblk1"/>
    <w:qFormat/>
    <w:rPr>
      <w:rFonts w:hint="default"/>
      <w:color w:val="000000"/>
      <w:sz w:val="18"/>
      <w:u w:val="none"/>
    </w:rPr>
  </w:style>
  <w:style w:type="character" w:customStyle="1" w:styleId="CharCharCharCharCharCharCharCharCharChar">
    <w:name w:val="正文（首行缩进两字） Char Char Char Char Char Char Char Char Char Char"/>
    <w:qFormat/>
    <w:rPr>
      <w:rFonts w:ascii="仿宋_GB2312" w:eastAsia="仿宋_GB2312"/>
      <w:kern w:val="2"/>
      <w:sz w:val="28"/>
      <w:lang w:val="en-US" w:eastAsia="zh-CN"/>
    </w:rPr>
  </w:style>
  <w:style w:type="character" w:customStyle="1" w:styleId="afffffffc">
    <w:name w:val="正文文本字符"/>
    <w:rPr>
      <w:kern w:val="2"/>
      <w:sz w:val="21"/>
    </w:rPr>
  </w:style>
  <w:style w:type="character" w:customStyle="1" w:styleId="Char1f9">
    <w:name w:val="文档结构图 Char1"/>
    <w:uiPriority w:val="99"/>
    <w:locked/>
    <w:rPr>
      <w:rFonts w:eastAsia="宋体"/>
      <w:color w:val="auto"/>
      <w:kern w:val="2"/>
      <w:sz w:val="24"/>
      <w:shd w:val="clear" w:color="auto" w:fill="000080"/>
    </w:rPr>
  </w:style>
  <w:style w:type="character" w:customStyle="1" w:styleId="Char3">
    <w:name w:val="电子邮件签名 Char"/>
    <w:link w:val="aa"/>
  </w:style>
  <w:style w:type="character" w:customStyle="1" w:styleId="2Char40">
    <w:name w:val="正文文本 2 Char4"/>
    <w:uiPriority w:val="99"/>
    <w:semiHidden/>
  </w:style>
  <w:style w:type="character" w:customStyle="1" w:styleId="Charfffff3">
    <w:name w:val="三 Char"/>
    <w:rPr>
      <w:rFonts w:ascii="Times New Roman" w:eastAsia="宋体" w:hAnsi="Times New Roman" w:cs="Times New Roman"/>
      <w:b/>
      <w:bCs/>
      <w:iCs/>
      <w:kern w:val="2"/>
      <w:sz w:val="28"/>
      <w:szCs w:val="24"/>
      <w:lang w:val="en-US" w:eastAsia="zh-CN" w:bidi="ar-SA"/>
    </w:rPr>
  </w:style>
  <w:style w:type="character" w:customStyle="1" w:styleId="3CharCharCharChar">
    <w:name w:val="标题 3 Char Char Char Char"/>
    <w:rPr>
      <w:rFonts w:ascii="黑体" w:eastAsia="黑体"/>
      <w:b/>
      <w:bCs/>
      <w:sz w:val="28"/>
      <w:szCs w:val="32"/>
    </w:rPr>
  </w:style>
  <w:style w:type="character" w:customStyle="1" w:styleId="font91">
    <w:name w:val="font91"/>
    <w:rPr>
      <w:rFonts w:ascii="Times New Roman" w:hAnsi="Times New Roman" w:cs="Times New Roman" w:hint="default"/>
      <w:color w:val="000000"/>
      <w:sz w:val="18"/>
      <w:szCs w:val="18"/>
      <w:u w:val="none"/>
    </w:rPr>
  </w:style>
  <w:style w:type="character" w:customStyle="1" w:styleId="1CharChar4">
    <w:name w:val="标题样式1 Char Char"/>
    <w:link w:val="1fd"/>
    <w:rPr>
      <w:rFonts w:ascii="黑体" w:eastAsia="黑体"/>
      <w:b/>
      <w:bCs/>
      <w:kern w:val="44"/>
      <w:sz w:val="28"/>
      <w:szCs w:val="28"/>
    </w:rPr>
  </w:style>
  <w:style w:type="paragraph" w:customStyle="1" w:styleId="1fd">
    <w:name w:val="标题样式1"/>
    <w:basedOn w:val="12"/>
    <w:link w:val="1CharChar4"/>
    <w:qFormat/>
    <w:pPr>
      <w:textAlignment w:val="auto"/>
    </w:pPr>
    <w:rPr>
      <w:rFonts w:ascii="黑体"/>
      <w:b/>
      <w:sz w:val="28"/>
      <w:szCs w:val="28"/>
    </w:rPr>
  </w:style>
  <w:style w:type="character" w:customStyle="1" w:styleId="Charfffff4">
    <w:name w:val="报告 Char"/>
    <w:link w:val="afffffffd"/>
    <w:rPr>
      <w:rFonts w:ascii="TimesNewRoman" w:hAnsi="TimesNewRoman" w:cs="宋体"/>
      <w:sz w:val="24"/>
    </w:rPr>
  </w:style>
  <w:style w:type="paragraph" w:customStyle="1" w:styleId="afffffffd">
    <w:name w:val="报告"/>
    <w:basedOn w:val="a2"/>
    <w:link w:val="Charfffff4"/>
    <w:qFormat/>
    <w:pPr>
      <w:spacing w:line="360" w:lineRule="auto"/>
      <w:ind w:firstLine="505"/>
      <w:jc w:val="both"/>
      <w:textAlignment w:val="center"/>
    </w:pPr>
    <w:rPr>
      <w:rFonts w:ascii="TimesNewRoman" w:hAnsi="TimesNewRoman" w:cs="宋体"/>
      <w:sz w:val="24"/>
      <w:szCs w:val="22"/>
    </w:rPr>
  </w:style>
  <w:style w:type="character" w:customStyle="1" w:styleId="CharCharfff1">
    <w:name w:val="文本 Char Char"/>
    <w:rPr>
      <w:rFonts w:eastAsia="宋体"/>
      <w:kern w:val="2"/>
      <w:sz w:val="24"/>
      <w:lang w:val="en-US" w:eastAsia="zh-CN"/>
    </w:rPr>
  </w:style>
  <w:style w:type="character" w:customStyle="1" w:styleId="5CharChar">
    <w:name w:val="样式5 Char Char"/>
    <w:link w:val="5a"/>
    <w:rPr>
      <w:rFonts w:ascii="黑体" w:cs="宋体"/>
      <w:sz w:val="28"/>
      <w:szCs w:val="28"/>
    </w:rPr>
  </w:style>
  <w:style w:type="paragraph" w:customStyle="1" w:styleId="5a">
    <w:name w:val="样式5"/>
    <w:basedOn w:val="49"/>
    <w:link w:val="5CharChar"/>
    <w:qFormat/>
    <w:rPr>
      <w:rFonts w:eastAsiaTheme="minorEastAsia"/>
    </w:rPr>
  </w:style>
  <w:style w:type="character" w:customStyle="1" w:styleId="Charfffff5">
    <w:name w:val="表格格式 Char"/>
    <w:link w:val="afffffffe"/>
    <w:rPr>
      <w:rFonts w:ascii="宋体" w:eastAsia="宋体" w:hAnsi="宋体"/>
      <w:kern w:val="44"/>
      <w:szCs w:val="21"/>
    </w:rPr>
  </w:style>
  <w:style w:type="paragraph" w:customStyle="1" w:styleId="afffffffe">
    <w:name w:val="表格格式"/>
    <w:basedOn w:val="a2"/>
    <w:link w:val="Charfffff5"/>
    <w:qFormat/>
    <w:pPr>
      <w:snapToGrid w:val="0"/>
      <w:ind w:left="200" w:hangingChars="200" w:hanging="200"/>
      <w:jc w:val="center"/>
      <w:textAlignment w:val="baseline"/>
    </w:pPr>
    <w:rPr>
      <w:rFonts w:ascii="宋体" w:eastAsia="宋体" w:hAnsi="宋体"/>
      <w:kern w:val="44"/>
    </w:rPr>
  </w:style>
  <w:style w:type="character" w:customStyle="1" w:styleId="242Char">
    <w:name w:val="样式 四号 行距: 固定值 24 磅 首行缩进:  2 字符 Char"/>
    <w:rPr>
      <w:rFonts w:eastAsia="宋体" w:cs="宋体"/>
      <w:kern w:val="2"/>
      <w:sz w:val="28"/>
      <w:lang w:val="en-US" w:eastAsia="zh-CN" w:bidi="ar-SA"/>
    </w:rPr>
  </w:style>
  <w:style w:type="character" w:customStyle="1" w:styleId="Char2f1">
    <w:name w:val="电子邮件签名 Char2"/>
    <w:uiPriority w:val="99"/>
    <w:semiHidden/>
    <w:rPr>
      <w:kern w:val="2"/>
      <w:sz w:val="21"/>
      <w:szCs w:val="22"/>
    </w:rPr>
  </w:style>
  <w:style w:type="character" w:customStyle="1" w:styleId="CharChar16">
    <w:name w:val="Char Char1"/>
    <w:rPr>
      <w:rFonts w:ascii="仿宋_GB2312" w:eastAsia="仿宋_GB2312"/>
      <w:b/>
      <w:bCs/>
      <w:kern w:val="44"/>
      <w:sz w:val="32"/>
      <w:szCs w:val="44"/>
      <w:lang w:val="en-US" w:eastAsia="zh-CN" w:bidi="ar-SA"/>
    </w:rPr>
  </w:style>
  <w:style w:type="character" w:customStyle="1" w:styleId="CharChar40">
    <w:name w:val="Char Char4"/>
    <w:rPr>
      <w:rFonts w:eastAsia="微软简老宋"/>
      <w:bCs/>
      <w:spacing w:val="8"/>
      <w:sz w:val="28"/>
      <w:szCs w:val="32"/>
      <w:lang w:val="en-US" w:eastAsia="zh-CN" w:bidi="ar-SA"/>
    </w:rPr>
  </w:style>
  <w:style w:type="character" w:customStyle="1" w:styleId="1CharChar5">
    <w:name w:val="目标题 1) Char Char"/>
    <w:rPr>
      <w:rFonts w:ascii="Arial" w:eastAsia="黑体" w:hAnsi="Arial"/>
      <w:sz w:val="24"/>
    </w:rPr>
  </w:style>
  <w:style w:type="character" w:customStyle="1" w:styleId="2TimesNewRomanCharChar">
    <w:name w:val="正文首行缩进 2 + Times New Roman Char Char"/>
    <w:link w:val="2TimesNewRoman"/>
    <w:rPr>
      <w:rFonts w:hAnsi="宋体"/>
      <w:sz w:val="24"/>
      <w:szCs w:val="24"/>
    </w:rPr>
  </w:style>
  <w:style w:type="paragraph" w:customStyle="1" w:styleId="2TimesNewRoman">
    <w:name w:val="正文首行缩进 2 + Times New Roman"/>
    <w:basedOn w:val="a2"/>
    <w:link w:val="2TimesNewRomanCharChar"/>
    <w:qFormat/>
    <w:pPr>
      <w:tabs>
        <w:tab w:val="left" w:pos="0"/>
        <w:tab w:val="left" w:pos="870"/>
        <w:tab w:val="left" w:pos="3150"/>
      </w:tabs>
      <w:spacing w:line="360" w:lineRule="auto"/>
      <w:ind w:firstLineChars="200" w:firstLine="480"/>
      <w:jc w:val="both"/>
    </w:pPr>
    <w:rPr>
      <w:rFonts w:hAnsi="宋体"/>
      <w:sz w:val="24"/>
      <w:szCs w:val="24"/>
    </w:rPr>
  </w:style>
  <w:style w:type="character" w:customStyle="1" w:styleId="large1">
    <w:name w:val="large1"/>
    <w:rPr>
      <w:rFonts w:ascii="宋体" w:eastAsia="宋体" w:hAnsi="宋体" w:hint="eastAsia"/>
      <w:spacing w:val="336"/>
      <w:sz w:val="22"/>
      <w:szCs w:val="22"/>
    </w:rPr>
  </w:style>
  <w:style w:type="character" w:customStyle="1" w:styleId="08Char">
    <w:name w:val="样式 正文文本 + 首行缩进:  0.8 厘米 Char"/>
    <w:link w:val="08"/>
    <w:rPr>
      <w:rFonts w:ascii="仿宋_GB2312" w:eastAsia="仿宋_GB2312" w:hAnsi="宋体"/>
      <w:spacing w:val="-8"/>
      <w:sz w:val="28"/>
      <w:szCs w:val="28"/>
    </w:rPr>
  </w:style>
  <w:style w:type="paragraph" w:customStyle="1" w:styleId="08">
    <w:name w:val="样式 正文文本 + 首行缩进:  0.8 厘米"/>
    <w:basedOn w:val="af4"/>
    <w:link w:val="08Char"/>
    <w:pPr>
      <w:autoSpaceDE/>
      <w:autoSpaceDN/>
      <w:adjustRightInd/>
      <w:spacing w:after="0" w:line="360" w:lineRule="auto"/>
      <w:ind w:firstLineChars="200" w:firstLine="200"/>
      <w:jc w:val="both"/>
    </w:pPr>
    <w:rPr>
      <w:rFonts w:ascii="仿宋_GB2312" w:eastAsia="仿宋_GB2312" w:hAnsi="宋体"/>
      <w:spacing w:val="-8"/>
      <w:sz w:val="28"/>
      <w:szCs w:val="28"/>
    </w:rPr>
  </w:style>
  <w:style w:type="character" w:customStyle="1" w:styleId="question-title">
    <w:name w:val="question-title"/>
    <w:basedOn w:val="a4"/>
  </w:style>
  <w:style w:type="character" w:customStyle="1" w:styleId="CharCharfff2">
    <w:name w:val="正文格式 Char Char"/>
    <w:rPr>
      <w:rFonts w:ascii="宋体" w:eastAsia="宋体" w:cs="宋体"/>
      <w:kern w:val="2"/>
      <w:sz w:val="24"/>
      <w:szCs w:val="24"/>
      <w:lang w:val="en-US" w:eastAsia="zh-CN" w:bidi="ar-SA"/>
    </w:rPr>
  </w:style>
  <w:style w:type="character" w:customStyle="1" w:styleId="5CharChar0">
    <w:name w:val="标5 Char Char"/>
    <w:rPr>
      <w:bCs/>
      <w:snapToGrid w:val="0"/>
      <w:sz w:val="24"/>
      <w:szCs w:val="24"/>
    </w:rPr>
  </w:style>
  <w:style w:type="character" w:customStyle="1" w:styleId="tit021">
    <w:name w:val="tit021"/>
    <w:rPr>
      <w:sz w:val="21"/>
      <w:szCs w:val="21"/>
      <w:u w:val="none"/>
    </w:rPr>
  </w:style>
  <w:style w:type="character" w:customStyle="1" w:styleId="2Char41">
    <w:name w:val="正文文本缩进 2 Char4"/>
    <w:uiPriority w:val="99"/>
    <w:semiHidden/>
  </w:style>
  <w:style w:type="character" w:customStyle="1" w:styleId="title-blue1">
    <w:name w:val="title-blue1"/>
    <w:rPr>
      <w:rFonts w:ascii="幼圆" w:eastAsia="幼圆" w:hint="eastAsia"/>
      <w:b/>
      <w:bCs/>
      <w:color w:val="009FFF"/>
      <w:spacing w:val="75"/>
      <w:sz w:val="24"/>
      <w:szCs w:val="24"/>
    </w:rPr>
  </w:style>
  <w:style w:type="character" w:customStyle="1" w:styleId="richtextmngstyle1">
    <w:name w:val="richtextmngstyle1"/>
    <w:rPr>
      <w:color w:val="000000"/>
      <w:spacing w:val="15"/>
      <w:sz w:val="21"/>
      <w:szCs w:val="21"/>
      <w:u w:val="none"/>
    </w:rPr>
  </w:style>
  <w:style w:type="character" w:customStyle="1" w:styleId="CharCharCharCharCharCharCharChar0">
    <w:name w:val="正文样式 Char Char Char Char Char Char Char Char"/>
    <w:link w:val="CharCharChar3"/>
    <w:rPr>
      <w:rFonts w:ascii="宋体" w:eastAsia="宋体" w:hAnsi="宋体"/>
      <w:color w:val="000000"/>
      <w:sz w:val="24"/>
      <w:szCs w:val="24"/>
    </w:rPr>
  </w:style>
  <w:style w:type="paragraph" w:customStyle="1" w:styleId="CharCharChar3">
    <w:name w:val="正文样式 Char Char Char"/>
    <w:basedOn w:val="a2"/>
    <w:link w:val="CharCharCharCharCharCharCharChar0"/>
    <w:qFormat/>
    <w:pPr>
      <w:spacing w:line="360" w:lineRule="auto"/>
      <w:ind w:firstLineChars="200" w:firstLine="480"/>
    </w:pPr>
    <w:rPr>
      <w:rFonts w:ascii="宋体" w:eastAsia="宋体" w:hAnsi="宋体"/>
      <w:color w:val="000000"/>
      <w:sz w:val="24"/>
      <w:szCs w:val="24"/>
    </w:rPr>
  </w:style>
  <w:style w:type="character" w:customStyle="1" w:styleId="1Char11">
    <w:name w:val="标题 1 Char1"/>
    <w:rPr>
      <w:rFonts w:ascii="黑体" w:eastAsia="黑体" w:hAnsi="黑体"/>
      <w:bCs/>
      <w:kern w:val="44"/>
      <w:sz w:val="36"/>
      <w:szCs w:val="36"/>
    </w:rPr>
  </w:style>
  <w:style w:type="character" w:customStyle="1" w:styleId="12Char">
    <w:name w:val="样式12 Char"/>
    <w:rPr>
      <w:rFonts w:ascii="宋体" w:hAnsi="宋体"/>
      <w:sz w:val="28"/>
      <w:szCs w:val="28"/>
    </w:rPr>
  </w:style>
  <w:style w:type="character" w:customStyle="1" w:styleId="1CharChar6">
    <w:name w:val="正文(1) Char Char"/>
    <w:link w:val="1fe"/>
    <w:rPr>
      <w:rFonts w:ascii="Arial" w:eastAsia="仿宋_GB2312" w:hAnsi="Arial"/>
      <w:sz w:val="24"/>
      <w:szCs w:val="21"/>
    </w:rPr>
  </w:style>
  <w:style w:type="paragraph" w:customStyle="1" w:styleId="1fe">
    <w:name w:val="正文(1)"/>
    <w:basedOn w:val="a2"/>
    <w:link w:val="1CharChar6"/>
    <w:qFormat/>
    <w:pPr>
      <w:snapToGrid w:val="0"/>
      <w:spacing w:beforeLines="50" w:before="156" w:line="312" w:lineRule="auto"/>
      <w:ind w:firstLineChars="200" w:firstLine="200"/>
    </w:pPr>
    <w:rPr>
      <w:rFonts w:eastAsia="仿宋_GB2312" w:hAnsi="Arial"/>
      <w:sz w:val="24"/>
    </w:rPr>
  </w:style>
  <w:style w:type="character" w:customStyle="1" w:styleId="1012Char">
    <w:name w:val="样式 样式 首行缩进:  1.01 厘米 + 首行缩进:  2 字符 Char"/>
    <w:link w:val="1012"/>
    <w:rPr>
      <w:rFonts w:ascii="黑体" w:eastAsia="黑体" w:hAnsi="宋体"/>
      <w:color w:val="000000"/>
    </w:rPr>
  </w:style>
  <w:style w:type="paragraph" w:customStyle="1" w:styleId="1012">
    <w:name w:val="样式 样式 首行缩进:  1.01 厘米 + 首行缩进:  2 字符"/>
    <w:basedOn w:val="101"/>
    <w:link w:val="1012Char"/>
    <w:qFormat/>
    <w:pPr>
      <w:ind w:firstLine="200"/>
    </w:pPr>
    <w:rPr>
      <w:szCs w:val="22"/>
    </w:rPr>
  </w:style>
  <w:style w:type="character" w:customStyle="1" w:styleId="CharCharChar4">
    <w:name w:val="正文首行缩进 Char Char Char"/>
    <w:rPr>
      <w:rFonts w:ascii="Times New Roman" w:eastAsia="宋体" w:hAnsi="Times New Roman" w:cs="Times New Roman"/>
      <w:sz w:val="24"/>
      <w:szCs w:val="24"/>
    </w:rPr>
  </w:style>
  <w:style w:type="character" w:customStyle="1" w:styleId="CharChar92">
    <w:name w:val="Char Char92"/>
    <w:rPr>
      <w:rFonts w:ascii="宋体" w:eastAsia="宋体" w:hAnsi="Courier New"/>
      <w:sz w:val="21"/>
      <w:lang w:val="en-US" w:eastAsia="zh-CN" w:bidi="ar-SA"/>
    </w:rPr>
  </w:style>
  <w:style w:type="character" w:customStyle="1" w:styleId="CharCharfff3">
    <w:name w:val="正文(缩进) Char Char"/>
    <w:link w:val="affffffff"/>
    <w:locked/>
    <w:rPr>
      <w:sz w:val="24"/>
      <w:szCs w:val="24"/>
    </w:rPr>
  </w:style>
  <w:style w:type="paragraph" w:customStyle="1" w:styleId="affffffff">
    <w:name w:val="正文(缩进)"/>
    <w:basedOn w:val="a2"/>
    <w:link w:val="CharCharfff3"/>
    <w:qFormat/>
    <w:pPr>
      <w:spacing w:line="360" w:lineRule="auto"/>
      <w:ind w:firstLineChars="200" w:firstLine="200"/>
      <w:jc w:val="both"/>
    </w:pPr>
    <w:rPr>
      <w:sz w:val="24"/>
      <w:szCs w:val="24"/>
    </w:rPr>
  </w:style>
  <w:style w:type="character" w:customStyle="1" w:styleId="CharChar84">
    <w:name w:val="Char Char84"/>
    <w:rPr>
      <w:rFonts w:eastAsia="仿宋_GB2312"/>
      <w:kern w:val="2"/>
      <w:sz w:val="18"/>
      <w:szCs w:val="18"/>
      <w:lang w:val="en-US" w:eastAsia="zh-CN" w:bidi="ar-SA"/>
    </w:rPr>
  </w:style>
  <w:style w:type="character" w:customStyle="1" w:styleId="haogao1">
    <w:name w:val="haogao1"/>
  </w:style>
  <w:style w:type="character" w:customStyle="1" w:styleId="2f5">
    <w:name w:val="超链接2"/>
    <w:rPr>
      <w:color w:val="0000FF"/>
      <w:u w:val="single"/>
    </w:rPr>
  </w:style>
  <w:style w:type="character" w:customStyle="1" w:styleId="CharCharCharChar3">
    <w:name w:val="日期 Char Char Char Char"/>
    <w:link w:val="3f4"/>
    <w:rPr>
      <w:rFonts w:ascii="宋体"/>
      <w:sz w:val="24"/>
    </w:rPr>
  </w:style>
  <w:style w:type="paragraph" w:customStyle="1" w:styleId="3f4">
    <w:name w:val="日期3"/>
    <w:basedOn w:val="a2"/>
    <w:next w:val="a2"/>
    <w:link w:val="CharCharCharChar3"/>
    <w:qFormat/>
    <w:pPr>
      <w:textAlignment w:val="baseline"/>
    </w:pPr>
    <w:rPr>
      <w:rFonts w:ascii="宋体"/>
      <w:sz w:val="24"/>
      <w:szCs w:val="22"/>
    </w:rPr>
  </w:style>
  <w:style w:type="character" w:customStyle="1" w:styleId="CharChar172">
    <w:name w:val="Char Char172"/>
    <w:rPr>
      <w:sz w:val="18"/>
      <w:szCs w:val="18"/>
    </w:rPr>
  </w:style>
  <w:style w:type="character" w:customStyle="1" w:styleId="CharChar36">
    <w:name w:val="Char Char36"/>
    <w:rPr>
      <w:rFonts w:ascii="Arial" w:eastAsia="MS Mincho" w:hAnsi="Arial"/>
      <w:b/>
      <w:kern w:val="2"/>
      <w:sz w:val="28"/>
      <w:u w:val="single"/>
      <w:lang w:val="en-US" w:eastAsia="ja-JP" w:bidi="ar-SA"/>
    </w:rPr>
  </w:style>
  <w:style w:type="character" w:customStyle="1" w:styleId="chenChar0">
    <w:name w:val="chen 正文字体 Char"/>
  </w:style>
  <w:style w:type="character" w:customStyle="1" w:styleId="CharCharCharCharCharChar3">
    <w:name w:val="表号 Char Char Char Char Char Char"/>
    <w:link w:val="CharCharCharCharChar2"/>
    <w:rPr>
      <w:sz w:val="24"/>
    </w:rPr>
  </w:style>
  <w:style w:type="paragraph" w:customStyle="1" w:styleId="CharCharCharCharChar2">
    <w:name w:val="表号 Char Char Char Char Char"/>
    <w:basedOn w:val="a2"/>
    <w:link w:val="CharCharCharCharCharChar3"/>
    <w:qFormat/>
    <w:pPr>
      <w:spacing w:line="360" w:lineRule="auto"/>
      <w:jc w:val="both"/>
      <w:textAlignment w:val="baseline"/>
    </w:pPr>
    <w:rPr>
      <w:sz w:val="24"/>
      <w:szCs w:val="22"/>
    </w:rPr>
  </w:style>
  <w:style w:type="character" w:customStyle="1" w:styleId="articlebody21">
    <w:name w:val="articlebody21"/>
    <w:rPr>
      <w:sz w:val="21"/>
      <w:szCs w:val="21"/>
    </w:rPr>
  </w:style>
  <w:style w:type="character" w:customStyle="1" w:styleId="2CharChar2">
    <w:name w:val="正文 + 首行缩进:  2 字符 Char Char"/>
    <w:rPr>
      <w:rFonts w:eastAsia="宋体" w:cs="宋体"/>
      <w:kern w:val="2"/>
      <w:sz w:val="24"/>
      <w:lang w:val="en-US" w:eastAsia="zh-CN" w:bidi="ar-SA"/>
    </w:rPr>
  </w:style>
  <w:style w:type="character" w:customStyle="1" w:styleId="1ff">
    <w:name w:val="批注框文本 字符1"/>
    <w:uiPriority w:val="99"/>
    <w:rPr>
      <w:kern w:val="2"/>
      <w:sz w:val="18"/>
      <w:szCs w:val="18"/>
    </w:rPr>
  </w:style>
  <w:style w:type="character" w:customStyle="1" w:styleId="content">
    <w:name w:val="content"/>
  </w:style>
  <w:style w:type="character" w:customStyle="1" w:styleId="6Char10">
    <w:name w:val="标题 6 Char1"/>
    <w:rPr>
      <w:rFonts w:ascii="Cambria" w:eastAsia="宋体" w:hAnsi="Cambria" w:cs="Times New Roman"/>
      <w:b/>
      <w:bCs/>
      <w:spacing w:val="-5"/>
      <w:kern w:val="0"/>
      <w:sz w:val="28"/>
      <w:szCs w:val="20"/>
      <w:lang w:bidi="he-IL"/>
    </w:rPr>
  </w:style>
  <w:style w:type="character" w:customStyle="1" w:styleId="CharChar233">
    <w:name w:val="Char Char233"/>
    <w:rPr>
      <w:rFonts w:eastAsia="宋体"/>
      <w:b/>
      <w:bCs/>
      <w:kern w:val="2"/>
      <w:sz w:val="28"/>
      <w:szCs w:val="28"/>
      <w:lang w:val="en-US" w:eastAsia="zh-CN" w:bidi="ar-SA"/>
    </w:rPr>
  </w:style>
  <w:style w:type="character" w:customStyle="1" w:styleId="hilite12">
    <w:name w:val="hilite12"/>
    <w:rPr>
      <w:color w:val="000000"/>
      <w:shd w:val="clear" w:color="auto" w:fill="FFFF66"/>
    </w:rPr>
  </w:style>
  <w:style w:type="character" w:customStyle="1" w:styleId="2CharChar3">
    <w:name w:val="2级标题 Char Char"/>
    <w:link w:val="2f6"/>
    <w:rPr>
      <w:rFonts w:ascii="黑体" w:hAnsi="宋体"/>
      <w:sz w:val="28"/>
      <w:szCs w:val="28"/>
    </w:rPr>
  </w:style>
  <w:style w:type="paragraph" w:customStyle="1" w:styleId="2f6">
    <w:name w:val="2级标题"/>
    <w:basedOn w:val="22"/>
    <w:link w:val="2CharChar3"/>
    <w:qFormat/>
    <w:pPr>
      <w:keepNext w:val="0"/>
      <w:keepLines w:val="0"/>
      <w:tabs>
        <w:tab w:val="left" w:pos="3564"/>
      </w:tabs>
      <w:spacing w:before="0" w:after="0" w:line="360" w:lineRule="auto"/>
      <w:jc w:val="both"/>
    </w:pPr>
    <w:rPr>
      <w:rFonts w:ascii="黑体" w:eastAsiaTheme="minorEastAsia" w:hAnsi="宋体" w:cstheme="minorBidi"/>
      <w:b w:val="0"/>
      <w:bCs w:val="0"/>
      <w:sz w:val="28"/>
      <w:szCs w:val="28"/>
    </w:rPr>
  </w:style>
  <w:style w:type="character" w:customStyle="1" w:styleId="Char7">
    <w:name w:val="称呼 Char"/>
    <w:link w:val="af2"/>
    <w:rPr>
      <w:rFonts w:eastAsia="楷体_GB2312"/>
      <w:sz w:val="32"/>
    </w:rPr>
  </w:style>
  <w:style w:type="character" w:customStyle="1" w:styleId="Charfffff6">
    <w:name w:val="表格内字体 Char"/>
    <w:link w:val="affffffff0"/>
    <w:rPr>
      <w:rFonts w:ascii="宋体"/>
      <w:szCs w:val="21"/>
    </w:rPr>
  </w:style>
  <w:style w:type="paragraph" w:customStyle="1" w:styleId="affffffff0">
    <w:name w:val="表格内字体"/>
    <w:basedOn w:val="a2"/>
    <w:next w:val="27"/>
    <w:link w:val="Charfffff6"/>
    <w:qFormat/>
    <w:pPr>
      <w:jc w:val="center"/>
    </w:pPr>
    <w:rPr>
      <w:rFonts w:ascii="宋体"/>
    </w:rPr>
  </w:style>
  <w:style w:type="character" w:customStyle="1" w:styleId="Char1fa">
    <w:name w:val="信息标题 Char1"/>
    <w:rPr>
      <w:rFonts w:ascii="Cambria" w:eastAsia="宋体" w:hAnsi="Cambria" w:cs="Times New Roman"/>
      <w:kern w:val="2"/>
      <w:sz w:val="24"/>
      <w:szCs w:val="24"/>
      <w:shd w:val="pct20" w:color="auto" w:fill="auto"/>
    </w:rPr>
  </w:style>
  <w:style w:type="character" w:customStyle="1" w:styleId="2CharChar4">
    <w:name w:val="正文文字 2 Char Char"/>
    <w:rPr>
      <w:rFonts w:ascii="宋体" w:eastAsia="宋体"/>
      <w:kern w:val="2"/>
      <w:sz w:val="30"/>
      <w:lang w:val="en-US" w:eastAsia="zh-CN" w:bidi="ar-SA"/>
    </w:rPr>
  </w:style>
  <w:style w:type="character" w:customStyle="1" w:styleId="hhcwtChar">
    <w:name w:val="hhcwt正文 Char"/>
    <w:rPr>
      <w:rFonts w:eastAsia="宋体" w:cs="宋体"/>
      <w:kern w:val="2"/>
      <w:sz w:val="24"/>
      <w:lang w:val="en-US" w:eastAsia="zh-CN" w:bidi="ar-SA"/>
    </w:rPr>
  </w:style>
  <w:style w:type="character" w:customStyle="1" w:styleId="style51">
    <w:name w:val="style51"/>
    <w:rPr>
      <w:b/>
      <w:bCs/>
      <w:sz w:val="27"/>
      <w:szCs w:val="27"/>
    </w:rPr>
  </w:style>
  <w:style w:type="character" w:customStyle="1" w:styleId="Char3b">
    <w:name w:val="正文文本 Char3"/>
    <w:uiPriority w:val="99"/>
    <w:semiHidden/>
    <w:rPr>
      <w:kern w:val="2"/>
      <w:sz w:val="21"/>
      <w:szCs w:val="22"/>
    </w:rPr>
  </w:style>
  <w:style w:type="character" w:customStyle="1" w:styleId="CharChar204">
    <w:name w:val="Char Char204"/>
    <w:rPr>
      <w:rFonts w:ascii="Arial" w:eastAsia="黑体" w:hAnsi="Arial"/>
      <w:kern w:val="2"/>
      <w:sz w:val="24"/>
      <w:lang w:val="en-US" w:eastAsia="zh-CN" w:bidi="ar-SA"/>
    </w:rPr>
  </w:style>
  <w:style w:type="character" w:customStyle="1" w:styleId="Char1Char">
    <w:name w:val="题注 Char1 Char"/>
    <w:rPr>
      <w:rFonts w:ascii="Arial" w:eastAsia="黑体" w:hAnsi="Arial" w:cs="Arial"/>
      <w:kern w:val="2"/>
      <w:lang w:val="en-US" w:eastAsia="zh-CN" w:bidi="ar-SA"/>
    </w:rPr>
  </w:style>
  <w:style w:type="character" w:customStyle="1" w:styleId="affffffff1">
    <w:name w:val="样式 小四"/>
    <w:rPr>
      <w:rFonts w:eastAsia="宋体"/>
      <w:kern w:val="0"/>
      <w:sz w:val="28"/>
    </w:rPr>
  </w:style>
  <w:style w:type="character" w:customStyle="1" w:styleId="CharChar100">
    <w:name w:val="Char Char10"/>
    <w:rPr>
      <w:rFonts w:ascii="宋体" w:eastAsia="宋体" w:hAnsi="宋体" w:cs="Times New Roman"/>
      <w:snapToGrid w:val="0"/>
      <w:color w:val="000000"/>
      <w:kern w:val="0"/>
      <w:sz w:val="24"/>
      <w:szCs w:val="24"/>
    </w:rPr>
  </w:style>
  <w:style w:type="character" w:customStyle="1" w:styleId="CharChar242">
    <w:name w:val="Char Char242"/>
    <w:rPr>
      <w:rFonts w:eastAsia="宋体"/>
      <w:b/>
      <w:kern w:val="44"/>
      <w:sz w:val="32"/>
      <w:lang w:val="en-US" w:eastAsia="zh-CN" w:bidi="ar-SA"/>
    </w:rPr>
  </w:style>
  <w:style w:type="character" w:customStyle="1" w:styleId="ttag">
    <w:name w:val="t_tag"/>
    <w:rPr>
      <w:rFonts w:cs="Times New Roman"/>
    </w:rPr>
  </w:style>
  <w:style w:type="character" w:customStyle="1" w:styleId="130">
    <w:name w:val="正文文本 (13)_"/>
    <w:link w:val="131"/>
    <w:qFormat/>
    <w:rPr>
      <w:rFonts w:ascii="Batang" w:eastAsia="Batang"/>
      <w:sz w:val="26"/>
      <w:szCs w:val="26"/>
      <w:shd w:val="clear" w:color="auto" w:fill="FFFFFF"/>
      <w:lang w:eastAsia="en-US"/>
    </w:rPr>
  </w:style>
  <w:style w:type="paragraph" w:customStyle="1" w:styleId="131">
    <w:name w:val="正文文本 (13)1"/>
    <w:basedOn w:val="a2"/>
    <w:link w:val="130"/>
    <w:qFormat/>
    <w:pPr>
      <w:shd w:val="clear" w:color="auto" w:fill="FFFFFF"/>
      <w:spacing w:line="240" w:lineRule="atLeast"/>
    </w:pPr>
    <w:rPr>
      <w:rFonts w:ascii="Batang" w:eastAsia="Batang"/>
      <w:sz w:val="26"/>
      <w:szCs w:val="26"/>
      <w:lang w:eastAsia="en-US"/>
    </w:rPr>
  </w:style>
  <w:style w:type="character" w:customStyle="1" w:styleId="Char47">
    <w:name w:val="电子邮件签名 Char4"/>
    <w:qFormat/>
    <w:rPr>
      <w:kern w:val="2"/>
      <w:sz w:val="24"/>
      <w:szCs w:val="24"/>
    </w:rPr>
  </w:style>
  <w:style w:type="character" w:customStyle="1" w:styleId="Charfffff7">
    <w:name w:val="表格中的内容 Char"/>
    <w:link w:val="affffffff2"/>
    <w:qFormat/>
    <w:rPr>
      <w:szCs w:val="21"/>
    </w:rPr>
  </w:style>
  <w:style w:type="paragraph" w:customStyle="1" w:styleId="affffffff2">
    <w:name w:val="表格中的内容"/>
    <w:basedOn w:val="a2"/>
    <w:link w:val="Charfffff7"/>
    <w:pPr>
      <w:autoSpaceDE/>
      <w:autoSpaceDN/>
      <w:adjustRightInd/>
      <w:jc w:val="center"/>
    </w:pPr>
  </w:style>
  <w:style w:type="character" w:customStyle="1" w:styleId="4-25CharChar">
    <w:name w:val="4-25正 Char Char"/>
    <w:link w:val="4-25"/>
    <w:qFormat/>
    <w:rPr>
      <w:rFonts w:cs="宋体"/>
      <w:sz w:val="24"/>
    </w:rPr>
  </w:style>
  <w:style w:type="paragraph" w:customStyle="1" w:styleId="4-25">
    <w:name w:val="4-25正"/>
    <w:basedOn w:val="a2"/>
    <w:link w:val="4-25CharChar"/>
    <w:qFormat/>
    <w:pPr>
      <w:spacing w:before="40" w:after="40" w:line="360" w:lineRule="auto"/>
      <w:ind w:firstLineChars="200" w:firstLine="480"/>
      <w:jc w:val="both"/>
    </w:pPr>
    <w:rPr>
      <w:rFonts w:cs="宋体"/>
      <w:sz w:val="24"/>
      <w:szCs w:val="22"/>
    </w:rPr>
  </w:style>
  <w:style w:type="character" w:customStyle="1" w:styleId="javascript">
    <w:name w:val="javascript"/>
    <w:basedOn w:val="a4"/>
    <w:qFormat/>
  </w:style>
  <w:style w:type="character" w:customStyle="1" w:styleId="2H2Underrubrik1prop2Heading2HiddenHeading2CCBChar">
    <w:name w:val="样式 样式 标题 2H2（一）Underrubrik1prop2Heading 2 HiddenHeading 2 CCB...... Char"/>
    <w:link w:val="2H2Underrubrik1prop2Heading2HiddenHeading2CCB"/>
    <w:rPr>
      <w:rFonts w:ascii="仿宋_GB2312" w:eastAsia="仿宋_GB2312" w:hAnsi="仿宋_GB2312"/>
      <w:b/>
      <w:bCs/>
      <w:sz w:val="28"/>
      <w:szCs w:val="32"/>
    </w:rPr>
  </w:style>
  <w:style w:type="paragraph" w:customStyle="1" w:styleId="2H2Underrubrik1prop2Heading2HiddenHeading2CCB">
    <w:name w:val="样式 样式 标题 2H2（一）Underrubrik1prop2Heading 2 HiddenHeading 2 CCB......"/>
    <w:basedOn w:val="2H2Underrubrik1prop2Heading2HiddenHeading2CCB0"/>
    <w:link w:val="2H2Underrubrik1prop2Heading2HiddenHeading2CCBChar"/>
    <w:pPr>
      <w:spacing w:before="120" w:after="120" w:line="500" w:lineRule="exact"/>
    </w:pPr>
    <w:rPr>
      <w:rFonts w:ascii="仿宋_GB2312" w:eastAsia="仿宋_GB2312" w:hAnsi="仿宋_GB2312"/>
      <w:sz w:val="28"/>
      <w:szCs w:val="32"/>
    </w:rPr>
  </w:style>
  <w:style w:type="paragraph" w:customStyle="1" w:styleId="2H2Underrubrik1prop2Heading2HiddenHeading2CCB0">
    <w:name w:val="样式 标题 2H2（一）Underrubrik1prop2Heading 2 HiddenHeading 2 CCB..."/>
    <w:basedOn w:val="22"/>
    <w:link w:val="2H2Underrubrik1prop2Heading2HiddenHeading2CCBChar0"/>
    <w:qFormat/>
    <w:pPr>
      <w:spacing w:before="200" w:after="200" w:line="498" w:lineRule="exact"/>
      <w:jc w:val="both"/>
    </w:pPr>
    <w:rPr>
      <w:rFonts w:asciiTheme="minorHAnsi" w:eastAsiaTheme="minorEastAsia" w:hAnsiTheme="minorHAnsi" w:cstheme="minorBidi"/>
      <w:sz w:val="30"/>
      <w:szCs w:val="22"/>
    </w:rPr>
  </w:style>
  <w:style w:type="character" w:customStyle="1" w:styleId="Charfffff8">
    <w:name w:val="大纲正文 Char"/>
    <w:link w:val="affffffff3"/>
    <w:rPr>
      <w:rFonts w:cs="宋体"/>
      <w:sz w:val="24"/>
    </w:rPr>
  </w:style>
  <w:style w:type="paragraph" w:customStyle="1" w:styleId="affffffff3">
    <w:name w:val="大纲正文"/>
    <w:basedOn w:val="a2"/>
    <w:link w:val="Charfffff8"/>
    <w:qFormat/>
    <w:pPr>
      <w:snapToGrid w:val="0"/>
      <w:spacing w:afterLines="50" w:after="156" w:line="300" w:lineRule="auto"/>
      <w:ind w:firstLineChars="200" w:firstLine="480"/>
      <w:jc w:val="both"/>
    </w:pPr>
    <w:rPr>
      <w:rFonts w:cs="宋体"/>
      <w:sz w:val="24"/>
      <w:szCs w:val="22"/>
    </w:rPr>
  </w:style>
  <w:style w:type="character" w:customStyle="1" w:styleId="Batang">
    <w:name w:val="表格标题 + Batang"/>
    <w:qFormat/>
    <w:rPr>
      <w:rFonts w:ascii="Batang" w:eastAsia="Batang" w:cs="Batang"/>
      <w:sz w:val="19"/>
      <w:szCs w:val="19"/>
      <w:u w:val="none"/>
      <w:lang w:val="en-US" w:eastAsia="en-US"/>
    </w:rPr>
  </w:style>
  <w:style w:type="character" w:customStyle="1" w:styleId="1CharChar7">
    <w:name w:val="表题1 Char Char"/>
    <w:link w:val="1ff0"/>
    <w:qFormat/>
    <w:rPr>
      <w:rFonts w:ascii="黑体" w:eastAsia="黑体" w:hAnsi="宋体"/>
      <w:color w:val="000000"/>
      <w:sz w:val="24"/>
      <w:szCs w:val="24"/>
    </w:rPr>
  </w:style>
  <w:style w:type="paragraph" w:customStyle="1" w:styleId="1ff0">
    <w:name w:val="表题1"/>
    <w:basedOn w:val="66"/>
    <w:link w:val="1CharChar7"/>
    <w:qFormat/>
    <w:pPr>
      <w:jc w:val="center"/>
    </w:pPr>
    <w:rPr>
      <w:rFonts w:ascii="黑体" w:eastAsia="黑体" w:hAnsi="宋体"/>
    </w:rPr>
  </w:style>
  <w:style w:type="character" w:customStyle="1" w:styleId="17131171Char">
    <w:name w:val="样式 样式 首行缩进:  1.71 字符31 + 左 首行缩进:  1.71 字符 Char"/>
    <w:link w:val="17131171"/>
    <w:qFormat/>
    <w:rPr>
      <w:sz w:val="24"/>
    </w:rPr>
  </w:style>
  <w:style w:type="paragraph" w:customStyle="1" w:styleId="17131171">
    <w:name w:val="样式 样式 首行缩进:  1.71 字符31 + 左 首行缩进:  1.71 字符"/>
    <w:basedOn w:val="a2"/>
    <w:next w:val="a2"/>
    <w:link w:val="17131171Char"/>
    <w:qFormat/>
    <w:pPr>
      <w:spacing w:line="360" w:lineRule="auto"/>
      <w:ind w:firstLine="410"/>
    </w:pPr>
    <w:rPr>
      <w:sz w:val="24"/>
      <w:szCs w:val="22"/>
    </w:rPr>
  </w:style>
  <w:style w:type="character" w:customStyle="1" w:styleId="a14">
    <w:name w:val="a14"/>
    <w:qFormat/>
  </w:style>
  <w:style w:type="character" w:customStyle="1" w:styleId="CharChar181">
    <w:name w:val="Char Char181"/>
    <w:rPr>
      <w:rFonts w:ascii="Arial" w:eastAsia="黑体" w:hAnsi="Arial"/>
      <w:sz w:val="24"/>
      <w:lang w:val="en-US" w:eastAsia="zh-CN" w:bidi="ar-SA"/>
    </w:rPr>
  </w:style>
  <w:style w:type="character" w:customStyle="1" w:styleId="001Char">
    <w:name w:val="正文001 Char"/>
    <w:link w:val="001"/>
    <w:locked/>
    <w:rPr>
      <w:sz w:val="24"/>
    </w:rPr>
  </w:style>
  <w:style w:type="paragraph" w:customStyle="1" w:styleId="001">
    <w:name w:val="正文001"/>
    <w:basedOn w:val="a2"/>
    <w:link w:val="001Char"/>
    <w:qFormat/>
    <w:pPr>
      <w:spacing w:before="60" w:line="420" w:lineRule="exact"/>
      <w:ind w:firstLine="482"/>
      <w:jc w:val="both"/>
    </w:pPr>
    <w:rPr>
      <w:sz w:val="24"/>
      <w:szCs w:val="22"/>
    </w:rPr>
  </w:style>
  <w:style w:type="character" w:customStyle="1" w:styleId="TimesNewRomanCharChar0">
    <w:name w:val="样式 报告 + Times New Roman Char Char"/>
    <w:link w:val="TimesNewRomanChar0"/>
    <w:rPr>
      <w:sz w:val="28"/>
      <w:szCs w:val="28"/>
    </w:rPr>
  </w:style>
  <w:style w:type="paragraph" w:customStyle="1" w:styleId="TimesNewRomanChar0">
    <w:name w:val="样式 报告 + Times New Roman Char"/>
    <w:basedOn w:val="a2"/>
    <w:link w:val="TimesNewRomanCharChar0"/>
    <w:qFormat/>
    <w:pPr>
      <w:spacing w:line="500" w:lineRule="exact"/>
      <w:ind w:firstLine="505"/>
      <w:jc w:val="both"/>
      <w:textAlignment w:val="center"/>
    </w:pPr>
    <w:rPr>
      <w:szCs w:val="28"/>
    </w:rPr>
  </w:style>
  <w:style w:type="character" w:customStyle="1" w:styleId="2Char20">
    <w:name w:val="正文文本 2 Char2"/>
    <w:rPr>
      <w:rFonts w:ascii="Times New Roman" w:eastAsia="宋体" w:hAnsi="Times New Roman" w:cs="Times New Roman"/>
      <w:szCs w:val="24"/>
    </w:rPr>
  </w:style>
  <w:style w:type="character" w:customStyle="1" w:styleId="DChar">
    <w:name w:val="D Char"/>
    <w:link w:val="D"/>
    <w:rPr>
      <w:bCs/>
      <w:kern w:val="44"/>
      <w:sz w:val="24"/>
      <w:szCs w:val="24"/>
    </w:rPr>
  </w:style>
  <w:style w:type="paragraph" w:customStyle="1" w:styleId="D">
    <w:name w:val="D"/>
    <w:basedOn w:val="12"/>
    <w:next w:val="a2"/>
    <w:link w:val="DChar"/>
    <w:qFormat/>
    <w:pPr>
      <w:textAlignment w:val="auto"/>
      <w:outlineLvl w:val="3"/>
    </w:pPr>
    <w:rPr>
      <w:rFonts w:asciiTheme="minorHAnsi" w:eastAsiaTheme="minorEastAsia"/>
      <w:sz w:val="24"/>
      <w:szCs w:val="24"/>
    </w:rPr>
  </w:style>
  <w:style w:type="character" w:customStyle="1" w:styleId="CharCharfff4">
    <w:name w:val="样式 表头 + 黑色 Char Char"/>
    <w:link w:val="affffffff4"/>
    <w:rPr>
      <w:b/>
      <w:bCs/>
      <w:color w:val="000000"/>
      <w:spacing w:val="-4"/>
      <w:sz w:val="24"/>
      <w:szCs w:val="24"/>
    </w:rPr>
  </w:style>
  <w:style w:type="paragraph" w:customStyle="1" w:styleId="affffffff4">
    <w:name w:val="样式 表头 + 黑色"/>
    <w:basedOn w:val="affffffff5"/>
    <w:link w:val="CharCharfff4"/>
    <w:qFormat/>
    <w:pPr>
      <w:snapToGrid w:val="0"/>
      <w:spacing w:before="0" w:line="360" w:lineRule="auto"/>
    </w:pPr>
    <w:rPr>
      <w:rFonts w:eastAsiaTheme="minorEastAsia"/>
      <w:b/>
      <w:bCs/>
      <w:color w:val="000000"/>
      <w:spacing w:val="-4"/>
    </w:rPr>
  </w:style>
  <w:style w:type="paragraph" w:customStyle="1" w:styleId="affffffff5">
    <w:name w:val="表头"/>
    <w:basedOn w:val="a2"/>
    <w:next w:val="a3"/>
    <w:link w:val="CharCharfff5"/>
    <w:qFormat/>
    <w:pPr>
      <w:spacing w:before="120"/>
      <w:jc w:val="center"/>
    </w:pPr>
    <w:rPr>
      <w:rFonts w:eastAsia="黑体"/>
      <w:sz w:val="24"/>
      <w:szCs w:val="24"/>
    </w:rPr>
  </w:style>
  <w:style w:type="character" w:customStyle="1" w:styleId="3Char20">
    <w:name w:val="正文文本缩进 3 Char2"/>
    <w:rPr>
      <w:rFonts w:ascii="Times New Roman" w:eastAsia="宋体" w:hAnsi="Times New Roman" w:cs="Times New Roman"/>
      <w:sz w:val="16"/>
      <w:szCs w:val="16"/>
    </w:rPr>
  </w:style>
  <w:style w:type="character" w:customStyle="1" w:styleId="Charfffff9">
    <w:name w:val="正文格式 Char"/>
    <w:link w:val="affffffff6"/>
    <w:rPr>
      <w:rFonts w:ascii="宋体" w:cs="宋体"/>
      <w:sz w:val="24"/>
      <w:szCs w:val="24"/>
    </w:rPr>
  </w:style>
  <w:style w:type="paragraph" w:customStyle="1" w:styleId="affffffff6">
    <w:name w:val="正文格式"/>
    <w:basedOn w:val="a2"/>
    <w:link w:val="Charfffff9"/>
    <w:qFormat/>
    <w:pPr>
      <w:spacing w:line="360" w:lineRule="auto"/>
      <w:ind w:firstLine="482"/>
      <w:jc w:val="both"/>
    </w:pPr>
    <w:rPr>
      <w:rFonts w:ascii="宋体" w:cs="宋体"/>
      <w:sz w:val="24"/>
      <w:szCs w:val="24"/>
    </w:rPr>
  </w:style>
  <w:style w:type="character" w:customStyle="1" w:styleId="jtpsoft1">
    <w:name w:val="jtpsoft1"/>
  </w:style>
  <w:style w:type="character" w:customStyle="1" w:styleId="Char3c">
    <w:name w:val="页脚 Char3"/>
    <w:uiPriority w:val="99"/>
    <w:semiHidden/>
    <w:rPr>
      <w:kern w:val="2"/>
      <w:sz w:val="18"/>
      <w:szCs w:val="18"/>
    </w:rPr>
  </w:style>
  <w:style w:type="character" w:customStyle="1" w:styleId="1ff1">
    <w:name w:val="超链接1"/>
    <w:rPr>
      <w:color w:val="0000FF"/>
      <w:u w:val="single"/>
    </w:rPr>
  </w:style>
  <w:style w:type="character" w:customStyle="1" w:styleId="Char1fb">
    <w:name w:val="四号 正文 Char1"/>
    <w:link w:val="affffffff7"/>
    <w:rPr>
      <w:spacing w:val="6"/>
      <w:sz w:val="28"/>
    </w:rPr>
  </w:style>
  <w:style w:type="paragraph" w:customStyle="1" w:styleId="affffffff7">
    <w:name w:val="四号 正文"/>
    <w:basedOn w:val="a2"/>
    <w:link w:val="Char1fb"/>
    <w:qFormat/>
    <w:pPr>
      <w:ind w:firstLineChars="200" w:firstLine="573"/>
      <w:jc w:val="both"/>
    </w:pPr>
    <w:rPr>
      <w:spacing w:val="6"/>
      <w:szCs w:val="22"/>
    </w:rPr>
  </w:style>
  <w:style w:type="character" w:customStyle="1" w:styleId="2Charc">
    <w:name w:val="样式 正文文本 + 首行缩进:  2 字符 Char"/>
    <w:rPr>
      <w:rFonts w:ascii="宋体" w:hAnsi="Times New Roman" w:cs="宋体"/>
      <w:kern w:val="2"/>
      <w:sz w:val="28"/>
    </w:rPr>
  </w:style>
  <w:style w:type="character" w:customStyle="1" w:styleId="Char430">
    <w:name w:val="Char43"/>
    <w:rPr>
      <w:rFonts w:ascii="仿宋_GB2312" w:eastAsia="仿宋_GB2312" w:hint="eastAsia"/>
      <w:kern w:val="2"/>
      <w:sz w:val="28"/>
      <w:lang w:val="en-US" w:eastAsia="zh-CN"/>
    </w:rPr>
  </w:style>
  <w:style w:type="character" w:customStyle="1" w:styleId="CharChar21">
    <w:name w:val="Char Char21"/>
    <w:rPr>
      <w:rFonts w:eastAsia="宋体"/>
      <w:kern w:val="2"/>
      <w:sz w:val="21"/>
      <w:szCs w:val="24"/>
      <w:lang w:val="en-US" w:eastAsia="zh-CN" w:bidi="ar-SA"/>
    </w:rPr>
  </w:style>
  <w:style w:type="character" w:customStyle="1" w:styleId="ziti21">
    <w:name w:val="ziti21"/>
    <w:rPr>
      <w:rFonts w:ascii="ˎ̥" w:hAnsi="ˎ̥" w:hint="default"/>
      <w:color w:val="000000"/>
      <w:sz w:val="21"/>
      <w:szCs w:val="21"/>
      <w:u w:val="none"/>
    </w:rPr>
  </w:style>
  <w:style w:type="character" w:customStyle="1" w:styleId="Char2f2">
    <w:name w:val="小四+首行缩进 Char2"/>
    <w:link w:val="affffffff8"/>
    <w:rPr>
      <w:rFonts w:ascii="宋体" w:hAnsi="宋体" w:cs="宋体"/>
      <w:sz w:val="24"/>
    </w:rPr>
  </w:style>
  <w:style w:type="paragraph" w:customStyle="1" w:styleId="affffffff8">
    <w:name w:val="小四+首行缩进"/>
    <w:basedOn w:val="a2"/>
    <w:link w:val="Char2f2"/>
    <w:qFormat/>
    <w:pPr>
      <w:spacing w:line="360" w:lineRule="auto"/>
      <w:ind w:firstLine="482"/>
    </w:pPr>
    <w:rPr>
      <w:rFonts w:ascii="宋体" w:hAnsi="宋体" w:cs="宋体"/>
      <w:sz w:val="24"/>
      <w:szCs w:val="22"/>
    </w:rPr>
  </w:style>
  <w:style w:type="character" w:customStyle="1" w:styleId="31113CharChar3CharCharCharCharChar">
    <w:name w:val="我的 标题 3条标题1.1.1标题 3 Char Char小标题头小节标题标题 3 Char Char Char标... Char Char"/>
    <w:rPr>
      <w:rFonts w:eastAsia="黑体"/>
      <w:snapToGrid w:val="0"/>
      <w:kern w:val="2"/>
      <w:sz w:val="28"/>
      <w:lang w:val="en-US" w:eastAsia="zh-CN"/>
    </w:rPr>
  </w:style>
  <w:style w:type="character" w:customStyle="1" w:styleId="Char3d">
    <w:name w:val="签名 Char3"/>
    <w:uiPriority w:val="99"/>
    <w:semiHidden/>
    <w:rPr>
      <w:kern w:val="2"/>
      <w:sz w:val="21"/>
      <w:szCs w:val="22"/>
    </w:rPr>
  </w:style>
  <w:style w:type="character" w:customStyle="1" w:styleId="h31">
    <w:name w:val="h31"/>
    <w:rPr>
      <w:sz w:val="23"/>
      <w:szCs w:val="23"/>
    </w:rPr>
  </w:style>
  <w:style w:type="character" w:customStyle="1" w:styleId="aCharChar0">
    <w:name w:val="干标题(a) Char Char"/>
    <w:rPr>
      <w:rFonts w:ascii="Arial" w:eastAsia="黑体" w:hAnsi="Arial"/>
      <w:sz w:val="28"/>
    </w:rPr>
  </w:style>
  <w:style w:type="character" w:customStyle="1" w:styleId="artcontent">
    <w:name w:val="artcontent"/>
  </w:style>
  <w:style w:type="character" w:customStyle="1" w:styleId="kbz2">
    <w:name w:val="kbz2"/>
    <w:rPr>
      <w:color w:val="333333"/>
    </w:rPr>
  </w:style>
  <w:style w:type="character" w:customStyle="1" w:styleId="hhcwt3CharChar">
    <w:name w:val="hhcwt标题3 Char Char"/>
    <w:link w:val="hhcwt3"/>
    <w:rPr>
      <w:rFonts w:eastAsia="楷体_GB2312" w:cs="宋体"/>
      <w:bCs/>
      <w:sz w:val="28"/>
    </w:rPr>
  </w:style>
  <w:style w:type="paragraph" w:customStyle="1" w:styleId="hhcwt3">
    <w:name w:val="hhcwt标题3"/>
    <w:basedOn w:val="a2"/>
    <w:link w:val="hhcwt3CharChar"/>
    <w:qFormat/>
    <w:pPr>
      <w:keepNext/>
      <w:keepLines/>
      <w:spacing w:line="336" w:lineRule="auto"/>
      <w:outlineLvl w:val="2"/>
    </w:pPr>
    <w:rPr>
      <w:rFonts w:cs="宋体"/>
      <w:bCs/>
      <w:szCs w:val="22"/>
    </w:rPr>
  </w:style>
  <w:style w:type="character" w:customStyle="1" w:styleId="Charfffffa">
    <w:name w:val="页码 Char"/>
    <w:rPr>
      <w:rFonts w:cs="Times New Roman"/>
      <w:color w:val="000000"/>
      <w:sz w:val="21"/>
      <w:u w:color="000000"/>
      <w:lang w:val="en-US" w:eastAsia="zh-CN"/>
    </w:rPr>
  </w:style>
  <w:style w:type="character" w:customStyle="1" w:styleId="CharCharCharCharChar3">
    <w:name w:val="表头文字 Char Char Char Char Char"/>
    <w:link w:val="CharCharChar5"/>
    <w:rPr>
      <w:rFonts w:eastAsia="华文中宋"/>
      <w:b/>
      <w:sz w:val="24"/>
      <w:szCs w:val="24"/>
    </w:rPr>
  </w:style>
  <w:style w:type="paragraph" w:customStyle="1" w:styleId="CharCharChar5">
    <w:name w:val="表头文字 Char Char Char"/>
    <w:basedOn w:val="a2"/>
    <w:link w:val="CharCharCharCharChar3"/>
    <w:qFormat/>
    <w:pPr>
      <w:spacing w:line="360" w:lineRule="auto"/>
      <w:jc w:val="center"/>
    </w:pPr>
    <w:rPr>
      <w:rFonts w:eastAsia="华文中宋"/>
      <w:b/>
      <w:sz w:val="24"/>
      <w:szCs w:val="24"/>
    </w:rPr>
  </w:style>
  <w:style w:type="character" w:customStyle="1" w:styleId="Char48">
    <w:name w:val="批注主题 Char4"/>
    <w:uiPriority w:val="99"/>
    <w:semiHidden/>
    <w:rPr>
      <w:b/>
      <w:bCs/>
    </w:rPr>
  </w:style>
  <w:style w:type="character" w:customStyle="1" w:styleId="1ff2">
    <w:name w:val="页码1"/>
  </w:style>
  <w:style w:type="character" w:customStyle="1" w:styleId="e91">
    <w:name w:val="e91"/>
    <w:rPr>
      <w:rFonts w:ascii="Arial" w:hAnsi="Arial"/>
      <w:sz w:val="21"/>
    </w:rPr>
  </w:style>
  <w:style w:type="character" w:customStyle="1" w:styleId="Char49">
    <w:name w:val="Char4"/>
    <w:rPr>
      <w:rFonts w:ascii="仿宋_GB2312" w:eastAsia="仿宋_GB2312"/>
      <w:kern w:val="2"/>
      <w:sz w:val="28"/>
      <w:lang w:val="en-US" w:eastAsia="zh-CN"/>
    </w:rPr>
  </w:style>
  <w:style w:type="character" w:customStyle="1" w:styleId="Charfffffb">
    <w:name w:val="表注 Char"/>
    <w:rPr>
      <w:rFonts w:ascii="Times New Roman" w:eastAsia="楷体_GB2312" w:hAnsi="Times New Roman"/>
      <w:kern w:val="2"/>
      <w:sz w:val="21"/>
      <w:szCs w:val="22"/>
      <w:lang w:bidi="ar-SA"/>
    </w:rPr>
  </w:style>
  <w:style w:type="character" w:customStyle="1" w:styleId="Charfffffc">
    <w:name w:val="初设正文 Char"/>
    <w:link w:val="affffffff9"/>
    <w:rPr>
      <w:rFonts w:ascii="Arial" w:hAnsi="Arial"/>
      <w:sz w:val="24"/>
    </w:rPr>
  </w:style>
  <w:style w:type="paragraph" w:customStyle="1" w:styleId="affffffff9">
    <w:name w:val="初设正文"/>
    <w:basedOn w:val="a2"/>
    <w:link w:val="Charfffffc"/>
    <w:qFormat/>
    <w:pPr>
      <w:spacing w:after="120" w:line="440" w:lineRule="exact"/>
      <w:ind w:left="425" w:firstLine="425"/>
      <w:jc w:val="both"/>
    </w:pPr>
    <w:rPr>
      <w:rFonts w:hAnsi="Arial"/>
      <w:sz w:val="24"/>
      <w:szCs w:val="22"/>
    </w:rPr>
  </w:style>
  <w:style w:type="character" w:customStyle="1" w:styleId="2Char12">
    <w:name w:val="正文首行缩进 2 Char1"/>
    <w:locked/>
    <w:rPr>
      <w:kern w:val="2"/>
      <w:sz w:val="24"/>
    </w:rPr>
  </w:style>
  <w:style w:type="character" w:customStyle="1" w:styleId="1Charc">
    <w:name w:val="可研标题1 Char"/>
    <w:link w:val="1ff3"/>
    <w:rPr>
      <w:rFonts w:ascii="黑体" w:eastAsia="黑体"/>
      <w:bCs/>
      <w:kern w:val="44"/>
      <w:sz w:val="32"/>
      <w:szCs w:val="30"/>
    </w:rPr>
  </w:style>
  <w:style w:type="paragraph" w:customStyle="1" w:styleId="1ff3">
    <w:name w:val="可研标题1"/>
    <w:basedOn w:val="12"/>
    <w:link w:val="1Charc"/>
    <w:qFormat/>
    <w:pPr>
      <w:spacing w:before="340" w:after="330" w:line="240" w:lineRule="auto"/>
      <w:textAlignment w:val="auto"/>
    </w:pPr>
    <w:rPr>
      <w:rFonts w:ascii="黑体"/>
      <w:sz w:val="32"/>
      <w:szCs w:val="30"/>
    </w:rPr>
  </w:style>
  <w:style w:type="character" w:customStyle="1" w:styleId="CommentTextChar">
    <w:name w:val="Comment Text Char"/>
    <w:locked/>
    <w:rPr>
      <w:rFonts w:eastAsia="宋体"/>
      <w:kern w:val="2"/>
      <w:sz w:val="21"/>
      <w:szCs w:val="24"/>
      <w:lang w:val="en-US" w:eastAsia="zh-CN" w:bidi="ar-SA"/>
    </w:rPr>
  </w:style>
  <w:style w:type="character" w:customStyle="1" w:styleId="CharCharfff6">
    <w:name w:val="表题格式 Char Char"/>
    <w:link w:val="affffffffa"/>
    <w:rPr>
      <w:rFonts w:eastAsia="仿宋_GB2312"/>
      <w:sz w:val="24"/>
    </w:rPr>
  </w:style>
  <w:style w:type="paragraph" w:customStyle="1" w:styleId="affffffffa">
    <w:name w:val="表题格式"/>
    <w:basedOn w:val="a2"/>
    <w:link w:val="CharCharfff6"/>
    <w:qFormat/>
    <w:pPr>
      <w:spacing w:line="400" w:lineRule="exact"/>
    </w:pPr>
    <w:rPr>
      <w:rFonts w:eastAsia="仿宋_GB2312"/>
      <w:sz w:val="24"/>
      <w:szCs w:val="22"/>
    </w:rPr>
  </w:style>
  <w:style w:type="character" w:customStyle="1" w:styleId="2Char31">
    <w:name w:val="正文文本缩进 2 Char3"/>
    <w:uiPriority w:val="99"/>
    <w:semiHidden/>
    <w:rPr>
      <w:kern w:val="2"/>
      <w:sz w:val="21"/>
      <w:szCs w:val="22"/>
    </w:rPr>
  </w:style>
  <w:style w:type="character" w:customStyle="1" w:styleId="style241">
    <w:name w:val="style241"/>
    <w:rPr>
      <w:sz w:val="18"/>
      <w:szCs w:val="18"/>
    </w:rPr>
  </w:style>
  <w:style w:type="character" w:customStyle="1" w:styleId="Charfffffd">
    <w:name w:val="缩进正文 Char"/>
    <w:link w:val="affffffffb"/>
    <w:rPr>
      <w:sz w:val="24"/>
    </w:rPr>
  </w:style>
  <w:style w:type="paragraph" w:customStyle="1" w:styleId="affffffffb">
    <w:name w:val="缩进正文"/>
    <w:basedOn w:val="a2"/>
    <w:link w:val="Charfffffd"/>
    <w:qFormat/>
    <w:pPr>
      <w:autoSpaceDE/>
      <w:autoSpaceDN/>
      <w:snapToGrid w:val="0"/>
      <w:spacing w:line="360" w:lineRule="auto"/>
      <w:ind w:firstLineChars="200" w:firstLine="200"/>
      <w:jc w:val="both"/>
    </w:pPr>
    <w:rPr>
      <w:sz w:val="24"/>
      <w:szCs w:val="22"/>
    </w:rPr>
  </w:style>
  <w:style w:type="character" w:customStyle="1" w:styleId="21CharChar">
    <w:name w:val="样式 公正文 + 首行缩进:  2 字符1 Char Char"/>
    <w:link w:val="211"/>
    <w:rPr>
      <w:rFonts w:ascii="宋体" w:eastAsia="仿宋_GB2312" w:hAnsi="宋体"/>
      <w:sz w:val="28"/>
    </w:rPr>
  </w:style>
  <w:style w:type="paragraph" w:customStyle="1" w:styleId="211">
    <w:name w:val="样式 公正文 + 首行缩进:  2 字符1"/>
    <w:basedOn w:val="a2"/>
    <w:link w:val="21CharChar"/>
    <w:qFormat/>
    <w:pPr>
      <w:snapToGrid w:val="0"/>
      <w:spacing w:line="353" w:lineRule="auto"/>
      <w:ind w:firstLineChars="200" w:firstLine="200"/>
    </w:pPr>
    <w:rPr>
      <w:rFonts w:ascii="宋体" w:eastAsia="仿宋_GB2312" w:hAnsi="宋体"/>
      <w:szCs w:val="22"/>
    </w:rPr>
  </w:style>
  <w:style w:type="character" w:customStyle="1" w:styleId="CharCharCharChar10">
    <w:name w:val="Char Char Char Char1"/>
    <w:rPr>
      <w:rFonts w:eastAsia="宋体"/>
      <w:kern w:val="2"/>
      <w:sz w:val="24"/>
      <w:szCs w:val="24"/>
      <w:lang w:val="en-US" w:eastAsia="zh-CN" w:bidi="ar-SA"/>
    </w:rPr>
  </w:style>
  <w:style w:type="character" w:customStyle="1" w:styleId="1Chard">
    <w:name w:val="题1 Char"/>
    <w:rPr>
      <w:rFonts w:ascii="宋体" w:eastAsia="宋体" w:hAnsi="宋体"/>
      <w:b/>
      <w:kern w:val="44"/>
      <w:sz w:val="32"/>
      <w:szCs w:val="32"/>
      <w:lang w:val="en-US" w:eastAsia="zh-CN" w:bidi="ar-SA"/>
    </w:rPr>
  </w:style>
  <w:style w:type="character" w:customStyle="1" w:styleId="1ff4">
    <w:name w:val="书籍标题1"/>
    <w:qFormat/>
    <w:rPr>
      <w:rFonts w:ascii="Cambria" w:eastAsia="宋体" w:hAnsi="Cambria"/>
      <w:b/>
      <w:i/>
      <w:sz w:val="24"/>
      <w:szCs w:val="24"/>
    </w:rPr>
  </w:style>
  <w:style w:type="character" w:customStyle="1" w:styleId="2CharChar5">
    <w:name w:val="报告 两端对齐 首行缩进:  2 字符 Char Char"/>
    <w:link w:val="2f7"/>
    <w:rPr>
      <w:rFonts w:cs="宋体"/>
      <w:sz w:val="24"/>
      <w:szCs w:val="24"/>
    </w:rPr>
  </w:style>
  <w:style w:type="paragraph" w:customStyle="1" w:styleId="2f7">
    <w:name w:val="报告 两端对齐 首行缩进:  2 字符"/>
    <w:link w:val="2CharChar5"/>
    <w:qFormat/>
    <w:pPr>
      <w:spacing w:line="360" w:lineRule="auto"/>
      <w:ind w:firstLineChars="200" w:firstLine="200"/>
      <w:jc w:val="both"/>
    </w:pPr>
    <w:rPr>
      <w:rFonts w:cs="宋体"/>
      <w:kern w:val="2"/>
      <w:sz w:val="24"/>
      <w:szCs w:val="24"/>
    </w:rPr>
  </w:style>
  <w:style w:type="character" w:customStyle="1" w:styleId="Ordos125CharChar">
    <w:name w:val="样式 Ordos正文 + 华文细黑 行距: 多倍行距 1.25 字行 Char Char"/>
    <w:link w:val="Ordos125"/>
    <w:rPr>
      <w:rFonts w:ascii="华文细黑" w:eastAsia="华文细黑" w:hAnsi="华文细黑"/>
    </w:rPr>
  </w:style>
  <w:style w:type="paragraph" w:customStyle="1" w:styleId="Ordos125">
    <w:name w:val="样式 Ordos正文 + 华文细黑 行距: 多倍行距 1.25 字行"/>
    <w:basedOn w:val="a2"/>
    <w:link w:val="Ordos125CharChar"/>
    <w:qFormat/>
    <w:pPr>
      <w:spacing w:line="300" w:lineRule="auto"/>
      <w:ind w:firstLineChars="200" w:firstLine="420"/>
      <w:jc w:val="both"/>
    </w:pPr>
    <w:rPr>
      <w:rFonts w:ascii="华文细黑" w:eastAsia="华文细黑" w:hAnsi="华文细黑"/>
      <w:szCs w:val="22"/>
    </w:rPr>
  </w:style>
  <w:style w:type="character" w:customStyle="1" w:styleId="4Char10">
    <w:name w:val="标题（4） Char1"/>
    <w:rPr>
      <w:rFonts w:eastAsia="黑体"/>
      <w:bCs/>
      <w:sz w:val="28"/>
      <w:szCs w:val="28"/>
      <w:lang w:val="en-US" w:eastAsia="zh-CN" w:bidi="ar-SA"/>
    </w:rPr>
  </w:style>
  <w:style w:type="character" w:customStyle="1" w:styleId="zhengwei1">
    <w:name w:val="zhengwei1"/>
    <w:rPr>
      <w:sz w:val="23"/>
      <w:szCs w:val="23"/>
    </w:rPr>
  </w:style>
  <w:style w:type="character" w:customStyle="1" w:styleId="2CharCharCharChar">
    <w:name w:val="正文 + 首行缩进:  2 字符 Char Char Char Char"/>
    <w:rPr>
      <w:rFonts w:eastAsia="宋体" w:cs="宋体"/>
      <w:kern w:val="2"/>
      <w:sz w:val="24"/>
      <w:lang w:val="en-US" w:eastAsia="zh-CN" w:bidi="ar-SA"/>
    </w:rPr>
  </w:style>
  <w:style w:type="character" w:customStyle="1" w:styleId="21521CharChar">
    <w:name w:val="样式 标准文本 首行缩进:2 字符 行距1.5倍 + 首行缩进:  2 字符1 Char Char"/>
    <w:link w:val="21521"/>
    <w:rPr>
      <w:rFonts w:eastAsia="宋体" w:cs="宋体"/>
      <w:sz w:val="24"/>
      <w:szCs w:val="24"/>
    </w:rPr>
  </w:style>
  <w:style w:type="paragraph" w:customStyle="1" w:styleId="21521">
    <w:name w:val="样式 标准文本 首行缩进:2 字符 行距1.5倍 + 首行缩进:  2 字符1"/>
    <w:basedOn w:val="215"/>
    <w:link w:val="21521CharChar"/>
    <w:qFormat/>
    <w:pPr>
      <w:spacing w:line="240" w:lineRule="auto"/>
    </w:pPr>
  </w:style>
  <w:style w:type="character" w:customStyle="1" w:styleId="08515CharCharChar">
    <w:name w:val="样式 宋体 小四 首行缩进:  0.85 厘米 行距: 1.5 倍行距 Char Char Char"/>
    <w:link w:val="08515Char"/>
    <w:rPr>
      <w:rFonts w:ascii="宋体"/>
      <w:sz w:val="24"/>
    </w:rPr>
  </w:style>
  <w:style w:type="paragraph" w:customStyle="1" w:styleId="08515Char">
    <w:name w:val="样式 宋体 小四 首行缩进:  0.85 厘米 行距: 1.5 倍行距 Char"/>
    <w:basedOn w:val="a2"/>
    <w:link w:val="08515CharCharChar"/>
    <w:qFormat/>
    <w:pPr>
      <w:snapToGrid w:val="0"/>
      <w:spacing w:beforeLines="50" w:before="156" w:afterLines="50" w:after="156" w:line="360" w:lineRule="auto"/>
      <w:ind w:firstLineChars="200" w:firstLine="482"/>
      <w:jc w:val="both"/>
    </w:pPr>
    <w:rPr>
      <w:rFonts w:ascii="宋体"/>
      <w:sz w:val="24"/>
      <w:szCs w:val="22"/>
    </w:rPr>
  </w:style>
  <w:style w:type="character" w:customStyle="1" w:styleId="Char3e">
    <w:name w:val="日期 Char3"/>
    <w:uiPriority w:val="99"/>
    <w:semiHidden/>
    <w:rPr>
      <w:kern w:val="2"/>
      <w:sz w:val="21"/>
      <w:szCs w:val="22"/>
    </w:rPr>
  </w:style>
  <w:style w:type="character" w:customStyle="1" w:styleId="12322CharChar">
    <w:name w:val="样式 样式 样式 样式 样式 样式 样式 123 + 自动设置 首行缩进:  2 字符 + 首行缩进:  2 字符 + 黑色 首... Char Char"/>
    <w:rPr>
      <w:rFonts w:eastAsia="宋体" w:cs="宋体"/>
      <w:kern w:val="2"/>
      <w:sz w:val="28"/>
      <w:szCs w:val="28"/>
      <w:lang w:val="en-US" w:eastAsia="zh-CN" w:bidi="ar-SA"/>
    </w:rPr>
  </w:style>
  <w:style w:type="character" w:customStyle="1" w:styleId="z-Char10">
    <w:name w:val="z-窗体底端 Char1"/>
    <w:locked/>
    <w:rPr>
      <w:rFonts w:ascii="Arial" w:eastAsia="仿宋_GB2312" w:hAnsi="Arial"/>
      <w:vanish/>
      <w:kern w:val="2"/>
      <w:sz w:val="16"/>
    </w:rPr>
  </w:style>
  <w:style w:type="character" w:customStyle="1" w:styleId="aCharChar1">
    <w:name w:val="a页脚 Char Char"/>
    <w:rPr>
      <w:rFonts w:eastAsia="宋体"/>
      <w:kern w:val="2"/>
      <w:sz w:val="18"/>
      <w:szCs w:val="18"/>
      <w:lang w:val="en-US" w:eastAsia="zh-CN" w:bidi="ar-SA"/>
    </w:rPr>
  </w:style>
  <w:style w:type="character" w:customStyle="1" w:styleId="Char4a">
    <w:name w:val="批注框文本 Char4"/>
    <w:uiPriority w:val="99"/>
    <w:semiHidden/>
    <w:rPr>
      <w:sz w:val="18"/>
      <w:szCs w:val="18"/>
    </w:rPr>
  </w:style>
  <w:style w:type="character" w:customStyle="1" w:styleId="3CharChar6">
    <w:name w:val="表头（铸造）3 Char Char"/>
    <w:link w:val="3f5"/>
    <w:rPr>
      <w:rFonts w:eastAsia="方正宋黑简体"/>
      <w:b/>
      <w:sz w:val="24"/>
      <w:szCs w:val="24"/>
    </w:rPr>
  </w:style>
  <w:style w:type="paragraph" w:customStyle="1" w:styleId="3f5">
    <w:name w:val="表头（铸造）3"/>
    <w:basedOn w:val="a2"/>
    <w:link w:val="3CharChar6"/>
    <w:qFormat/>
    <w:pPr>
      <w:spacing w:line="360" w:lineRule="auto"/>
      <w:jc w:val="center"/>
    </w:pPr>
    <w:rPr>
      <w:rFonts w:eastAsia="方正宋黑简体"/>
      <w:b/>
      <w:sz w:val="24"/>
      <w:szCs w:val="24"/>
    </w:rPr>
  </w:style>
  <w:style w:type="character" w:customStyle="1" w:styleId="Charb">
    <w:name w:val="列表接续 Char"/>
    <w:link w:val="af6"/>
    <w:rPr>
      <w:rFonts w:ascii="Arial" w:eastAsia="仿宋_GB2312" w:hAnsi="Arial"/>
      <w:sz w:val="24"/>
    </w:rPr>
  </w:style>
  <w:style w:type="character" w:customStyle="1" w:styleId="CharChar132">
    <w:name w:val="Char Char132"/>
    <w:rPr>
      <w:rFonts w:eastAsia="宋体"/>
      <w:sz w:val="18"/>
      <w:lang w:val="en-US" w:eastAsia="zh-CN" w:bidi="ar-SA"/>
    </w:rPr>
  </w:style>
  <w:style w:type="character" w:customStyle="1" w:styleId="word21">
    <w:name w:val="word21"/>
    <w:rPr>
      <w:b/>
      <w:bCs/>
      <w:color w:val="0040A6"/>
      <w:spacing w:val="315"/>
      <w:sz w:val="20"/>
      <w:szCs w:val="20"/>
    </w:rPr>
  </w:style>
  <w:style w:type="character" w:customStyle="1" w:styleId="3Char30">
    <w:name w:val="正文文本 3 Char3"/>
    <w:uiPriority w:val="99"/>
    <w:semiHidden/>
    <w:rPr>
      <w:kern w:val="2"/>
      <w:sz w:val="16"/>
      <w:szCs w:val="16"/>
    </w:rPr>
  </w:style>
  <w:style w:type="character" w:customStyle="1" w:styleId="s1">
    <w:name w:val="s1"/>
    <w:rPr>
      <w:sz w:val="18"/>
      <w:szCs w:val="18"/>
    </w:rPr>
  </w:style>
  <w:style w:type="character" w:customStyle="1" w:styleId="apple-style-span">
    <w:name w:val="apple-style-span"/>
  </w:style>
  <w:style w:type="character" w:customStyle="1" w:styleId="f41">
    <w:name w:val="f41"/>
    <w:rPr>
      <w:color w:val="333333"/>
      <w:sz w:val="21"/>
      <w:szCs w:val="21"/>
    </w:rPr>
  </w:style>
  <w:style w:type="character" w:customStyle="1" w:styleId="Chare">
    <w:name w:val="尾注文本 Char"/>
    <w:link w:val="afa"/>
    <w:rPr>
      <w:sz w:val="24"/>
      <w:szCs w:val="24"/>
    </w:rPr>
  </w:style>
  <w:style w:type="character" w:customStyle="1" w:styleId="38CharChar">
    <w:name w:val="样式38 Char Char"/>
    <w:link w:val="380"/>
    <w:qFormat/>
    <w:rPr>
      <w:rFonts w:ascii="宋体" w:eastAsia="仿宋_GB2312" w:hAnsi="宋体"/>
      <w:sz w:val="28"/>
    </w:rPr>
  </w:style>
  <w:style w:type="paragraph" w:customStyle="1" w:styleId="380">
    <w:name w:val="样式38"/>
    <w:basedOn w:val="a2"/>
    <w:link w:val="38CharChar"/>
    <w:qFormat/>
    <w:pPr>
      <w:snapToGrid w:val="0"/>
      <w:spacing w:line="353" w:lineRule="auto"/>
      <w:ind w:firstLineChars="200" w:firstLine="200"/>
    </w:pPr>
    <w:rPr>
      <w:rFonts w:ascii="宋体" w:eastAsia="仿宋_GB2312" w:hAnsi="宋体"/>
      <w:szCs w:val="22"/>
    </w:rPr>
  </w:style>
  <w:style w:type="character" w:customStyle="1" w:styleId="a20">
    <w:name w:val="a2"/>
    <w:basedOn w:val="a4"/>
    <w:qFormat/>
  </w:style>
  <w:style w:type="character" w:customStyle="1" w:styleId="CharCharfff7">
    <w:name w:val="样式 正文文字 + Char Char"/>
    <w:qFormat/>
    <w:rPr>
      <w:rFonts w:eastAsia="宋体"/>
      <w:kern w:val="2"/>
      <w:sz w:val="24"/>
      <w:szCs w:val="24"/>
      <w:lang w:val="en-US" w:eastAsia="zh-CN" w:bidi="ar-SA"/>
    </w:rPr>
  </w:style>
  <w:style w:type="character" w:customStyle="1" w:styleId="2Chard">
    <w:name w:val="正文  首行缩进: 2 字符 Char"/>
    <w:link w:val="2f8"/>
    <w:qFormat/>
    <w:rPr>
      <w:rFonts w:ascii="Arial" w:hAnsi="Arial" w:cs="Arial"/>
      <w:sz w:val="24"/>
      <w:szCs w:val="24"/>
    </w:rPr>
  </w:style>
  <w:style w:type="paragraph" w:customStyle="1" w:styleId="2f8">
    <w:name w:val="正文  首行缩进: 2 字符"/>
    <w:basedOn w:val="a2"/>
    <w:link w:val="2Chard"/>
    <w:qFormat/>
    <w:pPr>
      <w:snapToGrid w:val="0"/>
      <w:spacing w:line="360" w:lineRule="auto"/>
      <w:ind w:firstLineChars="200" w:firstLine="480"/>
      <w:jc w:val="both"/>
    </w:pPr>
    <w:rPr>
      <w:rFonts w:hAnsi="Arial" w:cs="Arial"/>
      <w:sz w:val="24"/>
      <w:szCs w:val="24"/>
    </w:rPr>
  </w:style>
  <w:style w:type="character" w:customStyle="1" w:styleId="news1">
    <w:name w:val="news1"/>
    <w:rPr>
      <w:rFonts w:ascii="ˎ̥" w:hAnsi="ˎ̥" w:hint="default"/>
      <w:color w:val="000000"/>
      <w:sz w:val="21"/>
      <w:szCs w:val="21"/>
    </w:rPr>
  </w:style>
  <w:style w:type="character" w:customStyle="1" w:styleId="Char2f3">
    <w:name w:val="节标题 Char2"/>
    <w:rPr>
      <w:rFonts w:ascii="Arial" w:eastAsia="黑体" w:hAnsi="Arial"/>
      <w:b/>
      <w:bCs/>
      <w:kern w:val="2"/>
      <w:sz w:val="32"/>
      <w:szCs w:val="32"/>
      <w:lang w:val="en-US" w:eastAsia="zh-CN" w:bidi="ar-SA"/>
    </w:rPr>
  </w:style>
  <w:style w:type="character" w:customStyle="1" w:styleId="chen1Char">
    <w:name w:val="chen表头1 Char"/>
    <w:rPr>
      <w:rFonts w:eastAsia="楷体_GB2312" w:cs="宋体"/>
      <w:b/>
      <w:sz w:val="24"/>
      <w:lang w:val="en-US" w:eastAsia="zh-CN" w:bidi="ar-SA"/>
    </w:rPr>
  </w:style>
  <w:style w:type="character" w:customStyle="1" w:styleId="CharChar141">
    <w:name w:val="Char Char141"/>
    <w:rPr>
      <w:rFonts w:ascii="宋体" w:eastAsia="宋体" w:hAnsi="宋体" w:hint="eastAsia"/>
      <w:kern w:val="2"/>
      <w:sz w:val="21"/>
      <w:szCs w:val="24"/>
      <w:lang w:val="en-US" w:eastAsia="zh-CN" w:bidi="ar-SA"/>
    </w:rPr>
  </w:style>
  <w:style w:type="character" w:customStyle="1" w:styleId="m471">
    <w:name w:val="m_471"/>
  </w:style>
  <w:style w:type="character" w:customStyle="1" w:styleId="pv110title1">
    <w:name w:val="pv110title1"/>
  </w:style>
  <w:style w:type="character" w:customStyle="1" w:styleId="contenttext11">
    <w:name w:val="contenttext11"/>
    <w:rPr>
      <w:rFonts w:ascii="宋体" w:eastAsia="宋体" w:hAnsi="宋体" w:hint="eastAsia"/>
      <w:sz w:val="20"/>
      <w:szCs w:val="20"/>
    </w:rPr>
  </w:style>
  <w:style w:type="character" w:customStyle="1" w:styleId="affffffffc">
    <w:name w:val="表格标题_"/>
    <w:link w:val="1ff5"/>
    <w:rPr>
      <w:rFonts w:ascii="黑体" w:eastAsia="黑体"/>
      <w:sz w:val="24"/>
      <w:szCs w:val="24"/>
    </w:rPr>
  </w:style>
  <w:style w:type="paragraph" w:customStyle="1" w:styleId="1ff5">
    <w:name w:val="表格标题1"/>
    <w:basedOn w:val="aff2"/>
    <w:link w:val="affffffffc"/>
    <w:qFormat/>
    <w:pPr>
      <w:spacing w:beforeLines="50" w:before="50" w:line="400" w:lineRule="exact"/>
    </w:pPr>
    <w:rPr>
      <w:rFonts w:ascii="黑体" w:eastAsia="黑体"/>
      <w:szCs w:val="24"/>
    </w:rPr>
  </w:style>
  <w:style w:type="character" w:customStyle="1" w:styleId="CharCharfff8">
    <w:name w:val="表、图名 Char Char"/>
    <w:link w:val="affffffffd"/>
    <w:rPr>
      <w:rFonts w:ascii="黑体" w:eastAsia="黑体"/>
      <w:sz w:val="24"/>
    </w:rPr>
  </w:style>
  <w:style w:type="paragraph" w:customStyle="1" w:styleId="affffffffd">
    <w:name w:val="表、图名"/>
    <w:basedOn w:val="8"/>
    <w:link w:val="CharCharfff8"/>
    <w:qFormat/>
    <w:pPr>
      <w:keepNext w:val="0"/>
      <w:keepLines w:val="0"/>
      <w:tabs>
        <w:tab w:val="clear" w:pos="165"/>
        <w:tab w:val="left" w:pos="1440"/>
      </w:tabs>
      <w:snapToGrid w:val="0"/>
      <w:spacing w:before="120" w:after="0" w:line="460" w:lineRule="exact"/>
      <w:ind w:left="0" w:firstLine="0"/>
      <w:jc w:val="center"/>
      <w:outlineLvl w:val="9"/>
    </w:pPr>
    <w:rPr>
      <w:rFonts w:ascii="黑体" w:hAnsiTheme="minorHAnsi"/>
      <w:szCs w:val="22"/>
    </w:rPr>
  </w:style>
  <w:style w:type="character" w:customStyle="1" w:styleId="mytableheaderChar">
    <w:name w:val="my table header Char"/>
    <w:rPr>
      <w:rFonts w:ascii="黑体" w:eastAsia="黑体" w:hAnsi="黑体"/>
      <w:b/>
      <w:bCs/>
      <w:sz w:val="24"/>
      <w:lang w:val="en-US" w:eastAsia="zh-CN" w:bidi="ar-SA"/>
    </w:rPr>
  </w:style>
  <w:style w:type="character" w:customStyle="1" w:styleId="CharCharCharCharCharChar4">
    <w:name w:val="正文样式 Char Char Char Char Char Char"/>
    <w:rPr>
      <w:rFonts w:ascii="宋体" w:eastAsia="宋体" w:hAnsi="宋体"/>
      <w:color w:val="000000"/>
      <w:kern w:val="2"/>
      <w:sz w:val="24"/>
      <w:szCs w:val="24"/>
      <w:lang w:val="en-US" w:eastAsia="zh-CN" w:bidi="ar-SA"/>
    </w:rPr>
  </w:style>
  <w:style w:type="character" w:customStyle="1" w:styleId="Charfffffe">
    <w:name w:val="表格头头 Char"/>
    <w:link w:val="affffffffe"/>
    <w:rPr>
      <w:rFonts w:ascii="Arial" w:eastAsia="仿宋" w:hAnsi="Arial"/>
      <w:b/>
      <w:spacing w:val="-5"/>
      <w:sz w:val="28"/>
      <w:lang w:bidi="he-IL"/>
    </w:rPr>
  </w:style>
  <w:style w:type="paragraph" w:customStyle="1" w:styleId="affffffffe">
    <w:name w:val="表格头头"/>
    <w:basedOn w:val="a2"/>
    <w:link w:val="Charfffffe"/>
    <w:qFormat/>
    <w:pPr>
      <w:widowControl/>
      <w:tabs>
        <w:tab w:val="left" w:pos="2340"/>
      </w:tabs>
      <w:autoSpaceDE/>
      <w:autoSpaceDN/>
      <w:adjustRightInd/>
      <w:jc w:val="center"/>
    </w:pPr>
    <w:rPr>
      <w:rFonts w:eastAsia="仿宋" w:hAnsi="Arial"/>
      <w:b/>
      <w:spacing w:val="-5"/>
      <w:szCs w:val="22"/>
      <w:lang w:bidi="he-IL"/>
    </w:rPr>
  </w:style>
  <w:style w:type="character" w:customStyle="1" w:styleId="CharChar224">
    <w:name w:val="Char Char224"/>
    <w:rPr>
      <w:rFonts w:ascii="Calibri" w:eastAsia="宋体" w:hAnsi="Calibri"/>
      <w:kern w:val="2"/>
      <w:sz w:val="24"/>
      <w:lang w:val="en-US" w:eastAsia="zh-CN" w:bidi="ar-SA"/>
    </w:rPr>
  </w:style>
  <w:style w:type="character" w:customStyle="1" w:styleId="afffffffff">
    <w:name w:val="样式 (中文) 宋体 五号"/>
    <w:rPr>
      <w:rFonts w:eastAsia="仿宋_GB2312" w:cs="Times New Roman"/>
      <w:sz w:val="28"/>
    </w:rPr>
  </w:style>
  <w:style w:type="character" w:customStyle="1" w:styleId="Char3f">
    <w:name w:val="结束语 Char3"/>
    <w:uiPriority w:val="99"/>
    <w:semiHidden/>
  </w:style>
  <w:style w:type="character" w:customStyle="1" w:styleId="CharCharCharChar4">
    <w:name w:val="正文首行缩进 Char Char Char Char"/>
    <w:rPr>
      <w:rFonts w:eastAsia="宋体"/>
      <w:snapToGrid w:val="0"/>
      <w:sz w:val="24"/>
      <w:szCs w:val="24"/>
      <w:lang w:val="en-US" w:eastAsia="zh-CN" w:bidi="ar-SA"/>
    </w:rPr>
  </w:style>
  <w:style w:type="character" w:customStyle="1" w:styleId="3Char41">
    <w:name w:val="正文文本 3 Char4"/>
    <w:uiPriority w:val="99"/>
    <w:semiHidden/>
    <w:rPr>
      <w:sz w:val="16"/>
      <w:szCs w:val="16"/>
    </w:rPr>
  </w:style>
  <w:style w:type="character" w:customStyle="1" w:styleId="duanluo2">
    <w:name w:val="duanluo2"/>
    <w:rPr>
      <w:rFonts w:ascii="??" w:hAnsi="??"/>
      <w:color w:val="000000"/>
      <w:sz w:val="21"/>
    </w:rPr>
  </w:style>
  <w:style w:type="character" w:customStyle="1" w:styleId="unnamed91">
    <w:name w:val="unnamed91"/>
    <w:rPr>
      <w:rFonts w:ascii="宋体" w:eastAsia="宋体" w:hAnsi="宋体" w:hint="eastAsia"/>
      <w:color w:val="000000"/>
      <w:sz w:val="18"/>
      <w:u w:val="none"/>
    </w:rPr>
  </w:style>
  <w:style w:type="character" w:customStyle="1" w:styleId="z-Char30">
    <w:name w:val="z-窗体底端 Char3"/>
    <w:uiPriority w:val="99"/>
    <w:semiHidden/>
    <w:rPr>
      <w:rFonts w:ascii="Arial" w:hAnsi="Arial" w:cs="Arial"/>
      <w:vanish/>
      <w:sz w:val="16"/>
      <w:szCs w:val="16"/>
    </w:rPr>
  </w:style>
  <w:style w:type="character" w:customStyle="1" w:styleId="CharChar44">
    <w:name w:val="Char Char44"/>
    <w:rPr>
      <w:rFonts w:eastAsia="宋体"/>
      <w:b/>
      <w:bCs/>
      <w:kern w:val="2"/>
      <w:sz w:val="32"/>
      <w:szCs w:val="32"/>
      <w:lang w:val="en-US" w:eastAsia="zh-CN" w:bidi="ar-SA"/>
    </w:rPr>
  </w:style>
  <w:style w:type="character" w:customStyle="1" w:styleId="CharChar25">
    <w:name w:val="Char Char25"/>
    <w:rPr>
      <w:rFonts w:eastAsia="宋体"/>
      <w:b/>
      <w:bCs/>
      <w:snapToGrid w:val="0"/>
      <w:sz w:val="28"/>
      <w:szCs w:val="32"/>
      <w:lang w:val="en-US" w:eastAsia="zh-CN" w:bidi="ar-SA"/>
    </w:rPr>
  </w:style>
  <w:style w:type="character" w:customStyle="1" w:styleId="A3CharChar0">
    <w:name w:val="样式 A标题3 + 自动设置 Char Char"/>
    <w:link w:val="A31"/>
    <w:rPr>
      <w:rFonts w:eastAsia="黑体" w:cs="宋体"/>
      <w:b/>
      <w:bCs/>
      <w:spacing w:val="20"/>
      <w:sz w:val="28"/>
    </w:rPr>
  </w:style>
  <w:style w:type="paragraph" w:customStyle="1" w:styleId="A31">
    <w:name w:val="样式 A标题3 + 自动设置"/>
    <w:basedOn w:val="a2"/>
    <w:link w:val="A3CharChar0"/>
    <w:qFormat/>
    <w:pPr>
      <w:spacing w:beforeLines="100" w:before="312" w:afterLines="100" w:after="312" w:line="360" w:lineRule="auto"/>
      <w:outlineLvl w:val="2"/>
    </w:pPr>
    <w:rPr>
      <w:rFonts w:eastAsia="黑体" w:cs="宋体"/>
      <w:b/>
      <w:bCs/>
      <w:spacing w:val="20"/>
      <w:szCs w:val="22"/>
    </w:rPr>
  </w:style>
  <w:style w:type="character" w:customStyle="1" w:styleId="Charffffff">
    <w:name w:val="列出段落 Char"/>
    <w:link w:val="afffffffff0"/>
    <w:rPr>
      <w:rFonts w:ascii="Calibri" w:hAnsi="Calibri"/>
      <w:sz w:val="24"/>
    </w:rPr>
  </w:style>
  <w:style w:type="paragraph" w:styleId="afffffffff0">
    <w:name w:val="List Paragraph"/>
    <w:basedOn w:val="a2"/>
    <w:link w:val="Charffffff"/>
    <w:qFormat/>
    <w:pPr>
      <w:ind w:firstLineChars="200" w:firstLine="420"/>
    </w:pPr>
    <w:rPr>
      <w:rFonts w:ascii="Calibri" w:hAnsi="Calibri"/>
      <w:sz w:val="24"/>
      <w:szCs w:val="22"/>
    </w:rPr>
  </w:style>
  <w:style w:type="character" w:customStyle="1" w:styleId="Charffffff0">
    <w:name w:val="表头宋体黑色 Char"/>
    <w:qFormat/>
    <w:rPr>
      <w:rFonts w:ascii="仿宋_GB2312" w:hAnsi="宋体"/>
      <w:color w:val="000000"/>
      <w:sz w:val="24"/>
    </w:rPr>
  </w:style>
  <w:style w:type="character" w:customStyle="1" w:styleId="Char2">
    <w:name w:val="注释标题 Char"/>
    <w:link w:val="a9"/>
    <w:qFormat/>
    <w:rPr>
      <w:sz w:val="18"/>
    </w:rPr>
  </w:style>
  <w:style w:type="character" w:customStyle="1" w:styleId="21CharChar0">
    <w:name w:val="样式 首行缩进:  2 字符1 Char Char"/>
    <w:link w:val="212"/>
    <w:qFormat/>
    <w:rPr>
      <w:rFonts w:ascii="宋体" w:hAnsi="宋体" w:cs="宋体"/>
      <w:sz w:val="24"/>
    </w:rPr>
  </w:style>
  <w:style w:type="paragraph" w:customStyle="1" w:styleId="212">
    <w:name w:val="样式 首行缩进:  2 字符1"/>
    <w:basedOn w:val="a2"/>
    <w:link w:val="21CharChar0"/>
    <w:qFormat/>
    <w:pPr>
      <w:spacing w:line="460" w:lineRule="exact"/>
      <w:ind w:firstLineChars="200" w:firstLine="200"/>
    </w:pPr>
    <w:rPr>
      <w:rFonts w:ascii="宋体" w:hAnsi="宋体" w:cs="宋体"/>
      <w:sz w:val="24"/>
      <w:szCs w:val="22"/>
    </w:rPr>
  </w:style>
  <w:style w:type="character" w:customStyle="1" w:styleId="style1">
    <w:name w:val="style1"/>
    <w:qFormat/>
  </w:style>
  <w:style w:type="character" w:customStyle="1" w:styleId="CharChar215">
    <w:name w:val="Char Char215"/>
    <w:qFormat/>
    <w:rPr>
      <w:rFonts w:ascii="Calibri" w:eastAsia="宋体" w:hAnsi="Calibri"/>
      <w:b/>
      <w:kern w:val="2"/>
      <w:sz w:val="24"/>
      <w:lang w:val="en-US" w:eastAsia="zh-CN" w:bidi="ar-SA"/>
    </w:rPr>
  </w:style>
  <w:style w:type="character" w:customStyle="1" w:styleId="ftitle1">
    <w:name w:val="ftitle1"/>
    <w:rPr>
      <w:b/>
      <w:bCs/>
      <w:color w:val="000000"/>
      <w:sz w:val="35"/>
      <w:szCs w:val="35"/>
    </w:rPr>
  </w:style>
  <w:style w:type="character" w:customStyle="1" w:styleId="Charffffff1">
    <w:name w:val="款名 Char"/>
    <w:rPr>
      <w:rFonts w:ascii="Times New Roman" w:hAnsi="宋体"/>
      <w:b/>
      <w:sz w:val="24"/>
      <w:szCs w:val="24"/>
    </w:rPr>
  </w:style>
  <w:style w:type="character" w:customStyle="1" w:styleId="CharChar81">
    <w:name w:val="Char Char81"/>
    <w:rPr>
      <w:rFonts w:ascii="Times New Roman" w:eastAsia="仿宋_GB2312" w:hAnsi="Times New Roman" w:cs="Arial"/>
      <w:b/>
      <w:sz w:val="24"/>
      <w:szCs w:val="21"/>
      <w:lang w:val="en-US" w:eastAsia="zh-CN" w:bidi="ar-SA"/>
    </w:rPr>
  </w:style>
  <w:style w:type="character" w:customStyle="1" w:styleId="Charffffff2">
    <w:name w:val="头 Char"/>
    <w:rPr>
      <w:rFonts w:eastAsia="Tahoma"/>
      <w:b/>
      <w:bCs/>
      <w:kern w:val="2"/>
      <w:sz w:val="24"/>
      <w:szCs w:val="32"/>
      <w:lang w:val="en-US" w:eastAsia="zh-CN" w:bidi="ar-SA"/>
    </w:rPr>
  </w:style>
  <w:style w:type="character" w:customStyle="1" w:styleId="Charffffff3">
    <w:name w:val="环评正文 Char"/>
    <w:rPr>
      <w:rFonts w:ascii="仿宋_GB2312" w:eastAsia="仿宋_GB2312"/>
      <w:kern w:val="2"/>
      <w:sz w:val="28"/>
      <w:lang w:val="en-US" w:eastAsia="zh-CN" w:bidi="ar-SA"/>
    </w:rPr>
  </w:style>
  <w:style w:type="character" w:customStyle="1" w:styleId="CharChar19">
    <w:name w:val="Char Char19"/>
    <w:rPr>
      <w:rFonts w:ascii="Arial" w:eastAsia="黑体" w:hAnsi="Arial"/>
      <w:sz w:val="24"/>
      <w:lang w:val="en-US" w:eastAsia="zh-CN" w:bidi="ar-SA"/>
    </w:rPr>
  </w:style>
  <w:style w:type="character" w:customStyle="1" w:styleId="style31">
    <w:name w:val="style31"/>
    <w:rPr>
      <w:color w:val="000000"/>
    </w:rPr>
  </w:style>
  <w:style w:type="character" w:customStyle="1" w:styleId="newcontent1">
    <w:name w:val="new_content1"/>
    <w:rPr>
      <w:rFonts w:ascii="ˎ̥" w:hAnsi="ˎ̥" w:hint="default"/>
      <w:color w:val="000000"/>
      <w:sz w:val="21"/>
      <w:szCs w:val="21"/>
    </w:rPr>
  </w:style>
  <w:style w:type="character" w:customStyle="1" w:styleId="CharChar112">
    <w:name w:val="Char Char112"/>
    <w:rPr>
      <w:rFonts w:eastAsia="黑体" w:cs="Arial"/>
      <w:b/>
      <w:bCs/>
      <w:snapToGrid w:val="0"/>
      <w:sz w:val="24"/>
      <w:szCs w:val="32"/>
      <w:lang w:val="en-US" w:eastAsia="zh-CN" w:bidi="ar-SA"/>
    </w:rPr>
  </w:style>
  <w:style w:type="character" w:customStyle="1" w:styleId="chen1CharChar">
    <w:name w:val="chen表头1 Char Char"/>
    <w:link w:val="chen1"/>
    <w:rPr>
      <w:rFonts w:eastAsia="楷体_GB2312" w:cs="宋体"/>
      <w:b/>
      <w:sz w:val="24"/>
    </w:rPr>
  </w:style>
  <w:style w:type="paragraph" w:customStyle="1" w:styleId="chen1">
    <w:name w:val="chen表头1"/>
    <w:basedOn w:val="a2"/>
    <w:link w:val="chen1CharChar"/>
    <w:qFormat/>
    <w:pPr>
      <w:spacing w:after="120" w:line="500" w:lineRule="exact"/>
      <w:jc w:val="center"/>
    </w:pPr>
    <w:rPr>
      <w:rFonts w:cs="宋体"/>
      <w:b/>
      <w:sz w:val="24"/>
      <w:szCs w:val="22"/>
    </w:rPr>
  </w:style>
  <w:style w:type="character" w:customStyle="1" w:styleId="2f9">
    <w:name w:val="要点2"/>
    <w:rPr>
      <w:b/>
    </w:rPr>
  </w:style>
  <w:style w:type="character" w:customStyle="1" w:styleId="m451">
    <w:name w:val="m_451"/>
  </w:style>
  <w:style w:type="character" w:customStyle="1" w:styleId="Ordos125Char">
    <w:name w:val="样式 Ordos正文 + 华文细黑 行距: 多倍行距 1.25 字行 Char"/>
    <w:rPr>
      <w:rFonts w:ascii="华文细黑" w:eastAsia="华文细黑" w:hAnsi="华文细黑"/>
      <w:kern w:val="2"/>
      <w:sz w:val="21"/>
    </w:rPr>
  </w:style>
  <w:style w:type="character" w:customStyle="1" w:styleId="CharCharCharCharCharChar5">
    <w:name w:val="表中文字 Char Char Char Char Char Char"/>
    <w:rPr>
      <w:rFonts w:eastAsia="宋体"/>
      <w:kern w:val="2"/>
      <w:sz w:val="21"/>
      <w:lang w:val="en-US" w:eastAsia="zh-CN" w:bidi="ar-SA"/>
    </w:rPr>
  </w:style>
  <w:style w:type="character" w:customStyle="1" w:styleId="info">
    <w:name w:val="info"/>
    <w:basedOn w:val="a4"/>
  </w:style>
  <w:style w:type="character" w:customStyle="1" w:styleId="description">
    <w:name w:val="description"/>
  </w:style>
  <w:style w:type="character" w:customStyle="1" w:styleId="Charffffff4">
    <w:name w:val="缩进 Char"/>
    <w:link w:val="afffffffff1"/>
    <w:rPr>
      <w:sz w:val="24"/>
      <w:szCs w:val="21"/>
    </w:rPr>
  </w:style>
  <w:style w:type="paragraph" w:customStyle="1" w:styleId="afffffffff1">
    <w:name w:val="缩进"/>
    <w:basedOn w:val="a2"/>
    <w:link w:val="Charffffff4"/>
    <w:qFormat/>
    <w:pPr>
      <w:snapToGrid w:val="0"/>
      <w:spacing w:line="360" w:lineRule="auto"/>
      <w:ind w:firstLineChars="200" w:firstLine="200"/>
      <w:jc w:val="both"/>
    </w:pPr>
    <w:rPr>
      <w:sz w:val="24"/>
    </w:rPr>
  </w:style>
  <w:style w:type="character" w:customStyle="1" w:styleId="2Chare">
    <w:name w:val="正文 + 首行缩进:  2 字符 Char"/>
    <w:rPr>
      <w:rFonts w:eastAsia="宋体" w:cs="宋体"/>
      <w:kern w:val="2"/>
      <w:sz w:val="24"/>
      <w:lang w:val="en-US" w:eastAsia="zh-CN" w:bidi="ar-SA"/>
    </w:rPr>
  </w:style>
  <w:style w:type="character" w:customStyle="1" w:styleId="3Char8">
    <w:name w:val="标题3 Char"/>
    <w:rPr>
      <w:rFonts w:ascii="黑体" w:eastAsia="仿宋_GB2312"/>
      <w:b/>
      <w:bCs/>
      <w:kern w:val="2"/>
      <w:sz w:val="28"/>
      <w:szCs w:val="32"/>
      <w:lang w:val="en-US" w:eastAsia="zh-CN" w:bidi="ar-SA"/>
    </w:rPr>
  </w:style>
  <w:style w:type="character" w:customStyle="1" w:styleId="2CharChar6">
    <w:name w:val="正文文本缩进 2 Char Char"/>
    <w:link w:val="221"/>
    <w:rPr>
      <w:sz w:val="24"/>
    </w:rPr>
  </w:style>
  <w:style w:type="paragraph" w:customStyle="1" w:styleId="221">
    <w:name w:val="正文文本缩进 22"/>
    <w:basedOn w:val="a2"/>
    <w:link w:val="2CharChar6"/>
    <w:qFormat/>
    <w:pPr>
      <w:tabs>
        <w:tab w:val="left" w:pos="3465"/>
      </w:tabs>
      <w:spacing w:after="120" w:line="440" w:lineRule="exact"/>
      <w:ind w:firstLine="482"/>
      <w:jc w:val="both"/>
      <w:textAlignment w:val="baseline"/>
    </w:pPr>
    <w:rPr>
      <w:sz w:val="24"/>
      <w:szCs w:val="22"/>
    </w:rPr>
  </w:style>
  <w:style w:type="character" w:customStyle="1" w:styleId="Charffffff5">
    <w:name w:val="表格表格 Char"/>
    <w:rPr>
      <w:rFonts w:ascii="Times New Roman" w:eastAsia="宋体" w:hAnsi="Times New Roman" w:cs="宋体"/>
      <w:color w:val="000000"/>
      <w:kern w:val="0"/>
      <w:szCs w:val="21"/>
    </w:rPr>
  </w:style>
  <w:style w:type="character" w:customStyle="1" w:styleId="31113CharChar3CharCharCharCharCharChar">
    <w:name w:val="我的 标题 3条标题1.1.1标题 3 Char Char小标题头小节标题标题 3 Char Char Char标... Char Char Char"/>
    <w:rPr>
      <w:rFonts w:eastAsia="黑体"/>
      <w:snapToGrid w:val="0"/>
      <w:kern w:val="2"/>
      <w:sz w:val="28"/>
      <w:lang w:val="en-US" w:eastAsia="zh-CN"/>
    </w:rPr>
  </w:style>
  <w:style w:type="character" w:customStyle="1" w:styleId="CharCharCharCharCharCharCharChar1">
    <w:name w:val="环评正文 Char Char Char Char Char Char Char Char"/>
    <w:rPr>
      <w:rFonts w:eastAsia="宋体"/>
      <w:snapToGrid w:val="0"/>
      <w:color w:val="000000"/>
      <w:kern w:val="21"/>
      <w:sz w:val="24"/>
      <w:szCs w:val="24"/>
      <w:lang w:val="en-US" w:eastAsia="zh-CN" w:bidi="ar-SA"/>
    </w:rPr>
  </w:style>
  <w:style w:type="character" w:customStyle="1" w:styleId="1Chare">
    <w:name w:val="正文文本（使用1） Char"/>
    <w:link w:val="1ff6"/>
    <w:rPr>
      <w:rFonts w:ascii="宋体"/>
      <w:color w:val="0000FF"/>
      <w:sz w:val="24"/>
    </w:rPr>
  </w:style>
  <w:style w:type="paragraph" w:customStyle="1" w:styleId="1ff6">
    <w:name w:val="正文文本（使用1）"/>
    <w:basedOn w:val="a2"/>
    <w:link w:val="1Chare"/>
    <w:pPr>
      <w:autoSpaceDE/>
      <w:autoSpaceDN/>
      <w:adjustRightInd/>
      <w:spacing w:line="360" w:lineRule="auto"/>
      <w:ind w:firstLineChars="200" w:firstLine="200"/>
      <w:jc w:val="both"/>
    </w:pPr>
    <w:rPr>
      <w:rFonts w:ascii="宋体"/>
      <w:color w:val="0000FF"/>
      <w:sz w:val="24"/>
      <w:szCs w:val="22"/>
    </w:rPr>
  </w:style>
  <w:style w:type="character" w:customStyle="1" w:styleId="htmlmodep">
    <w:name w:val="htmlmode_p"/>
    <w:basedOn w:val="a4"/>
  </w:style>
  <w:style w:type="character" w:customStyle="1" w:styleId="Charffffff6">
    <w:name w:val="中远正文 Char"/>
    <w:rPr>
      <w:rFonts w:eastAsia="宋体" w:cs="宋体"/>
      <w:snapToGrid w:val="0"/>
      <w:color w:val="000000"/>
      <w:kern w:val="24"/>
      <w:sz w:val="24"/>
      <w:lang w:val="en-US" w:eastAsia="zh-CN" w:bidi="ar-SA"/>
    </w:rPr>
  </w:style>
  <w:style w:type="character" w:customStyle="1" w:styleId="CharCharChar6">
    <w:name w:val="正文小四 Char Char Char"/>
    <w:rPr>
      <w:rFonts w:eastAsia="宋体"/>
      <w:kern w:val="2"/>
      <w:sz w:val="24"/>
      <w:lang w:val="en-US" w:eastAsia="zh-CN" w:bidi="ar-SA"/>
    </w:rPr>
  </w:style>
  <w:style w:type="character" w:customStyle="1" w:styleId="hang1">
    <w:name w:val="hang1"/>
    <w:rPr>
      <w:rFonts w:ascii="宋体" w:eastAsia="宋体" w:hAnsi="宋体" w:hint="eastAsia"/>
      <w:color w:val="000000"/>
      <w:sz w:val="19"/>
      <w:szCs w:val="19"/>
      <w:u w:val="none"/>
    </w:rPr>
  </w:style>
  <w:style w:type="character" w:customStyle="1" w:styleId="textediteditable-title">
    <w:name w:val="text_edit editable-title"/>
  </w:style>
  <w:style w:type="character" w:customStyle="1" w:styleId="Char1fc">
    <w:name w:val="批注主题 Char1"/>
    <w:locked/>
    <w:rPr>
      <w:b/>
      <w:kern w:val="2"/>
      <w:sz w:val="24"/>
    </w:rPr>
  </w:style>
  <w:style w:type="character" w:customStyle="1" w:styleId="Char1fd">
    <w:name w:val="表内字 Char1"/>
    <w:link w:val="afffffffff2"/>
    <w:rPr>
      <w:color w:val="000000"/>
    </w:rPr>
  </w:style>
  <w:style w:type="paragraph" w:customStyle="1" w:styleId="afffffffff2">
    <w:name w:val="表内字"/>
    <w:link w:val="Char1fd"/>
    <w:qFormat/>
    <w:pPr>
      <w:widowControl w:val="0"/>
      <w:adjustRightInd w:val="0"/>
      <w:snapToGrid w:val="0"/>
      <w:jc w:val="center"/>
    </w:pPr>
    <w:rPr>
      <w:color w:val="000000"/>
      <w:kern w:val="2"/>
      <w:sz w:val="21"/>
      <w:szCs w:val="21"/>
    </w:rPr>
  </w:style>
  <w:style w:type="character" w:customStyle="1" w:styleId="afffffffff3">
    <w:name w:val="上标样式"/>
    <w:rPr>
      <w:rFonts w:ascii="宋体" w:eastAsia="宋体"/>
      <w:b/>
      <w:sz w:val="21"/>
      <w:szCs w:val="21"/>
      <w:vertAlign w:val="superscript"/>
    </w:rPr>
  </w:style>
  <w:style w:type="character" w:customStyle="1" w:styleId="HTMLChar1">
    <w:name w:val="HTML 地址 Char1"/>
    <w:uiPriority w:val="99"/>
    <w:semiHidden/>
    <w:rPr>
      <w:i/>
      <w:iCs/>
      <w:kern w:val="2"/>
      <w:sz w:val="21"/>
      <w:szCs w:val="24"/>
    </w:rPr>
  </w:style>
  <w:style w:type="character" w:customStyle="1" w:styleId="Charffffff7">
    <w:name w:val="表蕊居中 Char"/>
    <w:rPr>
      <w:rFonts w:eastAsia="宋体"/>
      <w:spacing w:val="8"/>
      <w:sz w:val="21"/>
      <w:szCs w:val="28"/>
      <w:lang w:val="en-US" w:eastAsia="zh-CN" w:bidi="ar-SA"/>
    </w:rPr>
  </w:style>
  <w:style w:type="character" w:customStyle="1" w:styleId="CharCharfff9">
    <w:name w:val="表头小四 Char Char"/>
    <w:link w:val="afffffffff4"/>
    <w:rPr>
      <w:rFonts w:ascii="宋体" w:hAnsi="宋体"/>
      <w:sz w:val="24"/>
      <w:szCs w:val="24"/>
    </w:rPr>
  </w:style>
  <w:style w:type="paragraph" w:customStyle="1" w:styleId="afffffffff4">
    <w:name w:val="表头小四"/>
    <w:basedOn w:val="a2"/>
    <w:link w:val="CharCharfff9"/>
    <w:qFormat/>
    <w:pPr>
      <w:tabs>
        <w:tab w:val="left" w:pos="8360"/>
      </w:tabs>
      <w:snapToGrid w:val="0"/>
      <w:spacing w:before="120" w:after="72" w:line="360" w:lineRule="auto"/>
      <w:jc w:val="center"/>
    </w:pPr>
    <w:rPr>
      <w:rFonts w:ascii="宋体" w:hAnsi="宋体"/>
      <w:sz w:val="24"/>
      <w:szCs w:val="24"/>
    </w:rPr>
  </w:style>
  <w:style w:type="character" w:customStyle="1" w:styleId="CharChar26">
    <w:name w:val="Char Char26"/>
    <w:rPr>
      <w:rFonts w:eastAsia="宋体"/>
      <w:b/>
      <w:kern w:val="44"/>
      <w:sz w:val="30"/>
      <w:szCs w:val="28"/>
      <w:lang w:bidi="ar-SA"/>
    </w:rPr>
  </w:style>
  <w:style w:type="character" w:customStyle="1" w:styleId="CharCharCharCharCharCharCharCharCharCharCharCharCharChar">
    <w:name w:val="正文格式 Char Char Char Char Char Char Char Char Char Char Char Char Char Char"/>
    <w:rPr>
      <w:rFonts w:eastAsia="宋体"/>
      <w:sz w:val="28"/>
      <w:szCs w:val="28"/>
      <w:lang w:val="en-US" w:eastAsia="zh-CN" w:bidi="ar-SA"/>
    </w:rPr>
  </w:style>
  <w:style w:type="character" w:customStyle="1" w:styleId="Char9">
    <w:name w:val="正文文本 Char"/>
    <w:link w:val="af4"/>
  </w:style>
  <w:style w:type="character" w:customStyle="1" w:styleId="wangChar">
    <w:name w:val="正文wang Char"/>
    <w:rPr>
      <w:rFonts w:ascii="Times New Roman" w:hAnsi="Times New Roman"/>
      <w:sz w:val="24"/>
      <w:szCs w:val="24"/>
    </w:rPr>
  </w:style>
  <w:style w:type="character" w:customStyle="1" w:styleId="2113Char">
    <w:name w:val="样式 标题 2 + 首行缩进:  1.13 厘米 Char"/>
    <w:link w:val="2113"/>
    <w:rPr>
      <w:rFonts w:ascii="仿宋_GB2312" w:eastAsia="仿宋_GB2312" w:hAnsi="仿宋_GB2312"/>
      <w:b/>
      <w:bCs/>
      <w:color w:val="000000"/>
      <w:sz w:val="28"/>
      <w:szCs w:val="24"/>
    </w:rPr>
  </w:style>
  <w:style w:type="paragraph" w:customStyle="1" w:styleId="2113">
    <w:name w:val="样式 标题 2 + 首行缩进:  1.13 厘米"/>
    <w:basedOn w:val="22"/>
    <w:link w:val="2113Char"/>
    <w:qFormat/>
    <w:pPr>
      <w:snapToGrid w:val="0"/>
      <w:spacing w:beforeLines="50" w:before="120" w:afterLines="50" w:after="120" w:line="240" w:lineRule="auto"/>
    </w:pPr>
    <w:rPr>
      <w:rFonts w:ascii="仿宋_GB2312" w:eastAsia="仿宋_GB2312" w:hAnsi="仿宋_GB2312" w:cstheme="minorBidi"/>
      <w:color w:val="000000"/>
      <w:sz w:val="28"/>
      <w:szCs w:val="24"/>
    </w:rPr>
  </w:style>
  <w:style w:type="character" w:customStyle="1" w:styleId="eee">
    <w:name w:val="eee"/>
    <w:basedOn w:val="a4"/>
  </w:style>
  <w:style w:type="character" w:customStyle="1" w:styleId="CharChar160">
    <w:name w:val="Char Char16"/>
    <w:rPr>
      <w:rFonts w:ascii="宋体" w:eastAsia="宋体" w:hAnsi="Courier New"/>
      <w:sz w:val="21"/>
      <w:lang w:val="en-US" w:eastAsia="zh-CN" w:bidi="ar-SA"/>
    </w:rPr>
  </w:style>
  <w:style w:type="character" w:customStyle="1" w:styleId="2CharChar7">
    <w:name w:val="正文（行首缩进2字） Char Char"/>
    <w:link w:val="2fa"/>
    <w:rPr>
      <w:sz w:val="24"/>
      <w:szCs w:val="24"/>
    </w:rPr>
  </w:style>
  <w:style w:type="paragraph" w:customStyle="1" w:styleId="2fa">
    <w:name w:val="正文（行首缩进2字）"/>
    <w:basedOn w:val="a2"/>
    <w:link w:val="2CharChar7"/>
    <w:qFormat/>
    <w:pPr>
      <w:spacing w:line="500" w:lineRule="exact"/>
      <w:ind w:firstLineChars="200" w:firstLine="200"/>
      <w:jc w:val="both"/>
    </w:pPr>
    <w:rPr>
      <w:sz w:val="24"/>
      <w:szCs w:val="24"/>
    </w:rPr>
  </w:style>
  <w:style w:type="character" w:customStyle="1" w:styleId="2Char0">
    <w:name w:val="正文文本 2 Char"/>
    <w:link w:val="27"/>
    <w:rPr>
      <w:rFonts w:eastAsia="仿宋_GB2312"/>
      <w:szCs w:val="24"/>
    </w:rPr>
  </w:style>
  <w:style w:type="character" w:customStyle="1" w:styleId="hhcwtChar0">
    <w:name w:val="hhcwt表格文字 Char"/>
    <w:rPr>
      <w:rFonts w:eastAsia="仿宋_GB2312" w:cs="宋体"/>
      <w:kern w:val="2"/>
      <w:sz w:val="21"/>
      <w:lang w:val="en-US" w:eastAsia="zh-CN" w:bidi="ar-SA"/>
    </w:rPr>
  </w:style>
  <w:style w:type="character" w:customStyle="1" w:styleId="chenCharChar1">
    <w:name w:val="谏壁正文chen Char Char"/>
    <w:link w:val="chen2"/>
    <w:rPr>
      <w:rFonts w:eastAsia="宋体"/>
      <w:sz w:val="24"/>
      <w:szCs w:val="24"/>
    </w:rPr>
  </w:style>
  <w:style w:type="paragraph" w:customStyle="1" w:styleId="chen2">
    <w:name w:val="谏壁正文chen"/>
    <w:basedOn w:val="a2"/>
    <w:link w:val="chenCharChar1"/>
    <w:qFormat/>
    <w:pPr>
      <w:spacing w:line="360" w:lineRule="auto"/>
      <w:ind w:firstLineChars="200" w:firstLine="200"/>
    </w:pPr>
    <w:rPr>
      <w:rFonts w:eastAsia="宋体"/>
      <w:sz w:val="24"/>
      <w:szCs w:val="24"/>
    </w:rPr>
  </w:style>
  <w:style w:type="character" w:customStyle="1" w:styleId="122Char">
    <w:name w:val="样式 样式 正文1 + 首行缩进:  2 字符 + 首行缩进:  2 字符 Char"/>
    <w:link w:val="122"/>
    <w:rPr>
      <w:rFonts w:ascii="宋体" w:cs="宋体"/>
      <w:sz w:val="24"/>
    </w:rPr>
  </w:style>
  <w:style w:type="paragraph" w:customStyle="1" w:styleId="122">
    <w:name w:val="样式 样式 正文1 + 首行缩进:  2 字符 + 首行缩进:  2 字符"/>
    <w:basedOn w:val="a2"/>
    <w:link w:val="122Char"/>
    <w:pPr>
      <w:autoSpaceDE/>
      <w:autoSpaceDN/>
      <w:adjustRightInd/>
      <w:spacing w:line="360" w:lineRule="auto"/>
      <w:ind w:firstLineChars="200" w:firstLine="480"/>
      <w:jc w:val="both"/>
    </w:pPr>
    <w:rPr>
      <w:rFonts w:ascii="宋体" w:cs="宋体"/>
      <w:sz w:val="24"/>
      <w:szCs w:val="22"/>
    </w:rPr>
  </w:style>
  <w:style w:type="character" w:customStyle="1" w:styleId="CharCharCharCharCharChar6">
    <w:name w:val="表后段落 Char Char Char Char Char Char"/>
    <w:link w:val="Charffffff8"/>
    <w:rPr>
      <w:rFonts w:eastAsia="楷体_GB2312"/>
      <w:sz w:val="28"/>
      <w:szCs w:val="28"/>
    </w:rPr>
  </w:style>
  <w:style w:type="paragraph" w:customStyle="1" w:styleId="Charffffff8">
    <w:name w:val="表后段落 Char"/>
    <w:basedOn w:val="a2"/>
    <w:link w:val="CharCharCharCharCharChar6"/>
    <w:qFormat/>
    <w:pPr>
      <w:spacing w:beforeLines="75" w:line="360" w:lineRule="auto"/>
      <w:ind w:firstLineChars="200" w:firstLine="200"/>
      <w:jc w:val="both"/>
    </w:pPr>
    <w:rPr>
      <w:szCs w:val="28"/>
    </w:rPr>
  </w:style>
  <w:style w:type="character" w:customStyle="1" w:styleId="Char2f4">
    <w:name w:val="批注框文本 Char2"/>
    <w:uiPriority w:val="99"/>
    <w:rPr>
      <w:rFonts w:ascii="Times New Roman" w:eastAsia="宋体" w:hAnsi="Times New Roman" w:cs="Times New Roman"/>
      <w:sz w:val="18"/>
      <w:szCs w:val="18"/>
    </w:rPr>
  </w:style>
  <w:style w:type="character" w:customStyle="1" w:styleId="CharCharCharCharCharCharChar10">
    <w:name w:val="正文（首行缩进两字） Char Char Char Char Char Char Char1"/>
    <w:rPr>
      <w:rFonts w:ascii="仿宋_GB2312" w:eastAsia="仿宋_GB2312"/>
      <w:color w:val="000000"/>
      <w:kern w:val="2"/>
      <w:sz w:val="28"/>
      <w:szCs w:val="24"/>
      <w:lang w:val="en-US" w:eastAsia="zh-CN" w:bidi="ar-SA"/>
    </w:rPr>
  </w:style>
  <w:style w:type="character" w:customStyle="1" w:styleId="GB2312">
    <w:name w:val="样式 (中文) 仿宋_GB2312 小三"/>
    <w:rPr>
      <w:rFonts w:eastAsia="仿宋_GB2312"/>
      <w:sz w:val="28"/>
    </w:rPr>
  </w:style>
  <w:style w:type="character" w:customStyle="1" w:styleId="WW8Num607z0">
    <w:name w:val="WW8Num607z0"/>
    <w:rPr>
      <w:rFonts w:ascii="Wingdings" w:hAnsi="Wingdings"/>
    </w:rPr>
  </w:style>
  <w:style w:type="character" w:customStyle="1" w:styleId="CharChar105">
    <w:name w:val="Char Char105"/>
    <w:rPr>
      <w:rFonts w:eastAsia="仿宋_GB2312"/>
      <w:kern w:val="2"/>
      <w:sz w:val="24"/>
      <w:szCs w:val="24"/>
      <w:lang w:val="en-US" w:eastAsia="zh-CN" w:bidi="ar-SA"/>
    </w:rPr>
  </w:style>
  <w:style w:type="character" w:customStyle="1" w:styleId="1ff7">
    <w:name w:val="已访问的超链接1"/>
    <w:rPr>
      <w:color w:val="800080"/>
      <w:u w:val="single"/>
    </w:rPr>
  </w:style>
  <w:style w:type="character" w:customStyle="1" w:styleId="Char2f5">
    <w:name w:val="日期 Char2"/>
    <w:rPr>
      <w:rFonts w:ascii="Times New Roman" w:eastAsia="宋体" w:hAnsi="Times New Roman" w:cs="Times New Roman"/>
      <w:szCs w:val="24"/>
    </w:rPr>
  </w:style>
  <w:style w:type="character" w:customStyle="1" w:styleId="CharChar131">
    <w:name w:val="Char Char131"/>
    <w:rPr>
      <w:rFonts w:eastAsia="宋体"/>
      <w:kern w:val="2"/>
      <w:sz w:val="18"/>
      <w:szCs w:val="18"/>
      <w:lang w:val="en-US" w:eastAsia="zh-CN" w:bidi="ar-SA"/>
    </w:rPr>
  </w:style>
  <w:style w:type="character" w:customStyle="1" w:styleId="MB2Char">
    <w:name w:val="MB2 Char"/>
    <w:rPr>
      <w:rFonts w:ascii="黑体" w:eastAsia="黑体" w:hAnsi="宋体"/>
      <w:b/>
      <w:color w:val="0000FF"/>
      <w:kern w:val="2"/>
      <w:sz w:val="28"/>
      <w:lang w:val="en-US" w:eastAsia="zh-CN" w:bidi="ar-SA"/>
    </w:rPr>
  </w:style>
  <w:style w:type="character" w:customStyle="1" w:styleId="CharCharCharCharChar10">
    <w:name w:val="Char Char Char Char Char1"/>
    <w:rPr>
      <w:rFonts w:eastAsia="宋体"/>
      <w:snapToGrid w:val="0"/>
      <w:sz w:val="18"/>
      <w:szCs w:val="24"/>
      <w:lang w:val="en-US" w:eastAsia="zh-CN" w:bidi="ar-SA"/>
    </w:rPr>
  </w:style>
  <w:style w:type="character" w:customStyle="1" w:styleId="CharChar164">
    <w:name w:val="Char Char164"/>
    <w:rPr>
      <w:snapToGrid/>
      <w:spacing w:val="10"/>
      <w:sz w:val="24"/>
    </w:rPr>
  </w:style>
  <w:style w:type="character" w:customStyle="1" w:styleId="defaultfont">
    <w:name w:val="defaultfont"/>
  </w:style>
  <w:style w:type="character" w:customStyle="1" w:styleId="Charffffff9">
    <w:name w:val="图表文字 Char"/>
    <w:link w:val="afffffffff5"/>
    <w:rPr>
      <w:rFonts w:ascii="仿宋_GB2312" w:eastAsia="仿宋_GB2312"/>
    </w:rPr>
  </w:style>
  <w:style w:type="paragraph" w:customStyle="1" w:styleId="afffffffff5">
    <w:name w:val="图表文字"/>
    <w:basedOn w:val="a2"/>
    <w:link w:val="Charffffff9"/>
    <w:qFormat/>
    <w:pPr>
      <w:spacing w:line="300" w:lineRule="exact"/>
      <w:jc w:val="center"/>
    </w:pPr>
    <w:rPr>
      <w:rFonts w:ascii="仿宋_GB2312" w:eastAsia="仿宋_GB2312"/>
      <w:szCs w:val="22"/>
    </w:rPr>
  </w:style>
  <w:style w:type="character" w:customStyle="1" w:styleId="CharChar154">
    <w:name w:val="Char Char154"/>
    <w:rPr>
      <w:rFonts w:ascii="Times New Roman" w:eastAsia="宋体" w:hAnsi="Times New Roman" w:cs="Times New Roman"/>
      <w:b/>
      <w:bCs/>
      <w:sz w:val="32"/>
      <w:szCs w:val="32"/>
    </w:rPr>
  </w:style>
  <w:style w:type="character" w:customStyle="1" w:styleId="3Char9">
    <w:name w:val="样式 标题 3 + 加粗 Char"/>
    <w:rPr>
      <w:rFonts w:eastAsia="宋体"/>
      <w:b/>
      <w:bCs/>
      <w:snapToGrid w:val="0"/>
      <w:spacing w:val="20"/>
      <w:sz w:val="24"/>
      <w:szCs w:val="24"/>
      <w:lang w:val="en-US" w:eastAsia="zh-CN" w:bidi="ar-SA"/>
    </w:rPr>
  </w:style>
  <w:style w:type="character" w:customStyle="1" w:styleId="HTMLChar2">
    <w:name w:val="HTML 预设格式 Char2"/>
    <w:rPr>
      <w:rFonts w:ascii="Courier New" w:hAnsi="Courier New" w:cs="Courier New"/>
      <w:kern w:val="2"/>
    </w:rPr>
  </w:style>
  <w:style w:type="character" w:customStyle="1" w:styleId="CharChar191">
    <w:name w:val="Char Char191"/>
    <w:rPr>
      <w:rFonts w:ascii="Arial" w:eastAsia="黑体" w:hAnsi="Arial"/>
      <w:sz w:val="24"/>
      <w:lang w:val="en-US" w:eastAsia="zh-CN" w:bidi="ar-SA"/>
    </w:rPr>
  </w:style>
  <w:style w:type="character" w:customStyle="1" w:styleId="Charffffffa">
    <w:name w:val="丁辛醇表格 Char"/>
    <w:link w:val="afffffffff6"/>
    <w:rPr>
      <w:rFonts w:ascii="宋体" w:hAnsi="宋体"/>
      <w:color w:val="000000"/>
      <w:szCs w:val="21"/>
    </w:rPr>
  </w:style>
  <w:style w:type="paragraph" w:customStyle="1" w:styleId="afffffffff6">
    <w:name w:val="丁辛醇表格"/>
    <w:basedOn w:val="a2"/>
    <w:link w:val="Charffffffa"/>
    <w:qFormat/>
    <w:pPr>
      <w:snapToGrid w:val="0"/>
      <w:jc w:val="center"/>
    </w:pPr>
    <w:rPr>
      <w:rFonts w:ascii="宋体" w:hAnsi="宋体"/>
      <w:color w:val="000000"/>
    </w:rPr>
  </w:style>
  <w:style w:type="character" w:customStyle="1" w:styleId="1ff8">
    <w:name w:val="访问过的超链接1"/>
    <w:rPr>
      <w:rFonts w:hint="default"/>
      <w:color w:val="800080"/>
      <w:u w:val="single"/>
    </w:rPr>
  </w:style>
  <w:style w:type="character" w:customStyle="1" w:styleId="Char8">
    <w:name w:val="结束语 Char"/>
    <w:link w:val="af3"/>
    <w:qFormat/>
    <w:rPr>
      <w:rFonts w:eastAsia="楷体_GB2312"/>
      <w:sz w:val="32"/>
    </w:rPr>
  </w:style>
  <w:style w:type="character" w:customStyle="1" w:styleId="text25">
    <w:name w:val="text25"/>
    <w:basedOn w:val="a4"/>
    <w:qFormat/>
  </w:style>
  <w:style w:type="character" w:customStyle="1" w:styleId="GB23120">
    <w:name w:val="样式 (中文) 仿宋_GB2312"/>
    <w:qFormat/>
    <w:rPr>
      <w:rFonts w:ascii="楷体_GB2312" w:eastAsia="楷体_GB2312" w:hint="eastAsia"/>
    </w:rPr>
  </w:style>
  <w:style w:type="character" w:customStyle="1" w:styleId="font81">
    <w:name w:val="font81"/>
    <w:qFormat/>
    <w:rPr>
      <w:rFonts w:ascii="宋体" w:eastAsia="宋体" w:hAnsi="宋体" w:hint="eastAsia"/>
      <w:color w:val="000000"/>
      <w:sz w:val="18"/>
      <w:szCs w:val="18"/>
      <w:u w:val="none"/>
    </w:rPr>
  </w:style>
  <w:style w:type="character" w:customStyle="1" w:styleId="Charffffffb">
    <w:name w:val="小五居左 Char"/>
    <w:link w:val="afffffffff7"/>
    <w:qFormat/>
    <w:rPr>
      <w:rFonts w:ascii="宋体" w:hAnsi="宋体"/>
      <w:bCs/>
      <w:szCs w:val="21"/>
      <w:lang w:val="zh-CN"/>
    </w:rPr>
  </w:style>
  <w:style w:type="paragraph" w:customStyle="1" w:styleId="afffffffff7">
    <w:name w:val="小五居左"/>
    <w:basedOn w:val="a2"/>
    <w:link w:val="Charffffffb"/>
    <w:qFormat/>
    <w:pPr>
      <w:snapToGrid w:val="0"/>
      <w:jc w:val="both"/>
    </w:pPr>
    <w:rPr>
      <w:rFonts w:ascii="宋体" w:hAnsi="宋体"/>
      <w:bCs/>
      <w:lang w:val="zh-CN"/>
    </w:rPr>
  </w:style>
  <w:style w:type="character" w:customStyle="1" w:styleId="postbody">
    <w:name w:val="postbody"/>
    <w:basedOn w:val="a4"/>
    <w:qFormat/>
  </w:style>
  <w:style w:type="character" w:customStyle="1" w:styleId="CharCharChar7">
    <w:name w:val="表中文字 Char Char Char"/>
    <w:rPr>
      <w:rFonts w:eastAsia="宋体"/>
      <w:sz w:val="21"/>
      <w:lang w:val="en-US" w:eastAsia="zh-CN" w:bidi="ar-SA"/>
    </w:rPr>
  </w:style>
  <w:style w:type="character" w:customStyle="1" w:styleId="CharCharCharCharCharCharChar3">
    <w:name w:val="正文样式 Char Char Char Char Char Char Char"/>
    <w:link w:val="CharCharCharCharChar4"/>
    <w:rPr>
      <w:rFonts w:ascii="宋体" w:eastAsia="宋体" w:hAnsi="宋体"/>
      <w:color w:val="000000"/>
      <w:sz w:val="24"/>
      <w:szCs w:val="24"/>
    </w:rPr>
  </w:style>
  <w:style w:type="paragraph" w:customStyle="1" w:styleId="CharCharCharCharChar4">
    <w:name w:val="正文样式 Char Char Char Char Char"/>
    <w:basedOn w:val="a2"/>
    <w:link w:val="CharCharCharCharCharCharChar3"/>
    <w:qFormat/>
    <w:pPr>
      <w:spacing w:line="360" w:lineRule="auto"/>
      <w:ind w:firstLineChars="200" w:firstLine="480"/>
    </w:pPr>
    <w:rPr>
      <w:rFonts w:ascii="宋体" w:eastAsia="宋体" w:hAnsi="宋体"/>
      <w:color w:val="000000"/>
      <w:sz w:val="24"/>
      <w:szCs w:val="24"/>
    </w:rPr>
  </w:style>
  <w:style w:type="character" w:customStyle="1" w:styleId="22CharChar">
    <w:name w:val="样式 公正文 + 首行缩进:  2 字符2 Char Char"/>
    <w:link w:val="222"/>
    <w:rPr>
      <w:rFonts w:ascii="宋体" w:eastAsia="仿宋_GB2312" w:hAnsi="宋体"/>
      <w:sz w:val="28"/>
    </w:rPr>
  </w:style>
  <w:style w:type="paragraph" w:customStyle="1" w:styleId="222">
    <w:name w:val="样式 公正文 + 首行缩进:  2 字符2"/>
    <w:basedOn w:val="afffffff6"/>
    <w:link w:val="22CharChar"/>
    <w:qFormat/>
    <w:pPr>
      <w:spacing w:line="353" w:lineRule="auto"/>
      <w:ind w:firstLine="560"/>
    </w:pPr>
    <w:rPr>
      <w:rFonts w:ascii="宋体"/>
    </w:rPr>
  </w:style>
  <w:style w:type="character" w:customStyle="1" w:styleId="CharCharCharCharCharCharCharCharCharCharCharCharCharCharCharChar">
    <w:name w:val="Char Char Char Char Char Char Char Char Char Char Char Char Char Char Char Char"/>
    <w:rPr>
      <w:rFonts w:eastAsia="宋体"/>
      <w:snapToGrid w:val="0"/>
      <w:sz w:val="18"/>
      <w:szCs w:val="24"/>
      <w:lang w:val="en-US" w:eastAsia="zh-CN" w:bidi="ar-SA"/>
    </w:rPr>
  </w:style>
  <w:style w:type="character" w:customStyle="1" w:styleId="1Charf">
    <w:name w:val="1  标题 Char"/>
    <w:link w:val="1ff9"/>
    <w:locked/>
    <w:rPr>
      <w:rFonts w:ascii="宋体"/>
      <w:b/>
      <w:bCs/>
      <w:sz w:val="24"/>
    </w:rPr>
  </w:style>
  <w:style w:type="paragraph" w:customStyle="1" w:styleId="1ff9">
    <w:name w:val="1  标题"/>
    <w:basedOn w:val="a2"/>
    <w:link w:val="1Charf"/>
    <w:qFormat/>
    <w:pPr>
      <w:spacing w:before="156" w:after="156" w:line="460" w:lineRule="exact"/>
      <w:jc w:val="both"/>
    </w:pPr>
    <w:rPr>
      <w:rFonts w:ascii="宋体"/>
      <w:b/>
      <w:bCs/>
      <w:sz w:val="24"/>
      <w:szCs w:val="22"/>
    </w:rPr>
  </w:style>
  <w:style w:type="character" w:customStyle="1" w:styleId="2CharCharCharChar0">
    <w:name w:val="样式2 Char Char Char Char"/>
    <w:link w:val="2CharChar8"/>
    <w:rPr>
      <w:rFonts w:ascii="宋体" w:eastAsia="仿宋_GB2312" w:hAnsi="Arial"/>
      <w:sz w:val="28"/>
    </w:rPr>
  </w:style>
  <w:style w:type="paragraph" w:customStyle="1" w:styleId="2CharChar8">
    <w:name w:val="样式2 Char Char"/>
    <w:basedOn w:val="a2"/>
    <w:link w:val="2CharCharCharChar0"/>
    <w:qFormat/>
    <w:pPr>
      <w:spacing w:beforeLines="50" w:before="156" w:line="360" w:lineRule="auto"/>
      <w:ind w:firstLineChars="200" w:firstLine="200"/>
      <w:jc w:val="both"/>
    </w:pPr>
    <w:rPr>
      <w:rFonts w:ascii="宋体" w:eastAsia="仿宋_GB2312" w:hAnsi="Arial"/>
      <w:szCs w:val="22"/>
    </w:rPr>
  </w:style>
  <w:style w:type="character" w:customStyle="1" w:styleId="CharChar182">
    <w:name w:val="Char Char182"/>
    <w:rPr>
      <w:snapToGrid w:val="0"/>
      <w:spacing w:val="10"/>
      <w:sz w:val="24"/>
    </w:rPr>
  </w:style>
  <w:style w:type="character" w:customStyle="1" w:styleId="2Charf">
    <w:name w:val="样式 正文样式 仿宋 四号 + 首行缩进:  2 字符 Char"/>
    <w:basedOn w:val="Charffffffc"/>
    <w:link w:val="2fb"/>
    <w:rPr>
      <w:rFonts w:ascii="仿宋_GB2312" w:eastAsia="仿宋_GB2312" w:hAnsi="宋体"/>
      <w:color w:val="000000"/>
      <w:sz w:val="28"/>
    </w:rPr>
  </w:style>
  <w:style w:type="character" w:customStyle="1" w:styleId="Charffffffc">
    <w:name w:val="正文样式 仿宋 四号 Char"/>
    <w:basedOn w:val="GB231209813Char"/>
    <w:link w:val="afffffffff8"/>
    <w:rPr>
      <w:rFonts w:ascii="仿宋_GB2312" w:eastAsia="仿宋_GB2312" w:hAnsi="宋体"/>
      <w:color w:val="000000"/>
      <w:sz w:val="28"/>
    </w:rPr>
  </w:style>
  <w:style w:type="paragraph" w:customStyle="1" w:styleId="afffffffff8">
    <w:name w:val="正文样式 仿宋 四号"/>
    <w:basedOn w:val="GB231209813"/>
    <w:link w:val="Charffffffc"/>
    <w:qFormat/>
    <w:pPr>
      <w:snapToGrid w:val="0"/>
      <w:ind w:firstLineChars="200" w:firstLine="200"/>
      <w:jc w:val="both"/>
    </w:pPr>
  </w:style>
  <w:style w:type="paragraph" w:customStyle="1" w:styleId="2fb">
    <w:name w:val="样式 正文样式 仿宋 四号 + 首行缩进:  2 字符"/>
    <w:basedOn w:val="afffffffff8"/>
    <w:link w:val="2Charf"/>
    <w:qFormat/>
    <w:pPr>
      <w:ind w:firstLine="560"/>
    </w:pPr>
  </w:style>
  <w:style w:type="character" w:customStyle="1" w:styleId="CharCharfffa">
    <w:name w:val="表头（仿宋 小四） Char Char"/>
    <w:link w:val="afffffffff9"/>
    <w:rPr>
      <w:rFonts w:ascii="仿宋_GB2312" w:eastAsia="仿宋_GB2312" w:hAnsi="宋体" w:cs="宋体"/>
      <w:color w:val="000000"/>
      <w:sz w:val="24"/>
    </w:rPr>
  </w:style>
  <w:style w:type="paragraph" w:customStyle="1" w:styleId="afffffffff9">
    <w:name w:val="表头（仿宋 小四）"/>
    <w:basedOn w:val="a2"/>
    <w:link w:val="CharCharfffa"/>
    <w:qFormat/>
    <w:pPr>
      <w:spacing w:line="520" w:lineRule="exact"/>
      <w:jc w:val="center"/>
    </w:pPr>
    <w:rPr>
      <w:rFonts w:ascii="仿宋_GB2312" w:eastAsia="仿宋_GB2312" w:hAnsi="宋体" w:cs="宋体"/>
      <w:color w:val="000000"/>
      <w:sz w:val="24"/>
      <w:szCs w:val="22"/>
    </w:rPr>
  </w:style>
  <w:style w:type="character" w:customStyle="1" w:styleId="CharChar119">
    <w:name w:val="Char Char119"/>
    <w:rPr>
      <w:rFonts w:ascii="仿宋_GB2312" w:eastAsia="仿宋_GB2312"/>
      <w:b/>
      <w:kern w:val="44"/>
      <w:sz w:val="44"/>
      <w:lang w:val="en-US" w:eastAsia="zh-CN"/>
    </w:rPr>
  </w:style>
  <w:style w:type="character" w:customStyle="1" w:styleId="Char2f6">
    <w:name w:val="表头 Char2"/>
    <w:rPr>
      <w:rFonts w:ascii="黑体" w:eastAsia="宋体" w:hAnsi="宋体"/>
      <w:bCs/>
      <w:sz w:val="24"/>
      <w:szCs w:val="24"/>
      <w:lang w:val="en-US" w:eastAsia="zh-CN" w:bidi="ar-SA"/>
    </w:rPr>
  </w:style>
  <w:style w:type="character" w:customStyle="1" w:styleId="2CharChar9">
    <w:name w:val="表格文字2 Char Char"/>
    <w:link w:val="2fc"/>
    <w:rPr>
      <w:szCs w:val="21"/>
    </w:rPr>
  </w:style>
  <w:style w:type="paragraph" w:customStyle="1" w:styleId="2fc">
    <w:name w:val="表格文字2"/>
    <w:basedOn w:val="a2"/>
    <w:link w:val="2CharChar9"/>
    <w:qFormat/>
    <w:pPr>
      <w:tabs>
        <w:tab w:val="left" w:pos="277"/>
        <w:tab w:val="left" w:pos="600"/>
        <w:tab w:val="left" w:pos="780"/>
        <w:tab w:val="left" w:pos="2517"/>
      </w:tabs>
      <w:spacing w:before="60"/>
      <w:jc w:val="center"/>
      <w:textAlignment w:val="baseline"/>
    </w:pPr>
  </w:style>
  <w:style w:type="character" w:customStyle="1" w:styleId="p9l1">
    <w:name w:val="p9l1"/>
    <w:rPr>
      <w:sz w:val="18"/>
      <w:szCs w:val="18"/>
      <w:u w:val="none"/>
    </w:rPr>
  </w:style>
  <w:style w:type="character" w:customStyle="1" w:styleId="2Charf0">
    <w:name w:val="题2 Char"/>
    <w:link w:val="2fd"/>
    <w:rPr>
      <w:rFonts w:eastAsia="仿宋_GB2312"/>
      <w:bCs/>
      <w:sz w:val="30"/>
      <w:szCs w:val="30"/>
    </w:rPr>
  </w:style>
  <w:style w:type="paragraph" w:customStyle="1" w:styleId="2fd">
    <w:name w:val="题2"/>
    <w:basedOn w:val="22"/>
    <w:link w:val="2Charf0"/>
    <w:qFormat/>
    <w:pPr>
      <w:tabs>
        <w:tab w:val="left" w:pos="1275"/>
      </w:tabs>
      <w:snapToGrid w:val="0"/>
      <w:spacing w:beforeLines="50" w:before="156" w:afterLines="50" w:after="156" w:line="360" w:lineRule="auto"/>
    </w:pPr>
    <w:rPr>
      <w:rFonts w:asciiTheme="minorHAnsi" w:eastAsia="仿宋_GB2312" w:hAnsiTheme="minorHAnsi" w:cstheme="minorBidi"/>
      <w:b w:val="0"/>
      <w:sz w:val="30"/>
      <w:szCs w:val="30"/>
    </w:rPr>
  </w:style>
  <w:style w:type="character" w:customStyle="1" w:styleId="CharCharfffb">
    <w:name w:val="表头宋体黑色 Char Char"/>
    <w:link w:val="afffffffffa"/>
    <w:rPr>
      <w:sz w:val="24"/>
      <w:szCs w:val="24"/>
    </w:rPr>
  </w:style>
  <w:style w:type="paragraph" w:customStyle="1" w:styleId="afffffffffa">
    <w:name w:val="表头宋体黑色"/>
    <w:basedOn w:val="a2"/>
    <w:link w:val="CharCharfffb"/>
    <w:qFormat/>
    <w:pPr>
      <w:spacing w:beforeLines="50" w:before="156"/>
      <w:jc w:val="center"/>
      <w:textAlignment w:val="baseline"/>
    </w:pPr>
    <w:rPr>
      <w:sz w:val="24"/>
      <w:szCs w:val="24"/>
    </w:rPr>
  </w:style>
  <w:style w:type="character" w:customStyle="1" w:styleId="3Chara">
    <w:name w:val="项目3 Char"/>
    <w:link w:val="3f6"/>
    <w:rPr>
      <w:rFonts w:ascii="宋体" w:hAnsi="宋体"/>
      <w:b/>
      <w:bCs/>
      <w:sz w:val="28"/>
      <w:szCs w:val="28"/>
    </w:rPr>
  </w:style>
  <w:style w:type="paragraph" w:customStyle="1" w:styleId="3f6">
    <w:name w:val="项目3"/>
    <w:basedOn w:val="2fe"/>
    <w:link w:val="3Chara"/>
    <w:qFormat/>
    <w:pPr>
      <w:keepNext/>
      <w:keepLines/>
      <w:tabs>
        <w:tab w:val="left" w:pos="720"/>
      </w:tabs>
      <w:spacing w:line="360" w:lineRule="auto"/>
      <w:outlineLvl w:val="1"/>
    </w:pPr>
    <w:rPr>
      <w:rFonts w:ascii="宋体" w:hAnsi="宋体"/>
      <w:b/>
      <w:bCs/>
    </w:rPr>
  </w:style>
  <w:style w:type="paragraph" w:customStyle="1" w:styleId="2fe">
    <w:name w:val="项目2"/>
    <w:basedOn w:val="a2"/>
    <w:uiPriority w:val="99"/>
    <w:qFormat/>
    <w:pPr>
      <w:tabs>
        <w:tab w:val="left" w:pos="360"/>
      </w:tabs>
      <w:snapToGrid w:val="0"/>
      <w:spacing w:line="240" w:lineRule="atLeast"/>
      <w:ind w:left="340" w:hanging="340"/>
      <w:jc w:val="both"/>
    </w:pPr>
    <w:rPr>
      <w:szCs w:val="28"/>
    </w:rPr>
  </w:style>
  <w:style w:type="character" w:customStyle="1" w:styleId="CharChar192">
    <w:name w:val="Char Char192"/>
    <w:rPr>
      <w:rFonts w:ascii="Arial" w:eastAsia="黑体" w:hAnsi="Arial"/>
      <w:sz w:val="24"/>
      <w:lang w:val="en-US" w:eastAsia="zh-CN" w:bidi="ar-SA"/>
    </w:rPr>
  </w:style>
  <w:style w:type="character" w:customStyle="1" w:styleId="Char2f7">
    <w:name w:val="签名 Char2"/>
    <w:rPr>
      <w:rFonts w:ascii="Times New Roman" w:eastAsia="宋体" w:hAnsi="Times New Roman" w:cs="Times New Roman"/>
      <w:szCs w:val="24"/>
    </w:rPr>
  </w:style>
  <w:style w:type="character" w:customStyle="1" w:styleId="CharChar61">
    <w:name w:val="Char Char61"/>
    <w:rPr>
      <w:rFonts w:ascii="楷体_GB2312" w:eastAsia="楷体_GB2312"/>
      <w:b/>
      <w:bCs/>
      <w:kern w:val="44"/>
      <w:sz w:val="32"/>
      <w:szCs w:val="44"/>
      <w:lang w:val="en-US" w:eastAsia="zh-CN" w:bidi="ar-SA"/>
    </w:rPr>
  </w:style>
  <w:style w:type="character" w:customStyle="1" w:styleId="Charffffffd">
    <w:name w:val="表题 Char"/>
    <w:rPr>
      <w:rFonts w:eastAsia="黑体"/>
      <w:kern w:val="2"/>
      <w:sz w:val="28"/>
      <w:szCs w:val="24"/>
      <w:lang w:val="en-US" w:eastAsia="zh-CN" w:bidi="ar-SA"/>
    </w:rPr>
  </w:style>
  <w:style w:type="character" w:customStyle="1" w:styleId="Char3f0">
    <w:name w:val="电子邮件签名 Char3"/>
    <w:uiPriority w:val="99"/>
    <w:semiHidden/>
  </w:style>
  <w:style w:type="character" w:customStyle="1" w:styleId="8Char2">
    <w:name w:val="标题 8 Char2"/>
    <w:rPr>
      <w:rFonts w:ascii="Cambria" w:eastAsia="宋体" w:hAnsi="Cambria" w:cs="Times New Roman"/>
      <w:kern w:val="2"/>
      <w:sz w:val="24"/>
      <w:szCs w:val="24"/>
    </w:rPr>
  </w:style>
  <w:style w:type="character" w:customStyle="1" w:styleId="font41">
    <w:name w:val="font41"/>
    <w:rPr>
      <w:rFonts w:ascii="仿宋_GB2312" w:eastAsia="仿宋_GB2312" w:hint="eastAsia"/>
      <w:color w:val="000000"/>
      <w:sz w:val="20"/>
      <w:szCs w:val="20"/>
      <w:u w:val="none"/>
    </w:rPr>
  </w:style>
  <w:style w:type="character" w:customStyle="1" w:styleId="126CharChar">
    <w:name w:val="样式 (中文) 宋体 首行缩进:  1 厘米 行距: 固定值 26 磅 Char Char"/>
    <w:link w:val="126"/>
    <w:rPr>
      <w:rFonts w:eastAsia="宋体" w:cs="宋体"/>
      <w:spacing w:val="8"/>
      <w:sz w:val="28"/>
    </w:rPr>
  </w:style>
  <w:style w:type="paragraph" w:customStyle="1" w:styleId="126">
    <w:name w:val="样式 (中文) 宋体 首行缩进:  1 厘米 行距: 固定值 26 磅"/>
    <w:basedOn w:val="a2"/>
    <w:link w:val="126CharChar"/>
    <w:qFormat/>
    <w:pPr>
      <w:spacing w:line="480" w:lineRule="exact"/>
      <w:ind w:firstLine="567"/>
      <w:textAlignment w:val="baseline"/>
    </w:pPr>
    <w:rPr>
      <w:rFonts w:eastAsia="宋体" w:cs="宋体"/>
      <w:spacing w:val="8"/>
      <w:szCs w:val="22"/>
    </w:rPr>
  </w:style>
  <w:style w:type="character" w:customStyle="1" w:styleId="Char2f8">
    <w:name w:val="页脚 Char2"/>
    <w:rPr>
      <w:rFonts w:ascii="Times New Roman" w:eastAsia="宋体" w:hAnsi="Times New Roman" w:cs="Times New Roman"/>
      <w:sz w:val="18"/>
      <w:szCs w:val="18"/>
    </w:rPr>
  </w:style>
  <w:style w:type="character" w:customStyle="1" w:styleId="contents1">
    <w:name w:val="contents1"/>
    <w:rPr>
      <w:rFonts w:ascii="Verdana" w:hAnsi="Verdana" w:hint="default"/>
      <w:color w:val="000000"/>
      <w:sz w:val="21"/>
      <w:szCs w:val="21"/>
    </w:rPr>
  </w:style>
  <w:style w:type="character" w:customStyle="1" w:styleId="Char2f9">
    <w:name w:val="正文小四 Char2"/>
    <w:rPr>
      <w:rFonts w:ascii="宋体" w:eastAsia="宋体" w:hAnsi="宋体" w:cs="宋体"/>
      <w:kern w:val="2"/>
      <w:sz w:val="24"/>
      <w:szCs w:val="24"/>
      <w:lang w:val="en-US" w:eastAsia="zh-CN" w:bidi="ar-SA"/>
    </w:rPr>
  </w:style>
  <w:style w:type="character" w:customStyle="1" w:styleId="Char4b">
    <w:name w:val="签名 Char4"/>
    <w:uiPriority w:val="99"/>
    <w:semiHidden/>
  </w:style>
  <w:style w:type="character" w:customStyle="1" w:styleId="4H4H41026CharChar">
    <w:name w:val="样式 标题 4四H4H41 + 段前: 0 磅 行距: 固定值 26 磅 Char Char"/>
    <w:link w:val="4H4H41026"/>
    <w:rPr>
      <w:rFonts w:ascii="Arial" w:hAnsi="Arial" w:cs="宋体"/>
      <w:b/>
      <w:bCs/>
      <w:sz w:val="24"/>
      <w:szCs w:val="28"/>
    </w:rPr>
  </w:style>
  <w:style w:type="paragraph" w:customStyle="1" w:styleId="4H4H41026">
    <w:name w:val="样式 标题 4四H4H41 + 段前: 0 磅 行距: 固定值 26 磅"/>
    <w:basedOn w:val="41"/>
    <w:link w:val="4H4H41026CharChar"/>
    <w:qFormat/>
    <w:pPr>
      <w:keepNext w:val="0"/>
      <w:keepLines w:val="0"/>
      <w:spacing w:afterLines="50" w:after="156" w:line="560" w:lineRule="exact"/>
      <w:ind w:leftChars="0" w:left="0" w:rightChars="0" w:right="0" w:firstLineChars="200" w:firstLine="200"/>
    </w:pPr>
    <w:rPr>
      <w:rFonts w:ascii="Arial" w:eastAsiaTheme="minorEastAsia" w:hAnsi="Arial" w:cs="宋体"/>
      <w:b/>
      <w:sz w:val="24"/>
    </w:rPr>
  </w:style>
  <w:style w:type="character" w:customStyle="1" w:styleId="TableTitleChar2">
    <w:name w:val="Table Title Char2"/>
    <w:rPr>
      <w:rFonts w:eastAsia="宋体"/>
      <w:kern w:val="2"/>
      <w:sz w:val="24"/>
      <w:szCs w:val="24"/>
      <w:lang w:val="en-US" w:eastAsia="zh-CN" w:bidi="ar-SA"/>
    </w:rPr>
  </w:style>
  <w:style w:type="character" w:customStyle="1" w:styleId="style161">
    <w:name w:val="style161"/>
    <w:rPr>
      <w:color w:val="FF9900"/>
      <w:sz w:val="21"/>
      <w:szCs w:val="21"/>
    </w:rPr>
  </w:style>
  <w:style w:type="character" w:customStyle="1" w:styleId="txt181">
    <w:name w:val="txt181"/>
    <w:rPr>
      <w:rFonts w:ascii="ˎ̥" w:hAnsi="ˎ̥" w:hint="default"/>
      <w:b/>
      <w:bCs/>
      <w:sz w:val="38"/>
      <w:szCs w:val="38"/>
      <w:u w:val="none"/>
    </w:rPr>
  </w:style>
  <w:style w:type="character" w:customStyle="1" w:styleId="3Char0">
    <w:name w:val="正文文本 3 Char"/>
    <w:link w:val="34"/>
    <w:rPr>
      <w:sz w:val="16"/>
      <w:szCs w:val="16"/>
    </w:rPr>
  </w:style>
  <w:style w:type="character" w:customStyle="1" w:styleId="font01">
    <w:name w:val="font01"/>
    <w:rPr>
      <w:rFonts w:ascii="Times New Roman" w:hAnsi="Times New Roman" w:cs="Times New Roman" w:hint="default"/>
      <w:color w:val="FF0000"/>
      <w:sz w:val="18"/>
      <w:szCs w:val="18"/>
      <w:u w:val="none"/>
    </w:rPr>
  </w:style>
  <w:style w:type="character" w:customStyle="1" w:styleId="Char1fe">
    <w:name w:val="签名 Char1"/>
    <w:locked/>
    <w:rPr>
      <w:rFonts w:ascii="Arial" w:eastAsia="仿宋_GB2312" w:hAnsi="Arial"/>
      <w:kern w:val="2"/>
      <w:sz w:val="24"/>
    </w:rPr>
  </w:style>
  <w:style w:type="character" w:customStyle="1" w:styleId="3CharCharCharCharCharCharCharCharCharCharCharCharCharCharCharCharCharCharCharCharCharCharCharCharCharCharCharCharCharCharCharCharCharCharCharCharCharCharCharChar">
    <w:name w:val="标题 3 Char Char Char Char Char Char Char Char Char Char Char Char Char Char Char Char Char Char Char Char Char Char Char Char Char Char Char Char Char Char Char Char Char Char Char Char Char Char Char Char"/>
    <w:rPr>
      <w:rFonts w:eastAsia="楷体_GB2312"/>
      <w:kern w:val="2"/>
      <w:sz w:val="28"/>
      <w:lang w:val="en-US" w:eastAsia="zh-CN" w:bidi="ar-SA"/>
    </w:rPr>
  </w:style>
  <w:style w:type="character" w:customStyle="1" w:styleId="p91">
    <w:name w:val="p91"/>
    <w:rPr>
      <w:rFonts w:ascii="ˎ̥" w:hAnsi="ˎ̥" w:hint="default"/>
      <w:sz w:val="21"/>
      <w:szCs w:val="21"/>
    </w:rPr>
  </w:style>
  <w:style w:type="character" w:customStyle="1" w:styleId="1b1XWH1H11H12CharCharChar">
    <w:name w:val="样式 标题 1式样b标题 1XWH1H11H12 + 黑色 字距调整五号 Char Char Char"/>
    <w:link w:val="1b1XWH1H11H12Char"/>
    <w:rPr>
      <w:rFonts w:eastAsia="黑体"/>
      <w:b/>
      <w:bCs/>
      <w:color w:val="000000"/>
      <w:kern w:val="21"/>
      <w:sz w:val="44"/>
      <w:szCs w:val="44"/>
    </w:rPr>
  </w:style>
  <w:style w:type="paragraph" w:customStyle="1" w:styleId="1b1XWH1H11H12Char">
    <w:name w:val="样式 标题 1式样b标题 1XWH1H11H12 + 黑色 字距调整五号 Char"/>
    <w:basedOn w:val="12"/>
    <w:link w:val="1b1XWH1H11H12CharCharChar"/>
    <w:qFormat/>
    <w:pPr>
      <w:keepNext w:val="0"/>
      <w:keepLines w:val="0"/>
      <w:spacing w:before="240" w:afterLines="100" w:after="312" w:line="560" w:lineRule="exact"/>
      <w:jc w:val="center"/>
      <w:textAlignment w:val="auto"/>
    </w:pPr>
    <w:rPr>
      <w:rFonts w:asciiTheme="minorHAnsi"/>
      <w:b/>
      <w:color w:val="000000"/>
      <w:kern w:val="21"/>
      <w:sz w:val="44"/>
      <w:szCs w:val="44"/>
    </w:rPr>
  </w:style>
  <w:style w:type="character" w:customStyle="1" w:styleId="20Char">
    <w:name w:val="样式20 Char"/>
    <w:link w:val="200"/>
    <w:rPr>
      <w:rFonts w:ascii="ˎ̥" w:hAnsi="ˎ̥"/>
      <w:bCs/>
      <w:color w:val="000000"/>
      <w:sz w:val="24"/>
    </w:rPr>
  </w:style>
  <w:style w:type="paragraph" w:customStyle="1" w:styleId="200">
    <w:name w:val="样式20"/>
    <w:basedOn w:val="a2"/>
    <w:link w:val="20Char"/>
    <w:qFormat/>
    <w:pPr>
      <w:snapToGrid w:val="0"/>
      <w:spacing w:beforeLines="50" w:before="210" w:afterLines="50" w:after="210" w:line="360" w:lineRule="auto"/>
      <w:ind w:firstLineChars="200" w:firstLine="480"/>
      <w:jc w:val="both"/>
    </w:pPr>
    <w:rPr>
      <w:rFonts w:ascii="ˎ̥" w:hAnsi="ˎ̥"/>
      <w:bCs/>
      <w:color w:val="000000"/>
      <w:sz w:val="24"/>
      <w:szCs w:val="22"/>
    </w:rPr>
  </w:style>
  <w:style w:type="character" w:customStyle="1" w:styleId="CharChar222">
    <w:name w:val="Char Char222"/>
    <w:rPr>
      <w:rFonts w:ascii="Calibri" w:eastAsia="宋体" w:hAnsi="Calibri"/>
      <w:kern w:val="2"/>
      <w:sz w:val="24"/>
      <w:lang w:val="en-US" w:eastAsia="zh-CN" w:bidi="ar-SA"/>
    </w:rPr>
  </w:style>
  <w:style w:type="character" w:customStyle="1" w:styleId="Charffffffe">
    <w:name w:val="表格式 Char"/>
    <w:link w:val="afffffffffb"/>
    <w:uiPriority w:val="99"/>
  </w:style>
  <w:style w:type="paragraph" w:customStyle="1" w:styleId="afffffffffb">
    <w:name w:val="表格式"/>
    <w:basedOn w:val="aff2"/>
    <w:link w:val="Charffffffe"/>
    <w:uiPriority w:val="99"/>
    <w:qFormat/>
    <w:pPr>
      <w:spacing w:beforeLines="50" w:before="156" w:afterLines="50" w:after="156" w:line="200" w:lineRule="exact"/>
    </w:pPr>
    <w:rPr>
      <w:rFonts w:asciiTheme="minorHAnsi" w:eastAsiaTheme="minorEastAsia"/>
      <w:sz w:val="21"/>
    </w:rPr>
  </w:style>
  <w:style w:type="character" w:customStyle="1" w:styleId="CharChar253">
    <w:name w:val="Char Char253"/>
    <w:rPr>
      <w:rFonts w:eastAsia="宋体"/>
      <w:b/>
      <w:bCs/>
      <w:iCs/>
      <w:kern w:val="2"/>
      <w:sz w:val="28"/>
      <w:szCs w:val="24"/>
      <w:lang w:bidi="ar-SA"/>
    </w:rPr>
  </w:style>
  <w:style w:type="character" w:customStyle="1" w:styleId="hhcwt1CharChar">
    <w:name w:val="hhcwt标题1 Char Char"/>
    <w:link w:val="hhcwt1"/>
    <w:rPr>
      <w:rFonts w:eastAsia="黑体" w:cs="宋体"/>
      <w:kern w:val="44"/>
      <w:sz w:val="36"/>
      <w:lang w:val="zh-CN"/>
    </w:rPr>
  </w:style>
  <w:style w:type="paragraph" w:customStyle="1" w:styleId="hhcwt1">
    <w:name w:val="hhcwt标题1"/>
    <w:basedOn w:val="a2"/>
    <w:link w:val="hhcwt1CharChar"/>
    <w:qFormat/>
    <w:pPr>
      <w:keepNext/>
      <w:keepLines/>
      <w:spacing w:before="120" w:after="120" w:line="336" w:lineRule="auto"/>
      <w:outlineLvl w:val="0"/>
    </w:pPr>
    <w:rPr>
      <w:rFonts w:eastAsia="黑体" w:cs="宋体"/>
      <w:kern w:val="44"/>
      <w:sz w:val="36"/>
      <w:szCs w:val="22"/>
      <w:lang w:val="zh-CN"/>
    </w:rPr>
  </w:style>
  <w:style w:type="character" w:customStyle="1" w:styleId="Charfffffff">
    <w:name w:val="表 标题 Char"/>
    <w:link w:val="afffffffffc"/>
    <w:rPr>
      <w:b/>
      <w:sz w:val="24"/>
    </w:rPr>
  </w:style>
  <w:style w:type="paragraph" w:customStyle="1" w:styleId="afffffffffc">
    <w:name w:val="表 标题"/>
    <w:basedOn w:val="aff4"/>
    <w:next w:val="a2"/>
    <w:link w:val="Charfffffff"/>
    <w:qFormat/>
    <w:pPr>
      <w:spacing w:beforeLines="50" w:before="50" w:line="240" w:lineRule="auto"/>
    </w:pPr>
    <w:rPr>
      <w:rFonts w:asciiTheme="minorHAnsi" w:eastAsiaTheme="minorEastAsia" w:hint="default"/>
      <w:b/>
      <w:sz w:val="24"/>
      <w:szCs w:val="22"/>
    </w:rPr>
  </w:style>
  <w:style w:type="character" w:customStyle="1" w:styleId="nine-11">
    <w:name w:val="nine-11"/>
    <w:rPr>
      <w:rFonts w:hint="default"/>
      <w:sz w:val="18"/>
    </w:rPr>
  </w:style>
  <w:style w:type="character" w:customStyle="1" w:styleId="Char1ff">
    <w:name w:val="表格文字 Char1"/>
    <w:link w:val="afffffffffd"/>
    <w:rPr>
      <w:rFonts w:ascii="仿宋_GB2312" w:eastAsia="仿宋_GB2312" w:hAnsi="Arial Black"/>
      <w:kern w:val="44"/>
      <w:sz w:val="24"/>
    </w:rPr>
  </w:style>
  <w:style w:type="paragraph" w:customStyle="1" w:styleId="afffffffffd">
    <w:name w:val="表格文字"/>
    <w:basedOn w:val="a2"/>
    <w:link w:val="Char1ff"/>
    <w:qFormat/>
    <w:pPr>
      <w:snapToGrid w:val="0"/>
      <w:jc w:val="center"/>
    </w:pPr>
    <w:rPr>
      <w:rFonts w:ascii="仿宋_GB2312" w:eastAsia="仿宋_GB2312" w:hAnsi="Arial Black"/>
      <w:kern w:val="44"/>
      <w:sz w:val="24"/>
      <w:szCs w:val="22"/>
    </w:rPr>
  </w:style>
  <w:style w:type="character" w:customStyle="1" w:styleId="size181">
    <w:name w:val="size181"/>
    <w:rPr>
      <w:sz w:val="27"/>
      <w:szCs w:val="27"/>
    </w:rPr>
  </w:style>
  <w:style w:type="character" w:customStyle="1" w:styleId="6Char2">
    <w:name w:val="样式6 Char"/>
    <w:rPr>
      <w:rFonts w:ascii="Arial" w:eastAsia="黑体" w:hAnsi="Arial"/>
      <w:b/>
      <w:bCs/>
      <w:kern w:val="2"/>
      <w:sz w:val="28"/>
      <w:szCs w:val="28"/>
      <w:lang w:bidi="ar-SA"/>
    </w:rPr>
  </w:style>
  <w:style w:type="character" w:customStyle="1" w:styleId="10115Char">
    <w:name w:val="样式 小四 首行缩进:  1.01 厘米 行距: 1.5 倍行距 Char"/>
    <w:rPr>
      <w:rFonts w:eastAsia="宋体" w:cs="宋体"/>
      <w:kern w:val="2"/>
      <w:sz w:val="24"/>
      <w:lang w:val="en-US" w:eastAsia="zh-CN" w:bidi="ar-SA"/>
    </w:rPr>
  </w:style>
  <w:style w:type="character" w:customStyle="1" w:styleId="aaCharChar">
    <w:name w:val="正文aa Char Char"/>
    <w:rPr>
      <w:rFonts w:eastAsia="宋体"/>
      <w:kern w:val="2"/>
      <w:sz w:val="24"/>
      <w:szCs w:val="24"/>
      <w:lang w:val="en-US" w:eastAsia="zh-CN" w:bidi="ar-SA"/>
    </w:rPr>
  </w:style>
  <w:style w:type="character" w:customStyle="1" w:styleId="hei121">
    <w:name w:val="hei121"/>
    <w:rPr>
      <w:color w:val="000000"/>
      <w:sz w:val="15"/>
      <w:szCs w:val="15"/>
      <w:u w:val="none"/>
    </w:rPr>
  </w:style>
  <w:style w:type="character" w:customStyle="1" w:styleId="A3Char0">
    <w:name w:val="A3 Char"/>
    <w:rPr>
      <w:rFonts w:ascii="Times New Roman" w:eastAsia="宋体" w:hAnsi="Times New Roman" w:cs="Times New Roman"/>
      <w:bCs/>
      <w:sz w:val="28"/>
      <w:szCs w:val="28"/>
    </w:rPr>
  </w:style>
  <w:style w:type="character" w:customStyle="1" w:styleId="EmailStyle4271">
    <w:name w:val="EmailStyle4271"/>
    <w:rPr>
      <w:rFonts w:ascii="Arial" w:eastAsia="宋体" w:hAnsi="Arial" w:cs="Arial"/>
      <w:color w:val="000080"/>
      <w:sz w:val="18"/>
      <w:szCs w:val="20"/>
    </w:rPr>
  </w:style>
  <w:style w:type="character" w:customStyle="1" w:styleId="CharChar42">
    <w:name w:val="Char Char42"/>
    <w:rPr>
      <w:rFonts w:eastAsia="宋体"/>
      <w:b/>
      <w:bCs/>
      <w:kern w:val="2"/>
      <w:sz w:val="32"/>
      <w:szCs w:val="32"/>
      <w:lang w:val="en-US" w:eastAsia="zh-CN" w:bidi="ar-SA"/>
    </w:rPr>
  </w:style>
  <w:style w:type="character" w:customStyle="1" w:styleId="23Char">
    <w:name w:val="样式 文字 + 首行缩进:  2 字符3 Char"/>
    <w:rPr>
      <w:rFonts w:eastAsia="仿宋_GB2312" w:cs="宋体"/>
      <w:kern w:val="2"/>
      <w:sz w:val="28"/>
      <w:szCs w:val="28"/>
    </w:rPr>
  </w:style>
  <w:style w:type="character" w:customStyle="1" w:styleId="biaowenCharChar">
    <w:name w:val="biaowen Char Char"/>
    <w:rPr>
      <w:rFonts w:eastAsia="宋体"/>
      <w:kern w:val="2"/>
      <w:sz w:val="24"/>
      <w:szCs w:val="24"/>
      <w:lang w:val="en-US" w:eastAsia="zh-CN" w:bidi="ar-SA"/>
    </w:rPr>
  </w:style>
  <w:style w:type="character" w:customStyle="1" w:styleId="CharChar28">
    <w:name w:val="Char Char28"/>
    <w:locked/>
    <w:rPr>
      <w:rFonts w:ascii="宋体" w:eastAsia="宋体" w:hAnsi="宋体"/>
      <w:kern w:val="2"/>
      <w:sz w:val="18"/>
      <w:szCs w:val="18"/>
      <w:lang w:bidi="ar-SA"/>
    </w:rPr>
  </w:style>
  <w:style w:type="character" w:customStyle="1" w:styleId="Batang21">
    <w:name w:val="正文文本 + Batang21"/>
    <w:rPr>
      <w:rFonts w:ascii="Batang" w:eastAsia="Batang" w:cs="Batang"/>
      <w:sz w:val="26"/>
      <w:szCs w:val="26"/>
      <w:u w:val="none"/>
      <w:lang w:val="en-US" w:eastAsia="en-US"/>
    </w:rPr>
  </w:style>
  <w:style w:type="character" w:customStyle="1" w:styleId="CharCharCharCharChar20">
    <w:name w:val="Char Char Char Char Char2"/>
    <w:rPr>
      <w:rFonts w:eastAsia="宋体"/>
      <w:kern w:val="2"/>
      <w:sz w:val="18"/>
      <w:lang w:val="en-US" w:eastAsia="zh-CN" w:bidi="ar-SA"/>
    </w:rPr>
  </w:style>
  <w:style w:type="character" w:customStyle="1" w:styleId="CharChar1a">
    <w:name w:val="环评正文 Char Char1"/>
    <w:rPr>
      <w:rFonts w:eastAsia="宋体"/>
      <w:bCs/>
      <w:kern w:val="2"/>
      <w:sz w:val="24"/>
      <w:szCs w:val="24"/>
      <w:lang w:val="en-US" w:eastAsia="zh-CN" w:bidi="ar-SA"/>
    </w:rPr>
  </w:style>
  <w:style w:type="character" w:customStyle="1" w:styleId="CharCharfffc">
    <w:name w:val="标准 Char Char"/>
    <w:link w:val="afffffffffe"/>
    <w:rPr>
      <w:rFonts w:ascii="宋体"/>
      <w:sz w:val="24"/>
      <w:szCs w:val="24"/>
    </w:rPr>
  </w:style>
  <w:style w:type="paragraph" w:customStyle="1" w:styleId="afffffffffe">
    <w:name w:val="标准"/>
    <w:basedOn w:val="a2"/>
    <w:link w:val="CharCharfffc"/>
    <w:qFormat/>
    <w:pPr>
      <w:spacing w:line="360" w:lineRule="auto"/>
      <w:textAlignment w:val="baseline"/>
    </w:pPr>
    <w:rPr>
      <w:rFonts w:ascii="宋体"/>
      <w:sz w:val="24"/>
      <w:szCs w:val="24"/>
    </w:rPr>
  </w:style>
  <w:style w:type="character" w:customStyle="1" w:styleId="Charfffffff0">
    <w:name w:val="① Char"/>
    <w:link w:val="affffffffff"/>
    <w:rPr>
      <w:rFonts w:ascii="宋体"/>
      <w:sz w:val="24"/>
      <w:szCs w:val="24"/>
      <w:lang w:val="zh-CN"/>
    </w:rPr>
  </w:style>
  <w:style w:type="paragraph" w:customStyle="1" w:styleId="affffffffff">
    <w:name w:val="①"/>
    <w:basedOn w:val="a2"/>
    <w:link w:val="Charfffffff0"/>
    <w:qFormat/>
    <w:pPr>
      <w:spacing w:line="460" w:lineRule="exact"/>
      <w:ind w:leftChars="800" w:left="2160" w:hangingChars="200" w:hanging="480"/>
    </w:pPr>
    <w:rPr>
      <w:rFonts w:ascii="宋体"/>
      <w:sz w:val="24"/>
      <w:szCs w:val="24"/>
      <w:lang w:val="zh-CN"/>
    </w:rPr>
  </w:style>
  <w:style w:type="character" w:customStyle="1" w:styleId="CharCharCharChar12">
    <w:name w:val="Char Char Char Char12"/>
    <w:rPr>
      <w:rFonts w:ascii="宋体" w:eastAsia="宋体" w:hAnsi="宋体" w:hint="eastAsia"/>
      <w:kern w:val="2"/>
      <w:sz w:val="24"/>
      <w:szCs w:val="24"/>
      <w:lang w:val="en-US" w:eastAsia="zh-CN" w:bidi="ar-SA"/>
    </w:rPr>
  </w:style>
  <w:style w:type="character" w:customStyle="1" w:styleId="Charfffffff1">
    <w:name w:val="图表 Char"/>
    <w:rPr>
      <w:rFonts w:ascii="Times New Roman" w:eastAsia="宋体" w:hAnsi="宋体" w:cs="Times New Roman"/>
      <w:sz w:val="26"/>
      <w:szCs w:val="28"/>
      <w:lang w:val="en-US" w:eastAsia="zh-CN"/>
    </w:rPr>
  </w:style>
  <w:style w:type="character" w:customStyle="1" w:styleId="style81">
    <w:name w:val="style81"/>
    <w:rPr>
      <w:b/>
      <w:bCs/>
      <w:color w:val="009900"/>
    </w:rPr>
  </w:style>
  <w:style w:type="character" w:customStyle="1" w:styleId="highlight1">
    <w:name w:val="highlight1"/>
    <w:rPr>
      <w:sz w:val="21"/>
      <w:szCs w:val="21"/>
    </w:rPr>
  </w:style>
  <w:style w:type="character" w:customStyle="1" w:styleId="2CharChara">
    <w:name w:val="样式 正文缩进 + 首行缩进:  2 字符 Char Char"/>
    <w:link w:val="2ff"/>
    <w:rPr>
      <w:sz w:val="28"/>
    </w:rPr>
  </w:style>
  <w:style w:type="paragraph" w:customStyle="1" w:styleId="2ff">
    <w:name w:val="样式 正文缩进 + 首行缩进:  2 字符"/>
    <w:basedOn w:val="a3"/>
    <w:link w:val="2CharChara"/>
    <w:qFormat/>
    <w:pPr>
      <w:snapToGrid w:val="0"/>
      <w:spacing w:line="520" w:lineRule="atLeast"/>
      <w:ind w:firstLine="200"/>
    </w:pPr>
    <w:rPr>
      <w:rFonts w:eastAsiaTheme="minorEastAsia"/>
      <w:sz w:val="28"/>
      <w:szCs w:val="22"/>
    </w:rPr>
  </w:style>
  <w:style w:type="character" w:customStyle="1" w:styleId="4CharChar1">
    <w:name w:val="题4 Char Char"/>
    <w:link w:val="4b"/>
    <w:rPr>
      <w:rFonts w:eastAsia="仿宋_GB2312"/>
      <w:b/>
      <w:sz w:val="28"/>
      <w:szCs w:val="28"/>
    </w:rPr>
  </w:style>
  <w:style w:type="paragraph" w:customStyle="1" w:styleId="4b">
    <w:name w:val="题4"/>
    <w:basedOn w:val="25"/>
    <w:link w:val="4CharChar1"/>
    <w:qFormat/>
    <w:pPr>
      <w:snapToGrid w:val="0"/>
      <w:spacing w:beforeLines="50" w:before="156" w:afterLines="50" w:after="156" w:line="300" w:lineRule="auto"/>
      <w:ind w:leftChars="0" w:left="0"/>
    </w:pPr>
    <w:rPr>
      <w:rFonts w:eastAsia="仿宋_GB2312"/>
      <w:b/>
      <w:sz w:val="28"/>
      <w:szCs w:val="28"/>
    </w:rPr>
  </w:style>
  <w:style w:type="character" w:customStyle="1" w:styleId="1CharChar8">
    <w:name w:val="段落1 Char Char"/>
    <w:rPr>
      <w:rFonts w:eastAsia="宋体"/>
      <w:spacing w:val="2"/>
      <w:sz w:val="24"/>
      <w:szCs w:val="24"/>
      <w:lang w:val="en-US" w:eastAsia="zh-CN" w:bidi="ar-SA"/>
    </w:rPr>
  </w:style>
  <w:style w:type="character" w:customStyle="1" w:styleId="11CharCharChar">
    <w:name w:val="标题 1.1 Char Char Char"/>
    <w:rPr>
      <w:rFonts w:ascii="黑体" w:eastAsia="黑体" w:hAnsi="宋体"/>
      <w:b/>
      <w:bCs/>
      <w:kern w:val="2"/>
      <w:sz w:val="32"/>
      <w:szCs w:val="32"/>
      <w:lang w:val="en-US" w:eastAsia="zh-CN" w:bidi="ar-SA"/>
    </w:rPr>
  </w:style>
  <w:style w:type="character" w:customStyle="1" w:styleId="f9-160-none1">
    <w:name w:val="f9-160-none1"/>
    <w:rPr>
      <w:sz w:val="18"/>
      <w:szCs w:val="18"/>
      <w:u w:val="none"/>
    </w:rPr>
  </w:style>
  <w:style w:type="character" w:customStyle="1" w:styleId="2CharCharb">
    <w:name w:val="正文文本 2 Char Char"/>
    <w:rPr>
      <w:rFonts w:ascii="宋体" w:eastAsia="宋体" w:hAnsi="Tms Rmn"/>
      <w:sz w:val="28"/>
      <w:lang w:val="en-US" w:eastAsia="zh-CN" w:bidi="ar-SA"/>
    </w:rPr>
  </w:style>
  <w:style w:type="character" w:customStyle="1" w:styleId="hb3CharChar">
    <w:name w:val="hb3 Char Char"/>
    <w:rPr>
      <w:rFonts w:ascii="宋体" w:eastAsia="宋体" w:hAnsi="宋体"/>
      <w:b/>
      <w:bCs/>
      <w:sz w:val="24"/>
      <w:szCs w:val="32"/>
      <w:lang w:val="en-US" w:eastAsia="zh-CN" w:bidi="ar-SA"/>
    </w:rPr>
  </w:style>
  <w:style w:type="character" w:customStyle="1" w:styleId="menu21">
    <w:name w:val="menu21"/>
    <w:rPr>
      <w:rFonts w:ascii="Arial" w:hAnsi="Arial"/>
      <w:sz w:val="24"/>
    </w:rPr>
  </w:style>
  <w:style w:type="character" w:customStyle="1" w:styleId="Charfffffff2">
    <w:name w:val="样式 报告书表格 + 五号 Char"/>
    <w:rPr>
      <w:rFonts w:ascii="Times New Roman" w:eastAsia="宋体" w:hAnsi="Times New Roman" w:cs="Times New Roman"/>
      <w:kern w:val="0"/>
      <w:szCs w:val="21"/>
    </w:rPr>
  </w:style>
  <w:style w:type="character" w:customStyle="1" w:styleId="Charfffffff3">
    <w:name w:val="我的正文 Char"/>
    <w:uiPriority w:val="99"/>
    <w:rPr>
      <w:rFonts w:eastAsia="宋体"/>
      <w:kern w:val="2"/>
      <w:sz w:val="28"/>
      <w:szCs w:val="24"/>
      <w:lang w:val="en-US" w:eastAsia="zh-CN" w:bidi="ar-SA"/>
    </w:rPr>
  </w:style>
  <w:style w:type="character" w:customStyle="1" w:styleId="Charfffffff4">
    <w:name w:val="首行缩进两字 Char"/>
    <w:rPr>
      <w:rFonts w:eastAsia="宋体"/>
      <w:kern w:val="2"/>
      <w:sz w:val="24"/>
      <w:lang w:val="en-US" w:eastAsia="zh-CN" w:bidi="ar-SA"/>
    </w:rPr>
  </w:style>
  <w:style w:type="character" w:customStyle="1" w:styleId="1Charf0">
    <w:name w:val="表头1 Char"/>
    <w:rPr>
      <w:rFonts w:eastAsia="宋体"/>
      <w:color w:val="000000"/>
      <w:sz w:val="24"/>
      <w:lang w:val="en-US" w:eastAsia="zh-CN" w:bidi="ar-SA"/>
    </w:rPr>
  </w:style>
  <w:style w:type="character" w:customStyle="1" w:styleId="style71">
    <w:name w:val="style71"/>
    <w:rPr>
      <w:sz w:val="21"/>
      <w:szCs w:val="21"/>
    </w:rPr>
  </w:style>
  <w:style w:type="character" w:customStyle="1" w:styleId="Charfffffff5">
    <w:name w:val="陈表头文字 Char"/>
    <w:link w:val="a1"/>
    <w:uiPriority w:val="99"/>
    <w:rPr>
      <w:rFonts w:ascii="宋体" w:hAnsi="宋体"/>
      <w:b/>
      <w:sz w:val="24"/>
      <w:szCs w:val="24"/>
    </w:rPr>
  </w:style>
  <w:style w:type="paragraph" w:customStyle="1" w:styleId="a1">
    <w:name w:val="陈表头文字"/>
    <w:basedOn w:val="a2"/>
    <w:next w:val="a2"/>
    <w:link w:val="Charfffffff5"/>
    <w:uiPriority w:val="99"/>
    <w:qFormat/>
    <w:pPr>
      <w:keepNext/>
      <w:numPr>
        <w:ilvl w:val="5"/>
        <w:numId w:val="4"/>
      </w:numPr>
      <w:spacing w:line="288" w:lineRule="auto"/>
      <w:jc w:val="center"/>
    </w:pPr>
    <w:rPr>
      <w:rFonts w:ascii="宋体" w:hAnsi="宋体"/>
      <w:b/>
      <w:sz w:val="24"/>
      <w:szCs w:val="24"/>
    </w:rPr>
  </w:style>
  <w:style w:type="character" w:customStyle="1" w:styleId="chen11CharChar">
    <w:name w:val="chen正文字体11 Char Char"/>
    <w:link w:val="chen11"/>
    <w:rPr>
      <w:rFonts w:eastAsia="宋体" w:cs="宋体"/>
      <w:color w:val="000000"/>
      <w:sz w:val="24"/>
    </w:rPr>
  </w:style>
  <w:style w:type="paragraph" w:customStyle="1" w:styleId="chen11">
    <w:name w:val="chen正文字体11"/>
    <w:basedOn w:val="a2"/>
    <w:link w:val="chen11CharChar"/>
    <w:qFormat/>
    <w:pPr>
      <w:spacing w:line="360" w:lineRule="auto"/>
      <w:ind w:firstLineChars="200" w:firstLine="480"/>
    </w:pPr>
    <w:rPr>
      <w:rFonts w:eastAsia="宋体" w:cs="宋体"/>
      <w:color w:val="000000"/>
      <w:sz w:val="24"/>
      <w:szCs w:val="22"/>
    </w:rPr>
  </w:style>
  <w:style w:type="character" w:customStyle="1" w:styleId="CharCharfff5">
    <w:name w:val="表头 Char Char"/>
    <w:link w:val="affffffff5"/>
    <w:rPr>
      <w:rFonts w:eastAsia="黑体"/>
      <w:sz w:val="24"/>
      <w:szCs w:val="24"/>
    </w:rPr>
  </w:style>
  <w:style w:type="character" w:customStyle="1" w:styleId="Charfffffff6">
    <w:name w:val="燕山正文 Char"/>
    <w:rPr>
      <w:rFonts w:ascii="宋体" w:hAnsi="宋体"/>
      <w:color w:val="000000"/>
      <w:sz w:val="24"/>
      <w:szCs w:val="28"/>
    </w:rPr>
  </w:style>
  <w:style w:type="character" w:customStyle="1" w:styleId="HTMLCharChar">
    <w:name w:val="HTML 预设格式 Char Char"/>
    <w:link w:val="HTML10"/>
    <w:rPr>
      <w:rFonts w:ascii="Courier New" w:hAnsi="Courier New"/>
    </w:rPr>
  </w:style>
  <w:style w:type="paragraph" w:customStyle="1" w:styleId="HTML10">
    <w:name w:val="HTML 预设格式1"/>
    <w:basedOn w:val="a2"/>
    <w:link w:val="HTMLCharChar"/>
    <w:qFormat/>
    <w:pPr>
      <w:jc w:val="both"/>
    </w:pPr>
    <w:rPr>
      <w:rFonts w:ascii="Courier New" w:hAnsi="Courier New"/>
      <w:szCs w:val="22"/>
    </w:rPr>
  </w:style>
  <w:style w:type="character" w:customStyle="1" w:styleId="title11">
    <w:name w:val="title11"/>
    <w:rPr>
      <w:b/>
      <w:sz w:val="23"/>
    </w:rPr>
  </w:style>
  <w:style w:type="character" w:customStyle="1" w:styleId="1ffa">
    <w:name w:val="明显参考1"/>
    <w:qFormat/>
    <w:rPr>
      <w:b/>
      <w:color w:val="auto"/>
      <w:kern w:val="2"/>
      <w:sz w:val="30"/>
      <w:szCs w:val="30"/>
    </w:rPr>
  </w:style>
  <w:style w:type="character" w:customStyle="1" w:styleId="shangbiao2">
    <w:name w:val="shangbiao2"/>
    <w:rPr>
      <w:rFonts w:ascii="Verdana" w:hAnsi="Verdana"/>
      <w:sz w:val="19"/>
      <w:vertAlign w:val="superscript"/>
    </w:rPr>
  </w:style>
  <w:style w:type="character" w:customStyle="1" w:styleId="tuChar">
    <w:name w:val="tu Char"/>
    <w:rPr>
      <w:rFonts w:eastAsia="宋体"/>
      <w:b/>
      <w:kern w:val="2"/>
      <w:sz w:val="28"/>
      <w:szCs w:val="24"/>
      <w:lang w:val="en-US" w:eastAsia="zh-CN" w:bidi="ar-SA"/>
    </w:rPr>
  </w:style>
  <w:style w:type="character" w:customStyle="1" w:styleId="3Charb">
    <w:name w:val="题3 Char"/>
    <w:link w:val="3f7"/>
    <w:rPr>
      <w:rFonts w:eastAsia="仿宋_GB2312"/>
      <w:bCs/>
      <w:sz w:val="28"/>
      <w:szCs w:val="28"/>
    </w:rPr>
  </w:style>
  <w:style w:type="paragraph" w:customStyle="1" w:styleId="3f7">
    <w:name w:val="题3"/>
    <w:basedOn w:val="32"/>
    <w:link w:val="3Charb"/>
    <w:qFormat/>
    <w:pPr>
      <w:snapToGrid w:val="0"/>
      <w:spacing w:before="120" w:after="0" w:line="360" w:lineRule="auto"/>
      <w:jc w:val="both"/>
    </w:pPr>
    <w:rPr>
      <w:rFonts w:eastAsia="仿宋_GB2312"/>
      <w:b w:val="0"/>
      <w:sz w:val="28"/>
      <w:szCs w:val="28"/>
    </w:rPr>
  </w:style>
  <w:style w:type="character" w:customStyle="1" w:styleId="CharChar232">
    <w:name w:val="Char Char232"/>
    <w:rPr>
      <w:rFonts w:eastAsia="宋体"/>
      <w:b/>
      <w:bCs/>
      <w:kern w:val="2"/>
      <w:sz w:val="28"/>
      <w:szCs w:val="28"/>
      <w:lang w:val="en-US" w:eastAsia="zh-CN" w:bidi="ar-SA"/>
    </w:rPr>
  </w:style>
  <w:style w:type="character" w:customStyle="1" w:styleId="Char4c">
    <w:name w:val="信息标题 Char4"/>
    <w:rPr>
      <w:rFonts w:ascii="Cambria" w:eastAsia="宋体" w:hAnsi="Cambria" w:cs="Times New Roman"/>
      <w:kern w:val="2"/>
      <w:sz w:val="24"/>
      <w:szCs w:val="24"/>
      <w:shd w:val="pct20" w:color="auto" w:fill="auto"/>
    </w:rPr>
  </w:style>
  <w:style w:type="character" w:customStyle="1" w:styleId="CharCharf8">
    <w:name w:val="表格内文字 Char Char"/>
    <w:link w:val="afffffa"/>
    <w:rPr>
      <w:rFonts w:ascii="仿宋_GB2312" w:eastAsia="仿宋_GB2312" w:hAnsi="宋体"/>
      <w:szCs w:val="24"/>
    </w:rPr>
  </w:style>
  <w:style w:type="character" w:customStyle="1" w:styleId="CharCharCharChar5">
    <w:name w:val="表格文本 五号 居中 单倍行距 Char Char Char Char"/>
    <w:link w:val="CharCharfffd"/>
    <w:rPr>
      <w:rFonts w:eastAsia="宋体" w:cs="宋体"/>
      <w:szCs w:val="21"/>
    </w:rPr>
  </w:style>
  <w:style w:type="paragraph" w:customStyle="1" w:styleId="CharCharfffd">
    <w:name w:val="表格文本 五号 居中 单倍行距 Char Char"/>
    <w:basedOn w:val="a2"/>
    <w:link w:val="CharCharCharChar5"/>
    <w:qFormat/>
    <w:pPr>
      <w:keepNext/>
      <w:snapToGrid w:val="0"/>
      <w:jc w:val="center"/>
      <w:textAlignment w:val="baseline"/>
    </w:pPr>
    <w:rPr>
      <w:rFonts w:eastAsia="宋体" w:cs="宋体"/>
    </w:rPr>
  </w:style>
  <w:style w:type="character" w:customStyle="1" w:styleId="SimSun41">
    <w:name w:val="正文文本 + SimSun41"/>
    <w:rPr>
      <w:rFonts w:ascii="宋体" w:eastAsia="宋体" w:cs="宋体"/>
      <w:sz w:val="21"/>
      <w:szCs w:val="21"/>
      <w:u w:val="none"/>
    </w:rPr>
  </w:style>
  <w:style w:type="character" w:customStyle="1" w:styleId="hhcwtCharChar1">
    <w:name w:val="hhcwt正文 Char Char"/>
    <w:link w:val="hhcwt2"/>
    <w:rPr>
      <w:rFonts w:eastAsia="宋体" w:cs="宋体"/>
      <w:sz w:val="24"/>
    </w:rPr>
  </w:style>
  <w:style w:type="paragraph" w:customStyle="1" w:styleId="hhcwt2">
    <w:name w:val="hhcwt正文"/>
    <w:basedOn w:val="a2"/>
    <w:link w:val="hhcwtCharChar1"/>
    <w:qFormat/>
    <w:pPr>
      <w:spacing w:line="360" w:lineRule="auto"/>
      <w:ind w:firstLineChars="200" w:firstLine="480"/>
    </w:pPr>
    <w:rPr>
      <w:rFonts w:eastAsia="宋体" w:cs="宋体"/>
      <w:sz w:val="24"/>
      <w:szCs w:val="22"/>
    </w:rPr>
  </w:style>
  <w:style w:type="character" w:customStyle="1" w:styleId="TableTitleChar3">
    <w:name w:val="Table Title Char3"/>
    <w:rPr>
      <w:rFonts w:eastAsia="宋体"/>
      <w:kern w:val="2"/>
      <w:sz w:val="24"/>
      <w:szCs w:val="24"/>
      <w:lang w:val="en-US" w:eastAsia="en-US" w:bidi="ar-SA"/>
    </w:rPr>
  </w:style>
  <w:style w:type="character" w:customStyle="1" w:styleId="Charf8">
    <w:name w:val="正文首行缩进 Char"/>
    <w:link w:val="aff9"/>
    <w:qFormat/>
    <w:rPr>
      <w:rFonts w:eastAsia="宋体"/>
      <w:szCs w:val="24"/>
    </w:rPr>
  </w:style>
  <w:style w:type="character" w:customStyle="1" w:styleId="CharCharCharCharCharCharCharCharCharCharCharCharCharCharCharCharCharChar1">
    <w:name w:val="Char Char Char Char Char Char Char Char Char Char Char Char Char Char Char Char Char Char1"/>
    <w:rPr>
      <w:rFonts w:ascii="宋体" w:eastAsia="宋体" w:hAnsi="宋体" w:cs="宋体"/>
      <w:b/>
      <w:bCs/>
      <w:color w:val="000000"/>
      <w:sz w:val="28"/>
      <w:szCs w:val="28"/>
      <w:lang w:val="en-US" w:eastAsia="zh-CN" w:bidi="ar-SA"/>
    </w:rPr>
  </w:style>
  <w:style w:type="character" w:customStyle="1" w:styleId="2Char21">
    <w:name w:val="正文首行缩进 2 Char2"/>
    <w:uiPriority w:val="99"/>
    <w:semiHidden/>
  </w:style>
  <w:style w:type="character" w:customStyle="1" w:styleId="CharCharCharCharCharCharCharCharC1Char">
    <w:name w:val="样式 正文缩进文本条款文本条款 Char Char Char Char Char Char Char Char文本条款 C...1 Char"/>
    <w:rPr>
      <w:rFonts w:eastAsia="宋体" w:cs="宋体"/>
      <w:kern w:val="2"/>
      <w:sz w:val="28"/>
      <w:lang w:val="en-US" w:eastAsia="zh-CN" w:bidi="ar-SA"/>
    </w:rPr>
  </w:style>
  <w:style w:type="character" w:customStyle="1" w:styleId="CharChar117">
    <w:name w:val="Char Char117"/>
    <w:rPr>
      <w:rFonts w:ascii="仿宋_GB2312" w:eastAsia="仿宋_GB2312"/>
      <w:b/>
      <w:bCs/>
      <w:kern w:val="44"/>
      <w:sz w:val="32"/>
      <w:szCs w:val="44"/>
      <w:lang w:val="en-US" w:eastAsia="zh-CN" w:bidi="ar-SA"/>
    </w:rPr>
  </w:style>
  <w:style w:type="character" w:customStyle="1" w:styleId="Charfffffff7">
    <w:name w:val="表头文字 Char"/>
    <w:rPr>
      <w:rFonts w:ascii="宋体" w:eastAsia="宋体" w:hAnsi="宋体"/>
      <w:b/>
      <w:bCs/>
      <w:sz w:val="21"/>
      <w:szCs w:val="28"/>
      <w:lang w:val="en-US" w:eastAsia="zh-CN" w:bidi="ar-SA"/>
    </w:rPr>
  </w:style>
  <w:style w:type="character" w:customStyle="1" w:styleId="CharChar144">
    <w:name w:val="Char Char144"/>
    <w:rPr>
      <w:rFonts w:eastAsia="宋体"/>
      <w:kern w:val="2"/>
      <w:sz w:val="21"/>
      <w:szCs w:val="24"/>
      <w:lang w:val="en-US" w:eastAsia="zh-CN" w:bidi="ar-SA"/>
    </w:rPr>
  </w:style>
  <w:style w:type="character" w:customStyle="1" w:styleId="1Charf1">
    <w:name w:val="表格标题1 Char"/>
    <w:rPr>
      <w:rFonts w:ascii="Calibri" w:eastAsia="仿宋" w:hAnsi="Calibri" w:cs="Times New Roman"/>
      <w:b/>
      <w:spacing w:val="-5"/>
      <w:kern w:val="0"/>
      <w:sz w:val="28"/>
      <w:szCs w:val="18"/>
      <w:lang w:bidi="en-US"/>
    </w:rPr>
  </w:style>
  <w:style w:type="character" w:customStyle="1" w:styleId="affffffffff0">
    <w:name w:val="样式 加粗"/>
    <w:rPr>
      <w:b/>
      <w:bCs/>
    </w:rPr>
  </w:style>
  <w:style w:type="character" w:customStyle="1" w:styleId="htmldw10292">
    <w:name w:val="htmldw10292"/>
    <w:basedOn w:val="a4"/>
  </w:style>
  <w:style w:type="character" w:customStyle="1" w:styleId="f9">
    <w:name w:val="f9"/>
  </w:style>
  <w:style w:type="character" w:customStyle="1" w:styleId="CharCharfffe">
    <w:name w:val="表格正文 Char Char"/>
    <w:link w:val="affffffffff1"/>
    <w:rPr>
      <w:rFonts w:ascii="仿宋_GB2312" w:eastAsia="仿宋_GB2312"/>
      <w:sz w:val="24"/>
    </w:rPr>
  </w:style>
  <w:style w:type="paragraph" w:customStyle="1" w:styleId="affffffffff1">
    <w:name w:val="表格正文"/>
    <w:basedOn w:val="a2"/>
    <w:link w:val="CharCharfffe"/>
    <w:qFormat/>
    <w:rPr>
      <w:rFonts w:ascii="仿宋_GB2312" w:eastAsia="仿宋_GB2312"/>
      <w:sz w:val="24"/>
      <w:szCs w:val="22"/>
    </w:rPr>
  </w:style>
  <w:style w:type="character" w:customStyle="1" w:styleId="Charfffffff8">
    <w:name w:val="报告书正文段落 Char"/>
    <w:link w:val="affffffffff2"/>
    <w:rPr>
      <w:rFonts w:cs="宋体"/>
      <w:sz w:val="24"/>
      <w:szCs w:val="24"/>
      <w:lang w:val="zh-CN"/>
    </w:rPr>
  </w:style>
  <w:style w:type="paragraph" w:customStyle="1" w:styleId="affffffffff2">
    <w:name w:val="报告书正文段落"/>
    <w:basedOn w:val="a2"/>
    <w:link w:val="Charfffffff8"/>
    <w:qFormat/>
    <w:pPr>
      <w:spacing w:line="520" w:lineRule="exact"/>
      <w:ind w:firstLineChars="200" w:firstLine="480"/>
    </w:pPr>
    <w:rPr>
      <w:rFonts w:cs="宋体"/>
      <w:sz w:val="24"/>
      <w:szCs w:val="24"/>
      <w:lang w:val="zh-CN"/>
    </w:rPr>
  </w:style>
  <w:style w:type="character" w:customStyle="1" w:styleId="px121">
    <w:name w:val="px121"/>
    <w:rPr>
      <w:spacing w:val="312"/>
    </w:rPr>
  </w:style>
  <w:style w:type="character" w:customStyle="1" w:styleId="title1">
    <w:name w:val="title1"/>
    <w:basedOn w:val="a4"/>
  </w:style>
  <w:style w:type="character" w:customStyle="1" w:styleId="CharCharChar10">
    <w:name w:val="暂定图表名 Char Char Char1"/>
    <w:link w:val="CharCharffff"/>
    <w:rPr>
      <w:rFonts w:eastAsia="楷体_GB2312"/>
      <w:b/>
      <w:color w:val="008000"/>
      <w:sz w:val="28"/>
      <w:szCs w:val="28"/>
    </w:rPr>
  </w:style>
  <w:style w:type="paragraph" w:customStyle="1" w:styleId="CharCharffff">
    <w:name w:val="暂定图表名 Char Char"/>
    <w:basedOn w:val="a2"/>
    <w:link w:val="CharCharChar10"/>
    <w:qFormat/>
    <w:pPr>
      <w:spacing w:line="360" w:lineRule="auto"/>
      <w:ind w:firstLineChars="200" w:firstLine="560"/>
      <w:jc w:val="both"/>
    </w:pPr>
    <w:rPr>
      <w:b/>
      <w:color w:val="008000"/>
      <w:szCs w:val="28"/>
    </w:rPr>
  </w:style>
  <w:style w:type="character" w:customStyle="1" w:styleId="15CharChar">
    <w:name w:val="标准文本 居中 行距1.5倍 Char Char"/>
    <w:link w:val="150"/>
    <w:rPr>
      <w:rFonts w:eastAsia="宋体" w:cs="宋体"/>
      <w:sz w:val="24"/>
      <w:szCs w:val="24"/>
    </w:rPr>
  </w:style>
  <w:style w:type="paragraph" w:customStyle="1" w:styleId="150">
    <w:name w:val="标准文本 居中 行距1.5倍"/>
    <w:basedOn w:val="a2"/>
    <w:link w:val="15CharChar"/>
    <w:qFormat/>
    <w:pPr>
      <w:spacing w:line="360" w:lineRule="auto"/>
      <w:jc w:val="center"/>
      <w:textAlignment w:val="center"/>
    </w:pPr>
    <w:rPr>
      <w:rFonts w:eastAsia="宋体" w:cs="宋体"/>
      <w:sz w:val="24"/>
      <w:szCs w:val="24"/>
    </w:rPr>
  </w:style>
  <w:style w:type="character" w:customStyle="1" w:styleId="5Char11">
    <w:name w:val="5文章(治) Char1"/>
    <w:rPr>
      <w:rFonts w:eastAsia="宋体"/>
      <w:kern w:val="2"/>
      <w:sz w:val="24"/>
      <w:lang w:val="en-US" w:eastAsia="zh-CN" w:bidi="ar-SA"/>
    </w:rPr>
  </w:style>
  <w:style w:type="character" w:customStyle="1" w:styleId="CharChar101">
    <w:name w:val="Char Char101"/>
    <w:rPr>
      <w:rFonts w:ascii="宋体" w:eastAsia="宋体" w:hAnsi="宋体" w:cs="Times New Roman" w:hint="eastAsia"/>
      <w:snapToGrid w:val="0"/>
      <w:color w:val="000000"/>
      <w:kern w:val="0"/>
      <w:sz w:val="24"/>
      <w:szCs w:val="24"/>
    </w:rPr>
  </w:style>
  <w:style w:type="character" w:customStyle="1" w:styleId="newstxt2">
    <w:name w:val="news_txt2"/>
    <w:basedOn w:val="a4"/>
  </w:style>
  <w:style w:type="character" w:customStyle="1" w:styleId="CharCharffff0">
    <w:name w:val="正文* Char Char"/>
    <w:link w:val="affffffffff3"/>
    <w:rPr>
      <w:rFonts w:hAnsi="宋体"/>
      <w:sz w:val="24"/>
      <w:szCs w:val="24"/>
    </w:rPr>
  </w:style>
  <w:style w:type="paragraph" w:customStyle="1" w:styleId="affffffffff3">
    <w:name w:val="正文*"/>
    <w:basedOn w:val="a2"/>
    <w:link w:val="CharCharffff0"/>
    <w:qFormat/>
    <w:pPr>
      <w:snapToGrid w:val="0"/>
      <w:spacing w:beforeLines="30" w:before="93" w:after="120" w:line="420" w:lineRule="exact"/>
      <w:ind w:firstLineChars="200" w:firstLine="200"/>
      <w:jc w:val="both"/>
    </w:pPr>
    <w:rPr>
      <w:rFonts w:hAnsi="宋体"/>
      <w:sz w:val="24"/>
      <w:szCs w:val="24"/>
    </w:rPr>
  </w:style>
  <w:style w:type="character" w:customStyle="1" w:styleId="DefaultChar">
    <w:name w:val="Default Char"/>
    <w:link w:val="Default"/>
    <w:rPr>
      <w:rFonts w:ascii="Arial Unicode MS" w:eastAsia="Arial Unicode MS" w:cs="Arial Unicode MS"/>
      <w:color w:val="000000"/>
      <w:sz w:val="24"/>
      <w:szCs w:val="24"/>
    </w:rPr>
  </w:style>
  <w:style w:type="paragraph" w:customStyle="1" w:styleId="Default">
    <w:name w:val="Default"/>
    <w:link w:val="DefaultChar"/>
    <w:qFormat/>
    <w:pPr>
      <w:widowControl w:val="0"/>
      <w:autoSpaceDE w:val="0"/>
      <w:autoSpaceDN w:val="0"/>
      <w:adjustRightInd w:val="0"/>
      <w:spacing w:beforeLines="50" w:before="50" w:afterLines="50" w:after="50" w:line="360" w:lineRule="auto"/>
      <w:ind w:firstLineChars="40" w:firstLine="40"/>
    </w:pPr>
    <w:rPr>
      <w:rFonts w:ascii="Arial Unicode MS" w:eastAsia="Arial Unicode MS" w:cs="Arial Unicode MS"/>
      <w:color w:val="000000"/>
      <w:kern w:val="2"/>
      <w:sz w:val="24"/>
      <w:szCs w:val="24"/>
    </w:rPr>
  </w:style>
  <w:style w:type="character" w:customStyle="1" w:styleId="2Charf1">
    <w:name w:val="2标题(治) Char"/>
    <w:link w:val="2ff0"/>
    <w:locked/>
    <w:rPr>
      <w:rFonts w:eastAsia="黑体"/>
      <w:b/>
      <w:sz w:val="32"/>
      <w:szCs w:val="30"/>
    </w:rPr>
  </w:style>
  <w:style w:type="paragraph" w:customStyle="1" w:styleId="2ff0">
    <w:name w:val="2标题(治)"/>
    <w:basedOn w:val="22"/>
    <w:link w:val="2Charf1"/>
    <w:qFormat/>
    <w:pPr>
      <w:spacing w:before="0" w:after="0" w:line="360" w:lineRule="auto"/>
      <w:jc w:val="both"/>
    </w:pPr>
    <w:rPr>
      <w:rFonts w:asciiTheme="minorHAnsi" w:eastAsia="黑体" w:hAnsiTheme="minorHAnsi" w:cstheme="minorBidi"/>
      <w:bCs w:val="0"/>
      <w:szCs w:val="30"/>
    </w:rPr>
  </w:style>
  <w:style w:type="character" w:customStyle="1" w:styleId="91Char">
    <w:name w:val="样式91 Char"/>
    <w:rPr>
      <w:rFonts w:ascii="Times New Roman" w:eastAsia="黑体" w:hAnsi="Times New Roman" w:cs="Times New Roman"/>
      <w:bCs/>
      <w:color w:val="000000"/>
      <w:kern w:val="0"/>
      <w:szCs w:val="21"/>
    </w:rPr>
  </w:style>
  <w:style w:type="character" w:customStyle="1" w:styleId="CharChar71">
    <w:name w:val="Char Char71"/>
    <w:rPr>
      <w:rFonts w:ascii="Arial" w:eastAsia="黑体" w:hAnsi="Arial"/>
      <w:sz w:val="44"/>
      <w:lang w:val="en-US" w:eastAsia="zh-CN" w:bidi="ar-SA"/>
    </w:rPr>
  </w:style>
  <w:style w:type="character" w:customStyle="1" w:styleId="m481">
    <w:name w:val="m_481"/>
  </w:style>
  <w:style w:type="character" w:customStyle="1" w:styleId="Charfffffff9">
    <w:name w:val="新正文 Char"/>
    <w:rPr>
      <w:rFonts w:ascii="仿宋_GB2312" w:eastAsia="仿宋_GB2312"/>
      <w:bCs/>
      <w:sz w:val="28"/>
      <w:lang w:val="en-US" w:eastAsia="zh-CN" w:bidi="ar-SA"/>
    </w:rPr>
  </w:style>
  <w:style w:type="character" w:customStyle="1" w:styleId="3f8">
    <w:name w:val="超链接3"/>
    <w:rPr>
      <w:color w:val="0000FF"/>
      <w:u w:val="single"/>
    </w:rPr>
  </w:style>
  <w:style w:type="character" w:customStyle="1" w:styleId="Charfffffffa">
    <w:name w:val="沁漠正文 Char"/>
    <w:link w:val="affffffffff4"/>
    <w:rPr>
      <w:sz w:val="24"/>
      <w:szCs w:val="24"/>
    </w:rPr>
  </w:style>
  <w:style w:type="paragraph" w:customStyle="1" w:styleId="affffffffff4">
    <w:name w:val="沁漠正文"/>
    <w:basedOn w:val="a2"/>
    <w:link w:val="Charfffffffa"/>
    <w:qFormat/>
    <w:pPr>
      <w:spacing w:line="360" w:lineRule="auto"/>
      <w:ind w:firstLineChars="192" w:firstLine="461"/>
      <w:jc w:val="both"/>
    </w:pPr>
    <w:rPr>
      <w:sz w:val="24"/>
      <w:szCs w:val="24"/>
    </w:rPr>
  </w:style>
  <w:style w:type="character" w:customStyle="1" w:styleId="1CharCharChar">
    <w:name w:val="段落1 Char Char Char"/>
    <w:link w:val="1Charf2"/>
    <w:rPr>
      <w:rFonts w:eastAsia="宋体"/>
      <w:spacing w:val="2"/>
      <w:sz w:val="24"/>
      <w:szCs w:val="24"/>
    </w:rPr>
  </w:style>
  <w:style w:type="paragraph" w:customStyle="1" w:styleId="1Charf2">
    <w:name w:val="段落1 Char"/>
    <w:basedOn w:val="a3"/>
    <w:link w:val="1CharCharChar"/>
    <w:qFormat/>
    <w:pPr>
      <w:widowControl/>
      <w:tabs>
        <w:tab w:val="right" w:pos="360"/>
        <w:tab w:val="left" w:pos="3060"/>
      </w:tabs>
      <w:snapToGrid w:val="0"/>
      <w:spacing w:line="440" w:lineRule="exact"/>
      <w:ind w:firstLine="488"/>
      <w:textAlignment w:val="baseline"/>
    </w:pPr>
    <w:rPr>
      <w:spacing w:val="2"/>
      <w:sz w:val="24"/>
    </w:rPr>
  </w:style>
  <w:style w:type="character" w:customStyle="1" w:styleId="CharChar34">
    <w:name w:val="Char Char34"/>
    <w:rPr>
      <w:rFonts w:eastAsia="宋体"/>
      <w:sz w:val="24"/>
      <w:lang w:val="en-US" w:eastAsia="zh-CN" w:bidi="ar-SA"/>
    </w:rPr>
  </w:style>
  <w:style w:type="character" w:customStyle="1" w:styleId="GB23121">
    <w:name w:val="样式 (中文) 仿宋_GB2312 四号"/>
    <w:rPr>
      <w:rFonts w:ascii="仿宋_GB2312" w:eastAsia="仿宋_GB2312" w:hAnsi="仿宋_GB2312"/>
      <w:sz w:val="28"/>
    </w:rPr>
  </w:style>
  <w:style w:type="character" w:customStyle="1" w:styleId="Charfffffffb">
    <w:name w:val="正文 缩进 Char"/>
    <w:link w:val="affffffffff5"/>
    <w:rPr>
      <w:sz w:val="24"/>
    </w:rPr>
  </w:style>
  <w:style w:type="paragraph" w:customStyle="1" w:styleId="affffffffff5">
    <w:name w:val="正文 缩进"/>
    <w:basedOn w:val="a2"/>
    <w:link w:val="Charfffffffb"/>
    <w:qFormat/>
    <w:pPr>
      <w:snapToGrid w:val="0"/>
      <w:spacing w:line="360" w:lineRule="auto"/>
      <w:ind w:firstLineChars="200" w:firstLine="480"/>
      <w:jc w:val="both"/>
    </w:pPr>
    <w:rPr>
      <w:sz w:val="24"/>
      <w:szCs w:val="22"/>
    </w:rPr>
  </w:style>
  <w:style w:type="character" w:customStyle="1" w:styleId="style16">
    <w:name w:val="style16"/>
  </w:style>
  <w:style w:type="character" w:customStyle="1" w:styleId="1Charf3">
    <w:name w:val="正文（1） Char"/>
    <w:link w:val="1ffb"/>
    <w:rPr>
      <w:sz w:val="28"/>
      <w:szCs w:val="28"/>
    </w:rPr>
  </w:style>
  <w:style w:type="paragraph" w:customStyle="1" w:styleId="1ffb">
    <w:name w:val="正文（1）"/>
    <w:basedOn w:val="a2"/>
    <w:link w:val="1Charf3"/>
    <w:qFormat/>
    <w:pPr>
      <w:spacing w:line="360" w:lineRule="auto"/>
      <w:jc w:val="both"/>
    </w:pPr>
    <w:rPr>
      <w:szCs w:val="28"/>
    </w:rPr>
  </w:style>
  <w:style w:type="character" w:customStyle="1" w:styleId="BBBBBBBBBBChar">
    <w:name w:val="BBBBBBBBBB Char"/>
    <w:link w:val="BBBBBBBBBB"/>
    <w:rPr>
      <w:rFonts w:hAnsi="宋体"/>
      <w:b/>
      <w:bCs/>
      <w:szCs w:val="21"/>
    </w:rPr>
  </w:style>
  <w:style w:type="paragraph" w:customStyle="1" w:styleId="BBBBBBBBBB">
    <w:name w:val="BBBBBBBBBB"/>
    <w:basedOn w:val="a2"/>
    <w:link w:val="BBBBBBBBBBChar"/>
    <w:qFormat/>
    <w:pPr>
      <w:spacing w:line="324" w:lineRule="auto"/>
      <w:jc w:val="center"/>
    </w:pPr>
    <w:rPr>
      <w:rFonts w:hAnsi="宋体"/>
      <w:b/>
      <w:bCs/>
    </w:rPr>
  </w:style>
  <w:style w:type="character" w:customStyle="1" w:styleId="3Charc">
    <w:name w:val="样式 标题 3 + 宋体 小四 Char"/>
    <w:rPr>
      <w:rFonts w:ascii="宋体" w:eastAsia="黑体" w:hAnsi="宋体"/>
      <w:kern w:val="2"/>
      <w:sz w:val="32"/>
      <w:lang w:val="en-US" w:eastAsia="zh-CN"/>
    </w:rPr>
  </w:style>
  <w:style w:type="character" w:customStyle="1" w:styleId="CharChar72">
    <w:name w:val="Char Char72"/>
    <w:rPr>
      <w:rFonts w:ascii="Arial" w:eastAsia="黑体" w:hAnsi="Arial"/>
      <w:sz w:val="44"/>
      <w:lang w:val="en-US" w:eastAsia="zh-CN" w:bidi="ar-SA"/>
    </w:rPr>
  </w:style>
  <w:style w:type="character" w:customStyle="1" w:styleId="CharCharffff1">
    <w:name w:val="一级标题 Char Char"/>
    <w:rPr>
      <w:rFonts w:ascii="黑体" w:eastAsia="黑体"/>
      <w:b/>
      <w:bCs/>
      <w:kern w:val="44"/>
      <w:sz w:val="30"/>
      <w:szCs w:val="30"/>
      <w:lang w:val="en-US" w:eastAsia="zh-CN" w:bidi="ar-SA"/>
    </w:rPr>
  </w:style>
  <w:style w:type="character" w:customStyle="1" w:styleId="CharChar310">
    <w:name w:val="Char Char310"/>
    <w:rPr>
      <w:rFonts w:ascii="Arial" w:eastAsia="MS Mincho" w:hAnsi="Arial"/>
      <w:b/>
      <w:kern w:val="2"/>
      <w:sz w:val="28"/>
      <w:u w:val="single"/>
      <w:lang w:val="en-US" w:eastAsia="ja-JP" w:bidi="ar-SA"/>
    </w:rPr>
  </w:style>
  <w:style w:type="character" w:customStyle="1" w:styleId="CharCharffff2">
    <w:name w:val="表格内容 Char Char"/>
    <w:link w:val="affffffffff6"/>
    <w:rPr>
      <w:w w:val="90"/>
      <w:sz w:val="24"/>
      <w:szCs w:val="24"/>
    </w:rPr>
  </w:style>
  <w:style w:type="paragraph" w:customStyle="1" w:styleId="affffffffff6">
    <w:name w:val="表格内容"/>
    <w:basedOn w:val="a2"/>
    <w:link w:val="CharCharffff2"/>
    <w:qFormat/>
    <w:pPr>
      <w:jc w:val="center"/>
    </w:pPr>
    <w:rPr>
      <w:w w:val="90"/>
      <w:sz w:val="24"/>
      <w:szCs w:val="24"/>
    </w:rPr>
  </w:style>
  <w:style w:type="character" w:customStyle="1" w:styleId="Charfffffffc">
    <w:name w:val="小四左齐 Char"/>
    <w:link w:val="affffffffff7"/>
    <w:rPr>
      <w:rFonts w:ascii="宋体" w:hAnsi="宋体"/>
      <w:sz w:val="24"/>
      <w:szCs w:val="24"/>
      <w:lang w:val="zh-CN"/>
    </w:rPr>
  </w:style>
  <w:style w:type="paragraph" w:customStyle="1" w:styleId="affffffffff7">
    <w:name w:val="小四左齐"/>
    <w:basedOn w:val="a2"/>
    <w:link w:val="Charfffffffc"/>
    <w:qFormat/>
    <w:pPr>
      <w:tabs>
        <w:tab w:val="left" w:pos="1440"/>
      </w:tabs>
      <w:kinsoku w:val="0"/>
      <w:overflowPunct w:val="0"/>
      <w:snapToGrid w:val="0"/>
      <w:ind w:left="2"/>
    </w:pPr>
    <w:rPr>
      <w:rFonts w:ascii="宋体" w:hAnsi="宋体"/>
      <w:sz w:val="24"/>
      <w:szCs w:val="24"/>
      <w:lang w:val="zh-CN"/>
    </w:rPr>
  </w:style>
  <w:style w:type="character" w:customStyle="1" w:styleId="CharChar90">
    <w:name w:val="Char Char9"/>
    <w:rPr>
      <w:rFonts w:ascii="宋体" w:eastAsia="宋体" w:hAnsi="Courier New"/>
      <w:sz w:val="21"/>
      <w:lang w:val="en-US" w:eastAsia="zh-CN" w:bidi="ar-SA"/>
    </w:rPr>
  </w:style>
  <w:style w:type="character" w:customStyle="1" w:styleId="m351">
    <w:name w:val="m_351"/>
  </w:style>
  <w:style w:type="character" w:customStyle="1" w:styleId="textCharCharChar">
    <w:name w:val="text Char Char Char"/>
    <w:link w:val="textChar"/>
    <w:rPr>
      <w:sz w:val="24"/>
    </w:rPr>
  </w:style>
  <w:style w:type="paragraph" w:customStyle="1" w:styleId="textChar">
    <w:name w:val="text Char"/>
    <w:basedOn w:val="a2"/>
    <w:link w:val="textCharCharChar"/>
    <w:qFormat/>
    <w:pPr>
      <w:spacing w:line="520" w:lineRule="exact"/>
      <w:ind w:firstLineChars="200" w:firstLine="200"/>
    </w:pPr>
    <w:rPr>
      <w:sz w:val="24"/>
      <w:szCs w:val="22"/>
    </w:rPr>
  </w:style>
  <w:style w:type="character" w:customStyle="1" w:styleId="Char0">
    <w:name w:val="正文缩进 Char"/>
    <w:link w:val="a3"/>
    <w:qFormat/>
    <w:rPr>
      <w:rFonts w:eastAsia="宋体"/>
      <w:szCs w:val="24"/>
    </w:rPr>
  </w:style>
  <w:style w:type="character" w:customStyle="1" w:styleId="Charfffffffd">
    <w:name w:val="表格正文 Char"/>
    <w:qFormat/>
    <w:rPr>
      <w:rFonts w:eastAsia="宋体"/>
      <w:sz w:val="24"/>
      <w:lang w:val="en-US" w:eastAsia="zh-CN" w:bidi="ar-SA"/>
    </w:rPr>
  </w:style>
  <w:style w:type="character" w:customStyle="1" w:styleId="Char3f1">
    <w:name w:val="表格标题 Char3"/>
    <w:qFormat/>
    <w:rPr>
      <w:rFonts w:eastAsia="宋体"/>
      <w:kern w:val="2"/>
      <w:sz w:val="24"/>
      <w:lang w:val="en-US" w:eastAsia="zh-CN" w:bidi="ar-SA"/>
    </w:rPr>
  </w:style>
  <w:style w:type="character" w:customStyle="1" w:styleId="11dpi1">
    <w:name w:val="11dpi1"/>
    <w:qFormat/>
    <w:rPr>
      <w:sz w:val="22"/>
      <w:szCs w:val="22"/>
    </w:rPr>
  </w:style>
  <w:style w:type="character" w:customStyle="1" w:styleId="Char10">
    <w:name w:val="脚注文本 Char1"/>
    <w:link w:val="aff3"/>
    <w:qFormat/>
    <w:rPr>
      <w:rFonts w:ascii="Arial" w:eastAsia="楷体_GB2312" w:hAnsi="Arial"/>
      <w:bCs/>
      <w:sz w:val="18"/>
      <w:szCs w:val="18"/>
    </w:rPr>
  </w:style>
  <w:style w:type="character" w:customStyle="1" w:styleId="CharChar223">
    <w:name w:val="Char Char223"/>
    <w:qFormat/>
    <w:rPr>
      <w:rFonts w:ascii="Calibri" w:eastAsia="宋体" w:hAnsi="Calibri"/>
      <w:kern w:val="2"/>
      <w:sz w:val="24"/>
      <w:lang w:val="en-US" w:eastAsia="zh-CN" w:bidi="ar-SA"/>
    </w:rPr>
  </w:style>
  <w:style w:type="character" w:customStyle="1" w:styleId="CharChar231">
    <w:name w:val="Char Char231"/>
    <w:qFormat/>
    <w:rPr>
      <w:rFonts w:ascii="宋体" w:eastAsia="宋体" w:hAnsi="宋体" w:hint="eastAsia"/>
      <w:b/>
      <w:bCs/>
      <w:kern w:val="2"/>
      <w:sz w:val="28"/>
      <w:szCs w:val="28"/>
      <w:lang w:val="en-US" w:eastAsia="zh-CN" w:bidi="ar-SA"/>
    </w:rPr>
  </w:style>
  <w:style w:type="character" w:customStyle="1" w:styleId="tpccontent">
    <w:name w:val="tpc_content"/>
    <w:basedOn w:val="a4"/>
  </w:style>
  <w:style w:type="character" w:customStyle="1" w:styleId="Char2fa">
    <w:name w:val="环评正文文字缩进（江东模板） Char2"/>
    <w:rPr>
      <w:rFonts w:ascii="华文仿宋" w:eastAsia="华文仿宋" w:hAnsi="华文仿宋"/>
      <w:color w:val="000000"/>
      <w:kern w:val="2"/>
      <w:sz w:val="24"/>
      <w:szCs w:val="24"/>
      <w:lang w:val="en-US" w:eastAsia="zh-CN" w:bidi="ar-SA"/>
    </w:rPr>
  </w:style>
  <w:style w:type="character" w:customStyle="1" w:styleId="font4">
    <w:name w:val="font4"/>
  </w:style>
  <w:style w:type="character" w:customStyle="1" w:styleId="CharCharffff3">
    <w:name w:val="江波正文 Char Char"/>
    <w:link w:val="affffffffff8"/>
    <w:rPr>
      <w:rFonts w:eastAsia="仿宋_GB2312" w:hAnsi="仿宋_GB2312"/>
      <w:sz w:val="28"/>
      <w:szCs w:val="28"/>
    </w:rPr>
  </w:style>
  <w:style w:type="paragraph" w:customStyle="1" w:styleId="affffffffff8">
    <w:name w:val="江波正文"/>
    <w:link w:val="CharCharffff3"/>
    <w:qFormat/>
    <w:pPr>
      <w:spacing w:line="360" w:lineRule="auto"/>
      <w:ind w:firstLine="480"/>
      <w:jc w:val="both"/>
    </w:pPr>
    <w:rPr>
      <w:rFonts w:eastAsia="仿宋_GB2312" w:hAnsi="仿宋_GB2312"/>
      <w:kern w:val="2"/>
      <w:sz w:val="28"/>
      <w:szCs w:val="28"/>
    </w:rPr>
  </w:style>
  <w:style w:type="character" w:customStyle="1" w:styleId="CharChar23">
    <w:name w:val="Char Char23"/>
    <w:rPr>
      <w:rFonts w:eastAsia="宋体"/>
      <w:b/>
      <w:bCs/>
      <w:kern w:val="2"/>
      <w:sz w:val="28"/>
      <w:szCs w:val="28"/>
      <w:lang w:val="en-US" w:eastAsia="zh-CN" w:bidi="ar-SA"/>
    </w:rPr>
  </w:style>
  <w:style w:type="character" w:customStyle="1" w:styleId="text251">
    <w:name w:val="text251"/>
    <w:rPr>
      <w:sz w:val="20"/>
      <w:szCs w:val="20"/>
    </w:rPr>
  </w:style>
  <w:style w:type="character" w:customStyle="1" w:styleId="zi1">
    <w:name w:val="zi1"/>
    <w:rPr>
      <w:spacing w:val="288"/>
      <w:sz w:val="21"/>
      <w:szCs w:val="21"/>
    </w:rPr>
  </w:style>
  <w:style w:type="character" w:customStyle="1" w:styleId="2CharCharc">
    <w:name w:val="题2 Char Char"/>
    <w:rPr>
      <w:bCs/>
      <w:kern w:val="2"/>
      <w:sz w:val="30"/>
      <w:szCs w:val="28"/>
    </w:rPr>
  </w:style>
  <w:style w:type="character" w:customStyle="1" w:styleId="Char4d">
    <w:name w:val="称呼 Char4"/>
    <w:rPr>
      <w:kern w:val="2"/>
      <w:sz w:val="24"/>
      <w:szCs w:val="24"/>
    </w:rPr>
  </w:style>
  <w:style w:type="character" w:customStyle="1" w:styleId="3Char10">
    <w:name w:val="正文文本缩进 3 Char1"/>
    <w:locked/>
    <w:rPr>
      <w:kern w:val="2"/>
      <w:sz w:val="28"/>
    </w:rPr>
  </w:style>
  <w:style w:type="character" w:customStyle="1" w:styleId="CharChar261">
    <w:name w:val="Char Char261"/>
    <w:rPr>
      <w:rFonts w:eastAsia="宋体"/>
      <w:b/>
      <w:kern w:val="44"/>
      <w:sz w:val="30"/>
      <w:szCs w:val="28"/>
      <w:lang w:bidi="ar-SA"/>
    </w:rPr>
  </w:style>
  <w:style w:type="character" w:customStyle="1" w:styleId="CharCharffff4">
    <w:name w:val="表头文字 Char Char"/>
    <w:link w:val="affffffffff9"/>
    <w:rPr>
      <w:rFonts w:ascii="宋体" w:hAnsi="宋体" w:cs="Arial Unicode MS"/>
      <w:bCs/>
      <w:color w:val="000000"/>
      <w:sz w:val="24"/>
      <w:szCs w:val="24"/>
    </w:rPr>
  </w:style>
  <w:style w:type="paragraph" w:customStyle="1" w:styleId="affffffffff9">
    <w:name w:val="表头文字"/>
    <w:basedOn w:val="a2"/>
    <w:link w:val="CharCharffff4"/>
    <w:qFormat/>
    <w:pPr>
      <w:spacing w:line="240" w:lineRule="atLeast"/>
      <w:jc w:val="center"/>
      <w:textAlignment w:val="baseline"/>
    </w:pPr>
    <w:rPr>
      <w:rFonts w:ascii="宋体" w:hAnsi="宋体" w:cs="Arial Unicode MS"/>
      <w:bCs/>
      <w:color w:val="000000"/>
      <w:sz w:val="24"/>
      <w:szCs w:val="24"/>
    </w:rPr>
  </w:style>
  <w:style w:type="character" w:customStyle="1" w:styleId="101TimesNewRomanCharChar">
    <w:name w:val="样式 样式 首行缩进:  1.01 厘米 + Times New Roman Char Char"/>
    <w:rPr>
      <w:rFonts w:eastAsia="宋体"/>
      <w:color w:val="000000"/>
      <w:kern w:val="2"/>
      <w:sz w:val="24"/>
      <w:szCs w:val="24"/>
      <w:lang w:val="en-US" w:eastAsia="zh-CN" w:bidi="ar-SA"/>
    </w:rPr>
  </w:style>
  <w:style w:type="character" w:customStyle="1" w:styleId="CharChar113">
    <w:name w:val="Char Char113"/>
    <w:rPr>
      <w:rFonts w:ascii="仿宋_GB2312" w:eastAsia="仿宋_GB2312" w:hAnsi="Times New Roman" w:cs="Times New Roman"/>
      <w:sz w:val="28"/>
      <w:szCs w:val="52"/>
    </w:rPr>
  </w:style>
  <w:style w:type="character" w:customStyle="1" w:styleId="3CharChar7">
    <w:name w:val="样式3 Char Char"/>
    <w:link w:val="3f9"/>
    <w:rPr>
      <w:rFonts w:ascii="黑体" w:eastAsia="楷体_GB2312"/>
      <w:b/>
      <w:sz w:val="28"/>
      <w:szCs w:val="28"/>
    </w:rPr>
  </w:style>
  <w:style w:type="paragraph" w:customStyle="1" w:styleId="3f9">
    <w:name w:val="样式3"/>
    <w:basedOn w:val="41"/>
    <w:link w:val="3CharChar7"/>
    <w:qFormat/>
    <w:pPr>
      <w:spacing w:beforeLines="0" w:before="20" w:after="20"/>
    </w:pPr>
    <w:rPr>
      <w:rFonts w:eastAsia="楷体_GB2312"/>
      <w:b/>
      <w:bCs w:val="0"/>
    </w:rPr>
  </w:style>
  <w:style w:type="character" w:customStyle="1" w:styleId="Char3f2">
    <w:name w:val="尾注文本 Char3"/>
    <w:uiPriority w:val="99"/>
    <w:semiHidden/>
  </w:style>
  <w:style w:type="character" w:customStyle="1" w:styleId="gold1">
    <w:name w:val="gold1"/>
    <w:rPr>
      <w:rFonts w:ascii="??" w:eastAsia="??" w:hAnsi="??" w:hint="eastAsia"/>
      <w:color w:val="576B2C"/>
      <w:sz w:val="20"/>
      <w:szCs w:val="20"/>
      <w:u w:val="none"/>
    </w:rPr>
  </w:style>
  <w:style w:type="character" w:customStyle="1" w:styleId="linehei1">
    <w:name w:val="linehei1"/>
    <w:rPr>
      <w:color w:val="00519C"/>
      <w:sz w:val="18"/>
      <w:szCs w:val="18"/>
      <w:u w:val="none"/>
    </w:rPr>
  </w:style>
  <w:style w:type="character" w:customStyle="1" w:styleId="HTMLChar20">
    <w:name w:val="HTML 地址 Char2"/>
    <w:uiPriority w:val="99"/>
    <w:semiHidden/>
    <w:rPr>
      <w:i/>
      <w:iCs/>
      <w:kern w:val="2"/>
      <w:sz w:val="21"/>
      <w:szCs w:val="22"/>
    </w:rPr>
  </w:style>
  <w:style w:type="character" w:customStyle="1" w:styleId="CharChar62">
    <w:name w:val="Char Char62"/>
    <w:locked/>
    <w:rPr>
      <w:rFonts w:ascii="宋体" w:eastAsia="宋体" w:hAnsi="宋体"/>
      <w:snapToGrid/>
      <w:sz w:val="18"/>
      <w:szCs w:val="18"/>
      <w:lang w:val="en-US" w:eastAsia="zh-CN" w:bidi="ar-SA"/>
    </w:rPr>
  </w:style>
  <w:style w:type="character" w:customStyle="1" w:styleId="txt1">
    <w:name w:val="txt1"/>
    <w:basedOn w:val="a4"/>
  </w:style>
  <w:style w:type="character" w:customStyle="1" w:styleId="emailstyle246">
    <w:name w:val="emailstyle246"/>
    <w:rPr>
      <w:rFonts w:ascii="Arial" w:eastAsia="宋体" w:hAnsi="Arial" w:cs="Arial" w:hint="default"/>
      <w:color w:val="000080"/>
      <w:sz w:val="18"/>
      <w:szCs w:val="20"/>
    </w:rPr>
  </w:style>
  <w:style w:type="character" w:customStyle="1" w:styleId="a141">
    <w:name w:val="a141"/>
    <w:rPr>
      <w:rFonts w:hint="default"/>
      <w:color w:val="000000"/>
      <w:spacing w:val="0"/>
      <w:sz w:val="23"/>
      <w:szCs w:val="23"/>
      <w:bdr w:val="dashed" w:sz="24" w:space="0" w:color="auto"/>
    </w:rPr>
  </w:style>
  <w:style w:type="character" w:customStyle="1" w:styleId="Char4e">
    <w:name w:val="脚注文本 Char4"/>
    <w:rPr>
      <w:kern w:val="2"/>
      <w:sz w:val="18"/>
      <w:szCs w:val="18"/>
    </w:rPr>
  </w:style>
  <w:style w:type="character" w:customStyle="1" w:styleId="CharCharCharCharChar11">
    <w:name w:val="正文文字 Char Char Char Char Char1"/>
    <w:rPr>
      <w:rFonts w:eastAsia="宋体"/>
      <w:kern w:val="2"/>
      <w:sz w:val="28"/>
      <w:lang w:val="en-US" w:eastAsia="zh-CN" w:bidi="ar-SA"/>
    </w:rPr>
  </w:style>
  <w:style w:type="character" w:customStyle="1" w:styleId="B-Char">
    <w:name w:val="B-四号正文 Char"/>
    <w:rPr>
      <w:rFonts w:ascii="Times New Roman" w:eastAsia="宋体" w:hAnsi="Times New Roman" w:cs="Times New Roman"/>
      <w:sz w:val="28"/>
      <w:szCs w:val="28"/>
    </w:rPr>
  </w:style>
  <w:style w:type="character" w:customStyle="1" w:styleId="affffffffffa">
    <w:name w:val="样式 非加宽量 / 紧缩量"/>
    <w:rPr>
      <w:rFonts w:ascii="楷体_GB2312" w:eastAsia="楷体_GB2312" w:hint="eastAsia"/>
      <w:spacing w:val="0"/>
      <w:sz w:val="28"/>
    </w:rPr>
  </w:style>
  <w:style w:type="character" w:customStyle="1" w:styleId="affffffffffb">
    <w:name w:val="样式 宋体"/>
    <w:rPr>
      <w:rFonts w:ascii="Times New Roman" w:eastAsia="宋体" w:hAnsi="Times New Roman"/>
      <w:color w:val="000000"/>
      <w:sz w:val="28"/>
      <w:szCs w:val="28"/>
      <w:u w:val="none"/>
    </w:rPr>
  </w:style>
  <w:style w:type="character" w:customStyle="1" w:styleId="m101">
    <w:name w:val="m_101"/>
  </w:style>
  <w:style w:type="character" w:customStyle="1" w:styleId="Char170">
    <w:name w:val="Char17"/>
    <w:rPr>
      <w:rFonts w:ascii="仿宋_GB2312" w:eastAsia="仿宋_GB2312" w:hint="eastAsia"/>
      <w:b/>
      <w:kern w:val="44"/>
      <w:sz w:val="32"/>
      <w:szCs w:val="44"/>
      <w:lang w:val="en-US" w:eastAsia="zh-CN" w:bidi="ar-SA"/>
    </w:rPr>
  </w:style>
  <w:style w:type="character" w:customStyle="1" w:styleId="unnamed21">
    <w:name w:val="unnamed21"/>
    <w:rPr>
      <w:color w:val="000000"/>
      <w:sz w:val="18"/>
      <w:szCs w:val="18"/>
    </w:rPr>
  </w:style>
  <w:style w:type="character" w:customStyle="1" w:styleId="Charfffffffe">
    <w:name w:val="报告表格 Char"/>
    <w:link w:val="affffffffffc"/>
    <w:rPr>
      <w:rFonts w:eastAsia="仿宋_GB2312"/>
      <w:sz w:val="28"/>
      <w:szCs w:val="21"/>
    </w:rPr>
  </w:style>
  <w:style w:type="paragraph" w:customStyle="1" w:styleId="affffffffffc">
    <w:name w:val="报告表格"/>
    <w:basedOn w:val="a2"/>
    <w:link w:val="Charfffffffe"/>
    <w:qFormat/>
    <w:pPr>
      <w:spacing w:line="400" w:lineRule="exact"/>
      <w:jc w:val="center"/>
      <w:textAlignment w:val="bottom"/>
    </w:pPr>
    <w:rPr>
      <w:rFonts w:eastAsia="仿宋_GB2312"/>
    </w:rPr>
  </w:style>
  <w:style w:type="character" w:customStyle="1" w:styleId="3Char1">
    <w:name w:val="正文文本缩进 3 Char"/>
    <w:link w:val="39"/>
    <w:rPr>
      <w:sz w:val="28"/>
    </w:rPr>
  </w:style>
  <w:style w:type="character" w:customStyle="1" w:styleId="CharCharChar8">
    <w:name w:val="表格 Char Char Char"/>
    <w:rPr>
      <w:rFonts w:ascii="宋体" w:eastAsia="宋体" w:hAnsi="宋体"/>
      <w:sz w:val="21"/>
      <w:szCs w:val="21"/>
      <w:lang w:val="en-US" w:eastAsia="zh-CN" w:bidi="ar-SA"/>
    </w:rPr>
  </w:style>
  <w:style w:type="character" w:customStyle="1" w:styleId="CharCharffff5">
    <w:name w:val="正文(首行缩进)宋旭峰 Char Char"/>
    <w:link w:val="affffffffffd"/>
    <w:rPr>
      <w:rFonts w:ascii="楷体_GB2312" w:eastAsia="楷体_GB2312" w:hAnsi="宋体" w:cs="Arial"/>
      <w:b/>
      <w:sz w:val="24"/>
      <w:szCs w:val="24"/>
    </w:rPr>
  </w:style>
  <w:style w:type="paragraph" w:customStyle="1" w:styleId="affffffffffd">
    <w:name w:val="正文(首行缩进)宋旭峰"/>
    <w:basedOn w:val="a3"/>
    <w:link w:val="CharCharffff5"/>
    <w:qFormat/>
    <w:pPr>
      <w:spacing w:line="500" w:lineRule="exact"/>
      <w:ind w:firstLine="482"/>
      <w:jc w:val="center"/>
    </w:pPr>
    <w:rPr>
      <w:rFonts w:ascii="楷体_GB2312" w:eastAsia="楷体_GB2312" w:hAnsi="宋体" w:cs="Arial"/>
      <w:b/>
      <w:sz w:val="24"/>
    </w:rPr>
  </w:style>
  <w:style w:type="character" w:customStyle="1" w:styleId="grame">
    <w:name w:val="grame"/>
    <w:rPr>
      <w:rFonts w:eastAsia="宋体"/>
      <w:kern w:val="2"/>
      <w:sz w:val="28"/>
      <w:szCs w:val="28"/>
      <w:lang w:val="en-US" w:eastAsia="zh-CN" w:bidi="ar-SA"/>
    </w:rPr>
  </w:style>
  <w:style w:type="character" w:customStyle="1" w:styleId="affffffffffe">
    <w:name w:val="链接"/>
    <w:qFormat/>
    <w:rPr>
      <w:color w:val="0000FF"/>
      <w:sz w:val="21"/>
      <w:u w:val="single" w:color="0000FF"/>
      <w:lang w:val="en-US" w:eastAsia="zh-CN"/>
    </w:rPr>
  </w:style>
  <w:style w:type="character" w:customStyle="1" w:styleId="4CharChar2">
    <w:name w:val="黄桥标题4 Char Char"/>
    <w:link w:val="4c"/>
    <w:qFormat/>
    <w:rPr>
      <w:rFonts w:eastAsia="宋体" w:cs="宋体"/>
      <w:b/>
      <w:sz w:val="24"/>
      <w:szCs w:val="24"/>
    </w:rPr>
  </w:style>
  <w:style w:type="paragraph" w:customStyle="1" w:styleId="4c">
    <w:name w:val="黄桥标题4"/>
    <w:basedOn w:val="a2"/>
    <w:link w:val="4CharChar2"/>
    <w:qFormat/>
    <w:pPr>
      <w:keepNext/>
      <w:keepLines/>
      <w:widowControl/>
      <w:spacing w:line="360" w:lineRule="auto"/>
      <w:outlineLvl w:val="3"/>
    </w:pPr>
    <w:rPr>
      <w:rFonts w:eastAsia="宋体" w:cs="宋体"/>
      <w:b/>
      <w:sz w:val="24"/>
      <w:szCs w:val="24"/>
    </w:rPr>
  </w:style>
  <w:style w:type="character" w:customStyle="1" w:styleId="11p1">
    <w:name w:val="11p1"/>
    <w:qFormat/>
    <w:rPr>
      <w:sz w:val="30"/>
      <w:szCs w:val="30"/>
    </w:rPr>
  </w:style>
  <w:style w:type="character" w:customStyle="1" w:styleId="CharChar251">
    <w:name w:val="Char Char251"/>
    <w:qFormat/>
    <w:rPr>
      <w:rFonts w:eastAsia="宋体"/>
      <w:b/>
      <w:bCs/>
      <w:iCs/>
      <w:kern w:val="2"/>
      <w:sz w:val="28"/>
      <w:szCs w:val="24"/>
      <w:lang w:bidi="ar-SA"/>
    </w:rPr>
  </w:style>
  <w:style w:type="character" w:customStyle="1" w:styleId="CharCharffff6">
    <w:name w:val="正文样式 Char Char"/>
    <w:qFormat/>
    <w:rPr>
      <w:rFonts w:ascii="宋体" w:eastAsia="宋体" w:hAnsi="宋体"/>
      <w:color w:val="000000"/>
      <w:kern w:val="2"/>
      <w:sz w:val="24"/>
      <w:szCs w:val="24"/>
      <w:lang w:val="en-US" w:eastAsia="zh-CN" w:bidi="ar-SA"/>
    </w:rPr>
  </w:style>
  <w:style w:type="character" w:customStyle="1" w:styleId="Char3f3">
    <w:name w:val="正文首行缩进 Char3"/>
    <w:uiPriority w:val="99"/>
    <w:semiHidden/>
    <w:qFormat/>
  </w:style>
  <w:style w:type="character" w:customStyle="1" w:styleId="2CharCharChar">
    <w:name w:val="正文缩进 2字符 Char Char Char"/>
    <w:qFormat/>
    <w:rPr>
      <w:rFonts w:eastAsia="仿宋_GB2312"/>
      <w:kern w:val="2"/>
      <w:sz w:val="24"/>
      <w:szCs w:val="21"/>
      <w:lang w:val="en-US" w:eastAsia="zh-CN" w:bidi="ar-SA"/>
    </w:rPr>
  </w:style>
  <w:style w:type="character" w:customStyle="1" w:styleId="1Charf4">
    <w:name w:val="表1 Char"/>
    <w:rPr>
      <w:rFonts w:ascii="宋体" w:eastAsia="宋体" w:hAnsi="宋体"/>
      <w:color w:val="000000"/>
      <w:kern w:val="2"/>
      <w:sz w:val="21"/>
      <w:szCs w:val="24"/>
      <w:lang w:val="en-US" w:eastAsia="zh-CN" w:bidi="ar-SA"/>
    </w:rPr>
  </w:style>
  <w:style w:type="character" w:customStyle="1" w:styleId="CharCharffff7">
    <w:name w:val="样式 题注 Char Char"/>
    <w:link w:val="afffffffffff"/>
    <w:rPr>
      <w:rFonts w:ascii="仿宋_GB2312" w:eastAsia="仿宋_GB2312" w:hAnsi="仿宋_GB2312" w:cs="Arial"/>
      <w:color w:val="000000"/>
      <w:sz w:val="24"/>
      <w:szCs w:val="24"/>
    </w:rPr>
  </w:style>
  <w:style w:type="paragraph" w:customStyle="1" w:styleId="afffffffffff">
    <w:name w:val="样式 题注"/>
    <w:basedOn w:val="ac"/>
    <w:link w:val="CharCharffff7"/>
    <w:qFormat/>
    <w:pPr>
      <w:spacing w:line="240" w:lineRule="atLeast"/>
      <w:jc w:val="center"/>
    </w:pPr>
    <w:rPr>
      <w:rFonts w:ascii="仿宋_GB2312" w:eastAsia="仿宋_GB2312" w:hAnsi="仿宋_GB2312" w:cs="Arial"/>
      <w:color w:val="000000"/>
      <w:sz w:val="24"/>
      <w:szCs w:val="24"/>
    </w:rPr>
  </w:style>
  <w:style w:type="character" w:customStyle="1" w:styleId="Charffffffff">
    <w:name w:val="表头 Char"/>
    <w:qFormat/>
    <w:rPr>
      <w:rFonts w:eastAsia="黑体"/>
      <w:sz w:val="24"/>
      <w:szCs w:val="24"/>
      <w:lang w:val="en-US" w:eastAsia="zh-CN" w:bidi="ar-SA"/>
    </w:rPr>
  </w:style>
  <w:style w:type="character" w:customStyle="1" w:styleId="bb1">
    <w:name w:val="bb1"/>
    <w:rPr>
      <w:color w:val="000000"/>
      <w:sz w:val="18"/>
      <w:szCs w:val="18"/>
    </w:rPr>
  </w:style>
  <w:style w:type="character" w:customStyle="1" w:styleId="CharCharffff8">
    <w:name w:val="三 Char Char"/>
    <w:link w:val="afffffffffff0"/>
    <w:rPr>
      <w:b/>
      <w:bCs/>
      <w:iCs/>
      <w:sz w:val="28"/>
      <w:szCs w:val="24"/>
    </w:rPr>
  </w:style>
  <w:style w:type="paragraph" w:customStyle="1" w:styleId="afffffffffff0">
    <w:name w:val="三"/>
    <w:basedOn w:val="32"/>
    <w:link w:val="CharCharffff8"/>
    <w:qFormat/>
    <w:pPr>
      <w:keepLines w:val="0"/>
      <w:spacing w:before="0" w:after="0" w:line="360" w:lineRule="auto"/>
    </w:pPr>
    <w:rPr>
      <w:iCs/>
      <w:sz w:val="28"/>
      <w:szCs w:val="24"/>
    </w:rPr>
  </w:style>
  <w:style w:type="character" w:customStyle="1" w:styleId="CharChar163">
    <w:name w:val="Char Char163"/>
    <w:rPr>
      <w:rFonts w:ascii="宋体" w:eastAsia="宋体" w:hAnsi="Courier New"/>
      <w:sz w:val="21"/>
      <w:lang w:val="en-US" w:eastAsia="zh-CN" w:bidi="ar-SA"/>
    </w:rPr>
  </w:style>
  <w:style w:type="character" w:customStyle="1" w:styleId="Char2fb">
    <w:name w:val="标题 Char2"/>
    <w:rPr>
      <w:rFonts w:ascii="Cambria" w:eastAsia="宋体" w:hAnsi="Cambria" w:cs="Times New Roman"/>
      <w:b/>
      <w:bCs/>
      <w:sz w:val="32"/>
      <w:szCs w:val="32"/>
    </w:rPr>
  </w:style>
  <w:style w:type="character" w:customStyle="1" w:styleId="HTMLChar40">
    <w:name w:val="HTML 地址 Char4"/>
    <w:rPr>
      <w:i/>
      <w:iCs/>
      <w:kern w:val="2"/>
      <w:sz w:val="24"/>
      <w:szCs w:val="24"/>
    </w:rPr>
  </w:style>
  <w:style w:type="character" w:customStyle="1" w:styleId="14Char">
    <w:name w:val="样式14 Char"/>
    <w:link w:val="141"/>
    <w:rPr>
      <w:rFonts w:ascii="仿宋_GB2312" w:hAnsi="仿宋_GB2312"/>
      <w:sz w:val="24"/>
      <w:szCs w:val="28"/>
    </w:rPr>
  </w:style>
  <w:style w:type="paragraph" w:customStyle="1" w:styleId="141">
    <w:name w:val="样式14"/>
    <w:basedOn w:val="41"/>
    <w:link w:val="14Char"/>
    <w:qFormat/>
    <w:pPr>
      <w:tabs>
        <w:tab w:val="left" w:pos="1247"/>
      </w:tabs>
      <w:spacing w:beforeLines="0" w:before="280" w:after="290" w:line="312" w:lineRule="auto"/>
      <w:ind w:left="964" w:rightChars="0" w:right="0" w:hanging="964"/>
    </w:pPr>
    <w:rPr>
      <w:rFonts w:ascii="仿宋_GB2312" w:eastAsiaTheme="minorEastAsia" w:hAnsi="仿宋_GB2312"/>
      <w:bCs w:val="0"/>
      <w:sz w:val="24"/>
    </w:rPr>
  </w:style>
  <w:style w:type="character" w:customStyle="1" w:styleId="CharCharffff9">
    <w:name w:val="表内文字 Char Char"/>
    <w:rPr>
      <w:rFonts w:ascii="宋体" w:eastAsia="宋体" w:hAnsi="Courier New" w:cs="Courier New"/>
      <w:sz w:val="24"/>
      <w:szCs w:val="21"/>
    </w:rPr>
  </w:style>
  <w:style w:type="character" w:customStyle="1" w:styleId="Charffffffff0">
    <w:name w:val="图目录 Char"/>
    <w:rPr>
      <w:rFonts w:ascii="宋体" w:eastAsia="宋体"/>
      <w:kern w:val="2"/>
      <w:sz w:val="21"/>
      <w:szCs w:val="24"/>
      <w:lang w:val="en-US" w:eastAsia="zh-CN" w:bidi="ar-SA"/>
    </w:rPr>
  </w:style>
  <w:style w:type="character" w:customStyle="1" w:styleId="black111">
    <w:name w:val="black111"/>
    <w:rPr>
      <w:sz w:val="22"/>
      <w:szCs w:val="22"/>
    </w:rPr>
  </w:style>
  <w:style w:type="character" w:customStyle="1" w:styleId="CharCharCharChar6">
    <w:name w:val="头 Char Char Char Char"/>
    <w:rPr>
      <w:rFonts w:eastAsia="宋体"/>
      <w:b/>
      <w:kern w:val="2"/>
      <w:sz w:val="24"/>
      <w:lang w:val="en-US" w:eastAsia="zh-CN" w:bidi="ar-SA"/>
    </w:rPr>
  </w:style>
  <w:style w:type="character" w:customStyle="1" w:styleId="132">
    <w:name w:val="标题13"/>
  </w:style>
  <w:style w:type="character" w:customStyle="1" w:styleId="12CharChar">
    <w:name w:val="样式12 Char Char"/>
    <w:link w:val="121"/>
    <w:rPr>
      <w:bCs/>
      <w:sz w:val="30"/>
      <w:szCs w:val="30"/>
    </w:rPr>
  </w:style>
  <w:style w:type="paragraph" w:customStyle="1" w:styleId="121">
    <w:name w:val="样式12"/>
    <w:basedOn w:val="100"/>
    <w:link w:val="12CharChar"/>
    <w:qFormat/>
    <w:pPr>
      <w:spacing w:before="50" w:after="50"/>
    </w:pPr>
    <w:rPr>
      <w:rFonts w:asciiTheme="minorHAnsi" w:eastAsiaTheme="minorEastAsia"/>
    </w:rPr>
  </w:style>
  <w:style w:type="paragraph" w:customStyle="1" w:styleId="100">
    <w:name w:val="样式10"/>
    <w:basedOn w:val="32"/>
    <w:qFormat/>
    <w:pPr>
      <w:snapToGrid w:val="0"/>
      <w:spacing w:before="0" w:after="0" w:line="360" w:lineRule="auto"/>
      <w:jc w:val="both"/>
    </w:pPr>
    <w:rPr>
      <w:rFonts w:ascii="Times New Roman" w:eastAsia="宋体"/>
      <w:b w:val="0"/>
      <w:sz w:val="30"/>
      <w:szCs w:val="30"/>
    </w:rPr>
  </w:style>
  <w:style w:type="character" w:customStyle="1" w:styleId="2Charf2">
    <w:name w:val="标题 2 Char"/>
    <w:uiPriority w:val="9"/>
    <w:qFormat/>
    <w:rPr>
      <w:rFonts w:eastAsia="黑体"/>
      <w:kern w:val="2"/>
      <w:sz w:val="32"/>
      <w:szCs w:val="32"/>
      <w:lang w:val="en-US" w:eastAsia="zh-CN" w:bidi="ar-SA"/>
    </w:rPr>
  </w:style>
  <w:style w:type="character" w:customStyle="1" w:styleId="CharChar171">
    <w:name w:val="Char Char171"/>
    <w:rPr>
      <w:sz w:val="18"/>
      <w:szCs w:val="18"/>
    </w:rPr>
  </w:style>
  <w:style w:type="character" w:customStyle="1" w:styleId="CharCharffffa">
    <w:name w:val="章 Char Char"/>
    <w:rPr>
      <w:rFonts w:ascii="黑体" w:eastAsia="黑体"/>
      <w:b/>
      <w:bCs/>
      <w:kern w:val="44"/>
      <w:sz w:val="32"/>
      <w:szCs w:val="44"/>
      <w:lang w:val="en-US" w:eastAsia="zh-CN" w:bidi="ar-SA"/>
    </w:rPr>
  </w:style>
  <w:style w:type="character" w:customStyle="1" w:styleId="3Chard">
    <w:name w:val="样式3 Char"/>
    <w:rPr>
      <w:rFonts w:ascii="Arial" w:eastAsia="黑体" w:hAnsi="Arial" w:cs="Times New Roman"/>
      <w:color w:val="000000"/>
      <w:sz w:val="30"/>
      <w:szCs w:val="20"/>
    </w:rPr>
  </w:style>
  <w:style w:type="character" w:customStyle="1" w:styleId="textnew1">
    <w:name w:val="text_new1"/>
    <w:rPr>
      <w:color w:val="000000"/>
      <w:spacing w:val="15"/>
      <w:sz w:val="21"/>
      <w:szCs w:val="21"/>
      <w:u w:val="none"/>
    </w:rPr>
  </w:style>
  <w:style w:type="character" w:customStyle="1" w:styleId="bodyfont1">
    <w:name w:val="bodyfont1"/>
    <w:rPr>
      <w:sz w:val="17"/>
      <w:szCs w:val="17"/>
    </w:rPr>
  </w:style>
  <w:style w:type="character" w:customStyle="1" w:styleId="CharChar193">
    <w:name w:val="Char Char193"/>
    <w:rPr>
      <w:snapToGrid/>
      <w:sz w:val="24"/>
    </w:rPr>
  </w:style>
  <w:style w:type="character" w:customStyle="1" w:styleId="7878152CharChar1">
    <w:name w:val="样式 样式 小四 段前: 7.8 磅 段后: 7.8 磅 行距: 1.5 倍行距 + 首行缩进:  2 字符 Char Char1"/>
    <w:link w:val="7878152"/>
    <w:rPr>
      <w:rFonts w:cs="Arial"/>
      <w:sz w:val="24"/>
      <w:szCs w:val="24"/>
    </w:rPr>
  </w:style>
  <w:style w:type="paragraph" w:customStyle="1" w:styleId="7878152">
    <w:name w:val="样式 样式 小四 段前: 7.8 磅 段后: 7.8 磅 行距: 1.5 倍行距 + 首行缩进:  2 字符"/>
    <w:basedOn w:val="a2"/>
    <w:link w:val="7878152CharChar1"/>
    <w:pPr>
      <w:autoSpaceDE/>
      <w:autoSpaceDN/>
      <w:adjustRightInd/>
      <w:spacing w:line="360" w:lineRule="auto"/>
      <w:ind w:firstLineChars="200" w:firstLine="640"/>
    </w:pPr>
    <w:rPr>
      <w:rFonts w:cs="Arial"/>
      <w:sz w:val="24"/>
      <w:szCs w:val="24"/>
    </w:rPr>
  </w:style>
  <w:style w:type="character" w:customStyle="1" w:styleId="CharCharffffb">
    <w:name w:val="图标准 Char Char"/>
    <w:link w:val="afffffffffff1"/>
    <w:rPr>
      <w:rFonts w:ascii="仿宋_GB2312" w:eastAsia="黑体"/>
      <w:b/>
      <w:spacing w:val="4"/>
      <w:sz w:val="24"/>
      <w:szCs w:val="28"/>
    </w:rPr>
  </w:style>
  <w:style w:type="paragraph" w:customStyle="1" w:styleId="afffffffffff1">
    <w:name w:val="图标准"/>
    <w:basedOn w:val="a2"/>
    <w:link w:val="CharCharffffb"/>
    <w:qFormat/>
    <w:pPr>
      <w:tabs>
        <w:tab w:val="left" w:pos="0"/>
      </w:tabs>
      <w:snapToGrid w:val="0"/>
      <w:spacing w:beforeLines="100" w:before="312" w:line="360" w:lineRule="auto"/>
      <w:ind w:firstLine="562"/>
      <w:jc w:val="center"/>
    </w:pPr>
    <w:rPr>
      <w:rFonts w:ascii="仿宋_GB2312" w:eastAsia="黑体"/>
      <w:b/>
      <w:spacing w:val="4"/>
      <w:sz w:val="24"/>
      <w:szCs w:val="28"/>
    </w:rPr>
  </w:style>
  <w:style w:type="character" w:customStyle="1" w:styleId="123">
    <w:name w:val="超链接12"/>
    <w:rPr>
      <w:color w:val="0000FF"/>
      <w:u w:val="single"/>
    </w:rPr>
  </w:style>
  <w:style w:type="character" w:customStyle="1" w:styleId="style101">
    <w:name w:val="style101"/>
    <w:rPr>
      <w:sz w:val="16"/>
      <w:szCs w:val="16"/>
    </w:rPr>
  </w:style>
  <w:style w:type="character" w:customStyle="1" w:styleId="hj1">
    <w:name w:val="hj1"/>
    <w:rPr>
      <w:spacing w:val="375"/>
    </w:rPr>
  </w:style>
  <w:style w:type="character" w:customStyle="1" w:styleId="6Char11">
    <w:name w:val="6表(图)头(治) Char1"/>
    <w:link w:val="67"/>
    <w:rPr>
      <w:rFonts w:ascii="仿宋_GB2312" w:eastAsia="仿宋_GB2312"/>
      <w:b/>
      <w:sz w:val="24"/>
      <w:szCs w:val="24"/>
    </w:rPr>
  </w:style>
  <w:style w:type="paragraph" w:customStyle="1" w:styleId="67">
    <w:name w:val="6表(图)头(治)"/>
    <w:next w:val="a2"/>
    <w:link w:val="6Char11"/>
    <w:qFormat/>
    <w:pPr>
      <w:widowControl w:val="0"/>
      <w:spacing w:beforeLines="50" w:before="50" w:afterLines="50" w:after="50" w:line="360" w:lineRule="auto"/>
      <w:ind w:firstLineChars="40" w:firstLine="40"/>
      <w:jc w:val="center"/>
    </w:pPr>
    <w:rPr>
      <w:rFonts w:ascii="仿宋_GB2312" w:eastAsia="仿宋_GB2312"/>
      <w:b/>
      <w:kern w:val="2"/>
      <w:sz w:val="24"/>
      <w:szCs w:val="24"/>
    </w:rPr>
  </w:style>
  <w:style w:type="character" w:customStyle="1" w:styleId="1CharChar9">
    <w:name w:val="正文1 Char Char"/>
    <w:link w:val="1ffc"/>
    <w:qFormat/>
    <w:rPr>
      <w:rFonts w:ascii="仿宋_GB2312" w:eastAsia="仿宋_GB2312"/>
      <w:color w:val="000000"/>
      <w:sz w:val="28"/>
      <w:szCs w:val="28"/>
    </w:rPr>
  </w:style>
  <w:style w:type="paragraph" w:customStyle="1" w:styleId="1ffc">
    <w:name w:val="正文1"/>
    <w:basedOn w:val="a2"/>
    <w:link w:val="1CharChar9"/>
    <w:qFormat/>
    <w:rPr>
      <w:rFonts w:ascii="仿宋_GB2312" w:eastAsia="仿宋_GB2312"/>
      <w:color w:val="000000"/>
      <w:szCs w:val="28"/>
    </w:rPr>
  </w:style>
  <w:style w:type="character" w:customStyle="1" w:styleId="unnamed111">
    <w:name w:val="unnamed111"/>
    <w:qFormat/>
    <w:rPr>
      <w:sz w:val="18"/>
      <w:szCs w:val="18"/>
    </w:rPr>
  </w:style>
  <w:style w:type="character" w:customStyle="1" w:styleId="cucd-0Char">
    <w:name w:val="cucd-0 Char"/>
    <w:link w:val="cucd-0"/>
    <w:qFormat/>
    <w:rPr>
      <w:sz w:val="24"/>
      <w:szCs w:val="24"/>
    </w:rPr>
  </w:style>
  <w:style w:type="paragraph" w:customStyle="1" w:styleId="cucd-0">
    <w:name w:val="cucd-0"/>
    <w:link w:val="cucd-0Char"/>
    <w:pPr>
      <w:spacing w:line="360" w:lineRule="auto"/>
      <w:ind w:firstLineChars="200" w:firstLine="480"/>
      <w:jc w:val="both"/>
    </w:pPr>
    <w:rPr>
      <w:kern w:val="2"/>
      <w:sz w:val="24"/>
      <w:szCs w:val="24"/>
    </w:rPr>
  </w:style>
  <w:style w:type="character" w:customStyle="1" w:styleId="afffffffffff2">
    <w:name w:val="表（正文）"/>
    <w:qFormat/>
    <w:rPr>
      <w:rFonts w:eastAsia="宋体"/>
      <w:sz w:val="24"/>
      <w:szCs w:val="24"/>
    </w:rPr>
  </w:style>
  <w:style w:type="character" w:customStyle="1" w:styleId="217Char">
    <w:name w:val="样式 样式 样式 首行缩进:  2 字符 + 居中 + 行距: 固定值 17 磅 Char"/>
    <w:link w:val="217"/>
    <w:qFormat/>
    <w:rPr>
      <w:rFonts w:cs="宋体"/>
      <w:color w:val="000000"/>
    </w:rPr>
  </w:style>
  <w:style w:type="paragraph" w:customStyle="1" w:styleId="217">
    <w:name w:val="样式 样式 样式 首行缩进:  2 字符 + 居中 + 行距: 固定值 17 磅"/>
    <w:basedOn w:val="a2"/>
    <w:link w:val="217Char"/>
    <w:pPr>
      <w:snapToGrid w:val="0"/>
      <w:spacing w:line="340" w:lineRule="exact"/>
      <w:jc w:val="center"/>
    </w:pPr>
    <w:rPr>
      <w:rFonts w:cs="宋体"/>
      <w:color w:val="000000"/>
      <w:szCs w:val="22"/>
    </w:rPr>
  </w:style>
  <w:style w:type="character" w:customStyle="1" w:styleId="3Char21">
    <w:name w:val="正文文本 3 Char2"/>
    <w:qFormat/>
    <w:rPr>
      <w:rFonts w:ascii="Times New Roman" w:eastAsia="宋体" w:hAnsi="Times New Roman" w:cs="Times New Roman"/>
      <w:sz w:val="16"/>
      <w:szCs w:val="16"/>
    </w:rPr>
  </w:style>
  <w:style w:type="character" w:customStyle="1" w:styleId="2CharCharCharCharChar2">
    <w:name w:val="标题 2 Char Char Char Char Char2"/>
    <w:rPr>
      <w:rFonts w:ascii="宋体" w:eastAsia="宋体" w:hAnsi="宋体"/>
      <w:b/>
      <w:bCs/>
      <w:kern w:val="2"/>
      <w:sz w:val="32"/>
      <w:szCs w:val="32"/>
      <w:lang w:val="en-US" w:eastAsia="zh-CN" w:bidi="ar-SA"/>
    </w:rPr>
  </w:style>
  <w:style w:type="character" w:customStyle="1" w:styleId="CharChar234">
    <w:name w:val="Char Char234"/>
    <w:rPr>
      <w:rFonts w:eastAsia="宋体"/>
      <w:b/>
      <w:bCs/>
      <w:kern w:val="2"/>
      <w:sz w:val="28"/>
      <w:szCs w:val="28"/>
      <w:lang w:val="en-US" w:eastAsia="zh-CN" w:bidi="ar-SA"/>
    </w:rPr>
  </w:style>
  <w:style w:type="character" w:customStyle="1" w:styleId="1Charf5">
    <w:name w:val="页眉1 Char"/>
    <w:rPr>
      <w:rFonts w:eastAsia="宋体"/>
      <w:kern w:val="2"/>
      <w:sz w:val="18"/>
      <w:szCs w:val="18"/>
      <w:lang w:val="en-US" w:eastAsia="zh-CN" w:bidi="ar-SA"/>
    </w:rPr>
  </w:style>
  <w:style w:type="character" w:customStyle="1" w:styleId="1CharCharChar0">
    <w:name w:val="标题 1 Char Char Char"/>
    <w:rPr>
      <w:rFonts w:ascii="黑体" w:eastAsia="黑体"/>
      <w:kern w:val="2"/>
      <w:sz w:val="30"/>
      <w:lang w:val="en-US" w:eastAsia="zh-CN" w:bidi="ar-SA"/>
    </w:rPr>
  </w:style>
  <w:style w:type="character" w:customStyle="1" w:styleId="Charffffffff1">
    <w:name w:val="文章正文 Char"/>
    <w:link w:val="afffffffffff3"/>
    <w:rPr>
      <w:rFonts w:ascii="宋体" w:hAnsi="宋体"/>
      <w:sz w:val="24"/>
      <w:szCs w:val="24"/>
    </w:rPr>
  </w:style>
  <w:style w:type="paragraph" w:customStyle="1" w:styleId="afffffffffff3">
    <w:name w:val="文章正文"/>
    <w:basedOn w:val="a2"/>
    <w:link w:val="Charffffffff1"/>
    <w:qFormat/>
    <w:pPr>
      <w:spacing w:beforeLines="50" w:before="156" w:afterLines="50" w:after="156" w:line="360" w:lineRule="auto"/>
      <w:ind w:firstLineChars="200" w:firstLine="480"/>
      <w:jc w:val="both"/>
    </w:pPr>
    <w:rPr>
      <w:rFonts w:ascii="宋体" w:hAnsi="宋体"/>
      <w:sz w:val="24"/>
      <w:szCs w:val="24"/>
    </w:rPr>
  </w:style>
  <w:style w:type="character" w:customStyle="1" w:styleId="hhcwt4CharChar">
    <w:name w:val="hhcwt标题4 Char Char"/>
    <w:link w:val="hhcwt4"/>
    <w:rPr>
      <w:rFonts w:eastAsia="宋体" w:cs="宋体"/>
      <w:bCs/>
      <w:sz w:val="24"/>
    </w:rPr>
  </w:style>
  <w:style w:type="paragraph" w:customStyle="1" w:styleId="hhcwt4">
    <w:name w:val="hhcwt标题4"/>
    <w:basedOn w:val="41"/>
    <w:link w:val="hhcwt4CharChar"/>
    <w:qFormat/>
    <w:rPr>
      <w:rFonts w:asciiTheme="minorHAnsi" w:eastAsia="宋体" w:cs="宋体"/>
      <w:sz w:val="24"/>
      <w:szCs w:val="22"/>
    </w:rPr>
  </w:style>
  <w:style w:type="character" w:customStyle="1" w:styleId="CharCharffffc">
    <w:name w:val="宋体 四号 Char Char"/>
    <w:link w:val="afffffffffff4"/>
    <w:rPr>
      <w:rFonts w:cs="宋体"/>
      <w:sz w:val="28"/>
      <w:szCs w:val="28"/>
    </w:rPr>
  </w:style>
  <w:style w:type="paragraph" w:customStyle="1" w:styleId="afffffffffff4">
    <w:name w:val="宋体 四号"/>
    <w:basedOn w:val="a2"/>
    <w:link w:val="CharCharffffc"/>
    <w:qFormat/>
    <w:pPr>
      <w:spacing w:beforeLines="50" w:before="156" w:afterLines="50" w:after="156" w:line="300" w:lineRule="auto"/>
      <w:ind w:firstLineChars="200" w:firstLine="200"/>
    </w:pPr>
    <w:rPr>
      <w:rFonts w:cs="宋体"/>
      <w:szCs w:val="28"/>
    </w:rPr>
  </w:style>
  <w:style w:type="character" w:customStyle="1" w:styleId="m341">
    <w:name w:val="m_341"/>
  </w:style>
  <w:style w:type="character" w:customStyle="1" w:styleId="css-text3">
    <w:name w:val="css-text3"/>
  </w:style>
  <w:style w:type="character" w:customStyle="1" w:styleId="p14b1">
    <w:name w:val="p14b1"/>
    <w:rPr>
      <w:rFonts w:ascii="宋体" w:eastAsia="宋体" w:hAnsi="宋体" w:hint="eastAsia"/>
      <w:color w:val="000000"/>
      <w:sz w:val="28"/>
      <w:szCs w:val="28"/>
    </w:rPr>
  </w:style>
  <w:style w:type="character" w:customStyle="1" w:styleId="2ff1">
    <w:name w:val="已访问的超链接2"/>
    <w:rPr>
      <w:color w:val="800080"/>
      <w:u w:val="single"/>
    </w:rPr>
  </w:style>
  <w:style w:type="character" w:customStyle="1" w:styleId="00-Char">
    <w:name w:val="00-正文 Char"/>
    <w:link w:val="00-"/>
    <w:rPr>
      <w:sz w:val="24"/>
      <w:szCs w:val="24"/>
    </w:rPr>
  </w:style>
  <w:style w:type="paragraph" w:customStyle="1" w:styleId="00-">
    <w:name w:val="00-正文"/>
    <w:basedOn w:val="a2"/>
    <w:link w:val="00-Char"/>
    <w:qFormat/>
    <w:pPr>
      <w:autoSpaceDE/>
      <w:autoSpaceDN/>
      <w:spacing w:line="360" w:lineRule="auto"/>
      <w:ind w:firstLineChars="200" w:firstLine="480"/>
      <w:jc w:val="both"/>
      <w:textAlignment w:val="baseline"/>
    </w:pPr>
    <w:rPr>
      <w:sz w:val="24"/>
      <w:szCs w:val="24"/>
    </w:rPr>
  </w:style>
  <w:style w:type="character" w:customStyle="1" w:styleId="CharChar41">
    <w:name w:val="Char Char41"/>
    <w:rPr>
      <w:rFonts w:ascii="Arial" w:eastAsia="黑体" w:hAnsi="Arial" w:cs="Arial"/>
      <w:b/>
      <w:bCs/>
      <w:kern w:val="2"/>
      <w:sz w:val="32"/>
      <w:szCs w:val="32"/>
      <w:lang w:val="en-US" w:eastAsia="zh-CN"/>
    </w:rPr>
  </w:style>
  <w:style w:type="character" w:customStyle="1" w:styleId="13ArialUnicodeMS7">
    <w:name w:val="正文文本 (13) + Arial Unicode MS7"/>
    <w:rPr>
      <w:rFonts w:ascii="Arial Unicode MS" w:eastAsia="Arial Unicode MS" w:cs="Arial Unicode MS"/>
      <w:sz w:val="27"/>
      <w:szCs w:val="27"/>
      <w:u w:val="none"/>
      <w:lang w:val="en-US" w:eastAsia="en-US"/>
    </w:rPr>
  </w:style>
  <w:style w:type="character" w:customStyle="1" w:styleId="00-0">
    <w:name w:val="00-插图 字符"/>
    <w:link w:val="00-1"/>
    <w:rPr>
      <w:rFonts w:eastAsia="仿宋"/>
      <w:b/>
      <w:sz w:val="24"/>
      <w:szCs w:val="24"/>
    </w:rPr>
  </w:style>
  <w:style w:type="paragraph" w:customStyle="1" w:styleId="00-1">
    <w:name w:val="00-插图"/>
    <w:basedOn w:val="afffffffff0"/>
    <w:link w:val="00-0"/>
    <w:qFormat/>
    <w:pPr>
      <w:autoSpaceDE/>
      <w:autoSpaceDN/>
      <w:snapToGrid w:val="0"/>
      <w:ind w:firstLineChars="0" w:firstLine="0"/>
      <w:jc w:val="center"/>
      <w:textAlignment w:val="baseline"/>
    </w:pPr>
    <w:rPr>
      <w:rFonts w:asciiTheme="minorHAnsi" w:eastAsia="仿宋" w:hAnsiTheme="minorHAnsi"/>
      <w:b/>
      <w:szCs w:val="24"/>
    </w:rPr>
  </w:style>
  <w:style w:type="character" w:customStyle="1" w:styleId="114">
    <w:name w:val="页码11"/>
  </w:style>
  <w:style w:type="character" w:customStyle="1" w:styleId="Char3f4">
    <w:name w:val="批注主题 Char3"/>
    <w:uiPriority w:val="99"/>
    <w:semiHidden/>
    <w:rPr>
      <w:b/>
      <w:bCs/>
      <w:kern w:val="2"/>
      <w:sz w:val="21"/>
      <w:szCs w:val="22"/>
    </w:rPr>
  </w:style>
  <w:style w:type="character" w:customStyle="1" w:styleId="2Charf3">
    <w:name w:val="样式 报告正文 + 首行缩进:  2 字符 Char"/>
    <w:link w:val="2ff2"/>
    <w:rPr>
      <w:rFonts w:cs="宋体"/>
      <w:sz w:val="24"/>
    </w:rPr>
  </w:style>
  <w:style w:type="paragraph" w:customStyle="1" w:styleId="2ff2">
    <w:name w:val="样式 报告正文 + 首行缩进:  2 字符"/>
    <w:basedOn w:val="a2"/>
    <w:link w:val="2Charf3"/>
    <w:qFormat/>
    <w:pPr>
      <w:spacing w:line="360" w:lineRule="auto"/>
      <w:ind w:firstLineChars="200" w:firstLine="200"/>
      <w:jc w:val="both"/>
    </w:pPr>
    <w:rPr>
      <w:rFonts w:cs="宋体"/>
      <w:sz w:val="24"/>
      <w:szCs w:val="22"/>
    </w:rPr>
  </w:style>
  <w:style w:type="character" w:customStyle="1" w:styleId="3Char11">
    <w:name w:val="正文文本 3 Char1"/>
    <w:locked/>
    <w:rPr>
      <w:kern w:val="2"/>
      <w:sz w:val="16"/>
    </w:rPr>
  </w:style>
  <w:style w:type="character" w:customStyle="1" w:styleId="caption1Char">
    <w:name w:val="caption1 Char"/>
    <w:link w:val="caption1"/>
    <w:rPr>
      <w:rFonts w:ascii="宋体"/>
      <w:sz w:val="24"/>
    </w:rPr>
  </w:style>
  <w:style w:type="paragraph" w:customStyle="1" w:styleId="caption1">
    <w:name w:val="caption1"/>
    <w:basedOn w:val="a2"/>
    <w:next w:val="a2"/>
    <w:link w:val="caption1Char"/>
    <w:qFormat/>
    <w:pPr>
      <w:spacing w:line="360" w:lineRule="atLeast"/>
      <w:jc w:val="center"/>
      <w:textAlignment w:val="baseline"/>
    </w:pPr>
    <w:rPr>
      <w:rFonts w:ascii="宋体"/>
      <w:sz w:val="24"/>
      <w:szCs w:val="22"/>
    </w:rPr>
  </w:style>
  <w:style w:type="character" w:customStyle="1" w:styleId="CharChar221">
    <w:name w:val="Char Char221"/>
    <w:rPr>
      <w:rFonts w:ascii="Calibri" w:eastAsia="宋体" w:hAnsi="Calibri" w:hint="default"/>
      <w:kern w:val="2"/>
      <w:sz w:val="24"/>
      <w:lang w:val="en-US" w:eastAsia="zh-CN" w:bidi="ar-SA"/>
    </w:rPr>
  </w:style>
  <w:style w:type="character" w:customStyle="1" w:styleId="CharCharCharCharCharCharCharCharCharCharCharCharCharCharCharCharCharChar">
    <w:name w:val="Char Char Char Char Char Char Char Char Char Char Char Char Char Char Char Char Char Char"/>
    <w:rPr>
      <w:rFonts w:ascii="宋体" w:eastAsia="宋体" w:hAnsi="宋体" w:cs="宋体"/>
      <w:b/>
      <w:bCs/>
      <w:color w:val="000000"/>
      <w:sz w:val="28"/>
      <w:szCs w:val="28"/>
      <w:lang w:val="en-US" w:eastAsia="zh-CN" w:bidi="ar-SA"/>
    </w:rPr>
  </w:style>
  <w:style w:type="character" w:customStyle="1" w:styleId="apple-converted-space">
    <w:name w:val="apple-converted-space"/>
  </w:style>
  <w:style w:type="character" w:customStyle="1" w:styleId="1CharChar1Char">
    <w:name w:val="正文样式1 Char Char1 Char"/>
    <w:rPr>
      <w:snapToGrid w:val="0"/>
      <w:position w:val="-12"/>
      <w:sz w:val="24"/>
      <w:szCs w:val="24"/>
    </w:rPr>
  </w:style>
  <w:style w:type="character" w:customStyle="1" w:styleId="tcnt3">
    <w:name w:val="tcnt3"/>
    <w:basedOn w:val="a4"/>
  </w:style>
  <w:style w:type="character" w:customStyle="1" w:styleId="CharCharffffd">
    <w:name w:val="表文 Char Char"/>
    <w:link w:val="afffffffffff5"/>
    <w:rPr>
      <w:sz w:val="24"/>
    </w:rPr>
  </w:style>
  <w:style w:type="paragraph" w:customStyle="1" w:styleId="afffffffffff5">
    <w:name w:val="表文"/>
    <w:basedOn w:val="a2"/>
    <w:link w:val="CharCharffffd"/>
    <w:qFormat/>
    <w:pPr>
      <w:jc w:val="center"/>
      <w:textAlignment w:val="baseline"/>
    </w:pPr>
    <w:rPr>
      <w:sz w:val="24"/>
      <w:szCs w:val="22"/>
    </w:rPr>
  </w:style>
  <w:style w:type="character" w:customStyle="1" w:styleId="CharChar74">
    <w:name w:val="Char Char74"/>
    <w:rPr>
      <w:rFonts w:ascii="Arial" w:eastAsia="黑体" w:hAnsi="Arial"/>
      <w:sz w:val="44"/>
      <w:lang w:val="en-US" w:eastAsia="zh-CN" w:bidi="ar-SA"/>
    </w:rPr>
  </w:style>
  <w:style w:type="character" w:customStyle="1" w:styleId="CharCharffffe">
    <w:name w:val="标题三 Char Char"/>
    <w:link w:val="afffffffffff6"/>
    <w:rPr>
      <w:rFonts w:ascii="Arial" w:eastAsia="黑体" w:hAnsi="Arial"/>
      <w:b/>
      <w:sz w:val="28"/>
    </w:rPr>
  </w:style>
  <w:style w:type="paragraph" w:customStyle="1" w:styleId="afffffffffff6">
    <w:name w:val="标题三"/>
    <w:basedOn w:val="32"/>
    <w:link w:val="CharCharffffe"/>
    <w:qFormat/>
    <w:pPr>
      <w:spacing w:before="120" w:after="0" w:line="360" w:lineRule="auto"/>
      <w:contextualSpacing/>
      <w:jc w:val="both"/>
    </w:pPr>
    <w:rPr>
      <w:rFonts w:eastAsia="黑体" w:hAnsi="Arial"/>
      <w:bCs w:val="0"/>
      <w:sz w:val="28"/>
      <w:szCs w:val="22"/>
    </w:rPr>
  </w:style>
  <w:style w:type="character" w:customStyle="1" w:styleId="7Char1">
    <w:name w:val="标题 7 Char1"/>
    <w:rPr>
      <w:rFonts w:ascii="宋体" w:hAnsi="宋体" w:cs="宋体"/>
      <w:b/>
      <w:bCs/>
      <w:sz w:val="24"/>
      <w:szCs w:val="24"/>
    </w:rPr>
  </w:style>
  <w:style w:type="character" w:customStyle="1" w:styleId="3CharChar12">
    <w:name w:val="标题 3 Char Char12"/>
    <w:rPr>
      <w:rFonts w:ascii="宋体" w:eastAsia="宋体" w:hAnsi="宋体" w:hint="eastAsia"/>
      <w:b/>
      <w:bCs/>
      <w:kern w:val="2"/>
      <w:sz w:val="32"/>
      <w:szCs w:val="32"/>
      <w:lang w:val="en-US" w:eastAsia="zh-CN" w:bidi="ar-SA"/>
    </w:rPr>
  </w:style>
  <w:style w:type="character" w:customStyle="1" w:styleId="style41">
    <w:name w:val="style41"/>
    <w:rPr>
      <w:b/>
      <w:bCs/>
      <w:sz w:val="21"/>
      <w:szCs w:val="21"/>
    </w:rPr>
  </w:style>
  <w:style w:type="character" w:customStyle="1" w:styleId="3CharChar8">
    <w:name w:val="样式 标题 3 + 加粗 Char Char"/>
    <w:rPr>
      <w:rFonts w:eastAsia="宋体"/>
      <w:b/>
      <w:bCs/>
      <w:snapToGrid w:val="0"/>
      <w:spacing w:val="20"/>
      <w:sz w:val="24"/>
      <w:szCs w:val="24"/>
      <w:lang w:val="en-US" w:eastAsia="zh-CN" w:bidi="ar-SA"/>
    </w:rPr>
  </w:style>
  <w:style w:type="character" w:customStyle="1" w:styleId="CharChar118">
    <w:name w:val="Char Char118"/>
    <w:link w:val="Char190"/>
    <w:rPr>
      <w:rFonts w:eastAsia="宋体"/>
      <w:szCs w:val="21"/>
    </w:rPr>
  </w:style>
  <w:style w:type="paragraph" w:customStyle="1" w:styleId="Char190">
    <w:name w:val="Char19"/>
    <w:basedOn w:val="a2"/>
    <w:link w:val="CharChar118"/>
    <w:qFormat/>
    <w:rPr>
      <w:rFonts w:eastAsia="宋体"/>
    </w:rPr>
  </w:style>
  <w:style w:type="character" w:customStyle="1" w:styleId="APMingLiUCharChar">
    <w:name w:val="样式 正文A + (中文) PMingLiU Char Char"/>
    <w:rPr>
      <w:rFonts w:ascii="宋体" w:eastAsia="宋体" w:hAnsi="宋体" w:cs="宋体" w:hint="eastAsia"/>
      <w:kern w:val="2"/>
      <w:sz w:val="24"/>
      <w:szCs w:val="24"/>
      <w:lang w:val="en-US" w:eastAsia="zh-CN" w:bidi="ar-SA"/>
    </w:rPr>
  </w:style>
  <w:style w:type="character" w:customStyle="1" w:styleId="m321">
    <w:name w:val="m_321"/>
  </w:style>
  <w:style w:type="character" w:customStyle="1" w:styleId="Char3f5">
    <w:name w:val="副标题 Char3"/>
    <w:uiPriority w:val="11"/>
    <w:rPr>
      <w:rFonts w:ascii="Cambria" w:eastAsia="宋体" w:hAnsi="Cambria" w:cs="Times New Roman"/>
      <w:b/>
      <w:bCs/>
      <w:kern w:val="28"/>
      <w:sz w:val="32"/>
      <w:szCs w:val="32"/>
    </w:rPr>
  </w:style>
  <w:style w:type="character" w:customStyle="1" w:styleId="CharChar214">
    <w:name w:val="Char Char214"/>
    <w:rPr>
      <w:rFonts w:eastAsia="微软简魏碑"/>
      <w:bCs/>
      <w:spacing w:val="8"/>
      <w:kern w:val="44"/>
      <w:sz w:val="44"/>
      <w:szCs w:val="44"/>
      <w:lang w:val="en-US" w:eastAsia="zh-CN" w:bidi="ar-SA"/>
    </w:rPr>
  </w:style>
  <w:style w:type="character" w:customStyle="1" w:styleId="23CharChar">
    <w:name w:val="样式 文字 + 首行缩进:  2 字符3 Char Char"/>
    <w:link w:val="230"/>
    <w:rPr>
      <w:rFonts w:eastAsia="仿宋_GB2312"/>
      <w:sz w:val="28"/>
    </w:rPr>
  </w:style>
  <w:style w:type="paragraph" w:customStyle="1" w:styleId="230">
    <w:name w:val="样式 文字 + 首行缩进:  2 字符3"/>
    <w:basedOn w:val="affffff5"/>
    <w:link w:val="23CharChar"/>
    <w:qFormat/>
    <w:rPr>
      <w:rFonts w:eastAsia="仿宋_GB2312"/>
      <w:sz w:val="28"/>
      <w:szCs w:val="22"/>
    </w:rPr>
  </w:style>
  <w:style w:type="character" w:customStyle="1" w:styleId="CharChar245">
    <w:name w:val="Char Char245"/>
    <w:rPr>
      <w:rFonts w:ascii="Arial" w:eastAsia="黑体" w:hAnsi="Arial"/>
      <w:b/>
      <w:bCs/>
      <w:kern w:val="2"/>
      <w:sz w:val="28"/>
      <w:szCs w:val="28"/>
      <w:lang w:val="en-US" w:eastAsia="zh-CN" w:bidi="ar-SA"/>
    </w:rPr>
  </w:style>
  <w:style w:type="character" w:customStyle="1" w:styleId="2Char">
    <w:name w:val="正文文本缩进 2 Char"/>
    <w:link w:val="25"/>
    <w:rPr>
      <w:szCs w:val="24"/>
    </w:rPr>
  </w:style>
  <w:style w:type="character" w:customStyle="1" w:styleId="1Charf6">
    <w:name w:val="表格1 Char"/>
    <w:link w:val="1ffd"/>
    <w:rPr>
      <w:rFonts w:ascii="CG Times (WN)" w:hAnsi="宋体"/>
      <w:sz w:val="24"/>
    </w:rPr>
  </w:style>
  <w:style w:type="paragraph" w:customStyle="1" w:styleId="1ffd">
    <w:name w:val="表格1"/>
    <w:basedOn w:val="a2"/>
    <w:link w:val="1Charf6"/>
    <w:qFormat/>
    <w:pPr>
      <w:spacing w:line="360" w:lineRule="atLeast"/>
      <w:jc w:val="center"/>
      <w:textAlignment w:val="baseline"/>
    </w:pPr>
    <w:rPr>
      <w:rFonts w:ascii="CG Times (WN)" w:hAnsi="宋体"/>
      <w:sz w:val="24"/>
      <w:szCs w:val="22"/>
    </w:rPr>
  </w:style>
  <w:style w:type="character" w:customStyle="1" w:styleId="GB2312093Char">
    <w:name w:val="样式 正文文字 + 楷体_GB2312 四号 首行缩进:  0.93 厘米 Char"/>
    <w:rPr>
      <w:rFonts w:eastAsia="楷体_GB2312"/>
      <w:spacing w:val="-4"/>
      <w:kern w:val="2"/>
      <w:sz w:val="28"/>
      <w:szCs w:val="28"/>
      <w:lang w:val="en-US" w:eastAsia="zh-CN" w:bidi="ar-SA"/>
    </w:rPr>
  </w:style>
  <w:style w:type="character" w:customStyle="1" w:styleId="CharCharCharCharCharChar7">
    <w:name w:val="暂定图表名 Char Char Char Char Char Char"/>
    <w:rPr>
      <w:rFonts w:eastAsia="楷体_GB2312"/>
      <w:b/>
      <w:color w:val="008000"/>
      <w:kern w:val="2"/>
      <w:sz w:val="28"/>
      <w:szCs w:val="28"/>
      <w:lang w:val="en-US" w:eastAsia="zh-CN" w:bidi="ar-SA"/>
    </w:rPr>
  </w:style>
  <w:style w:type="character" w:customStyle="1" w:styleId="1ffe">
    <w:name w:val="注释文本字符1"/>
    <w:uiPriority w:val="99"/>
    <w:semiHidden/>
    <w:rPr>
      <w:rFonts w:cs="Times New Roman"/>
      <w:kern w:val="2"/>
      <w:sz w:val="24"/>
      <w:szCs w:val="24"/>
    </w:rPr>
  </w:style>
  <w:style w:type="character" w:customStyle="1" w:styleId="px141">
    <w:name w:val="px141"/>
    <w:rPr>
      <w:sz w:val="21"/>
      <w:szCs w:val="21"/>
    </w:rPr>
  </w:style>
  <w:style w:type="character" w:customStyle="1" w:styleId="2Char22">
    <w:name w:val="正文文本缩进 2 Char2"/>
    <w:rPr>
      <w:rFonts w:ascii="Times New Roman" w:eastAsia="宋体" w:hAnsi="Times New Roman" w:cs="Times New Roman"/>
      <w:szCs w:val="24"/>
    </w:rPr>
  </w:style>
  <w:style w:type="character" w:customStyle="1" w:styleId="222CharChar">
    <w:name w:val="样式 样式 首行缩进:  2 字符 + 首行缩进:  2 字符2 Char Char"/>
    <w:rPr>
      <w:rFonts w:eastAsia="楷体_GB2312"/>
      <w:spacing w:val="6"/>
      <w:sz w:val="28"/>
      <w:lang w:val="en-US" w:eastAsia="zh-CN" w:bidi="ar-SA"/>
    </w:rPr>
  </w:style>
  <w:style w:type="character" w:customStyle="1" w:styleId="B-CharChar">
    <w:name w:val="B-四号正文 Char Char"/>
    <w:link w:val="B-"/>
    <w:rPr>
      <w:sz w:val="28"/>
      <w:szCs w:val="28"/>
    </w:rPr>
  </w:style>
  <w:style w:type="paragraph" w:customStyle="1" w:styleId="B-">
    <w:name w:val="B-四号正文"/>
    <w:basedOn w:val="a2"/>
    <w:link w:val="B-CharChar"/>
    <w:qFormat/>
    <w:pPr>
      <w:spacing w:line="360" w:lineRule="auto"/>
      <w:ind w:firstLineChars="200" w:firstLine="560"/>
      <w:jc w:val="both"/>
    </w:pPr>
    <w:rPr>
      <w:szCs w:val="28"/>
    </w:rPr>
  </w:style>
  <w:style w:type="character" w:customStyle="1" w:styleId="2Charf4">
    <w:name w:val="陈标题2 Char"/>
    <w:link w:val="20"/>
    <w:uiPriority w:val="99"/>
    <w:rPr>
      <w:rFonts w:ascii="宋体" w:hAnsi="宋体"/>
      <w:b/>
      <w:sz w:val="32"/>
      <w:szCs w:val="32"/>
    </w:rPr>
  </w:style>
  <w:style w:type="paragraph" w:customStyle="1" w:styleId="20">
    <w:name w:val="陈标题2"/>
    <w:basedOn w:val="a2"/>
    <w:next w:val="a2"/>
    <w:link w:val="2Charf4"/>
    <w:uiPriority w:val="99"/>
    <w:qFormat/>
    <w:pPr>
      <w:keepNext/>
      <w:keepLines/>
      <w:numPr>
        <w:ilvl w:val="1"/>
        <w:numId w:val="4"/>
      </w:numPr>
      <w:spacing w:line="360" w:lineRule="auto"/>
      <w:ind w:left="0"/>
      <w:jc w:val="both"/>
      <w:outlineLvl w:val="1"/>
    </w:pPr>
    <w:rPr>
      <w:rFonts w:ascii="宋体" w:hAnsi="宋体"/>
      <w:b/>
      <w:sz w:val="32"/>
      <w:szCs w:val="32"/>
    </w:rPr>
  </w:style>
  <w:style w:type="character" w:customStyle="1" w:styleId="Charffffffff2">
    <w:name w:val="样式正文 Char"/>
    <w:rPr>
      <w:rFonts w:eastAsia="宋体" w:cs="宋体"/>
      <w:kern w:val="2"/>
      <w:sz w:val="24"/>
      <w:szCs w:val="24"/>
      <w:lang w:val="en-US" w:eastAsia="zh-CN" w:bidi="ar-SA"/>
    </w:rPr>
  </w:style>
  <w:style w:type="character" w:customStyle="1" w:styleId="infodetail">
    <w:name w:val="infodetail"/>
    <w:basedOn w:val="a4"/>
  </w:style>
  <w:style w:type="character" w:customStyle="1" w:styleId="sublist-span3">
    <w:name w:val="sublist-span3"/>
    <w:basedOn w:val="a4"/>
  </w:style>
  <w:style w:type="character" w:customStyle="1" w:styleId="Charffffffff3">
    <w:name w:val="表文 Char"/>
    <w:locked/>
    <w:rPr>
      <w:rFonts w:ascii="Times New Roman" w:eastAsia="宋体" w:hAnsi="宋体" w:cs="Times New Roman"/>
      <w:color w:val="000000"/>
      <w:kern w:val="0"/>
      <w:position w:val="-24"/>
      <w:szCs w:val="21"/>
      <w:lang w:val="en-US" w:eastAsia="zh-CN"/>
    </w:rPr>
  </w:style>
  <w:style w:type="character" w:customStyle="1" w:styleId="grays">
    <w:name w:val="gray s"/>
    <w:basedOn w:val="a4"/>
  </w:style>
  <w:style w:type="character" w:customStyle="1" w:styleId="ttk">
    <w:name w:val="ttk"/>
    <w:basedOn w:val="a4"/>
  </w:style>
  <w:style w:type="character" w:customStyle="1" w:styleId="style4">
    <w:name w:val="style4"/>
  </w:style>
  <w:style w:type="character" w:customStyle="1" w:styleId="Charffffffff4">
    <w:name w:val="报告正文 Char"/>
    <w:rPr>
      <w:rFonts w:eastAsia="宋体"/>
      <w:snapToGrid w:val="0"/>
      <w:kern w:val="24"/>
      <w:sz w:val="24"/>
      <w:szCs w:val="21"/>
      <w:lang w:val="en-US" w:eastAsia="zh-CN" w:bidi="ar-SA"/>
    </w:rPr>
  </w:style>
  <w:style w:type="character" w:customStyle="1" w:styleId="Char3f6">
    <w:name w:val="页眉 Char3"/>
    <w:uiPriority w:val="99"/>
    <w:semiHidden/>
    <w:rPr>
      <w:kern w:val="2"/>
      <w:sz w:val="18"/>
      <w:szCs w:val="18"/>
    </w:rPr>
  </w:style>
  <w:style w:type="character" w:customStyle="1" w:styleId="Charffffffff5">
    <w:name w:val="表格 Char"/>
    <w:rPr>
      <w:rFonts w:ascii="宋体" w:eastAsia="宋体" w:hAnsi="宋体"/>
      <w:kern w:val="44"/>
      <w:sz w:val="21"/>
      <w:szCs w:val="24"/>
      <w:lang w:val="en-US" w:eastAsia="zh-CN" w:bidi="ar-SA"/>
    </w:rPr>
  </w:style>
  <w:style w:type="character" w:customStyle="1" w:styleId="4d">
    <w:name w:val="超链接4"/>
    <w:rPr>
      <w:color w:val="0000FF"/>
      <w:u w:val="single"/>
    </w:rPr>
  </w:style>
  <w:style w:type="character" w:customStyle="1" w:styleId="test1">
    <w:name w:val="test1"/>
    <w:rPr>
      <w:color w:val="000000"/>
      <w:sz w:val="19"/>
      <w:szCs w:val="19"/>
      <w:u w:val="none"/>
    </w:rPr>
  </w:style>
  <w:style w:type="character" w:customStyle="1" w:styleId="1Charf7">
    <w:name w:val="样式1 Char"/>
    <w:rPr>
      <w:rFonts w:ascii="黑体" w:eastAsia="黑体"/>
      <w:bCs/>
      <w:sz w:val="30"/>
      <w:szCs w:val="28"/>
      <w:lang w:val="en-US" w:eastAsia="zh-CN" w:bidi="ar-SA"/>
    </w:rPr>
  </w:style>
  <w:style w:type="character" w:customStyle="1" w:styleId="A13">
    <w:name w:val="A13"/>
    <w:rPr>
      <w:rFonts w:ascii="H Ya 6gj" w:eastAsia="H Ya 6gj" w:cs="H Ya 6gj"/>
      <w:color w:val="000000"/>
      <w:sz w:val="11"/>
      <w:szCs w:val="11"/>
    </w:rPr>
  </w:style>
  <w:style w:type="character" w:customStyle="1" w:styleId="Charffffffff6">
    <w:name w:val="表头（仿宋 小四） Char"/>
    <w:rPr>
      <w:rFonts w:ascii="仿宋_GB2312" w:eastAsia="仿宋_GB2312" w:hAnsi="宋体"/>
      <w:color w:val="000000"/>
      <w:sz w:val="24"/>
    </w:rPr>
  </w:style>
  <w:style w:type="character" w:customStyle="1" w:styleId="2CharChard">
    <w:name w:val="标题样式2 Char Char"/>
    <w:link w:val="2ff3"/>
    <w:rPr>
      <w:rFonts w:ascii="黑体" w:eastAsia="黑体" w:hAnsi="Arial"/>
      <w:b/>
      <w:bCs/>
      <w:sz w:val="28"/>
      <w:szCs w:val="28"/>
    </w:rPr>
  </w:style>
  <w:style w:type="paragraph" w:customStyle="1" w:styleId="2ff3">
    <w:name w:val="标题样式2"/>
    <w:basedOn w:val="22"/>
    <w:link w:val="2CharChard"/>
    <w:qFormat/>
    <w:pPr>
      <w:spacing w:before="0" w:after="0" w:line="360" w:lineRule="auto"/>
    </w:pPr>
    <w:rPr>
      <w:rFonts w:ascii="黑体" w:eastAsia="黑体" w:hAnsi="Arial" w:cstheme="minorBidi"/>
      <w:sz w:val="28"/>
      <w:szCs w:val="28"/>
    </w:rPr>
  </w:style>
  <w:style w:type="character" w:customStyle="1" w:styleId="GB231225Char">
    <w:name w:val="样式 仿宋_GB2312 四号 黑色 两端对齐 行距: 固定值 25 磅 Char"/>
    <w:link w:val="GB231225"/>
    <w:rPr>
      <w:rFonts w:ascii="仿宋_GB2312" w:eastAsia="仿宋_GB2312"/>
      <w:color w:val="000000"/>
      <w:sz w:val="28"/>
    </w:rPr>
  </w:style>
  <w:style w:type="paragraph" w:customStyle="1" w:styleId="GB231225">
    <w:name w:val="样式 仿宋_GB2312 四号 黑色 两端对齐 行距: 固定值 25 磅"/>
    <w:basedOn w:val="a2"/>
    <w:link w:val="GB231225Char"/>
    <w:qFormat/>
    <w:pPr>
      <w:spacing w:line="500" w:lineRule="exact"/>
      <w:ind w:firstLineChars="200" w:firstLine="560"/>
      <w:jc w:val="both"/>
    </w:pPr>
    <w:rPr>
      <w:rFonts w:ascii="仿宋_GB2312" w:eastAsia="仿宋_GB2312"/>
      <w:color w:val="000000"/>
      <w:szCs w:val="22"/>
    </w:rPr>
  </w:style>
  <w:style w:type="character" w:customStyle="1" w:styleId="1b1XWH1H11H12CharChar">
    <w:name w:val="样式 标题 1式样b标题 1XWH1H11H12 + 黑色 字距调整五号 Char Char"/>
    <w:locked/>
    <w:rPr>
      <w:rFonts w:ascii="Arial" w:eastAsia="黑体" w:hAnsi="Arial"/>
      <w:b/>
      <w:bCs/>
      <w:snapToGrid w:val="0"/>
      <w:color w:val="000000"/>
      <w:kern w:val="21"/>
      <w:sz w:val="44"/>
      <w:szCs w:val="44"/>
    </w:rPr>
  </w:style>
  <w:style w:type="character" w:customStyle="1" w:styleId="GB23122">
    <w:name w:val="样式 楷体_GB2312 四号"/>
    <w:rPr>
      <w:rFonts w:ascii="Times New Roman" w:eastAsia="楷体_GB2312" w:hAnsi="Times New Roman"/>
      <w:sz w:val="28"/>
      <w:szCs w:val="28"/>
    </w:rPr>
  </w:style>
  <w:style w:type="character" w:customStyle="1" w:styleId="Chara">
    <w:name w:val="正文文本缩进 Char"/>
    <w:link w:val="af5"/>
    <w:rPr>
      <w:szCs w:val="24"/>
    </w:rPr>
  </w:style>
  <w:style w:type="character" w:customStyle="1" w:styleId="Charffffffff7">
    <w:name w:val="图表名称 Char"/>
    <w:rPr>
      <w:rFonts w:ascii="宋体" w:eastAsia="宋体" w:hAnsi="宋体"/>
      <w:b/>
      <w:bCs/>
      <w:snapToGrid w:val="0"/>
      <w:sz w:val="24"/>
      <w:szCs w:val="24"/>
      <w:lang w:val="en-US" w:eastAsia="zh-CN" w:bidi="ar-SA"/>
    </w:rPr>
  </w:style>
  <w:style w:type="character" w:customStyle="1" w:styleId="Charffffffff8">
    <w:name w:val="文本正文 Char"/>
    <w:link w:val="afffffffffff7"/>
    <w:locked/>
    <w:rPr>
      <w:sz w:val="24"/>
      <w:szCs w:val="24"/>
    </w:rPr>
  </w:style>
  <w:style w:type="paragraph" w:customStyle="1" w:styleId="afffffffffff7">
    <w:name w:val="文本正文"/>
    <w:link w:val="Charffffffff8"/>
    <w:qFormat/>
    <w:pPr>
      <w:spacing w:beforeLines="50" w:before="50" w:afterLines="50" w:after="50" w:line="360" w:lineRule="auto"/>
      <w:ind w:firstLineChars="40" w:firstLine="480"/>
    </w:pPr>
    <w:rPr>
      <w:kern w:val="2"/>
      <w:sz w:val="24"/>
      <w:szCs w:val="24"/>
    </w:rPr>
  </w:style>
  <w:style w:type="character" w:customStyle="1" w:styleId="1Char20">
    <w:name w:val="标题 1 Char2"/>
    <w:rPr>
      <w:rFonts w:eastAsia="宋体"/>
      <w:b/>
      <w:bCs/>
      <w:kern w:val="44"/>
      <w:sz w:val="44"/>
      <w:szCs w:val="44"/>
      <w:lang w:val="en-US" w:eastAsia="zh-CN" w:bidi="ar-SA"/>
    </w:rPr>
  </w:style>
  <w:style w:type="character" w:customStyle="1" w:styleId="CharCharCharCharCharCharCharCharCharCharCharCharCharCharCharChar2">
    <w:name w:val="Char Char Char Char Char Char Char Char Char Char Char Char Char Char Char Char2"/>
    <w:rPr>
      <w:rFonts w:ascii="宋体" w:eastAsia="宋体" w:hAnsi="宋体" w:hint="eastAsia"/>
      <w:snapToGrid w:val="0"/>
      <w:sz w:val="18"/>
      <w:szCs w:val="24"/>
      <w:lang w:val="en-US" w:eastAsia="zh-CN" w:bidi="ar-SA"/>
    </w:rPr>
  </w:style>
  <w:style w:type="character" w:customStyle="1" w:styleId="copyright1">
    <w:name w:val="copyright1"/>
    <w:rPr>
      <w:rFonts w:ascii="Arial" w:hAnsi="Arial" w:cs="Arial" w:hint="default"/>
    </w:rPr>
  </w:style>
  <w:style w:type="character" w:customStyle="1" w:styleId="3Chare">
    <w:name w:val="表头（铸造）3 Char"/>
    <w:rPr>
      <w:rFonts w:eastAsia="方正宋黑简体"/>
      <w:b/>
      <w:kern w:val="2"/>
      <w:sz w:val="24"/>
      <w:szCs w:val="24"/>
      <w:lang w:val="en-US" w:eastAsia="zh-CN" w:bidi="ar-SA"/>
    </w:rPr>
  </w:style>
  <w:style w:type="character" w:customStyle="1" w:styleId="Batang116">
    <w:name w:val="正文文本 + Batang116"/>
    <w:rPr>
      <w:rFonts w:ascii="Batang" w:eastAsia="Batang" w:cs="Batang"/>
      <w:sz w:val="26"/>
      <w:szCs w:val="26"/>
      <w:u w:val="none"/>
      <w:lang w:val="en-US" w:eastAsia="en-US"/>
    </w:rPr>
  </w:style>
  <w:style w:type="character" w:customStyle="1" w:styleId="newtitle1">
    <w:name w:val="newtitle1"/>
    <w:rPr>
      <w:b/>
      <w:bCs/>
      <w:color w:val="104264"/>
    </w:rPr>
  </w:style>
  <w:style w:type="character" w:customStyle="1" w:styleId="Char2fc">
    <w:name w:val="批注主题 Char2"/>
    <w:rPr>
      <w:rFonts w:ascii="Times New Roman" w:eastAsia="宋体" w:hAnsi="Times New Roman" w:cs="Times New Roman"/>
      <w:b/>
      <w:bCs/>
      <w:szCs w:val="24"/>
    </w:rPr>
  </w:style>
  <w:style w:type="character" w:customStyle="1" w:styleId="2Charf5">
    <w:name w:val="样式2 Char"/>
    <w:link w:val="2ff4"/>
    <w:rPr>
      <w:rFonts w:ascii="黑体" w:eastAsia="黑体"/>
      <w:bCs/>
      <w:sz w:val="32"/>
      <w:szCs w:val="32"/>
    </w:rPr>
  </w:style>
  <w:style w:type="paragraph" w:customStyle="1" w:styleId="2ff4">
    <w:name w:val="样式2"/>
    <w:basedOn w:val="32"/>
    <w:link w:val="2Charf5"/>
    <w:qFormat/>
    <w:pPr>
      <w:tabs>
        <w:tab w:val="left" w:pos="4860"/>
        <w:tab w:val="left" w:pos="5040"/>
      </w:tabs>
      <w:spacing w:beforeLines="50" w:before="156" w:afterLines="50" w:after="156" w:line="240" w:lineRule="auto"/>
    </w:pPr>
    <w:rPr>
      <w:rFonts w:ascii="黑体" w:eastAsia="黑体"/>
      <w:b w:val="0"/>
    </w:rPr>
  </w:style>
  <w:style w:type="character" w:customStyle="1" w:styleId="GB23123">
    <w:name w:val="样式 (中文) 楷体_GB2312 四号"/>
    <w:rPr>
      <w:rFonts w:ascii="Times New Roman" w:eastAsia="楷体_GB2312" w:hAnsi="Times New Roman"/>
      <w:sz w:val="28"/>
      <w:szCs w:val="28"/>
    </w:rPr>
  </w:style>
  <w:style w:type="character" w:customStyle="1" w:styleId="Georgia1">
    <w:name w:val="正文文本 + Georgia1"/>
    <w:rPr>
      <w:rFonts w:ascii="Georgia" w:eastAsia="Arial Unicode MS" w:hAnsi="Georgia" w:cs="Georgia"/>
      <w:spacing w:val="20"/>
      <w:sz w:val="20"/>
      <w:szCs w:val="20"/>
      <w:u w:val="none"/>
    </w:rPr>
  </w:style>
  <w:style w:type="character" w:customStyle="1" w:styleId="newscontent">
    <w:name w:val="newscontent"/>
  </w:style>
  <w:style w:type="character" w:customStyle="1" w:styleId="articlecontent">
    <w:name w:val="articlecontent"/>
    <w:basedOn w:val="a4"/>
  </w:style>
  <w:style w:type="character" w:customStyle="1" w:styleId="f241">
    <w:name w:val="f241"/>
    <w:rPr>
      <w:sz w:val="24"/>
      <w:szCs w:val="24"/>
    </w:rPr>
  </w:style>
  <w:style w:type="character" w:customStyle="1" w:styleId="CharChar300">
    <w:name w:val="Char Char30"/>
    <w:locked/>
    <w:rPr>
      <w:rFonts w:ascii="宋体" w:eastAsia="宋体" w:hAnsi="宋体"/>
      <w:kern w:val="2"/>
      <w:sz w:val="21"/>
      <w:szCs w:val="24"/>
      <w:lang w:val="en-US" w:eastAsia="zh-CN" w:bidi="ar-SA"/>
    </w:rPr>
  </w:style>
  <w:style w:type="character" w:customStyle="1" w:styleId="CharChar33">
    <w:name w:val="Char Char33"/>
    <w:locked/>
    <w:rPr>
      <w:rFonts w:ascii="Arial" w:eastAsia="宋体" w:hAnsi="Arial" w:cs="Arial"/>
      <w:kern w:val="2"/>
      <w:sz w:val="24"/>
      <w:szCs w:val="24"/>
      <w:lang w:val="en-US" w:eastAsia="zh-CN" w:bidi="ar-SA"/>
    </w:rPr>
  </w:style>
  <w:style w:type="character" w:customStyle="1" w:styleId="CharCharfffff">
    <w:name w:val="图表 Char Char"/>
    <w:link w:val="afffffffffff8"/>
    <w:rPr>
      <w:b/>
      <w:sz w:val="28"/>
      <w:szCs w:val="28"/>
    </w:rPr>
  </w:style>
  <w:style w:type="paragraph" w:customStyle="1" w:styleId="afffffffffff8">
    <w:name w:val="图表"/>
    <w:basedOn w:val="ac"/>
    <w:link w:val="CharCharfffff"/>
    <w:qFormat/>
    <w:pPr>
      <w:keepNext/>
      <w:jc w:val="center"/>
    </w:pPr>
    <w:rPr>
      <w:rFonts w:asciiTheme="minorHAnsi" w:eastAsiaTheme="minorEastAsia" w:hAnsiTheme="minorHAnsi"/>
      <w:b/>
      <w:sz w:val="28"/>
      <w:szCs w:val="28"/>
    </w:rPr>
  </w:style>
  <w:style w:type="character" w:customStyle="1" w:styleId="p51">
    <w:name w:val="p51"/>
    <w:rPr>
      <w:sz w:val="21"/>
      <w:szCs w:val="21"/>
    </w:rPr>
  </w:style>
  <w:style w:type="character" w:customStyle="1" w:styleId="menu1">
    <w:name w:val="menu1"/>
    <w:rPr>
      <w:sz w:val="21"/>
    </w:rPr>
  </w:style>
  <w:style w:type="character" w:customStyle="1" w:styleId="Charffffffff9">
    <w:name w:val="样式 居中 Char"/>
    <w:rPr>
      <w:rFonts w:ascii="Times New Roman" w:hAnsi="Times New Roman"/>
      <w:kern w:val="10"/>
      <w:sz w:val="24"/>
      <w:szCs w:val="24"/>
    </w:rPr>
  </w:style>
  <w:style w:type="character" w:customStyle="1" w:styleId="tablecon">
    <w:name w:val="tablecon"/>
    <w:basedOn w:val="a4"/>
  </w:style>
  <w:style w:type="character" w:customStyle="1" w:styleId="CharChar210">
    <w:name w:val="Char Char210"/>
    <w:rPr>
      <w:rFonts w:eastAsia="宋体"/>
      <w:kern w:val="2"/>
      <w:sz w:val="21"/>
      <w:szCs w:val="24"/>
      <w:lang w:val="en-US" w:eastAsia="zh-CN" w:bidi="ar-SA"/>
    </w:rPr>
  </w:style>
  <w:style w:type="character" w:customStyle="1" w:styleId="style731">
    <w:name w:val="style731"/>
    <w:rPr>
      <w:sz w:val="22"/>
      <w:szCs w:val="22"/>
    </w:rPr>
  </w:style>
  <w:style w:type="character" w:customStyle="1" w:styleId="Charffffffffa">
    <w:name w:val="中文报告书 Char"/>
    <w:link w:val="afffffffffff9"/>
    <w:rPr>
      <w:sz w:val="24"/>
    </w:rPr>
  </w:style>
  <w:style w:type="paragraph" w:customStyle="1" w:styleId="afffffffffff9">
    <w:name w:val="中文报告书"/>
    <w:basedOn w:val="a2"/>
    <w:link w:val="Charffffffffa"/>
    <w:pPr>
      <w:autoSpaceDE/>
      <w:autoSpaceDN/>
      <w:spacing w:after="80" w:line="420" w:lineRule="atLeast"/>
      <w:ind w:firstLineChars="200" w:firstLine="200"/>
      <w:textAlignment w:val="baseline"/>
    </w:pPr>
    <w:rPr>
      <w:sz w:val="24"/>
      <w:szCs w:val="22"/>
    </w:rPr>
  </w:style>
  <w:style w:type="character" w:customStyle="1" w:styleId="CharChar272">
    <w:name w:val="Char Char272"/>
    <w:rPr>
      <w:rFonts w:eastAsia="黑体"/>
      <w:b/>
      <w:bCs/>
      <w:kern w:val="44"/>
      <w:sz w:val="36"/>
      <w:szCs w:val="44"/>
      <w:lang w:bidi="ar-SA"/>
    </w:rPr>
  </w:style>
  <w:style w:type="character" w:customStyle="1" w:styleId="3zw1">
    <w:name w:val="3zw1"/>
    <w:rPr>
      <w:color w:val="000000"/>
      <w:sz w:val="21"/>
      <w:szCs w:val="21"/>
    </w:rPr>
  </w:style>
  <w:style w:type="character" w:customStyle="1" w:styleId="Char3f7">
    <w:name w:val="批注文字 Char3"/>
    <w:uiPriority w:val="99"/>
    <w:semiHidden/>
    <w:rPr>
      <w:kern w:val="2"/>
      <w:sz w:val="21"/>
      <w:szCs w:val="22"/>
    </w:rPr>
  </w:style>
  <w:style w:type="character" w:customStyle="1" w:styleId="2H2Underrubrik1prop2Heading2HiddenHeading2CCBChar0">
    <w:name w:val="样式 标题 2H2（一）Underrubrik1prop2Heading 2 HiddenHeading 2 CCB... Char"/>
    <w:link w:val="2H2Underrubrik1prop2Heading2HiddenHeading2CCB0"/>
    <w:rPr>
      <w:b/>
      <w:bCs/>
      <w:sz w:val="30"/>
    </w:rPr>
  </w:style>
  <w:style w:type="character" w:customStyle="1" w:styleId="11CharChar">
    <w:name w:val="1.标题 1 Char Char"/>
    <w:rPr>
      <w:rFonts w:eastAsia="黑体"/>
      <w:b/>
      <w:kern w:val="44"/>
      <w:sz w:val="28"/>
      <w:szCs w:val="24"/>
      <w:lang w:val="en-US" w:eastAsia="zh-CN" w:bidi="ar-SA"/>
    </w:rPr>
  </w:style>
  <w:style w:type="character" w:customStyle="1" w:styleId="productallmaintext">
    <w:name w:val="product_all_main_text"/>
  </w:style>
  <w:style w:type="character" w:customStyle="1" w:styleId="Char1ff0">
    <w:name w:val="宏文本 Char1"/>
    <w:locked/>
    <w:rPr>
      <w:rFonts w:ascii="Courier New" w:hAnsi="Courier New"/>
      <w:kern w:val="2"/>
      <w:sz w:val="24"/>
    </w:rPr>
  </w:style>
  <w:style w:type="character" w:customStyle="1" w:styleId="3CharChar9">
    <w:name w:val="正文文本缩进 3 Char Char"/>
    <w:link w:val="313"/>
    <w:rPr>
      <w:rFonts w:ascii="楷体_GB2312" w:eastAsia="楷体_GB2312"/>
      <w:sz w:val="28"/>
    </w:rPr>
  </w:style>
  <w:style w:type="paragraph" w:customStyle="1" w:styleId="313">
    <w:name w:val="正文文本缩进 313"/>
    <w:basedOn w:val="a2"/>
    <w:link w:val="3CharChar9"/>
    <w:qFormat/>
    <w:pPr>
      <w:spacing w:after="120" w:line="360" w:lineRule="auto"/>
      <w:ind w:firstLine="567"/>
      <w:jc w:val="both"/>
      <w:textAlignment w:val="baseline"/>
    </w:pPr>
    <w:rPr>
      <w:rFonts w:ascii="楷体_GB2312"/>
      <w:szCs w:val="22"/>
    </w:rPr>
  </w:style>
  <w:style w:type="character" w:customStyle="1" w:styleId="Char1ff1">
    <w:name w:val="我的正文 Char1"/>
    <w:link w:val="afffffffffffa"/>
    <w:rPr>
      <w:rFonts w:ascii="华文仿宋" w:hAnsi="华文仿宋"/>
      <w:sz w:val="24"/>
      <w:szCs w:val="24"/>
    </w:rPr>
  </w:style>
  <w:style w:type="paragraph" w:customStyle="1" w:styleId="afffffffffffa">
    <w:name w:val="我的正文"/>
    <w:basedOn w:val="a2"/>
    <w:link w:val="Char1ff1"/>
    <w:qFormat/>
    <w:pPr>
      <w:snapToGrid w:val="0"/>
      <w:spacing w:beforeLines="50" w:before="156" w:after="120" w:line="360" w:lineRule="auto"/>
      <w:ind w:firstLineChars="200" w:firstLine="200"/>
      <w:jc w:val="both"/>
    </w:pPr>
    <w:rPr>
      <w:rFonts w:ascii="华文仿宋" w:hAnsi="华文仿宋"/>
      <w:sz w:val="24"/>
      <w:szCs w:val="24"/>
    </w:rPr>
  </w:style>
  <w:style w:type="character" w:customStyle="1" w:styleId="32Char">
    <w:name w:val="表格 32 Char"/>
    <w:link w:val="320"/>
    <w:qFormat/>
    <w:rPr>
      <w:sz w:val="24"/>
    </w:rPr>
  </w:style>
  <w:style w:type="paragraph" w:customStyle="1" w:styleId="320">
    <w:name w:val="表格 32"/>
    <w:basedOn w:val="a2"/>
    <w:link w:val="32Char"/>
    <w:qFormat/>
    <w:pPr>
      <w:jc w:val="center"/>
      <w:textAlignment w:val="baseline"/>
    </w:pPr>
    <w:rPr>
      <w:sz w:val="24"/>
      <w:szCs w:val="22"/>
    </w:rPr>
  </w:style>
  <w:style w:type="character" w:customStyle="1" w:styleId="TimesNewRomanCharChar2">
    <w:name w:val="样式 报告 + Times New Roman Char Char2"/>
    <w:qFormat/>
    <w:rPr>
      <w:rFonts w:eastAsia="宋体"/>
      <w:kern w:val="2"/>
      <w:sz w:val="28"/>
      <w:szCs w:val="28"/>
      <w:lang w:val="en-US" w:eastAsia="zh-CN" w:bidi="ar-SA"/>
    </w:rPr>
  </w:style>
  <w:style w:type="character" w:customStyle="1" w:styleId="Char2fd">
    <w:name w:val="表中文字 Char2"/>
    <w:qFormat/>
    <w:rPr>
      <w:rFonts w:eastAsia="宋体"/>
      <w:snapToGrid w:val="0"/>
      <w:sz w:val="21"/>
      <w:szCs w:val="21"/>
      <w:lang w:val="en-US" w:eastAsia="zh-TW" w:bidi="ar-SA"/>
    </w:rPr>
  </w:style>
  <w:style w:type="character" w:customStyle="1" w:styleId="Charffffffffb">
    <w:name w:val="图表标题 Char"/>
    <w:qFormat/>
    <w:rPr>
      <w:rFonts w:eastAsia="宋体"/>
      <w:kern w:val="2"/>
      <w:sz w:val="21"/>
      <w:szCs w:val="24"/>
      <w:lang w:val="en-US" w:eastAsia="zh-CN" w:bidi="ar-SA"/>
    </w:rPr>
  </w:style>
  <w:style w:type="character" w:customStyle="1" w:styleId="chenChar1">
    <w:name w:val="谏壁正文chen Char"/>
    <w:qFormat/>
    <w:rPr>
      <w:rFonts w:eastAsia="宋体"/>
      <w:kern w:val="2"/>
      <w:sz w:val="24"/>
      <w:szCs w:val="24"/>
      <w:lang w:val="en-US" w:eastAsia="zh-CN" w:bidi="ar-SA"/>
    </w:rPr>
  </w:style>
  <w:style w:type="character" w:customStyle="1" w:styleId="CharCharCharChar7">
    <w:name w:val="正文样式 Char Char Char Char"/>
    <w:qFormat/>
    <w:rPr>
      <w:rFonts w:ascii="宋体" w:eastAsia="宋体" w:hAnsi="宋体"/>
      <w:color w:val="000000"/>
      <w:kern w:val="2"/>
      <w:sz w:val="24"/>
      <w:szCs w:val="24"/>
      <w:lang w:val="en-US" w:eastAsia="zh-CN" w:bidi="ar-SA"/>
    </w:rPr>
  </w:style>
  <w:style w:type="character" w:customStyle="1" w:styleId="newscontent1">
    <w:name w:val="newscontent1"/>
    <w:qFormat/>
    <w:rPr>
      <w:sz w:val="20"/>
      <w:szCs w:val="20"/>
      <w:u w:val="none"/>
    </w:rPr>
  </w:style>
  <w:style w:type="character" w:customStyle="1" w:styleId="Charffffffffc">
    <w:name w:val="表格题注 Char"/>
    <w:rPr>
      <w:rFonts w:ascii="宋体" w:eastAsia="宋体" w:hAnsi="宋体" w:cs="宋体"/>
      <w:snapToGrid w:val="0"/>
      <w:kern w:val="24"/>
      <w:sz w:val="24"/>
      <w:szCs w:val="24"/>
      <w:lang w:val="en-US" w:eastAsia="zh-CN" w:bidi="ar-SA"/>
    </w:rPr>
  </w:style>
  <w:style w:type="character" w:customStyle="1" w:styleId="f9wen">
    <w:name w:val="f9wen"/>
    <w:basedOn w:val="a4"/>
  </w:style>
  <w:style w:type="character" w:customStyle="1" w:styleId="ljx1CharChar">
    <w:name w:val="ljx正文1 Char Char"/>
    <w:link w:val="ljx1"/>
    <w:rPr>
      <w:sz w:val="28"/>
    </w:rPr>
  </w:style>
  <w:style w:type="paragraph" w:customStyle="1" w:styleId="ljx1">
    <w:name w:val="ljx正文1"/>
    <w:basedOn w:val="a2"/>
    <w:link w:val="ljx1CharChar"/>
    <w:qFormat/>
    <w:pPr>
      <w:jc w:val="both"/>
      <w:textAlignment w:val="baseline"/>
    </w:pPr>
    <w:rPr>
      <w:szCs w:val="22"/>
    </w:rPr>
  </w:style>
  <w:style w:type="character" w:customStyle="1" w:styleId="CharCharfffff0">
    <w:name w:val="注释标题 Char Char"/>
    <w:link w:val="1fff"/>
  </w:style>
  <w:style w:type="paragraph" w:customStyle="1" w:styleId="1fff">
    <w:name w:val="注释标题1"/>
    <w:basedOn w:val="a2"/>
    <w:next w:val="a2"/>
    <w:link w:val="CharCharfffff0"/>
    <w:qFormat/>
    <w:pPr>
      <w:jc w:val="center"/>
    </w:pPr>
    <w:rPr>
      <w:szCs w:val="22"/>
    </w:rPr>
  </w:style>
  <w:style w:type="character" w:customStyle="1" w:styleId="CharChar216">
    <w:name w:val="Char Char216"/>
    <w:rPr>
      <w:rFonts w:ascii="Calibri" w:eastAsia="宋体" w:hAnsi="Calibri"/>
      <w:b/>
      <w:kern w:val="2"/>
      <w:sz w:val="24"/>
      <w:lang w:val="en-US" w:eastAsia="zh-CN" w:bidi="ar-SA"/>
    </w:rPr>
  </w:style>
  <w:style w:type="character" w:customStyle="1" w:styleId="CharCharfffff1">
    <w:name w:val="表蕊居中 Char Char"/>
    <w:link w:val="afffffffffffb"/>
    <w:rPr>
      <w:spacing w:val="8"/>
      <w:szCs w:val="28"/>
    </w:rPr>
  </w:style>
  <w:style w:type="paragraph" w:customStyle="1" w:styleId="afffffffffffb">
    <w:name w:val="表蕊居中"/>
    <w:link w:val="CharCharfffff1"/>
    <w:qFormat/>
    <w:pPr>
      <w:spacing w:beforeLines="50" w:before="50" w:afterLines="50" w:after="50" w:line="320" w:lineRule="exact"/>
      <w:ind w:firstLineChars="40" w:firstLine="40"/>
      <w:jc w:val="center"/>
    </w:pPr>
    <w:rPr>
      <w:spacing w:val="8"/>
      <w:kern w:val="2"/>
      <w:sz w:val="21"/>
      <w:szCs w:val="28"/>
    </w:rPr>
  </w:style>
  <w:style w:type="character" w:customStyle="1" w:styleId="30Char">
    <w:name w:val="样式 四号 行距: 固定值 30 磅 Char"/>
    <w:link w:val="300"/>
    <w:rPr>
      <w:rFonts w:ascii="宋体" w:hAnsi="宋体" w:cs="宋体"/>
      <w:spacing w:val="14"/>
      <w:sz w:val="24"/>
      <w:szCs w:val="24"/>
    </w:rPr>
  </w:style>
  <w:style w:type="paragraph" w:customStyle="1" w:styleId="300">
    <w:name w:val="样式 四号 行距: 固定值 30 磅"/>
    <w:basedOn w:val="a2"/>
    <w:link w:val="30Char"/>
    <w:pPr>
      <w:autoSpaceDE/>
      <w:autoSpaceDN/>
      <w:adjustRightInd/>
      <w:spacing w:line="360" w:lineRule="auto"/>
      <w:ind w:firstLineChars="200" w:firstLine="536"/>
      <w:jc w:val="both"/>
    </w:pPr>
    <w:rPr>
      <w:rFonts w:ascii="宋体" w:hAnsi="宋体" w:cs="宋体"/>
      <w:spacing w:val="14"/>
      <w:sz w:val="24"/>
      <w:szCs w:val="24"/>
    </w:rPr>
  </w:style>
  <w:style w:type="character" w:customStyle="1" w:styleId="normal1">
    <w:name w:val="normal1"/>
    <w:rPr>
      <w:rFonts w:ascii="Verdana" w:hAnsi="Verdana" w:hint="default"/>
      <w:spacing w:val="15"/>
      <w:sz w:val="18"/>
      <w:szCs w:val="18"/>
    </w:rPr>
  </w:style>
  <w:style w:type="character" w:customStyle="1" w:styleId="Charffffffffd">
    <w:name w:val="标题五 Char"/>
    <w:link w:val="afffffffffffc"/>
    <w:rPr>
      <w:szCs w:val="24"/>
    </w:rPr>
  </w:style>
  <w:style w:type="paragraph" w:customStyle="1" w:styleId="afffffffffffc">
    <w:name w:val="标题五"/>
    <w:basedOn w:val="2ff4"/>
    <w:link w:val="Charffffffffd"/>
    <w:qFormat/>
    <w:pPr>
      <w:keepNext w:val="0"/>
      <w:keepLines w:val="0"/>
      <w:tabs>
        <w:tab w:val="clear" w:pos="4860"/>
        <w:tab w:val="clear" w:pos="5040"/>
        <w:tab w:val="left" w:pos="720"/>
      </w:tabs>
      <w:spacing w:beforeLines="0" w:before="0" w:afterLines="0" w:after="0" w:line="460" w:lineRule="exact"/>
      <w:ind w:left="720" w:hanging="720"/>
      <w:jc w:val="both"/>
      <w:outlineLvl w:val="9"/>
    </w:pPr>
    <w:rPr>
      <w:rFonts w:asciiTheme="minorHAnsi" w:eastAsiaTheme="minorEastAsia"/>
      <w:bCs w:val="0"/>
      <w:sz w:val="21"/>
      <w:szCs w:val="24"/>
    </w:rPr>
  </w:style>
  <w:style w:type="character" w:customStyle="1" w:styleId="Batang104">
    <w:name w:val="正文文本 + Batang104"/>
    <w:rPr>
      <w:rFonts w:ascii="Batang" w:eastAsia="Batang" w:cs="Batang"/>
      <w:sz w:val="19"/>
      <w:szCs w:val="19"/>
      <w:u w:val="none"/>
      <w:lang w:val="en-US" w:eastAsia="en-US"/>
    </w:rPr>
  </w:style>
  <w:style w:type="character" w:customStyle="1" w:styleId="13CharChar">
    <w:name w:val="标题 13 Char Char"/>
    <w:rPr>
      <w:rFonts w:ascii="Arial Unicode MS" w:eastAsia="Arial Unicode MS" w:hAnsi="Arial Unicode MS" w:cs="Arial Unicode MS"/>
      <w:b/>
      <w:bCs/>
      <w:color w:val="000000"/>
      <w:kern w:val="2"/>
      <w:sz w:val="27"/>
      <w:szCs w:val="27"/>
      <w:lang w:val="en-US" w:eastAsia="zh-CN" w:bidi="ar-SA"/>
    </w:rPr>
  </w:style>
  <w:style w:type="character" w:customStyle="1" w:styleId="33Char">
    <w:name w:val="正文文字缩进 33 Char"/>
    <w:rPr>
      <w:rFonts w:eastAsia="宋体"/>
      <w:kern w:val="2"/>
      <w:sz w:val="16"/>
      <w:szCs w:val="16"/>
      <w:lang w:val="en-US" w:eastAsia="zh-CN" w:bidi="ar-SA"/>
    </w:rPr>
  </w:style>
  <w:style w:type="character" w:customStyle="1" w:styleId="Charffffffffe">
    <w:name w:val="脚注文本 Char"/>
    <w:rPr>
      <w:kern w:val="2"/>
      <w:sz w:val="18"/>
      <w:szCs w:val="18"/>
    </w:rPr>
  </w:style>
  <w:style w:type="character" w:customStyle="1" w:styleId="Charfffffffff">
    <w:name w:val="条款 Char"/>
    <w:rPr>
      <w:rFonts w:ascii="Times New Roman" w:hAnsi="宋体"/>
      <w:sz w:val="24"/>
      <w:szCs w:val="24"/>
    </w:rPr>
  </w:style>
  <w:style w:type="character" w:customStyle="1" w:styleId="2CharChare">
    <w:name w:val="黄桥标题2 Char Char"/>
    <w:link w:val="2ff5"/>
    <w:rPr>
      <w:rFonts w:eastAsia="宋体" w:cs="宋体"/>
      <w:b/>
      <w:sz w:val="28"/>
      <w:szCs w:val="28"/>
    </w:rPr>
  </w:style>
  <w:style w:type="paragraph" w:customStyle="1" w:styleId="2ff5">
    <w:name w:val="黄桥标题2"/>
    <w:basedOn w:val="a2"/>
    <w:next w:val="a2"/>
    <w:link w:val="2CharChare"/>
    <w:qFormat/>
    <w:pPr>
      <w:keepNext/>
      <w:keepLines/>
      <w:widowControl/>
      <w:spacing w:line="360" w:lineRule="auto"/>
      <w:outlineLvl w:val="1"/>
    </w:pPr>
    <w:rPr>
      <w:rFonts w:eastAsia="宋体" w:cs="宋体"/>
      <w:b/>
      <w:szCs w:val="28"/>
    </w:rPr>
  </w:style>
  <w:style w:type="character" w:customStyle="1" w:styleId="2Charf6">
    <w:name w:val="样式 正文缩进 + 首行缩进:  2 字符 Char"/>
    <w:rPr>
      <w:rFonts w:ascii="宋体" w:hAnsi="宋体"/>
      <w:sz w:val="24"/>
      <w:szCs w:val="24"/>
    </w:rPr>
  </w:style>
  <w:style w:type="character" w:customStyle="1" w:styleId="51Char">
    <w:name w:val="（5）1 Char"/>
    <w:rPr>
      <w:rFonts w:ascii="宋体" w:eastAsia="宋体" w:hAnsi="Arial"/>
      <w:kern w:val="2"/>
      <w:sz w:val="24"/>
      <w:lang w:val="en-US" w:eastAsia="zh-CN" w:bidi="ar-SA"/>
    </w:rPr>
  </w:style>
  <w:style w:type="character" w:customStyle="1" w:styleId="CharCharfffff2">
    <w:name w:val="样式 正文文字 + (中文) 宋体 Char Char"/>
    <w:link w:val="afffffffffffd"/>
    <w:rPr>
      <w:sz w:val="28"/>
      <w:szCs w:val="28"/>
    </w:rPr>
  </w:style>
  <w:style w:type="paragraph" w:customStyle="1" w:styleId="afffffffffffd">
    <w:name w:val="样式 正文文字 + (中文) 宋体"/>
    <w:basedOn w:val="afffffffffffe"/>
    <w:link w:val="CharCharfffff2"/>
    <w:qFormat/>
    <w:pPr>
      <w:snapToGrid w:val="0"/>
      <w:ind w:firstLineChars="200" w:firstLine="200"/>
    </w:pPr>
    <w:rPr>
      <w:rFonts w:eastAsiaTheme="minorEastAsia"/>
    </w:rPr>
  </w:style>
  <w:style w:type="paragraph" w:customStyle="1" w:styleId="afffffffffffe">
    <w:name w:val="正文文字"/>
    <w:basedOn w:val="a2"/>
    <w:qFormat/>
    <w:pPr>
      <w:spacing w:line="360" w:lineRule="auto"/>
      <w:ind w:firstLine="567"/>
    </w:pPr>
    <w:rPr>
      <w:rFonts w:eastAsia="仿宋_GB2312"/>
      <w:szCs w:val="28"/>
    </w:rPr>
  </w:style>
  <w:style w:type="character" w:customStyle="1" w:styleId="hhcwtChar1">
    <w:name w:val="hhcwt表格内文字 Char"/>
    <w:rPr>
      <w:rFonts w:eastAsia="仿宋_GB2312" w:cs="宋体"/>
      <w:kern w:val="2"/>
      <w:sz w:val="21"/>
      <w:szCs w:val="21"/>
      <w:lang w:val="en-US" w:eastAsia="zh-CN" w:bidi="ar-SA"/>
    </w:rPr>
  </w:style>
  <w:style w:type="character" w:customStyle="1" w:styleId="CharCharfffff3">
    <w:name w:val="正文标准格式 Char Char"/>
    <w:rPr>
      <w:rFonts w:eastAsia="仿宋_GB2312"/>
      <w:color w:val="000000"/>
      <w:kern w:val="2"/>
      <w:sz w:val="28"/>
      <w:szCs w:val="28"/>
      <w:lang w:val="en-US" w:eastAsia="zh-CN"/>
    </w:rPr>
  </w:style>
  <w:style w:type="character" w:customStyle="1" w:styleId="yqlink">
    <w:name w:val="yqlink"/>
    <w:basedOn w:val="a4"/>
  </w:style>
  <w:style w:type="character" w:customStyle="1" w:styleId="Char4f">
    <w:name w:val="结束语 Char4"/>
    <w:rPr>
      <w:kern w:val="2"/>
      <w:sz w:val="24"/>
      <w:szCs w:val="24"/>
    </w:rPr>
  </w:style>
  <w:style w:type="character" w:customStyle="1" w:styleId="CharChar263">
    <w:name w:val="Char Char263"/>
    <w:rPr>
      <w:rFonts w:eastAsia="宋体"/>
      <w:b/>
      <w:kern w:val="44"/>
      <w:sz w:val="30"/>
      <w:szCs w:val="28"/>
      <w:lang w:bidi="ar-SA"/>
    </w:rPr>
  </w:style>
  <w:style w:type="character" w:customStyle="1" w:styleId="CharCharChar12">
    <w:name w:val="Char Char Char12"/>
  </w:style>
  <w:style w:type="character" w:customStyle="1" w:styleId="Char1ff2">
    <w:name w:val="正文(首行缩进) Char1"/>
    <w:link w:val="affffffffffff"/>
    <w:rPr>
      <w:rFonts w:ascii="宋体" w:hAnsi="宋体"/>
      <w:color w:val="000000"/>
    </w:rPr>
  </w:style>
  <w:style w:type="paragraph" w:customStyle="1" w:styleId="affffffffffff">
    <w:name w:val="正文(首行缩进)"/>
    <w:basedOn w:val="a2"/>
    <w:link w:val="Char1ff2"/>
    <w:qFormat/>
    <w:pPr>
      <w:snapToGrid w:val="0"/>
      <w:spacing w:line="360" w:lineRule="auto"/>
      <w:ind w:firstLineChars="200" w:firstLine="420"/>
      <w:jc w:val="both"/>
    </w:pPr>
    <w:rPr>
      <w:rFonts w:ascii="宋体" w:hAnsi="宋体"/>
      <w:color w:val="000000"/>
      <w:szCs w:val="22"/>
    </w:rPr>
  </w:style>
  <w:style w:type="character" w:customStyle="1" w:styleId="managename">
    <w:name w:val="manage_name"/>
  </w:style>
  <w:style w:type="character" w:customStyle="1" w:styleId="Char140">
    <w:name w:val="Char14"/>
    <w:rPr>
      <w:rFonts w:ascii="仿宋_GB2312" w:eastAsia="仿宋_GB2312" w:hint="eastAsia"/>
      <w:b/>
      <w:kern w:val="44"/>
      <w:sz w:val="32"/>
      <w:szCs w:val="44"/>
      <w:lang w:val="en-US" w:eastAsia="zh-CN" w:bidi="ar-SA"/>
    </w:rPr>
  </w:style>
  <w:style w:type="character" w:customStyle="1" w:styleId="CharChar43">
    <w:name w:val="Char Char43"/>
    <w:rPr>
      <w:rFonts w:eastAsia="微软简老宋"/>
      <w:bCs/>
      <w:spacing w:val="8"/>
      <w:sz w:val="28"/>
      <w:szCs w:val="32"/>
      <w:lang w:val="en-US" w:eastAsia="zh-CN" w:bidi="ar-SA"/>
    </w:rPr>
  </w:style>
  <w:style w:type="character" w:customStyle="1" w:styleId="11p">
    <w:name w:val="11p"/>
    <w:basedOn w:val="a4"/>
  </w:style>
  <w:style w:type="character" w:customStyle="1" w:styleId="CharChar202">
    <w:name w:val="Char Char202"/>
    <w:rPr>
      <w:rFonts w:ascii="Arial" w:eastAsia="黑体" w:hAnsi="Arial"/>
      <w:kern w:val="2"/>
      <w:sz w:val="24"/>
      <w:lang w:val="en-US" w:eastAsia="zh-CN" w:bidi="ar-SA"/>
    </w:rPr>
  </w:style>
  <w:style w:type="character" w:customStyle="1" w:styleId="name">
    <w:name w:val="name"/>
  </w:style>
  <w:style w:type="character" w:customStyle="1" w:styleId="p9">
    <w:name w:val="p9"/>
    <w:rPr>
      <w:rFonts w:cs="Times New Roman"/>
    </w:rPr>
  </w:style>
  <w:style w:type="character" w:customStyle="1" w:styleId="unnamed11">
    <w:name w:val="unnamed11"/>
    <w:rPr>
      <w:color w:val="000000"/>
      <w:sz w:val="18"/>
      <w:u w:val="none"/>
    </w:rPr>
  </w:style>
  <w:style w:type="character" w:customStyle="1" w:styleId="98CharChar">
    <w:name w:val="样式98 Char Char"/>
    <w:link w:val="98"/>
    <w:rPr>
      <w:rFonts w:eastAsia="仿宋_GB2312"/>
      <w:bCs/>
      <w:color w:val="000000"/>
      <w:szCs w:val="21"/>
    </w:rPr>
  </w:style>
  <w:style w:type="paragraph" w:customStyle="1" w:styleId="98">
    <w:name w:val="样式98"/>
    <w:basedOn w:val="910"/>
    <w:link w:val="98CharChar"/>
    <w:qFormat/>
    <w:pPr>
      <w:spacing w:before="0" w:line="300" w:lineRule="exact"/>
    </w:pPr>
    <w:rPr>
      <w:rFonts w:eastAsia="仿宋_GB2312"/>
    </w:rPr>
  </w:style>
  <w:style w:type="character" w:customStyle="1" w:styleId="CharCharfffff4">
    <w:name w:val="样式 报告书表格 + 五号 Char Char"/>
    <w:link w:val="affffffffffff0"/>
    <w:rPr>
      <w:szCs w:val="21"/>
    </w:rPr>
  </w:style>
  <w:style w:type="paragraph" w:customStyle="1" w:styleId="affffffffffff0">
    <w:name w:val="样式 报告书表格 + 五号"/>
    <w:basedOn w:val="afffd"/>
    <w:link w:val="CharCharfffff4"/>
    <w:qFormat/>
    <w:pPr>
      <w:tabs>
        <w:tab w:val="center" w:pos="4540"/>
        <w:tab w:val="right" w:pos="8505"/>
      </w:tabs>
      <w:snapToGrid w:val="0"/>
      <w:spacing w:line="240" w:lineRule="auto"/>
      <w:jc w:val="both"/>
    </w:pPr>
    <w:rPr>
      <w:rFonts w:eastAsiaTheme="minorEastAsia"/>
      <w:sz w:val="21"/>
      <w:szCs w:val="21"/>
    </w:rPr>
  </w:style>
  <w:style w:type="character" w:customStyle="1" w:styleId="btCharChar1">
    <w:name w:val="bt Char Char1"/>
    <w:rPr>
      <w:rFonts w:eastAsia="宋体"/>
      <w:kern w:val="2"/>
      <w:sz w:val="18"/>
      <w:szCs w:val="24"/>
      <w:lang w:val="en-US" w:eastAsia="zh-CN" w:bidi="ar-SA"/>
    </w:rPr>
  </w:style>
  <w:style w:type="character" w:customStyle="1" w:styleId="Char4f0">
    <w:name w:val="标题 Char4"/>
    <w:uiPriority w:val="10"/>
    <w:rPr>
      <w:rFonts w:ascii="Cambria" w:eastAsia="宋体" w:hAnsi="Cambria" w:cs="Times New Roman"/>
      <w:b/>
      <w:bCs/>
      <w:sz w:val="32"/>
      <w:szCs w:val="32"/>
    </w:rPr>
  </w:style>
  <w:style w:type="character" w:customStyle="1" w:styleId="m201">
    <w:name w:val="m_201"/>
    <w:qFormat/>
  </w:style>
  <w:style w:type="character" w:customStyle="1" w:styleId="CharChar212">
    <w:name w:val="Char Char212"/>
    <w:rPr>
      <w:rFonts w:ascii="Calibri" w:eastAsia="宋体" w:hAnsi="Calibri"/>
      <w:b/>
      <w:kern w:val="2"/>
      <w:sz w:val="24"/>
      <w:lang w:val="en-US" w:eastAsia="zh-CN" w:bidi="ar-SA"/>
    </w:rPr>
  </w:style>
  <w:style w:type="character" w:customStyle="1" w:styleId="Charf3">
    <w:name w:val="副标题 Char"/>
    <w:link w:val="aff1"/>
    <w:rPr>
      <w:rFonts w:ascii="Arial" w:hAnsi="Arial" w:cs="Arial"/>
      <w:b/>
      <w:bCs/>
      <w:kern w:val="28"/>
      <w:sz w:val="32"/>
      <w:szCs w:val="32"/>
    </w:rPr>
  </w:style>
  <w:style w:type="character" w:customStyle="1" w:styleId="CharCharCharCharChar30">
    <w:name w:val="Char Char Char Char Char3"/>
    <w:rPr>
      <w:rFonts w:eastAsia="宋体"/>
      <w:kern w:val="2"/>
      <w:sz w:val="24"/>
      <w:szCs w:val="24"/>
      <w:lang w:val="en-US" w:eastAsia="zh-CN" w:bidi="ar-SA"/>
    </w:rPr>
  </w:style>
  <w:style w:type="character" w:customStyle="1" w:styleId="CharCharfffff5">
    <w:name w:val="宁联正文 Char Char"/>
    <w:link w:val="affffffffffff1"/>
    <w:rPr>
      <w:rFonts w:eastAsia="仿宋_GB2312"/>
      <w:sz w:val="28"/>
      <w:szCs w:val="28"/>
    </w:rPr>
  </w:style>
  <w:style w:type="paragraph" w:customStyle="1" w:styleId="affffffffffff1">
    <w:name w:val="宁联正文"/>
    <w:basedOn w:val="a2"/>
    <w:link w:val="CharCharfffff5"/>
    <w:qFormat/>
    <w:pPr>
      <w:snapToGrid w:val="0"/>
      <w:spacing w:line="360" w:lineRule="auto"/>
      <w:ind w:firstLineChars="200" w:firstLine="200"/>
    </w:pPr>
    <w:rPr>
      <w:rFonts w:eastAsia="仿宋_GB2312"/>
      <w:szCs w:val="28"/>
    </w:rPr>
  </w:style>
  <w:style w:type="character" w:customStyle="1" w:styleId="style6">
    <w:name w:val="style6"/>
    <w:basedOn w:val="a4"/>
  </w:style>
  <w:style w:type="character" w:customStyle="1" w:styleId="HTMLChar10">
    <w:name w:val="HTML 预设格式 Char1"/>
    <w:locked/>
    <w:rPr>
      <w:rFonts w:ascii="宋体" w:eastAsia="宋体"/>
      <w:sz w:val="24"/>
    </w:rPr>
  </w:style>
  <w:style w:type="character" w:customStyle="1" w:styleId="Char2CharChar">
    <w:name w:val="Char2 Char Char"/>
    <w:link w:val="Char210"/>
    <w:rPr>
      <w:sz w:val="24"/>
      <w:szCs w:val="24"/>
    </w:rPr>
  </w:style>
  <w:style w:type="paragraph" w:customStyle="1" w:styleId="Char210">
    <w:name w:val="Char21"/>
    <w:basedOn w:val="a2"/>
    <w:link w:val="Char2CharChar"/>
    <w:qFormat/>
    <w:rPr>
      <w:sz w:val="24"/>
      <w:szCs w:val="24"/>
    </w:rPr>
  </w:style>
  <w:style w:type="character" w:customStyle="1" w:styleId="EmailStyle249">
    <w:name w:val="EmailStyle249"/>
    <w:rPr>
      <w:rFonts w:ascii="Arial" w:eastAsia="宋体" w:hAnsi="Arial" w:cs="Arial"/>
      <w:color w:val="000080"/>
      <w:sz w:val="18"/>
      <w:szCs w:val="20"/>
    </w:rPr>
  </w:style>
  <w:style w:type="character" w:customStyle="1" w:styleId="ParaCharCharChar1CharCharCharCharCharCharCharCharCharCharChar">
    <w:name w:val="默认段落字体 Para Char Char Char1 Char Char Char Char Char Char Char Char Char Char Char"/>
    <w:rPr>
      <w:rFonts w:eastAsia="宋体"/>
      <w:kern w:val="2"/>
      <w:sz w:val="24"/>
      <w:szCs w:val="24"/>
      <w:lang w:val="en-US" w:eastAsia="zh-CN" w:bidi="ar-SA"/>
    </w:rPr>
  </w:style>
  <w:style w:type="character" w:customStyle="1" w:styleId="englishfontChar1Char1">
    <w:name w:val="englishfont Char1 Char1"/>
    <w:link w:val="englishfontChar1"/>
    <w:rPr>
      <w:rFonts w:ascii="Arial" w:hAnsi="Arial"/>
      <w:bCs/>
      <w:sz w:val="18"/>
      <w:szCs w:val="24"/>
    </w:rPr>
  </w:style>
  <w:style w:type="paragraph" w:customStyle="1" w:styleId="englishfontChar1">
    <w:name w:val="englishfont Char1"/>
    <w:basedOn w:val="a2"/>
    <w:link w:val="englishfontChar1Char1"/>
    <w:qFormat/>
    <w:pPr>
      <w:jc w:val="both"/>
    </w:pPr>
    <w:rPr>
      <w:rFonts w:hAnsi="Arial"/>
      <w:bCs/>
      <w:sz w:val="18"/>
      <w:szCs w:val="24"/>
    </w:rPr>
  </w:style>
  <w:style w:type="character" w:customStyle="1" w:styleId="Charfffffffff0">
    <w:name w:val="海港表头 Char"/>
    <w:rPr>
      <w:rFonts w:eastAsia="仿宋_GB2312" w:cs="宋体"/>
      <w:kern w:val="21"/>
      <w:sz w:val="21"/>
      <w:szCs w:val="24"/>
      <w:lang w:val="en-US" w:eastAsia="zh-CN" w:bidi="ar-SA"/>
    </w:rPr>
  </w:style>
  <w:style w:type="character" w:customStyle="1" w:styleId="CharCharfffff6">
    <w:name w:val="黄桥表头 Char Char"/>
    <w:link w:val="affffffffffff2"/>
    <w:rPr>
      <w:rFonts w:eastAsia="宋体" w:cs="宋体"/>
      <w:b/>
      <w:bCs/>
      <w:sz w:val="24"/>
      <w:szCs w:val="24"/>
    </w:rPr>
  </w:style>
  <w:style w:type="paragraph" w:customStyle="1" w:styleId="affffffffffff2">
    <w:name w:val="黄桥表头"/>
    <w:basedOn w:val="a2"/>
    <w:link w:val="CharCharfffff6"/>
    <w:qFormat/>
    <w:pPr>
      <w:widowControl/>
      <w:spacing w:beforeLines="20" w:before="62" w:afterLines="30" w:after="93"/>
      <w:jc w:val="center"/>
    </w:pPr>
    <w:rPr>
      <w:rFonts w:eastAsia="宋体" w:cs="宋体"/>
      <w:b/>
      <w:bCs/>
      <w:sz w:val="24"/>
      <w:szCs w:val="24"/>
    </w:rPr>
  </w:style>
  <w:style w:type="character" w:customStyle="1" w:styleId="CharCharfffff7">
    <w:name w:val="款名 Char Char"/>
    <w:link w:val="affffffffffff3"/>
    <w:rPr>
      <w:rFonts w:hAnsi="宋体"/>
      <w:b/>
      <w:sz w:val="24"/>
      <w:szCs w:val="24"/>
    </w:rPr>
  </w:style>
  <w:style w:type="paragraph" w:customStyle="1" w:styleId="affffffffffff3">
    <w:name w:val="款名"/>
    <w:basedOn w:val="a2"/>
    <w:link w:val="CharCharfffff7"/>
    <w:qFormat/>
    <w:pPr>
      <w:spacing w:beforeLines="50" w:before="156" w:afterLines="50" w:after="156" w:line="360" w:lineRule="auto"/>
      <w:textAlignment w:val="baseline"/>
    </w:pPr>
    <w:rPr>
      <w:rFonts w:hAnsi="宋体"/>
      <w:b/>
      <w:sz w:val="24"/>
      <w:szCs w:val="24"/>
    </w:rPr>
  </w:style>
  <w:style w:type="character" w:customStyle="1" w:styleId="105v1">
    <w:name w:val="105v1"/>
    <w:rPr>
      <w:rFonts w:ascii="宋体" w:eastAsia="宋体" w:hAnsi="宋体"/>
      <w:sz w:val="21"/>
    </w:rPr>
  </w:style>
  <w:style w:type="character" w:customStyle="1" w:styleId="CharCharfffff8">
    <w:name w:val="王涵 表格 Char Char"/>
    <w:link w:val="affffffffffff4"/>
    <w:rPr>
      <w:rFonts w:eastAsia="Times New Roman" w:hAnsi="宋体"/>
      <w:szCs w:val="21"/>
    </w:rPr>
  </w:style>
  <w:style w:type="paragraph" w:customStyle="1" w:styleId="affffffffffff4">
    <w:name w:val="王涵 表格"/>
    <w:basedOn w:val="a2"/>
    <w:link w:val="CharCharfffff8"/>
    <w:qFormat/>
    <w:pPr>
      <w:jc w:val="center"/>
    </w:pPr>
    <w:rPr>
      <w:rFonts w:eastAsia="Times New Roman" w:hAnsi="宋体"/>
    </w:rPr>
  </w:style>
  <w:style w:type="character" w:customStyle="1" w:styleId="CharChar1b">
    <w:name w:val="无页眉 Char Char1"/>
    <w:qFormat/>
    <w:rPr>
      <w:rFonts w:eastAsia="宋体"/>
      <w:kern w:val="2"/>
      <w:sz w:val="18"/>
      <w:szCs w:val="18"/>
      <w:lang w:val="en-US" w:eastAsia="zh-CN" w:bidi="ar-SA"/>
    </w:rPr>
  </w:style>
  <w:style w:type="character" w:customStyle="1" w:styleId="CharCharfffff9">
    <w:name w:val="表格文字 Char Char"/>
    <w:rPr>
      <w:rFonts w:ascii="仿宋_GB2312" w:eastAsia="仿宋_GB2312" w:hAnsi="Arial Black"/>
      <w:kern w:val="44"/>
      <w:sz w:val="24"/>
      <w:lang w:val="en-US" w:eastAsia="zh-CN" w:bidi="ar-SA"/>
    </w:rPr>
  </w:style>
  <w:style w:type="character" w:customStyle="1" w:styleId="CharChar91">
    <w:name w:val="Char Char91"/>
    <w:rPr>
      <w:rFonts w:ascii="宋体" w:eastAsia="宋体" w:hAnsi="Courier New"/>
      <w:sz w:val="21"/>
      <w:lang w:val="en-US" w:eastAsia="zh-CN" w:bidi="ar-SA"/>
    </w:rPr>
  </w:style>
  <w:style w:type="character" w:customStyle="1" w:styleId="style231">
    <w:name w:val="style231"/>
    <w:rPr>
      <w:color w:val="666666"/>
      <w:sz w:val="20"/>
      <w:szCs w:val="20"/>
    </w:rPr>
  </w:style>
  <w:style w:type="character" w:customStyle="1" w:styleId="f3">
    <w:name w:val="f3"/>
    <w:basedOn w:val="a4"/>
  </w:style>
  <w:style w:type="character" w:customStyle="1" w:styleId="f11-160-nonestyle2">
    <w:name w:val="f11-160-none style2"/>
    <w:basedOn w:val="a4"/>
  </w:style>
  <w:style w:type="character" w:customStyle="1" w:styleId="CharChar162">
    <w:name w:val="Char Char162"/>
    <w:rPr>
      <w:rFonts w:ascii="宋体" w:eastAsia="宋体" w:hAnsi="Courier New"/>
      <w:sz w:val="21"/>
      <w:lang w:val="en-US" w:eastAsia="zh-CN" w:bidi="ar-SA"/>
    </w:rPr>
  </w:style>
  <w:style w:type="character" w:customStyle="1" w:styleId="content1">
    <w:name w:val="content1"/>
  </w:style>
  <w:style w:type="character" w:customStyle="1" w:styleId="l151">
    <w:name w:val="l151"/>
    <w:basedOn w:val="a4"/>
  </w:style>
  <w:style w:type="character" w:customStyle="1" w:styleId="131pt">
    <w:name w:val="正文文本 (13) + 间距 1 pt"/>
    <w:rPr>
      <w:rFonts w:ascii="Batang" w:eastAsia="Batang" w:cs="Batang"/>
      <w:spacing w:val="20"/>
      <w:sz w:val="26"/>
      <w:szCs w:val="26"/>
      <w:u w:val="none"/>
      <w:lang w:val="en-US" w:eastAsia="en-US"/>
    </w:rPr>
  </w:style>
  <w:style w:type="character" w:customStyle="1" w:styleId="Charfffffffff1">
    <w:name w:val="批注引用 Char"/>
    <w:rPr>
      <w:rFonts w:cs="Times New Roman"/>
      <w:color w:val="000000"/>
      <w:sz w:val="21"/>
      <w:u w:color="000000"/>
      <w:lang w:val="en-US" w:eastAsia="zh-CN"/>
    </w:rPr>
  </w:style>
  <w:style w:type="character" w:customStyle="1" w:styleId="12font1">
    <w:name w:val="12font1"/>
    <w:rPr>
      <w:sz w:val="18"/>
    </w:rPr>
  </w:style>
  <w:style w:type="character" w:customStyle="1" w:styleId="CharChar183">
    <w:name w:val="Char Char183"/>
    <w:rPr>
      <w:snapToGrid/>
      <w:spacing w:val="10"/>
      <w:sz w:val="24"/>
    </w:rPr>
  </w:style>
  <w:style w:type="character" w:customStyle="1" w:styleId="a121">
    <w:name w:val="a121"/>
    <w:rPr>
      <w:rFonts w:hint="default"/>
      <w:color w:val="000000"/>
      <w:sz w:val="20"/>
      <w:szCs w:val="20"/>
    </w:rPr>
  </w:style>
  <w:style w:type="character" w:customStyle="1" w:styleId="ttitle1">
    <w:name w:val="ttitle1"/>
    <w:rPr>
      <w:spacing w:val="120"/>
      <w:sz w:val="21"/>
      <w:szCs w:val="21"/>
    </w:rPr>
  </w:style>
  <w:style w:type="character" w:customStyle="1" w:styleId="HTMLChar30">
    <w:name w:val="HTML 地址 Char3"/>
    <w:uiPriority w:val="99"/>
    <w:semiHidden/>
    <w:rPr>
      <w:i/>
      <w:iCs/>
    </w:rPr>
  </w:style>
  <w:style w:type="character" w:customStyle="1" w:styleId="affffffffffff5">
    <w:name w:val="样式 黑体 四号"/>
    <w:rPr>
      <w:rFonts w:ascii="黑体" w:eastAsia="宋体" w:hAnsi="黑体"/>
      <w:sz w:val="28"/>
    </w:rPr>
  </w:style>
  <w:style w:type="character" w:customStyle="1" w:styleId="Charf6">
    <w:name w:val="标题 Char"/>
    <w:link w:val="aff7"/>
    <w:rPr>
      <w:rFonts w:ascii="Arial" w:hAnsi="Arial" w:cs="Arial"/>
      <w:b/>
      <w:bCs/>
      <w:sz w:val="32"/>
      <w:szCs w:val="32"/>
    </w:rPr>
  </w:style>
  <w:style w:type="character" w:customStyle="1" w:styleId="4Char11">
    <w:name w:val="标题 4 Char1"/>
    <w:rPr>
      <w:rFonts w:ascii="Arial" w:eastAsia="黑体" w:hAnsi="Arial"/>
      <w:b/>
      <w:bCs/>
      <w:kern w:val="2"/>
      <w:sz w:val="28"/>
      <w:szCs w:val="28"/>
      <w:lang w:val="en-US" w:eastAsia="zh-CN" w:bidi="ar-SA"/>
    </w:rPr>
  </w:style>
  <w:style w:type="character" w:customStyle="1" w:styleId="f141">
    <w:name w:val="f141"/>
    <w:rPr>
      <w:sz w:val="22"/>
      <w:szCs w:val="22"/>
    </w:rPr>
  </w:style>
  <w:style w:type="character" w:customStyle="1" w:styleId="4CharCharChar">
    <w:name w:val="样式4 Char Char Char"/>
    <w:link w:val="4Char2"/>
    <w:rPr>
      <w:rFonts w:eastAsia="仿宋_GB2312"/>
      <w:sz w:val="28"/>
      <w:szCs w:val="24"/>
    </w:rPr>
  </w:style>
  <w:style w:type="paragraph" w:customStyle="1" w:styleId="4Char2">
    <w:name w:val="样式4 Char"/>
    <w:basedOn w:val="a2"/>
    <w:link w:val="4CharCharChar"/>
    <w:qFormat/>
    <w:pPr>
      <w:ind w:firstLineChars="200" w:firstLine="200"/>
      <w:jc w:val="both"/>
    </w:pPr>
    <w:rPr>
      <w:rFonts w:eastAsia="仿宋_GB2312"/>
      <w:szCs w:val="24"/>
    </w:rPr>
  </w:style>
  <w:style w:type="character" w:customStyle="1" w:styleId="Char4f1">
    <w:name w:val="日期 Char4"/>
    <w:uiPriority w:val="99"/>
    <w:semiHidden/>
  </w:style>
  <w:style w:type="character" w:customStyle="1" w:styleId="black1">
    <w:name w:val="black1"/>
    <w:rPr>
      <w:color w:val="000000"/>
      <w:sz w:val="18"/>
      <w:szCs w:val="18"/>
      <w:u w:val="none"/>
    </w:rPr>
  </w:style>
  <w:style w:type="character" w:customStyle="1" w:styleId="EmailStyle4391">
    <w:name w:val="EmailStyle4391"/>
    <w:rPr>
      <w:rFonts w:ascii="Arial" w:eastAsia="宋体" w:hAnsi="Arial" w:cs="Arial"/>
      <w:color w:val="000080"/>
      <w:sz w:val="18"/>
      <w:szCs w:val="20"/>
    </w:rPr>
  </w:style>
  <w:style w:type="character" w:customStyle="1" w:styleId="item21">
    <w:name w:val="item21"/>
    <w:rPr>
      <w:color w:val="000000"/>
      <w:sz w:val="18"/>
      <w:szCs w:val="18"/>
    </w:rPr>
  </w:style>
  <w:style w:type="character" w:customStyle="1" w:styleId="8Char0">
    <w:name w:val="样式8 Char"/>
    <w:link w:val="84"/>
    <w:rPr>
      <w:rFonts w:eastAsia="楷体_GB2312"/>
      <w:b/>
      <w:bCs/>
      <w:sz w:val="32"/>
      <w:szCs w:val="24"/>
    </w:rPr>
  </w:style>
  <w:style w:type="paragraph" w:customStyle="1" w:styleId="84">
    <w:name w:val="样式8"/>
    <w:basedOn w:val="22"/>
    <w:link w:val="8Char0"/>
    <w:qFormat/>
    <w:pPr>
      <w:snapToGrid w:val="0"/>
      <w:spacing w:before="0" w:after="0" w:line="360" w:lineRule="auto"/>
      <w:jc w:val="both"/>
    </w:pPr>
    <w:rPr>
      <w:rFonts w:asciiTheme="minorHAnsi" w:eastAsia="楷体_GB2312" w:hAnsiTheme="minorHAnsi" w:cstheme="minorBidi"/>
      <w:szCs w:val="24"/>
    </w:rPr>
  </w:style>
  <w:style w:type="character" w:customStyle="1" w:styleId="1CharChara">
    <w:name w:val="样式标题1 Char Char"/>
    <w:link w:val="1fff0"/>
    <w:rPr>
      <w:rFonts w:eastAsia="黑体" w:cs="宋体"/>
      <w:kern w:val="44"/>
      <w:sz w:val="36"/>
      <w:lang w:val="zh-CN"/>
    </w:rPr>
  </w:style>
  <w:style w:type="paragraph" w:customStyle="1" w:styleId="1fff0">
    <w:name w:val="样式标题1"/>
    <w:basedOn w:val="a2"/>
    <w:link w:val="1CharChara"/>
    <w:qFormat/>
    <w:pPr>
      <w:keepNext/>
      <w:keepLines/>
      <w:spacing w:before="120" w:after="120" w:line="336" w:lineRule="auto"/>
      <w:outlineLvl w:val="0"/>
    </w:pPr>
    <w:rPr>
      <w:rFonts w:eastAsia="黑体" w:cs="宋体"/>
      <w:kern w:val="44"/>
      <w:sz w:val="36"/>
      <w:szCs w:val="22"/>
      <w:lang w:val="zh-CN"/>
    </w:rPr>
  </w:style>
  <w:style w:type="character" w:customStyle="1" w:styleId="Charfffffffff2">
    <w:name w:val="样式 自动设置 Char"/>
    <w:rPr>
      <w:rFonts w:ascii="Times New Roman" w:eastAsia="宋体" w:hAnsi="Times New Roman" w:cs="宋体"/>
      <w:sz w:val="24"/>
      <w:szCs w:val="24"/>
    </w:rPr>
  </w:style>
  <w:style w:type="character" w:customStyle="1" w:styleId="Charfffffffff3">
    <w:name w:val="带括号的正文 Char"/>
    <w:rPr>
      <w:rFonts w:ascii="Times New Roman" w:eastAsia="宋体" w:hAnsi="Times New Roman" w:cs="Times New Roman"/>
      <w:sz w:val="24"/>
      <w:szCs w:val="28"/>
    </w:rPr>
  </w:style>
  <w:style w:type="character" w:customStyle="1" w:styleId="Char1ff3">
    <w:name w:val="正文文本缩进 Char1"/>
    <w:rPr>
      <w:kern w:val="2"/>
      <w:sz w:val="21"/>
      <w:szCs w:val="22"/>
    </w:rPr>
  </w:style>
  <w:style w:type="character" w:customStyle="1" w:styleId="cChar">
    <w:name w:val="网格型c Char"/>
    <w:rPr>
      <w:rFonts w:eastAsia="宋体"/>
      <w:kern w:val="2"/>
      <w:sz w:val="21"/>
      <w:szCs w:val="21"/>
      <w:lang w:val="en-US" w:eastAsia="zh-CN" w:bidi="ar-SA"/>
    </w:rPr>
  </w:style>
  <w:style w:type="character" w:customStyle="1" w:styleId="21Char">
    <w:name w:val="正文文字 21 Char"/>
    <w:rPr>
      <w:rFonts w:eastAsia="宋体"/>
      <w:kern w:val="2"/>
      <w:sz w:val="21"/>
      <w:szCs w:val="24"/>
      <w:lang w:val="en-US" w:eastAsia="zh-CN" w:bidi="ar-SA"/>
    </w:rPr>
  </w:style>
  <w:style w:type="character" w:customStyle="1" w:styleId="124">
    <w:name w:val="标题12"/>
  </w:style>
  <w:style w:type="character" w:customStyle="1" w:styleId="142CharChar">
    <w:name w:val="样式 样式 宋体 小四 行距: 多倍行距 1.4 字行2 + 黑色 Char Char"/>
    <w:link w:val="142"/>
    <w:rPr>
      <w:rFonts w:ascii="宋体" w:eastAsia="宋体" w:hAnsi="宋体" w:cs="宋体"/>
      <w:color w:val="000000"/>
      <w:sz w:val="24"/>
    </w:rPr>
  </w:style>
  <w:style w:type="paragraph" w:customStyle="1" w:styleId="142">
    <w:name w:val="样式 样式 宋体 小四 行距: 多倍行距 1.4 字行2 + 黑色"/>
    <w:basedOn w:val="a2"/>
    <w:link w:val="142CharChar"/>
    <w:qFormat/>
    <w:pPr>
      <w:spacing w:line="336" w:lineRule="auto"/>
      <w:ind w:firstLineChars="200" w:firstLine="480"/>
    </w:pPr>
    <w:rPr>
      <w:rFonts w:ascii="宋体" w:eastAsia="宋体" w:hAnsi="宋体" w:cs="宋体"/>
      <w:color w:val="000000"/>
      <w:sz w:val="24"/>
      <w:szCs w:val="22"/>
    </w:rPr>
  </w:style>
  <w:style w:type="character" w:customStyle="1" w:styleId="74">
    <w:name w:val="表格标题7"/>
    <w:rPr>
      <w:rFonts w:ascii="宋体" w:eastAsia="宋体" w:cs="宋体"/>
      <w:sz w:val="21"/>
      <w:szCs w:val="21"/>
      <w:u w:val="none"/>
    </w:rPr>
  </w:style>
  <w:style w:type="character" w:customStyle="1" w:styleId="Charfffffffff4">
    <w:name w:val="沁漠图标题 Char"/>
    <w:link w:val="affffffffffff6"/>
    <w:rPr>
      <w:rFonts w:hAnsi="宋体"/>
      <w:b/>
      <w:bCs/>
      <w:sz w:val="24"/>
      <w:szCs w:val="24"/>
    </w:rPr>
  </w:style>
  <w:style w:type="paragraph" w:customStyle="1" w:styleId="affffffffffff6">
    <w:name w:val="沁漠图标题"/>
    <w:basedOn w:val="affffff6"/>
    <w:link w:val="Charfffffffff4"/>
    <w:qFormat/>
    <w:pPr>
      <w:spacing w:beforeLines="0" w:before="0" w:afterLines="50" w:after="120"/>
    </w:pPr>
  </w:style>
  <w:style w:type="character" w:customStyle="1" w:styleId="CharChar243">
    <w:name w:val="Char Char243"/>
    <w:qFormat/>
    <w:rPr>
      <w:rFonts w:ascii="Arial" w:eastAsia="黑体" w:hAnsi="Arial"/>
      <w:b/>
      <w:bCs/>
      <w:kern w:val="2"/>
      <w:sz w:val="28"/>
      <w:szCs w:val="28"/>
      <w:lang w:val="en-US" w:eastAsia="zh-CN" w:bidi="ar-SA"/>
    </w:rPr>
  </w:style>
  <w:style w:type="character" w:customStyle="1" w:styleId="1Charf8">
    <w:name w:val="正文（首行缩进两字）1 Char"/>
    <w:qFormat/>
    <w:rPr>
      <w:rFonts w:ascii="仿宋_GB2312" w:eastAsia="长城仿宋体"/>
      <w:kern w:val="2"/>
      <w:sz w:val="28"/>
      <w:lang w:val="en-US" w:eastAsia="zh-CN" w:bidi="ar-SA"/>
    </w:rPr>
  </w:style>
  <w:style w:type="character" w:customStyle="1" w:styleId="0Char">
    <w:name w:val="表头0 Char"/>
    <w:link w:val="0"/>
    <w:qFormat/>
    <w:rPr>
      <w:rFonts w:ascii="Arial" w:hAnsi="Arial"/>
      <w:b/>
      <w:spacing w:val="-5"/>
      <w:lang w:bidi="en-US"/>
    </w:rPr>
  </w:style>
  <w:style w:type="paragraph" w:customStyle="1" w:styleId="0">
    <w:name w:val="表头0"/>
    <w:basedOn w:val="a2"/>
    <w:link w:val="0Char"/>
    <w:qFormat/>
    <w:pPr>
      <w:widowControl/>
      <w:autoSpaceDE/>
      <w:autoSpaceDN/>
      <w:adjustRightInd/>
      <w:spacing w:line="240" w:lineRule="exact"/>
      <w:jc w:val="center"/>
    </w:pPr>
    <w:rPr>
      <w:rFonts w:hAnsi="Arial"/>
      <w:b/>
      <w:spacing w:val="-5"/>
      <w:szCs w:val="22"/>
      <w:lang w:bidi="en-US"/>
    </w:rPr>
  </w:style>
  <w:style w:type="character" w:customStyle="1" w:styleId="33CharCharh3H3level3PIM3Level3HeadHeadin1Char">
    <w:name w:val="样式 标题 3标题 3 Char Char头h3H3level_3PIM 3Level 3 HeadHeadin...1 Char"/>
    <w:link w:val="33CharCharh3H3level3PIM3Level3HeadHeadin1"/>
    <w:qFormat/>
    <w:rPr>
      <w:rFonts w:ascii="仿宋_GB2312" w:eastAsia="仿宋_GB2312" w:hAnsi="宋体"/>
      <w:b/>
      <w:bCs/>
      <w:color w:val="000000"/>
      <w:sz w:val="28"/>
      <w:szCs w:val="32"/>
    </w:rPr>
  </w:style>
  <w:style w:type="paragraph" w:customStyle="1" w:styleId="33CharCharh3H3level3PIM3Level3HeadHeadin1">
    <w:name w:val="样式 标题 3标题 3 Char Char头h3H3level_3PIM 3Level 3 HeadHeadin...1"/>
    <w:basedOn w:val="32"/>
    <w:link w:val="33CharCharh3H3level3PIM3Level3HeadHeadin1Char"/>
    <w:qFormat/>
    <w:pPr>
      <w:spacing w:before="0" w:after="0" w:line="500" w:lineRule="exact"/>
      <w:jc w:val="both"/>
    </w:pPr>
    <w:rPr>
      <w:rFonts w:ascii="仿宋_GB2312" w:eastAsia="仿宋_GB2312" w:hAnsi="宋体"/>
      <w:color w:val="000000"/>
      <w:sz w:val="28"/>
    </w:rPr>
  </w:style>
  <w:style w:type="character" w:customStyle="1" w:styleId="lv14b1">
    <w:name w:val="lv14b1"/>
    <w:qFormat/>
    <w:rPr>
      <w:b/>
      <w:bCs/>
      <w:color w:val="009900"/>
      <w:sz w:val="21"/>
      <w:szCs w:val="21"/>
      <w:u w:val="none"/>
    </w:rPr>
  </w:style>
  <w:style w:type="character" w:customStyle="1" w:styleId="BCharChar0">
    <w:name w:val="正文B Char Char"/>
    <w:link w:val="B0"/>
    <w:qFormat/>
    <w:rPr>
      <w:rFonts w:eastAsia="楷体_GB2312"/>
      <w:spacing w:val="8"/>
      <w:sz w:val="28"/>
    </w:rPr>
  </w:style>
  <w:style w:type="paragraph" w:customStyle="1" w:styleId="B0">
    <w:name w:val="正文B"/>
    <w:basedOn w:val="a2"/>
    <w:link w:val="BCharChar0"/>
    <w:qFormat/>
    <w:pPr>
      <w:spacing w:line="390" w:lineRule="exact"/>
      <w:ind w:firstLine="601"/>
      <w:jc w:val="both"/>
      <w:textAlignment w:val="baseline"/>
    </w:pPr>
    <w:rPr>
      <w:spacing w:val="8"/>
      <w:szCs w:val="22"/>
    </w:rPr>
  </w:style>
  <w:style w:type="character" w:customStyle="1" w:styleId="2Char2">
    <w:name w:val="正文首行缩进 2 Char"/>
    <w:link w:val="2a"/>
    <w:rPr>
      <w:szCs w:val="24"/>
    </w:rPr>
  </w:style>
  <w:style w:type="character" w:customStyle="1" w:styleId="CharChar122">
    <w:name w:val="Char Char122"/>
  </w:style>
  <w:style w:type="character" w:customStyle="1" w:styleId="382Char">
    <w:name w:val="样式 样式 样式38 + 黑色 + 首行缩进:  2 字符 Char"/>
    <w:rPr>
      <w:rFonts w:ascii="宋体" w:eastAsia="仿宋_GB2312" w:hAnsi="宋体" w:cs="宋体"/>
      <w:color w:val="000000"/>
      <w:kern w:val="2"/>
      <w:sz w:val="28"/>
      <w:lang w:val="en-US" w:eastAsia="zh-CN" w:bidi="ar-SA"/>
    </w:rPr>
  </w:style>
  <w:style w:type="character" w:customStyle="1" w:styleId="CharChar53">
    <w:name w:val="Char Char53"/>
    <w:locked/>
    <w:rPr>
      <w:rFonts w:ascii="宋体" w:eastAsia="宋体" w:hAnsi="宋体"/>
      <w:kern w:val="2"/>
      <w:sz w:val="21"/>
      <w:szCs w:val="24"/>
      <w:lang w:val="en-US" w:eastAsia="zh-CN" w:bidi="ar-SA"/>
    </w:rPr>
  </w:style>
  <w:style w:type="character" w:customStyle="1" w:styleId="2CharCharf">
    <w:name w:val="公式 首行缩进:  2 字符 Char Char"/>
    <w:link w:val="2ff6"/>
    <w:rPr>
      <w:rFonts w:eastAsia="宋体" w:cs="宋体"/>
      <w:sz w:val="24"/>
      <w:szCs w:val="24"/>
    </w:rPr>
  </w:style>
  <w:style w:type="paragraph" w:customStyle="1" w:styleId="2ff6">
    <w:name w:val="公式 首行缩进:  2 字符"/>
    <w:basedOn w:val="a2"/>
    <w:link w:val="2CharCharf"/>
    <w:qFormat/>
    <w:pPr>
      <w:ind w:firstLineChars="200" w:firstLine="200"/>
      <w:textAlignment w:val="center"/>
    </w:pPr>
    <w:rPr>
      <w:rFonts w:eastAsia="宋体" w:cs="宋体"/>
      <w:sz w:val="24"/>
      <w:szCs w:val="24"/>
    </w:rPr>
  </w:style>
  <w:style w:type="character" w:customStyle="1" w:styleId="Charfffffffff5">
    <w:name w:val="正本文字 Char"/>
    <w:link w:val="affffffffffff7"/>
    <w:rPr>
      <w:kern w:val="18"/>
      <w:sz w:val="24"/>
    </w:rPr>
  </w:style>
  <w:style w:type="paragraph" w:customStyle="1" w:styleId="affffffffffff7">
    <w:name w:val="正本文字"/>
    <w:basedOn w:val="a2"/>
    <w:link w:val="Charfffffffff5"/>
    <w:qFormat/>
    <w:pPr>
      <w:snapToGrid w:val="0"/>
      <w:spacing w:line="360" w:lineRule="auto"/>
      <w:ind w:firstLineChars="200" w:firstLine="480"/>
    </w:pPr>
    <w:rPr>
      <w:kern w:val="18"/>
      <w:sz w:val="24"/>
      <w:szCs w:val="22"/>
    </w:rPr>
  </w:style>
  <w:style w:type="character" w:customStyle="1" w:styleId="Char4f2">
    <w:name w:val="页眉 Char4"/>
    <w:uiPriority w:val="99"/>
    <w:semiHidden/>
    <w:rPr>
      <w:sz w:val="18"/>
      <w:szCs w:val="18"/>
    </w:rPr>
  </w:style>
  <w:style w:type="character" w:customStyle="1" w:styleId="CharCharCharCharCharCharCharChar2">
    <w:name w:val="正文（首行缩进两字） Char Char Char Char Char Char Char Char"/>
    <w:rPr>
      <w:rFonts w:ascii="宋体" w:eastAsia="宋体" w:hAnsi="Arial Black"/>
      <w:kern w:val="18"/>
      <w:sz w:val="28"/>
      <w:lang w:val="en-US" w:eastAsia="zh-CN" w:bidi="ar-SA"/>
    </w:rPr>
  </w:style>
  <w:style w:type="character" w:customStyle="1" w:styleId="c1">
    <w:name w:val="c1"/>
    <w:rPr>
      <w:rFonts w:ascii="ˎ̥" w:hAnsi="ˎ̥" w:hint="default"/>
      <w:color w:val="000000"/>
      <w:sz w:val="21"/>
      <w:szCs w:val="21"/>
      <w:u w:val="none"/>
    </w:rPr>
  </w:style>
  <w:style w:type="character" w:customStyle="1" w:styleId="00000000000000Char">
    <w:name w:val="00000000000000 Char"/>
    <w:link w:val="00000000000000"/>
    <w:rPr>
      <w:rFonts w:ascii="宋体" w:hAnsi="宋体"/>
      <w:bCs/>
      <w:kern w:val="18"/>
      <w:sz w:val="24"/>
      <w:szCs w:val="21"/>
    </w:rPr>
  </w:style>
  <w:style w:type="paragraph" w:customStyle="1" w:styleId="00000000000000">
    <w:name w:val="00000000000000"/>
    <w:basedOn w:val="22"/>
    <w:link w:val="00000000000000Char"/>
    <w:qFormat/>
    <w:pPr>
      <w:keepNext w:val="0"/>
      <w:keepLines w:val="0"/>
      <w:tabs>
        <w:tab w:val="left" w:pos="576"/>
      </w:tabs>
      <w:snapToGrid w:val="0"/>
      <w:spacing w:before="0" w:after="0" w:line="360" w:lineRule="auto"/>
      <w:ind w:firstLineChars="200" w:firstLine="480"/>
      <w:jc w:val="both"/>
      <w:outlineLvl w:val="9"/>
    </w:pPr>
    <w:rPr>
      <w:rFonts w:ascii="宋体" w:eastAsiaTheme="minorEastAsia" w:hAnsi="宋体" w:cstheme="minorBidi"/>
      <w:b w:val="0"/>
      <w:kern w:val="18"/>
      <w:sz w:val="24"/>
      <w:szCs w:val="21"/>
    </w:rPr>
  </w:style>
  <w:style w:type="character" w:customStyle="1" w:styleId="BCharChar2">
    <w:name w:val="样式 B + 宋体 Char Char"/>
    <w:link w:val="B1"/>
    <w:rPr>
      <w:rFonts w:ascii="宋体" w:eastAsia="黑体" w:hAnsi="宋体"/>
      <w:b/>
      <w:bCs/>
      <w:spacing w:val="-10"/>
    </w:rPr>
  </w:style>
  <w:style w:type="paragraph" w:customStyle="1" w:styleId="B1">
    <w:name w:val="样式 B + 宋体"/>
    <w:basedOn w:val="affffffff5"/>
    <w:link w:val="BCharChar2"/>
    <w:qFormat/>
    <w:pPr>
      <w:snapToGrid w:val="0"/>
      <w:spacing w:before="0"/>
      <w:textAlignment w:val="baseline"/>
    </w:pPr>
    <w:rPr>
      <w:rFonts w:ascii="宋体" w:hAnsi="宋体"/>
      <w:b/>
      <w:bCs/>
      <w:spacing w:val="-10"/>
      <w:sz w:val="21"/>
      <w:szCs w:val="22"/>
    </w:rPr>
  </w:style>
  <w:style w:type="character" w:customStyle="1" w:styleId="Charfffffffff6">
    <w:name w:val="标准 Char"/>
    <w:rPr>
      <w:rFonts w:ascii="宋体" w:eastAsia="宋体"/>
      <w:sz w:val="28"/>
      <w:lang w:val="en-US" w:eastAsia="zh-CN" w:bidi="ar-SA"/>
    </w:rPr>
  </w:style>
  <w:style w:type="character" w:customStyle="1" w:styleId="p15">
    <w:name w:val="p15"/>
    <w:rPr>
      <w:rFonts w:ascii="宋体" w:eastAsia="宋体" w:hAnsi="宋体" w:cs="宋体"/>
      <w:kern w:val="2"/>
      <w:sz w:val="24"/>
      <w:szCs w:val="24"/>
      <w:lang w:val="en-US" w:eastAsia="zh-CN" w:bidi="ar-SA"/>
    </w:rPr>
  </w:style>
  <w:style w:type="character" w:customStyle="1" w:styleId="GB231210125Char">
    <w:name w:val="样式 普通(网站) + 仿宋_GB2312 四号 两端对齐 首行缩进:  1.01 厘米 行距: 固定值 25 磅 Char"/>
    <w:rPr>
      <w:rFonts w:ascii="仿宋_GB2312" w:eastAsia="仿宋_GB2312" w:hAnsi="宋体"/>
      <w:sz w:val="28"/>
      <w:szCs w:val="24"/>
    </w:rPr>
  </w:style>
  <w:style w:type="character" w:customStyle="1" w:styleId="x11">
    <w:name w:val="x11"/>
    <w:rPr>
      <w:rFonts w:hint="default"/>
      <w:color w:val="000000"/>
      <w:sz w:val="18"/>
      <w:u w:val="none"/>
    </w:rPr>
  </w:style>
  <w:style w:type="character" w:customStyle="1" w:styleId="span3">
    <w:name w:val="span3"/>
    <w:basedOn w:val="a4"/>
  </w:style>
  <w:style w:type="character" w:customStyle="1" w:styleId="Charfffffffff7">
    <w:name w:val="环保表头 Char"/>
    <w:rPr>
      <w:rFonts w:ascii="黑体" w:eastAsia="黑体" w:hAnsi="Times New Roman"/>
      <w:sz w:val="24"/>
      <w:szCs w:val="24"/>
      <w:lang w:bidi="ar-SA"/>
    </w:rPr>
  </w:style>
  <w:style w:type="character" w:customStyle="1" w:styleId="4CharChar3">
    <w:name w:val="样式 小4居中 + Char Char"/>
    <w:link w:val="4e"/>
    <w:rPr>
      <w:sz w:val="24"/>
      <w:szCs w:val="24"/>
    </w:rPr>
  </w:style>
  <w:style w:type="paragraph" w:customStyle="1" w:styleId="4e">
    <w:name w:val="样式 小4居中 +"/>
    <w:basedOn w:val="a2"/>
    <w:link w:val="4CharChar3"/>
    <w:qFormat/>
    <w:pPr>
      <w:snapToGrid w:val="0"/>
      <w:spacing w:beforeLines="15" w:before="46" w:afterLines="15" w:after="46" w:line="320" w:lineRule="atLeast"/>
      <w:jc w:val="center"/>
    </w:pPr>
    <w:rPr>
      <w:sz w:val="24"/>
      <w:szCs w:val="24"/>
    </w:rPr>
  </w:style>
  <w:style w:type="character" w:customStyle="1" w:styleId="TimesNewRomanCharChar1">
    <w:name w:val="样式 三级标题 + Times New Roman 自动设置 Char Char"/>
    <w:link w:val="TimesNewRoman0"/>
    <w:rPr>
      <w:rFonts w:eastAsia="仿宋_GB2312"/>
      <w:b/>
      <w:bCs/>
      <w:spacing w:val="1"/>
      <w:sz w:val="28"/>
    </w:rPr>
  </w:style>
  <w:style w:type="paragraph" w:customStyle="1" w:styleId="TimesNewRoman0">
    <w:name w:val="样式 三级标题 + Times New Roman 自动设置"/>
    <w:basedOn w:val="a2"/>
    <w:link w:val="TimesNewRomanCharChar1"/>
    <w:qFormat/>
    <w:pPr>
      <w:tabs>
        <w:tab w:val="left" w:pos="720"/>
        <w:tab w:val="left" w:pos="1969"/>
      </w:tabs>
      <w:spacing w:beforeLines="4" w:before="12" w:line="360" w:lineRule="auto"/>
      <w:ind w:left="1969" w:hanging="709"/>
      <w:outlineLvl w:val="2"/>
    </w:pPr>
    <w:rPr>
      <w:rFonts w:eastAsia="仿宋_GB2312"/>
      <w:b/>
      <w:bCs/>
      <w:spacing w:val="1"/>
      <w:szCs w:val="22"/>
    </w:rPr>
  </w:style>
  <w:style w:type="character" w:customStyle="1" w:styleId="CharCharChar9">
    <w:name w:val="表格文字 Char Char Char"/>
    <w:rPr>
      <w:rFonts w:ascii="Times New Roman" w:hAnsi="宋体"/>
      <w:bCs/>
      <w:snapToGrid w:val="0"/>
      <w:kern w:val="2"/>
      <w:sz w:val="21"/>
      <w:szCs w:val="21"/>
      <w:lang w:bidi="ar-SA"/>
    </w:rPr>
  </w:style>
  <w:style w:type="character" w:customStyle="1" w:styleId="CharCharCharChar20">
    <w:name w:val="环评正文 Char Char Char Char2"/>
    <w:rPr>
      <w:rFonts w:eastAsia="宋体"/>
      <w:snapToGrid w:val="0"/>
      <w:color w:val="000000"/>
      <w:kern w:val="21"/>
      <w:sz w:val="24"/>
      <w:szCs w:val="24"/>
      <w:lang w:val="en-US" w:eastAsia="zh-CN" w:bidi="ar-SA"/>
    </w:rPr>
  </w:style>
  <w:style w:type="character" w:customStyle="1" w:styleId="p141">
    <w:name w:val="p141"/>
    <w:rPr>
      <w:sz w:val="21"/>
      <w:szCs w:val="21"/>
      <w:u w:val="none"/>
    </w:rPr>
  </w:style>
  <w:style w:type="character" w:customStyle="1" w:styleId="hhcwtCharChar2">
    <w:name w:val="hhcwt表头 Char Char"/>
    <w:link w:val="hhcwt5"/>
    <w:rPr>
      <w:rFonts w:ascii="楷体_GB2312" w:eastAsia="楷体_GB2312" w:cs="宋体"/>
      <w:b/>
      <w:bCs/>
      <w:sz w:val="24"/>
    </w:rPr>
  </w:style>
  <w:style w:type="paragraph" w:customStyle="1" w:styleId="hhcwt5">
    <w:name w:val="hhcwt表头"/>
    <w:basedOn w:val="a2"/>
    <w:link w:val="hhcwtCharChar2"/>
    <w:qFormat/>
    <w:pPr>
      <w:spacing w:after="120" w:line="500" w:lineRule="exact"/>
      <w:jc w:val="center"/>
    </w:pPr>
    <w:rPr>
      <w:rFonts w:ascii="楷体_GB2312" w:cs="宋体"/>
      <w:b/>
      <w:bCs/>
      <w:sz w:val="24"/>
      <w:szCs w:val="22"/>
    </w:rPr>
  </w:style>
  <w:style w:type="character" w:customStyle="1" w:styleId="1Charf9">
    <w:name w:val="样式 标题 1 + 黑体 小三 非加粗 Char"/>
    <w:link w:val="10"/>
    <w:uiPriority w:val="99"/>
    <w:rPr>
      <w:rFonts w:ascii="黑体" w:eastAsia="黑体" w:hAnsi="黑体"/>
      <w:kern w:val="44"/>
      <w:sz w:val="30"/>
      <w:szCs w:val="44"/>
    </w:rPr>
  </w:style>
  <w:style w:type="paragraph" w:customStyle="1" w:styleId="10">
    <w:name w:val="样式 标题 1 + 黑体 小三 非加粗"/>
    <w:basedOn w:val="12"/>
    <w:link w:val="1Charf9"/>
    <w:uiPriority w:val="99"/>
    <w:qFormat/>
    <w:pPr>
      <w:numPr>
        <w:numId w:val="5"/>
      </w:numPr>
      <w:spacing w:before="340" w:after="330" w:line="578" w:lineRule="auto"/>
      <w:jc w:val="both"/>
      <w:textAlignment w:val="auto"/>
    </w:pPr>
    <w:rPr>
      <w:rFonts w:ascii="黑体" w:hAnsi="黑体"/>
      <w:bCs w:val="0"/>
      <w:sz w:val="30"/>
      <w:szCs w:val="44"/>
    </w:rPr>
  </w:style>
  <w:style w:type="character" w:customStyle="1" w:styleId="ourfont31">
    <w:name w:val="ourfont31"/>
    <w:rPr>
      <w:spacing w:val="20"/>
      <w:sz w:val="21"/>
      <w:szCs w:val="21"/>
    </w:rPr>
  </w:style>
  <w:style w:type="character" w:customStyle="1" w:styleId="-1Char">
    <w:name w:val="正文-1 Char"/>
    <w:link w:val="-1"/>
    <w:rPr>
      <w:sz w:val="24"/>
    </w:rPr>
  </w:style>
  <w:style w:type="paragraph" w:customStyle="1" w:styleId="-1">
    <w:name w:val="正文-1"/>
    <w:basedOn w:val="a2"/>
    <w:link w:val="-1Char"/>
    <w:qFormat/>
    <w:pPr>
      <w:spacing w:line="440" w:lineRule="exact"/>
      <w:ind w:firstLineChars="200" w:firstLine="200"/>
    </w:pPr>
    <w:rPr>
      <w:sz w:val="24"/>
      <w:szCs w:val="22"/>
    </w:rPr>
  </w:style>
  <w:style w:type="character" w:customStyle="1" w:styleId="6CharChar2">
    <w:name w:val="标6 Char Char"/>
    <w:link w:val="68"/>
    <w:rPr>
      <w:bCs/>
      <w:sz w:val="24"/>
      <w:szCs w:val="24"/>
    </w:rPr>
  </w:style>
  <w:style w:type="paragraph" w:customStyle="1" w:styleId="68">
    <w:name w:val="标6"/>
    <w:basedOn w:val="a2"/>
    <w:link w:val="6CharChar2"/>
    <w:qFormat/>
    <w:pPr>
      <w:keepNext/>
      <w:keepLines/>
      <w:tabs>
        <w:tab w:val="left" w:pos="420"/>
      </w:tabs>
      <w:snapToGrid w:val="0"/>
      <w:spacing w:before="240" w:after="120" w:line="360" w:lineRule="auto"/>
      <w:ind w:left="420" w:hanging="420"/>
      <w:jc w:val="both"/>
    </w:pPr>
    <w:rPr>
      <w:bCs/>
      <w:sz w:val="24"/>
      <w:szCs w:val="24"/>
    </w:rPr>
  </w:style>
  <w:style w:type="character" w:customStyle="1" w:styleId="aaaa1">
    <w:name w:val="aaaa1"/>
    <w:rPr>
      <w:rFonts w:ascii="Ђˎ̥" w:hAnsi="Ђˎ̥" w:hint="default"/>
      <w:color w:val="1E5494"/>
      <w:sz w:val="18"/>
      <w:szCs w:val="18"/>
    </w:rPr>
  </w:style>
  <w:style w:type="character" w:customStyle="1" w:styleId="311">
    <w:name w:val="正文文本 3 字符1"/>
    <w:basedOn w:val="a4"/>
    <w:uiPriority w:val="99"/>
    <w:semiHidden/>
    <w:rPr>
      <w:rFonts w:ascii="Arial" w:eastAsia="楷体_GB2312" w:hAnsi="Times New Roman" w:cs="Times New Roman"/>
      <w:spacing w:val="-6"/>
      <w:kern w:val="0"/>
      <w:sz w:val="16"/>
      <w:szCs w:val="16"/>
    </w:rPr>
  </w:style>
  <w:style w:type="character" w:customStyle="1" w:styleId="1fff1">
    <w:name w:val="签名 字符1"/>
    <w:basedOn w:val="a4"/>
    <w:uiPriority w:val="99"/>
    <w:semiHidden/>
    <w:rPr>
      <w:rFonts w:ascii="Arial" w:eastAsia="楷体_GB2312" w:hAnsi="Times New Roman" w:cs="Times New Roman"/>
      <w:spacing w:val="-6"/>
      <w:kern w:val="0"/>
      <w:sz w:val="28"/>
      <w:szCs w:val="20"/>
    </w:rPr>
  </w:style>
  <w:style w:type="character" w:customStyle="1" w:styleId="1fff2">
    <w:name w:val="电子邮件签名 字符1"/>
    <w:basedOn w:val="a4"/>
    <w:uiPriority w:val="99"/>
    <w:semiHidden/>
    <w:rPr>
      <w:rFonts w:ascii="Arial" w:eastAsia="楷体_GB2312" w:hAnsi="Times New Roman" w:cs="Times New Roman"/>
      <w:spacing w:val="-6"/>
      <w:kern w:val="0"/>
      <w:sz w:val="28"/>
      <w:szCs w:val="20"/>
    </w:rPr>
  </w:style>
  <w:style w:type="character" w:customStyle="1" w:styleId="213">
    <w:name w:val="正文文本缩进 2 字符1"/>
    <w:basedOn w:val="a4"/>
    <w:uiPriority w:val="99"/>
    <w:semiHidden/>
    <w:rPr>
      <w:rFonts w:ascii="Arial" w:eastAsia="楷体_GB2312" w:hAnsi="Times New Roman" w:cs="Times New Roman"/>
      <w:spacing w:val="-6"/>
      <w:kern w:val="0"/>
      <w:sz w:val="28"/>
      <w:szCs w:val="20"/>
    </w:rPr>
  </w:style>
  <w:style w:type="character" w:customStyle="1" w:styleId="1fff3">
    <w:name w:val="信息标题 字符1"/>
    <w:basedOn w:val="a4"/>
    <w:uiPriority w:val="99"/>
    <w:semiHidden/>
    <w:rPr>
      <w:rFonts w:asciiTheme="majorHAnsi" w:eastAsiaTheme="majorEastAsia" w:hAnsiTheme="majorHAnsi" w:cstheme="majorBidi"/>
      <w:spacing w:val="-6"/>
      <w:kern w:val="0"/>
      <w:sz w:val="24"/>
      <w:szCs w:val="24"/>
      <w:shd w:val="pct20" w:color="auto" w:fill="auto"/>
    </w:rPr>
  </w:style>
  <w:style w:type="character" w:customStyle="1" w:styleId="1fff4">
    <w:name w:val="宏文本 字符1"/>
    <w:basedOn w:val="a4"/>
    <w:uiPriority w:val="99"/>
    <w:semiHidden/>
    <w:rPr>
      <w:rFonts w:ascii="Courier New" w:eastAsia="宋体" w:hAnsi="Courier New" w:cs="Courier New"/>
      <w:spacing w:val="-6"/>
      <w:kern w:val="0"/>
      <w:sz w:val="24"/>
      <w:szCs w:val="24"/>
    </w:rPr>
  </w:style>
  <w:style w:type="character" w:customStyle="1" w:styleId="1fff5">
    <w:name w:val="脚注文本 字符1"/>
    <w:basedOn w:val="a4"/>
    <w:uiPriority w:val="99"/>
    <w:semiHidden/>
    <w:rPr>
      <w:rFonts w:ascii="Arial" w:eastAsia="楷体_GB2312" w:hAnsi="Times New Roman" w:cs="Times New Roman"/>
      <w:spacing w:val="-6"/>
      <w:kern w:val="0"/>
      <w:sz w:val="18"/>
      <w:szCs w:val="18"/>
    </w:rPr>
  </w:style>
  <w:style w:type="character" w:customStyle="1" w:styleId="1fff6">
    <w:name w:val="正文文本缩进 字符1"/>
    <w:basedOn w:val="a4"/>
    <w:uiPriority w:val="99"/>
    <w:semiHidden/>
    <w:rPr>
      <w:rFonts w:ascii="Arial" w:eastAsia="楷体_GB2312" w:hAnsi="Times New Roman" w:cs="Times New Roman"/>
      <w:spacing w:val="-6"/>
      <w:kern w:val="0"/>
      <w:sz w:val="28"/>
      <w:szCs w:val="20"/>
    </w:rPr>
  </w:style>
  <w:style w:type="character" w:customStyle="1" w:styleId="1fff7">
    <w:name w:val="称呼 字符1"/>
    <w:basedOn w:val="a4"/>
    <w:uiPriority w:val="99"/>
    <w:semiHidden/>
    <w:rPr>
      <w:rFonts w:ascii="Arial" w:eastAsia="楷体_GB2312" w:hAnsi="Times New Roman" w:cs="Times New Roman"/>
      <w:spacing w:val="-6"/>
      <w:kern w:val="0"/>
      <w:sz w:val="28"/>
      <w:szCs w:val="20"/>
    </w:rPr>
  </w:style>
  <w:style w:type="character" w:customStyle="1" w:styleId="312">
    <w:name w:val="正文文本缩进 3 字符1"/>
    <w:basedOn w:val="a4"/>
    <w:uiPriority w:val="99"/>
    <w:semiHidden/>
    <w:qFormat/>
    <w:rPr>
      <w:rFonts w:ascii="Arial" w:eastAsia="楷体_GB2312" w:hAnsi="Times New Roman" w:cs="Times New Roman"/>
      <w:spacing w:val="-6"/>
      <w:kern w:val="0"/>
      <w:sz w:val="16"/>
      <w:szCs w:val="16"/>
    </w:rPr>
  </w:style>
  <w:style w:type="character" w:customStyle="1" w:styleId="1fff8">
    <w:name w:val="文档结构图 字符1"/>
    <w:basedOn w:val="a4"/>
    <w:uiPriority w:val="99"/>
    <w:semiHidden/>
    <w:qFormat/>
    <w:rPr>
      <w:rFonts w:ascii="Microsoft YaHei UI" w:eastAsia="Microsoft YaHei UI" w:hAnsi="Times New Roman" w:cs="Times New Roman"/>
      <w:spacing w:val="-6"/>
      <w:kern w:val="0"/>
      <w:sz w:val="18"/>
      <w:szCs w:val="18"/>
    </w:rPr>
  </w:style>
  <w:style w:type="character" w:customStyle="1" w:styleId="1fff9">
    <w:name w:val="正文文本 字符1"/>
    <w:basedOn w:val="a4"/>
    <w:uiPriority w:val="99"/>
    <w:semiHidden/>
    <w:rPr>
      <w:rFonts w:ascii="Arial" w:eastAsia="楷体_GB2312" w:hAnsi="Times New Roman" w:cs="Times New Roman"/>
      <w:spacing w:val="-6"/>
      <w:kern w:val="0"/>
      <w:sz w:val="28"/>
      <w:szCs w:val="20"/>
    </w:rPr>
  </w:style>
  <w:style w:type="character" w:customStyle="1" w:styleId="1fffa">
    <w:name w:val="尾注文本 字符1"/>
    <w:basedOn w:val="a4"/>
    <w:uiPriority w:val="99"/>
    <w:semiHidden/>
    <w:rPr>
      <w:rFonts w:ascii="Arial" w:eastAsia="楷体_GB2312" w:hAnsi="Times New Roman" w:cs="Times New Roman"/>
      <w:spacing w:val="-6"/>
      <w:kern w:val="0"/>
      <w:sz w:val="28"/>
      <w:szCs w:val="20"/>
    </w:rPr>
  </w:style>
  <w:style w:type="character" w:customStyle="1" w:styleId="HTML20">
    <w:name w:val="HTML 预设格式 字符2"/>
    <w:basedOn w:val="a4"/>
    <w:uiPriority w:val="99"/>
    <w:semiHidden/>
    <w:rPr>
      <w:rFonts w:ascii="Courier New" w:eastAsia="楷体_GB2312" w:hAnsi="Courier New" w:cs="Courier New"/>
      <w:spacing w:val="-6"/>
      <w:kern w:val="0"/>
      <w:sz w:val="20"/>
      <w:szCs w:val="20"/>
    </w:rPr>
  </w:style>
  <w:style w:type="character" w:customStyle="1" w:styleId="1fffb">
    <w:name w:val="注释标题 字符1"/>
    <w:basedOn w:val="a4"/>
    <w:uiPriority w:val="99"/>
    <w:semiHidden/>
    <w:rPr>
      <w:rFonts w:ascii="Arial" w:eastAsia="楷体_GB2312" w:hAnsi="Times New Roman" w:cs="Times New Roman"/>
      <w:spacing w:val="-6"/>
      <w:kern w:val="0"/>
      <w:sz w:val="28"/>
      <w:szCs w:val="20"/>
    </w:rPr>
  </w:style>
  <w:style w:type="character" w:customStyle="1" w:styleId="214">
    <w:name w:val="正文文本 2 字符1"/>
    <w:basedOn w:val="a4"/>
    <w:uiPriority w:val="99"/>
    <w:semiHidden/>
    <w:rPr>
      <w:rFonts w:ascii="Arial" w:eastAsia="楷体_GB2312" w:hAnsi="Times New Roman" w:cs="Times New Roman"/>
      <w:spacing w:val="-6"/>
      <w:kern w:val="0"/>
      <w:sz w:val="28"/>
      <w:szCs w:val="20"/>
    </w:rPr>
  </w:style>
  <w:style w:type="character" w:customStyle="1" w:styleId="1fffc">
    <w:name w:val="正文文本首行缩进 字符1"/>
    <w:basedOn w:val="1fff9"/>
    <w:uiPriority w:val="99"/>
    <w:semiHidden/>
    <w:rPr>
      <w:rFonts w:ascii="Arial" w:eastAsia="楷体_GB2312" w:hAnsi="Times New Roman" w:cs="Times New Roman"/>
      <w:spacing w:val="-6"/>
      <w:kern w:val="0"/>
      <w:sz w:val="28"/>
      <w:szCs w:val="20"/>
    </w:rPr>
  </w:style>
  <w:style w:type="character" w:customStyle="1" w:styleId="1fffd">
    <w:name w:val="副标题 字符1"/>
    <w:basedOn w:val="a4"/>
    <w:uiPriority w:val="11"/>
    <w:rPr>
      <w:b/>
      <w:bCs/>
      <w:spacing w:val="-6"/>
      <w:kern w:val="28"/>
      <w:sz w:val="32"/>
      <w:szCs w:val="32"/>
    </w:rPr>
  </w:style>
  <w:style w:type="character" w:customStyle="1" w:styleId="1fffe">
    <w:name w:val="结束语 字符1"/>
    <w:basedOn w:val="a4"/>
    <w:uiPriority w:val="99"/>
    <w:semiHidden/>
    <w:rPr>
      <w:rFonts w:ascii="Arial" w:eastAsia="楷体_GB2312" w:hAnsi="Times New Roman" w:cs="Times New Roman"/>
      <w:spacing w:val="-6"/>
      <w:kern w:val="0"/>
      <w:sz w:val="28"/>
      <w:szCs w:val="20"/>
    </w:rPr>
  </w:style>
  <w:style w:type="character" w:customStyle="1" w:styleId="216">
    <w:name w:val="正文文本首行缩进 2 字符1"/>
    <w:basedOn w:val="1fff6"/>
    <w:uiPriority w:val="99"/>
    <w:semiHidden/>
    <w:rPr>
      <w:rFonts w:ascii="Arial" w:eastAsia="楷体_GB2312" w:hAnsi="Times New Roman" w:cs="Times New Roman"/>
      <w:spacing w:val="-6"/>
      <w:kern w:val="0"/>
      <w:sz w:val="28"/>
      <w:szCs w:val="20"/>
    </w:rPr>
  </w:style>
  <w:style w:type="character" w:customStyle="1" w:styleId="1ffff">
    <w:name w:val="标题 字符1"/>
    <w:basedOn w:val="a4"/>
    <w:uiPriority w:val="10"/>
    <w:rPr>
      <w:rFonts w:asciiTheme="majorHAnsi" w:eastAsiaTheme="majorEastAsia" w:hAnsiTheme="majorHAnsi" w:cstheme="majorBidi"/>
      <w:b/>
      <w:bCs/>
      <w:spacing w:val="-6"/>
      <w:kern w:val="0"/>
      <w:sz w:val="32"/>
      <w:szCs w:val="32"/>
    </w:rPr>
  </w:style>
  <w:style w:type="character" w:customStyle="1" w:styleId="3fa">
    <w:name w:val="纯文本 字符3"/>
    <w:basedOn w:val="a4"/>
    <w:uiPriority w:val="99"/>
    <w:semiHidden/>
    <w:rPr>
      <w:rFonts w:asciiTheme="minorEastAsia" w:hAnsi="Courier New" w:cs="Courier New"/>
      <w:spacing w:val="-6"/>
      <w:kern w:val="0"/>
      <w:sz w:val="28"/>
      <w:szCs w:val="20"/>
    </w:rPr>
  </w:style>
  <w:style w:type="character" w:customStyle="1" w:styleId="HTML11">
    <w:name w:val="HTML 地址 字符1"/>
    <w:basedOn w:val="a4"/>
    <w:uiPriority w:val="99"/>
    <w:semiHidden/>
    <w:rPr>
      <w:rFonts w:ascii="Arial" w:eastAsia="楷体_GB2312" w:hAnsi="Times New Roman" w:cs="Times New Roman"/>
      <w:i/>
      <w:iCs/>
      <w:spacing w:val="-6"/>
      <w:kern w:val="0"/>
      <w:sz w:val="28"/>
      <w:szCs w:val="20"/>
    </w:rPr>
  </w:style>
  <w:style w:type="paragraph" w:customStyle="1" w:styleId="420">
    <w:name w:val="正文格式42"/>
    <w:basedOn w:val="a2"/>
    <w:uiPriority w:val="99"/>
    <w:qFormat/>
    <w:pPr>
      <w:spacing w:line="360" w:lineRule="auto"/>
      <w:ind w:firstLine="482"/>
      <w:jc w:val="both"/>
    </w:pPr>
    <w:rPr>
      <w:rFonts w:ascii="宋体" w:hAnsi="宋体"/>
      <w:sz w:val="24"/>
    </w:rPr>
  </w:style>
  <w:style w:type="paragraph" w:customStyle="1" w:styleId="2ff7">
    <w:name w:val="样式 正文文本 + 小四2"/>
    <w:basedOn w:val="af4"/>
    <w:uiPriority w:val="99"/>
    <w:qFormat/>
    <w:pPr>
      <w:tabs>
        <w:tab w:val="left" w:pos="1577"/>
      </w:tabs>
      <w:ind w:left="1200" w:hanging="720"/>
      <w:jc w:val="both"/>
    </w:pPr>
    <w:rPr>
      <w:kern w:val="0"/>
      <w:sz w:val="24"/>
      <w:szCs w:val="24"/>
    </w:rPr>
  </w:style>
  <w:style w:type="paragraph" w:customStyle="1" w:styleId="CharCharCharCharChar2CharCharCharCharCharCharChar">
    <w:name w:val="Char Char Char Char Char2 Char Char Char Char Char Char Char"/>
    <w:basedOn w:val="a2"/>
    <w:uiPriority w:val="99"/>
    <w:qFormat/>
    <w:pPr>
      <w:jc w:val="both"/>
    </w:pPr>
  </w:style>
  <w:style w:type="paragraph" w:customStyle="1" w:styleId="CharCharChar1CharCharChar1">
    <w:name w:val="Char Char Char1 Char Char Char1"/>
    <w:basedOn w:val="a2"/>
    <w:uiPriority w:val="99"/>
    <w:qFormat/>
    <w:pPr>
      <w:tabs>
        <w:tab w:val="left" w:pos="0"/>
      </w:tabs>
    </w:pPr>
    <w:rPr>
      <w:sz w:val="24"/>
    </w:rPr>
  </w:style>
  <w:style w:type="paragraph" w:customStyle="1" w:styleId="reader-word-layerreader-word-s1-30">
    <w:name w:val="reader-word-layer reader-word-s1-30"/>
    <w:basedOn w:val="a2"/>
    <w:uiPriority w:val="99"/>
    <w:qFormat/>
    <w:pPr>
      <w:spacing w:before="100" w:beforeAutospacing="1" w:after="100" w:afterAutospacing="1"/>
    </w:pPr>
    <w:rPr>
      <w:rFonts w:ascii="宋体" w:hAnsi="宋体" w:cs="宋体"/>
      <w:sz w:val="24"/>
    </w:rPr>
  </w:style>
  <w:style w:type="paragraph" w:customStyle="1" w:styleId="115">
    <w:name w:val="普通(网站)11"/>
    <w:basedOn w:val="a2"/>
    <w:uiPriority w:val="99"/>
    <w:qFormat/>
    <w:pPr>
      <w:jc w:val="both"/>
    </w:pPr>
    <w:rPr>
      <w:sz w:val="24"/>
    </w:rPr>
  </w:style>
  <w:style w:type="paragraph" w:customStyle="1" w:styleId="affffffffffff8">
    <w:name w:val="正文样式"/>
    <w:basedOn w:val="afffffffff0"/>
    <w:qFormat/>
    <w:pPr>
      <w:spacing w:line="300" w:lineRule="auto"/>
      <w:ind w:firstLine="200"/>
    </w:pPr>
  </w:style>
  <w:style w:type="paragraph" w:customStyle="1" w:styleId="CharCharCharCharCharCharCharCharChar1CharCharChar1">
    <w:name w:val="Char Char Char Char Char Char Char Char Char1 Char Char Char1"/>
    <w:basedOn w:val="a2"/>
    <w:uiPriority w:val="99"/>
    <w:qFormat/>
    <w:pPr>
      <w:jc w:val="both"/>
    </w:pPr>
    <w:rPr>
      <w:sz w:val="24"/>
    </w:rPr>
  </w:style>
  <w:style w:type="paragraph" w:customStyle="1" w:styleId="314">
    <w:name w:val="正文31"/>
    <w:basedOn w:val="a2"/>
    <w:uiPriority w:val="99"/>
    <w:qFormat/>
    <w:pPr>
      <w:spacing w:line="480" w:lineRule="exact"/>
      <w:jc w:val="both"/>
      <w:textAlignment w:val="baseline"/>
    </w:pPr>
    <w:rPr>
      <w:spacing w:val="-2"/>
    </w:rPr>
  </w:style>
  <w:style w:type="paragraph" w:customStyle="1" w:styleId="CharCharfffffa">
    <w:name w:val="Char Char"/>
    <w:basedOn w:val="a2"/>
    <w:qFormat/>
    <w:pPr>
      <w:spacing w:line="360" w:lineRule="auto"/>
      <w:ind w:firstLineChars="200" w:firstLine="200"/>
    </w:pPr>
    <w:rPr>
      <w:color w:val="000000"/>
      <w:szCs w:val="28"/>
    </w:rPr>
  </w:style>
  <w:style w:type="paragraph" w:customStyle="1" w:styleId="CharCharCharCharCharCharCharCharChar1CharCharCharCharCharCharCharCharCharChar">
    <w:name w:val="Char Char Char Char Char Char Char Char Char1 Char Char Char Char Char Char Char Char Char Char"/>
    <w:basedOn w:val="a2"/>
    <w:uiPriority w:val="99"/>
    <w:qFormat/>
    <w:pPr>
      <w:jc w:val="both"/>
    </w:pPr>
  </w:style>
  <w:style w:type="paragraph" w:customStyle="1" w:styleId="CharCharCharCharCharChar1Char3">
    <w:name w:val="Char Char Char Char Char Char1 Char3"/>
    <w:basedOn w:val="a2"/>
    <w:uiPriority w:val="99"/>
    <w:qFormat/>
    <w:pPr>
      <w:spacing w:line="360" w:lineRule="auto"/>
      <w:ind w:firstLineChars="200" w:firstLine="200"/>
      <w:jc w:val="both"/>
    </w:pPr>
  </w:style>
  <w:style w:type="paragraph" w:customStyle="1" w:styleId="CharCharCharCharCharCharCharChar1CharCharCharCharCharCharCharCharCharCharCharChar1Char">
    <w:name w:val="Char Char Char Char Char Char Char Char1 Char Char Char Char Char Char Char Char Char Char Char Char1 Char"/>
    <w:basedOn w:val="a2"/>
    <w:uiPriority w:val="99"/>
    <w:qFormat/>
    <w:pPr>
      <w:jc w:val="both"/>
    </w:pPr>
    <w:rPr>
      <w:sz w:val="24"/>
    </w:rPr>
  </w:style>
  <w:style w:type="paragraph" w:customStyle="1" w:styleId="CharCharCharCharCharChar1CharCharCharChar">
    <w:name w:val="Char Char Char Char Char Char1 Char Char Char Char"/>
    <w:basedOn w:val="a2"/>
    <w:qFormat/>
    <w:pPr>
      <w:jc w:val="both"/>
    </w:pPr>
    <w:rPr>
      <w:rFonts w:ascii="Times New Roman"/>
    </w:rPr>
  </w:style>
  <w:style w:type="paragraph" w:customStyle="1" w:styleId="33CharChar3Char1113111h33rd">
    <w:name w:val="样式 标题 3标题 3 Char Char标题 3 Char1.1.1条标3条标题1.1.1二级节名h33rd..."/>
    <w:basedOn w:val="a2"/>
    <w:uiPriority w:val="99"/>
    <w:qFormat/>
    <w:pPr>
      <w:spacing w:beforeLines="50" w:before="156" w:afterLines="50" w:after="156" w:line="312" w:lineRule="auto"/>
      <w:jc w:val="both"/>
    </w:pPr>
    <w:rPr>
      <w:rFonts w:eastAsia="仿宋_GB2312" w:hAnsi="Arial" w:cs="宋体"/>
      <w:sz w:val="24"/>
    </w:rPr>
  </w:style>
  <w:style w:type="paragraph" w:customStyle="1" w:styleId="CharCharCharChar1CharCharChar2">
    <w:name w:val="Char Char Char Char1 Char Char Char2"/>
    <w:basedOn w:val="a2"/>
    <w:uiPriority w:val="99"/>
    <w:qFormat/>
    <w:pPr>
      <w:jc w:val="both"/>
    </w:pPr>
    <w:rPr>
      <w:rFonts w:ascii="Times New Roman"/>
    </w:rPr>
  </w:style>
  <w:style w:type="paragraph" w:customStyle="1" w:styleId="125">
    <w:name w:val="文本块12"/>
    <w:basedOn w:val="a2"/>
    <w:uiPriority w:val="99"/>
    <w:qFormat/>
    <w:pPr>
      <w:spacing w:before="100" w:after="100"/>
    </w:pPr>
    <w:rPr>
      <w:rFonts w:ascii="Times New Roman" w:eastAsia="Times New Roman"/>
      <w:sz w:val="22"/>
      <w:lang w:eastAsia="en-US"/>
    </w:rPr>
  </w:style>
  <w:style w:type="paragraph" w:customStyle="1" w:styleId="xl77">
    <w:name w:val="xl77"/>
    <w:basedOn w:val="a2"/>
    <w:qFormat/>
    <w:pPr>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1ffff0">
    <w:name w:val="文本块1"/>
    <w:basedOn w:val="a2"/>
    <w:uiPriority w:val="99"/>
    <w:qFormat/>
    <w:pPr>
      <w:spacing w:before="100" w:after="100"/>
    </w:pPr>
    <w:rPr>
      <w:rFonts w:eastAsia="Times New Roman"/>
      <w:sz w:val="22"/>
      <w:lang w:eastAsia="en-US"/>
    </w:rPr>
  </w:style>
  <w:style w:type="paragraph" w:customStyle="1" w:styleId="330">
    <w:name w:val="标题33"/>
    <w:basedOn w:val="25"/>
    <w:next w:val="32"/>
    <w:qFormat/>
    <w:pPr>
      <w:spacing w:after="0" w:line="500" w:lineRule="exact"/>
      <w:ind w:leftChars="0" w:left="0"/>
      <w:jc w:val="both"/>
    </w:pPr>
    <w:rPr>
      <w:rFonts w:ascii="仿宋_GB2312" w:eastAsia="仿宋_GB2312" w:hAnsi="仿宋_GB2312"/>
      <w:color w:val="000000"/>
      <w:sz w:val="28"/>
    </w:rPr>
  </w:style>
  <w:style w:type="paragraph" w:customStyle="1" w:styleId="CharCharCharCharCharCharCharCharChar1CharCharCharChar">
    <w:name w:val="Char Char Char Char Char Char Char Char Char1 Char Char Char Char"/>
    <w:basedOn w:val="a2"/>
    <w:qFormat/>
    <w:pPr>
      <w:spacing w:line="400" w:lineRule="exact"/>
      <w:jc w:val="both"/>
    </w:pPr>
  </w:style>
  <w:style w:type="paragraph" w:customStyle="1" w:styleId="affffffffffff9">
    <w:name w:val="样式 黑体 居中"/>
    <w:basedOn w:val="a2"/>
    <w:qFormat/>
    <w:pPr>
      <w:spacing w:line="520" w:lineRule="exact"/>
      <w:ind w:left="17" w:right="-91"/>
      <w:jc w:val="center"/>
      <w:textAlignment w:val="center"/>
    </w:pPr>
    <w:rPr>
      <w:rFonts w:hAnsi="宋体"/>
      <w:b/>
      <w:sz w:val="24"/>
    </w:rPr>
  </w:style>
  <w:style w:type="paragraph" w:customStyle="1" w:styleId="CharCharCharChar1CharCharCharCharCharCharCharCharCharCharCharChar2">
    <w:name w:val="Char Char Char Char1 Char Char Char Char Char Char Char Char Char Char Char Char2"/>
    <w:basedOn w:val="a2"/>
    <w:uiPriority w:val="99"/>
    <w:qFormat/>
    <w:pPr>
      <w:tabs>
        <w:tab w:val="left" w:pos="0"/>
      </w:tabs>
    </w:pPr>
    <w:rPr>
      <w:rFonts w:ascii="Times New Roman"/>
    </w:rPr>
  </w:style>
  <w:style w:type="paragraph" w:customStyle="1" w:styleId="Char4CharCharCharCharChar1">
    <w:name w:val="Char4 Char Char Char Char Char1"/>
    <w:basedOn w:val="a2"/>
    <w:uiPriority w:val="99"/>
    <w:qFormat/>
    <w:pPr>
      <w:jc w:val="both"/>
    </w:pPr>
    <w:rPr>
      <w:sz w:val="24"/>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2"/>
    <w:pPr>
      <w:jc w:val="both"/>
    </w:pPr>
    <w:rPr>
      <w:sz w:val="24"/>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2"/>
    <w:uiPriority w:val="99"/>
    <w:qFormat/>
    <w:pPr>
      <w:jc w:val="both"/>
    </w:pPr>
    <w:rPr>
      <w:rFonts w:ascii="Times New Roman"/>
    </w:rPr>
  </w:style>
  <w:style w:type="paragraph" w:customStyle="1" w:styleId="2ff8">
    <w:name w:val="样式 样式 正文文本缩进正文文字缩进 + 行距: 单倍行距 + 首行缩进:  2 字符"/>
    <w:basedOn w:val="affffffffffffa"/>
    <w:qFormat/>
    <w:pPr>
      <w:spacing w:line="500" w:lineRule="exact"/>
      <w:ind w:firstLine="200"/>
    </w:pPr>
  </w:style>
  <w:style w:type="paragraph" w:customStyle="1" w:styleId="affffffffffffa">
    <w:name w:val="样式 正文文本缩进正文文字缩进 + 行距: 单倍行距"/>
    <w:basedOn w:val="af5"/>
    <w:qFormat/>
    <w:pPr>
      <w:spacing w:after="0"/>
      <w:ind w:leftChars="0" w:left="0" w:firstLineChars="200" w:firstLine="480"/>
      <w:jc w:val="both"/>
    </w:pPr>
    <w:rPr>
      <w:rFonts w:cs="宋体"/>
      <w:sz w:val="28"/>
      <w:szCs w:val="20"/>
    </w:rPr>
  </w:style>
  <w:style w:type="paragraph" w:customStyle="1" w:styleId="CharCharCharCharCharCharCharCharChar1CharCharCharCharCharCharChar">
    <w:name w:val="Char Char Char Char Char Char Char Char Char1 Char Char Char Char Char Char Char"/>
    <w:basedOn w:val="a2"/>
    <w:pPr>
      <w:snapToGrid w:val="0"/>
      <w:spacing w:line="360" w:lineRule="auto"/>
      <w:ind w:firstLineChars="200" w:firstLine="200"/>
      <w:jc w:val="both"/>
    </w:pPr>
    <w:rPr>
      <w:rFonts w:eastAsia="仿宋_GB2312"/>
      <w:sz w:val="24"/>
    </w:rPr>
  </w:style>
  <w:style w:type="paragraph" w:customStyle="1" w:styleId="2112112H2SeHeadwsa2112Char1Ch">
    <w:name w:val="样式 标题 2节标题 1.1标题 21标题 12H2SeHead wsa2标题 1.1标题 2 Char1 Ch..."/>
    <w:basedOn w:val="22"/>
    <w:uiPriority w:val="99"/>
    <w:qFormat/>
    <w:pPr>
      <w:spacing w:beforeLines="100" w:before="312" w:afterLines="100" w:after="312" w:line="480" w:lineRule="exact"/>
      <w:jc w:val="both"/>
    </w:pPr>
    <w:rPr>
      <w:rFonts w:ascii="黑体" w:eastAsia="黑体" w:hAnsi="Arial" w:cs="宋体"/>
      <w:bCs w:val="0"/>
      <w:sz w:val="36"/>
      <w:szCs w:val="30"/>
    </w:rPr>
  </w:style>
  <w:style w:type="paragraph" w:customStyle="1" w:styleId="3fb">
    <w:name w:val="正文缩进3"/>
    <w:basedOn w:val="a2"/>
    <w:qFormat/>
    <w:pPr>
      <w:ind w:firstLineChars="200" w:firstLine="420"/>
    </w:pPr>
    <w:rPr>
      <w:rFonts w:hAnsi="宋体"/>
    </w:rPr>
  </w:style>
  <w:style w:type="paragraph" w:customStyle="1" w:styleId="news">
    <w:name w:val="news"/>
    <w:basedOn w:val="a2"/>
    <w:uiPriority w:val="99"/>
    <w:qFormat/>
    <w:pPr>
      <w:spacing w:before="100" w:beforeAutospacing="1" w:after="100" w:afterAutospacing="1"/>
    </w:pPr>
    <w:rPr>
      <w:rFonts w:ascii="宋体" w:hAnsi="宋体" w:cs="宋体"/>
      <w:sz w:val="20"/>
    </w:rPr>
  </w:style>
  <w:style w:type="paragraph" w:customStyle="1" w:styleId="4f">
    <w:name w:val="样式标题4"/>
    <w:basedOn w:val="a2"/>
    <w:qFormat/>
    <w:rPr>
      <w:szCs w:val="28"/>
    </w:rPr>
  </w:style>
  <w:style w:type="paragraph" w:customStyle="1" w:styleId="myformatcontentChar">
    <w:name w:val="myformat_content Char"/>
    <w:basedOn w:val="a2"/>
    <w:uiPriority w:val="99"/>
    <w:qFormat/>
    <w:pPr>
      <w:spacing w:beforeLines="50" w:before="156" w:afterLines="50" w:after="156" w:line="360" w:lineRule="exact"/>
      <w:ind w:firstLineChars="200" w:firstLine="480"/>
      <w:jc w:val="both"/>
    </w:pPr>
    <w:rPr>
      <w:sz w:val="24"/>
    </w:rPr>
  </w:style>
  <w:style w:type="paragraph" w:customStyle="1" w:styleId="ft05">
    <w:name w:val="ft05"/>
    <w:basedOn w:val="a2"/>
    <w:uiPriority w:val="99"/>
    <w:qFormat/>
    <w:rPr>
      <w:rFonts w:ascii="Times" w:hAnsi="Times" w:cs="Times"/>
      <w:color w:val="000000"/>
      <w:sz w:val="11"/>
      <w:szCs w:val="11"/>
    </w:rPr>
  </w:style>
  <w:style w:type="paragraph" w:customStyle="1" w:styleId="Char1CharCharCharCharCharCharCharChar2">
    <w:name w:val="Char1 Char Char Char Char Char Char Char Char2"/>
    <w:basedOn w:val="a2"/>
    <w:uiPriority w:val="99"/>
    <w:qFormat/>
    <w:pPr>
      <w:jc w:val="both"/>
    </w:pPr>
    <w:rPr>
      <w:rFonts w:ascii="Times New Roman"/>
    </w:rPr>
  </w:style>
  <w:style w:type="paragraph" w:customStyle="1" w:styleId="20303">
    <w:name w:val="样式 报告书正文 + 首行缩进:  2 字符 段前: 0.3 行 段后: 0.3 行"/>
    <w:basedOn w:val="a2"/>
    <w:uiPriority w:val="99"/>
    <w:qFormat/>
    <w:pPr>
      <w:spacing w:beforeLines="30" w:before="93" w:afterLines="30" w:after="93" w:line="360" w:lineRule="auto"/>
      <w:ind w:firstLineChars="200" w:firstLine="200"/>
      <w:jc w:val="both"/>
    </w:pPr>
    <w:rPr>
      <w:sz w:val="24"/>
    </w:rPr>
  </w:style>
  <w:style w:type="paragraph" w:customStyle="1" w:styleId="CharCharCharCharCharCharCharCharChar1CharCharCharCharCharCharCharCharChar1CharCharCharCharCharCharCharCharCharChar1">
    <w:name w:val="Char Char Char Char Char Char Char Char Char1 Char Char Char Char Char Char Char Char Char1 Char Char Char Char Char Char Char Char Char Char1"/>
    <w:basedOn w:val="a2"/>
    <w:uiPriority w:val="99"/>
    <w:qFormat/>
    <w:pPr>
      <w:jc w:val="both"/>
    </w:pPr>
    <w:rPr>
      <w:rFonts w:ascii="Times New Roman"/>
    </w:rPr>
  </w:style>
  <w:style w:type="paragraph" w:customStyle="1" w:styleId="affffffffffffb">
    <w:name w:val="表头名称"/>
    <w:basedOn w:val="a3"/>
    <w:qFormat/>
    <w:pPr>
      <w:spacing w:beforeLines="50" w:before="156" w:line="360" w:lineRule="auto"/>
      <w:ind w:firstLineChars="0" w:firstLine="0"/>
      <w:jc w:val="both"/>
    </w:pPr>
    <w:rPr>
      <w:rFonts w:ascii="黑体" w:eastAsia="黑体" w:hAnsi="宋体"/>
      <w:kern w:val="0"/>
      <w:sz w:val="24"/>
      <w:szCs w:val="20"/>
    </w:rPr>
  </w:style>
  <w:style w:type="paragraph" w:customStyle="1" w:styleId="affffffffffffc">
    <w:name w:val="项目"/>
    <w:basedOn w:val="a2"/>
    <w:uiPriority w:val="99"/>
    <w:qFormat/>
    <w:pPr>
      <w:tabs>
        <w:tab w:val="left" w:pos="420"/>
      </w:tabs>
      <w:spacing w:line="360" w:lineRule="auto"/>
      <w:ind w:left="420" w:hanging="420"/>
      <w:jc w:val="center"/>
    </w:pPr>
    <w:rPr>
      <w:rFonts w:ascii="宋体"/>
      <w:spacing w:val="20"/>
      <w:sz w:val="24"/>
    </w:rPr>
  </w:style>
  <w:style w:type="paragraph" w:customStyle="1" w:styleId="0741">
    <w:name w:val="样式 首行缩进:  0.74 厘米1"/>
    <w:basedOn w:val="a2"/>
    <w:uiPriority w:val="99"/>
    <w:qFormat/>
    <w:pPr>
      <w:spacing w:before="60"/>
      <w:ind w:firstLine="420"/>
      <w:jc w:val="both"/>
      <w:textAlignment w:val="baseline"/>
    </w:pPr>
    <w:rPr>
      <w:rFonts w:cs="宋体"/>
      <w:sz w:val="24"/>
    </w:rPr>
  </w:style>
  <w:style w:type="paragraph" w:customStyle="1" w:styleId="1ffff1">
    <w:name w:val="正文文本1"/>
    <w:basedOn w:val="a2"/>
    <w:uiPriority w:val="99"/>
    <w:qFormat/>
    <w:pPr>
      <w:spacing w:after="120"/>
      <w:jc w:val="both"/>
    </w:pPr>
    <w:rPr>
      <w:rFonts w:hint="eastAsia"/>
    </w:rPr>
  </w:style>
  <w:style w:type="paragraph" w:customStyle="1" w:styleId="218">
    <w:name w:val="正文文本21"/>
    <w:basedOn w:val="a2"/>
    <w:uiPriority w:val="99"/>
    <w:qFormat/>
    <w:pPr>
      <w:spacing w:line="360" w:lineRule="auto"/>
      <w:ind w:firstLineChars="200" w:firstLine="480"/>
      <w:jc w:val="both"/>
    </w:pPr>
  </w:style>
  <w:style w:type="paragraph" w:customStyle="1" w:styleId="Char2fe">
    <w:name w:val="Char2"/>
    <w:basedOn w:val="a2"/>
    <w:qFormat/>
    <w:rPr>
      <w:sz w:val="24"/>
    </w:rPr>
  </w:style>
  <w:style w:type="paragraph" w:customStyle="1" w:styleId="TimesNewRoman0015">
    <w:name w:val="样式 标题 + Times New Roman 四号 两端对齐 段前: 0 磅 段后: 0 磅 行距: 1.5 倍行距"/>
    <w:basedOn w:val="aff7"/>
    <w:uiPriority w:val="99"/>
    <w:qFormat/>
    <w:pPr>
      <w:spacing w:before="0" w:after="0"/>
      <w:jc w:val="both"/>
    </w:pPr>
    <w:rPr>
      <w:rFonts w:ascii="Times New Roman" w:hAnsi="Times New Roman" w:cs="宋体"/>
      <w:kern w:val="0"/>
      <w:sz w:val="28"/>
      <w:szCs w:val="20"/>
    </w:rPr>
  </w:style>
  <w:style w:type="paragraph" w:customStyle="1" w:styleId="2005">
    <w:name w:val="样式 样式 首行缩进:  2 字符 + 首行缩进:  0.05 字符"/>
    <w:basedOn w:val="2e"/>
    <w:uiPriority w:val="99"/>
    <w:qFormat/>
    <w:pPr>
      <w:adjustRightInd/>
      <w:snapToGrid/>
      <w:spacing w:line="480" w:lineRule="exact"/>
      <w:ind w:firstLine="200"/>
    </w:pPr>
    <w:rPr>
      <w:rFonts w:ascii="Times New Roman" w:eastAsia="宋体"/>
    </w:rPr>
  </w:style>
  <w:style w:type="paragraph" w:customStyle="1" w:styleId="040">
    <w:name w:val="表格04"/>
    <w:basedOn w:val="a2"/>
    <w:uiPriority w:val="99"/>
    <w:qFormat/>
    <w:pPr>
      <w:spacing w:line="360" w:lineRule="exact"/>
      <w:jc w:val="center"/>
      <w:textAlignment w:val="baseline"/>
    </w:pPr>
    <w:rPr>
      <w:snapToGrid w:val="0"/>
      <w:spacing w:val="-2"/>
      <w:sz w:val="18"/>
      <w:szCs w:val="18"/>
    </w:rPr>
  </w:style>
  <w:style w:type="paragraph" w:customStyle="1" w:styleId="160">
    <w:name w:val="样式16"/>
    <w:basedOn w:val="affffd"/>
    <w:pPr>
      <w:widowControl w:val="0"/>
      <w:autoSpaceDE/>
      <w:autoSpaceDN/>
      <w:adjustRightInd/>
      <w:snapToGrid/>
      <w:spacing w:line="240" w:lineRule="auto"/>
      <w:ind w:firstLineChars="200" w:firstLine="200"/>
      <w:textAlignment w:val="auto"/>
    </w:pPr>
    <w:rPr>
      <w:szCs w:val="21"/>
    </w:rPr>
  </w:style>
  <w:style w:type="paragraph" w:customStyle="1" w:styleId="3781">
    <w:name w:val="样式 样式 标题 3 + 段后: 7.8 磅 + 段前: 1 行"/>
    <w:basedOn w:val="378"/>
    <w:pPr>
      <w:spacing w:before="312" w:afterLines="50"/>
    </w:pPr>
  </w:style>
  <w:style w:type="paragraph" w:customStyle="1" w:styleId="378">
    <w:name w:val="样式 标题 3 + 段后: 7.8 磅"/>
    <w:basedOn w:val="32"/>
    <w:pPr>
      <w:autoSpaceDE/>
      <w:autoSpaceDN/>
      <w:adjustRightInd/>
      <w:spacing w:before="0" w:after="0" w:line="520" w:lineRule="atLeast"/>
      <w:jc w:val="both"/>
    </w:pPr>
    <w:rPr>
      <w:rFonts w:ascii="黑体" w:eastAsia="黑体" w:hAnsi="黑体"/>
      <w:bCs w:val="0"/>
      <w:sz w:val="24"/>
    </w:rPr>
  </w:style>
  <w:style w:type="paragraph" w:customStyle="1" w:styleId="02">
    <w:name w:val="样式 样式 列表 + 左侧:  0 厘米 悬挂缩进: 2 字符 + 红色"/>
    <w:basedOn w:val="020"/>
    <w:qFormat/>
    <w:pPr>
      <w:jc w:val="both"/>
    </w:pPr>
    <w:rPr>
      <w:b/>
    </w:rPr>
  </w:style>
  <w:style w:type="paragraph" w:customStyle="1" w:styleId="020">
    <w:name w:val="样式 列表 + 左侧:  0 厘米 悬挂缩进: 2 字符"/>
    <w:basedOn w:val="aff2"/>
    <w:qFormat/>
    <w:pPr>
      <w:tabs>
        <w:tab w:val="center" w:pos="4153"/>
        <w:tab w:val="right" w:pos="8306"/>
      </w:tabs>
      <w:snapToGrid w:val="0"/>
      <w:spacing w:line="320" w:lineRule="exact"/>
    </w:pPr>
    <w:rPr>
      <w:rFonts w:ascii="Times New Roman" w:eastAsia="宋体"/>
      <w:sz w:val="21"/>
      <w:szCs w:val="21"/>
    </w:rPr>
  </w:style>
  <w:style w:type="paragraph" w:customStyle="1" w:styleId="GB231212">
    <w:name w:val="样式 仿宋_GB2312 小四 居中 行距: 最小值 12 磅"/>
    <w:basedOn w:val="a2"/>
    <w:qFormat/>
    <w:pPr>
      <w:spacing w:line="400" w:lineRule="exact"/>
      <w:jc w:val="center"/>
    </w:pPr>
    <w:rPr>
      <w:rFonts w:ascii="仿宋_GB2312" w:cs="宋体"/>
    </w:rPr>
  </w:style>
  <w:style w:type="paragraph" w:customStyle="1" w:styleId="CharCharCharCharCharChar12">
    <w:name w:val="Char Char Char Char Char Char12"/>
    <w:basedOn w:val="a2"/>
    <w:uiPriority w:val="99"/>
    <w:qFormat/>
    <w:pPr>
      <w:jc w:val="both"/>
    </w:pPr>
    <w:rPr>
      <w:rFonts w:ascii="Times New Roman"/>
    </w:rPr>
  </w:style>
  <w:style w:type="paragraph" w:customStyle="1" w:styleId="Style52">
    <w:name w:val="_Style 52"/>
    <w:basedOn w:val="a2"/>
    <w:next w:val="39"/>
    <w:uiPriority w:val="99"/>
    <w:qFormat/>
    <w:pPr>
      <w:spacing w:after="120"/>
      <w:ind w:leftChars="200" w:left="420"/>
      <w:jc w:val="both"/>
      <w:textAlignment w:val="baseline"/>
    </w:pPr>
    <w:rPr>
      <w:rFonts w:ascii="宋体" w:hAnsi="宋体"/>
      <w:sz w:val="16"/>
    </w:rPr>
  </w:style>
  <w:style w:type="paragraph" w:customStyle="1" w:styleId="021">
    <w:name w:val="目录02"/>
    <w:basedOn w:val="a2"/>
    <w:uiPriority w:val="99"/>
    <w:qFormat/>
    <w:pPr>
      <w:spacing w:line="460" w:lineRule="exact"/>
      <w:jc w:val="both"/>
    </w:pPr>
    <w:rPr>
      <w:rFonts w:ascii="宋体" w:cs="宋体"/>
      <w:sz w:val="24"/>
    </w:rPr>
  </w:style>
  <w:style w:type="paragraph" w:customStyle="1" w:styleId="CharChar5CharChar">
    <w:name w:val="Char Char5 Char Char"/>
    <w:basedOn w:val="a2"/>
    <w:uiPriority w:val="99"/>
    <w:qFormat/>
    <w:pPr>
      <w:spacing w:line="360" w:lineRule="auto"/>
      <w:ind w:firstLineChars="200" w:firstLine="200"/>
      <w:jc w:val="both"/>
    </w:pPr>
  </w:style>
  <w:style w:type="paragraph" w:customStyle="1" w:styleId="211305057">
    <w:name w:val="样式 样式 标题 2 + 首行缩进:  1.13 厘米 + 段前: 0.5 行 段后: 0.5 行7"/>
    <w:basedOn w:val="2113"/>
    <w:uiPriority w:val="99"/>
    <w:qFormat/>
    <w:pPr>
      <w:spacing w:afterLines="0"/>
    </w:pPr>
  </w:style>
  <w:style w:type="paragraph" w:customStyle="1" w:styleId="Char2CharCharCharCharCharCharCharCharCharCharChar1CharCharCharCharCharCharCharCharChar2">
    <w:name w:val="Char2 Char Char Char Char Char Char Char Char Char Char Char1 Char Char Char Char Char Char Char Char Char2"/>
    <w:basedOn w:val="a2"/>
    <w:uiPriority w:val="99"/>
    <w:qFormat/>
    <w:pPr>
      <w:jc w:val="both"/>
    </w:pPr>
    <w:rPr>
      <w:rFonts w:ascii="Times New Roman"/>
    </w:rPr>
  </w:style>
  <w:style w:type="paragraph" w:customStyle="1" w:styleId="143">
    <w:name w:val="1标题4级"/>
    <w:basedOn w:val="133"/>
    <w:uiPriority w:val="99"/>
    <w:qFormat/>
  </w:style>
  <w:style w:type="paragraph" w:customStyle="1" w:styleId="133">
    <w:name w:val="1标题3级"/>
    <w:basedOn w:val="a2"/>
    <w:uiPriority w:val="99"/>
    <w:qFormat/>
    <w:pPr>
      <w:keepNext/>
      <w:snapToGrid w:val="0"/>
      <w:spacing w:line="420" w:lineRule="auto"/>
      <w:jc w:val="both"/>
      <w:textAlignment w:val="baseline"/>
    </w:pPr>
    <w:rPr>
      <w:rFonts w:ascii="宋体" w:eastAsia="黑体" w:hAnsi="宋体" w:hint="eastAsia"/>
      <w:b/>
    </w:rPr>
  </w:style>
  <w:style w:type="paragraph" w:customStyle="1" w:styleId="CharCharChar1CharCharCharCharCharCharCharCharCharCharCharCharCharCharCharCharCharCharCharCharCharCharCharCharCharCharChar">
    <w:name w:val="Char Char Char1 Char Char Char Char Char Char Char Char Char Char Char Char Char Char Char Char Char Char Char Char Char Char Char Char Char Char Char"/>
    <w:basedOn w:val="a2"/>
    <w:pPr>
      <w:spacing w:line="360" w:lineRule="auto"/>
    </w:pPr>
    <w:rPr>
      <w:sz w:val="24"/>
    </w:rPr>
  </w:style>
  <w:style w:type="paragraph" w:customStyle="1" w:styleId="CharCharCharCharChar2Char">
    <w:name w:val="Char Char Char Char Char2 Char"/>
    <w:basedOn w:val="a2"/>
    <w:semiHidden/>
    <w:qFormat/>
    <w:pPr>
      <w:snapToGrid w:val="0"/>
      <w:spacing w:line="360" w:lineRule="auto"/>
      <w:ind w:firstLineChars="200" w:firstLine="200"/>
      <w:jc w:val="both"/>
    </w:pPr>
    <w:rPr>
      <w:szCs w:val="26"/>
    </w:rPr>
  </w:style>
  <w:style w:type="paragraph" w:customStyle="1" w:styleId="affffffffffffd">
    <w:name w:val="正文楷体"/>
    <w:basedOn w:val="a2"/>
    <w:uiPriority w:val="99"/>
    <w:qFormat/>
    <w:pPr>
      <w:jc w:val="both"/>
    </w:pPr>
  </w:style>
  <w:style w:type="paragraph" w:customStyle="1" w:styleId="xl79">
    <w:name w:val="xl79"/>
    <w:basedOn w:val="a2"/>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Char1CharCharChar3">
    <w:name w:val="Char1 Char Char Char3"/>
    <w:basedOn w:val="a2"/>
    <w:uiPriority w:val="99"/>
    <w:qFormat/>
    <w:pPr>
      <w:jc w:val="both"/>
    </w:pPr>
    <w:rPr>
      <w:rFonts w:ascii="Times New Roman"/>
    </w:rPr>
  </w:style>
  <w:style w:type="paragraph" w:customStyle="1" w:styleId="2ff9">
    <w:name w:val="正文文本 (2)"/>
    <w:basedOn w:val="a2"/>
    <w:uiPriority w:val="99"/>
    <w:unhideWhenUsed/>
    <w:pPr>
      <w:shd w:val="clear" w:color="auto" w:fill="FFFFFF"/>
      <w:autoSpaceDE/>
      <w:autoSpaceDN/>
      <w:adjustRightInd/>
      <w:spacing w:line="466" w:lineRule="exact"/>
      <w:ind w:firstLineChars="200" w:firstLine="200"/>
      <w:jc w:val="both"/>
    </w:pPr>
    <w:rPr>
      <w:rFonts w:ascii="MingLiU" w:eastAsia="MingLiU" w:hAnsi="MingLiU" w:hint="eastAsia"/>
      <w:lang w:eastAsia="en-US"/>
    </w:rPr>
  </w:style>
  <w:style w:type="paragraph" w:customStyle="1" w:styleId="Char220">
    <w:name w:val="样式 样式 正文首行缩进正文首行缩进 Char + 首行缩进:  2 字符 + 首行缩进:  2 字符"/>
    <w:basedOn w:val="a2"/>
    <w:uiPriority w:val="99"/>
    <w:qFormat/>
    <w:pPr>
      <w:snapToGrid w:val="0"/>
      <w:spacing w:line="360" w:lineRule="auto"/>
      <w:ind w:firstLineChars="200" w:firstLine="420"/>
      <w:jc w:val="both"/>
      <w:textAlignment w:val="baseline"/>
    </w:pPr>
    <w:rPr>
      <w:lang w:val="zh-CN"/>
    </w:rPr>
  </w:style>
  <w:style w:type="paragraph" w:customStyle="1" w:styleId="Char2CharChar1CharCharChar2">
    <w:name w:val="Char2 Char Char1 Char Char Char2"/>
    <w:basedOn w:val="a2"/>
    <w:uiPriority w:val="99"/>
    <w:qFormat/>
    <w:pPr>
      <w:jc w:val="both"/>
    </w:pPr>
    <w:rPr>
      <w:rFonts w:ascii="Times New Roman"/>
    </w:rPr>
  </w:style>
  <w:style w:type="paragraph" w:customStyle="1" w:styleId="p6">
    <w:name w:val="p6"/>
    <w:basedOn w:val="a2"/>
    <w:qFormat/>
    <w:pPr>
      <w:tabs>
        <w:tab w:val="left" w:pos="4720"/>
      </w:tabs>
      <w:spacing w:line="240" w:lineRule="atLeast"/>
      <w:ind w:left="3280"/>
    </w:pPr>
    <w:rPr>
      <w:rFonts w:hAnsi="Arial"/>
      <w:snapToGrid w:val="0"/>
      <w:sz w:val="24"/>
      <w:lang w:eastAsia="en-US"/>
    </w:rPr>
  </w:style>
  <w:style w:type="paragraph" w:customStyle="1" w:styleId="TableParagraph">
    <w:name w:val="Table Paragraph"/>
    <w:basedOn w:val="a2"/>
    <w:uiPriority w:val="1"/>
    <w:qFormat/>
    <w:rPr>
      <w:rFonts w:ascii="Times New Roman" w:eastAsia="宋体"/>
    </w:rPr>
  </w:style>
  <w:style w:type="paragraph" w:customStyle="1" w:styleId="CharCharChar1CharCharCharChar4">
    <w:name w:val="Char Char Char1 Char Char Char Char4"/>
    <w:basedOn w:val="a2"/>
    <w:uiPriority w:val="99"/>
    <w:qFormat/>
    <w:pPr>
      <w:spacing w:line="360" w:lineRule="auto"/>
      <w:jc w:val="both"/>
    </w:pPr>
  </w:style>
  <w:style w:type="paragraph" w:customStyle="1" w:styleId="Char1CharCharCharCharChar1Char">
    <w:name w:val="Char1 Char Char Char Char Char1 Char"/>
    <w:basedOn w:val="a2"/>
    <w:semiHidden/>
    <w:pPr>
      <w:jc w:val="both"/>
    </w:pPr>
  </w:style>
  <w:style w:type="paragraph" w:customStyle="1" w:styleId="1ffff2">
    <w:name w:val="表格文字1"/>
    <w:basedOn w:val="a2"/>
    <w:uiPriority w:val="99"/>
    <w:qFormat/>
    <w:pPr>
      <w:tabs>
        <w:tab w:val="left" w:pos="0"/>
      </w:tabs>
      <w:spacing w:before="60" w:line="240" w:lineRule="exact"/>
      <w:ind w:left="78" w:right="57"/>
      <w:jc w:val="center"/>
      <w:textAlignment w:val="baseline"/>
    </w:pPr>
  </w:style>
  <w:style w:type="paragraph" w:customStyle="1" w:styleId="CharChar12ZchnZchnCharChar2">
    <w:name w:val="Char Char12 Zchn Zchn Char Char2"/>
    <w:basedOn w:val="a2"/>
    <w:uiPriority w:val="99"/>
    <w:qFormat/>
    <w:pPr>
      <w:jc w:val="both"/>
    </w:pPr>
  </w:style>
  <w:style w:type="paragraph" w:customStyle="1" w:styleId="tajicy">
    <w:name w:val="tajicy"/>
    <w:basedOn w:val="a2"/>
    <w:qFormat/>
    <w:pPr>
      <w:widowControl/>
      <w:autoSpaceDE/>
      <w:autoSpaceDN/>
      <w:snapToGrid w:val="0"/>
      <w:spacing w:line="360" w:lineRule="auto"/>
      <w:ind w:firstLineChars="200" w:firstLine="200"/>
      <w:jc w:val="both"/>
    </w:pPr>
    <w:rPr>
      <w:lang w:val="zh-CN"/>
    </w:rPr>
  </w:style>
  <w:style w:type="paragraph" w:customStyle="1" w:styleId="affffffffffffe">
    <w:name w:val="流程图"/>
    <w:basedOn w:val="a2"/>
    <w:qFormat/>
    <w:pPr>
      <w:tabs>
        <w:tab w:val="left" w:pos="0"/>
      </w:tabs>
      <w:spacing w:line="240" w:lineRule="atLeast"/>
      <w:jc w:val="center"/>
      <w:textAlignment w:val="bottom"/>
    </w:pPr>
    <w:rPr>
      <w:rFonts w:ascii="宋体"/>
    </w:rPr>
  </w:style>
  <w:style w:type="paragraph" w:customStyle="1" w:styleId="CM3">
    <w:name w:val="CM3"/>
    <w:basedOn w:val="Default"/>
    <w:next w:val="Default"/>
    <w:uiPriority w:val="99"/>
    <w:qFormat/>
    <w:pPr>
      <w:spacing w:beforeLines="0" w:before="0" w:afterLines="0" w:after="0" w:line="240" w:lineRule="auto"/>
      <w:ind w:firstLineChars="0" w:firstLine="0"/>
    </w:pPr>
    <w:rPr>
      <w:rFonts w:ascii="新宋体" w:eastAsia="新宋体" w:cs="Times New Roman"/>
      <w:color w:val="auto"/>
    </w:rPr>
  </w:style>
  <w:style w:type="paragraph" w:customStyle="1" w:styleId="CharCharChar1CharCharCharCharCharCharCharCharCharCharCharCharCharCharChar1CharCharCharCharCharCharCharCharCharCharCharCharCharCharCharCharChar">
    <w:name w:val="Char Char Char1 Char Char Char Char Char Char Char Char Char Char Char Char Char Char Char1 Char Char Char Char Char Char Char Char Char Char Char Char Char Char Char Char Char"/>
    <w:basedOn w:val="a2"/>
    <w:uiPriority w:val="99"/>
    <w:qFormat/>
    <w:pPr>
      <w:jc w:val="both"/>
    </w:pPr>
  </w:style>
  <w:style w:type="paragraph" w:customStyle="1" w:styleId="xl108">
    <w:name w:val="xl108"/>
    <w:basedOn w:val="a2"/>
    <w:qFormat/>
    <w:pPr>
      <w:pBdr>
        <w:left w:val="single" w:sz="4" w:space="0" w:color="auto"/>
        <w:right w:val="single" w:sz="4" w:space="0" w:color="auto"/>
      </w:pBdr>
      <w:spacing w:before="100" w:beforeAutospacing="1" w:after="100" w:afterAutospacing="1"/>
      <w:jc w:val="center"/>
    </w:pPr>
    <w:rPr>
      <w:color w:val="000000"/>
      <w:sz w:val="18"/>
      <w:szCs w:val="18"/>
    </w:rPr>
  </w:style>
  <w:style w:type="paragraph" w:customStyle="1" w:styleId="MyList-2">
    <w:name w:val="MyList-2"/>
    <w:basedOn w:val="MyList-1"/>
    <w:uiPriority w:val="99"/>
    <w:qFormat/>
    <w:pPr>
      <w:numPr>
        <w:ilvl w:val="1"/>
      </w:numPr>
      <w:spacing w:beforeLines="25" w:before="25" w:afterLines="0" w:after="0"/>
      <w:outlineLvl w:val="1"/>
    </w:pPr>
  </w:style>
  <w:style w:type="paragraph" w:customStyle="1" w:styleId="MyList-1">
    <w:name w:val="MyList-1"/>
    <w:uiPriority w:val="99"/>
    <w:qFormat/>
    <w:pPr>
      <w:widowControl w:val="0"/>
      <w:numPr>
        <w:numId w:val="6"/>
      </w:numPr>
      <w:spacing w:beforeLines="50" w:before="50" w:afterLines="25" w:after="25" w:line="360" w:lineRule="auto"/>
      <w:jc w:val="both"/>
      <w:outlineLvl w:val="0"/>
    </w:pPr>
    <w:rPr>
      <w:rFonts w:ascii="Times New Roman" w:eastAsia="宋体" w:hAnsi="Times New Roman" w:cs="Times New Roman"/>
      <w:b/>
      <w:kern w:val="2"/>
      <w:sz w:val="24"/>
      <w:szCs w:val="24"/>
    </w:rPr>
  </w:style>
  <w:style w:type="paragraph" w:customStyle="1" w:styleId="6626">
    <w:name w:val="样式 正文文本缩进 + 小四 段前: 6 磅 段后: 6 磅 行距: 固定值 26 磅"/>
    <w:basedOn w:val="af5"/>
    <w:qFormat/>
    <w:pPr>
      <w:spacing w:before="120" w:line="520" w:lineRule="exact"/>
      <w:ind w:leftChars="0" w:left="0" w:firstLineChars="200" w:firstLine="480"/>
    </w:pPr>
    <w:rPr>
      <w:rFonts w:ascii="宋体" w:hAnsi="宋体"/>
      <w:sz w:val="24"/>
      <w:szCs w:val="20"/>
    </w:rPr>
  </w:style>
  <w:style w:type="paragraph" w:customStyle="1" w:styleId="CharChar1Char1">
    <w:name w:val="Char Char1 Char1"/>
    <w:basedOn w:val="a2"/>
    <w:uiPriority w:val="99"/>
    <w:qFormat/>
    <w:pPr>
      <w:spacing w:after="160" w:line="240" w:lineRule="exact"/>
    </w:pPr>
    <w:rPr>
      <w:rFonts w:eastAsia="Times New Roman" w:hAnsi="Arial" w:cs="Verdana"/>
      <w:b/>
      <w:sz w:val="24"/>
      <w:lang w:eastAsia="en-US"/>
    </w:rPr>
  </w:style>
  <w:style w:type="paragraph" w:customStyle="1" w:styleId="afffffffffffff">
    <w:name w:val="三级条标题"/>
    <w:basedOn w:val="a2"/>
    <w:next w:val="a2"/>
    <w:qFormat/>
    <w:pPr>
      <w:widowControl/>
      <w:tabs>
        <w:tab w:val="left" w:pos="360"/>
        <w:tab w:val="left" w:pos="1820"/>
        <w:tab w:val="left" w:pos="2100"/>
        <w:tab w:val="left" w:pos="2240"/>
        <w:tab w:val="left" w:pos="2660"/>
      </w:tabs>
      <w:ind w:left="2660" w:hanging="420"/>
      <w:outlineLvl w:val="4"/>
    </w:pPr>
    <w:rPr>
      <w:rFonts w:ascii="黑体" w:eastAsia="黑体"/>
    </w:rPr>
  </w:style>
  <w:style w:type="paragraph" w:customStyle="1" w:styleId="afffffffffffff0">
    <w:name w:val="字元"/>
    <w:basedOn w:val="a2"/>
    <w:uiPriority w:val="99"/>
    <w:qFormat/>
    <w:pPr>
      <w:jc w:val="both"/>
    </w:pPr>
    <w:rPr>
      <w:rFonts w:ascii="Times New Roman"/>
    </w:rPr>
  </w:style>
  <w:style w:type="paragraph" w:customStyle="1" w:styleId="2110">
    <w:name w:val="正文文本 211"/>
    <w:basedOn w:val="a2"/>
    <w:uiPriority w:val="99"/>
    <w:qFormat/>
    <w:pPr>
      <w:spacing w:line="360" w:lineRule="atLeast"/>
      <w:ind w:firstLine="425"/>
      <w:jc w:val="both"/>
      <w:textAlignment w:val="baseline"/>
    </w:pPr>
    <w:rPr>
      <w:rFonts w:ascii="宋体" w:hAnsi="Tms Rmn"/>
    </w:rPr>
  </w:style>
  <w:style w:type="paragraph" w:customStyle="1" w:styleId="afffffffffffff1">
    <w:name w:val="表格表题"/>
    <w:basedOn w:val="a2"/>
    <w:uiPriority w:val="99"/>
    <w:qFormat/>
    <w:pPr>
      <w:spacing w:line="360" w:lineRule="auto"/>
      <w:jc w:val="center"/>
      <w:textAlignment w:val="baseline"/>
    </w:pPr>
    <w:rPr>
      <w:rFonts w:ascii="黑体" w:eastAsia="黑体"/>
    </w:rPr>
  </w:style>
  <w:style w:type="paragraph" w:customStyle="1" w:styleId="2210">
    <w:name w:val="样式 标题 2 + 首行缩进:  2 字符1"/>
    <w:basedOn w:val="22"/>
    <w:uiPriority w:val="99"/>
    <w:qFormat/>
    <w:pPr>
      <w:keepLines w:val="0"/>
      <w:spacing w:beforeLines="100" w:before="312" w:after="0" w:line="440" w:lineRule="exact"/>
      <w:ind w:firstLineChars="200" w:firstLine="560"/>
    </w:pPr>
    <w:rPr>
      <w:rFonts w:ascii="Times New Roman" w:eastAsia="汉鼎简特宋" w:hAnsi="Times New Roman" w:cs="Times New Roman"/>
      <w:bCs w:val="0"/>
      <w:sz w:val="28"/>
      <w:szCs w:val="30"/>
    </w:rPr>
  </w:style>
  <w:style w:type="paragraph" w:customStyle="1" w:styleId="1ffff3">
    <w:name w:val="图题1"/>
    <w:basedOn w:val="aff4"/>
    <w:next w:val="a2"/>
    <w:uiPriority w:val="99"/>
    <w:qFormat/>
    <w:pPr>
      <w:spacing w:line="360" w:lineRule="auto"/>
    </w:pPr>
    <w:rPr>
      <w:rFonts w:ascii="方正大标宋简体" w:eastAsia="方正大标宋简体" w:hint="default"/>
      <w:sz w:val="24"/>
    </w:rPr>
  </w:style>
  <w:style w:type="paragraph" w:customStyle="1" w:styleId="CharCharChar1CharCharCharCharCharChar2">
    <w:name w:val="Char Char Char1 Char Char Char Char Char Char2"/>
    <w:basedOn w:val="a2"/>
    <w:qFormat/>
    <w:pPr>
      <w:jc w:val="both"/>
    </w:pPr>
    <w:rPr>
      <w:rFonts w:ascii="Times New Roman"/>
    </w:rPr>
  </w:style>
  <w:style w:type="paragraph" w:customStyle="1" w:styleId="Char1CharCharCharCharCharCharCharCharChar1">
    <w:name w:val="Char1 Char Char Char Char Char Char Char Char Char1"/>
    <w:basedOn w:val="a2"/>
    <w:uiPriority w:val="99"/>
    <w:qFormat/>
    <w:pPr>
      <w:jc w:val="both"/>
    </w:pPr>
  </w:style>
  <w:style w:type="paragraph" w:customStyle="1" w:styleId="CharCharCharCharCharCharCharCharCharCharChar">
    <w:name w:val="Char Char Char Char Char Char Char Char Char Char Char"/>
    <w:basedOn w:val="a2"/>
    <w:pPr>
      <w:jc w:val="both"/>
    </w:pPr>
    <w:rPr>
      <w:sz w:val="24"/>
    </w:rPr>
  </w:style>
  <w:style w:type="paragraph" w:customStyle="1" w:styleId="CharCharCharCharCharCharCharChar1CharCharCharCharCharCharCharCharCharCharCharChar1Char3">
    <w:name w:val="Char Char Char Char Char Char Char Char1 Char Char Char Char Char Char Char Char Char Char Char Char1 Char3"/>
    <w:basedOn w:val="a2"/>
    <w:uiPriority w:val="99"/>
    <w:qFormat/>
    <w:pPr>
      <w:jc w:val="both"/>
    </w:pPr>
  </w:style>
  <w:style w:type="paragraph" w:customStyle="1" w:styleId="afffffffffffff2">
    <w:name w:val="样式 小四 加粗 黑色 居中"/>
    <w:basedOn w:val="a2"/>
    <w:pPr>
      <w:autoSpaceDE/>
      <w:autoSpaceDN/>
      <w:adjustRightInd/>
      <w:spacing w:line="360" w:lineRule="auto"/>
      <w:ind w:firstLineChars="200" w:firstLine="200"/>
      <w:jc w:val="center"/>
    </w:pPr>
    <w:rPr>
      <w:rFonts w:cs="宋体"/>
      <w:b/>
      <w:bCs/>
      <w:color w:val="000000"/>
    </w:rPr>
  </w:style>
  <w:style w:type="paragraph" w:customStyle="1" w:styleId="1ffff4">
    <w:name w:val="批注框文本1"/>
    <w:basedOn w:val="a2"/>
    <w:uiPriority w:val="99"/>
    <w:qFormat/>
    <w:rPr>
      <w:sz w:val="18"/>
    </w:rPr>
  </w:style>
  <w:style w:type="paragraph" w:customStyle="1" w:styleId="1ffff5">
    <w:name w:val="正文格式1"/>
    <w:basedOn w:val="a2"/>
    <w:uiPriority w:val="99"/>
    <w:qFormat/>
    <w:pPr>
      <w:spacing w:line="360" w:lineRule="auto"/>
      <w:ind w:firstLine="482"/>
      <w:jc w:val="both"/>
    </w:pPr>
    <w:rPr>
      <w:rFonts w:ascii="宋体" w:cs="宋体"/>
      <w:sz w:val="24"/>
    </w:rPr>
  </w:style>
  <w:style w:type="paragraph" w:customStyle="1" w:styleId="afffffffffffff3">
    <w:name w:val="小表"/>
    <w:basedOn w:val="a2"/>
    <w:uiPriority w:val="99"/>
    <w:qFormat/>
    <w:pPr>
      <w:tabs>
        <w:tab w:val="left" w:pos="352"/>
      </w:tabs>
      <w:overflowPunct w:val="0"/>
      <w:jc w:val="center"/>
      <w:textAlignment w:val="bottom"/>
    </w:pPr>
    <w:rPr>
      <w:rFonts w:ascii="宋体" w:hAnsi="宋体"/>
    </w:rPr>
  </w:style>
  <w:style w:type="paragraph" w:customStyle="1" w:styleId="afffffffffffff4">
    <w:name w:val="注解"/>
    <w:basedOn w:val="a2"/>
    <w:uiPriority w:val="99"/>
    <w:qFormat/>
    <w:pPr>
      <w:snapToGrid w:val="0"/>
      <w:ind w:left="624" w:right="170" w:hanging="454"/>
      <w:jc w:val="both"/>
    </w:pPr>
    <w:rPr>
      <w:rFonts w:ascii="宋体" w:hAnsi="宋体"/>
      <w:color w:val="000000"/>
      <w:sz w:val="15"/>
    </w:rPr>
  </w:style>
  <w:style w:type="paragraph" w:customStyle="1" w:styleId="afffffffffffff5">
    <w:name w:val="正文表格"/>
    <w:basedOn w:val="a2"/>
    <w:qFormat/>
    <w:pPr>
      <w:keepNext/>
      <w:keepLines/>
      <w:overflowPunct w:val="0"/>
      <w:spacing w:before="80" w:line="500" w:lineRule="exact"/>
      <w:jc w:val="center"/>
      <w:textAlignment w:val="bottom"/>
    </w:pPr>
    <w:rPr>
      <w:rFonts w:eastAsia="仿宋_GB2312"/>
    </w:rPr>
  </w:style>
  <w:style w:type="paragraph" w:customStyle="1" w:styleId="250">
    <w:name w:val="样式 (符号) 宋体 四号 黑色 居中 行距: 固定值 25 磅"/>
    <w:basedOn w:val="a2"/>
    <w:qFormat/>
    <w:pPr>
      <w:spacing w:beforeLines="50" w:before="50" w:afterLines="50" w:after="50" w:line="500" w:lineRule="exact"/>
      <w:ind w:firstLineChars="200" w:firstLine="200"/>
      <w:jc w:val="center"/>
    </w:pPr>
    <w:rPr>
      <w:rFonts w:hAnsi="宋体" w:cs="宋体"/>
      <w:color w:val="000000"/>
    </w:rPr>
  </w:style>
  <w:style w:type="paragraph" w:customStyle="1" w:styleId="afffffffffffff6">
    <w:name w:val="样式 正文文本 +"/>
    <w:basedOn w:val="af4"/>
    <w:uiPriority w:val="99"/>
    <w:qFormat/>
    <w:pPr>
      <w:snapToGrid w:val="0"/>
      <w:spacing w:before="60" w:after="60" w:line="264" w:lineRule="auto"/>
      <w:ind w:firstLineChars="200" w:firstLine="200"/>
      <w:jc w:val="both"/>
      <w:textAlignment w:val="baseline"/>
    </w:pPr>
    <w:rPr>
      <w:rFonts w:eastAsia="仿宋_GB2312"/>
      <w:snapToGrid w:val="0"/>
      <w:kern w:val="0"/>
      <w:sz w:val="24"/>
    </w:rPr>
  </w:style>
  <w:style w:type="paragraph" w:customStyle="1" w:styleId="3fc">
    <w:name w:val="小3仿"/>
    <w:basedOn w:val="af4"/>
    <w:uiPriority w:val="99"/>
    <w:qFormat/>
    <w:pPr>
      <w:tabs>
        <w:tab w:val="left" w:pos="0"/>
        <w:tab w:val="left" w:pos="4020"/>
      </w:tabs>
      <w:spacing w:after="0" w:line="360" w:lineRule="auto"/>
      <w:ind w:firstLineChars="218" w:firstLine="523"/>
      <w:jc w:val="both"/>
    </w:pPr>
    <w:rPr>
      <w:rFonts w:ascii="仿宋_GB2312" w:eastAsia="仿宋_GB2312" w:hAnsi="宋体"/>
      <w:snapToGrid w:val="0"/>
      <w:kern w:val="0"/>
      <w:sz w:val="24"/>
      <w:szCs w:val="24"/>
    </w:rPr>
  </w:style>
  <w:style w:type="paragraph" w:customStyle="1" w:styleId="0772044">
    <w:name w:val="样式 首行缩进:  0.77 厘米 行距: 固定值 20 磅44"/>
    <w:basedOn w:val="a2"/>
    <w:uiPriority w:val="99"/>
    <w:qFormat/>
    <w:pPr>
      <w:spacing w:line="360" w:lineRule="auto"/>
      <w:ind w:firstLineChars="200" w:firstLine="480"/>
      <w:jc w:val="both"/>
    </w:pPr>
    <w:rPr>
      <w:sz w:val="24"/>
    </w:rPr>
  </w:style>
  <w:style w:type="paragraph" w:customStyle="1" w:styleId="style2">
    <w:name w:val="style2"/>
    <w:basedOn w:val="a2"/>
    <w:uiPriority w:val="99"/>
    <w:qFormat/>
    <w:pPr>
      <w:spacing w:before="100" w:beforeAutospacing="1" w:after="100" w:afterAutospacing="1"/>
    </w:pPr>
    <w:rPr>
      <w:rFonts w:ascii="宋体" w:hAnsi="宋体"/>
      <w:color w:val="666666"/>
      <w:sz w:val="24"/>
    </w:rPr>
  </w:style>
  <w:style w:type="paragraph" w:customStyle="1" w:styleId="3111ReHead3WSAh3BSH-3H3b33rdlevell3CT">
    <w:name w:val="样式 标题 3条标题1.1.1ReHead 3 WSAh3BSH-3H3b33rd levell3CT标题..."/>
    <w:basedOn w:val="32"/>
    <w:uiPriority w:val="99"/>
    <w:qFormat/>
    <w:pPr>
      <w:keepNext w:val="0"/>
      <w:keepLines w:val="0"/>
      <w:snapToGrid w:val="0"/>
      <w:spacing w:before="120" w:after="120" w:line="240" w:lineRule="auto"/>
      <w:jc w:val="both"/>
    </w:pPr>
    <w:rPr>
      <w:rFonts w:ascii="Times New Roman" w:eastAsia="黑体"/>
      <w:bCs w:val="0"/>
      <w:sz w:val="28"/>
    </w:rPr>
  </w:style>
  <w:style w:type="paragraph" w:customStyle="1" w:styleId="ft00">
    <w:name w:val="ft00"/>
    <w:basedOn w:val="a2"/>
    <w:uiPriority w:val="99"/>
    <w:qFormat/>
    <w:rPr>
      <w:rFonts w:ascii="Times" w:hAnsi="Times" w:cs="Times"/>
      <w:color w:val="000000"/>
    </w:rPr>
  </w:style>
  <w:style w:type="paragraph" w:customStyle="1" w:styleId="Style5">
    <w:name w:val="_Style 5"/>
    <w:uiPriority w:val="1"/>
    <w:qFormat/>
    <w:pPr>
      <w:widowControl w:val="0"/>
      <w:jc w:val="center"/>
    </w:pPr>
    <w:rPr>
      <w:rFonts w:ascii="Times New Roman" w:eastAsia="宋体" w:hAnsi="Times New Roman" w:cs="Times New Roman"/>
      <w:kern w:val="2"/>
      <w:sz w:val="21"/>
      <w:szCs w:val="24"/>
    </w:rPr>
  </w:style>
  <w:style w:type="paragraph" w:customStyle="1" w:styleId="ST201">
    <w:name w:val="ST20_1"/>
    <w:basedOn w:val="a2"/>
    <w:qFormat/>
    <w:pPr>
      <w:spacing w:line="312" w:lineRule="atLeast"/>
      <w:jc w:val="center"/>
      <w:textAlignment w:val="baseline"/>
    </w:pPr>
    <w:rPr>
      <w:rFonts w:ascii="宋体" w:hAnsi="Tms Rmn"/>
      <w:sz w:val="24"/>
    </w:rPr>
  </w:style>
  <w:style w:type="paragraph" w:customStyle="1" w:styleId="CharCharChar1CharChar2">
    <w:name w:val="Char Char Char1 Char Char2"/>
    <w:basedOn w:val="a2"/>
    <w:uiPriority w:val="99"/>
    <w:qFormat/>
    <w:pPr>
      <w:jc w:val="both"/>
    </w:pPr>
    <w:rPr>
      <w:color w:val="000000"/>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2"/>
    <w:uiPriority w:val="99"/>
    <w:qFormat/>
    <w:pPr>
      <w:spacing w:line="360" w:lineRule="auto"/>
      <w:ind w:firstLineChars="200" w:firstLine="200"/>
      <w:jc w:val="both"/>
    </w:pPr>
  </w:style>
  <w:style w:type="paragraph" w:customStyle="1" w:styleId="afffffffffffff7">
    <w:name w:val="黄表格"/>
    <w:basedOn w:val="a2"/>
    <w:qFormat/>
    <w:pPr>
      <w:widowControl/>
      <w:jc w:val="center"/>
    </w:pPr>
    <w:rPr>
      <w:rFonts w:cs="宋体"/>
    </w:rPr>
  </w:style>
  <w:style w:type="paragraph" w:customStyle="1" w:styleId="afffffffffffff8">
    <w:name w:val="样式 表格"/>
    <w:basedOn w:val="a2"/>
    <w:uiPriority w:val="99"/>
    <w:qFormat/>
    <w:pPr>
      <w:spacing w:line="360" w:lineRule="auto"/>
      <w:jc w:val="center"/>
    </w:pPr>
    <w:rPr>
      <w:rFonts w:ascii="楷体_GB2312" w:hAnsi="宋体" w:cs="宋体"/>
      <w:sz w:val="24"/>
    </w:rPr>
  </w:style>
  <w:style w:type="paragraph" w:customStyle="1" w:styleId="9CharCharChar6Char">
    <w:name w:val="9 Char Char Char6 Char"/>
    <w:basedOn w:val="a2"/>
    <w:uiPriority w:val="99"/>
    <w:qFormat/>
    <w:pPr>
      <w:spacing w:line="240" w:lineRule="exact"/>
      <w:ind w:firstLineChars="200" w:firstLine="200"/>
      <w:jc w:val="both"/>
    </w:pPr>
    <w:rPr>
      <w:szCs w:val="28"/>
    </w:rPr>
  </w:style>
  <w:style w:type="paragraph" w:customStyle="1" w:styleId="1220">
    <w:name w:val="样式 (符号) 宋体 行距: 最小值 12 磅2"/>
    <w:basedOn w:val="a2"/>
    <w:uiPriority w:val="99"/>
    <w:qFormat/>
    <w:pPr>
      <w:jc w:val="both"/>
    </w:pPr>
    <w:rPr>
      <w:rFonts w:hAnsi="宋体" w:cs="宋体"/>
      <w:color w:val="000000"/>
      <w:sz w:val="18"/>
      <w:szCs w:val="18"/>
    </w:rPr>
  </w:style>
  <w:style w:type="paragraph" w:customStyle="1" w:styleId="CharCharChar1CharCharCharCharCharCharCharCharCharCharCharCharCharCharCharCharCharCharCharCharCharCharCharCharCharCharChar3">
    <w:name w:val="Char Char Char1 Char Char Char Char Char Char Char Char Char Char Char Char Char Char Char Char Char Char Char Char Char Char Char Char Char Char Char3"/>
    <w:basedOn w:val="a2"/>
    <w:uiPriority w:val="99"/>
    <w:qFormat/>
    <w:pPr>
      <w:spacing w:line="360" w:lineRule="auto"/>
    </w:pPr>
  </w:style>
  <w:style w:type="paragraph" w:customStyle="1" w:styleId="127">
    <w:name w:val="正文首行缩进12"/>
    <w:basedOn w:val="aff9"/>
    <w:uiPriority w:val="99"/>
    <w:qFormat/>
    <w:pPr>
      <w:spacing w:line="360" w:lineRule="auto"/>
      <w:ind w:leftChars="11" w:left="23" w:firstLineChars="183" w:firstLine="439"/>
      <w:jc w:val="both"/>
    </w:pPr>
    <w:rPr>
      <w:kern w:val="0"/>
      <w:sz w:val="24"/>
    </w:rPr>
  </w:style>
  <w:style w:type="paragraph" w:customStyle="1" w:styleId="Balken">
    <w:name w:val="Balken"/>
    <w:uiPriority w:val="99"/>
    <w:qFormat/>
    <w:pPr>
      <w:pBdr>
        <w:top w:val="single" w:sz="6" w:space="1" w:color="auto"/>
        <w:left w:val="single" w:sz="6" w:space="1" w:color="auto"/>
        <w:bottom w:val="single" w:sz="6" w:space="1" w:color="auto"/>
        <w:right w:val="single" w:sz="6" w:space="1" w:color="auto"/>
      </w:pBdr>
      <w:tabs>
        <w:tab w:val="left" w:pos="2279"/>
        <w:tab w:val="left" w:pos="2580"/>
        <w:tab w:val="left" w:pos="2836"/>
        <w:tab w:val="left" w:pos="5102"/>
      </w:tabs>
      <w:overflowPunct w:val="0"/>
      <w:autoSpaceDE w:val="0"/>
      <w:autoSpaceDN w:val="0"/>
      <w:adjustRightInd w:val="0"/>
      <w:spacing w:before="32" w:after="23" w:line="192" w:lineRule="atLeast"/>
      <w:ind w:left="29"/>
      <w:textAlignment w:val="baseline"/>
    </w:pPr>
    <w:rPr>
      <w:rFonts w:ascii="CorpoSLig" w:eastAsia="宋体" w:hAnsi="CorpoSLig" w:cs="Times New Roman"/>
      <w:b/>
      <w:lang w:val="de-DE"/>
    </w:rPr>
  </w:style>
  <w:style w:type="paragraph" w:customStyle="1" w:styleId="2Char11Char11CharChar11CharChar">
    <w:name w:val="样式 标题 2 Char节标题 1.1节Char节标题 1.1 Char Char节标题 1.1 Char Char..."/>
    <w:basedOn w:val="22"/>
    <w:uiPriority w:val="99"/>
    <w:qFormat/>
    <w:pPr>
      <w:keepLines w:val="0"/>
      <w:spacing w:before="0" w:after="0" w:line="500" w:lineRule="exact"/>
      <w:ind w:leftChars="1" w:left="29" w:hangingChars="10" w:hanging="27"/>
      <w:jc w:val="both"/>
    </w:pPr>
    <w:rPr>
      <w:rFonts w:ascii="Times New Roman" w:eastAsia="宋体" w:hAnsi="Times New Roman" w:cs="宋体"/>
      <w:kern w:val="10"/>
      <w:sz w:val="27"/>
      <w:szCs w:val="27"/>
    </w:rPr>
  </w:style>
  <w:style w:type="paragraph" w:customStyle="1" w:styleId="afffffffffffff9">
    <w:name w:val="二级标题"/>
    <w:next w:val="2a"/>
    <w:uiPriority w:val="99"/>
    <w:qFormat/>
    <w:rPr>
      <w:rFonts w:ascii="Times New Roman" w:eastAsia="宋体" w:hAnsi="Times New Roman" w:cs="Times New Roman"/>
      <w:b/>
      <w:kern w:val="2"/>
      <w:sz w:val="24"/>
      <w:szCs w:val="24"/>
    </w:rPr>
  </w:style>
  <w:style w:type="paragraph" w:customStyle="1" w:styleId="21100">
    <w:name w:val="样式 标题 2节标题 1.1 + 五号 居中 左侧:  0 厘米 行距: 单倍行距"/>
    <w:basedOn w:val="22"/>
    <w:uiPriority w:val="99"/>
    <w:qFormat/>
    <w:pPr>
      <w:keepNext w:val="0"/>
      <w:keepLines w:val="0"/>
      <w:tabs>
        <w:tab w:val="left" w:pos="1320"/>
      </w:tabs>
      <w:spacing w:before="0" w:after="0" w:line="360" w:lineRule="auto"/>
      <w:jc w:val="center"/>
      <w:textAlignment w:val="baseline"/>
    </w:pPr>
    <w:rPr>
      <w:rFonts w:ascii="Times New Roman" w:eastAsia="宋体" w:hAnsi="Times New Roman" w:cs="宋体"/>
      <w:bCs w:val="0"/>
      <w:sz w:val="21"/>
      <w:szCs w:val="30"/>
    </w:rPr>
  </w:style>
  <w:style w:type="paragraph" w:customStyle="1" w:styleId="reader-word-layerreader-word-s1-3">
    <w:name w:val="reader-word-layer reader-word-s1-3"/>
    <w:basedOn w:val="a2"/>
    <w:uiPriority w:val="99"/>
    <w:qFormat/>
    <w:pPr>
      <w:spacing w:before="100" w:beforeAutospacing="1" w:after="100" w:afterAutospacing="1"/>
    </w:pPr>
    <w:rPr>
      <w:rFonts w:ascii="宋体" w:hAnsi="宋体" w:cs="宋体"/>
      <w:sz w:val="24"/>
    </w:rPr>
  </w:style>
  <w:style w:type="paragraph" w:customStyle="1" w:styleId="3fd">
    <w:name w:val="3"/>
    <w:basedOn w:val="a2"/>
    <w:next w:val="af8"/>
    <w:qFormat/>
    <w:rPr>
      <w:rFonts w:ascii="宋体" w:hAnsi="Courier New" w:cs="Courier New"/>
    </w:rPr>
  </w:style>
  <w:style w:type="paragraph" w:customStyle="1" w:styleId="afffffffffffffa">
    <w:name w:val="样式 五号 居中"/>
    <w:basedOn w:val="a2"/>
    <w:uiPriority w:val="99"/>
    <w:qFormat/>
    <w:pPr>
      <w:snapToGrid w:val="0"/>
      <w:spacing w:line="460" w:lineRule="exact"/>
      <w:ind w:left="210" w:hanging="210"/>
      <w:jc w:val="center"/>
    </w:pPr>
    <w:rPr>
      <w:rFonts w:eastAsia="仿宋_GB2312" w:cs="宋体"/>
    </w:rPr>
  </w:style>
  <w:style w:type="paragraph" w:customStyle="1" w:styleId="219">
    <w:name w:val="样式 题注 + 首行缩进:  2 字符1"/>
    <w:basedOn w:val="ac"/>
    <w:uiPriority w:val="99"/>
    <w:qFormat/>
    <w:pPr>
      <w:snapToGrid w:val="0"/>
      <w:spacing w:before="152" w:afterLines="40" w:after="96"/>
      <w:jc w:val="center"/>
    </w:pPr>
    <w:rPr>
      <w:rFonts w:ascii="宋体" w:eastAsia="宋体" w:hAnsi="宋体" w:cs="宋体"/>
      <w:sz w:val="24"/>
      <w:szCs w:val="24"/>
    </w:rPr>
  </w:style>
  <w:style w:type="paragraph" w:customStyle="1" w:styleId="afffffffffffffb">
    <w:name w:val="图表五号"/>
    <w:basedOn w:val="a2"/>
    <w:qFormat/>
    <w:pPr>
      <w:snapToGrid w:val="0"/>
      <w:spacing w:line="20" w:lineRule="atLeast"/>
      <w:jc w:val="center"/>
    </w:pPr>
  </w:style>
  <w:style w:type="paragraph" w:customStyle="1" w:styleId="03">
    <w:name w:val="样式_正文_03"/>
    <w:uiPriority w:val="99"/>
    <w:qFormat/>
    <w:pPr>
      <w:widowControl w:val="0"/>
      <w:numPr>
        <w:ilvl w:val="8"/>
        <w:numId w:val="7"/>
      </w:numPr>
      <w:spacing w:line="360" w:lineRule="auto"/>
      <w:ind w:right="-55"/>
      <w:jc w:val="both"/>
    </w:pPr>
    <w:rPr>
      <w:rFonts w:ascii="Times New Roman" w:eastAsia="宋体" w:hAnsi="Times New Roman" w:cs="Times New Roman"/>
      <w:kern w:val="28"/>
      <w:sz w:val="28"/>
      <w:szCs w:val="28"/>
    </w:rPr>
  </w:style>
  <w:style w:type="paragraph" w:customStyle="1" w:styleId="afffffffffffffc">
    <w:name w:val="已有表格"/>
    <w:basedOn w:val="a2"/>
    <w:uiPriority w:val="99"/>
    <w:qFormat/>
    <w:pPr>
      <w:spacing w:before="40" w:after="40"/>
      <w:jc w:val="center"/>
      <w:textAlignment w:val="baseline"/>
    </w:pPr>
    <w:rPr>
      <w:b/>
      <w:sz w:val="24"/>
    </w:rPr>
  </w:style>
  <w:style w:type="paragraph" w:customStyle="1" w:styleId="221121TimesNewRoman82">
    <w:name w:val="样式 标题 2标题 21标题 121 + Times New Roman 小三 非加粗 黑色 段前: 8 磅 段...2"/>
    <w:basedOn w:val="22"/>
    <w:uiPriority w:val="99"/>
    <w:qFormat/>
    <w:pPr>
      <w:tabs>
        <w:tab w:val="left" w:pos="992"/>
      </w:tabs>
      <w:spacing w:before="160" w:after="160" w:line="240" w:lineRule="auto"/>
      <w:ind w:left="992" w:hanging="567"/>
      <w:jc w:val="both"/>
    </w:pPr>
    <w:rPr>
      <w:rFonts w:ascii="Times New Roman" w:eastAsia="黑体" w:hAnsi="Times New Roman" w:cs="Times New Roman"/>
      <w:bCs w:val="0"/>
      <w:color w:val="000000"/>
      <w:sz w:val="30"/>
      <w:szCs w:val="30"/>
    </w:rPr>
  </w:style>
  <w:style w:type="paragraph" w:customStyle="1" w:styleId="5b">
    <w:name w:val="5居中"/>
    <w:basedOn w:val="a2"/>
    <w:qFormat/>
    <w:pPr>
      <w:snapToGrid w:val="0"/>
      <w:spacing w:beforeLines="15" w:before="46" w:afterLines="15" w:after="46" w:line="320" w:lineRule="atLeast"/>
      <w:jc w:val="center"/>
    </w:pPr>
  </w:style>
  <w:style w:type="paragraph" w:customStyle="1" w:styleId="311105">
    <w:name w:val="样式 标题 3条标题1.1.1 + 段前: 0.5 行"/>
    <w:basedOn w:val="32"/>
    <w:uiPriority w:val="99"/>
    <w:qFormat/>
    <w:pPr>
      <w:keepLines w:val="0"/>
      <w:tabs>
        <w:tab w:val="left" w:pos="567"/>
        <w:tab w:val="left" w:pos="1740"/>
      </w:tabs>
      <w:snapToGrid w:val="0"/>
      <w:spacing w:beforeLines="50" w:before="156" w:after="0" w:line="360" w:lineRule="auto"/>
    </w:pPr>
    <w:rPr>
      <w:rFonts w:ascii="Times New Roman" w:eastAsia="黑体" w:cs="宋体"/>
      <w:szCs w:val="20"/>
    </w:rPr>
  </w:style>
  <w:style w:type="paragraph" w:customStyle="1" w:styleId="xzz">
    <w:name w:val="xzz"/>
    <w:basedOn w:val="a2"/>
    <w:uiPriority w:val="99"/>
    <w:qFormat/>
    <w:pPr>
      <w:ind w:firstLineChars="200" w:firstLine="480"/>
      <w:jc w:val="both"/>
    </w:pPr>
    <w:rPr>
      <w:rFonts w:ascii="Times New Roman"/>
    </w:rPr>
  </w:style>
  <w:style w:type="paragraph" w:customStyle="1" w:styleId="CharCharChar1CharCharCharChar2">
    <w:name w:val="Char Char Char1 Char Char Char Char2"/>
    <w:basedOn w:val="a2"/>
    <w:uiPriority w:val="99"/>
    <w:qFormat/>
    <w:pPr>
      <w:spacing w:line="360" w:lineRule="auto"/>
      <w:jc w:val="both"/>
    </w:pPr>
  </w:style>
  <w:style w:type="paragraph" w:customStyle="1" w:styleId="Char4CharCharChar2">
    <w:name w:val="Char4 Char Char Char2"/>
    <w:basedOn w:val="a2"/>
    <w:uiPriority w:val="99"/>
    <w:qFormat/>
    <w:pPr>
      <w:jc w:val="both"/>
    </w:pPr>
    <w:rPr>
      <w:rFonts w:ascii="Times New Roman"/>
    </w:rPr>
  </w:style>
  <w:style w:type="paragraph" w:customStyle="1" w:styleId="171">
    <w:name w:val="样式 正文文本缩进 + 首行缩进:  1.71 字符"/>
    <w:basedOn w:val="af5"/>
    <w:pPr>
      <w:autoSpaceDE/>
      <w:autoSpaceDN/>
      <w:adjustRightInd/>
      <w:spacing w:after="0" w:line="360" w:lineRule="auto"/>
      <w:ind w:leftChars="0" w:left="0"/>
      <w:jc w:val="both"/>
    </w:pPr>
    <w:rPr>
      <w:rFonts w:ascii="Tahoma" w:hAnsi="Tahoma" w:cs="Verdana"/>
      <w:sz w:val="28"/>
    </w:rPr>
  </w:style>
  <w:style w:type="paragraph" w:customStyle="1" w:styleId="CharCharChar15">
    <w:name w:val="Char Char Char15"/>
    <w:basedOn w:val="a2"/>
    <w:uiPriority w:val="99"/>
    <w:qFormat/>
    <w:pPr>
      <w:jc w:val="both"/>
    </w:pPr>
  </w:style>
  <w:style w:type="paragraph" w:customStyle="1" w:styleId="252">
    <w:name w:val="样式 (西文) 宋体 四号 行距: 固定值 25 磅 首行缩进:  2 字符"/>
    <w:basedOn w:val="a2"/>
    <w:qFormat/>
    <w:pPr>
      <w:spacing w:line="500" w:lineRule="exact"/>
      <w:ind w:firstLineChars="200" w:firstLine="200"/>
      <w:jc w:val="both"/>
    </w:pPr>
    <w:rPr>
      <w:rFonts w:ascii="宋体" w:hAnsi="宋体" w:cs="宋体"/>
      <w:szCs w:val="28"/>
    </w:rPr>
  </w:style>
  <w:style w:type="paragraph" w:customStyle="1" w:styleId="CharCharChar1CharCharCharCharCharCharCharCharCharCharCharCharChar3">
    <w:name w:val="Char Char Char1 Char Char Char Char Char Char Char Char Char Char Char Char Char3"/>
    <w:basedOn w:val="a2"/>
    <w:uiPriority w:val="99"/>
    <w:qFormat/>
    <w:pPr>
      <w:jc w:val="both"/>
    </w:pPr>
  </w:style>
  <w:style w:type="paragraph" w:customStyle="1" w:styleId="CharCharChar1CharCharCharCharCharCharChar3">
    <w:name w:val="Char Char Char1 Char Char Char Char Char Char Char3"/>
    <w:basedOn w:val="a2"/>
    <w:uiPriority w:val="99"/>
    <w:qFormat/>
  </w:style>
  <w:style w:type="paragraph" w:customStyle="1" w:styleId="151">
    <w:name w:val="样式 行距: 1.5 倍行距"/>
    <w:basedOn w:val="a2"/>
    <w:qFormat/>
    <w:pPr>
      <w:spacing w:line="520" w:lineRule="exact"/>
      <w:ind w:firstLineChars="200" w:firstLine="480"/>
      <w:textAlignment w:val="baseline"/>
    </w:pPr>
    <w:rPr>
      <w:sz w:val="24"/>
    </w:rPr>
  </w:style>
  <w:style w:type="paragraph" w:customStyle="1" w:styleId="GB2312120">
    <w:name w:val="样式 (中文) 楷体_GB2312 居中 行距: 固定值 12 磅"/>
    <w:basedOn w:val="a2"/>
    <w:uiPriority w:val="99"/>
    <w:qFormat/>
    <w:pPr>
      <w:spacing w:line="240" w:lineRule="exact"/>
      <w:jc w:val="center"/>
    </w:pPr>
  </w:style>
  <w:style w:type="paragraph" w:customStyle="1" w:styleId="55">
    <w:name w:val="表标题5.5"/>
    <w:basedOn w:val="a2"/>
    <w:pPr>
      <w:numPr>
        <w:numId w:val="8"/>
      </w:numPr>
      <w:spacing w:beforeLines="100" w:before="100" w:line="0" w:lineRule="atLeast"/>
      <w:jc w:val="both"/>
    </w:pPr>
    <w:rPr>
      <w:rFonts w:ascii="Times New Roman" w:eastAsia="黑体"/>
      <w:b/>
    </w:rPr>
  </w:style>
  <w:style w:type="paragraph" w:customStyle="1" w:styleId="Char4CharCharChar3">
    <w:name w:val="Char4 Char Char Char3"/>
    <w:basedOn w:val="a2"/>
    <w:uiPriority w:val="99"/>
    <w:qFormat/>
    <w:pPr>
      <w:jc w:val="both"/>
    </w:pPr>
  </w:style>
  <w:style w:type="paragraph" w:customStyle="1" w:styleId="1000">
    <w:name w:val="样式 标题 1 + 左侧:  0 厘米 首行缩进:  0 厘米"/>
    <w:basedOn w:val="12"/>
    <w:uiPriority w:val="99"/>
    <w:qFormat/>
    <w:pPr>
      <w:tabs>
        <w:tab w:val="left" w:pos="0"/>
        <w:tab w:val="left" w:pos="1200"/>
      </w:tabs>
      <w:snapToGrid w:val="0"/>
      <w:spacing w:beforeLines="100" w:before="312" w:line="240" w:lineRule="auto"/>
      <w:textAlignment w:val="bottom"/>
    </w:pPr>
    <w:rPr>
      <w:rFonts w:ascii="Arial" w:eastAsia="宋体" w:cs="Arial"/>
      <w:b/>
      <w:bCs w:val="0"/>
      <w:color w:val="000000"/>
      <w:sz w:val="28"/>
      <w:szCs w:val="44"/>
    </w:rPr>
  </w:style>
  <w:style w:type="paragraph" w:customStyle="1" w:styleId="041">
    <w:name w:val="样式 正文缩进正文（首行缩进两字）文本条款 + 段前: 0.4 行"/>
    <w:basedOn w:val="a3"/>
    <w:uiPriority w:val="99"/>
    <w:qFormat/>
    <w:pPr>
      <w:spacing w:before="123" w:line="288" w:lineRule="auto"/>
      <w:ind w:firstLineChars="0" w:firstLine="0"/>
      <w:jc w:val="both"/>
    </w:pPr>
    <w:rPr>
      <w:rFonts w:eastAsia="黑体"/>
      <w:b/>
      <w:sz w:val="28"/>
      <w:szCs w:val="20"/>
    </w:rPr>
  </w:style>
  <w:style w:type="paragraph" w:customStyle="1" w:styleId="414H4">
    <w:name w:val="样式 标题 4标题 14H4 + 小四 非加粗"/>
    <w:basedOn w:val="41"/>
    <w:uiPriority w:val="99"/>
    <w:qFormat/>
    <w:pPr>
      <w:tabs>
        <w:tab w:val="left" w:pos="2160"/>
      </w:tabs>
      <w:spacing w:beforeLines="0" w:before="0" w:line="377" w:lineRule="auto"/>
      <w:ind w:leftChars="0" w:left="2160" w:rightChars="0" w:right="0" w:hanging="420"/>
      <w:jc w:val="both"/>
    </w:pPr>
    <w:rPr>
      <w:rFonts w:ascii="Arial" w:hAnsi="Arial"/>
      <w:b/>
      <w:bCs w:val="0"/>
      <w:color w:val="000000"/>
      <w:sz w:val="24"/>
    </w:rPr>
  </w:style>
  <w:style w:type="paragraph" w:customStyle="1" w:styleId="Char3CharCharCharCharCharChar2">
    <w:name w:val="Char3 Char Char Char Char Char Char2"/>
    <w:basedOn w:val="a2"/>
    <w:uiPriority w:val="99"/>
    <w:qFormat/>
    <w:pPr>
      <w:jc w:val="both"/>
    </w:pPr>
    <w:rPr>
      <w:rFonts w:ascii="Times New Roman"/>
    </w:rPr>
  </w:style>
  <w:style w:type="paragraph" w:customStyle="1" w:styleId="afffffffffffffd">
    <w:name w:val="陈光的正文"/>
    <w:basedOn w:val="a2"/>
    <w:qFormat/>
    <w:pPr>
      <w:snapToGrid w:val="0"/>
      <w:spacing w:beforeLines="10" w:before="31" w:afterLines="10" w:after="31" w:line="360" w:lineRule="auto"/>
      <w:ind w:firstLineChars="200" w:firstLine="560"/>
      <w:jc w:val="both"/>
    </w:pPr>
  </w:style>
  <w:style w:type="paragraph" w:customStyle="1" w:styleId="GB23127820">
    <w:name w:val="样式 (中文) 仿宋_GB2312 小四 段前: 7.8 磅 行距: 固定值 20 磅"/>
    <w:basedOn w:val="a2"/>
    <w:uiPriority w:val="99"/>
    <w:qFormat/>
    <w:pPr>
      <w:spacing w:beforeLines="50" w:before="156" w:line="400" w:lineRule="exact"/>
      <w:ind w:firstLineChars="150" w:firstLine="360"/>
      <w:jc w:val="both"/>
    </w:pPr>
    <w:rPr>
      <w:rFonts w:eastAsia="仿宋_GB2312" w:hAnsi="Arial" w:cs="宋体"/>
      <w:sz w:val="24"/>
    </w:rPr>
  </w:style>
  <w:style w:type="paragraph" w:customStyle="1" w:styleId="chu">
    <w:name w:val="chu"/>
    <w:basedOn w:val="a2"/>
    <w:uiPriority w:val="99"/>
    <w:qFormat/>
    <w:pPr>
      <w:snapToGrid w:val="0"/>
      <w:spacing w:before="100" w:beforeAutospacing="1" w:after="100" w:afterAutospacing="1" w:line="360" w:lineRule="auto"/>
      <w:ind w:firstLineChars="200" w:firstLine="200"/>
    </w:pPr>
    <w:rPr>
      <w:rFonts w:ascii="宋体" w:hAnsi="宋体"/>
      <w:sz w:val="24"/>
    </w:rPr>
  </w:style>
  <w:style w:type="paragraph" w:customStyle="1" w:styleId="1ffff6">
    <w:name w:val="表格标题（使用1）"/>
    <w:basedOn w:val="a2"/>
    <w:pPr>
      <w:autoSpaceDE/>
      <w:autoSpaceDN/>
      <w:adjustRightInd/>
      <w:spacing w:beforeLines="50" w:before="156"/>
      <w:ind w:firstLineChars="200" w:firstLine="200"/>
      <w:jc w:val="center"/>
      <w:textAlignment w:val="baseline"/>
    </w:pPr>
    <w:rPr>
      <w:rFonts w:hAnsi="宋体"/>
      <w:b/>
      <w:color w:val="000000"/>
    </w:rPr>
  </w:style>
  <w:style w:type="paragraph" w:customStyle="1" w:styleId="430">
    <w:name w:val="标题 43"/>
    <w:basedOn w:val="a2"/>
    <w:next w:val="a2"/>
    <w:uiPriority w:val="99"/>
    <w:qFormat/>
    <w:pPr>
      <w:snapToGrid w:val="0"/>
      <w:jc w:val="both"/>
      <w:textAlignment w:val="baseline"/>
    </w:pPr>
    <w:rPr>
      <w:rFonts w:hint="eastAsia"/>
      <w:sz w:val="32"/>
    </w:rPr>
  </w:style>
  <w:style w:type="paragraph" w:customStyle="1" w:styleId="075">
    <w:name w:val="样式 报告书表格 + 小五 底端: (单实线 自动设置  0.75 磅 行宽)"/>
    <w:basedOn w:val="afffd"/>
    <w:qFormat/>
    <w:rPr>
      <w:rFonts w:cs="宋体"/>
      <w:sz w:val="18"/>
      <w:szCs w:val="18"/>
    </w:rPr>
  </w:style>
  <w:style w:type="paragraph" w:customStyle="1" w:styleId="2h2MVA21212">
    <w:name w:val="样式 标题 2h2MVA2 + 段前: 12 磅 段后: 12 磅"/>
    <w:basedOn w:val="22"/>
    <w:uiPriority w:val="99"/>
    <w:qFormat/>
    <w:pPr>
      <w:keepNext w:val="0"/>
      <w:keepLines w:val="0"/>
      <w:tabs>
        <w:tab w:val="left" w:pos="575"/>
      </w:tabs>
      <w:spacing w:before="240" w:after="240" w:line="240" w:lineRule="auto"/>
      <w:ind w:left="575" w:hanging="576"/>
      <w:textAlignment w:val="baseline"/>
    </w:pPr>
    <w:rPr>
      <w:rFonts w:ascii="Times New Roman" w:eastAsia="黑体" w:hAnsi="Times New Roman" w:cs="宋体"/>
      <w:b w:val="0"/>
      <w:sz w:val="24"/>
      <w:szCs w:val="24"/>
    </w:rPr>
  </w:style>
  <w:style w:type="paragraph" w:customStyle="1" w:styleId="20505">
    <w:name w:val="样式 题2 + 段前: 0.5 行 段后: 0.5 行"/>
    <w:basedOn w:val="2fd"/>
    <w:qFormat/>
    <w:pPr>
      <w:spacing w:beforeLines="0" w:afterLines="0"/>
    </w:pPr>
    <w:rPr>
      <w:rFonts w:cs="宋体"/>
      <w:szCs w:val="20"/>
    </w:rPr>
  </w:style>
  <w:style w:type="paragraph" w:customStyle="1" w:styleId="1ffff7">
    <w:name w:val="编号(1)"/>
    <w:basedOn w:val="a2"/>
    <w:qFormat/>
    <w:pPr>
      <w:tabs>
        <w:tab w:val="left" w:pos="432"/>
        <w:tab w:val="left" w:pos="547"/>
        <w:tab w:val="left" w:pos="1080"/>
      </w:tabs>
      <w:spacing w:line="480" w:lineRule="atLeast"/>
      <w:ind w:left="432" w:hanging="432"/>
    </w:pPr>
  </w:style>
  <w:style w:type="paragraph" w:customStyle="1" w:styleId="22Char1CharChar21H2H212XWChar2XWCha1">
    <w:name w:val="样式 标题 2标题 2 Char1 Char Char标题 21H2H21标题 2XW Char标题 2XW Cha...1"/>
    <w:basedOn w:val="22"/>
    <w:uiPriority w:val="99"/>
    <w:qFormat/>
    <w:pPr>
      <w:snapToGrid w:val="0"/>
      <w:spacing w:before="0" w:after="120" w:line="360" w:lineRule="auto"/>
      <w:jc w:val="both"/>
    </w:pPr>
    <w:rPr>
      <w:rFonts w:ascii="黑体" w:eastAsia="宋体" w:hAnsi="Arial" w:cs="宋体"/>
      <w:bCs w:val="0"/>
      <w:snapToGrid w:val="0"/>
      <w:sz w:val="28"/>
      <w:szCs w:val="30"/>
    </w:rPr>
  </w:style>
  <w:style w:type="paragraph" w:customStyle="1" w:styleId="1CharCharb">
    <w:name w:val="目录 1 Char Char"/>
    <w:basedOn w:val="a2"/>
    <w:next w:val="a2"/>
    <w:qFormat/>
    <w:pPr>
      <w:tabs>
        <w:tab w:val="left" w:leader="dot" w:pos="8010"/>
      </w:tabs>
      <w:snapToGrid w:val="0"/>
      <w:spacing w:line="300" w:lineRule="auto"/>
    </w:pPr>
    <w:rPr>
      <w:rFonts w:eastAsia="黑体" w:hAnsi="宋体"/>
      <w:sz w:val="24"/>
    </w:rPr>
  </w:style>
  <w:style w:type="paragraph" w:customStyle="1" w:styleId="CharCharCharCharCharCharCharCharCharCharChar4">
    <w:name w:val="Char Char Char Char Char Char Char Char Char Char Char4"/>
    <w:basedOn w:val="a2"/>
    <w:uiPriority w:val="99"/>
    <w:qFormat/>
    <w:pPr>
      <w:jc w:val="both"/>
    </w:pPr>
    <w:rPr>
      <w:sz w:val="24"/>
    </w:rPr>
  </w:style>
  <w:style w:type="paragraph" w:customStyle="1" w:styleId="unnamed3">
    <w:name w:val="unnamed3"/>
    <w:basedOn w:val="a2"/>
    <w:uiPriority w:val="99"/>
    <w:qFormat/>
    <w:pPr>
      <w:snapToGrid w:val="0"/>
      <w:spacing w:before="100" w:beforeAutospacing="1" w:after="100" w:afterAutospacing="1" w:line="315" w:lineRule="atLeast"/>
      <w:ind w:firstLineChars="200" w:firstLine="200"/>
    </w:pPr>
    <w:rPr>
      <w:rFonts w:ascii="宋体" w:hAnsi="宋体"/>
      <w:sz w:val="20"/>
    </w:rPr>
  </w:style>
  <w:style w:type="paragraph" w:customStyle="1" w:styleId="3fe">
    <w:name w:val="字元 字元3 字元"/>
    <w:basedOn w:val="a2"/>
    <w:next w:val="a2"/>
    <w:qFormat/>
    <w:pPr>
      <w:spacing w:line="360" w:lineRule="auto"/>
      <w:ind w:firstLineChars="200" w:firstLine="200"/>
      <w:jc w:val="both"/>
    </w:pPr>
    <w:rPr>
      <w:rFonts w:ascii="Times New Roman"/>
    </w:rPr>
  </w:style>
  <w:style w:type="paragraph" w:customStyle="1" w:styleId="1ffff8">
    <w:name w:val="正文缩进1"/>
    <w:basedOn w:val="a2"/>
    <w:uiPriority w:val="99"/>
    <w:qFormat/>
    <w:pPr>
      <w:spacing w:line="560" w:lineRule="exact"/>
      <w:ind w:firstLineChars="200" w:firstLine="560"/>
      <w:jc w:val="both"/>
      <w:textAlignment w:val="baseline"/>
    </w:pPr>
    <w:rPr>
      <w:rFonts w:hint="eastAsia"/>
    </w:rPr>
  </w:style>
  <w:style w:type="paragraph" w:customStyle="1" w:styleId="HTML12">
    <w:name w:val="HTML 预设格式12"/>
    <w:basedOn w:val="a2"/>
    <w:uiPriority w:val="99"/>
    <w:qFormat/>
    <w:pPr>
      <w:jc w:val="both"/>
    </w:pPr>
    <w:rPr>
      <w:rFonts w:ascii="Courier New" w:eastAsia="宋体" w:hAnsi="Courier New"/>
      <w:szCs w:val="22"/>
    </w:rPr>
  </w:style>
  <w:style w:type="paragraph" w:customStyle="1" w:styleId="1ffff9">
    <w:name w:val="普通(网站)1"/>
    <w:basedOn w:val="a2"/>
    <w:qFormat/>
    <w:pPr>
      <w:jc w:val="both"/>
      <w:textAlignment w:val="baseline"/>
    </w:pPr>
    <w:rPr>
      <w:sz w:val="24"/>
    </w:rPr>
  </w:style>
  <w:style w:type="paragraph" w:customStyle="1" w:styleId="CharCharChar1CharCharCharCharCharCharCharCharCharCharCharCharCharCharCharCharCharCharCharCharCharChar3">
    <w:name w:val="Char Char Char1 Char Char Char Char Char Char Char Char Char Char Char Char Char Char Char Char Char Char Char Char Char Char3"/>
    <w:basedOn w:val="a2"/>
    <w:uiPriority w:val="99"/>
    <w:qFormat/>
  </w:style>
  <w:style w:type="paragraph" w:customStyle="1" w:styleId="1ffffa">
    <w:name w:val="图表1"/>
    <w:basedOn w:val="a2"/>
    <w:uiPriority w:val="99"/>
    <w:qFormat/>
    <w:pPr>
      <w:overflowPunct w:val="0"/>
      <w:spacing w:before="60" w:after="60"/>
      <w:jc w:val="center"/>
      <w:textAlignment w:val="baseline"/>
    </w:pPr>
    <w:rPr>
      <w:rFonts w:ascii="宋体"/>
      <w:kern w:val="28"/>
      <w:sz w:val="20"/>
    </w:rPr>
  </w:style>
  <w:style w:type="paragraph" w:customStyle="1" w:styleId="CharCharChar1CharCharCharCharCharCharCharCharCharCharCharCharCharCharCharCharCharCharCharCharCharCharCharCharCharCharChar2">
    <w:name w:val="Char Char Char1 Char Char Char Char Char Char Char Char Char Char Char Char Char Char Char Char Char Char Char Char Char Char Char Char Char Char Char2"/>
    <w:basedOn w:val="a2"/>
    <w:uiPriority w:val="99"/>
    <w:qFormat/>
    <w:pPr>
      <w:spacing w:line="360" w:lineRule="auto"/>
    </w:pPr>
    <w:rPr>
      <w:rFonts w:ascii="Times New Roman"/>
    </w:rPr>
  </w:style>
  <w:style w:type="paragraph" w:customStyle="1" w:styleId="CharCharCharCharCharChar60">
    <w:name w:val="Char Char Char Char Char Char6"/>
    <w:basedOn w:val="a2"/>
    <w:uiPriority w:val="99"/>
    <w:qFormat/>
  </w:style>
  <w:style w:type="paragraph" w:customStyle="1" w:styleId="1ffffb">
    <w:name w:val="一级1"/>
    <w:basedOn w:val="22"/>
    <w:uiPriority w:val="99"/>
    <w:qFormat/>
    <w:pPr>
      <w:keepNext w:val="0"/>
      <w:keepLines w:val="0"/>
      <w:spacing w:before="0" w:after="0" w:line="360" w:lineRule="auto"/>
      <w:ind w:left="425" w:hanging="425"/>
    </w:pPr>
    <w:rPr>
      <w:rFonts w:ascii="Times New Roman" w:eastAsia="宋体" w:hAnsi="Times New Roman" w:cs="Times New Roman"/>
      <w:bCs w:val="0"/>
      <w:kern w:val="44"/>
      <w:sz w:val="30"/>
      <w:szCs w:val="28"/>
    </w:rPr>
  </w:style>
  <w:style w:type="paragraph" w:customStyle="1" w:styleId="CharCharCharCharCharCharCharCharCharChar0">
    <w:name w:val="Char Char Char Char Char Char Char Char Char Char"/>
    <w:basedOn w:val="a2"/>
    <w:pPr>
      <w:jc w:val="both"/>
    </w:pPr>
  </w:style>
  <w:style w:type="paragraph" w:customStyle="1" w:styleId="afffffffffffffe">
    <w:name w:val="示例"/>
    <w:next w:val="a2"/>
    <w:qFormat/>
    <w:pPr>
      <w:tabs>
        <w:tab w:val="left" w:pos="816"/>
      </w:tabs>
      <w:spacing w:beforeLines="50" w:before="50" w:afterLines="50" w:after="50" w:line="360" w:lineRule="auto"/>
      <w:ind w:firstLineChars="233" w:firstLine="419"/>
      <w:jc w:val="both"/>
    </w:pPr>
    <w:rPr>
      <w:rFonts w:ascii="Times New Roman" w:eastAsia="宋体" w:hAnsi="Times New Roman" w:cs="Times New Roman"/>
      <w:sz w:val="18"/>
    </w:rPr>
  </w:style>
  <w:style w:type="paragraph" w:customStyle="1" w:styleId="Char2CharCharCharCharCharChar">
    <w:name w:val="Char2 Char Char Char Char Char Char"/>
    <w:basedOn w:val="a2"/>
    <w:qFormat/>
    <w:pPr>
      <w:jc w:val="both"/>
    </w:pPr>
  </w:style>
  <w:style w:type="paragraph" w:customStyle="1" w:styleId="1H1NMPHeading1SectionHeadHeader1h11stleve">
    <w:name w:val="样式 标题 1章标题章节H1NMP Heading 1Section HeadHeader1h11st leve..."/>
    <w:basedOn w:val="12"/>
    <w:qFormat/>
    <w:pPr>
      <w:keepLines w:val="0"/>
      <w:spacing w:beforeLines="100" w:before="240" w:afterLines="100" w:after="240" w:line="480" w:lineRule="exact"/>
      <w:textAlignment w:val="auto"/>
    </w:pPr>
    <w:rPr>
      <w:rFonts w:eastAsia="方正仿宋_GBK" w:cs="宋体"/>
      <w:b/>
      <w:kern w:val="2"/>
      <w:sz w:val="44"/>
      <w:szCs w:val="20"/>
    </w:rPr>
  </w:style>
  <w:style w:type="paragraph" w:customStyle="1" w:styleId="5c">
    <w:name w:val="表文5中"/>
    <w:basedOn w:val="a2"/>
    <w:qFormat/>
    <w:pPr>
      <w:jc w:val="center"/>
      <w:textAlignment w:val="baseline"/>
    </w:pPr>
  </w:style>
  <w:style w:type="paragraph" w:customStyle="1" w:styleId="3313Char1CharCharChar31CharCharChar">
    <w:name w:val="样式 样式 标题 3标题 31标题 3 Char1 Char Char Char标题 31 Char Char Char标题 ...."/>
    <w:basedOn w:val="a2"/>
    <w:uiPriority w:val="99"/>
    <w:qFormat/>
    <w:pPr>
      <w:keepNext/>
      <w:keepLines/>
      <w:spacing w:beforeLines="50" w:before="156" w:afterLines="50" w:after="156" w:line="520" w:lineRule="exact"/>
      <w:ind w:firstLineChars="200" w:firstLine="200"/>
      <w:jc w:val="both"/>
      <w:outlineLvl w:val="2"/>
    </w:pPr>
    <w:rPr>
      <w:rFonts w:cs="宋体"/>
      <w:b/>
      <w:bCs/>
      <w:snapToGrid w:val="0"/>
      <w:sz w:val="24"/>
    </w:rPr>
  </w:style>
  <w:style w:type="paragraph" w:customStyle="1" w:styleId="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3"/>
    <w:basedOn w:val="a2"/>
    <w:uiPriority w:val="99"/>
    <w:qFormat/>
    <w:pPr>
      <w:jc w:val="both"/>
    </w:pPr>
    <w:rPr>
      <w:rFonts w:ascii="Times New Roman"/>
    </w:rPr>
  </w:style>
  <w:style w:type="paragraph" w:customStyle="1" w:styleId="affffffffffffff">
    <w:name w:val="标题二"/>
    <w:basedOn w:val="22"/>
    <w:next w:val="a2"/>
    <w:qFormat/>
    <w:pPr>
      <w:tabs>
        <w:tab w:val="left" w:pos="1275"/>
      </w:tabs>
      <w:spacing w:beforeLines="30" w:before="93" w:afterLines="30" w:after="93" w:line="360" w:lineRule="auto"/>
    </w:pPr>
    <w:rPr>
      <w:rFonts w:ascii="Times New Roman" w:eastAsia="仿宋_GB2312" w:hAnsi="Times New Roman" w:cs="Times New Roman"/>
      <w:sz w:val="30"/>
      <w:szCs w:val="30"/>
    </w:rPr>
  </w:style>
  <w:style w:type="paragraph" w:customStyle="1" w:styleId="Char2CharCharCharCharCharChar4">
    <w:name w:val="Char2 Char Char Char Char Char Char4"/>
    <w:basedOn w:val="a2"/>
    <w:pPr>
      <w:jc w:val="both"/>
    </w:pPr>
    <w:rPr>
      <w:sz w:val="24"/>
    </w:rPr>
  </w:style>
  <w:style w:type="paragraph" w:customStyle="1" w:styleId="standard">
    <w:name w:val="standard ü"/>
    <w:basedOn w:val="a2"/>
    <w:uiPriority w:val="99"/>
    <w:qFormat/>
    <w:pPr>
      <w:spacing w:before="240" w:after="120" w:line="360" w:lineRule="auto"/>
      <w:ind w:firstLine="567"/>
      <w:jc w:val="both"/>
      <w:textAlignment w:val="baseline"/>
    </w:pPr>
    <w:rPr>
      <w:rFonts w:ascii="CorpoSLig" w:hAnsi="CorpoSLig"/>
      <w:sz w:val="24"/>
    </w:rPr>
  </w:style>
  <w:style w:type="paragraph" w:customStyle="1" w:styleId="2ffa">
    <w:name w:val="正文2"/>
    <w:basedOn w:val="a2"/>
    <w:qFormat/>
    <w:pPr>
      <w:snapToGrid w:val="0"/>
      <w:spacing w:line="360" w:lineRule="auto"/>
      <w:ind w:leftChars="200" w:left="200"/>
    </w:pPr>
    <w:rPr>
      <w:rFonts w:ascii="宋体"/>
      <w:color w:val="000000"/>
      <w:sz w:val="24"/>
      <w:szCs w:val="28"/>
    </w:rPr>
  </w:style>
  <w:style w:type="paragraph" w:customStyle="1" w:styleId="xl27">
    <w:name w:val="xl27"/>
    <w:basedOn w:val="a2"/>
    <w:qFormat/>
    <w:pPr>
      <w:widowControl/>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97">
    <w:name w:val="xl97"/>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CharCharChar1CharCharCharCharCharCharCharCharCharCharCharCharCharCharChar1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1"/>
    <w:basedOn w:val="a2"/>
    <w:uiPriority w:val="99"/>
    <w:qFormat/>
    <w:pPr>
      <w:jc w:val="both"/>
    </w:pPr>
  </w:style>
  <w:style w:type="paragraph" w:customStyle="1" w:styleId="22Heading2HiddenHeading2CCBSheading2H2h2">
    <w:name w:val="样式 标题 2第一章 标题 2Heading 2 HiddenHeading 2 CCBSheading 2H2h2..."/>
    <w:basedOn w:val="22"/>
    <w:qFormat/>
    <w:pPr>
      <w:spacing w:before="120" w:after="120" w:line="500" w:lineRule="exact"/>
      <w:jc w:val="both"/>
    </w:pPr>
    <w:rPr>
      <w:rFonts w:ascii="Times New Roman" w:eastAsia="仿宋_GB2312" w:hAnsi="Times New Roman" w:cs="Times New Roman"/>
      <w:color w:val="000000"/>
      <w:kern w:val="44"/>
      <w:sz w:val="28"/>
    </w:rPr>
  </w:style>
  <w:style w:type="paragraph" w:customStyle="1" w:styleId="41111">
    <w:name w:val="标题 4款标题1.1.1.1"/>
    <w:basedOn w:val="41"/>
    <w:uiPriority w:val="99"/>
    <w:qFormat/>
    <w:pPr>
      <w:snapToGrid w:val="0"/>
      <w:spacing w:beforeLines="20" w:before="62" w:afterLines="30" w:after="93" w:line="570" w:lineRule="exact"/>
      <w:ind w:leftChars="0" w:left="0" w:rightChars="0" w:right="0"/>
    </w:pPr>
    <w:rPr>
      <w:rFonts w:ascii="Arial" w:hAnsi="Arial"/>
      <w:bCs w:val="0"/>
      <w:szCs w:val="20"/>
    </w:rPr>
  </w:style>
  <w:style w:type="paragraph" w:customStyle="1" w:styleId="NormalWeb1">
    <w:name w:val="Normal (Web)1"/>
    <w:basedOn w:val="a2"/>
    <w:uiPriority w:val="99"/>
    <w:qFormat/>
    <w:pPr>
      <w:jc w:val="both"/>
      <w:textAlignment w:val="baseline"/>
    </w:pPr>
    <w:rPr>
      <w:rFonts w:ascii="宋体" w:hAnsi="宋体" w:hint="eastAsia"/>
      <w:sz w:val="24"/>
    </w:rPr>
  </w:style>
  <w:style w:type="paragraph" w:customStyle="1" w:styleId="0202">
    <w:name w:val="样式 表内文字 + 段前: 0.2 行 段后: 0.2 行"/>
    <w:basedOn w:val="af8"/>
    <w:uiPriority w:val="99"/>
    <w:qFormat/>
    <w:pPr>
      <w:spacing w:beforeLines="20" w:before="62" w:afterLines="20" w:after="62"/>
      <w:jc w:val="center"/>
    </w:pPr>
    <w:rPr>
      <w:rFonts w:eastAsia="楷体_GB2312" w:hAnsi="宋体" w:hint="eastAsia"/>
      <w:kern w:val="0"/>
      <w:sz w:val="21"/>
      <w:szCs w:val="20"/>
    </w:rPr>
  </w:style>
  <w:style w:type="paragraph" w:customStyle="1" w:styleId="xl742">
    <w:name w:val="xl742"/>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eastAsia="Arial Unicode MS" w:hAnsi="Courier New"/>
      <w:sz w:val="24"/>
    </w:rPr>
  </w:style>
  <w:style w:type="paragraph" w:customStyle="1" w:styleId="CharChar12ZchnZchnCharChar1">
    <w:name w:val="Char Char12 Zchn Zchn Char Char1"/>
    <w:basedOn w:val="a2"/>
    <w:uiPriority w:val="99"/>
    <w:qFormat/>
    <w:pPr>
      <w:jc w:val="both"/>
    </w:pPr>
    <w:rPr>
      <w:rFonts w:ascii="Times New Roman"/>
    </w:rPr>
  </w:style>
  <w:style w:type="paragraph" w:customStyle="1" w:styleId="PlainText2">
    <w:name w:val="Plain Text2"/>
    <w:basedOn w:val="a2"/>
    <w:uiPriority w:val="99"/>
    <w:qFormat/>
    <w:pPr>
      <w:jc w:val="both"/>
      <w:textAlignment w:val="baseline"/>
    </w:pPr>
    <w:rPr>
      <w:rFonts w:ascii="宋体" w:hAnsi="Tms Rmn"/>
    </w:rPr>
  </w:style>
  <w:style w:type="paragraph" w:customStyle="1" w:styleId="xl59">
    <w:name w:val="xl59"/>
    <w:basedOn w:val="a2"/>
    <w:qFormat/>
    <w:pPr>
      <w:pBdr>
        <w:bottom w:val="single" w:sz="4" w:space="0" w:color="auto"/>
      </w:pBdr>
      <w:shd w:val="clear" w:color="auto" w:fill="FFFFFF"/>
      <w:spacing w:before="100" w:beforeAutospacing="1" w:after="100" w:afterAutospacing="1"/>
      <w:jc w:val="right"/>
    </w:pPr>
    <w:rPr>
      <w:rFonts w:ascii="Arial Unicode MS" w:eastAsia="Arial Unicode MS" w:hAnsi="Arial Unicode MS"/>
      <w:color w:val="000080"/>
      <w:szCs w:val="28"/>
    </w:rPr>
  </w:style>
  <w:style w:type="paragraph" w:customStyle="1" w:styleId="134">
    <w:name w:val="样式 正文首行缩进 + 首行缩进:  1 字符3"/>
    <w:basedOn w:val="aff9"/>
    <w:uiPriority w:val="99"/>
    <w:qFormat/>
    <w:pPr>
      <w:spacing w:line="500" w:lineRule="exact"/>
      <w:ind w:firstLineChars="200" w:firstLine="200"/>
      <w:jc w:val="both"/>
      <w:textAlignment w:val="center"/>
    </w:pPr>
    <w:rPr>
      <w:rFonts w:ascii="宋体" w:hAnsi="宋体" w:cs="宋体"/>
      <w:kern w:val="0"/>
      <w:sz w:val="24"/>
    </w:rPr>
  </w:style>
  <w:style w:type="paragraph" w:customStyle="1" w:styleId="410">
    <w:name w:val="小4仿宋居中行1"/>
    <w:uiPriority w:val="99"/>
    <w:qFormat/>
    <w:pPr>
      <w:widowControl w:val="0"/>
      <w:ind w:left="-573" w:right="-59" w:firstLine="494"/>
      <w:jc w:val="center"/>
    </w:pPr>
    <w:rPr>
      <w:rFonts w:ascii="Times New Roman" w:eastAsia="仿宋_GB2312" w:hAnsi="Times New Roman" w:cs="Times New Roman"/>
      <w:sz w:val="24"/>
    </w:rPr>
  </w:style>
  <w:style w:type="paragraph" w:customStyle="1" w:styleId="-2">
    <w:name w:val="正文-使用"/>
    <w:basedOn w:val="a2"/>
    <w:uiPriority w:val="99"/>
    <w:qFormat/>
    <w:pPr>
      <w:spacing w:line="360" w:lineRule="auto"/>
      <w:ind w:firstLine="482"/>
      <w:jc w:val="both"/>
    </w:pPr>
    <w:rPr>
      <w:sz w:val="24"/>
    </w:rPr>
  </w:style>
  <w:style w:type="paragraph" w:customStyle="1" w:styleId="5d">
    <w:name w:val="表内5号居中"/>
    <w:uiPriority w:val="99"/>
    <w:qFormat/>
    <w:pPr>
      <w:adjustRightInd w:val="0"/>
      <w:snapToGrid w:val="0"/>
      <w:jc w:val="center"/>
    </w:pPr>
    <w:rPr>
      <w:rFonts w:ascii="Times New Roman" w:eastAsia="宋体" w:hAnsi="Times New Roman" w:cs="Times New Roman"/>
      <w:sz w:val="21"/>
    </w:rPr>
  </w:style>
  <w:style w:type="character" w:customStyle="1" w:styleId="z-11">
    <w:name w:val="z-窗体底端 字符1"/>
    <w:basedOn w:val="a4"/>
    <w:uiPriority w:val="99"/>
    <w:semiHidden/>
    <w:rPr>
      <w:rFonts w:ascii="Arial" w:eastAsia="楷体_GB2312" w:hAnsi="Arial" w:cs="Arial"/>
      <w:vanish/>
      <w:spacing w:val="-6"/>
      <w:kern w:val="0"/>
      <w:sz w:val="16"/>
      <w:szCs w:val="16"/>
    </w:rPr>
  </w:style>
  <w:style w:type="paragraph" w:customStyle="1" w:styleId="3000">
    <w:name w:val="样式 标题 3 + 黑色 段前: 0行 段后: 0 行"/>
    <w:basedOn w:val="32"/>
    <w:qFormat/>
    <w:pPr>
      <w:tabs>
        <w:tab w:val="left" w:pos="1560"/>
      </w:tabs>
      <w:snapToGrid w:val="0"/>
      <w:spacing w:beforeLines="25" w:before="78" w:afterLines="25" w:after="78" w:line="312" w:lineRule="auto"/>
      <w:ind w:left="1560" w:hanging="720"/>
      <w:jc w:val="both"/>
    </w:pPr>
    <w:rPr>
      <w:rFonts w:ascii="宋体" w:eastAsia="宋体" w:hAnsi="宋体" w:cs="宋体"/>
      <w:b w:val="0"/>
      <w:bCs w:val="0"/>
      <w:sz w:val="24"/>
      <w:szCs w:val="20"/>
    </w:rPr>
  </w:style>
  <w:style w:type="paragraph" w:customStyle="1" w:styleId="4143101">
    <w:name w:val="样式 标题 4标题 14 + 加粗 无下划线 自动设置 段前: 3 磅 段后: 10 磅1"/>
    <w:basedOn w:val="41"/>
    <w:uiPriority w:val="99"/>
    <w:qFormat/>
    <w:pPr>
      <w:keepLines w:val="0"/>
      <w:tabs>
        <w:tab w:val="left" w:pos="864"/>
      </w:tabs>
      <w:snapToGrid w:val="0"/>
      <w:spacing w:beforeLines="0" w:before="60" w:after="200" w:line="240" w:lineRule="auto"/>
      <w:ind w:leftChars="0" w:left="864" w:rightChars="0" w:right="0" w:hanging="864"/>
      <w:jc w:val="both"/>
    </w:pPr>
    <w:rPr>
      <w:rFonts w:ascii="Times New Roman" w:eastAsia="宋体"/>
      <w:color w:val="000000"/>
      <w:sz w:val="24"/>
      <w:szCs w:val="20"/>
    </w:rPr>
  </w:style>
  <w:style w:type="paragraph" w:customStyle="1" w:styleId="21731">
    <w:name w:val="样式 标题 2 + (中文) 黑体 四号 两端对齐 行距: 多倍行距 1.73 字行1"/>
    <w:basedOn w:val="22"/>
    <w:uiPriority w:val="99"/>
    <w:qFormat/>
    <w:pPr>
      <w:spacing w:before="360" w:line="413" w:lineRule="auto"/>
      <w:jc w:val="both"/>
      <w:textAlignment w:val="baseline"/>
    </w:pPr>
    <w:rPr>
      <w:rFonts w:ascii="Arial" w:eastAsia="黑体" w:hAnsi="Arial" w:cs="宋体"/>
      <w:sz w:val="28"/>
      <w:szCs w:val="20"/>
    </w:rPr>
  </w:style>
  <w:style w:type="paragraph" w:customStyle="1" w:styleId="CharChar1CharCharCharCharCharCharCharCharCharCharCharCharCharCharCharCharCharCharCharChar1Char4">
    <w:name w:val="Char Char1 Char Char Char Char Char Char Char Char Char Char Char Char Char Char Char Char Char Char Char Char1 Char4"/>
    <w:basedOn w:val="a2"/>
    <w:uiPriority w:val="99"/>
    <w:qFormat/>
    <w:pPr>
      <w:spacing w:line="360" w:lineRule="auto"/>
      <w:ind w:firstLineChars="200" w:firstLine="200"/>
      <w:jc w:val="both"/>
    </w:pPr>
  </w:style>
  <w:style w:type="paragraph" w:customStyle="1" w:styleId="2211">
    <w:name w:val="样式 首行缩进:  2.21 字符"/>
    <w:basedOn w:val="a2"/>
    <w:uiPriority w:val="99"/>
    <w:qFormat/>
    <w:pPr>
      <w:spacing w:line="360" w:lineRule="auto"/>
      <w:ind w:firstLineChars="200" w:firstLine="200"/>
      <w:jc w:val="both"/>
    </w:pPr>
    <w:rPr>
      <w:rFonts w:cs="宋体"/>
      <w:sz w:val="24"/>
    </w:rPr>
  </w:style>
  <w:style w:type="paragraph" w:customStyle="1" w:styleId="FirmenunterschriftAbteilung">
    <w:name w:val="Firmenunterschrift Abteilung"/>
    <w:basedOn w:val="aff"/>
    <w:next w:val="a2"/>
    <w:uiPriority w:val="99"/>
    <w:qFormat/>
    <w:pPr>
      <w:keepNext/>
      <w:spacing w:before="0" w:line="220" w:lineRule="atLeast"/>
      <w:ind w:left="0" w:firstLine="709"/>
      <w:jc w:val="both"/>
      <w:textAlignment w:val="baseline"/>
    </w:pPr>
    <w:rPr>
      <w:rFonts w:ascii="CorpoS" w:eastAsia="宋体" w:hAnsi="CorpoS"/>
      <w:spacing w:val="-5"/>
      <w:kern w:val="0"/>
    </w:rPr>
  </w:style>
  <w:style w:type="paragraph" w:customStyle="1" w:styleId="22Char1CharChar21H2H212XWChar2XWCha">
    <w:name w:val="样式 标题 2标题 2 Char1 Char Char标题 21H2H21标题 2XW Char标题 2XW Cha..."/>
    <w:basedOn w:val="22"/>
    <w:uiPriority w:val="99"/>
    <w:qFormat/>
    <w:pPr>
      <w:spacing w:before="240" w:after="240" w:line="520" w:lineRule="exact"/>
      <w:jc w:val="both"/>
    </w:pPr>
    <w:rPr>
      <w:rFonts w:ascii="Arial" w:eastAsia="宋体" w:hAnsi="Arial" w:cs="宋体"/>
      <w:b w:val="0"/>
      <w:snapToGrid w:val="0"/>
      <w:sz w:val="28"/>
      <w:szCs w:val="30"/>
    </w:rPr>
  </w:style>
  <w:style w:type="paragraph" w:customStyle="1" w:styleId="22Heading2HiddenHeading2CCBSheading2H2h23">
    <w:name w:val="样式 标题 2第一章 标题 2Heading 2 HiddenHeading 2 CCBSheading 2H2h2...3"/>
    <w:basedOn w:val="22"/>
    <w:qFormat/>
    <w:pPr>
      <w:spacing w:before="120" w:after="120" w:line="500" w:lineRule="exact"/>
      <w:jc w:val="both"/>
    </w:pPr>
    <w:rPr>
      <w:rFonts w:ascii="Times New Roman" w:eastAsia="仿宋_GB2312" w:hAnsi="Times New Roman" w:cs="宋体"/>
      <w:sz w:val="28"/>
      <w:szCs w:val="20"/>
    </w:rPr>
  </w:style>
  <w:style w:type="paragraph" w:customStyle="1" w:styleId="xl65">
    <w:name w:val="xl65"/>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rPr>
  </w:style>
  <w:style w:type="paragraph" w:customStyle="1" w:styleId="InTable">
    <w:name w:val="In Table"/>
    <w:basedOn w:val="a2"/>
    <w:uiPriority w:val="99"/>
    <w:qFormat/>
    <w:pPr>
      <w:tabs>
        <w:tab w:val="left" w:pos="3960"/>
        <w:tab w:val="left" w:pos="5280"/>
      </w:tabs>
      <w:snapToGrid w:val="0"/>
      <w:spacing w:before="96" w:after="96" w:line="0" w:lineRule="atLeast"/>
      <w:jc w:val="center"/>
      <w:textAlignment w:val="baseline"/>
    </w:pPr>
    <w:rPr>
      <w:rFonts w:ascii="Tahoma" w:eastAsia="华文中宋" w:hAnsi="Tahoma"/>
    </w:rPr>
  </w:style>
  <w:style w:type="paragraph" w:customStyle="1" w:styleId="116">
    <w:name w:val="列出段落11"/>
    <w:basedOn w:val="a2"/>
    <w:uiPriority w:val="99"/>
    <w:qFormat/>
    <w:pPr>
      <w:spacing w:line="460" w:lineRule="atLeast"/>
      <w:ind w:firstLineChars="200" w:firstLine="420"/>
      <w:jc w:val="both"/>
    </w:pPr>
    <w:rPr>
      <w:rFonts w:ascii="宋体"/>
      <w:bCs/>
      <w:kern w:val="44"/>
      <w:szCs w:val="44"/>
    </w:rPr>
  </w:style>
  <w:style w:type="paragraph" w:customStyle="1" w:styleId="affffffffffffff0">
    <w:name w:val="表文字"/>
    <w:basedOn w:val="a2"/>
    <w:qFormat/>
    <w:pPr>
      <w:spacing w:line="320" w:lineRule="exact"/>
    </w:pPr>
  </w:style>
  <w:style w:type="paragraph" w:customStyle="1" w:styleId="540">
    <w:name w:val="河石管道 表格正文54"/>
    <w:uiPriority w:val="99"/>
    <w:qFormat/>
    <w:pPr>
      <w:spacing w:line="0" w:lineRule="atLeast"/>
      <w:jc w:val="both"/>
    </w:pPr>
    <w:rPr>
      <w:rFonts w:ascii="Times New Roman" w:eastAsia="宋体" w:hAnsi="Times New Roman" w:cs="Times New Roman"/>
      <w:kern w:val="2"/>
      <w:sz w:val="18"/>
    </w:rPr>
  </w:style>
  <w:style w:type="paragraph" w:customStyle="1" w:styleId="3wb">
    <w:name w:val="标题 3 wb"/>
    <w:basedOn w:val="a2"/>
    <w:next w:val="a2"/>
    <w:uiPriority w:val="99"/>
    <w:qFormat/>
    <w:pPr>
      <w:spacing w:beforeLines="50" w:before="156" w:afterLines="50" w:after="156" w:line="400" w:lineRule="exact"/>
      <w:jc w:val="both"/>
      <w:outlineLvl w:val="2"/>
    </w:pPr>
    <w:rPr>
      <w:sz w:val="24"/>
    </w:rPr>
  </w:style>
  <w:style w:type="paragraph" w:customStyle="1" w:styleId="Char1CharCharCharCharCharCharCharChar">
    <w:name w:val="Char1 Char Char Char Char Char Char Char Char"/>
    <w:basedOn w:val="a2"/>
    <w:pPr>
      <w:jc w:val="both"/>
    </w:pPr>
    <w:rPr>
      <w:sz w:val="24"/>
    </w:rPr>
  </w:style>
  <w:style w:type="paragraph" w:customStyle="1" w:styleId="CharCharCharChar1CharCharCharCharCharCharChar1">
    <w:name w:val="Char Char Char Char1 Char Char Char Char Char Char Char1"/>
    <w:basedOn w:val="a2"/>
    <w:uiPriority w:val="99"/>
    <w:qFormat/>
    <w:pPr>
      <w:tabs>
        <w:tab w:val="left" w:pos="360"/>
      </w:tabs>
      <w:snapToGrid w:val="0"/>
      <w:spacing w:line="360" w:lineRule="auto"/>
      <w:jc w:val="both"/>
    </w:pPr>
    <w:rPr>
      <w:rFonts w:eastAsia="仿宋_GB2312" w:cs="宋体"/>
      <w:sz w:val="24"/>
    </w:rPr>
  </w:style>
  <w:style w:type="paragraph" w:customStyle="1" w:styleId="affffffffffffff1">
    <w:name w:val="节名"/>
    <w:basedOn w:val="a2"/>
    <w:uiPriority w:val="99"/>
    <w:qFormat/>
    <w:pPr>
      <w:keepNext/>
      <w:keepLines/>
      <w:tabs>
        <w:tab w:val="left" w:pos="0"/>
      </w:tabs>
      <w:spacing w:before="120" w:line="413" w:lineRule="auto"/>
      <w:ind w:left="2323"/>
      <w:textAlignment w:val="baseline"/>
      <w:outlineLvl w:val="2"/>
    </w:pPr>
    <w:rPr>
      <w:rFonts w:ascii="黑体" w:eastAsia="黑体"/>
      <w:b/>
      <w:bCs/>
      <w:sz w:val="32"/>
      <w:szCs w:val="32"/>
    </w:rPr>
  </w:style>
  <w:style w:type="paragraph" w:customStyle="1" w:styleId="Char1CharCharCharCharCharChar1CharCharChar2">
    <w:name w:val="Char1 Char Char Char Char Char Char1 Char Char Char2"/>
    <w:basedOn w:val="a2"/>
    <w:next w:val="a2"/>
    <w:uiPriority w:val="99"/>
    <w:qFormat/>
    <w:pPr>
      <w:spacing w:line="360" w:lineRule="auto"/>
      <w:ind w:firstLineChars="200" w:firstLine="200"/>
      <w:jc w:val="center"/>
    </w:pPr>
    <w:rPr>
      <w:rFonts w:ascii="Times New Roman" w:eastAsia="黑体"/>
    </w:rPr>
  </w:style>
  <w:style w:type="paragraph" w:customStyle="1" w:styleId="P10">
    <w:name w:val="P10"/>
    <w:basedOn w:val="a2"/>
    <w:uiPriority w:val="99"/>
    <w:qFormat/>
    <w:pPr>
      <w:spacing w:after="240" w:line="0" w:lineRule="atLeast"/>
      <w:ind w:left="3240"/>
      <w:jc w:val="both"/>
      <w:textAlignment w:val="baseline"/>
    </w:pPr>
    <w:rPr>
      <w:rFonts w:eastAsia="全真中明體"/>
      <w:spacing w:val="20"/>
      <w:sz w:val="24"/>
      <w:lang w:val="en-GB" w:eastAsia="zh-TW"/>
    </w:rPr>
  </w:style>
  <w:style w:type="paragraph" w:customStyle="1" w:styleId="zhang">
    <w:name w:val="zhang正文"/>
    <w:basedOn w:val="af5"/>
    <w:uiPriority w:val="99"/>
    <w:qFormat/>
    <w:pPr>
      <w:snapToGrid w:val="0"/>
      <w:spacing w:after="0" w:line="360" w:lineRule="auto"/>
      <w:ind w:leftChars="0" w:left="0" w:firstLine="539"/>
      <w:jc w:val="both"/>
    </w:pPr>
    <w:rPr>
      <w:rFonts w:eastAsia="楷体_GB2312"/>
      <w:kern w:val="0"/>
      <w:sz w:val="28"/>
      <w:szCs w:val="20"/>
    </w:rPr>
  </w:style>
  <w:style w:type="paragraph" w:customStyle="1" w:styleId="2120">
    <w:name w:val="正文文本缩进 212"/>
    <w:basedOn w:val="a2"/>
    <w:uiPriority w:val="99"/>
    <w:qFormat/>
    <w:pPr>
      <w:spacing w:after="120" w:line="480" w:lineRule="auto"/>
      <w:ind w:left="420"/>
      <w:jc w:val="both"/>
      <w:textAlignment w:val="baseline"/>
    </w:pPr>
    <w:rPr>
      <w:rFonts w:hint="eastAsia"/>
    </w:rPr>
  </w:style>
  <w:style w:type="paragraph" w:customStyle="1" w:styleId="affffffffffffff2">
    <w:name w:val="填表内容"/>
    <w:basedOn w:val="a2"/>
    <w:qFormat/>
    <w:pPr>
      <w:spacing w:line="480" w:lineRule="exact"/>
      <w:ind w:firstLineChars="200" w:firstLine="560"/>
      <w:textAlignment w:val="baseline"/>
    </w:pPr>
    <w:rPr>
      <w:rFonts w:ascii="楷体_GB2312"/>
    </w:rPr>
  </w:style>
  <w:style w:type="paragraph" w:customStyle="1" w:styleId="affffffffffffff3">
    <w:name w:val="图表标题"/>
    <w:basedOn w:val="a2"/>
    <w:next w:val="a2"/>
    <w:uiPriority w:val="99"/>
    <w:qFormat/>
    <w:pPr>
      <w:snapToGrid w:val="0"/>
      <w:spacing w:line="360" w:lineRule="auto"/>
      <w:jc w:val="center"/>
    </w:pPr>
    <w:rPr>
      <w:b/>
      <w:sz w:val="24"/>
      <w:szCs w:val="22"/>
    </w:rPr>
  </w:style>
  <w:style w:type="paragraph" w:customStyle="1" w:styleId="1ffffc">
    <w:name w:val="表字1"/>
    <w:basedOn w:val="a2"/>
    <w:qFormat/>
    <w:pPr>
      <w:spacing w:line="360" w:lineRule="auto"/>
      <w:jc w:val="center"/>
      <w:textAlignment w:val="baseline"/>
    </w:pPr>
    <w:rPr>
      <w:rFonts w:ascii="宋体" w:hAnsi="宋体"/>
    </w:rPr>
  </w:style>
  <w:style w:type="paragraph" w:customStyle="1" w:styleId="d0">
    <w:name w:val="d新正文"/>
    <w:basedOn w:val="a2"/>
    <w:uiPriority w:val="99"/>
    <w:qFormat/>
    <w:pPr>
      <w:spacing w:line="360" w:lineRule="auto"/>
      <w:ind w:firstLine="476"/>
    </w:pPr>
    <w:rPr>
      <w:sz w:val="24"/>
    </w:rPr>
  </w:style>
  <w:style w:type="paragraph" w:customStyle="1" w:styleId="CharCharfffffb">
    <w:name w:val="正文首行缩进 Char Char"/>
    <w:basedOn w:val="a2"/>
    <w:qFormat/>
    <w:pPr>
      <w:spacing w:line="606" w:lineRule="atLeast"/>
      <w:ind w:firstLine="538"/>
    </w:pPr>
    <w:rPr>
      <w:rFonts w:hAnsi="宋体"/>
      <w:sz w:val="24"/>
    </w:rPr>
  </w:style>
  <w:style w:type="paragraph" w:customStyle="1" w:styleId="4f0">
    <w:name w:val="宏福4"/>
    <w:basedOn w:val="a2"/>
    <w:qFormat/>
    <w:pPr>
      <w:spacing w:line="400" w:lineRule="atLeast"/>
      <w:ind w:firstLine="567"/>
    </w:pPr>
    <w:rPr>
      <w:rFonts w:hAnsi="宋体"/>
      <w:sz w:val="24"/>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2"/>
    <w:pPr>
      <w:jc w:val="both"/>
    </w:pPr>
    <w:rPr>
      <w:sz w:val="24"/>
    </w:rPr>
  </w:style>
  <w:style w:type="paragraph" w:customStyle="1" w:styleId="xl127">
    <w:name w:val="xl127"/>
    <w:basedOn w:val="a2"/>
    <w:qFormat/>
    <w:pPr>
      <w:pBdr>
        <w:top w:val="single" w:sz="8" w:space="0" w:color="auto"/>
        <w:left w:val="single" w:sz="8" w:space="0" w:color="FFFFFF"/>
      </w:pBdr>
      <w:spacing w:before="100" w:beforeAutospacing="1" w:after="100" w:afterAutospacing="1"/>
      <w:jc w:val="right"/>
      <w:textAlignment w:val="top"/>
    </w:pPr>
    <w:rPr>
      <w:rFonts w:ascii="MingLiU" w:eastAsia="MingLiU" w:hAnsi="MingLiU" w:hint="eastAsia"/>
      <w:lang w:eastAsia="en-US"/>
    </w:rPr>
  </w:style>
  <w:style w:type="paragraph" w:customStyle="1" w:styleId="117">
    <w:name w:val="文本块11"/>
    <w:basedOn w:val="a2"/>
    <w:uiPriority w:val="99"/>
    <w:qFormat/>
    <w:pPr>
      <w:spacing w:before="100" w:after="100"/>
    </w:pPr>
    <w:rPr>
      <w:rFonts w:eastAsia="Times New Roman"/>
      <w:sz w:val="22"/>
      <w:lang w:eastAsia="en-US"/>
    </w:rPr>
  </w:style>
  <w:style w:type="paragraph" w:customStyle="1" w:styleId="414">
    <w:name w:val="样式 样式 标题 4标题 14 + 自动设置 + 无下划线"/>
    <w:basedOn w:val="4140"/>
    <w:uiPriority w:val="99"/>
    <w:qFormat/>
    <w:pPr>
      <w:tabs>
        <w:tab w:val="left" w:pos="864"/>
      </w:tabs>
      <w:ind w:left="864" w:hanging="864"/>
    </w:pPr>
    <w:rPr>
      <w:u w:val="none"/>
    </w:rPr>
  </w:style>
  <w:style w:type="paragraph" w:customStyle="1" w:styleId="4140">
    <w:name w:val="样式 标题 4标题 14 + 自动设置"/>
    <w:basedOn w:val="41"/>
    <w:uiPriority w:val="99"/>
    <w:qFormat/>
    <w:pPr>
      <w:keepLines w:val="0"/>
      <w:snapToGrid w:val="0"/>
      <w:spacing w:beforeLines="0" w:before="0" w:line="240" w:lineRule="auto"/>
      <w:ind w:leftChars="0" w:left="0" w:rightChars="0" w:right="0"/>
      <w:jc w:val="both"/>
    </w:pPr>
    <w:rPr>
      <w:rFonts w:ascii="Times New Roman"/>
      <w:b/>
      <w:bCs w:val="0"/>
      <w:color w:val="000000"/>
      <w:sz w:val="24"/>
      <w:szCs w:val="24"/>
      <w:u w:val="single"/>
    </w:rPr>
  </w:style>
  <w:style w:type="paragraph" w:customStyle="1" w:styleId="Style46">
    <w:name w:val="_Style 46"/>
    <w:basedOn w:val="a2"/>
    <w:next w:val="a3"/>
    <w:uiPriority w:val="99"/>
    <w:qFormat/>
    <w:pPr>
      <w:ind w:firstLineChars="200" w:firstLine="200"/>
      <w:jc w:val="both"/>
    </w:pPr>
  </w:style>
  <w:style w:type="paragraph" w:customStyle="1" w:styleId="Style510">
    <w:name w:val="_Style 51"/>
    <w:basedOn w:val="a2"/>
    <w:next w:val="a3"/>
    <w:uiPriority w:val="99"/>
    <w:qFormat/>
    <w:pPr>
      <w:ind w:firstLineChars="200" w:firstLine="200"/>
      <w:jc w:val="both"/>
    </w:pPr>
  </w:style>
  <w:style w:type="paragraph" w:customStyle="1" w:styleId="affffffffffffff4">
    <w:name w:val="二级无标题条"/>
    <w:basedOn w:val="a2"/>
    <w:qFormat/>
    <w:pPr>
      <w:jc w:val="both"/>
    </w:pPr>
  </w:style>
  <w:style w:type="paragraph" w:customStyle="1" w:styleId="231">
    <w:name w:val="样式 小四 行距: 固定值 23 磅"/>
    <w:basedOn w:val="a2"/>
    <w:uiPriority w:val="99"/>
    <w:qFormat/>
    <w:pPr>
      <w:jc w:val="both"/>
    </w:pPr>
  </w:style>
  <w:style w:type="paragraph" w:customStyle="1" w:styleId="CharCharChar1CharCharCharChar5">
    <w:name w:val="Char Char Char1 Char Char Char Char5"/>
    <w:basedOn w:val="a2"/>
    <w:uiPriority w:val="99"/>
    <w:qFormat/>
    <w:pPr>
      <w:spacing w:line="360" w:lineRule="auto"/>
      <w:jc w:val="both"/>
    </w:pPr>
  </w:style>
  <w:style w:type="paragraph" w:customStyle="1" w:styleId="CharCharCharCharCharCharCharCharChar1Char2">
    <w:name w:val="Char Char Char Char Char Char Char Char Char1 Char2"/>
    <w:basedOn w:val="a2"/>
    <w:uiPriority w:val="99"/>
    <w:qFormat/>
    <w:pPr>
      <w:jc w:val="both"/>
    </w:pPr>
    <w:rPr>
      <w:rFonts w:ascii="Times New Roman"/>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2"/>
    <w:pPr>
      <w:spacing w:line="360" w:lineRule="auto"/>
      <w:ind w:firstLineChars="200" w:firstLine="200"/>
      <w:jc w:val="both"/>
    </w:pPr>
    <w:rPr>
      <w:rFonts w:ascii="宋体" w:hAnsi="宋体" w:cs="宋体"/>
      <w:sz w:val="24"/>
    </w:rPr>
  </w:style>
  <w:style w:type="paragraph" w:customStyle="1" w:styleId="2ffb">
    <w:name w:val="样式 本正文 + 首行缩进:  2 字符"/>
    <w:basedOn w:val="a2"/>
    <w:qFormat/>
    <w:pPr>
      <w:spacing w:line="360" w:lineRule="auto"/>
      <w:ind w:firstLineChars="200" w:firstLine="480"/>
    </w:pPr>
    <w:rPr>
      <w:rFonts w:ascii="宋体" w:hAnsi="宋体" w:cs="宋体"/>
      <w:sz w:val="24"/>
    </w:rPr>
  </w:style>
  <w:style w:type="paragraph" w:customStyle="1" w:styleId="232">
    <w:name w:val="样式 正文文本 + 首行缩进:  2 字符3"/>
    <w:basedOn w:val="af4"/>
    <w:uiPriority w:val="99"/>
    <w:qFormat/>
    <w:pPr>
      <w:spacing w:after="60" w:line="264" w:lineRule="auto"/>
      <w:ind w:firstLineChars="200" w:firstLine="480"/>
      <w:jc w:val="both"/>
      <w:textAlignment w:val="baseline"/>
    </w:pPr>
    <w:rPr>
      <w:rFonts w:eastAsia="仿宋_GB2312" w:cs="宋体"/>
      <w:kern w:val="0"/>
      <w:sz w:val="24"/>
    </w:rPr>
  </w:style>
  <w:style w:type="paragraph" w:customStyle="1" w:styleId="BodyText22">
    <w:name w:val="Body Text 22"/>
    <w:basedOn w:val="a2"/>
    <w:next w:val="af5"/>
    <w:qFormat/>
    <w:pPr>
      <w:spacing w:after="120" w:line="500" w:lineRule="exact"/>
      <w:ind w:leftChars="200" w:left="420"/>
      <w:jc w:val="both"/>
    </w:pPr>
    <w:rPr>
      <w:rFonts w:ascii="仿宋_GB2312" w:eastAsia="仿宋_GB2312"/>
      <w:szCs w:val="28"/>
    </w:rPr>
  </w:style>
  <w:style w:type="paragraph" w:customStyle="1" w:styleId="affffffffffffff5">
    <w:name w:val="姜文清定义的正文"/>
    <w:basedOn w:val="a2"/>
    <w:uiPriority w:val="99"/>
    <w:qFormat/>
    <w:pPr>
      <w:snapToGrid w:val="0"/>
      <w:spacing w:before="120" w:after="120" w:line="500" w:lineRule="atLeast"/>
      <w:ind w:firstLineChars="200" w:firstLine="567"/>
      <w:jc w:val="both"/>
    </w:pPr>
  </w:style>
  <w:style w:type="paragraph" w:customStyle="1" w:styleId="a0">
    <w:name w:val="编号"/>
    <w:basedOn w:val="a2"/>
    <w:qFormat/>
    <w:pPr>
      <w:numPr>
        <w:numId w:val="9"/>
      </w:numPr>
      <w:tabs>
        <w:tab w:val="clear" w:pos="737"/>
        <w:tab w:val="left" w:pos="567"/>
      </w:tabs>
      <w:spacing w:line="500" w:lineRule="exact"/>
      <w:jc w:val="both"/>
    </w:pPr>
    <w:rPr>
      <w:rFonts w:ascii="宋体" w:hAnsi="宋体"/>
      <w:bCs/>
    </w:rPr>
  </w:style>
  <w:style w:type="paragraph" w:customStyle="1" w:styleId="affffffffffffff6">
    <w:name w:val="样式 图表 + 宋体"/>
    <w:basedOn w:val="afffffffffff8"/>
    <w:uiPriority w:val="99"/>
    <w:qFormat/>
    <w:pPr>
      <w:keepNext w:val="0"/>
    </w:pPr>
    <w:rPr>
      <w:b w:val="0"/>
      <w:spacing w:val="-14"/>
      <w:kern w:val="0"/>
      <w:sz w:val="21"/>
      <w:szCs w:val="21"/>
    </w:rPr>
  </w:style>
  <w:style w:type="paragraph" w:customStyle="1" w:styleId="BChar1">
    <w:name w:val="B Char"/>
    <w:basedOn w:val="a2"/>
    <w:next w:val="aaCharCharChar"/>
    <w:uiPriority w:val="99"/>
    <w:qFormat/>
    <w:pPr>
      <w:keepNext/>
      <w:keepLines/>
      <w:tabs>
        <w:tab w:val="left" w:pos="360"/>
      </w:tabs>
      <w:spacing w:beforeLines="50" w:before="50" w:line="360" w:lineRule="auto"/>
      <w:ind w:left="567" w:hanging="567"/>
      <w:outlineLvl w:val="1"/>
    </w:pPr>
    <w:rPr>
      <w:b/>
      <w:bCs/>
      <w:kern w:val="44"/>
      <w:sz w:val="24"/>
    </w:rPr>
  </w:style>
  <w:style w:type="paragraph" w:customStyle="1" w:styleId="a00">
    <w:name w:val="a0"/>
    <w:basedOn w:val="a2"/>
    <w:uiPriority w:val="99"/>
    <w:qFormat/>
    <w:pPr>
      <w:snapToGrid w:val="0"/>
      <w:spacing w:before="100" w:beforeAutospacing="1" w:after="100" w:afterAutospacing="1" w:line="360" w:lineRule="auto"/>
      <w:ind w:firstLineChars="200" w:firstLine="200"/>
    </w:pPr>
    <w:rPr>
      <w:rFonts w:ascii="宋体" w:hAnsi="宋体"/>
      <w:color w:val="000000"/>
      <w:sz w:val="24"/>
    </w:rPr>
  </w:style>
  <w:style w:type="paragraph" w:customStyle="1" w:styleId="affffffffffffff7">
    <w:name w:val="三级标题"/>
    <w:next w:val="2a"/>
    <w:uiPriority w:val="99"/>
    <w:qFormat/>
    <w:rPr>
      <w:rFonts w:ascii="Times New Roman" w:eastAsia="宋体" w:hAnsi="Times New Roman" w:cs="Times New Roman"/>
      <w:kern w:val="2"/>
      <w:sz w:val="24"/>
      <w:szCs w:val="24"/>
    </w:rPr>
  </w:style>
  <w:style w:type="paragraph" w:customStyle="1" w:styleId="CharCharChar1CharCharCharChar3">
    <w:name w:val="Char Char Char1 Char Char Char Char3"/>
    <w:basedOn w:val="a2"/>
    <w:uiPriority w:val="99"/>
    <w:qFormat/>
    <w:pPr>
      <w:spacing w:line="360" w:lineRule="auto"/>
      <w:jc w:val="both"/>
    </w:pPr>
  </w:style>
  <w:style w:type="paragraph" w:customStyle="1" w:styleId="proposal">
    <w:name w:val="proposal"/>
    <w:basedOn w:val="a2"/>
    <w:qFormat/>
    <w:pPr>
      <w:spacing w:line="300" w:lineRule="auto"/>
      <w:ind w:left="1440" w:hanging="1440"/>
      <w:jc w:val="both"/>
    </w:pPr>
    <w:rPr>
      <w:rFonts w:eastAsia="仿宋_GB2312"/>
      <w:sz w:val="24"/>
      <w:lang w:val="en-GB" w:eastAsia="en-GB"/>
    </w:rPr>
  </w:style>
  <w:style w:type="paragraph" w:customStyle="1" w:styleId="3ff">
    <w:name w:val="3级标题"/>
    <w:basedOn w:val="32"/>
    <w:uiPriority w:val="99"/>
    <w:qFormat/>
    <w:pPr>
      <w:keepNext w:val="0"/>
      <w:keepLines w:val="0"/>
      <w:spacing w:before="0" w:after="0" w:line="360" w:lineRule="auto"/>
    </w:pPr>
    <w:rPr>
      <w:rFonts w:ascii="黑体" w:eastAsia="黑体"/>
      <w:sz w:val="24"/>
    </w:rPr>
  </w:style>
  <w:style w:type="paragraph" w:customStyle="1" w:styleId="5e">
    <w:name w:val="日期5"/>
    <w:basedOn w:val="a2"/>
    <w:next w:val="a2"/>
    <w:uiPriority w:val="99"/>
    <w:qFormat/>
    <w:pPr>
      <w:jc w:val="both"/>
      <w:textAlignment w:val="baseline"/>
    </w:pPr>
  </w:style>
  <w:style w:type="paragraph" w:customStyle="1" w:styleId="affffffffffffff8">
    <w:name w:val="表内字体"/>
    <w:basedOn w:val="a2"/>
    <w:uiPriority w:val="99"/>
    <w:qFormat/>
    <w:pPr>
      <w:jc w:val="center"/>
    </w:pPr>
    <w:rPr>
      <w:rFonts w:hAnsi="宋体"/>
    </w:rPr>
  </w:style>
  <w:style w:type="paragraph" w:customStyle="1" w:styleId="CharCharCharCharCharCharCharCharCharCharCharCharChar">
    <w:name w:val="正文格式 Char Char Char Char Char Char Char Char Char Char Char Char Char"/>
    <w:basedOn w:val="a2"/>
    <w:uiPriority w:val="99"/>
    <w:qFormat/>
    <w:pPr>
      <w:spacing w:line="480" w:lineRule="exact"/>
      <w:ind w:firstLineChars="200" w:firstLine="560"/>
      <w:jc w:val="both"/>
    </w:pPr>
    <w:rPr>
      <w:szCs w:val="28"/>
    </w:rPr>
  </w:style>
  <w:style w:type="paragraph" w:customStyle="1" w:styleId="32051">
    <w:name w:val="样式 标题 3 + 左侧:  2 字符 段前: 0.5 行1"/>
    <w:basedOn w:val="32"/>
    <w:uiPriority w:val="99"/>
    <w:qFormat/>
    <w:pPr>
      <w:keepNext w:val="0"/>
      <w:spacing w:beforeLines="50" w:before="156" w:after="0" w:line="440" w:lineRule="exact"/>
      <w:ind w:firstLineChars="200" w:firstLine="200"/>
    </w:pPr>
    <w:rPr>
      <w:rFonts w:ascii="Times New Roman" w:eastAsia="华文细黑"/>
      <w:b w:val="0"/>
      <w:bCs w:val="0"/>
      <w:sz w:val="28"/>
      <w:szCs w:val="20"/>
    </w:rPr>
  </w:style>
  <w:style w:type="paragraph" w:customStyle="1" w:styleId="DefaultParagraphFontParaCharCharChar">
    <w:name w:val="Default Paragraph Font Para Char Char Char"/>
    <w:basedOn w:val="a2"/>
    <w:pPr>
      <w:spacing w:after="160" w:line="240" w:lineRule="exact"/>
    </w:pPr>
    <w:rPr>
      <w:rFonts w:ascii="Verdana" w:eastAsia="Times New Roman" w:hAnsi="Verdana"/>
      <w:sz w:val="20"/>
      <w:lang w:eastAsia="en-US"/>
    </w:rPr>
  </w:style>
  <w:style w:type="paragraph" w:customStyle="1" w:styleId="2ffc">
    <w:name w:val="范式2"/>
    <w:basedOn w:val="22"/>
    <w:uiPriority w:val="99"/>
    <w:qFormat/>
    <w:pPr>
      <w:snapToGrid w:val="0"/>
      <w:spacing w:before="0" w:after="120" w:line="480" w:lineRule="exact"/>
      <w:jc w:val="both"/>
    </w:pPr>
    <w:rPr>
      <w:rFonts w:ascii="黑体" w:eastAsia="黑体" w:hAnsi="Arial" w:cs="Times New Roman"/>
      <w:bCs w:val="0"/>
      <w:sz w:val="36"/>
    </w:rPr>
  </w:style>
  <w:style w:type="paragraph" w:customStyle="1" w:styleId="affffffffffffff9">
    <w:name w:val="样式 报告书表格 + 小四 黑色"/>
    <w:basedOn w:val="afffd"/>
    <w:uiPriority w:val="99"/>
    <w:qFormat/>
    <w:pPr>
      <w:tabs>
        <w:tab w:val="center" w:pos="4540"/>
        <w:tab w:val="right" w:pos="8505"/>
      </w:tabs>
      <w:snapToGrid w:val="0"/>
      <w:spacing w:line="240" w:lineRule="auto"/>
    </w:pPr>
    <w:rPr>
      <w:rFonts w:eastAsia="宋体"/>
      <w:color w:val="000000"/>
      <w:sz w:val="21"/>
      <w:szCs w:val="21"/>
    </w:rPr>
  </w:style>
  <w:style w:type="paragraph" w:customStyle="1" w:styleId="affffffffffffffa">
    <w:name w:val="图文字"/>
    <w:basedOn w:val="a2"/>
    <w:uiPriority w:val="99"/>
    <w:qFormat/>
    <w:pPr>
      <w:spacing w:line="280" w:lineRule="exact"/>
      <w:jc w:val="center"/>
    </w:pPr>
    <w:rPr>
      <w:rFonts w:ascii="宋体" w:hAnsi="宋体"/>
    </w:rPr>
  </w:style>
  <w:style w:type="paragraph" w:customStyle="1" w:styleId="font5">
    <w:name w:val="font5"/>
    <w:basedOn w:val="a2"/>
    <w:qFormat/>
    <w:pPr>
      <w:widowControl/>
      <w:spacing w:before="100" w:beforeAutospacing="1" w:after="100" w:afterAutospacing="1"/>
    </w:pPr>
    <w:rPr>
      <w:rFonts w:ascii="宋体" w:hAnsi="宋体" w:hint="eastAsia"/>
      <w:sz w:val="18"/>
      <w:szCs w:val="18"/>
    </w:rPr>
  </w:style>
  <w:style w:type="paragraph" w:customStyle="1" w:styleId="lz">
    <w:name w:val="lz正文"/>
    <w:basedOn w:val="a2"/>
    <w:qFormat/>
    <w:pPr>
      <w:snapToGrid w:val="0"/>
      <w:spacing w:line="360" w:lineRule="auto"/>
      <w:ind w:firstLineChars="200" w:firstLine="480"/>
      <w:jc w:val="both"/>
    </w:pPr>
  </w:style>
  <w:style w:type="paragraph" w:customStyle="1" w:styleId="ParaCharCharCharCharCharCharCharCharChar">
    <w:name w:val="默认段落字体 Para Char Char Char Char Char Char Char Char Char"/>
    <w:basedOn w:val="a2"/>
    <w:qFormat/>
    <w:pPr>
      <w:jc w:val="both"/>
    </w:pPr>
    <w:rPr>
      <w:sz w:val="24"/>
    </w:rPr>
  </w:style>
  <w:style w:type="paragraph" w:customStyle="1" w:styleId="1510">
    <w:name w:val="样式 目录台头 + 段前: 1.5 行 段后: 1 行"/>
    <w:basedOn w:val="affffffffffffffb"/>
    <w:uiPriority w:val="99"/>
    <w:qFormat/>
    <w:pPr>
      <w:spacing w:beforeLines="250" w:before="780" w:line="360" w:lineRule="auto"/>
    </w:pPr>
  </w:style>
  <w:style w:type="paragraph" w:customStyle="1" w:styleId="affffffffffffffb">
    <w:name w:val="目录台头"/>
    <w:uiPriority w:val="99"/>
    <w:qFormat/>
    <w:pPr>
      <w:spacing w:beforeLines="150" w:before="468" w:afterLines="100" w:after="312"/>
      <w:jc w:val="center"/>
    </w:pPr>
    <w:rPr>
      <w:rFonts w:ascii="黑体" w:eastAsia="方正姚体" w:hAnsi="Times New Roman" w:cs="宋体"/>
      <w:b/>
      <w:bCs/>
      <w:kern w:val="2"/>
      <w:sz w:val="44"/>
    </w:rPr>
  </w:style>
  <w:style w:type="paragraph" w:customStyle="1" w:styleId="92">
    <w:name w:val="样式9"/>
    <w:basedOn w:val="a2"/>
    <w:qFormat/>
    <w:pPr>
      <w:snapToGrid w:val="0"/>
      <w:spacing w:beforeLines="50" w:before="156" w:afterLines="50" w:after="156" w:line="360" w:lineRule="auto"/>
      <w:ind w:firstLineChars="200" w:firstLine="480"/>
    </w:pPr>
    <w:rPr>
      <w:sz w:val="24"/>
      <w:szCs w:val="31"/>
    </w:rPr>
  </w:style>
  <w:style w:type="paragraph" w:customStyle="1" w:styleId="CharChar3CharChar">
    <w:name w:val="Char Char3 Char Char"/>
    <w:basedOn w:val="a2"/>
    <w:pPr>
      <w:jc w:val="both"/>
    </w:pPr>
  </w:style>
  <w:style w:type="paragraph" w:customStyle="1" w:styleId="CM8">
    <w:name w:val="CM8"/>
    <w:basedOn w:val="Default"/>
    <w:next w:val="Default"/>
    <w:uiPriority w:val="99"/>
    <w:qFormat/>
    <w:pPr>
      <w:spacing w:beforeLines="0" w:before="0" w:afterLines="0" w:after="85" w:line="240" w:lineRule="auto"/>
      <w:ind w:firstLineChars="0" w:firstLine="0"/>
    </w:pPr>
    <w:rPr>
      <w:rFonts w:ascii="新宋体" w:eastAsia="新宋体" w:cs="Times New Roman"/>
      <w:color w:val="auto"/>
    </w:rPr>
  </w:style>
  <w:style w:type="paragraph" w:customStyle="1" w:styleId="NEW">
    <w:name w:val="正文NEW"/>
    <w:basedOn w:val="3a"/>
    <w:uiPriority w:val="99"/>
    <w:qFormat/>
    <w:pPr>
      <w:spacing w:after="0" w:line="400" w:lineRule="exact"/>
      <w:ind w:leftChars="0" w:left="0" w:firstLineChars="200" w:firstLine="480"/>
    </w:pPr>
    <w:rPr>
      <w:rFonts w:ascii="宋体" w:hAnsi="宋体"/>
      <w:color w:val="000000"/>
      <w:sz w:val="24"/>
    </w:rPr>
  </w:style>
  <w:style w:type="paragraph" w:customStyle="1" w:styleId="22Heading2HiddenHeading2CCBSheading2H2h24">
    <w:name w:val="样式 标题 2第一章 标题 2Heading 2 HiddenHeading 2 CCBSheading 2H2h2...4"/>
    <w:basedOn w:val="22"/>
    <w:qFormat/>
    <w:pPr>
      <w:spacing w:before="120" w:after="120" w:line="500" w:lineRule="exact"/>
      <w:jc w:val="both"/>
    </w:pPr>
    <w:rPr>
      <w:rFonts w:ascii="Times New Roman" w:eastAsia="仿宋_GB2312" w:hAnsi="Times New Roman" w:cs="Times New Roman"/>
      <w:color w:val="000000"/>
      <w:sz w:val="28"/>
    </w:rPr>
  </w:style>
  <w:style w:type="paragraph" w:customStyle="1" w:styleId="09366181">
    <w:name w:val="样式 (符号) 宋体 首行缩进:  0.93 厘米 段前: 6 磅 段后: 6 磅 行距: 固定值 18 磅1"/>
    <w:basedOn w:val="a2"/>
    <w:qFormat/>
    <w:pPr>
      <w:spacing w:before="160" w:after="160" w:line="320" w:lineRule="exact"/>
      <w:ind w:firstLine="527"/>
      <w:jc w:val="both"/>
    </w:pPr>
    <w:rPr>
      <w:rFonts w:hAnsi="宋体"/>
      <w:sz w:val="24"/>
    </w:rPr>
  </w:style>
  <w:style w:type="paragraph" w:customStyle="1" w:styleId="ft03">
    <w:name w:val="ft03"/>
    <w:basedOn w:val="a2"/>
    <w:uiPriority w:val="99"/>
    <w:qFormat/>
    <w:rPr>
      <w:rFonts w:ascii="Times" w:hAnsi="Times" w:cs="Times"/>
      <w:color w:val="000000"/>
      <w:sz w:val="20"/>
    </w:rPr>
  </w:style>
  <w:style w:type="paragraph" w:customStyle="1" w:styleId="315">
    <w:name w:val="目录 31"/>
    <w:basedOn w:val="a2"/>
    <w:next w:val="a2"/>
    <w:uiPriority w:val="99"/>
    <w:qFormat/>
    <w:pPr>
      <w:ind w:leftChars="400" w:left="840"/>
      <w:jc w:val="both"/>
    </w:pPr>
  </w:style>
  <w:style w:type="paragraph" w:customStyle="1" w:styleId="reader-word-layerreader-word-s1-0">
    <w:name w:val="reader-word-layer reader-word-s1-0"/>
    <w:basedOn w:val="a2"/>
    <w:pPr>
      <w:widowControl/>
      <w:autoSpaceDE/>
      <w:autoSpaceDN/>
      <w:adjustRightInd/>
      <w:spacing w:before="100" w:beforeAutospacing="1" w:after="100" w:afterAutospacing="1"/>
    </w:pPr>
    <w:rPr>
      <w:rFonts w:ascii="宋体" w:hAnsi="宋体" w:cs="宋体"/>
    </w:rPr>
  </w:style>
  <w:style w:type="paragraph" w:customStyle="1" w:styleId="21130505705">
    <w:name w:val="样式 样式 样式 标题 2 + 首行缩进:  1.13 厘米 + 段前: 0.5 行 段后: 0.5 行7 + 段前: 0.5 行"/>
    <w:basedOn w:val="211305057"/>
    <w:uiPriority w:val="99"/>
    <w:qFormat/>
  </w:style>
  <w:style w:type="paragraph" w:customStyle="1" w:styleId="CharCharCharCharCharChar50">
    <w:name w:val="Char Char Char Char Char Char5"/>
    <w:basedOn w:val="a2"/>
    <w:uiPriority w:val="99"/>
    <w:qFormat/>
    <w:rPr>
      <w:rFonts w:ascii="Times New Roman"/>
    </w:rPr>
  </w:style>
  <w:style w:type="paragraph" w:customStyle="1" w:styleId="Char2CharCharCharCharCharChar1">
    <w:name w:val="Char2 Char Char Char Char Char Char1"/>
    <w:basedOn w:val="a2"/>
    <w:uiPriority w:val="99"/>
    <w:qFormat/>
    <w:pPr>
      <w:jc w:val="both"/>
    </w:pPr>
  </w:style>
  <w:style w:type="paragraph" w:customStyle="1" w:styleId="affffffffffffffc">
    <w:name w:val="二级条标题"/>
    <w:basedOn w:val="affffffffffffffd"/>
    <w:next w:val="a2"/>
    <w:qFormat/>
    <w:pPr>
      <w:outlineLvl w:val="3"/>
    </w:pPr>
  </w:style>
  <w:style w:type="paragraph" w:customStyle="1" w:styleId="affffffffffffffd">
    <w:name w:val="一级条标题"/>
    <w:basedOn w:val="12"/>
    <w:next w:val="a2"/>
    <w:qFormat/>
    <w:pPr>
      <w:keepNext w:val="0"/>
      <w:keepLines w:val="0"/>
      <w:widowControl/>
      <w:tabs>
        <w:tab w:val="left" w:pos="360"/>
        <w:tab w:val="left" w:pos="1155"/>
      </w:tabs>
      <w:spacing w:line="240" w:lineRule="auto"/>
      <w:textAlignment w:val="auto"/>
      <w:outlineLvl w:val="2"/>
    </w:pPr>
    <w:rPr>
      <w:rFonts w:ascii="黑体"/>
      <w:bCs w:val="0"/>
      <w:kern w:val="0"/>
      <w:sz w:val="21"/>
      <w:szCs w:val="20"/>
    </w:rPr>
  </w:style>
  <w:style w:type="paragraph" w:customStyle="1" w:styleId="CharCharChar1CharCharCharCharCharCharCharCharCharCharCharChar1CharCharCharCharCharCharCharCharChar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Char Char Char Char Char Char Char Char Char"/>
    <w:basedOn w:val="a2"/>
    <w:uiPriority w:val="99"/>
    <w:qFormat/>
    <w:pPr>
      <w:jc w:val="both"/>
    </w:pPr>
  </w:style>
  <w:style w:type="paragraph" w:customStyle="1" w:styleId="3ff0">
    <w:name w:val="字元 字元3"/>
    <w:basedOn w:val="a2"/>
    <w:uiPriority w:val="99"/>
    <w:qFormat/>
    <w:pPr>
      <w:jc w:val="both"/>
    </w:pPr>
  </w:style>
  <w:style w:type="paragraph" w:customStyle="1" w:styleId="affffffffffffffe">
    <w:name w:val="表题"/>
    <w:next w:val="a2"/>
    <w:qFormat/>
    <w:pPr>
      <w:spacing w:beforeLines="50" w:before="48" w:afterLines="50" w:after="50" w:line="360" w:lineRule="auto"/>
      <w:ind w:firstLineChars="40" w:firstLine="40"/>
      <w:jc w:val="center"/>
    </w:pPr>
    <w:rPr>
      <w:rFonts w:ascii="Times New Roman" w:eastAsia="宋体" w:hAnsi="Times New Roman" w:cs="Times New Roman"/>
      <w:bCs/>
      <w:sz w:val="24"/>
      <w:szCs w:val="24"/>
    </w:rPr>
  </w:style>
  <w:style w:type="paragraph" w:customStyle="1" w:styleId="xl98">
    <w:name w:val="xl98"/>
    <w:basedOn w:val="a2"/>
    <w:qFormat/>
    <w:pPr>
      <w:pBdr>
        <w:top w:val="single" w:sz="8" w:space="0" w:color="auto"/>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2a20">
    <w:name w:val="样式 标题2a + 行距: 固定值 20 磅"/>
    <w:basedOn w:val="a2"/>
    <w:uiPriority w:val="99"/>
    <w:qFormat/>
    <w:pPr>
      <w:overflowPunct w:val="0"/>
      <w:spacing w:line="400" w:lineRule="exact"/>
      <w:jc w:val="both"/>
      <w:textAlignment w:val="baseline"/>
      <w:outlineLvl w:val="0"/>
    </w:pPr>
    <w:rPr>
      <w:rFonts w:ascii="黑体" w:eastAsia="黑体" w:hAnsi="黑体" w:cs="宋体"/>
      <w:kern w:val="24"/>
    </w:rPr>
  </w:style>
  <w:style w:type="paragraph" w:customStyle="1" w:styleId="afffffffffffffff">
    <w:name w:val="样式a"/>
    <w:basedOn w:val="a2"/>
    <w:uiPriority w:val="99"/>
    <w:qFormat/>
    <w:pPr>
      <w:snapToGrid w:val="0"/>
      <w:spacing w:line="420" w:lineRule="exact"/>
      <w:ind w:firstLineChars="200" w:firstLine="200"/>
      <w:jc w:val="both"/>
      <w:textAlignment w:val="baseline"/>
    </w:pPr>
    <w:rPr>
      <w:sz w:val="24"/>
    </w:rPr>
  </w:style>
  <w:style w:type="paragraph" w:customStyle="1" w:styleId="Normal9">
    <w:name w:val="Normal_9"/>
    <w:pPr>
      <w:spacing w:before="120" w:after="240"/>
      <w:jc w:val="both"/>
    </w:pPr>
    <w:rPr>
      <w:rFonts w:ascii="Times New Roman" w:eastAsia="Calibri" w:hAnsi="Times New Roman" w:cs="Times New Roman"/>
      <w:sz w:val="22"/>
      <w:szCs w:val="21"/>
      <w:lang w:val="ru-RU" w:eastAsia="en-US"/>
    </w:rPr>
  </w:style>
  <w:style w:type="paragraph" w:customStyle="1" w:styleId="30">
    <w:name w:val="样式 标题 3 + 宋体 小四 非加粗"/>
    <w:basedOn w:val="32"/>
    <w:uiPriority w:val="99"/>
    <w:qFormat/>
    <w:pPr>
      <w:keepNext w:val="0"/>
      <w:keepLines w:val="0"/>
      <w:numPr>
        <w:ilvl w:val="2"/>
        <w:numId w:val="5"/>
      </w:numPr>
      <w:snapToGrid w:val="0"/>
      <w:ind w:left="0"/>
      <w:jc w:val="both"/>
    </w:pPr>
    <w:rPr>
      <w:rFonts w:ascii="Times New Roman" w:eastAsia="黑体"/>
      <w:b w:val="0"/>
      <w:sz w:val="28"/>
    </w:rPr>
  </w:style>
  <w:style w:type="paragraph" w:customStyle="1" w:styleId="102">
    <w:name w:val="样式 宋体 10 磅 左"/>
    <w:basedOn w:val="a2"/>
    <w:uiPriority w:val="99"/>
    <w:qFormat/>
    <w:pPr>
      <w:spacing w:line="460" w:lineRule="exact"/>
      <w:ind w:firstLineChars="200" w:firstLine="480"/>
    </w:pPr>
    <w:rPr>
      <w:rFonts w:ascii="宋体" w:hAnsi="宋体" w:cs="宋体"/>
      <w:sz w:val="24"/>
    </w:rPr>
  </w:style>
  <w:style w:type="paragraph" w:customStyle="1" w:styleId="abstract">
    <w:name w:val="abstract"/>
    <w:basedOn w:val="a2"/>
    <w:pPr>
      <w:spacing w:before="100" w:beforeAutospacing="1" w:after="100" w:afterAutospacing="1"/>
    </w:pPr>
  </w:style>
  <w:style w:type="paragraph" w:customStyle="1" w:styleId="afffffffffffffff0">
    <w:name w:val="文"/>
    <w:basedOn w:val="a2"/>
    <w:uiPriority w:val="99"/>
    <w:qFormat/>
    <w:pPr>
      <w:snapToGrid w:val="0"/>
      <w:spacing w:line="312" w:lineRule="auto"/>
      <w:ind w:firstLine="567"/>
      <w:jc w:val="both"/>
    </w:pPr>
    <w:rPr>
      <w:rFonts w:ascii="宋体"/>
      <w:spacing w:val="6"/>
    </w:rPr>
  </w:style>
  <w:style w:type="paragraph" w:customStyle="1" w:styleId="3110">
    <w:name w:val="正文文本 311"/>
    <w:basedOn w:val="a2"/>
    <w:uiPriority w:val="99"/>
    <w:qFormat/>
    <w:pPr>
      <w:spacing w:line="312" w:lineRule="atLeast"/>
      <w:jc w:val="center"/>
      <w:textAlignment w:val="baseline"/>
    </w:pPr>
    <w:rPr>
      <w:rFonts w:ascii="楷体" w:eastAsia="楷体"/>
    </w:rPr>
  </w:style>
  <w:style w:type="paragraph" w:customStyle="1" w:styleId="1221">
    <w:name w:val="样式 样式 +中文正文 文字 1 首行缩进:  2 字符 + 首行缩进:  2 字符"/>
    <w:basedOn w:val="a2"/>
    <w:uiPriority w:val="99"/>
    <w:qFormat/>
    <w:pPr>
      <w:spacing w:line="560" w:lineRule="exact"/>
      <w:ind w:firstLineChars="200" w:firstLine="200"/>
      <w:jc w:val="both"/>
    </w:pPr>
    <w:rPr>
      <w:rFonts w:ascii="仿宋_GB2312" w:eastAsia="仿宋_GB2312" w:hAnsi="宋体" w:cs="宋体"/>
      <w:u w:color="000000"/>
    </w:rPr>
  </w:style>
  <w:style w:type="paragraph" w:customStyle="1" w:styleId="afffffffffffffff1">
    <w:name w:val="图表名称"/>
    <w:basedOn w:val="aff9"/>
    <w:qFormat/>
    <w:pPr>
      <w:keepNext/>
      <w:keepLines/>
      <w:snapToGrid w:val="0"/>
      <w:spacing w:after="60" w:line="360" w:lineRule="exact"/>
      <w:ind w:firstLineChars="200" w:firstLine="0"/>
      <w:jc w:val="center"/>
      <w:outlineLvl w:val="4"/>
    </w:pPr>
    <w:rPr>
      <w:rFonts w:ascii="宋体" w:hAnsi="宋体"/>
      <w:b/>
      <w:bCs/>
      <w:snapToGrid w:val="0"/>
      <w:kern w:val="0"/>
      <w:sz w:val="24"/>
    </w:rPr>
  </w:style>
  <w:style w:type="paragraph" w:customStyle="1" w:styleId="afffffffffffffff2">
    <w:name w:val="五级无标题条"/>
    <w:basedOn w:val="a2"/>
    <w:qFormat/>
    <w:rPr>
      <w:rFonts w:hAnsi="宋体"/>
    </w:rPr>
  </w:style>
  <w:style w:type="paragraph" w:customStyle="1" w:styleId="CharCharChar2CharCharCharCharCharCharCharCharCharChar2">
    <w:name w:val="Char Char Char2 Char Char Char Char Char Char Char Char Char Char2"/>
    <w:basedOn w:val="a2"/>
    <w:uiPriority w:val="99"/>
    <w:qFormat/>
    <w:pPr>
      <w:jc w:val="both"/>
    </w:pPr>
    <w:rPr>
      <w:rFonts w:ascii="Times New Roman"/>
    </w:rPr>
  </w:style>
  <w:style w:type="paragraph" w:customStyle="1" w:styleId="afffffffffffffff3">
    <w:name w:val="河石管道 表格文字小五"/>
    <w:uiPriority w:val="99"/>
    <w:qFormat/>
    <w:pPr>
      <w:tabs>
        <w:tab w:val="left" w:pos="277"/>
        <w:tab w:val="left" w:pos="600"/>
        <w:tab w:val="left" w:pos="780"/>
        <w:tab w:val="left" w:pos="2517"/>
      </w:tabs>
      <w:adjustRightInd w:val="0"/>
      <w:jc w:val="both"/>
      <w:textAlignment w:val="baseline"/>
    </w:pPr>
    <w:rPr>
      <w:rFonts w:ascii="Times New Roman" w:eastAsia="宋体" w:hAnsi="Times New Roman" w:cs="Times New Roman"/>
      <w:sz w:val="18"/>
      <w:szCs w:val="21"/>
    </w:rPr>
  </w:style>
  <w:style w:type="paragraph" w:customStyle="1" w:styleId="Char4CharCharChar1">
    <w:name w:val="Char4 Char Char Char1"/>
    <w:basedOn w:val="a2"/>
    <w:uiPriority w:val="99"/>
    <w:qFormat/>
    <w:pPr>
      <w:jc w:val="both"/>
    </w:pPr>
    <w:rPr>
      <w:sz w:val="24"/>
    </w:rPr>
  </w:style>
  <w:style w:type="paragraph" w:customStyle="1" w:styleId="CM7">
    <w:name w:val="CM7"/>
    <w:basedOn w:val="Default"/>
    <w:next w:val="Default"/>
    <w:uiPriority w:val="99"/>
    <w:qFormat/>
    <w:pPr>
      <w:spacing w:beforeLines="0" w:before="0" w:afterLines="0" w:after="315" w:line="240" w:lineRule="auto"/>
      <w:ind w:firstLineChars="0" w:firstLine="0"/>
    </w:pPr>
    <w:rPr>
      <w:rFonts w:ascii="新宋体" w:eastAsia="新宋体" w:cs="Times New Roman"/>
      <w:color w:val="auto"/>
    </w:rPr>
  </w:style>
  <w:style w:type="paragraph" w:customStyle="1" w:styleId="afffffffffffffff4">
    <w:name w:val="节标题"/>
    <w:basedOn w:val="a2"/>
    <w:next w:val="a2"/>
    <w:qFormat/>
    <w:pPr>
      <w:snapToGrid w:val="0"/>
      <w:spacing w:line="360" w:lineRule="auto"/>
    </w:pPr>
    <w:rPr>
      <w:rFonts w:eastAsia="黑体" w:hAnsi="黑体"/>
      <w:sz w:val="24"/>
    </w:rPr>
  </w:style>
  <w:style w:type="paragraph" w:customStyle="1" w:styleId="CharCharCharCharCharCharCharCharCharChar1CharCharChar1">
    <w:name w:val="Char Char Char Char Char Char Char Char Char Char1 Char Char Char1"/>
    <w:basedOn w:val="a2"/>
    <w:qFormat/>
    <w:pPr>
      <w:spacing w:line="240" w:lineRule="exact"/>
      <w:ind w:firstLineChars="200" w:firstLine="200"/>
      <w:jc w:val="both"/>
    </w:pPr>
    <w:rPr>
      <w:rFonts w:ascii="Times New Roman"/>
      <w:szCs w:val="28"/>
    </w:rPr>
  </w:style>
  <w:style w:type="paragraph" w:customStyle="1" w:styleId="2ffd">
    <w:name w:val="ü2"/>
    <w:basedOn w:val="a2"/>
    <w:uiPriority w:val="99"/>
    <w:qFormat/>
    <w:pPr>
      <w:spacing w:before="240" w:after="60" w:line="360" w:lineRule="auto"/>
      <w:jc w:val="both"/>
      <w:textAlignment w:val="baseline"/>
    </w:pPr>
    <w:rPr>
      <w:rFonts w:ascii="CorpoSLig" w:hAnsi="CorpoSLig"/>
      <w:b/>
      <w:color w:val="FF0000"/>
      <w:sz w:val="24"/>
    </w:rPr>
  </w:style>
  <w:style w:type="paragraph" w:customStyle="1" w:styleId="IDCA-Head2ndLine">
    <w:name w:val="IDC A-Head (2nd Line)"/>
    <w:basedOn w:val="a2"/>
    <w:next w:val="a2"/>
    <w:uiPriority w:val="99"/>
    <w:qFormat/>
    <w:pPr>
      <w:jc w:val="center"/>
    </w:pPr>
    <w:rPr>
      <w:caps/>
      <w:sz w:val="24"/>
    </w:rPr>
  </w:style>
  <w:style w:type="paragraph" w:customStyle="1" w:styleId="CharCharChar11">
    <w:name w:val="环评正文 Char Char Char1"/>
    <w:uiPriority w:val="99"/>
    <w:qFormat/>
    <w:pPr>
      <w:spacing w:line="400" w:lineRule="exact"/>
      <w:ind w:firstLineChars="200" w:firstLine="200"/>
      <w:jc w:val="both"/>
    </w:pPr>
    <w:rPr>
      <w:rFonts w:ascii="Times New Roman" w:eastAsia="宋体" w:hAnsi="Times New Roman" w:cs="Times New Roman"/>
      <w:snapToGrid w:val="0"/>
      <w:color w:val="000000"/>
      <w:kern w:val="21"/>
      <w:sz w:val="24"/>
      <w:szCs w:val="24"/>
    </w:rPr>
  </w:style>
  <w:style w:type="paragraph" w:customStyle="1" w:styleId="Char2CharChar2">
    <w:name w:val="Char2 Char Char2"/>
    <w:basedOn w:val="a2"/>
    <w:uiPriority w:val="99"/>
    <w:qFormat/>
    <w:pPr>
      <w:jc w:val="both"/>
    </w:pPr>
    <w:rPr>
      <w:rFonts w:ascii="Times New Roman"/>
    </w:rPr>
  </w:style>
  <w:style w:type="paragraph" w:customStyle="1" w:styleId="afffffffffffffff5">
    <w:name w:val="正文仿宋小四"/>
    <w:basedOn w:val="a2"/>
    <w:uiPriority w:val="99"/>
    <w:qFormat/>
    <w:pPr>
      <w:spacing w:line="360" w:lineRule="auto"/>
      <w:ind w:firstLineChars="200" w:firstLine="200"/>
      <w:jc w:val="both"/>
    </w:pPr>
    <w:rPr>
      <w:rFonts w:eastAsia="仿宋_GB2312" w:hAnsi="Arial"/>
      <w:sz w:val="24"/>
    </w:rPr>
  </w:style>
  <w:style w:type="paragraph" w:customStyle="1" w:styleId="CharCharCharCharChar1Char3">
    <w:name w:val="Char Char Char Char Char1 Char3"/>
    <w:basedOn w:val="a2"/>
    <w:uiPriority w:val="99"/>
    <w:qFormat/>
    <w:pPr>
      <w:jc w:val="both"/>
    </w:pPr>
  </w:style>
  <w:style w:type="paragraph" w:customStyle="1" w:styleId="CharCharCharChar1CharCharCharCharCharChar">
    <w:name w:val="Char Char Char Char1 Char Char Char Char Char Char"/>
    <w:basedOn w:val="a2"/>
    <w:next w:val="a2"/>
    <w:pPr>
      <w:spacing w:line="360" w:lineRule="auto"/>
      <w:ind w:firstLineChars="200" w:firstLine="200"/>
      <w:jc w:val="both"/>
    </w:pPr>
    <w:rPr>
      <w:rFonts w:ascii="宋体" w:hAnsi="宋体" w:cs="宋体"/>
      <w:sz w:val="24"/>
    </w:rPr>
  </w:style>
  <w:style w:type="paragraph" w:customStyle="1" w:styleId="1051">
    <w:name w:val="样式 表格 + 段前: 1 行 段后: 0.5 行1"/>
    <w:basedOn w:val="affffd"/>
    <w:uiPriority w:val="99"/>
    <w:qFormat/>
    <w:pPr>
      <w:widowControl w:val="0"/>
      <w:spacing w:line="240" w:lineRule="atLeast"/>
      <w:textAlignment w:val="auto"/>
    </w:pPr>
    <w:rPr>
      <w:rFonts w:ascii="Times New Roman" w:hAnsi="Times New Roman" w:cs="宋体"/>
      <w:snapToGrid w:val="0"/>
      <w:sz w:val="24"/>
      <w:szCs w:val="21"/>
    </w:rPr>
  </w:style>
  <w:style w:type="paragraph" w:customStyle="1" w:styleId="Char2CharCharCharCharCharCharCharCharCharCharChar1CharCharCharCharCharCharCharCharChar">
    <w:name w:val="Char2 Char Char Char Char Char Char Char Char Char Char Char1 Char Char Char Char Char Char Char Char Char"/>
    <w:basedOn w:val="a2"/>
    <w:qFormat/>
    <w:rPr>
      <w:sz w:val="24"/>
    </w:rPr>
  </w:style>
  <w:style w:type="paragraph" w:customStyle="1" w:styleId="2ffe">
    <w:name w:val="样式 居中 首行缩进:  2 字符"/>
    <w:basedOn w:val="a2"/>
    <w:uiPriority w:val="99"/>
    <w:qFormat/>
    <w:pPr>
      <w:spacing w:line="480" w:lineRule="exact"/>
      <w:ind w:firstLineChars="5" w:firstLine="14"/>
      <w:jc w:val="center"/>
    </w:pPr>
    <w:rPr>
      <w:rFonts w:cs="宋体"/>
    </w:rPr>
  </w:style>
  <w:style w:type="paragraph" w:customStyle="1" w:styleId="1ffffd">
    <w:name w:val="项目1"/>
    <w:basedOn w:val="a2"/>
    <w:qFormat/>
    <w:pPr>
      <w:tabs>
        <w:tab w:val="left" w:pos="425"/>
      </w:tabs>
      <w:snapToGrid w:val="0"/>
      <w:spacing w:line="0" w:lineRule="atLeast"/>
      <w:ind w:left="425" w:hanging="425"/>
      <w:jc w:val="both"/>
    </w:pPr>
  </w:style>
  <w:style w:type="paragraph" w:customStyle="1" w:styleId="CharCharCharChar8">
    <w:name w:val="正文 Char Char Char Char"/>
    <w:basedOn w:val="a2"/>
    <w:next w:val="a2"/>
    <w:uiPriority w:val="99"/>
    <w:qFormat/>
    <w:pPr>
      <w:spacing w:line="360" w:lineRule="auto"/>
      <w:ind w:firstLine="482"/>
      <w:textAlignment w:val="baseline"/>
    </w:pPr>
    <w:rPr>
      <w:rFonts w:ascii="宋体"/>
      <w:snapToGrid w:val="0"/>
      <w:kern w:val="21"/>
      <w:sz w:val="24"/>
    </w:rPr>
  </w:style>
  <w:style w:type="paragraph" w:customStyle="1" w:styleId="07720415">
    <w:name w:val="样式 首行缩进:  0.77 厘米 行距: 固定值 20 磅415"/>
    <w:basedOn w:val="a2"/>
    <w:uiPriority w:val="99"/>
    <w:qFormat/>
    <w:pPr>
      <w:spacing w:line="360" w:lineRule="auto"/>
      <w:ind w:firstLineChars="200" w:firstLine="480"/>
      <w:jc w:val="both"/>
    </w:pPr>
    <w:rPr>
      <w:rFonts w:cs="宋体"/>
      <w:sz w:val="24"/>
    </w:rPr>
  </w:style>
  <w:style w:type="paragraph" w:customStyle="1" w:styleId="1Charfa">
    <w:name w:val="1 Char"/>
    <w:basedOn w:val="a2"/>
    <w:qFormat/>
    <w:pPr>
      <w:jc w:val="both"/>
    </w:pPr>
    <w:rPr>
      <w:sz w:val="24"/>
    </w:rPr>
  </w:style>
  <w:style w:type="paragraph" w:customStyle="1" w:styleId="CharCharCharCharCharCharChar4">
    <w:name w:val="样式 正文缩进表格标题文本条款正文（首行缩进两字） Char Char Char Char Char Char Char..."/>
    <w:basedOn w:val="a3"/>
    <w:uiPriority w:val="99"/>
    <w:qFormat/>
    <w:pPr>
      <w:snapToGrid w:val="0"/>
      <w:spacing w:line="460" w:lineRule="exact"/>
      <w:ind w:firstLine="480"/>
      <w:jc w:val="both"/>
    </w:pPr>
    <w:rPr>
      <w:rFonts w:ascii="宋体" w:hAnsi="宋体"/>
      <w:sz w:val="24"/>
      <w:szCs w:val="20"/>
    </w:rPr>
  </w:style>
  <w:style w:type="paragraph" w:customStyle="1" w:styleId="Style110">
    <w:name w:val="_Style 11"/>
    <w:basedOn w:val="a2"/>
    <w:uiPriority w:val="99"/>
    <w:qFormat/>
    <w:pPr>
      <w:jc w:val="both"/>
    </w:pPr>
  </w:style>
  <w:style w:type="paragraph" w:customStyle="1" w:styleId="CharCharCharChar40">
    <w:name w:val="Char Char Char Char4"/>
    <w:basedOn w:val="a2"/>
    <w:qFormat/>
    <w:pPr>
      <w:snapToGrid w:val="0"/>
      <w:spacing w:line="360" w:lineRule="auto"/>
      <w:ind w:firstLineChars="200" w:firstLine="200"/>
    </w:pPr>
    <w:rPr>
      <w:rFonts w:eastAsia="仿宋_GB2312"/>
      <w:sz w:val="24"/>
    </w:rPr>
  </w:style>
  <w:style w:type="paragraph" w:customStyle="1" w:styleId="afffffffffffffff6">
    <w:name w:val="表格字体"/>
    <w:basedOn w:val="a3"/>
    <w:uiPriority w:val="99"/>
    <w:qFormat/>
    <w:pPr>
      <w:spacing w:line="360" w:lineRule="auto"/>
      <w:ind w:firstLineChars="0" w:firstLine="0"/>
      <w:jc w:val="center"/>
    </w:pPr>
    <w:rPr>
      <w:sz w:val="24"/>
      <w:szCs w:val="20"/>
    </w:rPr>
  </w:style>
  <w:style w:type="paragraph" w:customStyle="1" w:styleId="-5">
    <w:name w:val="文-5"/>
    <w:basedOn w:val="a2"/>
    <w:qFormat/>
    <w:pPr>
      <w:tabs>
        <w:tab w:val="right" w:leader="dot" w:pos="8789"/>
      </w:tabs>
      <w:spacing w:before="120"/>
      <w:ind w:left="1276" w:firstLine="482"/>
    </w:pPr>
    <w:rPr>
      <w:sz w:val="24"/>
    </w:rPr>
  </w:style>
  <w:style w:type="paragraph" w:customStyle="1" w:styleId="CharCharChar1CharCharCharCharCharCharCharCharCharCharCharCharCharCharCharCharCharCharCharCharCharChar2">
    <w:name w:val="Char Char Char1 Char Char Char Char Char Char Char Char Char Char Char Char Char Char Char Char Char Char Char Char Char Char2"/>
    <w:basedOn w:val="a2"/>
    <w:uiPriority w:val="99"/>
    <w:qFormat/>
    <w:rPr>
      <w:rFonts w:ascii="Times New Roman"/>
    </w:rPr>
  </w:style>
  <w:style w:type="paragraph" w:customStyle="1" w:styleId="6CharChar3">
    <w:name w:val="目录 6 Char Char"/>
    <w:basedOn w:val="a2"/>
    <w:next w:val="a2"/>
    <w:qFormat/>
    <w:pPr>
      <w:spacing w:line="351" w:lineRule="atLeast"/>
      <w:ind w:left="1048" w:firstLine="419"/>
    </w:pPr>
    <w:rPr>
      <w:rFonts w:hAnsi="宋体"/>
    </w:rPr>
  </w:style>
  <w:style w:type="paragraph" w:customStyle="1" w:styleId="Char2CharCharCharCharCharChar2">
    <w:name w:val="Char2 Char Char Char Char Char Char2"/>
    <w:basedOn w:val="a2"/>
    <w:uiPriority w:val="99"/>
    <w:qFormat/>
    <w:pPr>
      <w:jc w:val="both"/>
    </w:pPr>
    <w:rPr>
      <w:rFonts w:ascii="Times New Roman"/>
    </w:rPr>
  </w:style>
  <w:style w:type="paragraph" w:customStyle="1" w:styleId="1ffffe">
    <w:name w:val="日期1"/>
    <w:basedOn w:val="a2"/>
    <w:next w:val="a2"/>
    <w:qFormat/>
    <w:pPr>
      <w:snapToGrid w:val="0"/>
      <w:spacing w:before="120" w:after="120" w:line="360" w:lineRule="auto"/>
      <w:ind w:firstLineChars="200" w:firstLine="200"/>
      <w:jc w:val="both"/>
      <w:textAlignment w:val="baseline"/>
    </w:pPr>
    <w:rPr>
      <w:sz w:val="24"/>
    </w:rPr>
  </w:style>
  <w:style w:type="paragraph" w:customStyle="1" w:styleId="afffffffffffffff7">
    <w:name w:val="式样"/>
    <w:basedOn w:val="a2"/>
    <w:next w:val="afc"/>
    <w:uiPriority w:val="99"/>
    <w:qFormat/>
    <w:pPr>
      <w:jc w:val="both"/>
    </w:pPr>
  </w:style>
  <w:style w:type="paragraph" w:customStyle="1" w:styleId="BIGBOLD">
    <w:name w:val="BIG BOLD"/>
    <w:basedOn w:val="a2"/>
    <w:qFormat/>
    <w:pPr>
      <w:tabs>
        <w:tab w:val="left" w:leader="underscore" w:pos="1134"/>
      </w:tabs>
      <w:jc w:val="both"/>
    </w:pPr>
  </w:style>
  <w:style w:type="paragraph" w:customStyle="1" w:styleId="afffffffffffffff8">
    <w:name w:val="文件名称"/>
    <w:basedOn w:val="a2"/>
    <w:uiPriority w:val="99"/>
    <w:qFormat/>
    <w:pPr>
      <w:pageBreakBefore/>
      <w:spacing w:line="460" w:lineRule="exact"/>
      <w:jc w:val="center"/>
    </w:pPr>
    <w:rPr>
      <w:rFonts w:ascii="宋体" w:cs="宋体"/>
      <w:b/>
      <w:bCs/>
      <w:sz w:val="32"/>
      <w:szCs w:val="32"/>
    </w:rPr>
  </w:style>
  <w:style w:type="paragraph" w:customStyle="1" w:styleId="118">
    <w:name w:val="表内文字11"/>
    <w:basedOn w:val="a2"/>
    <w:qFormat/>
    <w:rPr>
      <w:snapToGrid w:val="0"/>
      <w:sz w:val="22"/>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2"/>
    <w:pPr>
      <w:spacing w:line="360" w:lineRule="auto"/>
      <w:ind w:firstLineChars="200" w:firstLine="200"/>
      <w:jc w:val="both"/>
    </w:pPr>
    <w:rPr>
      <w:rFonts w:eastAsia="黑体"/>
      <w:szCs w:val="28"/>
    </w:rPr>
  </w:style>
  <w:style w:type="paragraph" w:customStyle="1" w:styleId="Char1CharCharCharCharChar">
    <w:name w:val="Char1 Char Char Char Char Char"/>
    <w:basedOn w:val="a2"/>
    <w:next w:val="a2"/>
    <w:uiPriority w:val="99"/>
    <w:qFormat/>
    <w:pPr>
      <w:spacing w:line="360" w:lineRule="auto"/>
      <w:ind w:firstLineChars="200" w:firstLine="200"/>
      <w:jc w:val="center"/>
    </w:pPr>
    <w:rPr>
      <w:rFonts w:eastAsia="黑体"/>
    </w:rPr>
  </w:style>
  <w:style w:type="paragraph" w:customStyle="1" w:styleId="afffffffffffffff9">
    <w:name w:val="三级目录"/>
    <w:basedOn w:val="32"/>
    <w:next w:val="a2"/>
    <w:uiPriority w:val="99"/>
    <w:qFormat/>
    <w:pPr>
      <w:spacing w:before="240" w:after="120" w:line="240" w:lineRule="auto"/>
      <w:jc w:val="both"/>
    </w:pPr>
    <w:rPr>
      <w:rFonts w:ascii="黑体" w:eastAsia="黑体" w:hAnsi="黑体"/>
      <w:b w:val="0"/>
      <w:bCs w:val="0"/>
      <w:sz w:val="28"/>
      <w:szCs w:val="20"/>
    </w:rPr>
  </w:style>
  <w:style w:type="paragraph" w:customStyle="1" w:styleId="2fff">
    <w:name w:val="正文（首行式样2）"/>
    <w:basedOn w:val="a3"/>
    <w:qFormat/>
    <w:pPr>
      <w:spacing w:line="540" w:lineRule="exact"/>
      <w:ind w:leftChars="99" w:left="208" w:firstLineChars="100" w:firstLine="280"/>
      <w:jc w:val="both"/>
    </w:pPr>
    <w:rPr>
      <w:rFonts w:ascii="仿宋_GB2312" w:eastAsia="仿宋_GB2312"/>
      <w:sz w:val="28"/>
      <w:szCs w:val="28"/>
    </w:rPr>
  </w:style>
  <w:style w:type="paragraph" w:customStyle="1" w:styleId="1fffff">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CharCharCharCharCharChar1Char2">
    <w:name w:val="Char Char Char Char Char Char1 Char2"/>
    <w:basedOn w:val="a2"/>
    <w:uiPriority w:val="99"/>
    <w:qFormat/>
    <w:pPr>
      <w:spacing w:line="360" w:lineRule="auto"/>
      <w:ind w:firstLineChars="200" w:firstLine="200"/>
      <w:jc w:val="both"/>
    </w:pPr>
  </w:style>
  <w:style w:type="paragraph" w:customStyle="1" w:styleId="Char1CharCharCharCharCharChar1CharCharChar">
    <w:name w:val="Char1 Char Char Char Char Char Char1 Char Char Char"/>
    <w:basedOn w:val="a2"/>
    <w:next w:val="a2"/>
    <w:uiPriority w:val="99"/>
    <w:qFormat/>
    <w:pPr>
      <w:spacing w:line="360" w:lineRule="auto"/>
      <w:ind w:firstLineChars="200" w:firstLine="200"/>
      <w:jc w:val="center"/>
    </w:pPr>
    <w:rPr>
      <w:rFonts w:eastAsia="黑体"/>
    </w:rPr>
  </w:style>
  <w:style w:type="paragraph" w:customStyle="1" w:styleId="052">
    <w:name w:val="样式 表头 + 段前: 0.5 行2"/>
    <w:basedOn w:val="affffffff5"/>
    <w:uiPriority w:val="99"/>
    <w:qFormat/>
    <w:pPr>
      <w:snapToGrid w:val="0"/>
      <w:spacing w:before="0" w:line="360" w:lineRule="auto"/>
      <w:ind w:firstLineChars="200" w:firstLine="200"/>
      <w:textAlignment w:val="baseline"/>
    </w:pPr>
    <w:rPr>
      <w:rFonts w:eastAsia="宋体" w:cs="宋体"/>
      <w:b/>
      <w:bCs/>
      <w:szCs w:val="20"/>
    </w:rPr>
  </w:style>
  <w:style w:type="paragraph" w:customStyle="1" w:styleId="Char2CharCharCharCharCharCharCharCharCharCharChar1CharCharCharCharCharCharChar">
    <w:name w:val="Char2 Char Char Char Char Char Char Char Char Char Char Char1 Char Char Char Char Char Char Char"/>
    <w:basedOn w:val="a2"/>
    <w:pPr>
      <w:jc w:val="both"/>
    </w:pPr>
    <w:rPr>
      <w:sz w:val="24"/>
    </w:rPr>
  </w:style>
  <w:style w:type="paragraph" w:customStyle="1" w:styleId="CharChar3CharChar2">
    <w:name w:val="Char Char3 Char Char2"/>
    <w:basedOn w:val="a2"/>
    <w:uiPriority w:val="99"/>
    <w:qFormat/>
    <w:pPr>
      <w:jc w:val="both"/>
    </w:pPr>
    <w:rPr>
      <w:rFonts w:ascii="Times New Roman"/>
    </w:rPr>
  </w:style>
  <w:style w:type="paragraph" w:customStyle="1" w:styleId="P90">
    <w:name w:val="P9"/>
    <w:uiPriority w:val="99"/>
    <w:qFormat/>
    <w:pPr>
      <w:widowControl w:val="0"/>
      <w:adjustRightInd w:val="0"/>
      <w:spacing w:line="360" w:lineRule="atLeast"/>
      <w:ind w:left="4608" w:hanging="576"/>
      <w:textAlignment w:val="baseline"/>
    </w:pPr>
    <w:rPr>
      <w:rFonts w:ascii="Times New Roman" w:eastAsia="全真中明體" w:hAnsi="Times New Roman" w:cs="Times New Roman"/>
      <w:spacing w:val="20"/>
      <w:sz w:val="24"/>
      <w:lang w:eastAsia="zh-TW"/>
    </w:rPr>
  </w:style>
  <w:style w:type="paragraph" w:customStyle="1" w:styleId="Char3CharChar1Char1">
    <w:name w:val="Char3 Char Char1 Char1"/>
    <w:basedOn w:val="a2"/>
    <w:uiPriority w:val="99"/>
    <w:qFormat/>
    <w:pPr>
      <w:jc w:val="both"/>
    </w:pPr>
    <w:rPr>
      <w:rFonts w:ascii="Times New Roman"/>
    </w:rPr>
  </w:style>
  <w:style w:type="paragraph" w:customStyle="1" w:styleId="T0">
    <w:name w:val="T表头"/>
    <w:next w:val="a2"/>
    <w:uiPriority w:val="99"/>
    <w:qFormat/>
    <w:pPr>
      <w:keepNext/>
      <w:keepLines/>
      <w:spacing w:line="360" w:lineRule="auto"/>
      <w:jc w:val="center"/>
    </w:pPr>
    <w:rPr>
      <w:rFonts w:ascii="Times New Roman" w:eastAsia="黑体" w:hAnsi="Times New Roman" w:cs="Times New Roman"/>
      <w:sz w:val="28"/>
    </w:rPr>
  </w:style>
  <w:style w:type="paragraph" w:customStyle="1" w:styleId="3wb0505">
    <w:name w:val="样式 标题 3 wb + 段前: 0.5 行 段后: 0.5 行"/>
    <w:basedOn w:val="3wb"/>
    <w:uiPriority w:val="99"/>
    <w:qFormat/>
    <w:pPr>
      <w:spacing w:beforeLines="0" w:before="0" w:afterLines="0" w:after="0"/>
    </w:pPr>
    <w:rPr>
      <w:rFonts w:cs="宋体"/>
    </w:rPr>
  </w:style>
  <w:style w:type="paragraph" w:customStyle="1" w:styleId="putong">
    <w:name w:val="putong"/>
    <w:basedOn w:val="a2"/>
    <w:uiPriority w:val="99"/>
    <w:qFormat/>
    <w:pPr>
      <w:spacing w:before="100" w:beforeAutospacing="1" w:after="100" w:afterAutospacing="1" w:line="270" w:lineRule="atLeast"/>
    </w:pPr>
    <w:rPr>
      <w:rFonts w:ascii="Arial Unicode MS" w:eastAsia="Arial Unicode MS" w:hAnsi="Arial Unicode MS"/>
      <w:color w:val="000000"/>
      <w:sz w:val="18"/>
    </w:rPr>
  </w:style>
  <w:style w:type="paragraph" w:customStyle="1" w:styleId="Char2CharChar1Char">
    <w:name w:val="Char2 Char Char1 Char"/>
    <w:basedOn w:val="a2"/>
    <w:uiPriority w:val="99"/>
    <w:qFormat/>
    <w:pPr>
      <w:jc w:val="both"/>
    </w:pPr>
    <w:rPr>
      <w:sz w:val="24"/>
    </w:rPr>
  </w:style>
  <w:style w:type="paragraph" w:customStyle="1" w:styleId="350">
    <w:name w:val="正文文本 35"/>
    <w:basedOn w:val="a2"/>
    <w:uiPriority w:val="99"/>
    <w:qFormat/>
    <w:pPr>
      <w:spacing w:line="360" w:lineRule="auto"/>
      <w:jc w:val="center"/>
    </w:pPr>
    <w:rPr>
      <w:sz w:val="20"/>
    </w:rPr>
  </w:style>
  <w:style w:type="paragraph" w:customStyle="1" w:styleId="305050505">
    <w:name w:val="样式 样式 样式 标题 3 + 段前: 0.5 行 段后: 0.5 行 + 段前: 0.5 行 段后: 0.5 行 + 段前: ..."/>
    <w:basedOn w:val="a2"/>
    <w:qFormat/>
    <w:pPr>
      <w:keepNext/>
      <w:keepLines/>
      <w:numPr>
        <w:ilvl w:val="2"/>
        <w:numId w:val="10"/>
      </w:numPr>
      <w:snapToGrid w:val="0"/>
      <w:spacing w:before="156" w:after="156" w:line="300" w:lineRule="auto"/>
      <w:outlineLvl w:val="2"/>
    </w:pPr>
    <w:rPr>
      <w:rFonts w:ascii="仿宋_GB2312" w:eastAsia="仿宋_GB2312" w:cs="宋体"/>
      <w:b/>
      <w:bCs/>
    </w:rPr>
  </w:style>
  <w:style w:type="paragraph" w:customStyle="1" w:styleId="135">
    <w:name w:val="表内文字小13"/>
    <w:basedOn w:val="a2"/>
    <w:uiPriority w:val="99"/>
    <w:qFormat/>
    <w:pPr>
      <w:snapToGrid w:val="0"/>
      <w:jc w:val="center"/>
    </w:pPr>
    <w:rPr>
      <w:rFonts w:ascii="宋体" w:hAnsi="Times"/>
    </w:rPr>
  </w:style>
  <w:style w:type="paragraph" w:customStyle="1" w:styleId="z-12">
    <w:name w:val="z-窗体底端1"/>
    <w:basedOn w:val="a2"/>
    <w:next w:val="a2"/>
    <w:uiPriority w:val="99"/>
    <w:qFormat/>
    <w:pPr>
      <w:pBdr>
        <w:top w:val="single" w:sz="6" w:space="1" w:color="auto"/>
      </w:pBdr>
      <w:jc w:val="center"/>
      <w:textAlignment w:val="baseline"/>
    </w:pPr>
    <w:rPr>
      <w:rFonts w:hAnsi="Arial"/>
      <w:vanish/>
      <w:sz w:val="16"/>
    </w:rPr>
  </w:style>
  <w:style w:type="paragraph" w:customStyle="1" w:styleId="Char3CharCharCharCharCharChar">
    <w:name w:val="Char3 Char Char Char Char Char Char"/>
    <w:basedOn w:val="a2"/>
    <w:uiPriority w:val="99"/>
    <w:qFormat/>
    <w:pPr>
      <w:jc w:val="both"/>
    </w:pPr>
  </w:style>
  <w:style w:type="paragraph" w:customStyle="1" w:styleId="CharCharCharCharChar2CharCharCharChar">
    <w:name w:val="Char Char Char Char Char2 Char Char Char Char"/>
    <w:basedOn w:val="a2"/>
    <w:uiPriority w:val="99"/>
    <w:qFormat/>
    <w:pPr>
      <w:snapToGrid w:val="0"/>
      <w:spacing w:before="120" w:after="120" w:line="360" w:lineRule="auto"/>
      <w:ind w:firstLineChars="200" w:firstLine="200"/>
      <w:jc w:val="both"/>
    </w:pPr>
    <w:rPr>
      <w:sz w:val="24"/>
    </w:rPr>
  </w:style>
  <w:style w:type="paragraph" w:customStyle="1" w:styleId="chen20">
    <w:name w:val="样式 chen + 首行缩进:  2 字符"/>
    <w:basedOn w:val="a2"/>
    <w:uiPriority w:val="99"/>
    <w:qFormat/>
    <w:pPr>
      <w:spacing w:line="500" w:lineRule="exact"/>
      <w:ind w:firstLineChars="200" w:firstLine="560"/>
      <w:jc w:val="both"/>
    </w:pPr>
    <w:rPr>
      <w:rFonts w:cs="宋体"/>
      <w:color w:val="000000"/>
    </w:rPr>
  </w:style>
  <w:style w:type="paragraph" w:customStyle="1" w:styleId="CharCharChar1CharCharCharCharCharCharCharCharCharCharCharCharCharCharCharCharCharCharCharCharCharChar1">
    <w:name w:val="Char Char Char1 Char Char Char Char Char Char Char Char Char Char Char Char Char Char Char Char Char Char Char Char Char Char1"/>
    <w:basedOn w:val="a2"/>
    <w:qFormat/>
    <w:rPr>
      <w:rFonts w:ascii="Times New Roman"/>
    </w:rPr>
  </w:style>
  <w:style w:type="paragraph" w:customStyle="1" w:styleId="1TimesNewRoman5524">
    <w:name w:val="样式 标题 1 + Times New Roman 三号 段前: 5 磅 段后: 5 磅 行距: 固定值 24 磅"/>
    <w:basedOn w:val="12"/>
    <w:uiPriority w:val="99"/>
    <w:qFormat/>
    <w:pPr>
      <w:spacing w:before="100" w:after="100" w:line="480" w:lineRule="exact"/>
      <w:textAlignment w:val="baseline"/>
    </w:pPr>
    <w:rPr>
      <w:rFonts w:ascii="Arial Unicode MS" w:eastAsia="仿宋_GB2312" w:hAnsi="Arial Unicode MS" w:cs="宋体"/>
      <w:b/>
      <w:bCs w:val="0"/>
      <w:sz w:val="32"/>
      <w:szCs w:val="44"/>
    </w:rPr>
  </w:style>
  <w:style w:type="paragraph" w:customStyle="1" w:styleId="CharCharCharCharChar1Char1">
    <w:name w:val="Char Char Char Char Char1 Char1"/>
    <w:basedOn w:val="a2"/>
    <w:uiPriority w:val="99"/>
    <w:qFormat/>
    <w:pPr>
      <w:jc w:val="both"/>
    </w:pPr>
  </w:style>
  <w:style w:type="paragraph" w:customStyle="1" w:styleId="CharCharCharCharCharCharCharCharCharCharCharChar">
    <w:name w:val="Char Char Char Char Char Char Char Char Char Char Char Char"/>
    <w:basedOn w:val="a2"/>
    <w:pPr>
      <w:spacing w:line="480" w:lineRule="exact"/>
      <w:jc w:val="both"/>
    </w:pPr>
  </w:style>
  <w:style w:type="paragraph" w:customStyle="1" w:styleId="3ff1">
    <w:name w:val="图题3"/>
    <w:basedOn w:val="aff4"/>
    <w:next w:val="a2"/>
    <w:uiPriority w:val="99"/>
    <w:qFormat/>
    <w:pPr>
      <w:spacing w:line="360" w:lineRule="auto"/>
    </w:pPr>
    <w:rPr>
      <w:rFonts w:ascii="方正大标宋简体" w:eastAsia="方正大标宋简体" w:hint="default"/>
      <w:sz w:val="24"/>
    </w:rPr>
  </w:style>
  <w:style w:type="paragraph" w:customStyle="1" w:styleId="3111h3H3level3PIM3Level3HeadHeading3-ol">
    <w:name w:val="样式 标题 3条标题1.1.1h3H3level_3PIM 3Level 3 HeadHeading 3 - ol..."/>
    <w:basedOn w:val="32"/>
    <w:uiPriority w:val="99"/>
    <w:qFormat/>
    <w:pPr>
      <w:snapToGrid w:val="0"/>
      <w:spacing w:beforeLines="100" w:before="312" w:after="0" w:line="360" w:lineRule="auto"/>
      <w:jc w:val="both"/>
    </w:pPr>
    <w:rPr>
      <w:rFonts w:ascii="宋体" w:eastAsia="宋体" w:hAnsi="宋体"/>
      <w:b w:val="0"/>
      <w:bCs w:val="0"/>
      <w:color w:val="0000FF"/>
      <w:sz w:val="28"/>
      <w:szCs w:val="20"/>
    </w:rPr>
  </w:style>
  <w:style w:type="paragraph" w:customStyle="1" w:styleId="CharCharCharCharCharCharCharCharCharCharCharCharCharCharCharChar5">
    <w:name w:val="Char Char Char Char Char Char Char Char Char Char Char Char Char Char Char Char5"/>
    <w:basedOn w:val="a2"/>
    <w:pPr>
      <w:jc w:val="both"/>
    </w:pPr>
    <w:rPr>
      <w:sz w:val="24"/>
    </w:rPr>
  </w:style>
  <w:style w:type="paragraph" w:customStyle="1" w:styleId="afffffffffffffffa">
    <w:name w:val="居中正文"/>
    <w:basedOn w:val="aff9"/>
    <w:uiPriority w:val="99"/>
    <w:qFormat/>
    <w:pPr>
      <w:spacing w:before="240" w:after="0" w:line="240" w:lineRule="atLeast"/>
      <w:ind w:firstLineChars="0" w:firstLine="0"/>
      <w:jc w:val="center"/>
      <w:textAlignment w:val="baseline"/>
    </w:pPr>
    <w:rPr>
      <w:rFonts w:ascii="宋体" w:hAnsi="宋体" w:hint="eastAsia"/>
      <w:spacing w:val="6"/>
      <w:kern w:val="28"/>
      <w:sz w:val="24"/>
      <w:szCs w:val="20"/>
    </w:rPr>
  </w:style>
  <w:style w:type="paragraph" w:customStyle="1" w:styleId="9CharChar">
    <w:name w:val="目录 9 Char Char"/>
    <w:basedOn w:val="a2"/>
    <w:next w:val="a2"/>
    <w:qFormat/>
    <w:pPr>
      <w:spacing w:line="351" w:lineRule="atLeast"/>
      <w:ind w:left="1678" w:firstLine="419"/>
    </w:pPr>
    <w:rPr>
      <w:rFonts w:hAnsi="宋体"/>
    </w:rPr>
  </w:style>
  <w:style w:type="paragraph" w:customStyle="1" w:styleId="CharCharCharCharCharCharCharCharChar1CharCharCharChar2">
    <w:name w:val="Char Char Char Char Char Char Char Char Char1 Char Char Char Char2"/>
    <w:basedOn w:val="a2"/>
    <w:uiPriority w:val="99"/>
    <w:semiHidden/>
    <w:qFormat/>
    <w:pPr>
      <w:jc w:val="both"/>
    </w:pPr>
    <w:rPr>
      <w:rFonts w:ascii="Times New Roman"/>
    </w:rPr>
  </w:style>
  <w:style w:type="paragraph" w:customStyle="1" w:styleId="Char3CharCharChar1CharChar1Char2">
    <w:name w:val="Char3 Char Char Char1 Char Char1 Char2"/>
    <w:basedOn w:val="a2"/>
    <w:uiPriority w:val="99"/>
    <w:qFormat/>
    <w:pPr>
      <w:jc w:val="both"/>
    </w:pPr>
    <w:rPr>
      <w:rFonts w:ascii="Times New Roman"/>
    </w:rPr>
  </w:style>
  <w:style w:type="paragraph" w:customStyle="1" w:styleId="CharCharCharCharCharChar1Char">
    <w:name w:val="Char Char Char Char Char Char1 Char"/>
    <w:basedOn w:val="a2"/>
    <w:pPr>
      <w:spacing w:line="360" w:lineRule="auto"/>
      <w:ind w:firstLineChars="200" w:firstLine="200"/>
      <w:jc w:val="both"/>
    </w:pPr>
    <w:rPr>
      <w:rFonts w:ascii="宋体" w:hAnsi="宋体" w:cs="宋体"/>
      <w:sz w:val="24"/>
    </w:rPr>
  </w:style>
  <w:style w:type="paragraph" w:customStyle="1" w:styleId="afffffffffffffffb">
    <w:name w:val="图表来源"/>
    <w:basedOn w:val="a2"/>
    <w:uiPriority w:val="99"/>
    <w:qFormat/>
    <w:pPr>
      <w:snapToGrid w:val="0"/>
      <w:jc w:val="both"/>
    </w:pPr>
    <w:rPr>
      <w:rFonts w:ascii="宋体" w:hAnsi="宋体"/>
      <w:snapToGrid w:val="0"/>
      <w:color w:val="000000"/>
      <w:lang w:val="en-GB"/>
    </w:rPr>
  </w:style>
  <w:style w:type="paragraph" w:customStyle="1" w:styleId="2fff0">
    <w:name w:val="样式 正文首行缩进 + 首行缩进:  2 字符"/>
    <w:basedOn w:val="aff9"/>
    <w:qFormat/>
    <w:pPr>
      <w:snapToGrid w:val="0"/>
      <w:spacing w:after="0" w:line="520" w:lineRule="atLeast"/>
      <w:ind w:firstLineChars="200" w:firstLine="549"/>
      <w:jc w:val="both"/>
    </w:pPr>
    <w:rPr>
      <w:rFonts w:cs="宋体"/>
      <w:bCs/>
      <w:sz w:val="28"/>
      <w:szCs w:val="20"/>
    </w:rPr>
  </w:style>
  <w:style w:type="paragraph" w:customStyle="1" w:styleId="afffffffffffffffc">
    <w:name w:val="数据来源"/>
    <w:basedOn w:val="a2"/>
    <w:uiPriority w:val="99"/>
    <w:qFormat/>
    <w:pPr>
      <w:snapToGrid w:val="0"/>
      <w:spacing w:beforeLines="50" w:before="156" w:afterLines="50" w:after="156" w:line="280" w:lineRule="exact"/>
      <w:ind w:firstLineChars="200" w:firstLine="200"/>
      <w:jc w:val="both"/>
    </w:pPr>
    <w:rPr>
      <w:rFonts w:hAnsi="宋体"/>
      <w:sz w:val="24"/>
    </w:rPr>
  </w:style>
  <w:style w:type="paragraph" w:customStyle="1" w:styleId="Date1">
    <w:name w:val="Date1"/>
    <w:basedOn w:val="a2"/>
    <w:next w:val="a2"/>
    <w:qFormat/>
    <w:pPr>
      <w:textAlignment w:val="baseline"/>
    </w:pPr>
  </w:style>
  <w:style w:type="paragraph" w:customStyle="1" w:styleId="10505">
    <w:name w:val="样式 标题 1 + 非加粗 段前: 0.5 行 段后: 0.5 行"/>
    <w:basedOn w:val="12"/>
    <w:uiPriority w:val="99"/>
    <w:qFormat/>
    <w:pPr>
      <w:keepNext w:val="0"/>
      <w:keepLines w:val="0"/>
      <w:tabs>
        <w:tab w:val="left" w:pos="3780"/>
      </w:tabs>
      <w:snapToGrid w:val="0"/>
      <w:spacing w:beforeLines="100" w:before="312" w:afterLines="100" w:after="312" w:line="440" w:lineRule="exact"/>
      <w:jc w:val="center"/>
      <w:textAlignment w:val="auto"/>
    </w:pPr>
    <w:rPr>
      <w:rFonts w:ascii="宋体" w:eastAsia="宋体" w:hAnsi="宋体" w:cs="宋体"/>
      <w:b/>
      <w:color w:val="000000"/>
      <w:sz w:val="24"/>
      <w:szCs w:val="24"/>
    </w:rPr>
  </w:style>
  <w:style w:type="paragraph" w:customStyle="1" w:styleId="Char2CharChar1Char2">
    <w:name w:val="Char2 Char Char1 Char2"/>
    <w:basedOn w:val="a2"/>
    <w:uiPriority w:val="99"/>
    <w:qFormat/>
    <w:pPr>
      <w:jc w:val="both"/>
    </w:pPr>
    <w:rPr>
      <w:rFonts w:ascii="Times New Roman"/>
    </w:rPr>
  </w:style>
  <w:style w:type="paragraph" w:customStyle="1" w:styleId="xl72">
    <w:name w:val="xl72"/>
    <w:basedOn w:val="a2"/>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z w:val="24"/>
    </w:rPr>
  </w:style>
  <w:style w:type="paragraph" w:customStyle="1" w:styleId="205TimesNewRomanGB2312">
    <w:name w:val="样式 样式 标题 2 + 段后: 0.5 行 + (西文) Times New Roman (中文) 仿宋_GB2312 段..."/>
    <w:basedOn w:val="a2"/>
    <w:uiPriority w:val="99"/>
    <w:qFormat/>
    <w:pPr>
      <w:keepNext/>
      <w:keepLines/>
      <w:snapToGrid w:val="0"/>
      <w:spacing w:before="240" w:afterLines="20" w:after="62" w:line="360" w:lineRule="auto"/>
      <w:jc w:val="both"/>
      <w:textAlignment w:val="baseline"/>
      <w:outlineLvl w:val="1"/>
    </w:pPr>
    <w:rPr>
      <w:rFonts w:eastAsia="仿宋_GB2312" w:cs="宋体"/>
      <w:sz w:val="24"/>
    </w:rPr>
  </w:style>
  <w:style w:type="paragraph" w:customStyle="1" w:styleId="095">
    <w:name w:val="样式 首行缩进:  0.95 厘米"/>
    <w:basedOn w:val="a2"/>
    <w:uiPriority w:val="99"/>
    <w:qFormat/>
    <w:pPr>
      <w:spacing w:line="360" w:lineRule="auto"/>
      <w:ind w:firstLineChars="200" w:firstLine="200"/>
      <w:jc w:val="both"/>
    </w:pPr>
    <w:rPr>
      <w:rFonts w:cs="宋体"/>
      <w:sz w:val="24"/>
    </w:rPr>
  </w:style>
  <w:style w:type="paragraph" w:customStyle="1" w:styleId="INDEX1">
    <w:name w:val="INDEX1"/>
    <w:basedOn w:val="a2"/>
    <w:uiPriority w:val="99"/>
    <w:qFormat/>
    <w:pPr>
      <w:spacing w:line="360" w:lineRule="atLeast"/>
      <w:ind w:left="2160" w:hanging="720"/>
      <w:textAlignment w:val="baseline"/>
    </w:pPr>
    <w:rPr>
      <w:rFonts w:ascii="全真楷書" w:eastAsia="全真楷書"/>
      <w:sz w:val="24"/>
      <w:lang w:eastAsia="zh-TW"/>
    </w:rPr>
  </w:style>
  <w:style w:type="paragraph" w:customStyle="1" w:styleId="afffffffffffffffd">
    <w:name w:val="三级"/>
    <w:basedOn w:val="32"/>
    <w:uiPriority w:val="99"/>
    <w:qFormat/>
    <w:pPr>
      <w:keepLines w:val="0"/>
      <w:spacing w:before="0" w:after="0" w:line="360" w:lineRule="auto"/>
    </w:pPr>
    <w:rPr>
      <w:rFonts w:ascii="Times New Roman" w:eastAsia="宋体"/>
      <w:iCs/>
      <w:sz w:val="28"/>
      <w:szCs w:val="24"/>
    </w:rPr>
  </w:style>
  <w:style w:type="paragraph" w:customStyle="1" w:styleId="T1">
    <w:name w:val="T.."/>
    <w:basedOn w:val="Default"/>
    <w:next w:val="Default"/>
    <w:qFormat/>
    <w:pPr>
      <w:spacing w:beforeLines="0" w:before="0" w:afterLines="0" w:after="0" w:line="240" w:lineRule="auto"/>
      <w:ind w:firstLineChars="0" w:firstLine="0"/>
    </w:pPr>
    <w:rPr>
      <w:rFonts w:ascii=".." w:eastAsia=".." w:cs="Times New Roman"/>
      <w:color w:val="auto"/>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2"/>
    <w:uiPriority w:val="99"/>
    <w:qFormat/>
    <w:pPr>
      <w:spacing w:line="240" w:lineRule="exact"/>
      <w:ind w:firstLineChars="200" w:firstLine="200"/>
      <w:jc w:val="both"/>
    </w:pPr>
    <w:rPr>
      <w:szCs w:val="28"/>
    </w:rPr>
  </w:style>
  <w:style w:type="paragraph" w:customStyle="1" w:styleId="Pa15">
    <w:name w:val="Pa15"/>
    <w:basedOn w:val="Default"/>
    <w:next w:val="Default"/>
    <w:qFormat/>
    <w:pPr>
      <w:spacing w:line="201" w:lineRule="atLeast"/>
    </w:pPr>
    <w:rPr>
      <w:rFonts w:ascii="H Yc 1gj" w:eastAsia="H Yc 1gj" w:cs="Times New Roman"/>
      <w:color w:val="auto"/>
    </w:rPr>
  </w:style>
  <w:style w:type="paragraph" w:customStyle="1" w:styleId="CharCharChar1CharCharCharCharCharCharCharCharCharCharChar2">
    <w:name w:val="Char Char Char1 Char Char Char Char Char Char Char Char Char Char Char2"/>
    <w:basedOn w:val="a2"/>
    <w:uiPriority w:val="99"/>
    <w:qFormat/>
    <w:pPr>
      <w:jc w:val="both"/>
    </w:pPr>
    <w:rPr>
      <w:rFonts w:ascii="Times New Roman"/>
    </w:rPr>
  </w:style>
  <w:style w:type="paragraph" w:customStyle="1" w:styleId="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1"/>
    <w:basedOn w:val="a2"/>
    <w:uiPriority w:val="99"/>
    <w:qFormat/>
    <w:pPr>
      <w:jc w:val="both"/>
    </w:pPr>
    <w:rPr>
      <w:rFonts w:ascii="Times New Roman"/>
    </w:rPr>
  </w:style>
  <w:style w:type="paragraph" w:customStyle="1" w:styleId="2fff1">
    <w:name w:val="宏文本2"/>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CharCharChar1Char5">
    <w:name w:val="Char Char Char1 Char5"/>
    <w:basedOn w:val="a2"/>
    <w:uiPriority w:val="99"/>
    <w:qFormat/>
    <w:pPr>
      <w:jc w:val="both"/>
      <w:textAlignment w:val="baseline"/>
    </w:pPr>
    <w:rPr>
      <w:rFonts w:ascii="仿宋_GB2312" w:eastAsia="仿宋_GB2312"/>
    </w:rPr>
  </w:style>
  <w:style w:type="paragraph" w:customStyle="1" w:styleId="1fffff0">
    <w:name w:val="字元 字元1"/>
    <w:basedOn w:val="a2"/>
    <w:uiPriority w:val="99"/>
    <w:qFormat/>
    <w:pPr>
      <w:jc w:val="both"/>
    </w:pPr>
    <w:rPr>
      <w:sz w:val="24"/>
    </w:rPr>
  </w:style>
  <w:style w:type="paragraph" w:customStyle="1" w:styleId="128">
    <w:name w:val="普通(网站)12"/>
    <w:basedOn w:val="a2"/>
    <w:uiPriority w:val="99"/>
    <w:qFormat/>
    <w:pPr>
      <w:jc w:val="both"/>
      <w:textAlignment w:val="baseline"/>
    </w:pPr>
    <w:rPr>
      <w:rFonts w:ascii="Times New Roman"/>
    </w:rPr>
  </w:style>
  <w:style w:type="paragraph" w:customStyle="1" w:styleId="CharCharChar1CharCharCharCharCharCharCharCharCharCharChar1">
    <w:name w:val="Char Char Char1 Char Char Char Char Char Char Char Char Char Char Char1"/>
    <w:basedOn w:val="a2"/>
    <w:uiPriority w:val="99"/>
    <w:qFormat/>
    <w:pPr>
      <w:jc w:val="both"/>
    </w:pPr>
  </w:style>
  <w:style w:type="paragraph" w:customStyle="1" w:styleId="3001">
    <w:name w:val="样式 标题 3 + 左侧:  0 厘米 首行缩进:  0 厘米"/>
    <w:basedOn w:val="32"/>
    <w:qFormat/>
    <w:pPr>
      <w:snapToGrid w:val="0"/>
      <w:spacing w:before="0" w:after="0" w:line="500" w:lineRule="exact"/>
      <w:textAlignment w:val="baseline"/>
    </w:pPr>
    <w:rPr>
      <w:rFonts w:ascii="Times New Roman" w:eastAsia="仿宋_GB2312" w:cs="宋体"/>
      <w:b w:val="0"/>
      <w:bCs w:val="0"/>
      <w:sz w:val="28"/>
      <w:szCs w:val="20"/>
    </w:rPr>
  </w:style>
  <w:style w:type="paragraph" w:customStyle="1" w:styleId="CharCharCharCharCharCharCharCharCharCharChar1">
    <w:name w:val="Char Char Char Char Char Char Char Char Char Char Char1"/>
    <w:basedOn w:val="a2"/>
    <w:uiPriority w:val="99"/>
    <w:qFormat/>
    <w:pPr>
      <w:jc w:val="both"/>
    </w:pPr>
    <w:rPr>
      <w:sz w:val="24"/>
    </w:rPr>
  </w:style>
  <w:style w:type="paragraph" w:customStyle="1" w:styleId="CM2">
    <w:name w:val="CM2"/>
    <w:basedOn w:val="Default"/>
    <w:next w:val="Default"/>
    <w:uiPriority w:val="99"/>
    <w:qFormat/>
    <w:pPr>
      <w:spacing w:beforeLines="0" w:before="0" w:afterLines="0" w:after="0" w:line="240" w:lineRule="auto"/>
      <w:ind w:firstLineChars="0" w:firstLine="0"/>
    </w:pPr>
    <w:rPr>
      <w:rFonts w:ascii="新宋体" w:eastAsia="新宋体" w:cs="Times New Roman"/>
      <w:color w:val="auto"/>
    </w:rPr>
  </w:style>
  <w:style w:type="paragraph" w:customStyle="1" w:styleId="GB231224241">
    <w:name w:val="样式 (中文) 楷体_GB2312 五号 居中 段前: 2.4 磅 段后: 2.4 磅 行距: 单倍行距1"/>
    <w:basedOn w:val="a2"/>
    <w:qFormat/>
    <w:pPr>
      <w:snapToGrid w:val="0"/>
      <w:spacing w:before="48" w:after="48"/>
      <w:ind w:leftChars="-20" w:left="-56" w:rightChars="-20" w:right="-56"/>
      <w:jc w:val="center"/>
    </w:pPr>
    <w:rPr>
      <w:rFonts w:ascii="宋体" w:cs="宋体"/>
    </w:rPr>
  </w:style>
  <w:style w:type="paragraph" w:customStyle="1" w:styleId="afffffffffffffffe">
    <w:name w:val="列项·"/>
    <w:qFormat/>
    <w:pPr>
      <w:tabs>
        <w:tab w:val="left" w:pos="432"/>
        <w:tab w:val="left" w:pos="840"/>
      </w:tabs>
      <w:spacing w:beforeLines="50" w:before="50" w:afterLines="50" w:after="50" w:line="360" w:lineRule="auto"/>
      <w:ind w:leftChars="200" w:left="840" w:hangingChars="200" w:hanging="420"/>
      <w:jc w:val="both"/>
    </w:pPr>
    <w:rPr>
      <w:rFonts w:ascii="Times New Roman" w:eastAsia="宋体" w:hAnsi="Times New Roman" w:cs="Times New Roman"/>
      <w:sz w:val="21"/>
    </w:rPr>
  </w:style>
  <w:style w:type="paragraph" w:customStyle="1" w:styleId="129">
    <w:name w:val="访问过的超链接12"/>
    <w:next w:val="a2"/>
    <w:uiPriority w:val="99"/>
    <w:qFormat/>
    <w:rPr>
      <w:rFonts w:ascii="Times New Roman" w:eastAsia="宋体" w:hAnsi="Times New Roman" w:cs="Times New Roman"/>
      <w:kern w:val="2"/>
      <w:sz w:val="21"/>
      <w:szCs w:val="24"/>
    </w:rPr>
  </w:style>
  <w:style w:type="paragraph" w:customStyle="1" w:styleId="affffffffffffffff">
    <w:name w:val="注释"/>
    <w:basedOn w:val="a2"/>
    <w:uiPriority w:val="99"/>
    <w:qFormat/>
    <w:pPr>
      <w:spacing w:before="60" w:line="360" w:lineRule="exact"/>
      <w:ind w:firstLineChars="200" w:firstLine="200"/>
      <w:jc w:val="both"/>
    </w:pPr>
  </w:style>
  <w:style w:type="paragraph" w:customStyle="1" w:styleId="Char4CharCharCharCharCharCharCharCharCharCharCharCharCharCharCharCharChar1CharCharCharCharCharChar1CharCharCharCharCharCharCharCharCharCharCharCharCharCharCharCharCharCharChar1">
    <w:name w:val="Char4 Char Char Char Char Char Char Char Char Char Char Char Char Char Char Char Char Char1 Char Char Char Char Char Char1 Char Char Char Char Char Char Char Char Char Char Char Char Char Char Char Char Char Char Char1"/>
    <w:basedOn w:val="a2"/>
    <w:uiPriority w:val="99"/>
    <w:qFormat/>
    <w:pPr>
      <w:spacing w:line="240" w:lineRule="exact"/>
      <w:ind w:firstLineChars="200" w:firstLine="200"/>
      <w:jc w:val="both"/>
    </w:pPr>
    <w:rPr>
      <w:szCs w:val="28"/>
    </w:rPr>
  </w:style>
  <w:style w:type="paragraph" w:customStyle="1" w:styleId="Char2CharCharCharCharCharCharCharCharCharCharCharCharCharCharCharCharCharCharCharCharChar1">
    <w:name w:val="Char2 Char Char Char Char Char Char Char Char Char Char Char Char Char Char Char Char Char Char Char Char Char1"/>
    <w:basedOn w:val="a2"/>
    <w:uiPriority w:val="99"/>
    <w:qFormat/>
    <w:pPr>
      <w:spacing w:line="360" w:lineRule="auto"/>
      <w:ind w:firstLineChars="200" w:firstLine="200"/>
      <w:jc w:val="both"/>
    </w:pPr>
    <w:rPr>
      <w:rFonts w:eastAsia="黑体"/>
      <w:szCs w:val="28"/>
    </w:rPr>
  </w:style>
  <w:style w:type="paragraph" w:customStyle="1" w:styleId="font8">
    <w:name w:val="font8"/>
    <w:basedOn w:val="a2"/>
    <w:qFormat/>
    <w:pPr>
      <w:widowControl/>
      <w:spacing w:before="100" w:beforeAutospacing="1" w:after="100" w:afterAutospacing="1"/>
    </w:pPr>
    <w:rPr>
      <w:rFonts w:eastAsia="Arial Unicode MS"/>
      <w:color w:val="000000"/>
      <w:sz w:val="24"/>
    </w:rPr>
  </w:style>
  <w:style w:type="paragraph" w:customStyle="1" w:styleId="0150152">
    <w:name w:val="样式 段前: 0.15 行 段后: 0.15 行 首行缩进:  2 字符"/>
    <w:basedOn w:val="a2"/>
    <w:uiPriority w:val="99"/>
    <w:qFormat/>
    <w:pPr>
      <w:spacing w:line="360" w:lineRule="auto"/>
      <w:ind w:firstLineChars="200" w:firstLine="200"/>
      <w:jc w:val="both"/>
    </w:pPr>
    <w:rPr>
      <w:rFonts w:ascii="宋体"/>
      <w:sz w:val="24"/>
    </w:rPr>
  </w:style>
  <w:style w:type="paragraph" w:customStyle="1" w:styleId="2173">
    <w:name w:val="样式 标题 2 + (中文) 黑体 四号 两端对齐 行距: 多倍行距 1.73 字行"/>
    <w:basedOn w:val="22"/>
    <w:uiPriority w:val="99"/>
    <w:qFormat/>
    <w:pPr>
      <w:spacing w:line="413" w:lineRule="auto"/>
      <w:jc w:val="both"/>
      <w:textAlignment w:val="baseline"/>
    </w:pPr>
    <w:rPr>
      <w:rFonts w:ascii="Arial" w:eastAsia="黑体" w:hAnsi="Arial" w:cs="宋体"/>
      <w:sz w:val="30"/>
      <w:szCs w:val="20"/>
    </w:rPr>
  </w:style>
  <w:style w:type="paragraph" w:customStyle="1" w:styleId="xl30">
    <w:name w:val="xl30"/>
    <w:basedOn w:val="a2"/>
    <w:qFormat/>
    <w:pPr>
      <w:widowControl/>
      <w:snapToGrid w:val="0"/>
      <w:spacing w:before="100" w:beforeAutospacing="1" w:after="100" w:afterAutospacing="1" w:line="280" w:lineRule="atLeast"/>
      <w:jc w:val="center"/>
      <w:textAlignment w:val="center"/>
    </w:pPr>
    <w:rPr>
      <w:rFonts w:ascii="宋体" w:hAnsi="宋体"/>
      <w:sz w:val="24"/>
    </w:rPr>
  </w:style>
  <w:style w:type="paragraph" w:customStyle="1" w:styleId="Char1CharCharCharCharCharChar3">
    <w:name w:val="Char1 Char Char Char Char Char Char3"/>
    <w:basedOn w:val="a2"/>
    <w:uiPriority w:val="99"/>
    <w:qFormat/>
    <w:pPr>
      <w:spacing w:before="100" w:beforeAutospacing="1" w:after="100" w:afterAutospacing="1"/>
      <w:ind w:firstLineChars="200" w:firstLine="200"/>
    </w:pPr>
    <w:rPr>
      <w:rFonts w:ascii="Verdana" w:eastAsia="仿宋_GB2312" w:hAnsi="Verdana"/>
      <w:sz w:val="20"/>
      <w:lang w:eastAsia="en-US"/>
    </w:rPr>
  </w:style>
  <w:style w:type="paragraph" w:customStyle="1" w:styleId="BookmanOldStyle10615">
    <w:name w:val="样式 Bookman Old Style 小四 首行缩进:  1.06 厘米 行距: 1.5 倍行距"/>
    <w:basedOn w:val="a2"/>
    <w:uiPriority w:val="99"/>
    <w:qFormat/>
    <w:pPr>
      <w:spacing w:line="520" w:lineRule="exact"/>
      <w:ind w:firstLine="601"/>
      <w:jc w:val="both"/>
    </w:pPr>
    <w:rPr>
      <w:rFonts w:ascii="Bookman Old Style" w:hAnsi="Bookman Old Style"/>
      <w:sz w:val="24"/>
    </w:rPr>
  </w:style>
  <w:style w:type="paragraph" w:customStyle="1" w:styleId="2222">
    <w:name w:val="表格2222"/>
    <w:basedOn w:val="a2"/>
    <w:qFormat/>
    <w:rPr>
      <w:rFonts w:eastAsia="仿宋_GB2312"/>
    </w:rPr>
  </w:style>
  <w:style w:type="paragraph" w:customStyle="1" w:styleId="affffffffffffffff0">
    <w:name w:val="表格内容（新）"/>
    <w:basedOn w:val="a2"/>
    <w:uiPriority w:val="99"/>
    <w:qFormat/>
    <w:pPr>
      <w:jc w:val="center"/>
    </w:pPr>
    <w:rPr>
      <w:rFonts w:cs="宋体"/>
      <w:color w:val="339966"/>
      <w:sz w:val="18"/>
      <w:szCs w:val="18"/>
    </w:rPr>
  </w:style>
  <w:style w:type="paragraph" w:customStyle="1" w:styleId="GB-">
    <w:name w:val="GB-条文"/>
    <w:pPr>
      <w:widowControl w:val="0"/>
      <w:adjustRightInd w:val="0"/>
      <w:snapToGrid w:val="0"/>
      <w:spacing w:line="360" w:lineRule="auto"/>
      <w:ind w:firstLineChars="200" w:firstLine="420"/>
      <w:jc w:val="both"/>
    </w:pPr>
    <w:rPr>
      <w:rFonts w:ascii="Times New Roman" w:eastAsia="宋体" w:hAnsi="Times New Roman" w:cs="Times New Roman"/>
      <w:sz w:val="21"/>
    </w:rPr>
  </w:style>
  <w:style w:type="paragraph" w:customStyle="1" w:styleId="413">
    <w:name w:val="样式 标题 4 + 行距: 多倍行距 1.3 字行"/>
    <w:basedOn w:val="41"/>
    <w:qFormat/>
    <w:pPr>
      <w:numPr>
        <w:ilvl w:val="3"/>
        <w:numId w:val="10"/>
      </w:numPr>
      <w:snapToGrid w:val="0"/>
      <w:spacing w:beforeLines="20" w:before="62" w:afterLines="20" w:after="62" w:line="300" w:lineRule="auto"/>
      <w:ind w:leftChars="0" w:left="0" w:rightChars="0" w:right="0"/>
    </w:pPr>
    <w:rPr>
      <w:rFonts w:ascii="仿宋_GB2312" w:eastAsia="仿宋_GB2312" w:hAnsi="Arial" w:cs="宋体"/>
    </w:rPr>
  </w:style>
  <w:style w:type="paragraph" w:customStyle="1" w:styleId="BT3">
    <w:name w:val="BT3"/>
    <w:basedOn w:val="32"/>
    <w:uiPriority w:val="99"/>
    <w:qFormat/>
    <w:pPr>
      <w:spacing w:before="0" w:after="0" w:line="413" w:lineRule="auto"/>
      <w:jc w:val="both"/>
    </w:pPr>
    <w:rPr>
      <w:rFonts w:ascii="Times New Roman" w:eastAsia="宋体"/>
      <w:sz w:val="28"/>
    </w:rPr>
  </w:style>
  <w:style w:type="paragraph" w:customStyle="1" w:styleId="21130">
    <w:name w:val="表题2113"/>
    <w:basedOn w:val="a2"/>
    <w:uiPriority w:val="99"/>
    <w:qFormat/>
    <w:pPr>
      <w:snapToGrid w:val="0"/>
      <w:jc w:val="center"/>
    </w:pPr>
    <w:rPr>
      <w:rFonts w:ascii="黑体" w:eastAsia="黑体" w:hAnsi="宋体" w:cs="宋体"/>
      <w:sz w:val="24"/>
    </w:rPr>
  </w:style>
  <w:style w:type="paragraph" w:customStyle="1" w:styleId="22Heading2HiddenHeading2CCBSheading2H2h22">
    <w:name w:val="样式 标题 2第一章 标题 2Heading 2 HiddenHeading 2 CCBSheading 2H2h2...2"/>
    <w:basedOn w:val="22"/>
    <w:qFormat/>
    <w:pPr>
      <w:spacing w:before="120" w:after="120" w:line="500" w:lineRule="exact"/>
      <w:jc w:val="both"/>
    </w:pPr>
    <w:rPr>
      <w:rFonts w:ascii="Times New Roman" w:eastAsia="仿宋_GB2312" w:hAnsi="Times New Roman" w:cs="Times New Roman"/>
      <w:color w:val="000000"/>
      <w:sz w:val="28"/>
    </w:rPr>
  </w:style>
  <w:style w:type="paragraph" w:customStyle="1" w:styleId="CharChar1CharCharCharCharCharCharCharCharCharChar">
    <w:name w:val="Char Char1 Char Char Char Char Char Char Char Char Char Char"/>
    <w:basedOn w:val="a2"/>
    <w:qFormat/>
    <w:pPr>
      <w:jc w:val="both"/>
    </w:pPr>
    <w:rPr>
      <w:sz w:val="24"/>
    </w:rPr>
  </w:style>
  <w:style w:type="paragraph" w:customStyle="1" w:styleId="CharCharCharCharCharCharCharCharChar1CharCharCharCharCharChar11">
    <w:name w:val="Char Char Char Char Char Char Char Char Char1 Char Char Char Char Char Char11"/>
    <w:basedOn w:val="a2"/>
    <w:uiPriority w:val="99"/>
    <w:qFormat/>
    <w:pPr>
      <w:jc w:val="both"/>
    </w:pPr>
    <w:rPr>
      <w:rFonts w:ascii="Times New Roman"/>
    </w:rPr>
  </w:style>
  <w:style w:type="paragraph" w:customStyle="1" w:styleId="280">
    <w:name w:val="样式 行距: 固定值 28 磅"/>
    <w:basedOn w:val="a2"/>
    <w:uiPriority w:val="99"/>
    <w:qFormat/>
    <w:pPr>
      <w:spacing w:line="500" w:lineRule="exact"/>
      <w:ind w:firstLineChars="250" w:firstLine="692"/>
      <w:jc w:val="both"/>
    </w:pPr>
    <w:rPr>
      <w:rFonts w:cs="宋体"/>
    </w:rPr>
  </w:style>
  <w:style w:type="paragraph" w:customStyle="1" w:styleId="affffffffffffffff1">
    <w:name w:val="表内小四中"/>
    <w:basedOn w:val="a2"/>
    <w:uiPriority w:val="99"/>
    <w:qFormat/>
    <w:pPr>
      <w:snapToGrid w:val="0"/>
      <w:ind w:leftChars="-2" w:left="-4" w:rightChars="-10" w:right="-22"/>
      <w:jc w:val="center"/>
      <w:textAlignment w:val="baseline"/>
    </w:pPr>
    <w:rPr>
      <w:sz w:val="24"/>
    </w:rPr>
  </w:style>
  <w:style w:type="paragraph" w:customStyle="1" w:styleId="Char1CharCharCharCharCharCharCharChar4">
    <w:name w:val="Char1 Char Char Char Char Char Char Char Char4"/>
    <w:basedOn w:val="a2"/>
    <w:uiPriority w:val="99"/>
    <w:qFormat/>
    <w:pPr>
      <w:jc w:val="both"/>
    </w:pPr>
    <w:rPr>
      <w:sz w:val="24"/>
    </w:rPr>
  </w:style>
  <w:style w:type="paragraph" w:customStyle="1" w:styleId="affffffffffffffff2">
    <w:name w:val="参加人员名单"/>
    <w:basedOn w:val="a2"/>
    <w:next w:val="a2"/>
    <w:uiPriority w:val="99"/>
    <w:qFormat/>
    <w:pPr>
      <w:spacing w:line="500" w:lineRule="atLeast"/>
      <w:jc w:val="center"/>
      <w:outlineLvl w:val="0"/>
    </w:pPr>
    <w:rPr>
      <w:sz w:val="32"/>
      <w:szCs w:val="32"/>
    </w:rPr>
  </w:style>
  <w:style w:type="paragraph" w:customStyle="1" w:styleId="351">
    <w:name w:val="标题3.5"/>
    <w:basedOn w:val="a2"/>
    <w:uiPriority w:val="99"/>
    <w:qFormat/>
    <w:pPr>
      <w:jc w:val="both"/>
    </w:pPr>
    <w:rPr>
      <w:rFonts w:eastAsia="仿宋_GB2312"/>
      <w:sz w:val="24"/>
    </w:rPr>
  </w:style>
  <w:style w:type="paragraph" w:customStyle="1" w:styleId="ft06">
    <w:name w:val="ft06"/>
    <w:basedOn w:val="a2"/>
    <w:uiPriority w:val="99"/>
    <w:qFormat/>
    <w:pPr>
      <w:spacing w:line="345" w:lineRule="atLeast"/>
    </w:pPr>
    <w:rPr>
      <w:rFonts w:ascii="Times" w:hAnsi="Times" w:cs="Times"/>
      <w:color w:val="000000"/>
      <w:sz w:val="20"/>
    </w:rPr>
  </w:style>
  <w:style w:type="paragraph" w:customStyle="1" w:styleId="Char05">
    <w:name w:val="样式 表格文字 Char + 段前: 0.5 行"/>
    <w:basedOn w:val="a2"/>
    <w:uiPriority w:val="99"/>
    <w:qFormat/>
    <w:pPr>
      <w:spacing w:beforeLines="50" w:before="156"/>
      <w:jc w:val="center"/>
    </w:pPr>
    <w:rPr>
      <w:rFonts w:cs="宋体"/>
      <w:sz w:val="24"/>
    </w:rPr>
  </w:style>
  <w:style w:type="paragraph" w:customStyle="1" w:styleId="CharCharCharCharCharCharCharCharCharChar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 Char Char Char Char Char Char Char Char Char Char5"/>
    <w:basedOn w:val="a2"/>
    <w:uiPriority w:val="99"/>
    <w:qFormat/>
    <w:pPr>
      <w:jc w:val="both"/>
    </w:pPr>
    <w:rPr>
      <w:sz w:val="24"/>
    </w:rPr>
  </w:style>
  <w:style w:type="paragraph" w:customStyle="1" w:styleId="2fff2">
    <w:name w:val="样式 纯文本 + (中文) 宋体 首行缩进:  2 字符"/>
    <w:basedOn w:val="af8"/>
    <w:uiPriority w:val="99"/>
    <w:qFormat/>
    <w:pPr>
      <w:spacing w:line="520" w:lineRule="exact"/>
      <w:ind w:firstLineChars="200" w:firstLine="200"/>
      <w:jc w:val="both"/>
    </w:pPr>
    <w:rPr>
      <w:rFonts w:cs="宋体"/>
      <w:kern w:val="0"/>
      <w:sz w:val="28"/>
      <w:szCs w:val="20"/>
    </w:rPr>
  </w:style>
  <w:style w:type="paragraph" w:customStyle="1" w:styleId="2112112H2SeHeadwsa2112Char1Ch1">
    <w:name w:val="样式 标题 2节标题 1.1标题 21标题 12H2SeHead wsa2标题 1.1标题 2 Char1 Ch...1"/>
    <w:basedOn w:val="22"/>
    <w:uiPriority w:val="99"/>
    <w:qFormat/>
    <w:pPr>
      <w:spacing w:beforeLines="100" w:before="312" w:after="120" w:line="480" w:lineRule="exact"/>
      <w:jc w:val="both"/>
    </w:pPr>
    <w:rPr>
      <w:rFonts w:ascii="黑体" w:eastAsia="黑体" w:hAnsi="黑体" w:cs="宋体"/>
      <w:bCs w:val="0"/>
      <w:sz w:val="36"/>
      <w:szCs w:val="30"/>
    </w:rPr>
  </w:style>
  <w:style w:type="paragraph" w:customStyle="1" w:styleId="affffffffffffffff3">
    <w:name w:val="正文编号"/>
    <w:basedOn w:val="a2"/>
    <w:qFormat/>
    <w:pPr>
      <w:tabs>
        <w:tab w:val="left" w:pos="1545"/>
      </w:tabs>
      <w:spacing w:line="440" w:lineRule="exact"/>
      <w:ind w:left="1545" w:hanging="1005"/>
    </w:pPr>
    <w:rPr>
      <w:sz w:val="25"/>
    </w:rPr>
  </w:style>
  <w:style w:type="paragraph" w:customStyle="1" w:styleId="wangxy">
    <w:name w:val="wangxy"/>
    <w:basedOn w:val="a2"/>
    <w:pPr>
      <w:autoSpaceDE/>
      <w:autoSpaceDN/>
      <w:adjustRightInd/>
      <w:spacing w:beforeLines="50" w:before="156" w:afterLines="50" w:after="156" w:line="360" w:lineRule="auto"/>
      <w:ind w:firstLineChars="200" w:firstLine="200"/>
      <w:jc w:val="both"/>
    </w:pPr>
    <w:rPr>
      <w:spacing w:val="14"/>
    </w:rPr>
  </w:style>
  <w:style w:type="paragraph" w:customStyle="1" w:styleId="3ff2">
    <w:name w:val="表格内字体3"/>
    <w:basedOn w:val="a2"/>
    <w:uiPriority w:val="99"/>
    <w:qFormat/>
    <w:pPr>
      <w:jc w:val="center"/>
    </w:pPr>
    <w:rPr>
      <w:rFonts w:ascii="宋体" w:cs="宋体"/>
    </w:rPr>
  </w:style>
  <w:style w:type="paragraph" w:customStyle="1" w:styleId="affffffffffffffff4">
    <w:name w:val="正文缩进二"/>
    <w:basedOn w:val="a3"/>
    <w:qFormat/>
    <w:pPr>
      <w:snapToGrid w:val="0"/>
      <w:spacing w:line="360" w:lineRule="auto"/>
      <w:ind w:firstLineChars="0" w:firstLine="567"/>
    </w:pPr>
    <w:rPr>
      <w:sz w:val="28"/>
      <w:szCs w:val="20"/>
    </w:rPr>
  </w:style>
  <w:style w:type="paragraph" w:customStyle="1" w:styleId="CharCharCharCharCharCharCharCharCharCharCharCharChar3">
    <w:name w:val="Char Char Char Char Char Char Char Char Char Char Char Char Char3"/>
    <w:basedOn w:val="a2"/>
    <w:uiPriority w:val="99"/>
    <w:qFormat/>
    <w:pPr>
      <w:jc w:val="both"/>
    </w:pPr>
  </w:style>
  <w:style w:type="paragraph" w:customStyle="1" w:styleId="2h2MVA212120">
    <w:name w:val="样式 标题 2h2MVA2 + 两端对齐 段前: 12 磅 段后: 12 磅"/>
    <w:basedOn w:val="22"/>
    <w:uiPriority w:val="99"/>
    <w:qFormat/>
    <w:pPr>
      <w:keepNext w:val="0"/>
      <w:keepLines w:val="0"/>
      <w:tabs>
        <w:tab w:val="left" w:pos="575"/>
      </w:tabs>
      <w:spacing w:before="240" w:after="240" w:line="240" w:lineRule="auto"/>
      <w:ind w:left="575" w:hanging="576"/>
      <w:jc w:val="both"/>
      <w:textAlignment w:val="baseline"/>
    </w:pPr>
    <w:rPr>
      <w:rFonts w:ascii="Times New Roman" w:eastAsia="黑体" w:hAnsi="Times New Roman" w:cs="宋体"/>
      <w:b w:val="0"/>
      <w:sz w:val="24"/>
      <w:szCs w:val="30"/>
    </w:rPr>
  </w:style>
  <w:style w:type="paragraph" w:customStyle="1" w:styleId="2CharCharCharCharCharCharCharCharCharCharCharCharCharCharCharCharCharCharCharCharCharCharCharCharCharChar">
    <w:name w:val="样式 纯文本 + 首行缩进:  2 字符 Char Char Char Char Char Char Char Char Char Char Char Char Char Char Char Char Char Char Char Char Char Char Char Char Char Char"/>
    <w:basedOn w:val="af8"/>
    <w:qFormat/>
    <w:pPr>
      <w:spacing w:line="360" w:lineRule="auto"/>
      <w:jc w:val="both"/>
    </w:pPr>
    <w:rPr>
      <w:rFonts w:cs="宋体"/>
      <w:kern w:val="2"/>
      <w:sz w:val="21"/>
    </w:rPr>
  </w:style>
  <w:style w:type="paragraph" w:customStyle="1" w:styleId="119">
    <w:name w:val="样式 表题 + 段前: 1 行 段后: 1 行"/>
    <w:basedOn w:val="affffffffffffffe"/>
    <w:pPr>
      <w:widowControl w:val="0"/>
      <w:tabs>
        <w:tab w:val="right" w:pos="0"/>
      </w:tabs>
      <w:adjustRightInd w:val="0"/>
      <w:snapToGrid w:val="0"/>
      <w:spacing w:beforeLines="0" w:before="0" w:afterLines="0" w:after="0"/>
      <w:ind w:firstLineChars="200" w:firstLine="200"/>
    </w:pPr>
    <w:rPr>
      <w:rFonts w:cs="宋体"/>
      <w:b/>
      <w:spacing w:val="12"/>
      <w:kern w:val="2"/>
      <w:szCs w:val="20"/>
    </w:rPr>
  </w:style>
  <w:style w:type="paragraph" w:customStyle="1" w:styleId="xl107">
    <w:name w:val="xl107"/>
    <w:basedOn w:val="a2"/>
    <w:qFormat/>
    <w:pPr>
      <w:pBdr>
        <w:top w:val="single" w:sz="4" w:space="0" w:color="auto"/>
        <w:left w:val="single" w:sz="4" w:space="0" w:color="auto"/>
        <w:right w:val="single" w:sz="4" w:space="0" w:color="auto"/>
      </w:pBdr>
      <w:spacing w:before="100" w:beforeAutospacing="1" w:after="100" w:afterAutospacing="1"/>
      <w:jc w:val="center"/>
    </w:pPr>
    <w:rPr>
      <w:color w:val="000000"/>
      <w:sz w:val="18"/>
      <w:szCs w:val="18"/>
    </w:rPr>
  </w:style>
  <w:style w:type="paragraph" w:customStyle="1" w:styleId="affffffffffffffff5">
    <w:name w:val="段落"/>
    <w:basedOn w:val="a2"/>
    <w:qFormat/>
    <w:pPr>
      <w:spacing w:line="580" w:lineRule="exact"/>
      <w:ind w:firstLineChars="200" w:firstLine="200"/>
    </w:pPr>
    <w:rPr>
      <w:spacing w:val="6"/>
      <w:szCs w:val="28"/>
    </w:rPr>
  </w:style>
  <w:style w:type="paragraph" w:customStyle="1" w:styleId="affffffffffffffff6">
    <w:name w:val="正文图五"/>
    <w:basedOn w:val="a2"/>
    <w:uiPriority w:val="99"/>
    <w:qFormat/>
    <w:pPr>
      <w:snapToGrid w:val="0"/>
      <w:jc w:val="center"/>
    </w:pPr>
    <w:rPr>
      <w:rFonts w:eastAsia="仿宋_GB2312"/>
      <w:snapToGrid w:val="0"/>
      <w:spacing w:val="6"/>
    </w:rPr>
  </w:style>
  <w:style w:type="paragraph" w:customStyle="1" w:styleId="1fffff1">
    <w:name w:val="样式 标题 1 + 加粗"/>
    <w:basedOn w:val="12"/>
    <w:qFormat/>
    <w:pPr>
      <w:spacing w:line="240" w:lineRule="auto"/>
      <w:textAlignment w:val="auto"/>
    </w:pPr>
    <w:rPr>
      <w:rFonts w:eastAsia="宋体" w:hAnsi="宋体"/>
      <w:b/>
      <w:sz w:val="30"/>
      <w:szCs w:val="30"/>
    </w:rPr>
  </w:style>
  <w:style w:type="paragraph" w:customStyle="1" w:styleId="affffffffffffffff7">
    <w:name w:val="依据文字"/>
    <w:basedOn w:val="2a"/>
    <w:uiPriority w:val="99"/>
    <w:qFormat/>
    <w:pPr>
      <w:tabs>
        <w:tab w:val="left" w:pos="420"/>
        <w:tab w:val="left" w:pos="870"/>
        <w:tab w:val="left" w:pos="3150"/>
      </w:tabs>
      <w:spacing w:beforeLines="25" w:before="60" w:after="0" w:line="336" w:lineRule="auto"/>
      <w:ind w:leftChars="0" w:left="0" w:firstLineChars="0" w:firstLine="527"/>
      <w:jc w:val="both"/>
      <w:textAlignment w:val="baseline"/>
    </w:pPr>
    <w:rPr>
      <w:rFonts w:ascii="宋体"/>
      <w:b/>
      <w:kern w:val="0"/>
      <w:sz w:val="24"/>
      <w:szCs w:val="28"/>
    </w:rPr>
  </w:style>
  <w:style w:type="paragraph" w:customStyle="1" w:styleId="2fff3">
    <w:name w:val="样式 标题 2 + (中文) 宋体"/>
    <w:basedOn w:val="22"/>
    <w:uiPriority w:val="99"/>
    <w:qFormat/>
    <w:pPr>
      <w:keepNext w:val="0"/>
      <w:keepLines w:val="0"/>
      <w:tabs>
        <w:tab w:val="left" w:pos="576"/>
      </w:tabs>
      <w:snapToGrid w:val="0"/>
      <w:spacing w:beforeLines="50" w:before="156" w:afterLines="50" w:after="156" w:line="360" w:lineRule="auto"/>
      <w:ind w:left="567" w:hanging="567"/>
      <w:jc w:val="both"/>
    </w:pPr>
    <w:rPr>
      <w:rFonts w:ascii="Times New Roman" w:eastAsia="宋体" w:hAnsi="Times New Roman" w:cs="Times New Roman"/>
      <w:b w:val="0"/>
      <w:bCs w:val="0"/>
      <w:sz w:val="28"/>
      <w:szCs w:val="28"/>
    </w:rPr>
  </w:style>
  <w:style w:type="paragraph" w:customStyle="1" w:styleId="3Char3H3h33rdlevel3CharChar">
    <w:name w:val="样式 标题 3Char标题3H3h33rd level第二层条头小标题小节标题标题 3 Char Char..."/>
    <w:basedOn w:val="32"/>
    <w:uiPriority w:val="99"/>
    <w:qFormat/>
    <w:pPr>
      <w:spacing w:before="240" w:after="0" w:line="240" w:lineRule="auto"/>
      <w:jc w:val="both"/>
    </w:pPr>
    <w:rPr>
      <w:rFonts w:eastAsia="仿宋_GB2312" w:hAnsi="Arial" w:cs="宋体"/>
      <w:sz w:val="24"/>
      <w:szCs w:val="20"/>
    </w:rPr>
  </w:style>
  <w:style w:type="paragraph" w:customStyle="1" w:styleId="233">
    <w:name w:val="正文文本 23"/>
    <w:basedOn w:val="a2"/>
    <w:next w:val="af5"/>
    <w:uiPriority w:val="99"/>
    <w:qFormat/>
    <w:pPr>
      <w:spacing w:after="120" w:line="500" w:lineRule="exact"/>
      <w:ind w:leftChars="200" w:left="420"/>
      <w:jc w:val="both"/>
    </w:pPr>
    <w:rPr>
      <w:rFonts w:ascii="仿宋_GB2312" w:eastAsia="仿宋_GB2312"/>
      <w:szCs w:val="2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pPr>
      <w:jc w:val="both"/>
    </w:pPr>
    <w:rPr>
      <w:sz w:val="24"/>
    </w:rPr>
  </w:style>
  <w:style w:type="paragraph" w:customStyle="1" w:styleId="affffffffffffffff8">
    <w:name w:val="列表标题"/>
    <w:basedOn w:val="a2"/>
    <w:next w:val="a2"/>
    <w:qFormat/>
    <w:pPr>
      <w:jc w:val="center"/>
    </w:pPr>
    <w:rPr>
      <w:sz w:val="24"/>
    </w:rPr>
  </w:style>
  <w:style w:type="paragraph" w:customStyle="1" w:styleId="CharCharCharCharCharCharCharCharCharCharCharCharCharCharCharCharCharCharChar">
    <w:name w:val="Char Char Char Char Char Char Char Char Char Char Char Char Char Char Char Char Char Char Char"/>
    <w:basedOn w:val="a2"/>
    <w:pPr>
      <w:jc w:val="both"/>
    </w:pPr>
    <w:rPr>
      <w:sz w:val="24"/>
    </w:rPr>
  </w:style>
  <w:style w:type="paragraph" w:customStyle="1" w:styleId="0502">
    <w:name w:val="样式 表头 + 段前: 0.5 行 段后: 0.2 行"/>
    <w:basedOn w:val="affffffff5"/>
    <w:qFormat/>
    <w:pPr>
      <w:snapToGrid w:val="0"/>
      <w:spacing w:beforeLines="50" w:before="156" w:afterLines="20" w:after="62" w:line="300" w:lineRule="auto"/>
    </w:pPr>
    <w:rPr>
      <w:rFonts w:eastAsia="仿宋_GB2312" w:cs="宋体"/>
      <w:b/>
      <w:bCs/>
      <w:sz w:val="28"/>
      <w:szCs w:val="28"/>
    </w:rPr>
  </w:style>
  <w:style w:type="paragraph" w:customStyle="1" w:styleId="CharCharChar1CharCharChar3">
    <w:name w:val="Char Char Char1 Char Char Char3"/>
    <w:basedOn w:val="a2"/>
    <w:uiPriority w:val="99"/>
    <w:qFormat/>
    <w:pPr>
      <w:tabs>
        <w:tab w:val="left" w:pos="0"/>
      </w:tabs>
    </w:pPr>
  </w:style>
  <w:style w:type="paragraph" w:customStyle="1" w:styleId="affffffffffffffff9">
    <w:name w:val="小标题样式"/>
    <w:basedOn w:val="a2"/>
    <w:uiPriority w:val="99"/>
    <w:qFormat/>
    <w:pPr>
      <w:snapToGrid w:val="0"/>
      <w:spacing w:beforeLines="50" w:before="156" w:afterLines="50" w:after="156" w:line="400" w:lineRule="exact"/>
      <w:ind w:firstLineChars="200" w:firstLine="200"/>
      <w:jc w:val="both"/>
    </w:pPr>
    <w:rPr>
      <w:rFonts w:ascii="宋体" w:hAnsi="宋体"/>
      <w:b/>
      <w:bCs/>
      <w:sz w:val="24"/>
    </w:rPr>
  </w:style>
  <w:style w:type="paragraph" w:customStyle="1" w:styleId="affffffffffffffffa">
    <w:name w:val="图解"/>
    <w:basedOn w:val="a2"/>
    <w:next w:val="a3"/>
    <w:pPr>
      <w:widowControl/>
      <w:autoSpaceDE/>
      <w:autoSpaceDN/>
      <w:adjustRightInd/>
      <w:spacing w:line="360" w:lineRule="auto"/>
      <w:jc w:val="center"/>
    </w:pPr>
    <w:rPr>
      <w:rFonts w:ascii="仿宋_GB2312" w:eastAsia="仿宋_GB2312" w:cs="新宋体-18030"/>
    </w:rPr>
  </w:style>
  <w:style w:type="paragraph" w:customStyle="1" w:styleId="137">
    <w:name w:val="13"/>
    <w:basedOn w:val="a2"/>
    <w:next w:val="af5"/>
    <w:qFormat/>
    <w:pPr>
      <w:spacing w:line="500" w:lineRule="exact"/>
      <w:ind w:firstLineChars="200" w:firstLine="560"/>
      <w:jc w:val="both"/>
    </w:pPr>
    <w:rPr>
      <w:rFonts w:ascii="仿宋_GB2312" w:eastAsia="仿宋_GB2312"/>
      <w:color w:val="FF0000"/>
    </w:rPr>
  </w:style>
  <w:style w:type="paragraph" w:customStyle="1" w:styleId="3TimesNewRoman1313173">
    <w:name w:val="样式 标题 3 + Times New Roman 黑色 段前: 13 磅 段后: 13 磅 行距: 多倍行距 1.73..."/>
    <w:basedOn w:val="32"/>
    <w:uiPriority w:val="99"/>
    <w:qFormat/>
    <w:pPr>
      <w:spacing w:before="0" w:after="0" w:line="360" w:lineRule="auto"/>
      <w:jc w:val="both"/>
    </w:pPr>
    <w:rPr>
      <w:rFonts w:ascii="Times New Roman" w:eastAsia="黑体"/>
      <w:b w:val="0"/>
      <w:bCs w:val="0"/>
      <w:color w:val="000000"/>
      <w:sz w:val="24"/>
      <w:szCs w:val="20"/>
    </w:rPr>
  </w:style>
  <w:style w:type="paragraph" w:customStyle="1" w:styleId="xl148">
    <w:name w:val="xl148"/>
    <w:basedOn w:val="a2"/>
    <w:qFormat/>
    <w:pPr>
      <w:pBdr>
        <w:bottom w:val="single" w:sz="8" w:space="0" w:color="auto"/>
      </w:pBdr>
      <w:spacing w:before="100" w:beforeAutospacing="1" w:after="100" w:afterAutospacing="1"/>
    </w:pPr>
    <w:rPr>
      <w:rFonts w:ascii="Arial Unicode MS" w:hAnsi="Arial Unicode MS"/>
    </w:rPr>
  </w:style>
  <w:style w:type="paragraph" w:customStyle="1" w:styleId="2266">
    <w:name w:val="样式 标题 2标题2节（节） + 左 段前: 6 磅 段后: 6 磅 行距: 单倍行距"/>
    <w:basedOn w:val="22"/>
    <w:uiPriority w:val="99"/>
    <w:qFormat/>
    <w:pPr>
      <w:keepNext w:val="0"/>
      <w:keepLines w:val="0"/>
      <w:spacing w:before="120" w:after="120" w:line="240" w:lineRule="auto"/>
      <w:textAlignment w:val="baseline"/>
    </w:pPr>
    <w:rPr>
      <w:rFonts w:ascii="宋体" w:eastAsia="仿宋_GB2312" w:hAnsi="Times New Roman" w:cs="宋体"/>
      <w:b w:val="0"/>
      <w:sz w:val="24"/>
      <w:szCs w:val="30"/>
    </w:rPr>
  </w:style>
  <w:style w:type="paragraph" w:customStyle="1" w:styleId="CharCharChar1CharCharChar2">
    <w:name w:val="Char Char Char1 Char Char Char2"/>
    <w:basedOn w:val="a2"/>
    <w:uiPriority w:val="99"/>
    <w:qFormat/>
    <w:pPr>
      <w:tabs>
        <w:tab w:val="left" w:pos="0"/>
      </w:tabs>
    </w:pPr>
    <w:rPr>
      <w:rFonts w:ascii="Times New Roman"/>
    </w:rPr>
  </w:style>
  <w:style w:type="paragraph" w:customStyle="1" w:styleId="ParaCharCharCharCharCharCharCharCharCharCharCharCharChar">
    <w:name w:val="默认段落字体 Para Char Char Char Char Char Char Char Char Char Char Char Char Char"/>
    <w:basedOn w:val="a2"/>
    <w:qFormat/>
    <w:rPr>
      <w:rFonts w:hAnsi="宋体"/>
      <w:sz w:val="24"/>
    </w:rPr>
  </w:style>
  <w:style w:type="paragraph" w:customStyle="1" w:styleId="-11">
    <w:name w:val="彩色列表 - 强调文字颜色 11"/>
    <w:basedOn w:val="a2"/>
    <w:qFormat/>
    <w:pPr>
      <w:snapToGrid w:val="0"/>
      <w:spacing w:line="300" w:lineRule="auto"/>
      <w:ind w:firstLineChars="200" w:firstLine="420"/>
    </w:pPr>
    <w:rPr>
      <w:rFonts w:ascii="宋体" w:hAnsi="宋体"/>
      <w:sz w:val="24"/>
    </w:rPr>
  </w:style>
  <w:style w:type="paragraph" w:customStyle="1" w:styleId="reader-word-layerreader-word-s1-7">
    <w:name w:val="reader-word-layer reader-word-s1-7"/>
    <w:basedOn w:val="a2"/>
    <w:uiPriority w:val="99"/>
    <w:qFormat/>
    <w:pPr>
      <w:spacing w:before="100" w:beforeAutospacing="1" w:after="100" w:afterAutospacing="1"/>
    </w:pPr>
    <w:rPr>
      <w:rFonts w:ascii="宋体" w:hAnsi="宋体" w:cs="宋体"/>
      <w:sz w:val="24"/>
    </w:rPr>
  </w:style>
  <w:style w:type="paragraph" w:customStyle="1" w:styleId="21a">
    <w:name w:val="纯文本21"/>
    <w:basedOn w:val="a2"/>
    <w:uiPriority w:val="99"/>
    <w:qFormat/>
    <w:pPr>
      <w:jc w:val="both"/>
      <w:textAlignment w:val="baseline"/>
    </w:pPr>
    <w:rPr>
      <w:rFonts w:hAnsi="Courier New"/>
    </w:rPr>
  </w:style>
  <w:style w:type="paragraph" w:customStyle="1" w:styleId="11a">
    <w:name w:val="标题 1（安评1）章标题"/>
    <w:basedOn w:val="12"/>
    <w:uiPriority w:val="99"/>
    <w:qFormat/>
    <w:pPr>
      <w:tabs>
        <w:tab w:val="left" w:pos="360"/>
        <w:tab w:val="left" w:pos="432"/>
      </w:tabs>
      <w:ind w:left="432" w:hanging="432"/>
      <w:jc w:val="both"/>
      <w:textAlignment w:val="auto"/>
    </w:pPr>
    <w:rPr>
      <w:rFonts w:eastAsia="宋体" w:cs="宋体"/>
      <w:b/>
      <w:bCs w:val="0"/>
      <w:sz w:val="44"/>
      <w:szCs w:val="44"/>
    </w:rPr>
  </w:style>
  <w:style w:type="paragraph" w:customStyle="1" w:styleId="CharCharCharCharCharCharCharChar20">
    <w:name w:val="Char Char Char Char Char Char Char Char2"/>
    <w:basedOn w:val="a2"/>
    <w:uiPriority w:val="99"/>
    <w:qFormat/>
    <w:pPr>
      <w:jc w:val="both"/>
    </w:pPr>
    <w:rPr>
      <w:rFonts w:ascii="Times New Roman"/>
    </w:rPr>
  </w:style>
  <w:style w:type="paragraph" w:customStyle="1" w:styleId="affffffffffffffffb">
    <w:name w:val="图表脚注"/>
    <w:next w:val="a2"/>
    <w:qFormat/>
    <w:pPr>
      <w:spacing w:beforeLines="50" w:before="50" w:afterLines="50" w:after="50" w:line="360" w:lineRule="auto"/>
      <w:ind w:leftChars="200" w:left="300" w:hangingChars="100" w:hanging="100"/>
      <w:jc w:val="both"/>
    </w:pPr>
    <w:rPr>
      <w:rFonts w:ascii="Times New Roman" w:eastAsia="宋体" w:hAnsi="Times New Roman" w:cs="Times New Roman"/>
      <w:sz w:val="18"/>
    </w:rPr>
  </w:style>
  <w:style w:type="paragraph" w:customStyle="1" w:styleId="font10">
    <w:name w:val="font10"/>
    <w:basedOn w:val="a2"/>
    <w:qFormat/>
    <w:pPr>
      <w:widowControl/>
      <w:spacing w:before="100" w:beforeAutospacing="1" w:after="100" w:afterAutospacing="1"/>
    </w:pPr>
    <w:rPr>
      <w:rFonts w:eastAsia="Arial Unicode MS"/>
      <w:sz w:val="24"/>
    </w:rPr>
  </w:style>
  <w:style w:type="paragraph" w:customStyle="1" w:styleId="077206">
    <w:name w:val="样式 首行缩进:  0.77 厘米 行距: 固定值 20 磅6"/>
    <w:basedOn w:val="a2"/>
    <w:uiPriority w:val="99"/>
    <w:qFormat/>
    <w:pPr>
      <w:spacing w:line="360" w:lineRule="auto"/>
      <w:ind w:firstLine="435"/>
      <w:jc w:val="both"/>
    </w:pPr>
    <w:rPr>
      <w:rFonts w:cs="宋体"/>
      <w:sz w:val="24"/>
    </w:rPr>
  </w:style>
  <w:style w:type="paragraph" w:customStyle="1" w:styleId="PP">
    <w:name w:val="PP 行"/>
    <w:basedOn w:val="aff"/>
    <w:uiPriority w:val="99"/>
    <w:qFormat/>
    <w:pPr>
      <w:spacing w:before="0"/>
      <w:ind w:leftChars="2100" w:left="100" w:firstLine="0"/>
      <w:jc w:val="both"/>
    </w:pPr>
    <w:rPr>
      <w:rFonts w:ascii="Times New Roman" w:hAnsi="Times New Roman"/>
      <w:kern w:val="0"/>
      <w:sz w:val="28"/>
      <w:szCs w:val="24"/>
    </w:rPr>
  </w:style>
  <w:style w:type="paragraph" w:customStyle="1" w:styleId="Char1CharCharCharCharCharCharCharCharCharCharCharChar">
    <w:name w:val="Char1 Char Char Char Char Char Char Char Char Char Char Char Char"/>
    <w:basedOn w:val="a2"/>
    <w:qFormat/>
    <w:pPr>
      <w:jc w:val="both"/>
    </w:pPr>
  </w:style>
  <w:style w:type="paragraph" w:customStyle="1" w:styleId="Char1">
    <w:name w:val="Char1"/>
    <w:basedOn w:val="a2"/>
    <w:pPr>
      <w:numPr>
        <w:numId w:val="11"/>
      </w:numPr>
      <w:snapToGrid w:val="0"/>
      <w:jc w:val="both"/>
    </w:pPr>
    <w:rPr>
      <w:rFonts w:eastAsia="仿宋_GB2312" w:cs="宋体"/>
      <w:sz w:val="24"/>
    </w:rPr>
  </w:style>
  <w:style w:type="paragraph" w:customStyle="1" w:styleId="GB231209922">
    <w:name w:val="样式 (中文) 楷体_GB2312 四号 黑色 首行缩进:  0.99 厘米 行距: 固定值 22 磅"/>
    <w:basedOn w:val="a2"/>
    <w:qFormat/>
    <w:pPr>
      <w:spacing w:line="480" w:lineRule="exact"/>
      <w:ind w:firstLine="561"/>
    </w:pPr>
    <w:rPr>
      <w:color w:val="000000"/>
    </w:rPr>
  </w:style>
  <w:style w:type="paragraph" w:customStyle="1" w:styleId="xl754">
    <w:name w:val="xl754"/>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hint="eastAsia"/>
      <w:sz w:val="24"/>
    </w:rPr>
  </w:style>
  <w:style w:type="paragraph" w:customStyle="1" w:styleId="4651152">
    <w:name w:val="样式 样式 段前: 4.65 磅 行距: 多倍行距 1.15 字行 + 首行缩进:  2 字符"/>
    <w:basedOn w:val="a2"/>
    <w:uiPriority w:val="99"/>
    <w:qFormat/>
    <w:pPr>
      <w:spacing w:before="93" w:line="312" w:lineRule="auto"/>
      <w:ind w:firstLineChars="200" w:firstLine="200"/>
      <w:jc w:val="both"/>
    </w:pPr>
    <w:rPr>
      <w:rFonts w:cs="宋体"/>
      <w:sz w:val="24"/>
    </w:rPr>
  </w:style>
  <w:style w:type="paragraph" w:customStyle="1" w:styleId="OK">
    <w:name w:val="正文OK"/>
    <w:basedOn w:val="a2"/>
    <w:qFormat/>
    <w:pPr>
      <w:spacing w:line="360" w:lineRule="auto"/>
      <w:ind w:rightChars="-136" w:right="-286" w:firstLineChars="200" w:firstLine="480"/>
      <w:jc w:val="both"/>
    </w:pPr>
    <w:rPr>
      <w:rFonts w:ascii="宋体" w:hAnsi="宋体"/>
      <w:sz w:val="24"/>
    </w:rPr>
  </w:style>
  <w:style w:type="paragraph" w:customStyle="1" w:styleId="dandan6-13CharCharCharCharChar">
    <w:name w:val="dandan6-13正文 Char Char Char Char Char"/>
    <w:basedOn w:val="a2"/>
    <w:next w:val="a2"/>
    <w:uiPriority w:val="99"/>
    <w:qFormat/>
    <w:pPr>
      <w:keepNext/>
      <w:keepLines/>
      <w:spacing w:before="40" w:after="40" w:line="360" w:lineRule="auto"/>
      <w:ind w:firstLineChars="200" w:firstLine="200"/>
      <w:jc w:val="both"/>
      <w:textAlignment w:val="baseline"/>
    </w:pPr>
    <w:rPr>
      <w:rFonts w:cs="宋体"/>
      <w:sz w:val="24"/>
      <w:szCs w:val="28"/>
    </w:rPr>
  </w:style>
  <w:style w:type="paragraph" w:customStyle="1" w:styleId="affffffffffffffffc">
    <w:name w:val="正文改动"/>
    <w:basedOn w:val="a2"/>
    <w:uiPriority w:val="99"/>
    <w:qFormat/>
    <w:pPr>
      <w:jc w:val="both"/>
    </w:pPr>
    <w:rPr>
      <w:color w:val="0000FF"/>
    </w:rPr>
  </w:style>
  <w:style w:type="paragraph" w:customStyle="1" w:styleId="CharChar1CharCharCharCharCharChar">
    <w:name w:val="Char Char1 Char Char Char Char Char Char"/>
    <w:basedOn w:val="a2"/>
    <w:pPr>
      <w:widowControl/>
      <w:autoSpaceDE/>
      <w:autoSpaceDN/>
      <w:adjustRightInd/>
      <w:spacing w:after="160" w:line="240" w:lineRule="exact"/>
    </w:pPr>
    <w:rPr>
      <w:rFonts w:ascii="Tahoma" w:eastAsia="ˎ̥" w:hAnsi="Tahoma" w:cs="Verdana"/>
      <w:lang w:eastAsia="en-US"/>
    </w:rPr>
  </w:style>
  <w:style w:type="paragraph" w:customStyle="1" w:styleId="CharCharChar14">
    <w:name w:val="Char Char Char1"/>
    <w:basedOn w:val="a2"/>
    <w:qFormat/>
    <w:rPr>
      <w:sz w:val="24"/>
    </w:rPr>
  </w:style>
  <w:style w:type="paragraph" w:customStyle="1" w:styleId="31110505">
    <w:name w:val="样式 标题 3条标题1.1.1 + 段前: 0.5 行 段后: 0.5 行"/>
    <w:basedOn w:val="32"/>
    <w:uiPriority w:val="99"/>
    <w:qFormat/>
    <w:pPr>
      <w:tabs>
        <w:tab w:val="left" w:pos="720"/>
      </w:tabs>
      <w:spacing w:before="156" w:after="156" w:line="500" w:lineRule="exact"/>
    </w:pPr>
    <w:rPr>
      <w:rFonts w:ascii="仿宋_GB2312" w:eastAsia="仿宋_GB2312"/>
      <w:sz w:val="28"/>
      <w:szCs w:val="28"/>
    </w:rPr>
  </w:style>
  <w:style w:type="paragraph" w:customStyle="1" w:styleId="CharCharfffffc">
    <w:name w:val="页脚 Char Char"/>
    <w:basedOn w:val="a2"/>
    <w:qFormat/>
    <w:pPr>
      <w:tabs>
        <w:tab w:val="left" w:pos="4149"/>
        <w:tab w:val="left" w:pos="8016"/>
      </w:tabs>
      <w:spacing w:line="351" w:lineRule="atLeast"/>
      <w:ind w:firstLine="419"/>
    </w:pPr>
    <w:rPr>
      <w:rFonts w:hAnsi="宋体"/>
      <w:sz w:val="18"/>
    </w:rPr>
  </w:style>
  <w:style w:type="paragraph" w:customStyle="1" w:styleId="103">
    <w:name w:val="文字段落10"/>
    <w:basedOn w:val="a2"/>
    <w:uiPriority w:val="99"/>
    <w:qFormat/>
    <w:pPr>
      <w:overflowPunct w:val="0"/>
      <w:snapToGrid w:val="0"/>
      <w:spacing w:beforeLines="50" w:before="156" w:afterLines="50" w:after="156" w:line="360" w:lineRule="auto"/>
      <w:ind w:firstLineChars="200" w:firstLine="200"/>
      <w:jc w:val="both"/>
      <w:textAlignment w:val="baseline"/>
    </w:pPr>
    <w:rPr>
      <w:rFonts w:cs="宋体"/>
    </w:rPr>
  </w:style>
  <w:style w:type="paragraph" w:customStyle="1" w:styleId="affffffffffffffffd">
    <w:name w:val="注："/>
    <w:next w:val="a2"/>
    <w:qFormat/>
    <w:pPr>
      <w:widowControl w:val="0"/>
      <w:autoSpaceDE w:val="0"/>
      <w:autoSpaceDN w:val="0"/>
      <w:spacing w:beforeLines="50" w:before="50" w:afterLines="50" w:after="50" w:line="360" w:lineRule="auto"/>
      <w:ind w:left="840" w:firstLineChars="40" w:hanging="420"/>
      <w:jc w:val="both"/>
    </w:pPr>
    <w:rPr>
      <w:rFonts w:ascii="Times New Roman" w:eastAsia="宋体" w:hAnsi="Times New Roman" w:cs="Times New Roman"/>
      <w:sz w:val="18"/>
    </w:rPr>
  </w:style>
  <w:style w:type="paragraph" w:customStyle="1" w:styleId="affffffffffffffffe">
    <w:name w:val="表格名称"/>
    <w:basedOn w:val="a2"/>
    <w:uiPriority w:val="99"/>
    <w:qFormat/>
    <w:pPr>
      <w:keepNext/>
      <w:spacing w:beforeLines="25" w:before="78" w:afterLines="25" w:after="78" w:line="440" w:lineRule="exact"/>
      <w:jc w:val="both"/>
    </w:pPr>
    <w:rPr>
      <w:rFonts w:ascii="宋体"/>
      <w:sz w:val="24"/>
    </w:rPr>
  </w:style>
  <w:style w:type="paragraph" w:customStyle="1" w:styleId="Char08505">
    <w:name w:val="样式 样式 正文缩进 Char + 首行缩进:  0.85 厘米 + 段前: 0.5 行"/>
    <w:basedOn w:val="a2"/>
    <w:uiPriority w:val="99"/>
    <w:qFormat/>
    <w:pPr>
      <w:tabs>
        <w:tab w:val="left" w:pos="280"/>
      </w:tabs>
      <w:spacing w:beforeLines="50" w:before="156" w:line="360" w:lineRule="auto"/>
      <w:ind w:firstLineChars="200" w:firstLine="482"/>
      <w:jc w:val="both"/>
    </w:pPr>
    <w:rPr>
      <w:rFonts w:eastAsia="仿宋_GB2312" w:hAnsi="Arial" w:cs="宋体"/>
      <w:sz w:val="24"/>
    </w:rPr>
  </w:style>
  <w:style w:type="paragraph" w:customStyle="1" w:styleId="030">
    <w:name w:val="标题03"/>
    <w:basedOn w:val="a2"/>
    <w:next w:val="a2"/>
    <w:uiPriority w:val="99"/>
    <w:qFormat/>
    <w:pPr>
      <w:spacing w:line="480" w:lineRule="atLeast"/>
      <w:ind w:firstLine="480"/>
      <w:jc w:val="both"/>
    </w:pPr>
    <w:rPr>
      <w:b/>
      <w:sz w:val="24"/>
    </w:rPr>
  </w:style>
  <w:style w:type="paragraph" w:customStyle="1" w:styleId="afffffffffffffffff">
    <w:name w:val="南郊正文"/>
    <w:basedOn w:val="a2"/>
    <w:next w:val="a2"/>
    <w:uiPriority w:val="99"/>
    <w:qFormat/>
    <w:pPr>
      <w:spacing w:line="360" w:lineRule="auto"/>
      <w:ind w:firstLineChars="200" w:firstLine="482"/>
      <w:jc w:val="both"/>
    </w:pPr>
    <w:rPr>
      <w:rFonts w:ascii="宋体" w:hAnsi="宋体"/>
      <w:b/>
      <w:bCs/>
      <w:sz w:val="24"/>
    </w:rPr>
  </w:style>
  <w:style w:type="paragraph" w:customStyle="1" w:styleId="1fffff2">
    <w:name w:val="样式 居中1"/>
    <w:basedOn w:val="a2"/>
    <w:uiPriority w:val="99"/>
    <w:qFormat/>
    <w:pPr>
      <w:jc w:val="center"/>
    </w:pPr>
    <w:rPr>
      <w:sz w:val="18"/>
      <w:szCs w:val="18"/>
    </w:rPr>
  </w:style>
  <w:style w:type="paragraph" w:customStyle="1" w:styleId="CharCharCharCharCharCharCharCharCharCharCharChar1CharCharCharCharCharCharCharCharCharCharCharChar">
    <w:name w:val="Char Char Char Char Char Char Char Char Char Char Char Char1 Char Char Char Char Char Char Char Char Char Char Char Char"/>
    <w:basedOn w:val="a2"/>
    <w:uiPriority w:val="99"/>
    <w:qFormat/>
    <w:pPr>
      <w:spacing w:line="240" w:lineRule="exact"/>
      <w:ind w:firstLineChars="200" w:firstLine="200"/>
      <w:jc w:val="both"/>
    </w:pPr>
    <w:rPr>
      <w:szCs w:val="28"/>
    </w:rPr>
  </w:style>
  <w:style w:type="paragraph" w:customStyle="1" w:styleId="CharCharChar1Char3">
    <w:name w:val="Char Char Char1 Char3"/>
    <w:basedOn w:val="a2"/>
    <w:uiPriority w:val="99"/>
    <w:semiHidden/>
    <w:qFormat/>
    <w:pPr>
      <w:jc w:val="both"/>
    </w:pPr>
  </w:style>
  <w:style w:type="paragraph" w:customStyle="1" w:styleId="xl744">
    <w:name w:val="xl744"/>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eastAsia="Arial Unicode MS" w:hAnsi="Courier New"/>
      <w:sz w:val="24"/>
    </w:rPr>
  </w:style>
  <w:style w:type="paragraph" w:customStyle="1" w:styleId="ParaCharCharCharCharCharCharCharCharCharChar">
    <w:name w:val="默认段落字体 Para Char Char Char Char Char Char Char Char Char Char"/>
    <w:basedOn w:val="a2"/>
    <w:uiPriority w:val="99"/>
    <w:qFormat/>
    <w:pPr>
      <w:jc w:val="both"/>
    </w:pPr>
  </w:style>
  <w:style w:type="paragraph" w:customStyle="1" w:styleId="CharCharCharCharCharCharCharCharCharCharCharCharChar0">
    <w:name w:val="Char Char Char Char Char Char Char Char Char Char Char Char Char"/>
    <w:basedOn w:val="a2"/>
    <w:qFormat/>
    <w:pPr>
      <w:jc w:val="both"/>
    </w:pPr>
  </w:style>
  <w:style w:type="paragraph" w:customStyle="1" w:styleId="afffffffffffffffff0">
    <w:name w:val="样式 报告书表格 + (符号) 宋体"/>
    <w:basedOn w:val="afffd"/>
    <w:uiPriority w:val="99"/>
    <w:qFormat/>
    <w:pPr>
      <w:tabs>
        <w:tab w:val="center" w:pos="4540"/>
        <w:tab w:val="right" w:pos="8505"/>
      </w:tabs>
      <w:snapToGrid w:val="0"/>
      <w:spacing w:line="240" w:lineRule="auto"/>
      <w:ind w:firstLineChars="200" w:firstLine="420"/>
    </w:pPr>
    <w:rPr>
      <w:rFonts w:eastAsia="宋体" w:hAnsi="宋体" w:cs="宋体"/>
      <w:sz w:val="21"/>
    </w:rPr>
  </w:style>
  <w:style w:type="paragraph" w:customStyle="1" w:styleId="afffffffffffffffff1">
    <w:name w:val="黄桥正文"/>
    <w:basedOn w:val="a2"/>
    <w:qFormat/>
    <w:pPr>
      <w:widowControl/>
      <w:spacing w:line="360" w:lineRule="auto"/>
      <w:ind w:firstLineChars="200" w:firstLine="200"/>
    </w:pPr>
    <w:rPr>
      <w:rFonts w:cs="宋体"/>
      <w:sz w:val="24"/>
    </w:rPr>
  </w:style>
  <w:style w:type="paragraph" w:customStyle="1" w:styleId="CM110">
    <w:name w:val="CM110"/>
    <w:basedOn w:val="Default"/>
    <w:next w:val="Default"/>
    <w:uiPriority w:val="99"/>
    <w:qFormat/>
    <w:pPr>
      <w:spacing w:beforeLines="0" w:before="0" w:afterLines="0" w:after="115" w:line="240" w:lineRule="auto"/>
      <w:ind w:firstLineChars="0" w:firstLine="0"/>
    </w:pPr>
    <w:rPr>
      <w:rFonts w:ascii="黑体" w:eastAsia="黑体" w:cs="Times New Roman"/>
      <w:color w:val="auto"/>
      <w:szCs w:val="20"/>
    </w:rPr>
  </w:style>
  <w:style w:type="paragraph" w:customStyle="1" w:styleId="xl71">
    <w:name w:val="xl71"/>
    <w:basedOn w:val="a2"/>
    <w:qFormat/>
    <w:pPr>
      <w:pBdr>
        <w:top w:val="single" w:sz="4" w:space="0" w:color="auto"/>
      </w:pBdr>
      <w:spacing w:before="100" w:beforeAutospacing="1" w:after="100" w:afterAutospacing="1"/>
      <w:jc w:val="center"/>
      <w:textAlignment w:val="center"/>
    </w:pPr>
    <w:rPr>
      <w:rFonts w:ascii="宋体" w:hAnsi="宋体" w:cs="宋体"/>
      <w:sz w:val="24"/>
    </w:rPr>
  </w:style>
  <w:style w:type="paragraph" w:customStyle="1" w:styleId="Normal23">
    <w:name w:val="Normal_23"/>
    <w:qFormat/>
    <w:pPr>
      <w:spacing w:before="120" w:after="240"/>
      <w:jc w:val="both"/>
    </w:pPr>
    <w:rPr>
      <w:rFonts w:ascii="Times New Roman" w:eastAsia="Calibri" w:hAnsi="Times New Roman" w:cs="Times New Roman"/>
      <w:sz w:val="22"/>
      <w:szCs w:val="21"/>
      <w:lang w:val="ru-RU" w:eastAsia="en-US"/>
    </w:rPr>
  </w:style>
  <w:style w:type="paragraph" w:customStyle="1" w:styleId="CharCharCharCharCharCharCharCharCharChar1">
    <w:name w:val="Char Char Char Char Char Char Char Char Char Char1"/>
    <w:basedOn w:val="a2"/>
    <w:qFormat/>
    <w:pPr>
      <w:jc w:val="both"/>
    </w:pPr>
    <w:rPr>
      <w:sz w:val="24"/>
    </w:rPr>
  </w:style>
  <w:style w:type="paragraph" w:customStyle="1" w:styleId="1fffff3">
    <w:name w:val="表1"/>
    <w:basedOn w:val="a2"/>
    <w:qFormat/>
    <w:pPr>
      <w:jc w:val="center"/>
    </w:pPr>
    <w:rPr>
      <w:rFonts w:ascii="宋体" w:hAnsi="宋体"/>
      <w:color w:val="000000"/>
    </w:rPr>
  </w:style>
  <w:style w:type="paragraph" w:customStyle="1" w:styleId="CharCharChar2CharCharCharCharCharCharCharCharCharChar">
    <w:name w:val="Char Char Char2 Char Char Char Char Char Char Char Char Char Char"/>
    <w:basedOn w:val="a2"/>
    <w:pPr>
      <w:jc w:val="both"/>
    </w:pPr>
  </w:style>
  <w:style w:type="paragraph" w:customStyle="1" w:styleId="Char2CharChar1CharCharCharChar2">
    <w:name w:val="Char2 Char Char1 Char Char Char Char2"/>
    <w:basedOn w:val="a2"/>
    <w:uiPriority w:val="99"/>
    <w:semiHidden/>
    <w:qFormat/>
    <w:pPr>
      <w:jc w:val="both"/>
    </w:pPr>
    <w:rPr>
      <w:rFonts w:ascii="Times New Roman"/>
    </w:rPr>
  </w:style>
  <w:style w:type="paragraph" w:customStyle="1" w:styleId="414310">
    <w:name w:val="样式 标题 4标题 14 + 加粗 无下划线 自动设置 段前: 3 磅 段后: 10 磅"/>
    <w:basedOn w:val="41"/>
    <w:uiPriority w:val="99"/>
    <w:qFormat/>
    <w:pPr>
      <w:keepLines w:val="0"/>
      <w:snapToGrid w:val="0"/>
      <w:spacing w:beforeLines="0" w:before="60" w:after="200" w:line="240" w:lineRule="auto"/>
      <w:ind w:leftChars="0" w:left="0" w:rightChars="0" w:right="0"/>
      <w:jc w:val="both"/>
    </w:pPr>
    <w:rPr>
      <w:rFonts w:ascii="Times New Roman" w:eastAsia="宋体"/>
      <w:color w:val="000000"/>
      <w:sz w:val="24"/>
      <w:szCs w:val="20"/>
    </w:rPr>
  </w:style>
  <w:style w:type="paragraph" w:customStyle="1" w:styleId="-1-">
    <w:name w:val="样式-1-"/>
    <w:basedOn w:val="afc"/>
    <w:qFormat/>
    <w:pPr>
      <w:framePr w:wrap="around" w:vAnchor="text" w:hAnchor="margin" w:xAlign="center" w:y="1"/>
      <w:autoSpaceDE w:val="0"/>
      <w:autoSpaceDN w:val="0"/>
      <w:adjustRightInd w:val="0"/>
    </w:pPr>
    <w:rPr>
      <w:rFonts w:ascii="仿宋_GB2312" w:eastAsia="宋体" w:hAnsi="Courier New" w:cs="Times New Roman"/>
      <w:sz w:val="24"/>
      <w:szCs w:val="20"/>
    </w:rPr>
  </w:style>
  <w:style w:type="paragraph" w:customStyle="1" w:styleId="4075">
    <w:name w:val="样式 样式4 + 首行缩进:  0.75 字符"/>
    <w:basedOn w:val="49"/>
    <w:uiPriority w:val="99"/>
    <w:qFormat/>
    <w:pPr>
      <w:autoSpaceDE/>
      <w:autoSpaceDN/>
      <w:snapToGrid w:val="0"/>
      <w:spacing w:line="480" w:lineRule="exact"/>
      <w:ind w:firstLineChars="200" w:firstLine="480"/>
      <w:jc w:val="both"/>
    </w:pPr>
    <w:rPr>
      <w:rFonts w:ascii="Times New Roman" w:eastAsia="新宋体"/>
      <w:sz w:val="24"/>
      <w:szCs w:val="24"/>
    </w:rPr>
  </w:style>
  <w:style w:type="paragraph" w:customStyle="1" w:styleId="CharCharChar1CharCharCharCharCharCharCharCharCharCharCharCharCharCharChar">
    <w:name w:val="Char Char Char1 Char Char Char Char Char Char Char Char Char Char Char Char Char Char Char"/>
    <w:basedOn w:val="a2"/>
    <w:uiPriority w:val="99"/>
    <w:qFormat/>
    <w:pPr>
      <w:spacing w:line="240" w:lineRule="exact"/>
      <w:ind w:firstLineChars="200" w:firstLine="200"/>
      <w:jc w:val="both"/>
    </w:pPr>
    <w:rPr>
      <w:szCs w:val="28"/>
    </w:rPr>
  </w:style>
  <w:style w:type="paragraph" w:customStyle="1" w:styleId="reader-word-layerreader-word-s1-19">
    <w:name w:val="reader-word-layer reader-word-s1-19"/>
    <w:basedOn w:val="a2"/>
    <w:uiPriority w:val="99"/>
    <w:qFormat/>
    <w:pPr>
      <w:spacing w:before="100" w:beforeAutospacing="1" w:after="100" w:afterAutospacing="1"/>
    </w:pPr>
    <w:rPr>
      <w:rFonts w:ascii="宋体" w:hAnsi="宋体" w:cs="宋体"/>
      <w:sz w:val="24"/>
    </w:rPr>
  </w:style>
  <w:style w:type="paragraph" w:customStyle="1" w:styleId="CharCharChar1CharCharChar0">
    <w:name w:val="Char Char Char1 Char Char Char"/>
    <w:basedOn w:val="a2"/>
    <w:uiPriority w:val="99"/>
    <w:qFormat/>
    <w:pPr>
      <w:tabs>
        <w:tab w:val="left" w:pos="0"/>
      </w:tabs>
    </w:pPr>
    <w:rPr>
      <w:sz w:val="24"/>
    </w:rPr>
  </w:style>
  <w:style w:type="paragraph" w:customStyle="1" w:styleId="1CharCharChar1">
    <w:name w:val="正文1 Char Char Char"/>
    <w:basedOn w:val="a2"/>
    <w:uiPriority w:val="99"/>
    <w:qFormat/>
    <w:pPr>
      <w:snapToGrid w:val="0"/>
      <w:spacing w:line="560" w:lineRule="exact"/>
      <w:ind w:firstLineChars="200" w:firstLine="560"/>
      <w:jc w:val="both"/>
    </w:pPr>
    <w:rPr>
      <w:rFonts w:eastAsia="仿宋_GB2312"/>
    </w:rPr>
  </w:style>
  <w:style w:type="paragraph" w:customStyle="1" w:styleId="00">
    <w:name w:val="0表格格式"/>
    <w:basedOn w:val="aff2"/>
    <w:uiPriority w:val="99"/>
    <w:qFormat/>
    <w:pPr>
      <w:tabs>
        <w:tab w:val="left" w:pos="0"/>
      </w:tabs>
      <w:snapToGrid w:val="0"/>
      <w:spacing w:line="240" w:lineRule="auto"/>
    </w:pPr>
    <w:rPr>
      <w:rFonts w:ascii="Times New Roman" w:eastAsia="宋体"/>
      <w:sz w:val="21"/>
    </w:rPr>
  </w:style>
  <w:style w:type="paragraph" w:customStyle="1" w:styleId="08515">
    <w:name w:val="样式 宋体 小四 左侧:  0.85 厘米 行距: 1.5 倍行距"/>
    <w:basedOn w:val="a2"/>
    <w:pPr>
      <w:autoSpaceDE/>
      <w:autoSpaceDN/>
      <w:adjustRightInd/>
      <w:spacing w:line="360" w:lineRule="auto"/>
      <w:ind w:left="480" w:firstLineChars="200" w:firstLine="200"/>
      <w:jc w:val="both"/>
    </w:pPr>
    <w:rPr>
      <w:rFonts w:ascii="宋体" w:hAnsi="宋体" w:hint="eastAsia"/>
      <w:i/>
    </w:rPr>
  </w:style>
  <w:style w:type="paragraph" w:customStyle="1" w:styleId="xl92">
    <w:name w:val="xl92"/>
    <w:basedOn w:val="a2"/>
    <w:qFormat/>
    <w:pPr>
      <w:pBdr>
        <w:left w:val="single" w:sz="8" w:space="0" w:color="auto"/>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Char4CharCharCharCharCharCharCharCharCharCharCharCharCharCharCharCharChar1CharCharCharCharCharChar1Char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Char"/>
    <w:basedOn w:val="a2"/>
    <w:uiPriority w:val="99"/>
    <w:qFormat/>
    <w:pPr>
      <w:spacing w:line="240" w:lineRule="exact"/>
      <w:ind w:firstLineChars="200" w:firstLine="200"/>
      <w:jc w:val="both"/>
    </w:pPr>
    <w:rPr>
      <w:szCs w:val="28"/>
    </w:rPr>
  </w:style>
  <w:style w:type="paragraph" w:customStyle="1" w:styleId="BT1">
    <w:name w:val="BT1"/>
    <w:basedOn w:val="12"/>
    <w:uiPriority w:val="99"/>
    <w:qFormat/>
    <w:pPr>
      <w:spacing w:line="576" w:lineRule="auto"/>
      <w:jc w:val="center"/>
      <w:textAlignment w:val="auto"/>
    </w:pPr>
    <w:rPr>
      <w:rFonts w:eastAsia="宋体"/>
      <w:b/>
      <w:bCs w:val="0"/>
      <w:sz w:val="44"/>
      <w:szCs w:val="44"/>
    </w:rPr>
  </w:style>
  <w:style w:type="paragraph" w:customStyle="1" w:styleId="3">
    <w:name w:val="正文首行缩进3"/>
    <w:basedOn w:val="a3"/>
    <w:uiPriority w:val="99"/>
    <w:qFormat/>
    <w:pPr>
      <w:numPr>
        <w:numId w:val="12"/>
      </w:numPr>
      <w:tabs>
        <w:tab w:val="clear" w:pos="1287"/>
        <w:tab w:val="left" w:pos="1134"/>
      </w:tabs>
      <w:snapToGrid w:val="0"/>
      <w:spacing w:line="360" w:lineRule="auto"/>
      <w:ind w:firstLineChars="0" w:firstLine="0"/>
      <w:jc w:val="both"/>
    </w:pPr>
    <w:rPr>
      <w:rFonts w:ascii="Garamond" w:hAnsi="Garamond"/>
      <w:kern w:val="0"/>
      <w:sz w:val="28"/>
      <w:szCs w:val="20"/>
    </w:rPr>
  </w:style>
  <w:style w:type="paragraph" w:customStyle="1" w:styleId="afffffffffffffffff2">
    <w:name w:val="首行缩进"/>
    <w:basedOn w:val="a2"/>
    <w:qFormat/>
    <w:pPr>
      <w:spacing w:line="360" w:lineRule="auto"/>
      <w:ind w:firstLineChars="200" w:firstLine="480"/>
    </w:pPr>
    <w:rPr>
      <w:sz w:val="24"/>
    </w:rPr>
  </w:style>
  <w:style w:type="paragraph" w:customStyle="1" w:styleId="CharCharCharCharCharCharChar5">
    <w:name w:val="Char Char Char Char Char Char Char5"/>
    <w:basedOn w:val="a2"/>
    <w:uiPriority w:val="99"/>
    <w:qFormat/>
    <w:pPr>
      <w:jc w:val="both"/>
    </w:pPr>
    <w:rPr>
      <w:rFonts w:ascii="Times New Roman"/>
    </w:rPr>
  </w:style>
  <w:style w:type="paragraph" w:customStyle="1" w:styleId="Char2CharCharCharCharCharCharCharCharCharCharChar1CharCharCharCharCharCharChar1">
    <w:name w:val="Char2 Char Char Char Char Char Char Char Char Char Char Char1 Char Char Char Char Char Char Char1"/>
    <w:basedOn w:val="a2"/>
    <w:uiPriority w:val="99"/>
    <w:qFormat/>
    <w:pPr>
      <w:jc w:val="both"/>
    </w:pPr>
    <w:rPr>
      <w:sz w:val="24"/>
    </w:rPr>
  </w:style>
  <w:style w:type="paragraph" w:customStyle="1" w:styleId="05020502">
    <w:name w:val="样式 样式 表头 + 段前: 0.5 行 段后: 0.2 行 + 段前: 0.5 行 段后: 0.2 行"/>
    <w:basedOn w:val="0502"/>
    <w:qFormat/>
    <w:rPr>
      <w:szCs w:val="20"/>
    </w:rPr>
  </w:style>
  <w:style w:type="paragraph" w:customStyle="1" w:styleId="afffffffffffffffff3">
    <w:name w:val="封面标题"/>
    <w:basedOn w:val="12"/>
    <w:pPr>
      <w:suppressAutoHyphens/>
      <w:autoSpaceDN/>
      <w:adjustRightInd/>
      <w:spacing w:before="240" w:after="240" w:line="240" w:lineRule="auto"/>
      <w:ind w:firstLineChars="200" w:firstLine="640"/>
      <w:jc w:val="center"/>
      <w:textAlignment w:val="auto"/>
    </w:pPr>
    <w:rPr>
      <w:rFonts w:ascii="黑体"/>
      <w:b/>
      <w:bCs w:val="0"/>
      <w:sz w:val="52"/>
      <w:szCs w:val="20"/>
    </w:rPr>
  </w:style>
  <w:style w:type="paragraph" w:customStyle="1" w:styleId="Char2CharChar1CharCharCharCharCharCharCharCharCharChar2">
    <w:name w:val="Char2 Char Char1 Char Char Char Char Char Char Char Char Char Char2"/>
    <w:basedOn w:val="a2"/>
    <w:uiPriority w:val="99"/>
    <w:qFormat/>
    <w:pPr>
      <w:jc w:val="both"/>
    </w:pPr>
    <w:rPr>
      <w:rFonts w:ascii="Times New Roman"/>
    </w:rPr>
  </w:style>
  <w:style w:type="paragraph" w:customStyle="1" w:styleId="Style3">
    <w:name w:val="_Style 3"/>
    <w:uiPriority w:val="1"/>
    <w:qFormat/>
    <w:pPr>
      <w:widowControl w:val="0"/>
      <w:jc w:val="center"/>
    </w:pPr>
    <w:rPr>
      <w:rFonts w:ascii="Times New Roman" w:eastAsia="宋体" w:hAnsi="Times New Roman" w:cs="Times New Roman"/>
      <w:kern w:val="2"/>
      <w:sz w:val="21"/>
      <w:szCs w:val="24"/>
    </w:rPr>
  </w:style>
  <w:style w:type="paragraph" w:customStyle="1" w:styleId="85">
    <w:name w:val="8说明(治)"/>
    <w:basedOn w:val="a2"/>
    <w:next w:val="58"/>
    <w:qFormat/>
    <w:pPr>
      <w:ind w:firstLineChars="200" w:firstLine="480"/>
    </w:pPr>
    <w:rPr>
      <w:rFonts w:ascii="宋体" w:hAnsi="宋体"/>
      <w:color w:val="3366FF"/>
      <w:sz w:val="24"/>
    </w:rPr>
  </w:style>
  <w:style w:type="paragraph" w:customStyle="1" w:styleId="CharCharCharCharCharChar8">
    <w:name w:val="Char Char Char Char Char Char"/>
    <w:basedOn w:val="a2"/>
    <w:rPr>
      <w:sz w:val="24"/>
    </w:rPr>
  </w:style>
  <w:style w:type="paragraph" w:customStyle="1" w:styleId="Formatvorlage3">
    <w:name w:val="Formatvorlage3"/>
    <w:basedOn w:val="41"/>
    <w:next w:val="a2"/>
    <w:uiPriority w:val="99"/>
    <w:qFormat/>
    <w:pPr>
      <w:keepLines w:val="0"/>
      <w:tabs>
        <w:tab w:val="left" w:pos="2356"/>
      </w:tabs>
      <w:spacing w:beforeLines="0" w:before="240" w:after="60"/>
      <w:ind w:leftChars="0" w:left="1984" w:rightChars="0" w:right="0" w:hanging="708"/>
      <w:jc w:val="both"/>
      <w:textAlignment w:val="baseline"/>
      <w:outlineLvl w:val="9"/>
    </w:pPr>
    <w:rPr>
      <w:rFonts w:ascii="CorpoSLig" w:eastAsia="宋体" w:hAnsi="CorpoSLig"/>
      <w:b/>
      <w:bCs w:val="0"/>
      <w:sz w:val="24"/>
      <w:szCs w:val="20"/>
      <w:lang w:val="en-GB"/>
    </w:rPr>
  </w:style>
  <w:style w:type="paragraph" w:customStyle="1" w:styleId="afffffffffffffffff4">
    <w:name w:val="自由格式"/>
    <w:basedOn w:val="a2"/>
    <w:uiPriority w:val="99"/>
    <w:qFormat/>
    <w:pPr>
      <w:ind w:firstLineChars="200" w:firstLine="600"/>
      <w:jc w:val="both"/>
    </w:pPr>
    <w:rPr>
      <w:rFonts w:ascii="仿宋_GB2312" w:eastAsia="仿宋_GB2312"/>
      <w:sz w:val="30"/>
    </w:rPr>
  </w:style>
  <w:style w:type="paragraph" w:customStyle="1" w:styleId="33CharCharTimesNewRomanGB2312">
    <w:name w:val="样式 标题 3标题 3 Char Char + (西文) Times New Roman (中文) 仿宋_GB2312 加..."/>
    <w:basedOn w:val="32"/>
    <w:uiPriority w:val="99"/>
    <w:qFormat/>
    <w:pPr>
      <w:spacing w:before="120" w:after="120" w:line="498" w:lineRule="exact"/>
      <w:jc w:val="center"/>
    </w:pPr>
    <w:rPr>
      <w:rFonts w:ascii="Times New Roman" w:eastAsia="宋体" w:cs="宋体"/>
      <w:b w:val="0"/>
      <w:sz w:val="30"/>
      <w:szCs w:val="21"/>
    </w:rPr>
  </w:style>
  <w:style w:type="paragraph" w:customStyle="1" w:styleId="CharTimesNewRoman15">
    <w:name w:val="样式 表格内容 Char + Times New Roman 黑色 居中 行距: 1.5 倍行距"/>
    <w:basedOn w:val="a2"/>
    <w:uiPriority w:val="99"/>
    <w:qFormat/>
    <w:pPr>
      <w:tabs>
        <w:tab w:val="left" w:pos="-65"/>
      </w:tabs>
      <w:snapToGrid w:val="0"/>
      <w:spacing w:line="360" w:lineRule="auto"/>
      <w:ind w:firstLineChars="200" w:firstLine="420"/>
      <w:jc w:val="center"/>
    </w:pPr>
    <w:rPr>
      <w:rFonts w:cs="宋体"/>
      <w:color w:val="000000"/>
    </w:rPr>
  </w:style>
  <w:style w:type="paragraph" w:customStyle="1" w:styleId="CharCharChar1CharCharCharCharChar">
    <w:name w:val="Char Char Char1 Char Char Char Char Char"/>
    <w:basedOn w:val="a2"/>
    <w:pPr>
      <w:widowControl/>
      <w:autoSpaceDE/>
      <w:autoSpaceDN/>
      <w:adjustRightInd/>
    </w:pPr>
    <w:rPr>
      <w:rFonts w:ascii="宋体" w:hAnsi="宋体" w:cs="宋体"/>
    </w:rPr>
  </w:style>
  <w:style w:type="paragraph" w:customStyle="1" w:styleId="Normal24">
    <w:name w:val="Normal_24"/>
    <w:qFormat/>
    <w:pPr>
      <w:spacing w:before="120" w:after="240"/>
      <w:jc w:val="both"/>
    </w:pPr>
    <w:rPr>
      <w:rFonts w:ascii="Times New Roman" w:eastAsia="Calibri" w:hAnsi="Times New Roman" w:cs="Times New Roman"/>
      <w:sz w:val="22"/>
      <w:szCs w:val="21"/>
      <w:lang w:val="ru-RU" w:eastAsia="en-US"/>
    </w:rPr>
  </w:style>
  <w:style w:type="paragraph" w:customStyle="1" w:styleId="reader-word-layerreader-word-s1-4">
    <w:name w:val="reader-word-layer reader-word-s1-4"/>
    <w:basedOn w:val="a2"/>
    <w:uiPriority w:val="99"/>
    <w:qFormat/>
    <w:pPr>
      <w:spacing w:before="100" w:beforeAutospacing="1" w:after="100" w:afterAutospacing="1"/>
    </w:pPr>
    <w:rPr>
      <w:rFonts w:ascii="宋体" w:hAnsi="宋体" w:cs="宋体"/>
      <w:sz w:val="24"/>
    </w:rPr>
  </w:style>
  <w:style w:type="paragraph" w:customStyle="1" w:styleId="33H3h33rdlevel3Char3Char1">
    <w:name w:val="样式 标题 3头标题3H3h33rd level第二层条标题 3 Char小标题小节标题标题 3 Char ...1"/>
    <w:basedOn w:val="32"/>
    <w:uiPriority w:val="99"/>
    <w:qFormat/>
    <w:pPr>
      <w:keepLines w:val="0"/>
      <w:tabs>
        <w:tab w:val="left" w:pos="1740"/>
      </w:tabs>
      <w:spacing w:before="120" w:after="120" w:line="264" w:lineRule="auto"/>
      <w:ind w:left="1740" w:hanging="420"/>
      <w:textAlignment w:val="baseline"/>
    </w:pPr>
    <w:rPr>
      <w:rFonts w:ascii="Times New Roman" w:eastAsia="仿宋_GB2312"/>
      <w:b w:val="0"/>
      <w:sz w:val="24"/>
      <w:szCs w:val="20"/>
    </w:rPr>
  </w:style>
  <w:style w:type="paragraph" w:customStyle="1" w:styleId="headi">
    <w:name w:val="headi"/>
    <w:basedOn w:val="a2"/>
    <w:next w:val="a2"/>
    <w:uiPriority w:val="99"/>
    <w:qFormat/>
    <w:pPr>
      <w:keepNext/>
      <w:keepLines/>
      <w:spacing w:line="360" w:lineRule="auto"/>
      <w:jc w:val="both"/>
      <w:textAlignment w:val="baseline"/>
    </w:pPr>
    <w:rPr>
      <w:rFonts w:ascii="宋体" w:hAnsi="Arial Black"/>
      <w:sz w:val="24"/>
    </w:rPr>
  </w:style>
  <w:style w:type="paragraph" w:customStyle="1" w:styleId="afffffffffffffffff5">
    <w:name w:val="文本框文字"/>
    <w:basedOn w:val="af8"/>
    <w:uiPriority w:val="99"/>
    <w:qFormat/>
    <w:pPr>
      <w:jc w:val="center"/>
    </w:pPr>
    <w:rPr>
      <w:rFonts w:ascii="Times New Roman" w:hAnsi="Times New Roman"/>
      <w:spacing w:val="10"/>
      <w:kern w:val="2"/>
      <w:sz w:val="21"/>
    </w:rPr>
  </w:style>
  <w:style w:type="paragraph" w:customStyle="1" w:styleId="152">
    <w:name w:val="15"/>
    <w:basedOn w:val="a2"/>
    <w:next w:val="39"/>
    <w:qFormat/>
    <w:pPr>
      <w:spacing w:line="500" w:lineRule="exact"/>
      <w:ind w:firstLineChars="200" w:firstLine="560"/>
      <w:jc w:val="both"/>
    </w:pPr>
    <w:rPr>
      <w:rFonts w:ascii="仿宋_GB2312" w:eastAsia="仿宋_GB2312"/>
    </w:rPr>
  </w:style>
  <w:style w:type="paragraph" w:customStyle="1" w:styleId="reader-word-layerreader-word-s1-18">
    <w:name w:val="reader-word-layer reader-word-s1-18"/>
    <w:basedOn w:val="a2"/>
    <w:uiPriority w:val="99"/>
    <w:qFormat/>
    <w:pPr>
      <w:spacing w:before="100" w:beforeAutospacing="1" w:after="100" w:afterAutospacing="1"/>
    </w:pPr>
    <w:rPr>
      <w:rFonts w:ascii="宋体" w:hAnsi="宋体" w:cs="宋体"/>
      <w:sz w:val="24"/>
    </w:rPr>
  </w:style>
  <w:style w:type="paragraph" w:customStyle="1" w:styleId="a12">
    <w:name w:val="a1"/>
    <w:basedOn w:val="a2"/>
    <w:uiPriority w:val="99"/>
    <w:qFormat/>
    <w:pPr>
      <w:spacing w:before="100" w:beforeAutospacing="1" w:after="100" w:afterAutospacing="1"/>
    </w:pPr>
    <w:rPr>
      <w:rFonts w:ascii="Arial Unicode MS" w:eastAsia="Arial Unicode MS" w:hAnsi="Arial Unicode MS" w:cs="Arial Unicode MS"/>
      <w:color w:val="000000"/>
      <w:sz w:val="24"/>
    </w:rPr>
  </w:style>
  <w:style w:type="paragraph" w:customStyle="1" w:styleId="ParaCharCharCharCharCharCharCharCharCharCharCharCharChar1">
    <w:name w:val="默认段落字体 Para Char Char Char Char Char Char Char Char Char Char Char Char Char1"/>
    <w:basedOn w:val="a2"/>
    <w:qFormat/>
    <w:rPr>
      <w:sz w:val="24"/>
    </w:rPr>
  </w:style>
  <w:style w:type="paragraph" w:customStyle="1" w:styleId="05">
    <w:name w:val="标题0"/>
    <w:basedOn w:val="a2"/>
    <w:next w:val="a2"/>
    <w:uiPriority w:val="99"/>
    <w:qFormat/>
    <w:pPr>
      <w:spacing w:beforeLines="200" w:before="624" w:afterLines="200" w:after="624" w:line="240" w:lineRule="atLeast"/>
      <w:jc w:val="center"/>
    </w:pPr>
    <w:rPr>
      <w:rFonts w:eastAsia="黑体"/>
      <w:sz w:val="36"/>
    </w:rPr>
  </w:style>
  <w:style w:type="paragraph" w:customStyle="1" w:styleId="CharChar110">
    <w:name w:val="Char Char110"/>
    <w:basedOn w:val="a2"/>
    <w:uiPriority w:val="99"/>
    <w:qFormat/>
    <w:pPr>
      <w:jc w:val="both"/>
    </w:pPr>
    <w:rPr>
      <w:sz w:val="24"/>
    </w:rPr>
  </w:style>
  <w:style w:type="paragraph" w:customStyle="1" w:styleId="077203">
    <w:name w:val="样式 首行缩进:  0.77 厘米 行距: 固定值 20 磅3"/>
    <w:basedOn w:val="a2"/>
    <w:uiPriority w:val="99"/>
    <w:qFormat/>
    <w:pPr>
      <w:spacing w:line="360" w:lineRule="auto"/>
      <w:ind w:firstLine="435"/>
      <w:jc w:val="both"/>
    </w:pPr>
    <w:rPr>
      <w:rFonts w:cs="宋体"/>
      <w:sz w:val="24"/>
    </w:rPr>
  </w:style>
  <w:style w:type="paragraph" w:customStyle="1" w:styleId="CharCharChar1CharCharCharCharCharCharChar2">
    <w:name w:val="Char Char Char1 Char Char Char Char Char Char Char2"/>
    <w:basedOn w:val="a2"/>
    <w:uiPriority w:val="99"/>
    <w:qFormat/>
    <w:rPr>
      <w:rFonts w:ascii="Times New Roman"/>
    </w:rPr>
  </w:style>
  <w:style w:type="paragraph" w:customStyle="1" w:styleId="zhang0">
    <w:name w:val="样式 zhang正文 + (中文) 宋体"/>
    <w:basedOn w:val="a2"/>
    <w:pPr>
      <w:snapToGrid w:val="0"/>
      <w:spacing w:line="360" w:lineRule="auto"/>
      <w:ind w:firstLine="539"/>
      <w:jc w:val="both"/>
      <w:textAlignment w:val="baseline"/>
    </w:pPr>
    <w:rPr>
      <w:rFonts w:ascii="Times New Roman"/>
      <w:color w:val="000000"/>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2"/>
    <w:pPr>
      <w:jc w:val="both"/>
    </w:pPr>
    <w:rPr>
      <w:sz w:val="24"/>
    </w:rPr>
  </w:style>
  <w:style w:type="paragraph" w:customStyle="1" w:styleId="1fffff4">
    <w:name w:val="列表1"/>
    <w:basedOn w:val="a2"/>
    <w:uiPriority w:val="99"/>
    <w:qFormat/>
    <w:pPr>
      <w:spacing w:line="360" w:lineRule="exact"/>
      <w:jc w:val="center"/>
    </w:pPr>
    <w:rPr>
      <w:rFonts w:eastAsia="仿宋_GB2312" w:hint="eastAsia"/>
      <w:sz w:val="24"/>
    </w:rPr>
  </w:style>
  <w:style w:type="paragraph" w:customStyle="1" w:styleId="240">
    <w:name w:val="样式 正文文本 + 首行缩进:  2 字符4"/>
    <w:basedOn w:val="af4"/>
    <w:uiPriority w:val="99"/>
    <w:qFormat/>
    <w:pPr>
      <w:spacing w:after="0"/>
      <w:jc w:val="both"/>
      <w:textAlignment w:val="baseline"/>
    </w:pPr>
    <w:rPr>
      <w:rFonts w:eastAsia="仿宋_GB2312" w:cs="宋体"/>
      <w:color w:val="000000"/>
      <w:kern w:val="0"/>
      <w:szCs w:val="21"/>
    </w:rPr>
  </w:style>
  <w:style w:type="paragraph" w:customStyle="1" w:styleId="3ff3">
    <w:name w:val="页眉3"/>
    <w:basedOn w:val="a2"/>
    <w:uiPriority w:val="99"/>
    <w:qFormat/>
    <w:pPr>
      <w:spacing w:before="100" w:beforeAutospacing="1" w:after="100" w:afterAutospacing="1"/>
    </w:pPr>
    <w:rPr>
      <w:rFonts w:ascii="宋体" w:hAnsi="宋体"/>
      <w:b/>
      <w:bCs/>
      <w:color w:val="CC3300"/>
      <w:sz w:val="24"/>
    </w:rPr>
  </w:style>
  <w:style w:type="paragraph" w:customStyle="1" w:styleId="label">
    <w:name w:val="label"/>
    <w:basedOn w:val="a2"/>
    <w:pPr>
      <w:spacing w:before="100" w:beforeAutospacing="1" w:after="100" w:afterAutospacing="1"/>
    </w:pPr>
  </w:style>
  <w:style w:type="paragraph" w:customStyle="1" w:styleId="CharChar2CharCharCharChar1">
    <w:name w:val="Char Char2 Char Char Char Char1"/>
    <w:basedOn w:val="a2"/>
    <w:uiPriority w:val="99"/>
    <w:qFormat/>
    <w:pPr>
      <w:keepNext/>
      <w:tabs>
        <w:tab w:val="left" w:pos="425"/>
      </w:tabs>
      <w:spacing w:before="80" w:after="80"/>
      <w:ind w:hanging="425"/>
      <w:jc w:val="both"/>
    </w:pPr>
    <w:rPr>
      <w:rFonts w:hAnsi="Arial" w:cs="Arial"/>
      <w:sz w:val="20"/>
    </w:rPr>
  </w:style>
  <w:style w:type="paragraph" w:customStyle="1" w:styleId="Style40">
    <w:name w:val="Style4"/>
    <w:basedOn w:val="a2"/>
    <w:uiPriority w:val="99"/>
    <w:qFormat/>
    <w:pPr>
      <w:snapToGrid w:val="0"/>
      <w:spacing w:before="120" w:after="120" w:line="360" w:lineRule="auto"/>
      <w:ind w:left="360" w:firstLineChars="200" w:hanging="360"/>
    </w:pPr>
    <w:rPr>
      <w:sz w:val="24"/>
      <w:lang w:val="en-GB" w:eastAsia="en-US"/>
    </w:rPr>
  </w:style>
  <w:style w:type="paragraph" w:customStyle="1" w:styleId="f14">
    <w:name w:val="f14"/>
    <w:basedOn w:val="a2"/>
    <w:uiPriority w:val="99"/>
    <w:qFormat/>
    <w:pPr>
      <w:spacing w:before="100" w:beforeAutospacing="1" w:after="100" w:afterAutospacing="1"/>
      <w:ind w:left="225" w:right="225"/>
    </w:pPr>
    <w:rPr>
      <w:rFonts w:eastAsia="仿宋_GB2312"/>
    </w:rPr>
  </w:style>
  <w:style w:type="paragraph" w:customStyle="1" w:styleId="xl745">
    <w:name w:val="xl745"/>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eastAsia="Arial Unicode MS" w:hAnsi="Courier New"/>
      <w:b/>
      <w:bCs/>
      <w:sz w:val="24"/>
    </w:rPr>
  </w:style>
  <w:style w:type="paragraph" w:customStyle="1" w:styleId="Char3CharChar1Char12">
    <w:name w:val="Char3 Char Char1 Char12"/>
    <w:basedOn w:val="a2"/>
    <w:pPr>
      <w:jc w:val="both"/>
    </w:pPr>
  </w:style>
  <w:style w:type="paragraph" w:customStyle="1" w:styleId="325">
    <w:name w:val="样式 标题 3 + 行距: 最小值 25 磅"/>
    <w:basedOn w:val="32"/>
    <w:uiPriority w:val="99"/>
    <w:qFormat/>
    <w:pPr>
      <w:keepLines w:val="0"/>
      <w:snapToGrid w:val="0"/>
      <w:spacing w:before="0" w:after="0" w:line="490" w:lineRule="atLeast"/>
    </w:pPr>
    <w:rPr>
      <w:rFonts w:ascii="Times New Roman" w:eastAsia="宋体"/>
      <w:b w:val="0"/>
      <w:bCs w:val="0"/>
      <w:sz w:val="28"/>
      <w:szCs w:val="28"/>
    </w:rPr>
  </w:style>
  <w:style w:type="paragraph" w:customStyle="1" w:styleId="xl82">
    <w:name w:val="xl82"/>
    <w:basedOn w:val="a2"/>
    <w:qFormat/>
    <w:pPr>
      <w:pBdr>
        <w:left w:val="single" w:sz="4" w:space="0" w:color="auto"/>
        <w:bottom w:val="single" w:sz="4" w:space="0" w:color="auto"/>
      </w:pBdr>
      <w:spacing w:before="100" w:beforeAutospacing="1" w:after="100" w:afterAutospacing="1"/>
      <w:jc w:val="center"/>
      <w:textAlignment w:val="center"/>
    </w:pPr>
    <w:rPr>
      <w:rFonts w:ascii="宋体" w:hAnsi="宋体" w:cs="宋体"/>
      <w:sz w:val="24"/>
    </w:rPr>
  </w:style>
  <w:style w:type="paragraph" w:customStyle="1" w:styleId="CharCharChar1CharCharCharCharCharCharChar1">
    <w:name w:val="Char Char Char1 Char Char Char Char Char Char Char1"/>
    <w:basedOn w:val="a2"/>
    <w:qFormat/>
    <w:pPr>
      <w:jc w:val="both"/>
    </w:pPr>
    <w:rPr>
      <w:rFonts w:ascii="Tahoma" w:hAnsi="Tahoma"/>
      <w:sz w:val="24"/>
    </w:rPr>
  </w:style>
  <w:style w:type="paragraph" w:customStyle="1" w:styleId="CharCharfffffd">
    <w:name w:val="批注框文本 Char Char"/>
    <w:basedOn w:val="a2"/>
    <w:qFormat/>
    <w:rPr>
      <w:rFonts w:hAnsi="宋体"/>
      <w:sz w:val="18"/>
    </w:rPr>
  </w:style>
  <w:style w:type="paragraph" w:customStyle="1" w:styleId="3ff4">
    <w:name w:val="标题  3"/>
    <w:basedOn w:val="32"/>
    <w:uiPriority w:val="99"/>
    <w:qFormat/>
    <w:pPr>
      <w:spacing w:before="480" w:after="480" w:line="500" w:lineRule="exact"/>
      <w:ind w:firstLineChars="200" w:firstLine="721"/>
      <w:jc w:val="center"/>
    </w:pPr>
    <w:rPr>
      <w:rFonts w:ascii="华文仿宋" w:eastAsia="华文仿宋" w:hAnsi="华文仿宋" w:cs="宋体"/>
      <w:sz w:val="36"/>
      <w:szCs w:val="20"/>
    </w:rPr>
  </w:style>
  <w:style w:type="paragraph" w:customStyle="1" w:styleId="xl66">
    <w:name w:val="xl66"/>
    <w:basedOn w:val="a2"/>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afffffffffffffffff6">
    <w:name w:val="简单回函地址"/>
    <w:basedOn w:val="a2"/>
    <w:qFormat/>
  </w:style>
  <w:style w:type="paragraph" w:customStyle="1" w:styleId="Char1CharChar4">
    <w:name w:val="Char1 Char Char4"/>
    <w:basedOn w:val="a2"/>
    <w:uiPriority w:val="99"/>
    <w:qFormat/>
    <w:pPr>
      <w:jc w:val="both"/>
    </w:pPr>
  </w:style>
  <w:style w:type="paragraph" w:customStyle="1" w:styleId="11b">
    <w:name w:val="字元11"/>
    <w:basedOn w:val="a2"/>
    <w:uiPriority w:val="99"/>
    <w:qFormat/>
    <w:pPr>
      <w:jc w:val="both"/>
    </w:pPr>
  </w:style>
  <w:style w:type="paragraph" w:customStyle="1" w:styleId="3CharChara">
    <w:name w:val="样式 标题 3 + 宋体 Char Char"/>
    <w:basedOn w:val="32"/>
    <w:qFormat/>
    <w:pPr>
      <w:spacing w:line="360" w:lineRule="auto"/>
      <w:jc w:val="both"/>
    </w:pPr>
    <w:rPr>
      <w:rFonts w:ascii="宋体" w:eastAsia="宋体" w:hAnsi="宋体"/>
      <w:sz w:val="30"/>
      <w:szCs w:val="30"/>
    </w:rPr>
  </w:style>
  <w:style w:type="paragraph" w:customStyle="1" w:styleId="afffffffffffffffff7">
    <w:name w:val="表名图名"/>
    <w:basedOn w:val="a2"/>
    <w:uiPriority w:val="99"/>
    <w:qFormat/>
    <w:pPr>
      <w:spacing w:beforeLines="50" w:afterLines="20"/>
      <w:jc w:val="center"/>
    </w:pPr>
    <w:rPr>
      <w:b/>
      <w:bCs/>
      <w:sz w:val="24"/>
    </w:rPr>
  </w:style>
  <w:style w:type="paragraph" w:customStyle="1" w:styleId="33CharCharh3H3level3PIM3Level3HeadHeadin10">
    <w:name w:val="样式 样式 标题 3标题 3 Char Char头h3H3level_3PIM 3Level 3 HeadHeadin...1 ..."/>
    <w:basedOn w:val="33CharCharh3H3level3PIM3Level3HeadHeadin1"/>
    <w:uiPriority w:val="99"/>
    <w:qFormat/>
    <w:rPr>
      <w:color w:val="auto"/>
    </w:rPr>
  </w:style>
  <w:style w:type="paragraph" w:customStyle="1" w:styleId="2220">
    <w:name w:val="样式 样式 首行缩进:  2 字符 + 首行缩进:  2 字符2"/>
    <w:basedOn w:val="a2"/>
    <w:uiPriority w:val="99"/>
    <w:qFormat/>
    <w:pPr>
      <w:spacing w:line="440" w:lineRule="exact"/>
      <w:ind w:firstLineChars="200" w:firstLine="584"/>
      <w:jc w:val="both"/>
    </w:pPr>
    <w:rPr>
      <w:spacing w:val="6"/>
    </w:rPr>
  </w:style>
  <w:style w:type="paragraph" w:customStyle="1" w:styleId="1fffff5">
    <w:name w:val="字元1"/>
    <w:basedOn w:val="a2"/>
    <w:pPr>
      <w:jc w:val="both"/>
    </w:pPr>
  </w:style>
  <w:style w:type="paragraph" w:customStyle="1" w:styleId="font13">
    <w:name w:val="font13"/>
    <w:basedOn w:val="a2"/>
    <w:qFormat/>
    <w:pPr>
      <w:spacing w:before="100" w:beforeAutospacing="1" w:after="100" w:afterAutospacing="1"/>
    </w:pPr>
    <w:rPr>
      <w:color w:val="0000FF"/>
      <w:sz w:val="24"/>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2"/>
    <w:uiPriority w:val="99"/>
    <w:qFormat/>
    <w:pPr>
      <w:jc w:val="both"/>
    </w:pPr>
    <w:rPr>
      <w:sz w:val="24"/>
    </w:rPr>
  </w:style>
  <w:style w:type="paragraph" w:customStyle="1" w:styleId="afffffffffffffffff8">
    <w:name w:val="主要条文"/>
    <w:basedOn w:val="a2"/>
    <w:uiPriority w:val="99"/>
    <w:qFormat/>
    <w:pPr>
      <w:tabs>
        <w:tab w:val="left" w:pos="1260"/>
      </w:tabs>
      <w:ind w:left="360" w:hanging="360"/>
      <w:jc w:val="both"/>
    </w:pPr>
    <w:rPr>
      <w:sz w:val="24"/>
    </w:rPr>
  </w:style>
  <w:style w:type="paragraph" w:customStyle="1" w:styleId="1fffff6">
    <w:name w:val="公式样式1"/>
    <w:basedOn w:val="a2"/>
    <w:qFormat/>
    <w:pPr>
      <w:snapToGrid w:val="0"/>
      <w:jc w:val="center"/>
    </w:pPr>
    <w:rPr>
      <w:rFonts w:ascii="仿宋_GB2312" w:eastAsia="仿宋_GB2312"/>
    </w:rPr>
  </w:style>
  <w:style w:type="paragraph" w:customStyle="1" w:styleId="a32">
    <w:name w:val="a3"/>
    <w:basedOn w:val="a2"/>
    <w:qFormat/>
    <w:pPr>
      <w:spacing w:before="100" w:beforeAutospacing="1" w:after="100" w:afterAutospacing="1"/>
    </w:pPr>
    <w:rPr>
      <w:rFonts w:ascii="宋体" w:hAnsi="宋体"/>
      <w:color w:val="000000"/>
      <w:sz w:val="24"/>
    </w:rPr>
  </w:style>
  <w:style w:type="paragraph" w:customStyle="1" w:styleId="TableHead">
    <w:name w:val="Table Head"/>
    <w:basedOn w:val="a2"/>
    <w:uiPriority w:val="99"/>
    <w:qFormat/>
    <w:pPr>
      <w:spacing w:before="80" w:after="80"/>
      <w:jc w:val="center"/>
    </w:pPr>
    <w:rPr>
      <w:rFonts w:eastAsia="Times New Roman"/>
      <w:b/>
      <w:sz w:val="22"/>
      <w:lang w:eastAsia="en-US"/>
    </w:rPr>
  </w:style>
  <w:style w:type="paragraph" w:customStyle="1" w:styleId="xl738">
    <w:name w:val="xl738"/>
    <w:basedOn w:val="a2"/>
    <w:uiPriority w:val="99"/>
    <w:qFormat/>
    <w:pPr>
      <w:spacing w:before="100" w:beforeAutospacing="1" w:after="100" w:afterAutospacing="1"/>
      <w:textAlignment w:val="center"/>
    </w:pPr>
    <w:rPr>
      <w:rFonts w:ascii="Courier New" w:eastAsia="Arial Unicode MS" w:hAnsi="Courier New"/>
      <w:sz w:val="24"/>
    </w:rPr>
  </w:style>
  <w:style w:type="paragraph" w:customStyle="1" w:styleId="138">
    <w:name w:val="样式13"/>
    <w:basedOn w:val="a2"/>
    <w:uiPriority w:val="99"/>
    <w:qFormat/>
    <w:pPr>
      <w:spacing w:line="320" w:lineRule="exact"/>
      <w:jc w:val="center"/>
    </w:pPr>
    <w:rPr>
      <w:rFonts w:ascii="宋体" w:hAnsi="宋体"/>
      <w:sz w:val="24"/>
    </w:rPr>
  </w:style>
  <w:style w:type="paragraph" w:customStyle="1" w:styleId="CharCharChar2CharCharCharCharCharCharCharCharCharChar3">
    <w:name w:val="Char Char Char2 Char Char Char Char Char Char Char Char Char Char3"/>
    <w:basedOn w:val="a2"/>
    <w:uiPriority w:val="99"/>
    <w:qFormat/>
    <w:pPr>
      <w:jc w:val="both"/>
    </w:pPr>
  </w:style>
  <w:style w:type="paragraph" w:customStyle="1" w:styleId="4f1">
    <w:name w:val="4级标题"/>
    <w:basedOn w:val="aff7"/>
    <w:uiPriority w:val="99"/>
    <w:qFormat/>
    <w:pPr>
      <w:spacing w:before="60" w:line="440" w:lineRule="exact"/>
      <w:ind w:firstLine="425"/>
      <w:jc w:val="left"/>
      <w:outlineLvl w:val="3"/>
    </w:pPr>
    <w:rPr>
      <w:rFonts w:ascii="Times New Roman" w:hAnsi="Times New Roman"/>
      <w:sz w:val="24"/>
      <w:szCs w:val="24"/>
    </w:rPr>
  </w:style>
  <w:style w:type="paragraph" w:customStyle="1" w:styleId="1fffff7">
    <w:name w:val="列出段落1"/>
    <w:basedOn w:val="a2"/>
    <w:uiPriority w:val="99"/>
    <w:qFormat/>
    <w:pPr>
      <w:ind w:firstLineChars="200" w:firstLine="420"/>
      <w:jc w:val="both"/>
    </w:pPr>
    <w:rPr>
      <w:rFonts w:ascii="Calibri" w:hAnsi="Calibri"/>
      <w:szCs w:val="22"/>
    </w:rPr>
  </w:style>
  <w:style w:type="paragraph" w:customStyle="1" w:styleId="1fffff8">
    <w:name w:val="表中文字1"/>
    <w:qFormat/>
    <w:pPr>
      <w:widowControl w:val="0"/>
      <w:adjustRightInd w:val="0"/>
      <w:snapToGrid w:val="0"/>
      <w:spacing w:beforeLines="50" w:before="50" w:afterLines="50" w:after="50" w:line="360" w:lineRule="auto"/>
      <w:ind w:firstLineChars="40" w:firstLine="40"/>
      <w:jc w:val="center"/>
    </w:pPr>
    <w:rPr>
      <w:rFonts w:ascii="仿宋_GB2312" w:eastAsia="仿宋_GB2312" w:hAnsi="Times New Roman" w:cs="Times New Roman"/>
      <w:kern w:val="2"/>
      <w:sz w:val="24"/>
      <w:szCs w:val="24"/>
    </w:rPr>
  </w:style>
  <w:style w:type="paragraph" w:customStyle="1" w:styleId="afffffffffffffffff9">
    <w:name w:val="正"/>
    <w:basedOn w:val="22"/>
    <w:qFormat/>
    <w:pPr>
      <w:snapToGrid w:val="0"/>
      <w:spacing w:before="120" w:after="0" w:line="500" w:lineRule="exact"/>
    </w:pPr>
    <w:rPr>
      <w:rFonts w:ascii="Times New Roman" w:eastAsia="楷体" w:hAnsi="Times New Roman" w:cs="Times New Roman"/>
    </w:rPr>
  </w:style>
  <w:style w:type="paragraph" w:customStyle="1" w:styleId="69">
    <w:name w:val="6"/>
    <w:basedOn w:val="a2"/>
    <w:next w:val="25"/>
    <w:qFormat/>
    <w:pPr>
      <w:spacing w:line="500" w:lineRule="exact"/>
      <w:ind w:firstLineChars="200" w:firstLine="560"/>
    </w:pPr>
    <w:rPr>
      <w:rFonts w:ascii="仿宋_GB2312" w:eastAsia="仿宋_GB2312"/>
      <w:color w:val="000000"/>
    </w:rPr>
  </w:style>
  <w:style w:type="paragraph" w:customStyle="1" w:styleId="CharCharfffffe">
    <w:name w:val="页眉 Char Char"/>
    <w:basedOn w:val="a2"/>
    <w:qFormat/>
    <w:pPr>
      <w:tabs>
        <w:tab w:val="left" w:pos="4149"/>
        <w:tab w:val="left" w:pos="8016"/>
      </w:tabs>
      <w:spacing w:line="351" w:lineRule="atLeast"/>
      <w:ind w:firstLine="419"/>
      <w:jc w:val="center"/>
    </w:pPr>
    <w:rPr>
      <w:rFonts w:hAnsi="宋体"/>
      <w:sz w:val="18"/>
    </w:rPr>
  </w:style>
  <w:style w:type="paragraph" w:customStyle="1" w:styleId="Char1CharCharCharCharCharCharCharCharChar1CharCharCharCharCharChar">
    <w:name w:val="Char1 Char Char Char Char Char Char Char Char Char1 Char Char Char Char Char Char"/>
    <w:basedOn w:val="a2"/>
    <w:uiPriority w:val="99"/>
    <w:qFormat/>
    <w:pPr>
      <w:spacing w:before="100" w:beforeAutospacing="1" w:after="100" w:afterAutospacing="1"/>
      <w:ind w:firstLineChars="200" w:firstLine="200"/>
    </w:pPr>
    <w:rPr>
      <w:rFonts w:ascii="Verdana" w:eastAsia="仿宋_GB2312" w:hAnsi="Verdana"/>
      <w:sz w:val="20"/>
      <w:lang w:eastAsia="en-US"/>
    </w:rPr>
  </w:style>
  <w:style w:type="paragraph" w:customStyle="1" w:styleId="afffffffffffffffffa">
    <w:name w:val="正文 + 宋体 小四"/>
    <w:basedOn w:val="a2"/>
    <w:uiPriority w:val="99"/>
    <w:qFormat/>
    <w:pPr>
      <w:snapToGrid w:val="0"/>
      <w:spacing w:line="360" w:lineRule="auto"/>
      <w:jc w:val="both"/>
      <w:textAlignment w:val="baseline"/>
    </w:pPr>
    <w:rPr>
      <w:rFonts w:ascii="宋体" w:hAnsi="宋体" w:cs="华文行楷"/>
      <w:snapToGrid w:val="0"/>
      <w:sz w:val="24"/>
    </w:rPr>
  </w:style>
  <w:style w:type="paragraph" w:customStyle="1" w:styleId="xl88">
    <w:name w:val="xl88"/>
    <w:basedOn w:val="a2"/>
    <w:qFormat/>
    <w:pPr>
      <w:pBdr>
        <w:top w:val="single" w:sz="12" w:space="0" w:color="auto"/>
      </w:pBdr>
      <w:spacing w:before="100" w:beforeAutospacing="1" w:after="100" w:afterAutospacing="1"/>
      <w:jc w:val="center"/>
    </w:pPr>
    <w:rPr>
      <w:rFonts w:ascii="宋体" w:hAnsi="宋体" w:cs="宋体"/>
      <w:sz w:val="24"/>
    </w:rPr>
  </w:style>
  <w:style w:type="paragraph" w:customStyle="1" w:styleId="1fffff9">
    <w:name w:val="标题正1"/>
    <w:basedOn w:val="a2"/>
    <w:qFormat/>
    <w:pPr>
      <w:spacing w:before="60" w:after="60" w:line="500" w:lineRule="exact"/>
    </w:pPr>
    <w:rPr>
      <w:rFonts w:ascii="黑体" w:eastAsia="黑体"/>
      <w:sz w:val="32"/>
      <w:szCs w:val="28"/>
    </w:rPr>
  </w:style>
  <w:style w:type="paragraph" w:customStyle="1" w:styleId="Style42">
    <w:name w:val="_Style 4"/>
    <w:uiPriority w:val="1"/>
    <w:qFormat/>
    <w:pPr>
      <w:widowControl w:val="0"/>
      <w:jc w:val="center"/>
    </w:pPr>
    <w:rPr>
      <w:rFonts w:ascii="Times New Roman" w:eastAsia="宋体" w:hAnsi="Times New Roman" w:cs="Times New Roman"/>
      <w:kern w:val="2"/>
      <w:sz w:val="21"/>
      <w:szCs w:val="24"/>
    </w:rPr>
  </w:style>
  <w:style w:type="paragraph" w:customStyle="1" w:styleId="afffffffffffffffffb">
    <w:name w:val="环表"/>
    <w:basedOn w:val="a2"/>
    <w:qFormat/>
    <w:pPr>
      <w:tabs>
        <w:tab w:val="left" w:pos="5094"/>
      </w:tabs>
      <w:spacing w:before="120" w:after="120" w:line="312" w:lineRule="atLeast"/>
      <w:ind w:right="29"/>
      <w:jc w:val="center"/>
      <w:textAlignment w:val="baseline"/>
    </w:pPr>
    <w:rPr>
      <w:rFonts w:ascii="仿宋_GB2312" w:eastAsia="仿宋_GB2312" w:hAnsi="Courier New"/>
    </w:rPr>
  </w:style>
  <w:style w:type="paragraph" w:customStyle="1" w:styleId="xl755">
    <w:name w:val="xl755"/>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hint="eastAsia"/>
      <w:sz w:val="24"/>
    </w:rPr>
  </w:style>
  <w:style w:type="paragraph" w:customStyle="1" w:styleId="afffffffffffffffffc">
    <w:name w:val="表格下方正文"/>
    <w:basedOn w:val="50"/>
    <w:uiPriority w:val="99"/>
    <w:qFormat/>
    <w:pPr>
      <w:keepNext w:val="0"/>
      <w:keepLines w:val="0"/>
      <w:tabs>
        <w:tab w:val="clear" w:pos="1008"/>
      </w:tabs>
      <w:spacing w:before="400" w:after="0" w:line="460" w:lineRule="exact"/>
      <w:ind w:left="0" w:firstLineChars="200" w:firstLine="200"/>
      <w:jc w:val="both"/>
      <w:outlineLvl w:val="9"/>
    </w:pPr>
    <w:rPr>
      <w:b w:val="0"/>
      <w:bCs w:val="0"/>
      <w:sz w:val="24"/>
      <w:szCs w:val="24"/>
    </w:rPr>
  </w:style>
  <w:style w:type="paragraph" w:customStyle="1" w:styleId="CharCharCharCharCharCharCharCharCharCharCharCharCharCharChar0">
    <w:name w:val="Char Char Char Char Char Char Char Char Char Char Char Char Char Char Char"/>
    <w:basedOn w:val="a2"/>
    <w:qFormat/>
    <w:pPr>
      <w:spacing w:line="240" w:lineRule="exact"/>
      <w:ind w:firstLineChars="200" w:firstLine="200"/>
      <w:jc w:val="both"/>
    </w:pPr>
    <w:rPr>
      <w:szCs w:val="28"/>
    </w:rPr>
  </w:style>
  <w:style w:type="paragraph" w:customStyle="1" w:styleId="2fff4">
    <w:name w:val="正文文字 2"/>
    <w:basedOn w:val="a2"/>
    <w:qFormat/>
    <w:rPr>
      <w:szCs w:val="28"/>
    </w:rPr>
  </w:style>
  <w:style w:type="paragraph" w:customStyle="1" w:styleId="my1">
    <w:name w:val="my1"/>
    <w:basedOn w:val="13"/>
    <w:uiPriority w:val="99"/>
    <w:qFormat/>
    <w:pPr>
      <w:tabs>
        <w:tab w:val="left" w:pos="720"/>
        <w:tab w:val="right" w:leader="dot" w:pos="8296"/>
        <w:tab w:val="right" w:leader="dot" w:pos="8453"/>
      </w:tabs>
      <w:snapToGrid w:val="0"/>
      <w:spacing w:line="300" w:lineRule="auto"/>
      <w:ind w:left="720" w:hanging="720"/>
    </w:pPr>
    <w:rPr>
      <w:rFonts w:eastAsia="黑体"/>
      <w:b w:val="0"/>
      <w:caps w:val="0"/>
    </w:rPr>
  </w:style>
  <w:style w:type="paragraph" w:customStyle="1" w:styleId="TableTitle">
    <w:name w:val="Table Title"/>
    <w:basedOn w:val="a2"/>
    <w:qFormat/>
    <w:pPr>
      <w:widowControl/>
      <w:snapToGrid w:val="0"/>
      <w:spacing w:beforeLines="50" w:before="156" w:afterLines="50" w:after="156" w:line="400" w:lineRule="exact"/>
      <w:jc w:val="center"/>
    </w:pPr>
    <w:rPr>
      <w:sz w:val="24"/>
    </w:rPr>
  </w:style>
  <w:style w:type="paragraph" w:customStyle="1" w:styleId="afffffffffffffffffd">
    <w:name w:val="图头"/>
    <w:basedOn w:val="affffffff5"/>
    <w:qFormat/>
    <w:pPr>
      <w:snapToGrid w:val="0"/>
      <w:spacing w:beforeLines="50" w:before="156" w:afterLines="30" w:after="93" w:line="300" w:lineRule="auto"/>
      <w:ind w:left="562" w:hangingChars="200" w:hanging="562"/>
    </w:pPr>
    <w:rPr>
      <w:rFonts w:eastAsia="仿宋_GB2312"/>
      <w:b/>
      <w:sz w:val="28"/>
    </w:rPr>
  </w:style>
  <w:style w:type="paragraph" w:customStyle="1" w:styleId="1fffffa">
    <w:name w:val="正文文本缩进1"/>
    <w:basedOn w:val="a2"/>
    <w:uiPriority w:val="99"/>
    <w:qFormat/>
    <w:pPr>
      <w:spacing w:after="120"/>
      <w:ind w:leftChars="200" w:left="420"/>
      <w:jc w:val="both"/>
    </w:pPr>
    <w:rPr>
      <w:rFonts w:ascii="Calibri" w:hAnsi="Calibri"/>
    </w:rPr>
  </w:style>
  <w:style w:type="paragraph" w:customStyle="1" w:styleId="21202">
    <w:name w:val="样式 样式 首行缩进:  2 字符1 + 首行缩进:  2 字符 段前: 0.2 行"/>
    <w:basedOn w:val="a2"/>
    <w:uiPriority w:val="99"/>
    <w:qFormat/>
    <w:pPr>
      <w:spacing w:line="440" w:lineRule="exact"/>
      <w:ind w:firstLineChars="200" w:firstLine="200"/>
      <w:jc w:val="both"/>
    </w:pPr>
    <w:rPr>
      <w:sz w:val="24"/>
    </w:rPr>
  </w:style>
  <w:style w:type="paragraph" w:customStyle="1" w:styleId="y">
    <w:name w:val="y表格"/>
    <w:basedOn w:val="af4"/>
    <w:qFormat/>
    <w:pPr>
      <w:widowControl/>
      <w:snapToGrid w:val="0"/>
      <w:spacing w:after="0"/>
      <w:jc w:val="center"/>
    </w:pPr>
    <w:rPr>
      <w:rFonts w:ascii="宋体" w:hAnsi="宋体"/>
      <w:kern w:val="0"/>
      <w:sz w:val="24"/>
    </w:rPr>
  </w:style>
  <w:style w:type="paragraph" w:customStyle="1" w:styleId="xl32">
    <w:name w:val="xl32"/>
    <w:basedOn w:val="a2"/>
    <w:qFormat/>
    <w:pPr>
      <w:widowControl/>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eastAsia="Arial Unicode MS"/>
      <w:sz w:val="24"/>
    </w:rPr>
  </w:style>
  <w:style w:type="paragraph" w:customStyle="1" w:styleId="xl33">
    <w:name w:val="xl33"/>
    <w:basedOn w:val="a2"/>
    <w:qFormat/>
    <w:pPr>
      <w:widowControl/>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758">
    <w:name w:val="xl758"/>
    <w:basedOn w:val="a2"/>
    <w:uiPriority w:val="99"/>
    <w:qFormat/>
    <w:pPr>
      <w:spacing w:before="100" w:beforeAutospacing="1" w:after="100" w:afterAutospacing="1"/>
      <w:textAlignment w:val="center"/>
    </w:pPr>
    <w:rPr>
      <w:rFonts w:ascii="Arial Unicode MS" w:eastAsia="Arial Unicode MS" w:hAnsi="Arial Unicode MS"/>
      <w:sz w:val="24"/>
    </w:rPr>
  </w:style>
  <w:style w:type="paragraph" w:customStyle="1" w:styleId="1111">
    <w:name w:val="1111"/>
    <w:basedOn w:val="12"/>
    <w:uiPriority w:val="99"/>
    <w:qFormat/>
    <w:pPr>
      <w:keepNext w:val="0"/>
      <w:keepLines w:val="0"/>
      <w:tabs>
        <w:tab w:val="left" w:pos="432"/>
      </w:tabs>
      <w:spacing w:beforeLines="100" w:before="360" w:afterLines="100" w:after="312"/>
      <w:ind w:left="431" w:hanging="431"/>
      <w:textAlignment w:val="auto"/>
    </w:pPr>
    <w:rPr>
      <w:b/>
      <w:sz w:val="36"/>
      <w:szCs w:val="44"/>
    </w:rPr>
  </w:style>
  <w:style w:type="paragraph" w:customStyle="1" w:styleId="BodyTextIndent21">
    <w:name w:val="Body Text Indent 21"/>
    <w:basedOn w:val="a2"/>
    <w:qFormat/>
    <w:pPr>
      <w:spacing w:line="360" w:lineRule="auto"/>
      <w:ind w:firstLine="600"/>
      <w:textAlignment w:val="baseline"/>
    </w:pPr>
    <w:rPr>
      <w:rFonts w:eastAsia="仿宋_GB2312"/>
    </w:rPr>
  </w:style>
  <w:style w:type="paragraph" w:customStyle="1" w:styleId="Char4CharCharCharCharCharCharCharCharCharCharChar">
    <w:name w:val="Char4 Char Char Char Char Char Char Char Char Char Char Char"/>
    <w:basedOn w:val="a2"/>
    <w:uiPriority w:val="99"/>
    <w:qFormat/>
    <w:pPr>
      <w:tabs>
        <w:tab w:val="left" w:pos="980"/>
      </w:tabs>
      <w:jc w:val="both"/>
    </w:pPr>
    <w:rPr>
      <w:sz w:val="24"/>
    </w:rPr>
  </w:style>
  <w:style w:type="paragraph" w:customStyle="1" w:styleId="c">
    <w:name w:val="c_"/>
    <w:uiPriority w:val="99"/>
    <w:qFormat/>
    <w:pPr>
      <w:widowControl w:val="0"/>
      <w:autoSpaceDE w:val="0"/>
      <w:autoSpaceDN w:val="0"/>
      <w:adjustRightInd w:val="0"/>
      <w:jc w:val="both"/>
    </w:pPr>
    <w:rPr>
      <w:rFonts w:ascii="五" w:eastAsia="五" w:hAnsi="Times New Roman" w:cs="Times New Roman"/>
      <w:sz w:val="24"/>
    </w:rPr>
  </w:style>
  <w:style w:type="paragraph" w:customStyle="1" w:styleId="2fff5">
    <w:name w:val="无间隔2"/>
    <w:next w:val="a2"/>
    <w:uiPriority w:val="99"/>
    <w:qFormat/>
    <w:pPr>
      <w:widowControl w:val="0"/>
      <w:jc w:val="both"/>
    </w:pPr>
    <w:rPr>
      <w:rFonts w:ascii="Times New Roman" w:eastAsia="宋体" w:hAnsi="Times New Roman" w:cs="Times New Roman"/>
      <w:kern w:val="2"/>
      <w:sz w:val="21"/>
      <w:szCs w:val="21"/>
    </w:rPr>
  </w:style>
  <w:style w:type="paragraph" w:customStyle="1" w:styleId="afffffffffffffffffe">
    <w:name w:val="图题注"/>
    <w:basedOn w:val="ac"/>
    <w:uiPriority w:val="99"/>
    <w:qFormat/>
    <w:pPr>
      <w:jc w:val="center"/>
    </w:pPr>
    <w:rPr>
      <w:rFonts w:ascii="黑体" w:hAnsi="Arial" w:cs="宋体"/>
      <w:b/>
      <w:bCs/>
      <w:sz w:val="24"/>
      <w:szCs w:val="24"/>
    </w:rPr>
  </w:style>
  <w:style w:type="paragraph" w:customStyle="1" w:styleId="affffffffffffffffff">
    <w:name w:val="表格一"/>
    <w:basedOn w:val="a2"/>
    <w:qFormat/>
    <w:pPr>
      <w:keepNext/>
      <w:keepLines/>
      <w:jc w:val="center"/>
      <w:textAlignment w:val="baseline"/>
    </w:pPr>
    <w:rPr>
      <w:sz w:val="24"/>
    </w:rPr>
  </w:style>
  <w:style w:type="paragraph" w:customStyle="1" w:styleId="affffffffffffffffff0">
    <w:name w:val="佛表"/>
    <w:basedOn w:val="aff2"/>
    <w:uiPriority w:val="99"/>
    <w:qFormat/>
    <w:pPr>
      <w:spacing w:line="0" w:lineRule="atLeast"/>
      <w:jc w:val="both"/>
    </w:pPr>
    <w:rPr>
      <w:rFonts w:ascii="宋体" w:eastAsia="宋体" w:hAnsi="宋体"/>
      <w:sz w:val="21"/>
      <w:szCs w:val="24"/>
    </w:rPr>
  </w:style>
  <w:style w:type="paragraph" w:customStyle="1" w:styleId="3ff5">
    <w:name w:val="(文字) (文字)3"/>
    <w:basedOn w:val="a2"/>
    <w:uiPriority w:val="99"/>
    <w:qFormat/>
    <w:pPr>
      <w:jc w:val="both"/>
    </w:pPr>
  </w:style>
  <w:style w:type="paragraph" w:customStyle="1" w:styleId="Char1CharCharCharCharCharChar1">
    <w:name w:val="Char1 Char Char Char Char Char Char1"/>
    <w:basedOn w:val="a2"/>
    <w:next w:val="a2"/>
    <w:pPr>
      <w:spacing w:line="360" w:lineRule="auto"/>
      <w:ind w:firstLineChars="200" w:firstLine="200"/>
      <w:jc w:val="center"/>
    </w:pPr>
    <w:rPr>
      <w:rFonts w:eastAsia="黑体"/>
    </w:rPr>
  </w:style>
  <w:style w:type="paragraph" w:customStyle="1" w:styleId="GB231200">
    <w:name w:val="样式 (中文) 仿宋_GB2312 四号 首行缩进:  0 厘米"/>
    <w:basedOn w:val="a2"/>
    <w:uiPriority w:val="99"/>
    <w:qFormat/>
    <w:pPr>
      <w:ind w:firstLine="2"/>
      <w:jc w:val="both"/>
    </w:pPr>
    <w:rPr>
      <w:rFonts w:ascii="仿宋_GB2312" w:eastAsia="仿宋_GB2312" w:hAnsi="仿宋_GB2312" w:cs="仿宋_GB2312"/>
      <w:szCs w:val="28"/>
    </w:rPr>
  </w:style>
  <w:style w:type="paragraph" w:customStyle="1" w:styleId="Char2CharChar1CharCharChar">
    <w:name w:val="Char2 Char Char1 Char Char Char"/>
    <w:basedOn w:val="a2"/>
    <w:uiPriority w:val="99"/>
    <w:qFormat/>
    <w:pPr>
      <w:jc w:val="both"/>
    </w:pPr>
    <w:rPr>
      <w:sz w:val="24"/>
    </w:rPr>
  </w:style>
  <w:style w:type="paragraph" w:customStyle="1" w:styleId="Formatvorlage5">
    <w:name w:val="Formatvorlage5"/>
    <w:basedOn w:val="aff7"/>
    <w:uiPriority w:val="99"/>
    <w:qFormat/>
    <w:pPr>
      <w:spacing w:line="360" w:lineRule="auto"/>
      <w:ind w:firstLine="709"/>
      <w:textAlignment w:val="baseline"/>
      <w:outlineLvl w:val="9"/>
    </w:pPr>
    <w:rPr>
      <w:rFonts w:ascii="CorpoSLig" w:hAnsi="CorpoSLig"/>
      <w:bCs w:val="0"/>
      <w:kern w:val="28"/>
      <w:sz w:val="36"/>
      <w:szCs w:val="20"/>
      <w:lang w:val="en-GB"/>
    </w:rPr>
  </w:style>
  <w:style w:type="paragraph" w:customStyle="1" w:styleId="2111">
    <w:name w:val="正文文本缩进 211"/>
    <w:basedOn w:val="a2"/>
    <w:uiPriority w:val="99"/>
    <w:qFormat/>
    <w:pPr>
      <w:spacing w:after="120" w:line="480" w:lineRule="auto"/>
      <w:ind w:left="420"/>
      <w:jc w:val="both"/>
    </w:pPr>
    <w:rPr>
      <w:rFonts w:ascii="宋体" w:hAnsi="宋体"/>
      <w:sz w:val="24"/>
    </w:rPr>
  </w:style>
  <w:style w:type="paragraph" w:customStyle="1" w:styleId="GB23124">
    <w:name w:val="样式 楷体_GB2312 居中"/>
    <w:basedOn w:val="a2"/>
    <w:uiPriority w:val="99"/>
    <w:qFormat/>
    <w:pPr>
      <w:spacing w:line="360" w:lineRule="auto"/>
      <w:jc w:val="center"/>
    </w:pPr>
    <w:rPr>
      <w:rFonts w:ascii="楷体_GB2312"/>
    </w:rPr>
  </w:style>
  <w:style w:type="paragraph" w:customStyle="1" w:styleId="CharCharCharCharCharCharChar20">
    <w:name w:val="样式 正文缩进文本条款表格标题正文（首行缩进两字） Char Char Char Char Char Char Char...2"/>
    <w:basedOn w:val="a3"/>
    <w:uiPriority w:val="99"/>
    <w:qFormat/>
    <w:pPr>
      <w:tabs>
        <w:tab w:val="left" w:pos="283"/>
      </w:tabs>
      <w:snapToGrid w:val="0"/>
      <w:spacing w:line="500" w:lineRule="atLeast"/>
      <w:ind w:firstLine="200"/>
      <w:jc w:val="both"/>
    </w:pPr>
    <w:rPr>
      <w:rFonts w:cs="宋体"/>
      <w:sz w:val="28"/>
    </w:rPr>
  </w:style>
  <w:style w:type="paragraph" w:customStyle="1" w:styleId="0772032">
    <w:name w:val="样式 首行缩进:  0.77 厘米 行距: 固定值 20 磅32"/>
    <w:basedOn w:val="a2"/>
    <w:uiPriority w:val="99"/>
    <w:qFormat/>
    <w:pPr>
      <w:spacing w:line="360" w:lineRule="auto"/>
      <w:ind w:firstLine="435"/>
      <w:jc w:val="both"/>
    </w:pPr>
    <w:rPr>
      <w:rFonts w:cs="宋体"/>
      <w:sz w:val="24"/>
    </w:rPr>
  </w:style>
  <w:style w:type="paragraph" w:customStyle="1" w:styleId="HTML110">
    <w:name w:val="HTML 预设格式11"/>
    <w:basedOn w:val="a2"/>
    <w:uiPriority w:val="99"/>
    <w:qFormat/>
    <w:pPr>
      <w:jc w:val="both"/>
    </w:pPr>
    <w:rPr>
      <w:rFonts w:ascii="Courier New" w:hAnsi="Courier New"/>
      <w:szCs w:val="22"/>
    </w:rPr>
  </w:style>
  <w:style w:type="paragraph" w:customStyle="1" w:styleId="xl57">
    <w:name w:val="xl57"/>
    <w:basedOn w:val="a2"/>
    <w:qFormat/>
    <w:pPr>
      <w:widowControl/>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12a">
    <w:name w:val="日期12"/>
    <w:basedOn w:val="a2"/>
    <w:next w:val="a2"/>
    <w:uiPriority w:val="99"/>
    <w:qFormat/>
    <w:pPr>
      <w:snapToGrid w:val="0"/>
      <w:spacing w:before="120" w:after="120" w:line="360" w:lineRule="auto"/>
      <w:ind w:firstLineChars="200" w:firstLine="200"/>
      <w:jc w:val="both"/>
    </w:pPr>
    <w:rPr>
      <w:sz w:val="24"/>
    </w:rPr>
  </w:style>
  <w:style w:type="paragraph" w:customStyle="1" w:styleId="3ff6">
    <w:name w:val="表格文字3"/>
    <w:basedOn w:val="a2"/>
    <w:uiPriority w:val="99"/>
    <w:qFormat/>
    <w:pPr>
      <w:jc w:val="center"/>
    </w:pPr>
    <w:rPr>
      <w:rFonts w:ascii="宋体" w:hAnsi="宋体"/>
      <w:snapToGrid w:val="0"/>
    </w:rPr>
  </w:style>
  <w:style w:type="paragraph" w:customStyle="1" w:styleId="CharCharChar1CharCharCharCharCharCharChar">
    <w:name w:val="Char Char Char1 Char Char Char Char Char Char Char"/>
    <w:basedOn w:val="a2"/>
    <w:qFormat/>
  </w:style>
  <w:style w:type="paragraph" w:customStyle="1" w:styleId="CM5">
    <w:name w:val="CM5"/>
    <w:basedOn w:val="Default"/>
    <w:next w:val="Default"/>
    <w:uiPriority w:val="99"/>
    <w:qFormat/>
    <w:pPr>
      <w:spacing w:beforeLines="0" w:before="0" w:afterLines="0" w:after="0" w:line="240" w:lineRule="auto"/>
      <w:ind w:firstLineChars="0" w:firstLine="0"/>
    </w:pPr>
    <w:rPr>
      <w:rFonts w:ascii="新宋体" w:eastAsia="新宋体" w:cs="Times New Roman"/>
      <w:color w:val="auto"/>
    </w:rPr>
  </w:style>
  <w:style w:type="paragraph" w:customStyle="1" w:styleId="CharCharCharCharCharCharCharCharChar1CharCharChar">
    <w:name w:val="Char Char Char Char Char Char Char Char Char1 Char Char Char"/>
    <w:basedOn w:val="a2"/>
    <w:uiPriority w:val="99"/>
    <w:qFormat/>
    <w:pPr>
      <w:jc w:val="both"/>
    </w:pPr>
    <w:rPr>
      <w:sz w:val="24"/>
    </w:rPr>
  </w:style>
  <w:style w:type="paragraph" w:customStyle="1" w:styleId="1h1H1PIM1111SectionHeadHeader11stlevell11">
    <w:name w:val="样式 标题 1h1H1PIM 1标书11.标题 1Section HeadHeader11st levell1...1"/>
    <w:basedOn w:val="12"/>
    <w:qFormat/>
    <w:pPr>
      <w:tabs>
        <w:tab w:val="left" w:pos="1155"/>
      </w:tabs>
      <w:spacing w:before="360" w:after="360" w:line="500" w:lineRule="exact"/>
      <w:textAlignment w:val="auto"/>
    </w:pPr>
    <w:rPr>
      <w:rFonts w:ascii="宋体" w:eastAsia="宋体" w:hAnsi="宋体"/>
      <w:b/>
      <w:color w:val="000000"/>
      <w:sz w:val="28"/>
      <w:szCs w:val="44"/>
    </w:rPr>
  </w:style>
  <w:style w:type="paragraph" w:customStyle="1" w:styleId="5f">
    <w:name w:val="表内5"/>
    <w:basedOn w:val="50"/>
    <w:uiPriority w:val="99"/>
    <w:qFormat/>
    <w:pPr>
      <w:keepNext w:val="0"/>
      <w:keepLines w:val="0"/>
      <w:tabs>
        <w:tab w:val="clear" w:pos="1008"/>
        <w:tab w:val="left" w:pos="4305"/>
      </w:tabs>
      <w:snapToGrid w:val="0"/>
      <w:spacing w:before="0" w:after="0" w:line="240" w:lineRule="auto"/>
      <w:ind w:leftChars="-51" w:left="0" w:rightChars="-51" w:right="-107" w:hangingChars="51" w:hanging="107"/>
      <w:jc w:val="center"/>
      <w:outlineLvl w:val="9"/>
    </w:pPr>
    <w:rPr>
      <w:b w:val="0"/>
      <w:bCs w:val="0"/>
      <w:szCs w:val="21"/>
    </w:rPr>
  </w:style>
  <w:style w:type="paragraph" w:customStyle="1" w:styleId="1112">
    <w:name w:val="正文111"/>
    <w:basedOn w:val="a2"/>
    <w:uiPriority w:val="99"/>
    <w:qFormat/>
    <w:pPr>
      <w:spacing w:line="360" w:lineRule="auto"/>
      <w:jc w:val="both"/>
      <w:textAlignment w:val="baseline"/>
    </w:pPr>
    <w:rPr>
      <w:rFonts w:eastAsia="仿宋_GB2312"/>
      <w:b/>
      <w:spacing w:val="10"/>
      <w:szCs w:val="28"/>
    </w:rPr>
  </w:style>
  <w:style w:type="paragraph" w:customStyle="1" w:styleId="affffffffffffffffff1">
    <w:name w:val="样式 表名"/>
    <w:basedOn w:val="a2"/>
    <w:uiPriority w:val="99"/>
    <w:qFormat/>
    <w:pPr>
      <w:spacing w:after="60" w:line="560" w:lineRule="exact"/>
      <w:ind w:firstLineChars="100" w:firstLine="100"/>
    </w:pPr>
    <w:rPr>
      <w:rFonts w:eastAsia="黑体" w:hAnsi="Arial" w:cs="宋体"/>
      <w:snapToGrid w:val="0"/>
      <w:sz w:val="24"/>
    </w:rPr>
  </w:style>
  <w:style w:type="paragraph" w:customStyle="1" w:styleId="charcharcharrgb00160charchar1">
    <w:name w:val="charcharcharrgb00160charchar1"/>
    <w:basedOn w:val="a2"/>
    <w:qFormat/>
    <w:pPr>
      <w:widowControl/>
      <w:spacing w:before="100" w:beforeAutospacing="1" w:after="100" w:afterAutospacing="1"/>
    </w:pPr>
    <w:rPr>
      <w:rFonts w:ascii="宋体" w:hAnsi="宋体" w:cs="宋体"/>
      <w:sz w:val="24"/>
    </w:rPr>
  </w:style>
  <w:style w:type="paragraph" w:customStyle="1" w:styleId="2fff6">
    <w:name w:val="样式 首行缩进 + 四号 首行缩进:  2 字符 行距: 单倍行距"/>
    <w:basedOn w:val="afffffffffffffffff2"/>
    <w:uiPriority w:val="99"/>
    <w:qFormat/>
    <w:pPr>
      <w:snapToGrid w:val="0"/>
      <w:ind w:firstLine="560"/>
      <w:jc w:val="both"/>
    </w:pPr>
    <w:rPr>
      <w:sz w:val="28"/>
      <w:szCs w:val="28"/>
    </w:rPr>
  </w:style>
  <w:style w:type="paragraph" w:customStyle="1" w:styleId="xl99">
    <w:name w:val="xl99"/>
    <w:basedOn w:val="a2"/>
    <w:qFormat/>
    <w:pPr>
      <w:pBdr>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4H4H412">
    <w:name w:val="样式 标题 4四H4H41 + 首行缩进:  2 字符"/>
    <w:basedOn w:val="41"/>
    <w:uiPriority w:val="99"/>
    <w:qFormat/>
    <w:pPr>
      <w:spacing w:afterLines="50" w:after="156"/>
      <w:ind w:leftChars="0" w:left="0" w:rightChars="0" w:right="0"/>
      <w:jc w:val="both"/>
    </w:pPr>
    <w:rPr>
      <w:rFonts w:ascii="Arial" w:eastAsia="宋体" w:hAnsi="Arial" w:cs="宋体"/>
      <w:b/>
      <w:snapToGrid w:val="0"/>
      <w:sz w:val="24"/>
      <w:szCs w:val="20"/>
    </w:rPr>
  </w:style>
  <w:style w:type="paragraph" w:customStyle="1" w:styleId="Char1CharCharChar1CharCharChar">
    <w:name w:val="Char1 Char Char Char1 Char Char Char"/>
    <w:basedOn w:val="a2"/>
    <w:uiPriority w:val="99"/>
    <w:qFormat/>
    <w:pPr>
      <w:spacing w:line="360" w:lineRule="auto"/>
      <w:ind w:firstLineChars="200" w:firstLine="200"/>
      <w:jc w:val="both"/>
    </w:pPr>
  </w:style>
  <w:style w:type="paragraph" w:customStyle="1" w:styleId="CharChar35">
    <w:name w:val="Char Char35"/>
    <w:basedOn w:val="a2"/>
    <w:uiPriority w:val="99"/>
    <w:qFormat/>
    <w:pPr>
      <w:ind w:firstLineChars="200" w:firstLine="200"/>
      <w:jc w:val="both"/>
    </w:pPr>
    <w:rPr>
      <w:rFonts w:ascii="Times New Roman"/>
    </w:rPr>
  </w:style>
  <w:style w:type="paragraph" w:customStyle="1" w:styleId="1fffffb">
    <w:name w:val="表标题1"/>
    <w:basedOn w:val="a2"/>
    <w:next w:val="a2"/>
    <w:uiPriority w:val="99"/>
    <w:qFormat/>
    <w:pPr>
      <w:spacing w:beforeLines="50" w:before="156" w:after="120" w:line="300" w:lineRule="auto"/>
      <w:jc w:val="center"/>
    </w:pPr>
    <w:rPr>
      <w:sz w:val="24"/>
    </w:rPr>
  </w:style>
  <w:style w:type="paragraph" w:customStyle="1" w:styleId="xl49">
    <w:name w:val="xl4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color w:val="000000"/>
      <w:sz w:val="24"/>
    </w:rPr>
  </w:style>
  <w:style w:type="paragraph" w:customStyle="1" w:styleId="xl54">
    <w:name w:val="xl54"/>
    <w:basedOn w:val="a2"/>
    <w:qFormat/>
    <w:pPr>
      <w:widowControl/>
      <w:pBdr>
        <w:left w:val="single" w:sz="8" w:space="0" w:color="auto"/>
        <w:bottom w:val="single" w:sz="4" w:space="0" w:color="auto"/>
      </w:pBdr>
      <w:spacing w:before="100" w:beforeAutospacing="1" w:after="100" w:afterAutospacing="1"/>
    </w:pPr>
    <w:rPr>
      <w:rFonts w:ascii="Arial Unicode MS" w:eastAsia="Arial Unicode MS" w:hAnsi="Arial Unicode MS" w:cs="Arial Unicode MS"/>
      <w:b/>
      <w:bCs/>
      <w:sz w:val="24"/>
    </w:rPr>
  </w:style>
  <w:style w:type="paragraph" w:customStyle="1" w:styleId="Char4CharCharChar">
    <w:name w:val="Char4 Char Char Char"/>
    <w:basedOn w:val="a2"/>
    <w:uiPriority w:val="99"/>
    <w:qFormat/>
    <w:pPr>
      <w:jc w:val="both"/>
    </w:pPr>
    <w:rPr>
      <w:sz w:val="24"/>
    </w:rPr>
  </w:style>
  <w:style w:type="paragraph" w:customStyle="1" w:styleId="3ff7">
    <w:name w:val="报告标3"/>
    <w:basedOn w:val="a2"/>
    <w:uiPriority w:val="99"/>
    <w:qFormat/>
    <w:pPr>
      <w:snapToGrid w:val="0"/>
      <w:spacing w:line="300" w:lineRule="auto"/>
      <w:ind w:firstLineChars="200" w:firstLine="200"/>
      <w:jc w:val="both"/>
    </w:pPr>
    <w:rPr>
      <w:rFonts w:ascii="宋体"/>
      <w:snapToGrid w:val="0"/>
    </w:rPr>
  </w:style>
  <w:style w:type="paragraph" w:customStyle="1" w:styleId="170">
    <w:name w:val="17"/>
    <w:basedOn w:val="a2"/>
    <w:next w:val="39"/>
    <w:qFormat/>
    <w:pPr>
      <w:spacing w:line="500" w:lineRule="exact"/>
      <w:ind w:firstLineChars="200" w:firstLine="560"/>
      <w:jc w:val="both"/>
    </w:pPr>
    <w:rPr>
      <w:rFonts w:ascii="仿宋_GB2312" w:eastAsia="仿宋_GB2312"/>
    </w:rPr>
  </w:style>
  <w:style w:type="paragraph" w:customStyle="1" w:styleId="3ff8">
    <w:name w:val="标3"/>
    <w:basedOn w:val="32"/>
    <w:next w:val="a2"/>
    <w:pPr>
      <w:spacing w:beforeLines="50" w:after="0" w:line="360" w:lineRule="auto"/>
      <w:ind w:firstLineChars="200" w:firstLine="560"/>
      <w:jc w:val="both"/>
      <w:textAlignment w:val="baseline"/>
      <w:outlineLvl w:val="9"/>
    </w:pPr>
    <w:rPr>
      <w:rFonts w:ascii="Times New Roman" w:eastAsia="黑体"/>
      <w:b w:val="0"/>
      <w:bCs w:val="0"/>
      <w:sz w:val="28"/>
      <w:szCs w:val="20"/>
    </w:rPr>
  </w:style>
  <w:style w:type="paragraph" w:customStyle="1" w:styleId="2242">
    <w:name w:val="样式 样式 样式 样式 样式 样式 样式 正文文字缩进 2 + 行距: 固定值 24 磅 + 首行缩进:  2 字符 + 首行缩..."/>
    <w:basedOn w:val="a2"/>
    <w:uiPriority w:val="99"/>
    <w:qFormat/>
    <w:pPr>
      <w:spacing w:line="360" w:lineRule="auto"/>
      <w:ind w:firstLineChars="200" w:firstLine="720"/>
      <w:jc w:val="both"/>
    </w:pPr>
    <w:rPr>
      <w:sz w:val="44"/>
    </w:rPr>
  </w:style>
  <w:style w:type="paragraph" w:customStyle="1" w:styleId="2fff7">
    <w:name w:val="正文(首行缩进2字)"/>
    <w:basedOn w:val="a2"/>
    <w:uiPriority w:val="99"/>
    <w:qFormat/>
    <w:pPr>
      <w:overflowPunct w:val="0"/>
      <w:snapToGrid w:val="0"/>
      <w:spacing w:before="60" w:after="60" w:line="300" w:lineRule="auto"/>
      <w:ind w:firstLineChars="200" w:firstLine="200"/>
      <w:jc w:val="both"/>
      <w:textAlignment w:val="baseline"/>
    </w:pPr>
    <w:rPr>
      <w:sz w:val="24"/>
    </w:rPr>
  </w:style>
  <w:style w:type="paragraph" w:customStyle="1" w:styleId="3ff9">
    <w:name w:val="范式3"/>
    <w:basedOn w:val="32"/>
    <w:uiPriority w:val="99"/>
    <w:qFormat/>
    <w:pPr>
      <w:spacing w:before="120" w:after="120" w:line="500" w:lineRule="exact"/>
      <w:textAlignment w:val="baseline"/>
    </w:pPr>
    <w:rPr>
      <w:rFonts w:ascii="Times New Roman" w:eastAsia="黑体"/>
      <w:b w:val="0"/>
      <w:bCs w:val="0"/>
      <w:spacing w:val="20"/>
      <w:sz w:val="30"/>
      <w:szCs w:val="20"/>
    </w:rPr>
  </w:style>
  <w:style w:type="paragraph" w:customStyle="1" w:styleId="affffffffffffffffff2">
    <w:name w:val="样式表格内字体"/>
    <w:basedOn w:val="a2"/>
    <w:qFormat/>
    <w:pPr>
      <w:spacing w:line="400" w:lineRule="exact"/>
      <w:jc w:val="center"/>
    </w:pPr>
    <w:rPr>
      <w:rFonts w:eastAsia="仿宋_GB2312" w:cs="宋体"/>
      <w:sz w:val="24"/>
    </w:rPr>
  </w:style>
  <w:style w:type="paragraph" w:customStyle="1" w:styleId="11">
    <w:name w:val="陈标题1"/>
    <w:basedOn w:val="a2"/>
    <w:next w:val="a2"/>
    <w:uiPriority w:val="99"/>
    <w:qFormat/>
    <w:pPr>
      <w:numPr>
        <w:numId w:val="4"/>
      </w:numPr>
      <w:spacing w:line="360" w:lineRule="auto"/>
      <w:ind w:rightChars="45" w:right="94"/>
      <w:jc w:val="both"/>
      <w:outlineLvl w:val="0"/>
    </w:pPr>
    <w:rPr>
      <w:b/>
      <w:sz w:val="44"/>
      <w:szCs w:val="48"/>
    </w:rPr>
  </w:style>
  <w:style w:type="paragraph" w:customStyle="1" w:styleId="CM66">
    <w:name w:val="CM66"/>
    <w:basedOn w:val="Default"/>
    <w:next w:val="Default"/>
    <w:pPr>
      <w:spacing w:beforeLines="0" w:before="0" w:afterLines="0" w:after="0" w:line="500" w:lineRule="atLeast"/>
      <w:ind w:firstLineChars="0" w:firstLine="0"/>
      <w:jc w:val="both"/>
    </w:pPr>
    <w:rPr>
      <w:rFonts w:ascii="黑体" w:eastAsia="黑体" w:cs="Times New Roman"/>
      <w:color w:val="auto"/>
    </w:rPr>
  </w:style>
  <w:style w:type="paragraph" w:customStyle="1" w:styleId="1111CharCharCharChar111Char">
    <w:name w:val="样式 标题 11.标题 1一、标题 1 Char Char Char Char1 南陵标题 1标题 1 Char标题..."/>
    <w:basedOn w:val="12"/>
    <w:uiPriority w:val="99"/>
    <w:qFormat/>
    <w:pPr>
      <w:tabs>
        <w:tab w:val="left" w:pos="0"/>
      </w:tabs>
      <w:snapToGrid w:val="0"/>
      <w:spacing w:beforeLines="100" w:before="312" w:line="240" w:lineRule="auto"/>
      <w:textAlignment w:val="bottom"/>
    </w:pPr>
    <w:rPr>
      <w:rFonts w:ascii="Arial" w:eastAsia="宋体" w:cs="Arial"/>
      <w:b/>
      <w:bCs w:val="0"/>
      <w:color w:val="000000"/>
      <w:sz w:val="28"/>
      <w:szCs w:val="44"/>
    </w:rPr>
  </w:style>
  <w:style w:type="paragraph" w:customStyle="1" w:styleId="affffffffffffffffff3">
    <w:name w:val="多行表格样式(居中)"/>
    <w:uiPriority w:val="99"/>
    <w:qFormat/>
    <w:pPr>
      <w:spacing w:line="240" w:lineRule="exact"/>
      <w:jc w:val="center"/>
    </w:pPr>
    <w:rPr>
      <w:rFonts w:ascii="Times New Roman" w:eastAsia="宋体" w:hAnsi="Times New Roman" w:cs="Times New Roman"/>
      <w:kern w:val="2"/>
      <w:sz w:val="21"/>
      <w:szCs w:val="28"/>
    </w:rPr>
  </w:style>
  <w:style w:type="paragraph" w:customStyle="1" w:styleId="2121213">
    <w:name w:val="样式 标题 2 + 两端对齐 段前: 12 磅 段后: 12 磅 行距: 多倍行距 1.3 字行"/>
    <w:basedOn w:val="22"/>
    <w:uiPriority w:val="99"/>
    <w:qFormat/>
    <w:pPr>
      <w:keepNext w:val="0"/>
      <w:keepLines w:val="0"/>
      <w:tabs>
        <w:tab w:val="left" w:pos="432"/>
      </w:tabs>
      <w:spacing w:before="120" w:after="120" w:line="312" w:lineRule="auto"/>
      <w:ind w:left="432" w:hanging="432"/>
      <w:textAlignment w:val="baseline"/>
    </w:pPr>
    <w:rPr>
      <w:rFonts w:ascii="Times New Roman" w:eastAsia="仿宋_GB2312" w:hAnsi="Times New Roman" w:cs="Times New Roman"/>
      <w:b w:val="0"/>
      <w:bCs w:val="0"/>
      <w:color w:val="000000"/>
      <w:sz w:val="28"/>
      <w:szCs w:val="30"/>
    </w:rPr>
  </w:style>
  <w:style w:type="paragraph" w:customStyle="1" w:styleId="Char440">
    <w:name w:val="Char44"/>
    <w:basedOn w:val="a2"/>
    <w:uiPriority w:val="99"/>
    <w:qFormat/>
    <w:pPr>
      <w:jc w:val="both"/>
    </w:pPr>
    <w:rPr>
      <w:color w:val="000000"/>
    </w:rPr>
  </w:style>
  <w:style w:type="paragraph" w:customStyle="1" w:styleId="affffffffffffffffff4">
    <w:name w:val="自动表头"/>
    <w:basedOn w:val="a2"/>
    <w:uiPriority w:val="99"/>
    <w:qFormat/>
    <w:pPr>
      <w:spacing w:line="360" w:lineRule="auto"/>
      <w:jc w:val="both"/>
    </w:pPr>
    <w:rPr>
      <w:rFonts w:ascii="黑体" w:eastAsia="黑体" w:hAnsi="宋体"/>
      <w:color w:val="000000"/>
    </w:rPr>
  </w:style>
  <w:style w:type="paragraph" w:customStyle="1" w:styleId="CChar0">
    <w:name w:val="C Char"/>
    <w:basedOn w:val="BChar1"/>
    <w:next w:val="aaCharCharChar"/>
    <w:uiPriority w:val="99"/>
    <w:qFormat/>
    <w:pPr>
      <w:spacing w:beforeLines="0" w:before="0"/>
      <w:outlineLvl w:val="2"/>
    </w:pPr>
  </w:style>
  <w:style w:type="paragraph" w:customStyle="1" w:styleId="WPSPlain">
    <w:name w:val="WPS Plain"/>
    <w:qFormat/>
    <w:pPr>
      <w:spacing w:beforeLines="50" w:before="50" w:afterLines="50" w:after="50" w:line="360" w:lineRule="auto"/>
      <w:ind w:firstLineChars="40" w:firstLine="40"/>
    </w:pPr>
    <w:rPr>
      <w:rFonts w:ascii="Times New Roman" w:eastAsia="宋体" w:hAnsi="Times New Roman" w:cs="Times New Roman"/>
    </w:rPr>
  </w:style>
  <w:style w:type="paragraph" w:customStyle="1" w:styleId="CharChar1CharCharCharCharCharCharCharCharCharCharCharCharChar">
    <w:name w:val="Char Char1 Char Char Char Char Char Char Char Char Char Char Char Char Char"/>
    <w:basedOn w:val="a2"/>
    <w:pPr>
      <w:spacing w:line="360" w:lineRule="auto"/>
      <w:ind w:firstLineChars="200" w:firstLine="200"/>
      <w:jc w:val="both"/>
    </w:pPr>
    <w:rPr>
      <w:rFonts w:ascii="宋体" w:hAnsi="宋体" w:cs="宋体"/>
      <w:sz w:val="24"/>
    </w:rPr>
  </w:style>
  <w:style w:type="paragraph" w:customStyle="1" w:styleId="3ffa">
    <w:name w:val="列出段落3"/>
    <w:basedOn w:val="a2"/>
    <w:uiPriority w:val="99"/>
    <w:qFormat/>
    <w:pPr>
      <w:ind w:firstLineChars="200" w:firstLine="420"/>
      <w:jc w:val="both"/>
    </w:pPr>
    <w:rPr>
      <w:rFonts w:ascii="Calibri" w:hAnsi="Calibri"/>
      <w:szCs w:val="22"/>
    </w:rPr>
  </w:style>
  <w:style w:type="paragraph" w:customStyle="1" w:styleId="CharCharCharCharCharChar1CharCharCharCharCharCharChar">
    <w:name w:val="Char Char Char Char Char Char1 Char Char Char Char Char Char Char"/>
    <w:basedOn w:val="a2"/>
    <w:pPr>
      <w:jc w:val="both"/>
    </w:pPr>
    <w:rPr>
      <w:rFonts w:ascii="Times New Roman"/>
    </w:rPr>
  </w:style>
  <w:style w:type="paragraph" w:customStyle="1" w:styleId="CharCharCharCharCharChar1Char4">
    <w:name w:val="Char Char Char Char Char Char1 Char4"/>
    <w:basedOn w:val="a2"/>
    <w:qFormat/>
    <w:pPr>
      <w:spacing w:line="360" w:lineRule="auto"/>
      <w:ind w:firstLineChars="200" w:firstLine="200"/>
      <w:jc w:val="both"/>
    </w:pPr>
    <w:rPr>
      <w:rFonts w:ascii="宋体" w:hAnsi="宋体" w:cs="宋体"/>
      <w:sz w:val="24"/>
    </w:rPr>
  </w:style>
  <w:style w:type="paragraph" w:customStyle="1" w:styleId="CM81">
    <w:name w:val="CM81"/>
    <w:basedOn w:val="a2"/>
    <w:next w:val="a2"/>
    <w:qFormat/>
    <w:pPr>
      <w:spacing w:after="298"/>
    </w:pPr>
    <w:rPr>
      <w:rFonts w:ascii="Arial Unicode MS" w:eastAsia="Arial Unicode MS"/>
      <w:sz w:val="20"/>
    </w:rPr>
  </w:style>
  <w:style w:type="paragraph" w:customStyle="1" w:styleId="CharCharCharCharCharCharCharCharChar1CharCharCharCharCharCharCharCharChar1CharCharCharCharCharCharCharCharCharChar2">
    <w:name w:val="Char Char Char Char Char Char Char Char Char1 Char Char Char Char Char Char Char Char Char1 Char Char Char Char Char Char Char Char Char Char2"/>
    <w:basedOn w:val="a2"/>
    <w:uiPriority w:val="99"/>
    <w:qFormat/>
    <w:pPr>
      <w:jc w:val="both"/>
    </w:pPr>
    <w:rPr>
      <w:rFonts w:ascii="Times New Roman"/>
    </w:rPr>
  </w:style>
  <w:style w:type="paragraph" w:customStyle="1" w:styleId="GB231204">
    <w:name w:val="样式 (西文) 宋体 (中文) 仿宋_GB2312 五号 黑色 居中 首行缩进:  0 厘米 行距: 单倍行距4"/>
    <w:basedOn w:val="a2"/>
    <w:uiPriority w:val="99"/>
    <w:qFormat/>
    <w:pPr>
      <w:jc w:val="center"/>
    </w:pPr>
    <w:rPr>
      <w:rFonts w:ascii="宋体" w:hAnsi="宋体"/>
      <w:color w:val="000000"/>
    </w:rPr>
  </w:style>
  <w:style w:type="paragraph" w:customStyle="1" w:styleId="Tabletext16">
    <w:name w:val="Table text16"/>
    <w:basedOn w:val="a2"/>
    <w:uiPriority w:val="99"/>
    <w:qFormat/>
    <w:pPr>
      <w:spacing w:before="80" w:after="80"/>
    </w:pPr>
    <w:rPr>
      <w:sz w:val="22"/>
      <w:lang w:eastAsia="en-US"/>
    </w:rPr>
  </w:style>
  <w:style w:type="paragraph" w:customStyle="1" w:styleId="12b">
    <w:name w:val="表格内字体12"/>
    <w:basedOn w:val="affffffff6"/>
    <w:uiPriority w:val="99"/>
    <w:qFormat/>
    <w:pPr>
      <w:spacing w:line="240" w:lineRule="auto"/>
      <w:ind w:firstLine="0"/>
      <w:jc w:val="center"/>
    </w:pPr>
    <w:rPr>
      <w:sz w:val="21"/>
      <w:szCs w:val="20"/>
    </w:rPr>
  </w:style>
  <w:style w:type="paragraph" w:customStyle="1" w:styleId="affffffffffffffffff5">
    <w:name w:val="图形标题"/>
    <w:basedOn w:val="a2"/>
    <w:next w:val="a2"/>
    <w:uiPriority w:val="99"/>
    <w:qFormat/>
    <w:pPr>
      <w:spacing w:line="288" w:lineRule="auto"/>
      <w:jc w:val="center"/>
    </w:pPr>
    <w:rPr>
      <w:rFonts w:ascii="仿宋_GB2312" w:eastAsia="仿宋_GB2312" w:hAnsi="宋体"/>
      <w:sz w:val="24"/>
    </w:rPr>
  </w:style>
  <w:style w:type="paragraph" w:customStyle="1" w:styleId="Char2CharCharCharCharCharChar3">
    <w:name w:val="Char2 Char Char Char Char Char Char3"/>
    <w:basedOn w:val="a2"/>
    <w:uiPriority w:val="99"/>
    <w:qFormat/>
    <w:pPr>
      <w:jc w:val="both"/>
    </w:pPr>
  </w:style>
  <w:style w:type="paragraph" w:customStyle="1" w:styleId="affffffffffffffffff6">
    <w:name w:val="正方"/>
    <w:basedOn w:val="a2"/>
    <w:uiPriority w:val="99"/>
    <w:qFormat/>
    <w:pPr>
      <w:tabs>
        <w:tab w:val="left" w:pos="240"/>
      </w:tabs>
      <w:spacing w:line="360" w:lineRule="auto"/>
      <w:jc w:val="both"/>
    </w:pPr>
    <w:rPr>
      <w:rFonts w:ascii="Bookman Old Style" w:hAnsi="Bookman Old Style" w:cs="Arial"/>
      <w:sz w:val="24"/>
    </w:rPr>
  </w:style>
  <w:style w:type="paragraph" w:customStyle="1" w:styleId="xl67">
    <w:name w:val="xl67"/>
    <w:basedOn w:val="a2"/>
    <w:qFormat/>
    <w:pPr>
      <w:widowControl/>
      <w:pBdr>
        <w:left w:val="single" w:sz="4" w:space="0" w:color="auto"/>
      </w:pBdr>
      <w:spacing w:before="100" w:beforeAutospacing="1" w:after="100" w:afterAutospacing="1"/>
      <w:jc w:val="center"/>
    </w:pPr>
    <w:rPr>
      <w:rFonts w:ascii="宋体" w:hAnsi="宋体"/>
      <w:sz w:val="24"/>
    </w:rPr>
  </w:style>
  <w:style w:type="paragraph" w:customStyle="1" w:styleId="CharCharffffff">
    <w:name w:val="批注文字 Char Char"/>
    <w:basedOn w:val="a2"/>
    <w:qFormat/>
    <w:pPr>
      <w:spacing w:line="351" w:lineRule="atLeast"/>
      <w:ind w:firstLine="419"/>
    </w:pPr>
    <w:rPr>
      <w:rFonts w:hAnsi="宋体"/>
    </w:rPr>
  </w:style>
  <w:style w:type="paragraph" w:customStyle="1" w:styleId="4143104">
    <w:name w:val="样式 标题 4标题 14 + 加粗 无下划线 自动设置 段前: 3 磅 段后: 10 磅4"/>
    <w:basedOn w:val="41"/>
    <w:uiPriority w:val="99"/>
    <w:qFormat/>
    <w:pPr>
      <w:keepLines w:val="0"/>
      <w:tabs>
        <w:tab w:val="left" w:pos="2400"/>
      </w:tabs>
      <w:snapToGrid w:val="0"/>
      <w:spacing w:beforeLines="0" w:before="60" w:after="200" w:line="240" w:lineRule="auto"/>
      <w:ind w:leftChars="0" w:left="2400" w:rightChars="0" w:right="0" w:hanging="420"/>
      <w:jc w:val="both"/>
    </w:pPr>
    <w:rPr>
      <w:rFonts w:ascii="Times New Roman" w:eastAsia="宋体"/>
      <w:color w:val="000000"/>
      <w:sz w:val="24"/>
      <w:szCs w:val="20"/>
    </w:rPr>
  </w:style>
  <w:style w:type="paragraph" w:customStyle="1" w:styleId="Char2CharCharCharCharCharCharCharCharCharCharChar1CharCharCharCharCharCharChar3">
    <w:name w:val="Char2 Char Char Char Char Char Char Char Char Char Char Char1 Char Char Char Char Char Char Char3"/>
    <w:basedOn w:val="a2"/>
    <w:uiPriority w:val="99"/>
    <w:qFormat/>
    <w:pPr>
      <w:jc w:val="both"/>
    </w:pPr>
  </w:style>
  <w:style w:type="paragraph" w:customStyle="1" w:styleId="ParaCharCharChar1CharCharCharCharCharCharCharCharCharCharCharChar1">
    <w:name w:val="默认段落字体 Para Char Char Char1 Char Char Char Char Char Char Char Char Char Char Char Char1"/>
    <w:basedOn w:val="a2"/>
    <w:uiPriority w:val="99"/>
    <w:qFormat/>
    <w:pPr>
      <w:jc w:val="both"/>
    </w:pPr>
    <w:rPr>
      <w:sz w:val="24"/>
    </w:rPr>
  </w:style>
  <w:style w:type="paragraph" w:customStyle="1" w:styleId="Style48">
    <w:name w:val="_Style 48"/>
    <w:basedOn w:val="a2"/>
    <w:next w:val="aff6"/>
    <w:uiPriority w:val="99"/>
    <w:qFormat/>
    <w:pPr>
      <w:spacing w:before="100" w:beforeAutospacing="1" w:after="100" w:afterAutospacing="1"/>
    </w:pPr>
    <w:rPr>
      <w:rFonts w:ascii="宋体" w:hint="eastAsia"/>
      <w:color w:val="000000"/>
      <w:sz w:val="24"/>
    </w:rPr>
  </w:style>
  <w:style w:type="paragraph" w:customStyle="1" w:styleId="Char2CharChar1CharCharCharChar">
    <w:name w:val="Char2 Char Char1 Char Char Char Char"/>
    <w:basedOn w:val="a2"/>
    <w:semiHidden/>
    <w:pPr>
      <w:jc w:val="both"/>
    </w:pPr>
    <w:rPr>
      <w:sz w:val="24"/>
    </w:rPr>
  </w:style>
  <w:style w:type="paragraph" w:customStyle="1" w:styleId="2190">
    <w:name w:val="样式 列表 2 + 宋体 小四 行距: 固定值 19 磅"/>
    <w:basedOn w:val="24"/>
    <w:qFormat/>
    <w:pPr>
      <w:spacing w:line="400" w:lineRule="exact"/>
      <w:ind w:leftChars="0" w:left="0" w:firstLineChars="0" w:firstLine="0"/>
      <w:jc w:val="center"/>
    </w:pPr>
    <w:rPr>
      <w:rFonts w:ascii="宋体" w:hAnsi="宋体" w:cs="宋体"/>
      <w:sz w:val="24"/>
    </w:rPr>
  </w:style>
  <w:style w:type="paragraph" w:customStyle="1" w:styleId="21b">
    <w:name w:val="批注主题21"/>
    <w:basedOn w:val="af1"/>
    <w:next w:val="af1"/>
    <w:uiPriority w:val="99"/>
    <w:qFormat/>
    <w:rPr>
      <w:rFonts w:ascii="Courier New" w:eastAsia="宋体" w:hAnsi="Courier New" w:hint="eastAsia"/>
      <w:b/>
      <w:sz w:val="20"/>
    </w:rPr>
  </w:style>
  <w:style w:type="paragraph" w:customStyle="1" w:styleId="06">
    <w:name w:val="0正文"/>
    <w:basedOn w:val="a2"/>
    <w:qFormat/>
    <w:pPr>
      <w:snapToGrid w:val="0"/>
      <w:spacing w:line="360" w:lineRule="auto"/>
      <w:ind w:firstLineChars="200" w:firstLine="480"/>
      <w:jc w:val="both"/>
    </w:pPr>
    <w:rPr>
      <w:sz w:val="24"/>
      <w:szCs w:val="22"/>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2"/>
    <w:uiPriority w:val="99"/>
    <w:qFormat/>
    <w:pPr>
      <w:jc w:val="both"/>
    </w:pPr>
    <w:rPr>
      <w:sz w:val="24"/>
    </w:rPr>
  </w:style>
  <w:style w:type="paragraph" w:customStyle="1" w:styleId="affffffffffffffffff7">
    <w:name w:val="封面标准文稿编辑信息"/>
    <w:qFormat/>
    <w:pPr>
      <w:spacing w:before="180" w:line="180" w:lineRule="exact"/>
      <w:jc w:val="center"/>
    </w:pPr>
    <w:rPr>
      <w:rFonts w:ascii="Times New Roman" w:eastAsia="宋体" w:hAnsi="Times New Roman" w:cs="Times New Roman"/>
      <w:sz w:val="21"/>
    </w:rPr>
  </w:style>
  <w:style w:type="paragraph" w:customStyle="1" w:styleId="book11">
    <w:name w:val="book1_1"/>
    <w:basedOn w:val="22"/>
    <w:qFormat/>
    <w:pPr>
      <w:keepNext w:val="0"/>
      <w:numPr>
        <w:ilvl w:val="1"/>
        <w:numId w:val="13"/>
      </w:numPr>
      <w:tabs>
        <w:tab w:val="clear" w:pos="1275"/>
        <w:tab w:val="left" w:pos="622"/>
      </w:tabs>
      <w:spacing w:before="156" w:after="156" w:line="240" w:lineRule="auto"/>
      <w:ind w:left="0" w:firstLine="0"/>
    </w:pPr>
    <w:rPr>
      <w:rFonts w:ascii="Arial" w:eastAsia="黑体" w:hAnsi="Arial" w:cs="Times New Roman"/>
      <w:b w:val="0"/>
      <w:sz w:val="24"/>
      <w:shd w:val="pct10" w:color="auto" w:fill="FFFFFF"/>
    </w:rPr>
  </w:style>
  <w:style w:type="paragraph" w:customStyle="1" w:styleId="1fffffc">
    <w:name w:val="标1"/>
    <w:basedOn w:val="12"/>
    <w:next w:val="a2"/>
    <w:pPr>
      <w:spacing w:before="340" w:after="330" w:line="480" w:lineRule="auto"/>
      <w:ind w:right="11"/>
      <w:jc w:val="center"/>
      <w:textAlignment w:val="baseline"/>
      <w:outlineLvl w:val="9"/>
    </w:pPr>
    <w:rPr>
      <w:rFonts w:ascii="Verdana" w:eastAsia="Arial" w:hAnsi="Verdana" w:cs="Verdana"/>
      <w:bCs w:val="0"/>
      <w:sz w:val="36"/>
      <w:szCs w:val="20"/>
    </w:rPr>
  </w:style>
  <w:style w:type="paragraph" w:customStyle="1" w:styleId="11c">
    <w:name w:val="样式11"/>
    <w:basedOn w:val="a2"/>
    <w:qFormat/>
    <w:pPr>
      <w:tabs>
        <w:tab w:val="left" w:pos="720"/>
      </w:tabs>
      <w:snapToGrid w:val="0"/>
      <w:spacing w:line="312" w:lineRule="auto"/>
      <w:ind w:left="720" w:hanging="720"/>
      <w:jc w:val="both"/>
    </w:pPr>
    <w:rPr>
      <w:rFonts w:ascii="仿宋_GB2312" w:eastAsia="仿宋_GB2312"/>
    </w:rPr>
  </w:style>
  <w:style w:type="paragraph" w:customStyle="1" w:styleId="5f0">
    <w:name w:val="5"/>
    <w:basedOn w:val="a2"/>
    <w:next w:val="af5"/>
    <w:qFormat/>
    <w:pPr>
      <w:spacing w:line="500" w:lineRule="exact"/>
      <w:ind w:firstLineChars="200" w:firstLine="560"/>
      <w:jc w:val="both"/>
    </w:pPr>
    <w:rPr>
      <w:rFonts w:ascii="仿宋_GB2312" w:eastAsia="仿宋_GB2312"/>
      <w:color w:val="FF0000"/>
    </w:rPr>
  </w:style>
  <w:style w:type="paragraph" w:customStyle="1" w:styleId="MyList-4">
    <w:name w:val="MyList-4"/>
    <w:basedOn w:val="MyList-3"/>
    <w:uiPriority w:val="99"/>
    <w:qFormat/>
    <w:pPr>
      <w:numPr>
        <w:ilvl w:val="3"/>
      </w:numPr>
    </w:pPr>
  </w:style>
  <w:style w:type="paragraph" w:customStyle="1" w:styleId="MyList-3">
    <w:name w:val="MyList-3"/>
    <w:basedOn w:val="MyList-2"/>
    <w:uiPriority w:val="99"/>
    <w:qFormat/>
    <w:pPr>
      <w:numPr>
        <w:ilvl w:val="2"/>
      </w:numPr>
      <w:tabs>
        <w:tab w:val="clear" w:pos="794"/>
      </w:tabs>
      <w:spacing w:beforeLines="0" w:before="0"/>
      <w:outlineLvl w:val="2"/>
    </w:pPr>
    <w:rPr>
      <w:b w:val="0"/>
    </w:rPr>
  </w:style>
  <w:style w:type="paragraph" w:customStyle="1" w:styleId="reader-word-layerreader-word-s1-2">
    <w:name w:val="reader-word-layer reader-word-s1-2"/>
    <w:basedOn w:val="a2"/>
    <w:pPr>
      <w:widowControl/>
      <w:autoSpaceDE/>
      <w:autoSpaceDN/>
      <w:adjustRightInd/>
      <w:spacing w:before="100" w:beforeAutospacing="1" w:after="100" w:afterAutospacing="1"/>
    </w:pPr>
    <w:rPr>
      <w:rFonts w:ascii="宋体" w:hAnsi="宋体" w:cs="宋体"/>
    </w:rPr>
  </w:style>
  <w:style w:type="paragraph" w:customStyle="1" w:styleId="affffffffffffffffff8">
    <w:name w:val="！报告正文"/>
    <w:basedOn w:val="a2"/>
    <w:uiPriority w:val="99"/>
    <w:qFormat/>
    <w:pPr>
      <w:spacing w:after="200" w:line="360" w:lineRule="auto"/>
      <w:ind w:firstLineChars="200" w:firstLine="420"/>
    </w:pPr>
    <w:rPr>
      <w:rFonts w:ascii="Calibri" w:hAnsi="Calibri"/>
      <w:sz w:val="22"/>
      <w:szCs w:val="22"/>
      <w:lang w:eastAsia="en-US" w:bidi="en-US"/>
    </w:rPr>
  </w:style>
  <w:style w:type="paragraph" w:customStyle="1" w:styleId="CharCharCharChar30">
    <w:name w:val="Char Char Char Char3"/>
    <w:basedOn w:val="a2"/>
    <w:qFormat/>
    <w:pPr>
      <w:widowControl/>
      <w:shd w:val="clear" w:color="auto" w:fill="000080"/>
      <w:snapToGrid w:val="0"/>
      <w:spacing w:line="360" w:lineRule="auto"/>
    </w:pPr>
    <w:rPr>
      <w:rFonts w:ascii="Tahoma" w:hAnsi="Tahoma" w:cs="宋体"/>
      <w:shd w:val="clear" w:color="auto" w:fill="000080"/>
    </w:rPr>
  </w:style>
  <w:style w:type="paragraph" w:customStyle="1" w:styleId="Char2CharCharChar">
    <w:name w:val="Char2 Char Char Char"/>
    <w:basedOn w:val="a2"/>
    <w:semiHidden/>
    <w:pPr>
      <w:jc w:val="both"/>
    </w:pPr>
    <w:rPr>
      <w:sz w:val="24"/>
    </w:rPr>
  </w:style>
  <w:style w:type="paragraph" w:customStyle="1" w:styleId="3TimesNewRoman">
    <w:name w:val="样式 标题3 + Times New Roman"/>
    <w:basedOn w:val="32"/>
    <w:qFormat/>
    <w:pPr>
      <w:keepNext w:val="0"/>
      <w:keepLines w:val="0"/>
      <w:spacing w:before="0" w:after="0" w:line="500" w:lineRule="exact"/>
      <w:jc w:val="both"/>
      <w:textAlignment w:val="baseline"/>
      <w:outlineLvl w:val="9"/>
    </w:pPr>
    <w:rPr>
      <w:rFonts w:ascii="Times New Roman" w:eastAsia="宋体"/>
      <w:sz w:val="28"/>
      <w:szCs w:val="20"/>
    </w:rPr>
  </w:style>
  <w:style w:type="paragraph" w:customStyle="1" w:styleId="223">
    <w:name w:val="纯文本22"/>
    <w:basedOn w:val="a2"/>
    <w:uiPriority w:val="99"/>
    <w:qFormat/>
    <w:pPr>
      <w:jc w:val="both"/>
      <w:textAlignment w:val="baseline"/>
    </w:pPr>
    <w:rPr>
      <w:rFonts w:hAnsi="Courier New"/>
    </w:rPr>
  </w:style>
  <w:style w:type="paragraph" w:customStyle="1" w:styleId="2825">
    <w:name w:val="样式 样式 行距: 固定值 28 磅 + 首行缩进:  2.5 字符"/>
    <w:basedOn w:val="280"/>
    <w:uiPriority w:val="99"/>
    <w:qFormat/>
    <w:pPr>
      <w:spacing w:line="312" w:lineRule="auto"/>
    </w:pPr>
  </w:style>
  <w:style w:type="paragraph" w:customStyle="1" w:styleId="07715">
    <w:name w:val="样式 首行缩进:  0.77 厘米 行距: 1.5 倍行距"/>
    <w:basedOn w:val="a2"/>
    <w:uiPriority w:val="99"/>
    <w:qFormat/>
    <w:pPr>
      <w:spacing w:line="360" w:lineRule="auto"/>
      <w:ind w:firstLine="435"/>
      <w:jc w:val="both"/>
    </w:pPr>
    <w:rPr>
      <w:rFonts w:ascii="宋体" w:hAnsi="宋体" w:cs="宋体"/>
      <w:snapToGrid w:val="0"/>
      <w:sz w:val="24"/>
    </w:rPr>
  </w:style>
  <w:style w:type="paragraph" w:customStyle="1" w:styleId="Char1CharCharCharCharCharChar1CharCharChar4">
    <w:name w:val="Char1 Char Char Char Char Char Char1 Char Char Char4"/>
    <w:basedOn w:val="a2"/>
    <w:next w:val="a2"/>
    <w:pPr>
      <w:spacing w:line="360" w:lineRule="auto"/>
      <w:ind w:firstLineChars="200" w:firstLine="200"/>
      <w:jc w:val="center"/>
    </w:pPr>
    <w:rPr>
      <w:rFonts w:eastAsia="黑体"/>
    </w:rPr>
  </w:style>
  <w:style w:type="paragraph" w:customStyle="1" w:styleId="iceant">
    <w:name w:val="iceant内"/>
    <w:basedOn w:val="a2"/>
    <w:qFormat/>
    <w:pPr>
      <w:jc w:val="center"/>
    </w:pPr>
  </w:style>
  <w:style w:type="paragraph" w:customStyle="1" w:styleId="affffffffffffffffff9">
    <w:name w:val="表体"/>
    <w:basedOn w:val="a2"/>
    <w:qFormat/>
    <w:pPr>
      <w:spacing w:before="40" w:after="40"/>
      <w:jc w:val="center"/>
    </w:pPr>
  </w:style>
  <w:style w:type="paragraph" w:customStyle="1" w:styleId="1fffffd">
    <w:name w:val="批注主题1"/>
    <w:basedOn w:val="af1"/>
    <w:next w:val="af1"/>
    <w:uiPriority w:val="99"/>
    <w:qFormat/>
    <w:pPr>
      <w:textAlignment w:val="baseline"/>
    </w:pPr>
    <w:rPr>
      <w:rFonts w:ascii="宋体" w:eastAsia="宋体" w:hAnsi="宋体" w:hint="eastAsia"/>
      <w:b/>
      <w:sz w:val="24"/>
    </w:rPr>
  </w:style>
  <w:style w:type="paragraph" w:customStyle="1" w:styleId="4f2">
    <w:name w:val="论文标题4"/>
    <w:basedOn w:val="3ffb"/>
    <w:uiPriority w:val="99"/>
    <w:qFormat/>
    <w:pPr>
      <w:spacing w:afterLines="20" w:after="62"/>
    </w:pPr>
    <w:rPr>
      <w:rFonts w:ascii="Times New Roman" w:hAnsi="Times New Roman"/>
      <w:sz w:val="25"/>
    </w:rPr>
  </w:style>
  <w:style w:type="paragraph" w:customStyle="1" w:styleId="3ffb">
    <w:name w:val="论文标题3"/>
    <w:basedOn w:val="a2"/>
    <w:uiPriority w:val="99"/>
    <w:qFormat/>
    <w:pPr>
      <w:snapToGrid w:val="0"/>
      <w:spacing w:before="120" w:after="120" w:line="360" w:lineRule="auto"/>
      <w:ind w:firstLineChars="200" w:firstLine="200"/>
      <w:jc w:val="both"/>
    </w:pPr>
    <w:rPr>
      <w:rFonts w:eastAsia="黑体" w:hAnsi="Arial"/>
    </w:rPr>
  </w:style>
  <w:style w:type="paragraph" w:customStyle="1" w:styleId="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1"/>
    <w:basedOn w:val="a2"/>
    <w:uiPriority w:val="99"/>
    <w:qFormat/>
    <w:pPr>
      <w:jc w:val="both"/>
    </w:pPr>
    <w:rPr>
      <w:rFonts w:ascii="Times New Roman"/>
    </w:rPr>
  </w:style>
  <w:style w:type="paragraph" w:customStyle="1" w:styleId="003">
    <w:name w:val="标题003"/>
    <w:basedOn w:val="a2"/>
    <w:uiPriority w:val="99"/>
    <w:qFormat/>
    <w:pPr>
      <w:spacing w:before="120" w:line="440" w:lineRule="exact"/>
      <w:jc w:val="both"/>
      <w:outlineLvl w:val="2"/>
    </w:pPr>
    <w:rPr>
      <w:b/>
      <w:sz w:val="27"/>
    </w:rPr>
  </w:style>
  <w:style w:type="paragraph" w:customStyle="1" w:styleId="affffffffffffffffffa">
    <w:name w:val="小五"/>
    <w:basedOn w:val="a2"/>
    <w:uiPriority w:val="99"/>
    <w:qFormat/>
    <w:pPr>
      <w:snapToGrid w:val="0"/>
    </w:pPr>
    <w:rPr>
      <w:rFonts w:ascii="仿宋_GB2312" w:eastAsia="仿宋_GB2312"/>
      <w:bCs/>
      <w:snapToGrid w:val="0"/>
      <w:sz w:val="18"/>
    </w:rPr>
  </w:style>
  <w:style w:type="paragraph" w:customStyle="1" w:styleId="2CharCharf0">
    <w:name w:val="目录 2 Char Char"/>
    <w:basedOn w:val="a2"/>
    <w:next w:val="a2"/>
    <w:qFormat/>
    <w:pPr>
      <w:spacing w:line="351" w:lineRule="atLeast"/>
      <w:ind w:left="209" w:firstLine="419"/>
    </w:pPr>
    <w:rPr>
      <w:rFonts w:hAnsi="宋体"/>
    </w:rPr>
  </w:style>
  <w:style w:type="paragraph" w:customStyle="1" w:styleId="11d">
    <w:name w:val="批注框文本11"/>
    <w:basedOn w:val="a2"/>
    <w:uiPriority w:val="99"/>
    <w:qFormat/>
    <w:pPr>
      <w:spacing w:after="120" w:line="440" w:lineRule="exact"/>
      <w:jc w:val="both"/>
    </w:pPr>
    <w:rPr>
      <w:rFonts w:hAnsi="Arial" w:hint="eastAsia"/>
      <w:sz w:val="18"/>
    </w:rPr>
  </w:style>
  <w:style w:type="paragraph" w:customStyle="1" w:styleId="1fffffe">
    <w:name w:val="小四居中行1"/>
    <w:basedOn w:val="a2"/>
    <w:uiPriority w:val="99"/>
    <w:qFormat/>
    <w:pPr>
      <w:ind w:left="140"/>
      <w:jc w:val="center"/>
    </w:pPr>
    <w:rPr>
      <w:rFonts w:ascii="宋体" w:eastAsia="仿宋_GB2312"/>
      <w:sz w:val="24"/>
    </w:rPr>
  </w:style>
  <w:style w:type="paragraph" w:customStyle="1" w:styleId="331">
    <w:name w:val="字元 字元3 字元3"/>
    <w:basedOn w:val="a2"/>
    <w:next w:val="a2"/>
    <w:pPr>
      <w:spacing w:line="360" w:lineRule="auto"/>
      <w:ind w:firstLineChars="200" w:firstLine="200"/>
      <w:jc w:val="both"/>
    </w:pPr>
  </w:style>
  <w:style w:type="paragraph" w:customStyle="1" w:styleId="221121TimesNewRoman81">
    <w:name w:val="样式 标题 2标题 21标题 121 + Times New Roman 小三 非加粗 黑色 段前: 8 磅 段...1"/>
    <w:basedOn w:val="22"/>
    <w:uiPriority w:val="99"/>
    <w:qFormat/>
    <w:pPr>
      <w:spacing w:before="160" w:after="160" w:line="240" w:lineRule="auto"/>
      <w:ind w:left="2507" w:hanging="1247"/>
      <w:jc w:val="both"/>
    </w:pPr>
    <w:rPr>
      <w:rFonts w:ascii="Times New Roman" w:eastAsia="黑体" w:hAnsi="Times New Roman" w:cs="Times New Roman"/>
      <w:bCs w:val="0"/>
      <w:color w:val="000000"/>
      <w:sz w:val="30"/>
      <w:szCs w:val="30"/>
    </w:rPr>
  </w:style>
  <w:style w:type="paragraph" w:customStyle="1" w:styleId="Char1CharCharCharCharCharChar14">
    <w:name w:val="Char1 Char Char Char Char Char Char14"/>
    <w:basedOn w:val="a2"/>
    <w:qFormat/>
    <w:rPr>
      <w:sz w:val="24"/>
    </w:rPr>
  </w:style>
  <w:style w:type="paragraph" w:customStyle="1" w:styleId="affffffffffffffffffb">
    <w:name w:val="正文图标题"/>
    <w:next w:val="a2"/>
    <w:qFormat/>
    <w:pPr>
      <w:spacing w:beforeLines="50" w:before="50" w:afterLines="50" w:after="50" w:line="360" w:lineRule="auto"/>
      <w:ind w:firstLineChars="40" w:firstLine="40"/>
      <w:jc w:val="center"/>
    </w:pPr>
    <w:rPr>
      <w:rFonts w:ascii="黑体" w:eastAsia="黑体" w:hAnsi="Times New Roman" w:cs="Times New Roman"/>
      <w:sz w:val="21"/>
    </w:rPr>
  </w:style>
  <w:style w:type="paragraph" w:customStyle="1" w:styleId="26060">
    <w:name w:val="样式 标题 2 + 段前: 60 磅 段后: 60 磅"/>
    <w:basedOn w:val="22"/>
    <w:uiPriority w:val="99"/>
    <w:qFormat/>
    <w:pPr>
      <w:keepNext w:val="0"/>
      <w:keepLines w:val="0"/>
      <w:snapToGrid w:val="0"/>
      <w:spacing w:before="100" w:after="100" w:line="360" w:lineRule="auto"/>
      <w:jc w:val="both"/>
    </w:pPr>
    <w:rPr>
      <w:rFonts w:ascii="Times New Roman" w:eastAsia="黑体" w:hAnsi="Times New Roman" w:cs="宋体"/>
      <w:b w:val="0"/>
    </w:rPr>
  </w:style>
  <w:style w:type="paragraph" w:customStyle="1" w:styleId="CharCharCharCharCharCharChar40">
    <w:name w:val="样式 正文缩进正文（首行缩进两字） Char Char Char Char Char Char Char表格标题标题4文..."/>
    <w:basedOn w:val="a3"/>
    <w:qFormat/>
    <w:pPr>
      <w:overflowPunct w:val="0"/>
      <w:snapToGrid w:val="0"/>
      <w:spacing w:line="500" w:lineRule="exact"/>
      <w:ind w:firstLine="200"/>
      <w:jc w:val="both"/>
      <w:textAlignment w:val="baseline"/>
    </w:pPr>
    <w:rPr>
      <w:rFonts w:eastAsia="仿宋_GB2312" w:cs="宋体"/>
      <w:kern w:val="0"/>
      <w:sz w:val="28"/>
      <w:szCs w:val="20"/>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2"/>
    <w:pPr>
      <w:jc w:val="both"/>
    </w:pPr>
    <w:rPr>
      <w:sz w:val="24"/>
    </w:rPr>
  </w:style>
  <w:style w:type="paragraph" w:customStyle="1" w:styleId="CharCharCharCharCharCharCharCharChar1CharCharCharCharCharChar1">
    <w:name w:val="Char Char Char Char Char Char Char Char Char1 Char Char Char Char Char Char1"/>
    <w:basedOn w:val="a2"/>
    <w:qFormat/>
    <w:rPr>
      <w:sz w:val="24"/>
    </w:rPr>
  </w:style>
  <w:style w:type="paragraph" w:customStyle="1" w:styleId="1ffffff">
    <w:name w:val="文本框1"/>
    <w:basedOn w:val="xl28"/>
    <w:uiPriority w:val="99"/>
    <w:qFormat/>
    <w:pPr>
      <w:widowControl w:val="0"/>
      <w:pBdr>
        <w:top w:val="none" w:sz="0" w:space="0" w:color="auto"/>
        <w:left w:val="none" w:sz="0" w:space="0" w:color="auto"/>
        <w:bottom w:val="none" w:sz="0" w:space="0" w:color="auto"/>
        <w:right w:val="none" w:sz="0" w:space="0" w:color="auto"/>
      </w:pBdr>
      <w:spacing w:before="0" w:beforeAutospacing="0" w:afterLines="50" w:after="156" w:afterAutospacing="0" w:line="260" w:lineRule="exact"/>
    </w:pPr>
    <w:rPr>
      <w:rFonts w:ascii="宋体" w:eastAsia="宋体" w:hAnsi="Times New Roman" w:cs="Times New Roman"/>
      <w:color w:val="auto"/>
      <w:sz w:val="21"/>
    </w:rPr>
  </w:style>
  <w:style w:type="paragraph" w:customStyle="1" w:styleId="xl28">
    <w:name w:val="xl28"/>
    <w:basedOn w:val="a2"/>
    <w:qFormat/>
    <w:pPr>
      <w:widowControl/>
      <w:pBdr>
        <w:top w:val="single" w:sz="12" w:space="0" w:color="auto"/>
        <w:left w:val="single" w:sz="4" w:space="0" w:color="auto"/>
        <w:bottom w:val="single" w:sz="4" w:space="0" w:color="auto"/>
        <w:right w:val="single" w:sz="12" w:space="0" w:color="auto"/>
      </w:pBdr>
      <w:spacing w:before="100" w:beforeAutospacing="1" w:after="100" w:afterAutospacing="1"/>
      <w:jc w:val="center"/>
    </w:pPr>
    <w:rPr>
      <w:rFonts w:ascii="Arial Unicode MS" w:eastAsia="Arial Unicode MS" w:hAnsi="Arial Unicode MS" w:cs="Arial Unicode MS"/>
      <w:color w:val="000000"/>
      <w:sz w:val="24"/>
    </w:rPr>
  </w:style>
  <w:style w:type="paragraph" w:customStyle="1" w:styleId="105050">
    <w:name w:val="样式 题1 + 段前: 0.5 行 段后: 0.5 行"/>
    <w:basedOn w:val="1f4"/>
    <w:qFormat/>
    <w:pPr>
      <w:tabs>
        <w:tab w:val="clear" w:pos="1155"/>
      </w:tabs>
      <w:jc w:val="both"/>
    </w:pPr>
    <w:rPr>
      <w:rFonts w:ascii="宋体" w:eastAsia="宋体" w:hAnsi="宋体" w:cs="宋体"/>
      <w:b w:val="0"/>
      <w:bCs w:val="0"/>
      <w:szCs w:val="20"/>
    </w:rPr>
  </w:style>
  <w:style w:type="paragraph" w:customStyle="1" w:styleId="affffffffffffffffffc">
    <w:name w:val="管标标题"/>
    <w:basedOn w:val="a2"/>
    <w:uiPriority w:val="99"/>
    <w:qFormat/>
    <w:pPr>
      <w:spacing w:line="500" w:lineRule="atLeast"/>
      <w:jc w:val="both"/>
    </w:pPr>
    <w:rPr>
      <w:rFonts w:ascii="宋体" w:hAnsi="宋体"/>
      <w:b/>
    </w:rPr>
  </w:style>
  <w:style w:type="paragraph" w:customStyle="1" w:styleId="CharCharCharCharCharChar11">
    <w:name w:val="Char Char Char Char Char Char11"/>
    <w:basedOn w:val="a2"/>
    <w:uiPriority w:val="99"/>
    <w:qFormat/>
    <w:pPr>
      <w:jc w:val="both"/>
    </w:pPr>
    <w:rPr>
      <w:sz w:val="24"/>
    </w:rPr>
  </w:style>
  <w:style w:type="paragraph" w:customStyle="1" w:styleId="Char1CharCharCharCharCharCharCharCharCharCharCharCharCharCharChar1">
    <w:name w:val="Char1 Char Char Char Char Char Char Char Char Char Char Char Char Char Char Char1"/>
    <w:basedOn w:val="a2"/>
    <w:uiPriority w:val="99"/>
    <w:qFormat/>
    <w:pPr>
      <w:spacing w:line="360" w:lineRule="auto"/>
      <w:jc w:val="both"/>
    </w:pPr>
    <w:rPr>
      <w:sz w:val="24"/>
      <w:szCs w:val="22"/>
    </w:rPr>
  </w:style>
  <w:style w:type="paragraph" w:customStyle="1" w:styleId="166">
    <w:name w:val="样式 标题 1 + 段前: 6 磅 段后: 6 磅"/>
    <w:basedOn w:val="12"/>
    <w:uiPriority w:val="99"/>
    <w:qFormat/>
    <w:pPr>
      <w:spacing w:before="120" w:after="120" w:line="560" w:lineRule="exact"/>
      <w:jc w:val="center"/>
      <w:textAlignment w:val="auto"/>
    </w:pPr>
    <w:rPr>
      <w:rFonts w:eastAsia="宋体" w:cs="宋体"/>
      <w:b/>
      <w:sz w:val="44"/>
      <w:szCs w:val="20"/>
    </w:rPr>
  </w:style>
  <w:style w:type="paragraph" w:customStyle="1" w:styleId="099152">
    <w:name w:val="样式 首行缩进:  0.99 厘米 行距: 1.5 倍行距2"/>
    <w:basedOn w:val="a2"/>
    <w:uiPriority w:val="99"/>
    <w:qFormat/>
    <w:pPr>
      <w:spacing w:line="360" w:lineRule="auto"/>
      <w:ind w:firstLineChars="200" w:firstLine="560"/>
      <w:jc w:val="both"/>
    </w:pPr>
    <w:rPr>
      <w:rFonts w:ascii="仿宋_GB2312" w:eastAsia="仿宋_GB2312" w:hAnsi="宋体"/>
    </w:rPr>
  </w:style>
  <w:style w:type="paragraph" w:customStyle="1" w:styleId="10115">
    <w:name w:val="样式 小四 首行缩进:  1.01 厘米 行距: 1.5 倍行距"/>
    <w:basedOn w:val="a2"/>
    <w:uiPriority w:val="99"/>
    <w:qFormat/>
    <w:pPr>
      <w:spacing w:line="360" w:lineRule="auto"/>
      <w:ind w:firstLineChars="200" w:firstLine="570"/>
      <w:jc w:val="both"/>
    </w:pPr>
    <w:rPr>
      <w:rFonts w:cs="宋体"/>
      <w:snapToGrid w:val="0"/>
      <w:sz w:val="24"/>
    </w:rPr>
  </w:style>
  <w:style w:type="paragraph" w:customStyle="1" w:styleId="affffffffffffffffffd">
    <w:name w:val="样式（大表格）"/>
    <w:basedOn w:val="affffd"/>
    <w:qFormat/>
    <w:pPr>
      <w:widowControl w:val="0"/>
      <w:spacing w:line="240" w:lineRule="auto"/>
      <w:jc w:val="both"/>
      <w:textAlignment w:val="auto"/>
    </w:pPr>
    <w:rPr>
      <w:rFonts w:ascii="Times New Roman" w:hAnsi="Times New Roman"/>
      <w:color w:val="FF0000"/>
      <w:sz w:val="24"/>
    </w:rPr>
  </w:style>
  <w:style w:type="paragraph" w:customStyle="1" w:styleId="21c">
    <w:name w:val="正文21"/>
    <w:basedOn w:val="a2"/>
    <w:next w:val="a3"/>
    <w:uiPriority w:val="99"/>
    <w:qFormat/>
    <w:pPr>
      <w:snapToGrid w:val="0"/>
      <w:spacing w:line="360" w:lineRule="atLeast"/>
      <w:jc w:val="both"/>
      <w:textAlignment w:val="baseline"/>
    </w:pPr>
    <w:rPr>
      <w:rFonts w:ascii="宋体" w:eastAsia="黑体" w:hAnsi="宋体" w:hint="eastAsia"/>
      <w:spacing w:val="5"/>
      <w:sz w:val="32"/>
    </w:rPr>
  </w:style>
  <w:style w:type="paragraph" w:customStyle="1" w:styleId="T2">
    <w:name w:val="T表格"/>
    <w:qFormat/>
    <w:pPr>
      <w:jc w:val="center"/>
    </w:pPr>
    <w:rPr>
      <w:rFonts w:ascii="Times New Roman" w:eastAsia="宋体" w:hAnsi="Times New Roman" w:cs="Times New Roman"/>
      <w:sz w:val="21"/>
    </w:rPr>
  </w:style>
  <w:style w:type="paragraph" w:customStyle="1" w:styleId="2TimesNewRoman10630">
    <w:name w:val="样式 正文文本缩进 2 + Times New Roman 首行缩进:  1.06 厘米 行距: 固定值 30 磅"/>
    <w:basedOn w:val="25"/>
    <w:uiPriority w:val="99"/>
    <w:qFormat/>
    <w:pPr>
      <w:spacing w:after="0" w:line="540" w:lineRule="exact"/>
      <w:ind w:leftChars="0" w:left="0" w:firstLine="601"/>
      <w:jc w:val="both"/>
    </w:pPr>
    <w:rPr>
      <w:sz w:val="28"/>
      <w:szCs w:val="28"/>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2"/>
    <w:qFormat/>
    <w:pPr>
      <w:spacing w:line="360" w:lineRule="auto"/>
      <w:ind w:firstLineChars="200" w:firstLine="200"/>
      <w:jc w:val="both"/>
    </w:pPr>
  </w:style>
  <w:style w:type="paragraph" w:customStyle="1" w:styleId="222GB2312">
    <w:name w:val="样式 样式 样式 样式 样式 样式 首行缩进:  2 字符 + 首行缩进:  2 字符2 + 仿宋_GB2312 + 首行缩进:..."/>
    <w:basedOn w:val="a2"/>
    <w:uiPriority w:val="99"/>
    <w:qFormat/>
    <w:pPr>
      <w:spacing w:line="560" w:lineRule="exact"/>
      <w:ind w:firstLineChars="200" w:firstLine="624"/>
      <w:jc w:val="both"/>
    </w:pPr>
    <w:rPr>
      <w:spacing w:val="12"/>
    </w:rPr>
  </w:style>
  <w:style w:type="paragraph" w:customStyle="1" w:styleId="2fff8">
    <w:name w:val="表2"/>
    <w:basedOn w:val="a2"/>
    <w:qFormat/>
    <w:pPr>
      <w:snapToGrid w:val="0"/>
      <w:jc w:val="both"/>
    </w:pPr>
    <w:rPr>
      <w:rFonts w:ascii="宋体" w:hAnsi="宋体"/>
      <w:sz w:val="24"/>
    </w:rPr>
  </w:style>
  <w:style w:type="paragraph" w:customStyle="1" w:styleId="k">
    <w:name w:val="k正文"/>
    <w:basedOn w:val="a2"/>
    <w:qFormat/>
    <w:pPr>
      <w:snapToGrid w:val="0"/>
      <w:spacing w:line="360" w:lineRule="auto"/>
      <w:ind w:firstLine="539"/>
    </w:pPr>
    <w:rPr>
      <w:rFonts w:eastAsia="仿宋_GB2312"/>
    </w:rPr>
  </w:style>
  <w:style w:type="paragraph" w:customStyle="1" w:styleId="-10">
    <w:name w:val="框图-1"/>
    <w:basedOn w:val="a2"/>
    <w:qFormat/>
    <w:pPr>
      <w:jc w:val="center"/>
    </w:pPr>
    <w:rPr>
      <w:rFonts w:eastAsia="仿宋_GB2312" w:cs="宋体"/>
      <w:snapToGrid w:val="0"/>
    </w:rPr>
  </w:style>
  <w:style w:type="paragraph" w:customStyle="1" w:styleId="affffffffffffffffffe">
    <w:name w:val="预评价正文"/>
    <w:basedOn w:val="a2"/>
    <w:uiPriority w:val="99"/>
    <w:qFormat/>
    <w:pPr>
      <w:spacing w:line="360" w:lineRule="auto"/>
      <w:ind w:firstLineChars="200" w:firstLine="200"/>
      <w:jc w:val="both"/>
    </w:pPr>
    <w:rPr>
      <w:rFonts w:hAnsi="Arial" w:cs="Arial"/>
      <w:sz w:val="24"/>
    </w:rPr>
  </w:style>
  <w:style w:type="paragraph" w:customStyle="1" w:styleId="411">
    <w:name w:val="样式 标题 4 + 四号 段前: 1 行"/>
    <w:basedOn w:val="41"/>
    <w:qFormat/>
    <w:pPr>
      <w:tabs>
        <w:tab w:val="left" w:pos="2240"/>
      </w:tabs>
      <w:spacing w:beforeLines="100" w:before="312" w:line="420" w:lineRule="exact"/>
      <w:ind w:leftChars="0" w:left="560" w:rightChars="0" w:right="0"/>
      <w:jc w:val="both"/>
    </w:pPr>
    <w:rPr>
      <w:rFonts w:ascii="Arial" w:hAnsi="Arial"/>
      <w:bCs w:val="0"/>
      <w:szCs w:val="20"/>
    </w:rPr>
  </w:style>
  <w:style w:type="paragraph" w:customStyle="1" w:styleId="afffffffffffffffffff">
    <w:name w:val="表序号"/>
    <w:basedOn w:val="50"/>
    <w:qFormat/>
    <w:pPr>
      <w:tabs>
        <w:tab w:val="clear" w:pos="1008"/>
        <w:tab w:val="left" w:pos="2535"/>
      </w:tabs>
      <w:spacing w:before="0" w:after="0" w:line="360" w:lineRule="auto"/>
      <w:ind w:left="0" w:firstLine="0"/>
      <w:jc w:val="center"/>
    </w:pPr>
    <w:rPr>
      <w:rFonts w:ascii="仿宋_GB2312" w:eastAsia="仿宋_GB2312" w:hAnsi="Arial"/>
      <w:bCs w:val="0"/>
      <w:kern w:val="44"/>
      <w:szCs w:val="20"/>
    </w:rPr>
  </w:style>
  <w:style w:type="paragraph" w:customStyle="1" w:styleId="139">
    <w:name w:val="正文小四首缩1.3行距"/>
    <w:basedOn w:val="a2"/>
    <w:qFormat/>
    <w:pPr>
      <w:ind w:firstLine="480"/>
    </w:pPr>
    <w:rPr>
      <w:bCs/>
    </w:rPr>
  </w:style>
  <w:style w:type="paragraph" w:customStyle="1" w:styleId="CharCharCharCharCharCharCharCharCharCharCharCharCharCharCharCharCharCharCharCharCharChar4">
    <w:name w:val="Char Char Char Char Char Char Char Char Char Char Char Char Char Char Char Char Char Char Char Char Char Char4"/>
    <w:basedOn w:val="a2"/>
    <w:uiPriority w:val="99"/>
    <w:qFormat/>
    <w:pPr>
      <w:jc w:val="both"/>
    </w:pPr>
    <w:rPr>
      <w:sz w:val="24"/>
    </w:rPr>
  </w:style>
  <w:style w:type="paragraph" w:customStyle="1" w:styleId="Char1CharCharCharCharCharCharCharCharCharCharCharChar4">
    <w:name w:val="Char1 Char Char Char Char Char Char Char Char Char Char Char Char4"/>
    <w:basedOn w:val="a2"/>
    <w:pPr>
      <w:jc w:val="both"/>
    </w:pPr>
  </w:style>
  <w:style w:type="paragraph" w:customStyle="1" w:styleId="12c">
    <w:name w:val="文档结构图12"/>
    <w:basedOn w:val="a2"/>
    <w:uiPriority w:val="99"/>
    <w:qFormat/>
    <w:pPr>
      <w:spacing w:line="360" w:lineRule="auto"/>
      <w:jc w:val="both"/>
    </w:pPr>
    <w:rPr>
      <w:rFonts w:hAnsi="Calibri"/>
      <w:sz w:val="18"/>
      <w:szCs w:val="18"/>
    </w:rPr>
  </w:style>
  <w:style w:type="paragraph" w:customStyle="1" w:styleId="07">
    <w:name w:val="样式 首行缩进:  0 字符"/>
    <w:basedOn w:val="a2"/>
    <w:qFormat/>
    <w:pPr>
      <w:spacing w:line="360" w:lineRule="auto"/>
      <w:ind w:firstLineChars="200" w:firstLine="200"/>
    </w:pPr>
    <w:rPr>
      <w:sz w:val="24"/>
    </w:rPr>
  </w:style>
  <w:style w:type="paragraph" w:customStyle="1" w:styleId="Text0">
    <w:name w:val="Text"/>
    <w:uiPriority w:val="99"/>
    <w:qFormat/>
    <w:pPr>
      <w:spacing w:before="120"/>
      <w:ind w:left="851" w:right="567"/>
      <w:jc w:val="both"/>
    </w:pPr>
    <w:rPr>
      <w:rFonts w:ascii="Times New Roman" w:eastAsia="宋体" w:hAnsi="Times New Roman" w:cs="Times New Roman"/>
      <w:lang w:eastAsia="en-US"/>
    </w:rPr>
  </w:style>
  <w:style w:type="paragraph" w:customStyle="1" w:styleId="afffffffffffffffffff0">
    <w:name w:val="表格（居中）"/>
    <w:basedOn w:val="a2"/>
    <w:next w:val="a2"/>
    <w:uiPriority w:val="99"/>
    <w:qFormat/>
    <w:pPr>
      <w:snapToGrid w:val="0"/>
      <w:spacing w:before="24" w:after="24" w:line="360" w:lineRule="auto"/>
      <w:ind w:left="15" w:hanging="99"/>
      <w:jc w:val="center"/>
    </w:pPr>
  </w:style>
  <w:style w:type="paragraph" w:customStyle="1" w:styleId="Char3CharCharChar1CharChar1Char3">
    <w:name w:val="Char3 Char Char Char1 Char Char1 Char3"/>
    <w:basedOn w:val="a2"/>
    <w:uiPriority w:val="99"/>
    <w:qFormat/>
    <w:pPr>
      <w:jc w:val="both"/>
    </w:pPr>
  </w:style>
  <w:style w:type="paragraph" w:customStyle="1" w:styleId="CharCharChara">
    <w:name w:val="Char Char Char"/>
    <w:basedOn w:val="a2"/>
    <w:qFormat/>
    <w:rPr>
      <w:sz w:val="24"/>
    </w:rPr>
  </w:style>
  <w:style w:type="paragraph" w:customStyle="1" w:styleId="afffffffffffffffffff1">
    <w:name w:val="政府正文"/>
    <w:basedOn w:val="a2"/>
    <w:uiPriority w:val="99"/>
    <w:qFormat/>
    <w:pPr>
      <w:snapToGrid w:val="0"/>
      <w:spacing w:line="312" w:lineRule="auto"/>
      <w:ind w:firstLineChars="200" w:firstLine="560"/>
      <w:jc w:val="both"/>
    </w:pPr>
    <w:rPr>
      <w:rFonts w:ascii="仿宋_GB2312" w:eastAsia="仿宋_GB2312" w:hAnsi="宋体"/>
      <w:color w:val="000000"/>
      <w:szCs w:val="28"/>
    </w:rPr>
  </w:style>
  <w:style w:type="paragraph" w:customStyle="1" w:styleId="3ffc">
    <w:name w:val="样式 标题 3 + 四号"/>
    <w:basedOn w:val="32"/>
    <w:pPr>
      <w:autoSpaceDE/>
      <w:autoSpaceDN/>
      <w:spacing w:before="120" w:after="120" w:line="415" w:lineRule="auto"/>
      <w:ind w:leftChars="50" w:left="105"/>
      <w:jc w:val="both"/>
      <w:textAlignment w:val="baseline"/>
    </w:pPr>
    <w:rPr>
      <w:rFonts w:ascii="Verdana" w:eastAsia="宋体" w:hAnsi="Verdana" w:cs="Verdana"/>
      <w:kern w:val="44"/>
      <w:sz w:val="24"/>
      <w:szCs w:val="20"/>
    </w:rPr>
  </w:style>
  <w:style w:type="paragraph" w:customStyle="1" w:styleId="5f1">
    <w:name w:val="多行表格样式(5号)"/>
    <w:uiPriority w:val="99"/>
    <w:qFormat/>
    <w:pPr>
      <w:spacing w:line="240" w:lineRule="exact"/>
    </w:pPr>
    <w:rPr>
      <w:rFonts w:ascii="Times New Roman" w:eastAsia="宋体" w:hAnsi="Times New Roman" w:cs="Times New Roman"/>
      <w:kern w:val="2"/>
      <w:sz w:val="21"/>
      <w:szCs w:val="24"/>
    </w:rPr>
  </w:style>
  <w:style w:type="paragraph" w:customStyle="1" w:styleId="1527878">
    <w:name w:val="样式 样式 宋体 小四 行距: 1.5 倍行距 + 首行缩进:  2 字符 段前: 7.8 磅 段后: 7.8 磅"/>
    <w:basedOn w:val="a2"/>
    <w:uiPriority w:val="99"/>
    <w:qFormat/>
    <w:pPr>
      <w:snapToGrid w:val="0"/>
      <w:spacing w:beforeLines="50" w:afterLines="50" w:line="360" w:lineRule="auto"/>
      <w:ind w:firstLineChars="200" w:firstLine="200"/>
    </w:pPr>
    <w:rPr>
      <w:rFonts w:ascii="宋体" w:hAnsi="宋体"/>
      <w:sz w:val="24"/>
    </w:rPr>
  </w:style>
  <w:style w:type="paragraph" w:customStyle="1" w:styleId="Char1CharCharCharCharChar1Char1">
    <w:name w:val="Char1 Char Char Char Char Char1 Char1"/>
    <w:basedOn w:val="a2"/>
    <w:uiPriority w:val="99"/>
    <w:semiHidden/>
    <w:qFormat/>
    <w:pPr>
      <w:jc w:val="both"/>
    </w:pPr>
    <w:rPr>
      <w:rFonts w:ascii="Times New Roman"/>
    </w:rPr>
  </w:style>
  <w:style w:type="paragraph" w:customStyle="1" w:styleId="CharCharChar1CharCharCharCharCharChar1">
    <w:name w:val="Char Char Char1 Char Char Char Char Char Char1"/>
    <w:basedOn w:val="a2"/>
    <w:qFormat/>
    <w:rPr>
      <w:sz w:val="24"/>
    </w:rPr>
  </w:style>
  <w:style w:type="paragraph" w:customStyle="1" w:styleId="afffffffffffffffffff2">
    <w:name w:val="目录"/>
    <w:qFormat/>
    <w:pPr>
      <w:spacing w:beforeLines="150" w:before="468" w:afterLines="150" w:after="468" w:line="360" w:lineRule="auto"/>
      <w:ind w:firstLineChars="40" w:firstLine="40"/>
      <w:jc w:val="center"/>
    </w:pPr>
    <w:rPr>
      <w:rFonts w:ascii="Times New Roman" w:eastAsia="黑体" w:hAnsi="Times New Roman" w:cs="宋体"/>
      <w:b/>
      <w:bCs/>
      <w:spacing w:val="8"/>
      <w:sz w:val="48"/>
      <w:szCs w:val="48"/>
    </w:rPr>
  </w:style>
  <w:style w:type="paragraph" w:customStyle="1" w:styleId="Style7">
    <w:name w:val="_Style 7"/>
    <w:basedOn w:val="a2"/>
    <w:pPr>
      <w:tabs>
        <w:tab w:val="left" w:pos="1980"/>
        <w:tab w:val="left" w:pos="2040"/>
      </w:tabs>
      <w:autoSpaceDE/>
      <w:autoSpaceDN/>
      <w:adjustRightInd/>
      <w:spacing w:line="360" w:lineRule="auto"/>
      <w:ind w:left="2040" w:firstLineChars="200" w:hanging="360"/>
      <w:jc w:val="both"/>
    </w:pPr>
    <w:rPr>
      <w:rFonts w:ascii="Calibri" w:hAnsi="Calibri"/>
      <w:szCs w:val="22"/>
    </w:rPr>
  </w:style>
  <w:style w:type="paragraph" w:customStyle="1" w:styleId="5f2">
    <w:name w:val="表格内字体5"/>
    <w:basedOn w:val="affffffff6"/>
    <w:uiPriority w:val="99"/>
    <w:qFormat/>
    <w:pPr>
      <w:spacing w:line="240" w:lineRule="auto"/>
      <w:ind w:firstLine="0"/>
      <w:jc w:val="center"/>
    </w:pPr>
    <w:rPr>
      <w:sz w:val="21"/>
      <w:szCs w:val="20"/>
    </w:rPr>
  </w:style>
  <w:style w:type="paragraph" w:customStyle="1" w:styleId="1CharCharCharCharCharCharCharCharCharCharCharChar">
    <w:name w:val="1 Char Char Char Char Char Char Char Char Char Char Char Char"/>
    <w:basedOn w:val="a2"/>
    <w:qFormat/>
  </w:style>
  <w:style w:type="paragraph" w:customStyle="1" w:styleId="Charfffffffff8">
    <w:name w:val="公式段落 Char"/>
    <w:basedOn w:val="a2"/>
    <w:qFormat/>
    <w:pPr>
      <w:snapToGrid w:val="0"/>
      <w:spacing w:beforeLines="50" w:before="156" w:line="360" w:lineRule="auto"/>
      <w:ind w:firstLineChars="200" w:firstLine="480"/>
    </w:pPr>
    <w:rPr>
      <w:color w:val="000000"/>
      <w:sz w:val="24"/>
    </w:rPr>
  </w:style>
  <w:style w:type="paragraph" w:customStyle="1" w:styleId="afffffffffffffffffff3">
    <w:name w:val="封面单位"/>
    <w:basedOn w:val="a2"/>
    <w:uiPriority w:val="99"/>
    <w:qFormat/>
    <w:pPr>
      <w:tabs>
        <w:tab w:val="center" w:pos="8222"/>
      </w:tabs>
      <w:spacing w:line="360" w:lineRule="auto"/>
      <w:jc w:val="center"/>
    </w:pPr>
    <w:rPr>
      <w:rFonts w:ascii="楷体_GB2312" w:cs="楷体_GB2312"/>
      <w:b/>
      <w:bCs/>
      <w:sz w:val="36"/>
      <w:szCs w:val="36"/>
    </w:rPr>
  </w:style>
  <w:style w:type="paragraph" w:customStyle="1" w:styleId="12d">
    <w:name w:val="12"/>
    <w:basedOn w:val="a2"/>
    <w:next w:val="af5"/>
    <w:qFormat/>
    <w:pPr>
      <w:spacing w:line="500" w:lineRule="exact"/>
      <w:ind w:firstLineChars="200" w:firstLine="560"/>
      <w:jc w:val="both"/>
    </w:pPr>
    <w:rPr>
      <w:rFonts w:ascii="仿宋_GB2312" w:eastAsia="仿宋_GB2312"/>
      <w:color w:val="FF0000"/>
    </w:rPr>
  </w:style>
  <w:style w:type="paragraph" w:customStyle="1" w:styleId="afffffffffffffffffff4">
    <w:name w:val="五号字表格"/>
    <w:basedOn w:val="1ffd"/>
    <w:qFormat/>
    <w:pPr>
      <w:spacing w:line="240" w:lineRule="auto"/>
    </w:pPr>
    <w:rPr>
      <w:rFonts w:ascii="宋体" w:hAnsi="Times New Roman"/>
    </w:rPr>
  </w:style>
  <w:style w:type="paragraph" w:customStyle="1" w:styleId="Char2CharCharCharCharCharCharCharCharCharCharCharCharCharCharCharCharCharCharCharCharChar2">
    <w:name w:val="Char2 Char Char Char Char Char Char Char Char Char Char Char Char Char Char Char Char Char Char Char Char Char2"/>
    <w:basedOn w:val="a2"/>
    <w:uiPriority w:val="99"/>
    <w:qFormat/>
    <w:pPr>
      <w:spacing w:line="360" w:lineRule="auto"/>
      <w:ind w:firstLineChars="200" w:firstLine="200"/>
      <w:jc w:val="both"/>
    </w:pPr>
    <w:rPr>
      <w:rFonts w:ascii="Times New Roman" w:eastAsia="黑体"/>
      <w:szCs w:val="28"/>
    </w:rPr>
  </w:style>
  <w:style w:type="paragraph" w:customStyle="1" w:styleId="QIXIN">
    <w:name w:val="QIXIN"/>
    <w:basedOn w:val="a2"/>
    <w:uiPriority w:val="99"/>
    <w:qFormat/>
    <w:pPr>
      <w:spacing w:line="360" w:lineRule="auto"/>
      <w:ind w:firstLineChars="200" w:firstLine="600"/>
      <w:jc w:val="both"/>
    </w:pPr>
    <w:rPr>
      <w:sz w:val="30"/>
      <w:szCs w:val="30"/>
    </w:rPr>
  </w:style>
  <w:style w:type="paragraph" w:customStyle="1" w:styleId="afffffffffffffffffff5">
    <w:name w:val="表名"/>
    <w:basedOn w:val="a2"/>
    <w:qFormat/>
    <w:pPr>
      <w:spacing w:line="360" w:lineRule="auto"/>
      <w:jc w:val="center"/>
    </w:pPr>
    <w:rPr>
      <w:b/>
      <w:bCs/>
      <w:color w:val="000000"/>
    </w:rPr>
  </w:style>
  <w:style w:type="paragraph" w:customStyle="1" w:styleId="CharCharffffff0">
    <w:name w:val="海南化工城正文 Char Char"/>
    <w:basedOn w:val="a2"/>
    <w:uiPriority w:val="99"/>
    <w:qFormat/>
    <w:pPr>
      <w:spacing w:line="324" w:lineRule="auto"/>
      <w:ind w:firstLineChars="200" w:firstLine="480"/>
      <w:jc w:val="both"/>
    </w:pPr>
    <w:rPr>
      <w:rFonts w:ascii="宋体" w:hAnsi="宋体" w:cs="宋体"/>
      <w:sz w:val="24"/>
    </w:rPr>
  </w:style>
  <w:style w:type="paragraph" w:customStyle="1" w:styleId="222H2h22Char11Char2Cha2">
    <w:name w:val="样式 标题 2标题2二级 标题 2H2h2第一层条标题 2 Char节标题节11 Char标题 2 Cha...2"/>
    <w:basedOn w:val="22"/>
    <w:uiPriority w:val="99"/>
    <w:qFormat/>
    <w:pPr>
      <w:keepNext w:val="0"/>
      <w:keepLines w:val="0"/>
      <w:tabs>
        <w:tab w:val="left" w:pos="567"/>
        <w:tab w:val="left" w:pos="680"/>
      </w:tabs>
      <w:spacing w:before="60" w:after="60" w:line="240" w:lineRule="auto"/>
      <w:ind w:left="578" w:hanging="578"/>
      <w:textAlignment w:val="baseline"/>
    </w:pPr>
    <w:rPr>
      <w:rFonts w:ascii="Times New Roman" w:eastAsia="仿宋_GB2312" w:hAnsi="Times New Roman" w:cs="宋体"/>
      <w:b w:val="0"/>
      <w:bCs w:val="0"/>
      <w:sz w:val="24"/>
      <w:szCs w:val="30"/>
    </w:rPr>
  </w:style>
  <w:style w:type="paragraph" w:customStyle="1" w:styleId="reader-word-layerreader-word-s1-8">
    <w:name w:val="reader-word-layer reader-word-s1-8"/>
    <w:basedOn w:val="a2"/>
    <w:uiPriority w:val="99"/>
    <w:qFormat/>
    <w:pPr>
      <w:spacing w:before="100" w:beforeAutospacing="1" w:after="100" w:afterAutospacing="1"/>
    </w:pPr>
    <w:rPr>
      <w:rFonts w:ascii="宋体" w:hAnsi="宋体" w:cs="宋体"/>
      <w:sz w:val="24"/>
    </w:rPr>
  </w:style>
  <w:style w:type="paragraph" w:customStyle="1" w:styleId="font1">
    <w:name w:val="font1"/>
    <w:basedOn w:val="a2"/>
    <w:qFormat/>
    <w:pPr>
      <w:widowControl/>
      <w:spacing w:before="100" w:beforeAutospacing="1" w:after="100" w:afterAutospacing="1"/>
    </w:pPr>
    <w:rPr>
      <w:rFonts w:ascii="宋体" w:hAnsi="宋体" w:cs="Arial Unicode MS" w:hint="eastAsia"/>
      <w:sz w:val="24"/>
    </w:rPr>
  </w:style>
  <w:style w:type="paragraph" w:customStyle="1" w:styleId="-31">
    <w:name w:val="浅色网格 - 强调文字颜色 31"/>
    <w:basedOn w:val="a2"/>
    <w:qFormat/>
    <w:pPr>
      <w:ind w:firstLineChars="200" w:firstLine="420"/>
    </w:pPr>
    <w:rPr>
      <w:rFonts w:ascii="Calibri" w:hAnsi="Calibri"/>
      <w:szCs w:val="22"/>
    </w:rPr>
  </w:style>
  <w:style w:type="paragraph" w:customStyle="1" w:styleId="msonormalat7">
    <w:name w:val="msonormal at_7"/>
    <w:basedOn w:val="a2"/>
    <w:uiPriority w:val="99"/>
    <w:qFormat/>
    <w:pPr>
      <w:spacing w:before="100" w:beforeAutospacing="1" w:after="100" w:afterAutospacing="1"/>
    </w:pPr>
    <w:rPr>
      <w:rFonts w:ascii="宋体" w:hAnsi="宋体" w:cs="宋体"/>
      <w:sz w:val="24"/>
    </w:rPr>
  </w:style>
  <w:style w:type="paragraph" w:customStyle="1" w:styleId="1ffffff0">
    <w:name w:val="列表段落1"/>
    <w:basedOn w:val="a2"/>
    <w:uiPriority w:val="99"/>
    <w:qFormat/>
    <w:pPr>
      <w:ind w:firstLineChars="200" w:firstLine="420"/>
      <w:jc w:val="both"/>
    </w:pPr>
    <w:rPr>
      <w:rFonts w:ascii="Calibri" w:hAnsi="Calibri"/>
      <w:szCs w:val="22"/>
    </w:rPr>
  </w:style>
  <w:style w:type="paragraph" w:customStyle="1" w:styleId="afffffffffffffffffff6">
    <w:name w:val="公式"/>
    <w:qFormat/>
    <w:pPr>
      <w:spacing w:beforeLines="50" w:before="50" w:afterLines="50" w:after="50" w:line="360" w:lineRule="auto"/>
      <w:ind w:firstLineChars="40" w:firstLine="40"/>
      <w:jc w:val="right"/>
    </w:pPr>
    <w:rPr>
      <w:rFonts w:ascii="Times New Roman" w:eastAsia="宋体" w:hAnsi="Times New Roman" w:cs="Times New Roman"/>
      <w:spacing w:val="8"/>
      <w:sz w:val="28"/>
    </w:rPr>
  </w:style>
  <w:style w:type="paragraph" w:customStyle="1" w:styleId="2fff9">
    <w:name w:val="样式 环评正文 + 首行缩进:  2 字符"/>
    <w:basedOn w:val="affffff7"/>
    <w:uiPriority w:val="99"/>
    <w:qFormat/>
    <w:pPr>
      <w:widowControl/>
      <w:spacing w:line="440" w:lineRule="exact"/>
      <w:ind w:firstLine="200"/>
    </w:pPr>
    <w:rPr>
      <w:rFonts w:ascii="Calibri" w:eastAsia="宋体" w:hAnsi="Calibri" w:cs="宋体"/>
      <w:color w:val="000000"/>
      <w:kern w:val="21"/>
      <w:sz w:val="24"/>
      <w:szCs w:val="24"/>
    </w:rPr>
  </w:style>
  <w:style w:type="paragraph" w:customStyle="1" w:styleId="Char1CharChar">
    <w:name w:val="Char1 Char Char"/>
    <w:basedOn w:val="a2"/>
    <w:uiPriority w:val="99"/>
    <w:qFormat/>
    <w:pPr>
      <w:jc w:val="both"/>
    </w:pPr>
  </w:style>
  <w:style w:type="paragraph" w:customStyle="1" w:styleId="Char3CharCharChar2">
    <w:name w:val="Char3 Char Char Char2"/>
    <w:basedOn w:val="a2"/>
    <w:uiPriority w:val="99"/>
    <w:qFormat/>
    <w:pPr>
      <w:jc w:val="both"/>
    </w:pPr>
  </w:style>
  <w:style w:type="paragraph" w:customStyle="1" w:styleId="CharCharCharCharCharCharCharCharChar1">
    <w:name w:val="Char Char Char Char Char Char Char Char Char1"/>
    <w:basedOn w:val="a2"/>
    <w:qFormat/>
    <w:pPr>
      <w:jc w:val="both"/>
    </w:pPr>
  </w:style>
  <w:style w:type="paragraph" w:customStyle="1" w:styleId="ParaCharCharChar1CharChar">
    <w:name w:val="默认段落字体 Para Char Char Char1 Char Char"/>
    <w:basedOn w:val="a2"/>
    <w:qFormat/>
    <w:rPr>
      <w:sz w:val="24"/>
    </w:rPr>
  </w:style>
  <w:style w:type="paragraph" w:customStyle="1" w:styleId="afffffffffffffffffff7">
    <w:name w:val="项目编号文字"/>
    <w:basedOn w:val="a2"/>
    <w:next w:val="a3"/>
    <w:qFormat/>
    <w:pPr>
      <w:spacing w:before="120" w:after="120" w:line="360" w:lineRule="auto"/>
      <w:ind w:left="1077"/>
    </w:pPr>
    <w:rPr>
      <w:sz w:val="24"/>
    </w:rPr>
  </w:style>
  <w:style w:type="paragraph" w:customStyle="1" w:styleId="2fffa">
    <w:name w:val="正文缩进2"/>
    <w:basedOn w:val="a2"/>
    <w:qFormat/>
    <w:pPr>
      <w:spacing w:line="500" w:lineRule="exact"/>
      <w:ind w:firstLineChars="200" w:firstLine="560"/>
      <w:jc w:val="both"/>
    </w:pPr>
    <w:rPr>
      <w:rFonts w:ascii="宋体" w:hAnsi="宋体"/>
    </w:rPr>
  </w:style>
  <w:style w:type="paragraph" w:customStyle="1" w:styleId="4f3">
    <w:name w:val="正文4"/>
    <w:basedOn w:val="a2"/>
    <w:uiPriority w:val="99"/>
    <w:qFormat/>
    <w:pPr>
      <w:spacing w:line="480" w:lineRule="exact"/>
      <w:jc w:val="both"/>
      <w:textAlignment w:val="baseline"/>
    </w:pPr>
    <w:rPr>
      <w:spacing w:val="-2"/>
    </w:rPr>
  </w:style>
  <w:style w:type="paragraph" w:customStyle="1" w:styleId="1035">
    <w:name w:val="样式 图号1 + 段前: 0.35 行"/>
    <w:basedOn w:val="a2"/>
    <w:qFormat/>
    <w:pPr>
      <w:snapToGrid w:val="0"/>
      <w:spacing w:line="520" w:lineRule="atLeast"/>
      <w:jc w:val="center"/>
    </w:pPr>
    <w:rPr>
      <w:rFonts w:cs="宋体"/>
      <w:b/>
      <w:bCs/>
    </w:rPr>
  </w:style>
  <w:style w:type="paragraph" w:customStyle="1" w:styleId="CharCharCharCharCharCharCharCharCharCharChar3">
    <w:name w:val="Char Char Char Char Char Char Char Char Char Char Char3"/>
    <w:basedOn w:val="a2"/>
    <w:uiPriority w:val="99"/>
    <w:qFormat/>
    <w:pPr>
      <w:jc w:val="both"/>
    </w:pPr>
  </w:style>
  <w:style w:type="paragraph" w:customStyle="1" w:styleId="Char2CharChar1CharCharCharChar4">
    <w:name w:val="Char2 Char Char1 Char Char Char Char4"/>
    <w:basedOn w:val="a2"/>
    <w:uiPriority w:val="99"/>
    <w:qFormat/>
    <w:pPr>
      <w:jc w:val="both"/>
    </w:pPr>
    <w:rPr>
      <w:sz w:val="24"/>
    </w:rPr>
  </w:style>
  <w:style w:type="paragraph" w:customStyle="1" w:styleId="CharCharCharCharCharCharCharCharChar1Char3">
    <w:name w:val="Char Char Char Char Char Char Char Char Char1 Char3"/>
    <w:basedOn w:val="a2"/>
    <w:uiPriority w:val="99"/>
    <w:qFormat/>
    <w:pPr>
      <w:jc w:val="both"/>
    </w:pPr>
  </w:style>
  <w:style w:type="paragraph" w:customStyle="1" w:styleId="GB231205">
    <w:name w:val="样式 (西文) 宋体 (中文) 仿宋_GB2312 五号 黑色 居中 首行缩进:  0 厘米 行距: 单倍行距5"/>
    <w:basedOn w:val="a2"/>
    <w:uiPriority w:val="99"/>
    <w:qFormat/>
    <w:pPr>
      <w:jc w:val="center"/>
    </w:pPr>
    <w:rPr>
      <w:rFonts w:ascii="宋体" w:eastAsia="仿宋_GB2312" w:hAnsi="宋体"/>
      <w:color w:val="000000"/>
    </w:rPr>
  </w:style>
  <w:style w:type="paragraph" w:customStyle="1" w:styleId="afffffffffffffffffff8">
    <w:name w:val="表格内部"/>
    <w:basedOn w:val="a2"/>
    <w:uiPriority w:val="99"/>
    <w:qFormat/>
    <w:pPr>
      <w:snapToGrid w:val="0"/>
      <w:spacing w:line="240" w:lineRule="atLeast"/>
      <w:jc w:val="center"/>
      <w:textAlignment w:val="baseline"/>
    </w:pPr>
    <w:rPr>
      <w:rFonts w:hAnsi="Arial" w:cs="Arial"/>
    </w:rPr>
  </w:style>
  <w:style w:type="paragraph" w:customStyle="1" w:styleId="xl80">
    <w:name w:val="xl80"/>
    <w:basedOn w:val="a2"/>
    <w:qFormat/>
    <w:pPr>
      <w:pBdr>
        <w:top w:val="single" w:sz="4" w:space="0" w:color="auto"/>
        <w:bottom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CM11">
    <w:name w:val="CM11"/>
    <w:basedOn w:val="Default"/>
    <w:next w:val="Default"/>
    <w:uiPriority w:val="99"/>
    <w:qFormat/>
    <w:pPr>
      <w:spacing w:beforeLines="0" w:before="0" w:afterLines="0" w:after="198" w:line="240" w:lineRule="auto"/>
      <w:ind w:firstLineChars="0" w:firstLine="0"/>
    </w:pPr>
    <w:rPr>
      <w:rFonts w:ascii="新宋体" w:eastAsia="新宋体" w:cs="Times New Roman"/>
      <w:color w:val="auto"/>
    </w:rPr>
  </w:style>
  <w:style w:type="paragraph" w:customStyle="1" w:styleId="12e">
    <w:name w:val="样式 左 行距: 固定值 12 磅"/>
    <w:basedOn w:val="a2"/>
    <w:uiPriority w:val="99"/>
    <w:qFormat/>
    <w:pPr>
      <w:spacing w:line="240" w:lineRule="exact"/>
    </w:pPr>
    <w:rPr>
      <w:rFonts w:cs="宋体"/>
      <w:sz w:val="24"/>
    </w:rPr>
  </w:style>
  <w:style w:type="paragraph" w:customStyle="1" w:styleId="T20">
    <w:name w:val="T2"/>
    <w:basedOn w:val="22"/>
    <w:qFormat/>
    <w:pPr>
      <w:keepLines w:val="0"/>
      <w:spacing w:before="0" w:after="0" w:line="600" w:lineRule="auto"/>
    </w:pPr>
    <w:rPr>
      <w:rFonts w:ascii="Times New Roman" w:eastAsia="宋体" w:hAnsi="Times New Roman" w:cs="Times New Roman"/>
      <w:bCs w:val="0"/>
      <w:sz w:val="28"/>
      <w:szCs w:val="30"/>
    </w:rPr>
  </w:style>
  <w:style w:type="paragraph" w:customStyle="1" w:styleId="1H1NMPHeading1SectionHeadHeader1h11stleve0">
    <w:name w:val="样式 样式 标题 1章标题章节H1NMP Heading 1Section HeadHeader1h11st leve... +..."/>
    <w:basedOn w:val="1H1NMPHeading1SectionHeadHeader1h11stleve"/>
    <w:qFormat/>
    <w:pPr>
      <w:jc w:val="both"/>
    </w:pPr>
    <w:rPr>
      <w:rFonts w:eastAsia="方正黑体_GBK"/>
      <w:sz w:val="36"/>
    </w:rPr>
  </w:style>
  <w:style w:type="paragraph" w:customStyle="1" w:styleId="33H3h33rdlevel3CharChar33">
    <w:name w:val="样式 标题 3标题3H3h33rd level第二层条头标题 3 Char Char小标题小节标题标题 3 ...3"/>
    <w:basedOn w:val="32"/>
    <w:uiPriority w:val="99"/>
    <w:qFormat/>
    <w:pPr>
      <w:keepLines w:val="0"/>
      <w:tabs>
        <w:tab w:val="left" w:pos="709"/>
      </w:tabs>
      <w:spacing w:before="156" w:after="120" w:line="264" w:lineRule="auto"/>
      <w:ind w:left="709" w:hanging="709"/>
      <w:textAlignment w:val="baseline"/>
    </w:pPr>
    <w:rPr>
      <w:rFonts w:ascii="Times New Roman" w:eastAsia="仿宋_GB2312" w:cs="宋体"/>
      <w:b w:val="0"/>
      <w:bCs w:val="0"/>
      <w:sz w:val="24"/>
      <w:szCs w:val="20"/>
    </w:rPr>
  </w:style>
  <w:style w:type="paragraph" w:customStyle="1" w:styleId="xl121">
    <w:name w:val="xl121"/>
    <w:basedOn w:val="a2"/>
    <w:qFormat/>
    <w:pPr>
      <w:spacing w:before="100" w:beforeAutospacing="1" w:after="100" w:afterAutospacing="1"/>
    </w:pPr>
    <w:rPr>
      <w:rFonts w:ascii="Arial Unicode MS" w:hAnsi="Arial Unicode MS"/>
      <w:sz w:val="16"/>
    </w:rPr>
  </w:style>
  <w:style w:type="paragraph" w:customStyle="1" w:styleId="afffffffffffffffffff9">
    <w:name w:val="谏壁表头"/>
    <w:basedOn w:val="chen2"/>
    <w:qFormat/>
    <w:pPr>
      <w:ind w:firstLine="482"/>
      <w:jc w:val="center"/>
    </w:pPr>
    <w:rPr>
      <w:b/>
    </w:rPr>
  </w:style>
  <w:style w:type="paragraph" w:customStyle="1" w:styleId="T3">
    <w:name w:val="T表格小字"/>
    <w:basedOn w:val="af4"/>
    <w:uiPriority w:val="99"/>
    <w:qFormat/>
    <w:pPr>
      <w:tabs>
        <w:tab w:val="left" w:pos="900"/>
      </w:tabs>
      <w:spacing w:after="0" w:line="200" w:lineRule="exact"/>
      <w:jc w:val="both"/>
    </w:pPr>
    <w:rPr>
      <w:rFonts w:eastAsia="仿宋_GB2312"/>
      <w:kern w:val="0"/>
      <w:sz w:val="15"/>
      <w:szCs w:val="24"/>
      <w:lang w:val="zh-CN"/>
    </w:rPr>
  </w:style>
  <w:style w:type="paragraph" w:customStyle="1" w:styleId="CharCharCharChar1CharCharCharCharCharCharChar2">
    <w:name w:val="Char Char Char Char1 Char Char Char Char Char Char Char2"/>
    <w:basedOn w:val="a2"/>
    <w:uiPriority w:val="99"/>
    <w:qFormat/>
    <w:pPr>
      <w:tabs>
        <w:tab w:val="left" w:pos="360"/>
      </w:tabs>
      <w:snapToGrid w:val="0"/>
      <w:spacing w:line="360" w:lineRule="auto"/>
      <w:jc w:val="both"/>
    </w:pPr>
    <w:rPr>
      <w:rFonts w:ascii="Times New Roman" w:eastAsia="仿宋_GB2312"/>
    </w:rPr>
  </w:style>
  <w:style w:type="paragraph" w:customStyle="1" w:styleId="CharChar161">
    <w:name w:val="Char Char161"/>
    <w:basedOn w:val="a2"/>
    <w:uiPriority w:val="99"/>
    <w:qFormat/>
    <w:pPr>
      <w:jc w:val="both"/>
    </w:pPr>
    <w:rPr>
      <w:sz w:val="24"/>
    </w:rPr>
  </w:style>
  <w:style w:type="paragraph" w:customStyle="1" w:styleId="Char1CharCharCharCharCharChar13">
    <w:name w:val="Char1 Char Char Char Char Char Char13"/>
    <w:basedOn w:val="a2"/>
    <w:uiPriority w:val="99"/>
    <w:qFormat/>
  </w:style>
  <w:style w:type="paragraph" w:customStyle="1" w:styleId="afffffffffffffffffffa">
    <w:name w:val="表格的格式"/>
    <w:basedOn w:val="a2"/>
    <w:qFormat/>
    <w:pPr>
      <w:jc w:val="center"/>
    </w:pPr>
    <w:rPr>
      <w:rFonts w:ascii="Times New Roman"/>
    </w:rPr>
  </w:style>
  <w:style w:type="paragraph" w:customStyle="1" w:styleId="text-1">
    <w:name w:val="text-1"/>
    <w:basedOn w:val="a2"/>
    <w:uiPriority w:val="99"/>
    <w:qFormat/>
    <w:pPr>
      <w:ind w:firstLine="680"/>
      <w:jc w:val="both"/>
    </w:pPr>
  </w:style>
  <w:style w:type="paragraph" w:customStyle="1" w:styleId="CM45">
    <w:name w:val="CM45"/>
    <w:basedOn w:val="Default"/>
    <w:next w:val="Default"/>
    <w:pPr>
      <w:spacing w:beforeLines="0" w:before="0" w:afterLines="0" w:after="0" w:line="240" w:lineRule="auto"/>
      <w:ind w:firstLineChars="0" w:firstLine="0"/>
      <w:jc w:val="both"/>
    </w:pPr>
    <w:rPr>
      <w:rFonts w:ascii="黑体" w:eastAsia="黑体" w:cs="Times New Roman"/>
      <w:color w:val="auto"/>
    </w:rPr>
  </w:style>
  <w:style w:type="paragraph" w:customStyle="1" w:styleId="1CharCharCharCharCharCharChar">
    <w:name w:val="1 Char Char Char Char Char Char Char"/>
    <w:basedOn w:val="a2"/>
    <w:uiPriority w:val="99"/>
    <w:qFormat/>
    <w:pPr>
      <w:jc w:val="both"/>
    </w:pPr>
  </w:style>
  <w:style w:type="paragraph" w:customStyle="1" w:styleId="afffffffffffffffffffb">
    <w:name w:val="바탕글"/>
    <w:uiPriority w:val="99"/>
    <w:qFormat/>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Batang" w:eastAsia="Batang" w:hAnsi="Times New Roman" w:cs="Times New Roman"/>
      <w:color w:val="000000"/>
      <w:lang w:eastAsia="ko-KR"/>
    </w:rPr>
  </w:style>
  <w:style w:type="paragraph" w:customStyle="1" w:styleId="xl753">
    <w:name w:val="xl753"/>
    <w:basedOn w:val="a2"/>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Arial Unicode MS" w:hint="eastAsia"/>
      <w:sz w:val="24"/>
    </w:rPr>
  </w:style>
  <w:style w:type="paragraph" w:customStyle="1" w:styleId="11Char11-h11stlevelSectionHeadl1b1">
    <w:name w:val="样式 标题 1标题 1 Char文号1章标题 1-*+h11st levelSection Headl1b1..."/>
    <w:basedOn w:val="12"/>
    <w:next w:val="a2"/>
    <w:uiPriority w:val="99"/>
    <w:qFormat/>
    <w:pPr>
      <w:pageBreakBefore/>
      <w:tabs>
        <w:tab w:val="left" w:pos="425"/>
      </w:tabs>
      <w:snapToGrid w:val="0"/>
      <w:spacing w:before="240" w:after="240" w:line="578" w:lineRule="auto"/>
      <w:ind w:left="425" w:hanging="425"/>
      <w:jc w:val="both"/>
      <w:textAlignment w:val="auto"/>
    </w:pPr>
    <w:rPr>
      <w:b/>
      <w:bCs w:val="0"/>
      <w:sz w:val="36"/>
      <w:szCs w:val="32"/>
    </w:rPr>
  </w:style>
  <w:style w:type="paragraph" w:customStyle="1" w:styleId="1ffffff1">
    <w:name w:val="质表正文1"/>
    <w:basedOn w:val="a2"/>
    <w:uiPriority w:val="99"/>
    <w:qFormat/>
    <w:pPr>
      <w:snapToGrid w:val="0"/>
      <w:spacing w:line="360" w:lineRule="auto"/>
      <w:jc w:val="center"/>
    </w:pPr>
    <w:rPr>
      <w:rFonts w:ascii="宋体" w:hAnsi="宋体"/>
    </w:rPr>
  </w:style>
  <w:style w:type="paragraph" w:customStyle="1" w:styleId="316">
    <w:name w:val="标题 31"/>
    <w:basedOn w:val="a2"/>
    <w:next w:val="a2"/>
    <w:uiPriority w:val="99"/>
    <w:qFormat/>
    <w:pPr>
      <w:keepNext/>
      <w:keepLines/>
      <w:spacing w:before="120" w:after="120" w:line="500" w:lineRule="exact"/>
      <w:jc w:val="both"/>
      <w:textAlignment w:val="baseline"/>
    </w:pPr>
    <w:rPr>
      <w:rFonts w:ascii="宋体" w:eastAsia="黑体" w:hAnsi="宋体" w:hint="eastAsia"/>
      <w:sz w:val="30"/>
    </w:rPr>
  </w:style>
  <w:style w:type="paragraph" w:customStyle="1" w:styleId="1130">
    <w:name w:val="样式 首行缩进:  1.13 厘米"/>
    <w:basedOn w:val="a2"/>
    <w:uiPriority w:val="99"/>
    <w:qFormat/>
    <w:pPr>
      <w:spacing w:line="500" w:lineRule="exact"/>
    </w:pPr>
    <w:rPr>
      <w:rFonts w:ascii="华文中宋" w:eastAsia="仿宋_GB2312" w:hAnsi="华文中宋"/>
      <w:sz w:val="32"/>
    </w:rPr>
  </w:style>
  <w:style w:type="paragraph" w:customStyle="1" w:styleId="1h1H1PIM1111SectionHeadHeader11stlevell1">
    <w:name w:val="样式 标题 1h1H1PIM 1标书11.标题 1Section HeadHeader11st levell1..."/>
    <w:basedOn w:val="12"/>
    <w:qFormat/>
    <w:pPr>
      <w:tabs>
        <w:tab w:val="left" w:pos="1155"/>
      </w:tabs>
      <w:spacing w:before="240" w:after="240" w:line="500" w:lineRule="exact"/>
      <w:textAlignment w:val="auto"/>
    </w:pPr>
    <w:rPr>
      <w:rFonts w:ascii="宋体" w:eastAsia="宋体" w:hAnsi="宋体"/>
      <w:b/>
      <w:color w:val="000000"/>
      <w:sz w:val="28"/>
      <w:szCs w:val="28"/>
    </w:rPr>
  </w:style>
  <w:style w:type="paragraph" w:customStyle="1" w:styleId="CM83">
    <w:name w:val="CM83"/>
    <w:basedOn w:val="Default"/>
    <w:next w:val="Default"/>
    <w:qFormat/>
    <w:pPr>
      <w:spacing w:afterLines="0" w:after="138"/>
    </w:pPr>
    <w:rPr>
      <w:rFonts w:cs="Times New Roman"/>
      <w:color w:val="auto"/>
      <w:sz w:val="20"/>
    </w:rPr>
  </w:style>
  <w:style w:type="paragraph" w:customStyle="1" w:styleId="Char2CharChar1CharCharCharCharCharCharCharCharCharChar3">
    <w:name w:val="Char2 Char Char1 Char Char Char Char Char Char Char Char Char Char3"/>
    <w:basedOn w:val="a2"/>
    <w:uiPriority w:val="99"/>
    <w:qFormat/>
    <w:pPr>
      <w:jc w:val="both"/>
    </w:pPr>
  </w:style>
  <w:style w:type="paragraph" w:customStyle="1" w:styleId="z-2">
    <w:name w:val="z-窗体顶端2"/>
    <w:basedOn w:val="a2"/>
    <w:next w:val="a2"/>
    <w:uiPriority w:val="99"/>
    <w:qFormat/>
    <w:pPr>
      <w:pBdr>
        <w:bottom w:val="single" w:sz="6" w:space="1" w:color="auto"/>
      </w:pBdr>
      <w:jc w:val="center"/>
      <w:textAlignment w:val="baseline"/>
    </w:pPr>
    <w:rPr>
      <w:rFonts w:hAnsi="Arial"/>
      <w:vanish/>
      <w:sz w:val="16"/>
    </w:rPr>
  </w:style>
  <w:style w:type="paragraph" w:customStyle="1" w:styleId="ParaCharCharChar1Char">
    <w:name w:val="默认段落字体 Para Char Char Char1 Char"/>
    <w:basedOn w:val="a2"/>
    <w:qFormat/>
    <w:pPr>
      <w:spacing w:line="240" w:lineRule="atLeast"/>
      <w:ind w:left="420" w:firstLine="420"/>
      <w:jc w:val="both"/>
    </w:pPr>
  </w:style>
  <w:style w:type="paragraph" w:customStyle="1" w:styleId="CharCharChar1CharCharCharCharCharCharCharCharCharCharCharCharChar">
    <w:name w:val="Char Char Char1 Char Char Char Char Char Char Char Char Char Char Char Char Char"/>
    <w:basedOn w:val="a2"/>
    <w:pPr>
      <w:jc w:val="both"/>
    </w:pPr>
    <w:rPr>
      <w:sz w:val="24"/>
    </w:rPr>
  </w:style>
  <w:style w:type="paragraph" w:customStyle="1" w:styleId="Char310">
    <w:name w:val="Char31"/>
    <w:basedOn w:val="a2"/>
    <w:qFormat/>
    <w:rPr>
      <w:sz w:val="30"/>
    </w:rPr>
  </w:style>
  <w:style w:type="paragraph" w:customStyle="1" w:styleId="1ffffff2">
    <w:name w:val="表体1"/>
    <w:basedOn w:val="a2"/>
    <w:pPr>
      <w:autoSpaceDE/>
      <w:autoSpaceDN/>
      <w:snapToGrid w:val="0"/>
      <w:spacing w:line="360" w:lineRule="atLeast"/>
      <w:ind w:left="-96" w:right="-85"/>
      <w:jc w:val="center"/>
      <w:textAlignment w:val="baseline"/>
    </w:pPr>
    <w:rPr>
      <w:rFonts w:ascii="仿宋_GB2312" w:eastAsia="仿宋_GB2312" w:hAnsi="Courier New"/>
    </w:rPr>
  </w:style>
  <w:style w:type="paragraph" w:customStyle="1" w:styleId="xl78">
    <w:name w:val="xl78"/>
    <w:basedOn w:val="a2"/>
    <w:qFormat/>
    <w:pPr>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11e">
    <w:name w:val="11"/>
    <w:basedOn w:val="a2"/>
    <w:next w:val="a3"/>
    <w:qFormat/>
    <w:pPr>
      <w:ind w:firstLineChars="200" w:firstLine="420"/>
      <w:jc w:val="both"/>
    </w:pPr>
  </w:style>
  <w:style w:type="paragraph" w:customStyle="1" w:styleId="Char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 Char4"/>
    <w:basedOn w:val="a2"/>
    <w:uiPriority w:val="99"/>
    <w:qFormat/>
    <w:pPr>
      <w:jc w:val="both"/>
    </w:pPr>
  </w:style>
  <w:style w:type="paragraph" w:customStyle="1" w:styleId="CharChar1CharCharCharCharCharCharCharCharCharCharCharCharCharCharCharCharCharCharCharChar1Char5">
    <w:name w:val="Char Char1 Char Char Char Char Char Char Char Char Char Char Char Char Char Char Char Char Char Char Char Char1 Char5"/>
    <w:basedOn w:val="a2"/>
    <w:qFormat/>
    <w:pPr>
      <w:spacing w:line="360" w:lineRule="auto"/>
      <w:ind w:firstLineChars="200" w:firstLine="200"/>
    </w:pPr>
    <w:rPr>
      <w:rFonts w:ascii="宋体" w:hAnsi="宋体" w:cs="宋体"/>
      <w:sz w:val="24"/>
    </w:rPr>
  </w:style>
  <w:style w:type="paragraph" w:customStyle="1" w:styleId="Char1CharCharCharCharChar1Char3">
    <w:name w:val="Char1 Char Char Char Char Char1 Char3"/>
    <w:basedOn w:val="a2"/>
    <w:semiHidden/>
    <w:qFormat/>
    <w:pPr>
      <w:jc w:val="both"/>
    </w:pPr>
    <w:rPr>
      <w:rFonts w:ascii="Times New Roman"/>
    </w:rPr>
  </w:style>
  <w:style w:type="paragraph" w:customStyle="1" w:styleId="afffffffffffffffffffc">
    <w:name w:val="表粗"/>
    <w:basedOn w:val="afffffffffff5"/>
    <w:uiPriority w:val="99"/>
    <w:qFormat/>
    <w:pPr>
      <w:spacing w:line="360" w:lineRule="exact"/>
    </w:pPr>
    <w:rPr>
      <w:rFonts w:ascii="Arial" w:eastAsia="仿宋_GB2312" w:hAnsi="Arial"/>
      <w:b/>
      <w:color w:val="000000"/>
      <w:sz w:val="21"/>
      <w:szCs w:val="21"/>
    </w:rPr>
  </w:style>
  <w:style w:type="paragraph" w:customStyle="1" w:styleId="afffffffffffffffffffd">
    <w:name w:val="深圳"/>
    <w:basedOn w:val="CM6"/>
    <w:uiPriority w:val="99"/>
    <w:qFormat/>
    <w:pPr>
      <w:snapToGrid w:val="0"/>
      <w:spacing w:beforeLines="50" w:before="156" w:afterLines="50" w:after="156" w:line="360" w:lineRule="auto"/>
      <w:ind w:firstLineChars="200" w:firstLine="425"/>
      <w:jc w:val="both"/>
    </w:pPr>
    <w:rPr>
      <w:rFonts w:ascii="Times New Roman" w:eastAsia="宋体" w:cs="..ì."/>
      <w:color w:val="000000"/>
      <w:sz w:val="21"/>
      <w:szCs w:val="21"/>
    </w:rPr>
  </w:style>
  <w:style w:type="paragraph" w:customStyle="1" w:styleId="CM6">
    <w:name w:val="CM6"/>
    <w:basedOn w:val="Default"/>
    <w:next w:val="Default"/>
    <w:uiPriority w:val="99"/>
    <w:qFormat/>
    <w:pPr>
      <w:spacing w:beforeLines="0" w:before="0" w:afterLines="0" w:after="0" w:line="240" w:lineRule="auto"/>
      <w:ind w:firstLineChars="0" w:firstLine="0"/>
    </w:pPr>
    <w:rPr>
      <w:rFonts w:ascii="新宋体" w:eastAsia="新宋体" w:cs="Times New Roman"/>
      <w:color w:val="auto"/>
    </w:rPr>
  </w:style>
  <w:style w:type="paragraph" w:customStyle="1" w:styleId="1ffffff3">
    <w:name w:val="段落1"/>
    <w:basedOn w:val="a2"/>
    <w:pPr>
      <w:autoSpaceDE/>
      <w:autoSpaceDN/>
      <w:spacing w:line="360" w:lineRule="auto"/>
      <w:ind w:firstLineChars="200" w:firstLine="504"/>
      <w:jc w:val="both"/>
      <w:textAlignment w:val="baseline"/>
    </w:pPr>
    <w:rPr>
      <w:rFonts w:ascii="宋体" w:hAnsi="宋体"/>
      <w:spacing w:val="6"/>
    </w:rPr>
  </w:style>
  <w:style w:type="paragraph" w:customStyle="1" w:styleId="2fffb">
    <w:name w:val="正文首行缩进  2字符"/>
    <w:basedOn w:val="a2"/>
    <w:uiPriority w:val="99"/>
    <w:qFormat/>
    <w:pPr>
      <w:spacing w:line="360" w:lineRule="auto"/>
      <w:ind w:firstLineChars="200" w:firstLine="480"/>
      <w:jc w:val="both"/>
    </w:pPr>
    <w:rPr>
      <w:sz w:val="24"/>
    </w:rPr>
  </w:style>
  <w:style w:type="paragraph" w:customStyle="1" w:styleId="CharCharCharCharCharCharCharCharCharCharChar1CharCharCharCharCharCharCharCharCharCharCharCharCharCharCharChar1">
    <w:name w:val="Char Char Char Char Char Char Char Char Char Char Char1 Char Char Char Char Char Char Char Char Char Char Char Char Char Char Char Char1"/>
    <w:basedOn w:val="a2"/>
    <w:uiPriority w:val="99"/>
    <w:qFormat/>
    <w:pPr>
      <w:jc w:val="both"/>
    </w:pPr>
  </w:style>
  <w:style w:type="paragraph" w:customStyle="1" w:styleId="1113">
    <w:name w:val="正文1.1.1"/>
    <w:basedOn w:val="a2"/>
    <w:uiPriority w:val="99"/>
    <w:qFormat/>
    <w:pPr>
      <w:jc w:val="both"/>
    </w:pPr>
    <w:rPr>
      <w:rFonts w:ascii="仿宋_GB2312" w:eastAsia="仿宋_GB2312"/>
      <w:color w:val="000000"/>
      <w:spacing w:val="-8"/>
      <w:w w:val="90"/>
    </w:rPr>
  </w:style>
  <w:style w:type="paragraph" w:customStyle="1" w:styleId="2fffc">
    <w:name w:val="列出段落2"/>
    <w:basedOn w:val="a2"/>
    <w:qFormat/>
    <w:pPr>
      <w:spacing w:line="460" w:lineRule="atLeast"/>
      <w:ind w:firstLineChars="200" w:firstLine="420"/>
      <w:jc w:val="both"/>
    </w:pPr>
    <w:rPr>
      <w:rFonts w:ascii="宋体"/>
      <w:bCs/>
      <w:kern w:val="44"/>
      <w:szCs w:val="44"/>
    </w:rPr>
  </w:style>
  <w:style w:type="paragraph" w:customStyle="1" w:styleId="17113">
    <w:name w:val="样式 首行缩进:  1.71 字符13"/>
    <w:basedOn w:val="aff9"/>
    <w:uiPriority w:val="99"/>
    <w:qFormat/>
    <w:pPr>
      <w:spacing w:line="360" w:lineRule="auto"/>
      <w:ind w:firstLineChars="171" w:firstLine="359"/>
      <w:jc w:val="both"/>
    </w:pPr>
    <w:rPr>
      <w:rFonts w:cs="宋体"/>
      <w:sz w:val="24"/>
      <w:szCs w:val="20"/>
    </w:rPr>
  </w:style>
  <w:style w:type="paragraph" w:customStyle="1" w:styleId="CharCharCharCharCharCharCharCharCharChar2">
    <w:name w:val="图名称 Char Char Char Char Char Char Char Char Char Char"/>
    <w:basedOn w:val="a2"/>
    <w:uiPriority w:val="99"/>
    <w:qFormat/>
    <w:pPr>
      <w:tabs>
        <w:tab w:val="left" w:pos="-120"/>
      </w:tabs>
      <w:spacing w:before="60" w:line="310" w:lineRule="atLeast"/>
      <w:jc w:val="center"/>
    </w:pPr>
    <w:rPr>
      <w:rFonts w:ascii="黑体" w:eastAsia="黑体"/>
      <w:b/>
      <w:bCs/>
      <w:szCs w:val="28"/>
    </w:rPr>
  </w:style>
  <w:style w:type="paragraph" w:customStyle="1" w:styleId="382">
    <w:name w:val="样式 样式 样式38 + 黑色 + 首行缩进:  2 字符"/>
    <w:basedOn w:val="a2"/>
    <w:qFormat/>
    <w:pPr>
      <w:snapToGrid w:val="0"/>
      <w:spacing w:line="355" w:lineRule="auto"/>
      <w:ind w:firstLineChars="200" w:firstLine="200"/>
      <w:jc w:val="both"/>
    </w:pPr>
    <w:rPr>
      <w:rFonts w:ascii="宋体" w:eastAsia="仿宋_GB2312" w:hAnsi="宋体" w:cs="宋体"/>
      <w:color w:val="000000"/>
    </w:rPr>
  </w:style>
  <w:style w:type="paragraph" w:customStyle="1" w:styleId="CharCharChar1Char">
    <w:name w:val="Char Char Char1 Char"/>
    <w:basedOn w:val="a2"/>
    <w:pPr>
      <w:jc w:val="both"/>
    </w:pPr>
  </w:style>
  <w:style w:type="paragraph" w:customStyle="1" w:styleId="CharChar3Char">
    <w:name w:val="Char Char3 Char"/>
    <w:basedOn w:val="a2"/>
    <w:next w:val="a2"/>
    <w:uiPriority w:val="99"/>
    <w:qFormat/>
    <w:pPr>
      <w:spacing w:line="360" w:lineRule="auto"/>
      <w:ind w:firstLineChars="200" w:firstLine="200"/>
      <w:jc w:val="center"/>
    </w:pPr>
    <w:rPr>
      <w:rFonts w:eastAsia="黑体"/>
    </w:rPr>
  </w:style>
  <w:style w:type="paragraph" w:customStyle="1" w:styleId="cjh">
    <w:name w:val="cjh"/>
    <w:basedOn w:val="a2"/>
    <w:next w:val="a2"/>
    <w:qFormat/>
    <w:pPr>
      <w:keepLines/>
      <w:suppressLineNumbers/>
      <w:suppressAutoHyphens/>
      <w:jc w:val="center"/>
      <w:outlineLvl w:val="0"/>
    </w:pPr>
    <w:rPr>
      <w:rFonts w:ascii="宋体" w:hint="eastAsia"/>
      <w:kern w:val="24"/>
    </w:rPr>
  </w:style>
  <w:style w:type="paragraph" w:customStyle="1" w:styleId="afffffffffffffffffffe">
    <w:name w:val="可研正文"/>
    <w:basedOn w:val="a3"/>
    <w:uiPriority w:val="99"/>
    <w:qFormat/>
    <w:pPr>
      <w:tabs>
        <w:tab w:val="center" w:pos="567"/>
        <w:tab w:val="left" w:pos="1134"/>
        <w:tab w:val="right" w:leader="middleDot" w:pos="7938"/>
      </w:tabs>
      <w:spacing w:line="360" w:lineRule="auto"/>
      <w:ind w:firstLine="504"/>
      <w:jc w:val="both"/>
    </w:pPr>
    <w:rPr>
      <w:rFonts w:ascii="仿宋_GB2312" w:eastAsia="仿宋_GB2312"/>
      <w:snapToGrid w:val="0"/>
      <w:spacing w:val="-14"/>
      <w:kern w:val="0"/>
      <w:sz w:val="28"/>
      <w:szCs w:val="28"/>
    </w:rPr>
  </w:style>
  <w:style w:type="paragraph" w:customStyle="1" w:styleId="GB-11">
    <w:name w:val="GB-1.1"/>
    <w:pPr>
      <w:keepNext/>
      <w:numPr>
        <w:ilvl w:val="1"/>
        <w:numId w:val="14"/>
      </w:numPr>
      <w:spacing w:beforeLines="50" w:before="158" w:afterLines="50" w:after="158"/>
      <w:outlineLvl w:val="1"/>
    </w:pPr>
    <w:rPr>
      <w:rFonts w:ascii="黑体" w:eastAsia="黑体" w:hAnsi="Times New Roman" w:cs="Times New Roman"/>
      <w:sz w:val="21"/>
    </w:rPr>
  </w:style>
  <w:style w:type="paragraph" w:customStyle="1" w:styleId="affffffffffffffffffff">
    <w:name w:val="注×："/>
    <w:qFormat/>
    <w:pPr>
      <w:widowControl w:val="0"/>
      <w:tabs>
        <w:tab w:val="left" w:pos="630"/>
      </w:tabs>
      <w:autoSpaceDE w:val="0"/>
      <w:autoSpaceDN w:val="0"/>
      <w:spacing w:beforeLines="50" w:before="50" w:afterLines="50" w:after="50" w:line="360" w:lineRule="auto"/>
      <w:ind w:left="900" w:firstLineChars="40" w:hanging="500"/>
      <w:jc w:val="both"/>
    </w:pPr>
    <w:rPr>
      <w:rFonts w:ascii="Times New Roman" w:eastAsia="宋体" w:hAnsi="Times New Roman" w:cs="Times New Roman"/>
      <w:sz w:val="18"/>
    </w:rPr>
  </w:style>
  <w:style w:type="paragraph" w:customStyle="1" w:styleId="font12">
    <w:name w:val="font12"/>
    <w:basedOn w:val="a2"/>
    <w:qFormat/>
    <w:pPr>
      <w:spacing w:before="100" w:beforeAutospacing="1" w:after="100" w:afterAutospacing="1"/>
    </w:pPr>
    <w:rPr>
      <w:rFonts w:ascii="宋体" w:hAnsi="宋体" w:cs="Arial Unicode MS" w:hint="eastAsia"/>
      <w:color w:val="FF0000"/>
      <w:sz w:val="20"/>
    </w:rPr>
  </w:style>
  <w:style w:type="paragraph" w:customStyle="1" w:styleId="E">
    <w:name w:val="E"/>
    <w:basedOn w:val="D"/>
    <w:uiPriority w:val="99"/>
    <w:qFormat/>
    <w:pPr>
      <w:numPr>
        <w:ilvl w:val="4"/>
        <w:numId w:val="15"/>
      </w:numPr>
      <w:tabs>
        <w:tab w:val="clear" w:pos="360"/>
        <w:tab w:val="left" w:pos="2040"/>
      </w:tabs>
      <w:ind w:left="2040" w:hanging="360"/>
      <w:outlineLvl w:val="4"/>
    </w:pPr>
  </w:style>
  <w:style w:type="paragraph" w:customStyle="1" w:styleId="2212">
    <w:name w:val="样式 小四 行距: 固定值 22 磅1"/>
    <w:basedOn w:val="a2"/>
    <w:uiPriority w:val="99"/>
    <w:qFormat/>
    <w:pPr>
      <w:spacing w:beforeLines="100" w:before="312" w:line="560" w:lineRule="exact"/>
      <w:ind w:firstLineChars="200" w:firstLine="562"/>
      <w:jc w:val="both"/>
      <w:outlineLvl w:val="0"/>
    </w:pPr>
    <w:rPr>
      <w:rFonts w:cs="宋体"/>
      <w:b/>
      <w:szCs w:val="28"/>
    </w:rPr>
  </w:style>
  <w:style w:type="paragraph" w:customStyle="1" w:styleId="WW-1">
    <w:name w:val="WW-表格1"/>
    <w:basedOn w:val="a2"/>
    <w:uiPriority w:val="99"/>
    <w:qFormat/>
    <w:pPr>
      <w:suppressAutoHyphens/>
      <w:snapToGrid w:val="0"/>
      <w:spacing w:before="20" w:after="20"/>
      <w:jc w:val="center"/>
    </w:pPr>
    <w:rPr>
      <w:kern w:val="1"/>
      <w:lang w:eastAsia="ar-SA"/>
    </w:rPr>
  </w:style>
  <w:style w:type="paragraph" w:customStyle="1" w:styleId="75">
    <w:name w:val="样式 标题 7表标题 + 居中"/>
    <w:basedOn w:val="7"/>
    <w:uiPriority w:val="99"/>
    <w:qFormat/>
    <w:pPr>
      <w:tabs>
        <w:tab w:val="clear" w:pos="165"/>
      </w:tabs>
      <w:spacing w:line="240" w:lineRule="auto"/>
      <w:ind w:left="0" w:firstLine="0"/>
      <w:jc w:val="center"/>
    </w:pPr>
    <w:rPr>
      <w:rFonts w:eastAsia="文鼎CS中宋" w:cs="宋体"/>
      <w:b w:val="0"/>
      <w:bCs/>
      <w:kern w:val="0"/>
    </w:rPr>
  </w:style>
  <w:style w:type="paragraph" w:customStyle="1" w:styleId="xl89">
    <w:name w:val="xl89"/>
    <w:basedOn w:val="a2"/>
    <w:qFormat/>
    <w:pPr>
      <w:pBdr>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224">
    <w:name w:val="样式 正文文本 + 首行缩进:  2 字符2"/>
    <w:basedOn w:val="af4"/>
    <w:uiPriority w:val="99"/>
    <w:qFormat/>
    <w:pPr>
      <w:spacing w:after="60" w:line="264" w:lineRule="auto"/>
      <w:ind w:firstLineChars="200" w:firstLine="480"/>
      <w:jc w:val="both"/>
      <w:textAlignment w:val="baseline"/>
    </w:pPr>
    <w:rPr>
      <w:rFonts w:eastAsia="仿宋_GB2312" w:cs="宋体"/>
      <w:kern w:val="0"/>
      <w:sz w:val="24"/>
    </w:rPr>
  </w:style>
  <w:style w:type="paragraph" w:customStyle="1" w:styleId="33H3h33rdlevel3CharChar1">
    <w:name w:val="样式 标题 3标题3H3h33rd level第二层条头小标题小节标题标题 3 Char Char一海港标...1"/>
    <w:basedOn w:val="32"/>
    <w:uiPriority w:val="99"/>
    <w:qFormat/>
    <w:pPr>
      <w:keepLines w:val="0"/>
      <w:spacing w:before="120" w:after="120" w:line="264" w:lineRule="auto"/>
      <w:textAlignment w:val="baseline"/>
    </w:pPr>
    <w:rPr>
      <w:rFonts w:ascii="Times New Roman" w:eastAsia="仿宋_GB2312"/>
      <w:b w:val="0"/>
      <w:bCs w:val="0"/>
      <w:sz w:val="24"/>
      <w:szCs w:val="20"/>
    </w:rPr>
  </w:style>
  <w:style w:type="paragraph" w:customStyle="1" w:styleId="Charfffffffff9">
    <w:name w:val="样式 正文格式 Char"/>
    <w:basedOn w:val="CharCharCharCharCharCharCharCharCharCharCharCharChar"/>
    <w:uiPriority w:val="99"/>
    <w:qFormat/>
    <w:pPr>
      <w:ind w:firstLine="200"/>
    </w:pPr>
    <w:rPr>
      <w:rFonts w:ascii="宋体" w:hAnsi="宋体"/>
    </w:rPr>
  </w:style>
  <w:style w:type="paragraph" w:customStyle="1" w:styleId="105051">
    <w:name w:val="样式 标题 1 + 段前: 0.5 行 段后: 0.5 行"/>
    <w:basedOn w:val="12"/>
    <w:uiPriority w:val="99"/>
    <w:qFormat/>
    <w:pPr>
      <w:tabs>
        <w:tab w:val="left" w:pos="360"/>
      </w:tabs>
      <w:spacing w:beforeLines="50" w:before="156" w:afterLines="50" w:after="156"/>
      <w:jc w:val="both"/>
      <w:textAlignment w:val="auto"/>
    </w:pPr>
    <w:rPr>
      <w:rFonts w:eastAsia="宋体" w:cs="宋体"/>
      <w:b/>
      <w:bCs w:val="0"/>
      <w:sz w:val="28"/>
      <w:szCs w:val="44"/>
    </w:rPr>
  </w:style>
  <w:style w:type="paragraph" w:customStyle="1" w:styleId="A15">
    <w:name w:val="A标题1"/>
    <w:next w:val="a2"/>
    <w:uiPriority w:val="99"/>
    <w:qFormat/>
    <w:pPr>
      <w:spacing w:beforeLines="100" w:before="312" w:afterLines="100" w:after="312" w:line="360" w:lineRule="auto"/>
      <w:jc w:val="both"/>
      <w:outlineLvl w:val="0"/>
    </w:pPr>
    <w:rPr>
      <w:rFonts w:ascii="Times New Roman" w:eastAsia="黑体" w:hAnsi="Times New Roman" w:cs="宋体"/>
      <w:b/>
      <w:kern w:val="44"/>
      <w:sz w:val="32"/>
    </w:rPr>
  </w:style>
  <w:style w:type="paragraph" w:customStyle="1" w:styleId="affffffffffffffffffff0">
    <w:name w:val="图框"/>
    <w:basedOn w:val="a2"/>
    <w:qFormat/>
    <w:pPr>
      <w:jc w:val="center"/>
    </w:pPr>
  </w:style>
  <w:style w:type="paragraph" w:customStyle="1" w:styleId="2fffd">
    <w:name w:val="表题 2"/>
    <w:basedOn w:val="a2"/>
    <w:uiPriority w:val="99"/>
    <w:qFormat/>
    <w:pPr>
      <w:spacing w:before="120" w:after="120"/>
      <w:jc w:val="center"/>
      <w:textAlignment w:val="baseline"/>
    </w:pPr>
  </w:style>
  <w:style w:type="paragraph" w:customStyle="1" w:styleId="2fffe">
    <w:name w:val="封面标准号2"/>
    <w:basedOn w:val="a2"/>
    <w:qFormat/>
    <w:pPr>
      <w:framePr w:w="9138" w:h="1244" w:hRule="exact" w:wrap="around" w:vAnchor="page" w:hAnchor="margin" w:y="2908" w:anchorLock="1"/>
      <w:kinsoku w:val="0"/>
      <w:overflowPunct w:val="0"/>
      <w:spacing w:before="357" w:line="280" w:lineRule="exact"/>
      <w:jc w:val="right"/>
      <w:textAlignment w:val="center"/>
    </w:pPr>
  </w:style>
  <w:style w:type="paragraph" w:customStyle="1" w:styleId="CharChar12CharChar">
    <w:name w:val="Char Char12 Char Char"/>
    <w:basedOn w:val="a2"/>
    <w:qFormat/>
    <w:pPr>
      <w:autoSpaceDE/>
      <w:autoSpaceDN/>
      <w:adjustRightInd/>
      <w:jc w:val="both"/>
    </w:pPr>
    <w:rPr>
      <w:rFonts w:ascii="Tahoma" w:hAnsi="Tahoma"/>
    </w:rPr>
  </w:style>
  <w:style w:type="paragraph" w:customStyle="1" w:styleId="308221">
    <w:name w:val="样式 标题 3 + 段前: 0 磅 段后: 8 磅 行距: 固定值 22 磅1"/>
    <w:basedOn w:val="32"/>
    <w:uiPriority w:val="99"/>
    <w:qFormat/>
    <w:pPr>
      <w:tabs>
        <w:tab w:val="left" w:pos="720"/>
      </w:tabs>
      <w:spacing w:before="0" w:after="0" w:line="360" w:lineRule="auto"/>
      <w:ind w:left="720" w:hanging="720"/>
      <w:jc w:val="both"/>
    </w:pPr>
    <w:rPr>
      <w:rFonts w:ascii="Times New Roman" w:eastAsia="宋体"/>
      <w:sz w:val="28"/>
      <w:szCs w:val="28"/>
    </w:rPr>
  </w:style>
  <w:style w:type="paragraph" w:customStyle="1" w:styleId="DecimalAligned">
    <w:name w:val="Decimal Aligned"/>
    <w:basedOn w:val="a2"/>
    <w:qFormat/>
    <w:pPr>
      <w:widowControl/>
      <w:tabs>
        <w:tab w:val="decimal" w:pos="360"/>
      </w:tabs>
      <w:autoSpaceDE/>
      <w:autoSpaceDN/>
      <w:adjustRightInd/>
      <w:spacing w:after="200" w:line="276" w:lineRule="auto"/>
    </w:pPr>
    <w:rPr>
      <w:rFonts w:ascii="Calibri" w:hAnsi="Calibri"/>
      <w:sz w:val="22"/>
      <w:szCs w:val="22"/>
    </w:rPr>
  </w:style>
  <w:style w:type="paragraph" w:customStyle="1" w:styleId="CharCharCharCharCharCharCharCharCharCharCharCharCharCharCharCharCharCharChar1">
    <w:name w:val="Char Char Char Char Char Char Char Char Char Char Char Char Char Char Char Char Char Char Char1"/>
    <w:basedOn w:val="a2"/>
    <w:uiPriority w:val="99"/>
    <w:qFormat/>
    <w:pPr>
      <w:jc w:val="both"/>
    </w:pPr>
    <w:rPr>
      <w:rFonts w:ascii="Times New Roman"/>
    </w:rPr>
  </w:style>
  <w:style w:type="paragraph" w:customStyle="1" w:styleId="2150">
    <w:name w:val="样式 宋体 首行缩进:  2 字符 行距: 1.5 倍行距"/>
    <w:basedOn w:val="a2"/>
    <w:uiPriority w:val="99"/>
    <w:qFormat/>
    <w:pPr>
      <w:spacing w:line="360" w:lineRule="auto"/>
      <w:ind w:firstLineChars="200" w:firstLine="480"/>
      <w:jc w:val="both"/>
    </w:pPr>
    <w:rPr>
      <w:sz w:val="24"/>
    </w:rPr>
  </w:style>
  <w:style w:type="paragraph" w:customStyle="1" w:styleId="1240">
    <w:name w:val="样式 标题 1 + 三号 行距: 最小值 24 磅"/>
    <w:basedOn w:val="12"/>
    <w:uiPriority w:val="99"/>
    <w:qFormat/>
    <w:pPr>
      <w:tabs>
        <w:tab w:val="left" w:pos="238"/>
      </w:tabs>
      <w:spacing w:line="480" w:lineRule="auto"/>
      <w:jc w:val="both"/>
      <w:textAlignment w:val="auto"/>
    </w:pPr>
    <w:rPr>
      <w:rFonts w:eastAsia="宋体"/>
      <w:b/>
      <w:bCs w:val="0"/>
      <w:kern w:val="0"/>
      <w:sz w:val="30"/>
      <w:szCs w:val="30"/>
    </w:rPr>
  </w:style>
  <w:style w:type="paragraph" w:customStyle="1" w:styleId="201">
    <w:name w:val="样式 标题 2 + 段前: 0 磅"/>
    <w:basedOn w:val="22"/>
    <w:qFormat/>
    <w:pPr>
      <w:snapToGrid w:val="0"/>
      <w:spacing w:before="0" w:after="120" w:line="520" w:lineRule="exact"/>
      <w:jc w:val="both"/>
    </w:pPr>
    <w:rPr>
      <w:rFonts w:ascii="Arial" w:eastAsia="宋体" w:hAnsi="Arial" w:cs="宋体"/>
      <w:bCs w:val="0"/>
      <w:sz w:val="24"/>
      <w:szCs w:val="20"/>
    </w:rPr>
  </w:style>
  <w:style w:type="paragraph" w:customStyle="1" w:styleId="010">
    <w:name w:val="样式_正文_01"/>
    <w:basedOn w:val="a2"/>
    <w:uiPriority w:val="99"/>
    <w:qFormat/>
    <w:pPr>
      <w:spacing w:line="360" w:lineRule="auto"/>
      <w:ind w:left="-10" w:firstLineChars="225" w:firstLine="540"/>
      <w:jc w:val="both"/>
    </w:pPr>
    <w:rPr>
      <w:rFonts w:ascii="Garamond" w:hAnsi="Garamond"/>
      <w:sz w:val="24"/>
    </w:rPr>
  </w:style>
  <w:style w:type="paragraph" w:customStyle="1" w:styleId="CharCharChar1CharCharCharCharCharCharCharCharCharCharCharCharCharCharCharCharCharCharChar4">
    <w:name w:val="Char Char Char1 Char Char Char Char Char Char Char Char Char Char Char Char Char Char Char Char Char Char Char4"/>
    <w:basedOn w:val="a2"/>
    <w:pPr>
      <w:jc w:val="both"/>
    </w:pPr>
    <w:rPr>
      <w:sz w:val="24"/>
    </w:rPr>
  </w:style>
  <w:style w:type="paragraph" w:customStyle="1" w:styleId="CharChar1Char">
    <w:name w:val="Char Char1 Char"/>
    <w:basedOn w:val="a2"/>
    <w:pPr>
      <w:jc w:val="both"/>
    </w:pPr>
  </w:style>
  <w:style w:type="paragraph" w:customStyle="1" w:styleId="Char4CharCharCharCharCharCharCharCharChar">
    <w:name w:val="Char4 Char Char Char Char Char Char Char Char Char"/>
    <w:basedOn w:val="a2"/>
    <w:pPr>
      <w:jc w:val="both"/>
    </w:pPr>
    <w:rPr>
      <w:sz w:val="24"/>
    </w:rPr>
  </w:style>
  <w:style w:type="paragraph" w:customStyle="1" w:styleId="reader-word-layerreader-word-s2-1">
    <w:name w:val="reader-word-layer reader-word-s2-1"/>
    <w:basedOn w:val="a2"/>
    <w:pPr>
      <w:widowControl/>
      <w:autoSpaceDE/>
      <w:autoSpaceDN/>
      <w:adjustRightInd/>
      <w:spacing w:before="100" w:beforeAutospacing="1" w:after="100" w:afterAutospacing="1"/>
    </w:pPr>
    <w:rPr>
      <w:rFonts w:ascii="宋体" w:hAnsi="宋体" w:cs="宋体"/>
    </w:rPr>
  </w:style>
  <w:style w:type="paragraph" w:customStyle="1" w:styleId="Charfffffffffa">
    <w:name w:val="表格文字居中 Char"/>
    <w:basedOn w:val="aff9"/>
    <w:qFormat/>
    <w:pPr>
      <w:keepNext/>
      <w:tabs>
        <w:tab w:val="left" w:pos="628"/>
        <w:tab w:val="left" w:pos="1727"/>
        <w:tab w:val="left" w:pos="1884"/>
        <w:tab w:val="left" w:pos="2660"/>
        <w:tab w:val="left" w:pos="5460"/>
      </w:tabs>
      <w:spacing w:before="100" w:beforeAutospacing="1" w:after="0"/>
      <w:ind w:firstLineChars="0" w:firstLine="0"/>
      <w:jc w:val="center"/>
    </w:pPr>
    <w:rPr>
      <w:rFonts w:ascii="宋体"/>
      <w:bCs/>
      <w:color w:val="000000"/>
      <w:kern w:val="0"/>
      <w:sz w:val="24"/>
      <w:szCs w:val="20"/>
    </w:rPr>
  </w:style>
  <w:style w:type="paragraph" w:customStyle="1" w:styleId="6a">
    <w:name w:val="日期6"/>
    <w:basedOn w:val="a2"/>
    <w:next w:val="a2"/>
    <w:uiPriority w:val="99"/>
    <w:qFormat/>
    <w:pPr>
      <w:spacing w:line="312" w:lineRule="atLeast"/>
      <w:jc w:val="both"/>
      <w:textAlignment w:val="baseline"/>
    </w:pPr>
    <w:rPr>
      <w:rFonts w:ascii="宋体" w:hAnsi="Courier New"/>
      <w:sz w:val="20"/>
    </w:rPr>
  </w:style>
  <w:style w:type="paragraph" w:customStyle="1" w:styleId="1ffffff4">
    <w:name w:val="引用1"/>
    <w:basedOn w:val="a2"/>
    <w:next w:val="a2"/>
    <w:qFormat/>
    <w:pPr>
      <w:widowControl/>
      <w:autoSpaceDE/>
      <w:autoSpaceDN/>
      <w:adjustRightInd/>
      <w:ind w:leftChars="-20" w:left="-20" w:rightChars="-20" w:right="-20"/>
      <w:jc w:val="center"/>
    </w:pPr>
    <w:rPr>
      <w:rFonts w:hAnsi="Arial"/>
      <w:iCs/>
      <w:spacing w:val="-5"/>
      <w:lang w:bidi="he-IL"/>
    </w:rPr>
  </w:style>
  <w:style w:type="paragraph" w:customStyle="1" w:styleId="affffffffffffffffffff1">
    <w:name w:val="表芯"/>
    <w:basedOn w:val="a2"/>
    <w:next w:val="a2"/>
    <w:uiPriority w:val="99"/>
    <w:qFormat/>
    <w:pPr>
      <w:keepNext/>
      <w:spacing w:before="20" w:line="0" w:lineRule="atLeast"/>
      <w:jc w:val="center"/>
      <w:textAlignment w:val="baseline"/>
    </w:pPr>
    <w:rPr>
      <w:kern w:val="21"/>
    </w:rPr>
  </w:style>
  <w:style w:type="paragraph" w:customStyle="1" w:styleId="76">
    <w:name w:val="样式7"/>
    <w:basedOn w:val="22"/>
    <w:qFormat/>
    <w:pPr>
      <w:spacing w:before="0" w:after="0" w:line="360" w:lineRule="auto"/>
    </w:pPr>
    <w:rPr>
      <w:rFonts w:ascii="黑体" w:eastAsia="黑体" w:hAnsi="Arial" w:cs="Times New Roman"/>
      <w:b w:val="0"/>
      <w:sz w:val="36"/>
    </w:rPr>
  </w:style>
  <w:style w:type="paragraph" w:customStyle="1" w:styleId="affffffffffffffffffff2">
    <w:name w:val="封面日期"/>
    <w:basedOn w:val="a2"/>
    <w:pPr>
      <w:autoSpaceDE/>
      <w:autoSpaceDN/>
      <w:adjustRightInd/>
      <w:spacing w:line="400" w:lineRule="exact"/>
      <w:ind w:firstLineChars="200" w:firstLine="560"/>
      <w:jc w:val="center"/>
    </w:pPr>
    <w:rPr>
      <w:rFonts w:ascii="仿宋_GB2312" w:eastAsia="仿宋_GB2312"/>
    </w:rPr>
  </w:style>
  <w:style w:type="paragraph" w:customStyle="1" w:styleId="Char2CharChar1CharCharCharChar1">
    <w:name w:val="Char2 Char Char1 Char Char Char Char1"/>
    <w:basedOn w:val="a2"/>
    <w:uiPriority w:val="99"/>
    <w:qFormat/>
    <w:pPr>
      <w:jc w:val="both"/>
    </w:pPr>
    <w:rPr>
      <w:sz w:val="24"/>
    </w:rPr>
  </w:style>
  <w:style w:type="paragraph" w:customStyle="1" w:styleId="xl757">
    <w:name w:val="xl757"/>
    <w:basedOn w:val="a2"/>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hint="eastAsia"/>
      <w:sz w:val="24"/>
    </w:rPr>
  </w:style>
  <w:style w:type="paragraph" w:customStyle="1" w:styleId="2ffff">
    <w:name w:val="批注框文本2"/>
    <w:basedOn w:val="a2"/>
    <w:uiPriority w:val="99"/>
    <w:qFormat/>
    <w:rPr>
      <w:rFonts w:ascii="Times New Roman"/>
      <w:sz w:val="18"/>
    </w:rPr>
  </w:style>
  <w:style w:type="paragraph" w:customStyle="1" w:styleId="xl91">
    <w:name w:val="xl91"/>
    <w:basedOn w:val="a2"/>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宋体" w:hAnsi="宋体"/>
      <w:sz w:val="20"/>
    </w:rPr>
  </w:style>
  <w:style w:type="paragraph" w:customStyle="1" w:styleId="Char2CharChar1CharCharChar4">
    <w:name w:val="Char2 Char Char1 Char Char Char4"/>
    <w:basedOn w:val="a2"/>
    <w:pPr>
      <w:jc w:val="both"/>
    </w:pPr>
    <w:rPr>
      <w:sz w:val="24"/>
    </w:rPr>
  </w:style>
  <w:style w:type="paragraph" w:customStyle="1" w:styleId="CharCharChar1CharChar">
    <w:name w:val="Char Char Char1 Char Char"/>
    <w:basedOn w:val="a2"/>
    <w:uiPriority w:val="99"/>
    <w:qFormat/>
    <w:pPr>
      <w:jc w:val="both"/>
    </w:pPr>
    <w:rPr>
      <w:rFonts w:ascii="宋体" w:hAnsi="宋体" w:cs="宋体"/>
      <w:color w:val="000000"/>
      <w:sz w:val="24"/>
    </w:rPr>
  </w:style>
  <w:style w:type="paragraph" w:customStyle="1" w:styleId="161">
    <w:name w:val="16"/>
    <w:basedOn w:val="a2"/>
    <w:next w:val="af8"/>
    <w:qFormat/>
    <w:pPr>
      <w:spacing w:line="500" w:lineRule="exact"/>
      <w:jc w:val="both"/>
    </w:pPr>
    <w:rPr>
      <w:rFonts w:ascii="宋体" w:eastAsia="仿宋_GB2312" w:hAnsi="Courier New"/>
    </w:rPr>
  </w:style>
  <w:style w:type="paragraph" w:customStyle="1" w:styleId="77">
    <w:name w:val="表格内字体7"/>
    <w:basedOn w:val="a2"/>
    <w:uiPriority w:val="99"/>
    <w:qFormat/>
    <w:pPr>
      <w:jc w:val="center"/>
    </w:pPr>
    <w:rPr>
      <w:rFonts w:ascii="宋体" w:cs="宋体"/>
    </w:rPr>
  </w:style>
  <w:style w:type="paragraph" w:customStyle="1" w:styleId="12f">
    <w:name w:val="纯文本12"/>
    <w:basedOn w:val="a2"/>
    <w:qFormat/>
    <w:pPr>
      <w:spacing w:line="300" w:lineRule="auto"/>
      <w:textAlignment w:val="baseline"/>
    </w:pPr>
    <w:rPr>
      <w:rFonts w:ascii="Courier New" w:hAnsi="Courier New"/>
    </w:rPr>
  </w:style>
  <w:style w:type="paragraph" w:customStyle="1" w:styleId="table1">
    <w:name w:val="table1"/>
    <w:basedOn w:val="a2"/>
    <w:uiPriority w:val="99"/>
    <w:qFormat/>
    <w:pPr>
      <w:spacing w:line="240" w:lineRule="atLeast"/>
      <w:jc w:val="center"/>
      <w:textAlignment w:val="baseline"/>
    </w:pPr>
    <w:rPr>
      <w:rFonts w:eastAsia="黑体"/>
      <w:sz w:val="24"/>
    </w:rPr>
  </w:style>
  <w:style w:type="paragraph" w:customStyle="1" w:styleId="pvc11">
    <w:name w:val="pvc1.1"/>
    <w:basedOn w:val="22"/>
    <w:next w:val="22"/>
    <w:uiPriority w:val="99"/>
    <w:qFormat/>
    <w:pPr>
      <w:tabs>
        <w:tab w:val="left" w:pos="576"/>
        <w:tab w:val="left" w:pos="768"/>
      </w:tabs>
      <w:spacing w:beforeLines="100" w:before="120" w:afterLines="100" w:after="120" w:line="324" w:lineRule="auto"/>
      <w:ind w:left="576" w:hanging="576"/>
      <w:jc w:val="both"/>
    </w:pPr>
    <w:rPr>
      <w:rFonts w:ascii="黑体" w:eastAsia="华文中宋" w:hAnsi="Arial" w:cs="宋体"/>
      <w:b w:val="0"/>
      <w:bCs w:val="0"/>
      <w:sz w:val="44"/>
      <w:szCs w:val="44"/>
    </w:rPr>
  </w:style>
  <w:style w:type="paragraph" w:customStyle="1" w:styleId="z">
    <w:name w:val="z正文"/>
    <w:basedOn w:val="a2"/>
    <w:uiPriority w:val="99"/>
    <w:qFormat/>
    <w:pPr>
      <w:kinsoku w:val="0"/>
      <w:snapToGrid w:val="0"/>
      <w:spacing w:line="360" w:lineRule="auto"/>
      <w:ind w:firstLineChars="200" w:firstLine="480"/>
      <w:jc w:val="both"/>
    </w:pPr>
    <w:rPr>
      <w:rFonts w:hAnsi="Arial" w:cs="Arial"/>
      <w:bCs/>
      <w:sz w:val="24"/>
    </w:rPr>
  </w:style>
  <w:style w:type="paragraph" w:customStyle="1" w:styleId="CharCharCharCharCharCharCharChar1CharCharCharCharCharCharCharCharCharCharCharChar1Char2">
    <w:name w:val="Char Char Char Char Char Char Char Char1 Char Char Char Char Char Char Char Char Char Char Char Char1 Char2"/>
    <w:basedOn w:val="a2"/>
    <w:uiPriority w:val="99"/>
    <w:qFormat/>
    <w:pPr>
      <w:jc w:val="both"/>
    </w:pPr>
    <w:rPr>
      <w:rFonts w:ascii="Times New Roman"/>
    </w:rPr>
  </w:style>
  <w:style w:type="paragraph" w:customStyle="1" w:styleId="affffffffffffffffffff3">
    <w:name w:val="表名和图名"/>
    <w:uiPriority w:val="99"/>
    <w:qFormat/>
    <w:pPr>
      <w:jc w:val="center"/>
    </w:pPr>
    <w:rPr>
      <w:rFonts w:ascii="Times New Roman" w:eastAsia="宋体" w:hAnsi="Times New Roman" w:cs="Times New Roman"/>
      <w:b/>
      <w:sz w:val="24"/>
    </w:rPr>
  </w:style>
  <w:style w:type="paragraph" w:customStyle="1" w:styleId="CM1">
    <w:name w:val="CM1"/>
    <w:basedOn w:val="a2"/>
    <w:next w:val="a2"/>
    <w:qFormat/>
    <w:pPr>
      <w:spacing w:line="360" w:lineRule="auto"/>
      <w:jc w:val="center"/>
    </w:pPr>
    <w:rPr>
      <w:rFonts w:ascii="宋体" w:hAnsi="宋体" w:cs="宋体"/>
      <w:szCs w:val="28"/>
    </w:rPr>
  </w:style>
  <w:style w:type="paragraph" w:customStyle="1" w:styleId="affffffffffffffffffff4">
    <w:name w:val="样式 列表"/>
    <w:basedOn w:val="aff2"/>
    <w:qFormat/>
    <w:pPr>
      <w:spacing w:line="280" w:lineRule="exact"/>
    </w:pPr>
    <w:rPr>
      <w:rFonts w:ascii="Times New Roman" w:eastAsia="方正仿宋_GBK" w:cs="宋体"/>
      <w:sz w:val="21"/>
    </w:rPr>
  </w:style>
  <w:style w:type="paragraph" w:customStyle="1" w:styleId="affffffffffffffffffff5">
    <w:name w:val="内容"/>
    <w:basedOn w:val="a2"/>
    <w:uiPriority w:val="99"/>
    <w:qFormat/>
    <w:pPr>
      <w:overflowPunct w:val="0"/>
      <w:spacing w:line="360" w:lineRule="auto"/>
      <w:ind w:firstLineChars="200" w:firstLine="560"/>
      <w:textAlignment w:val="baseline"/>
    </w:pPr>
    <w:rPr>
      <w:rFonts w:ascii="宋体" w:hAnsi="Garamond"/>
    </w:rPr>
  </w:style>
  <w:style w:type="paragraph" w:customStyle="1" w:styleId="4CharCharChar1CharCharCharChar">
    <w:name w:val="4 Char Char Char1 Char Char Char Char"/>
    <w:basedOn w:val="a2"/>
    <w:pPr>
      <w:autoSpaceDE/>
      <w:autoSpaceDN/>
      <w:adjustRightInd/>
      <w:spacing w:line="360" w:lineRule="auto"/>
      <w:ind w:firstLineChars="200" w:firstLine="200"/>
      <w:jc w:val="both"/>
    </w:pPr>
    <w:rPr>
      <w:rFonts w:ascii="宋体" w:hAnsi="宋体" w:cs="宋体"/>
    </w:rPr>
  </w:style>
  <w:style w:type="paragraph" w:customStyle="1" w:styleId="xl81">
    <w:name w:val="xl81"/>
    <w:basedOn w:val="a2"/>
    <w:qFormat/>
    <w:pPr>
      <w:pBdr>
        <w:top w:val="single" w:sz="4" w:space="0" w:color="auto"/>
        <w:lef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CharCharCharCharCharCharCharCharCharCharCharCharCharCharCharCharCharCharChar3">
    <w:name w:val="Char Char Char Char Char Char Char Char Char Char Char Char Char Char Char Char Char Char Char3"/>
    <w:basedOn w:val="a2"/>
    <w:qFormat/>
    <w:pPr>
      <w:jc w:val="both"/>
    </w:pPr>
    <w:rPr>
      <w:sz w:val="24"/>
    </w:rPr>
  </w:style>
  <w:style w:type="paragraph" w:customStyle="1" w:styleId="Char1CharCharCharCharCharChar2">
    <w:name w:val="Char1 Char Char Char Char Char Char2"/>
    <w:basedOn w:val="a2"/>
    <w:qFormat/>
    <w:pPr>
      <w:jc w:val="both"/>
    </w:pPr>
  </w:style>
  <w:style w:type="paragraph" w:customStyle="1" w:styleId="1ffffff5">
    <w:name w:val="我的标题1"/>
    <w:basedOn w:val="a2"/>
    <w:uiPriority w:val="99"/>
    <w:qFormat/>
    <w:pPr>
      <w:spacing w:line="460" w:lineRule="exact"/>
      <w:ind w:firstLineChars="192" w:firstLine="192"/>
      <w:jc w:val="both"/>
      <w:outlineLvl w:val="0"/>
    </w:pPr>
    <w:rPr>
      <w:rFonts w:ascii="黑体" w:eastAsia="黑体"/>
      <w:sz w:val="32"/>
    </w:rPr>
  </w:style>
  <w:style w:type="paragraph" w:customStyle="1" w:styleId="affffffffffffffffffff6">
    <w:name w:val="正文条目a"/>
    <w:basedOn w:val="a2"/>
    <w:uiPriority w:val="99"/>
    <w:qFormat/>
    <w:pPr>
      <w:ind w:leftChars="300" w:left="400" w:hangingChars="100" w:hanging="100"/>
      <w:jc w:val="both"/>
    </w:pPr>
    <w:rPr>
      <w:rFonts w:ascii="宋体"/>
      <w:sz w:val="24"/>
    </w:rPr>
  </w:style>
  <w:style w:type="paragraph" w:customStyle="1" w:styleId="3111H3BOD0Heading3-oldLevel3Head">
    <w:name w:val="样式 标题 3小标题小节标题条标题1.1.1H3BOD 0Heading 3 - oldLevel 3 Head..."/>
    <w:basedOn w:val="32"/>
    <w:uiPriority w:val="99"/>
    <w:qFormat/>
    <w:pPr>
      <w:tabs>
        <w:tab w:val="left" w:pos="1129"/>
      </w:tabs>
      <w:snapToGrid w:val="0"/>
      <w:spacing w:beforeLines="50" w:afterLines="50" w:line="300" w:lineRule="auto"/>
      <w:ind w:left="1129" w:hanging="709"/>
      <w:jc w:val="both"/>
    </w:pPr>
    <w:rPr>
      <w:rFonts w:ascii="仿宋_GB2312" w:eastAsia="宋体"/>
      <w:b w:val="0"/>
      <w:bCs w:val="0"/>
      <w:sz w:val="28"/>
      <w:szCs w:val="20"/>
    </w:rPr>
  </w:style>
  <w:style w:type="paragraph" w:customStyle="1" w:styleId="affffffffffffffffffff7">
    <w:name w:val="大"/>
    <w:basedOn w:val="12"/>
    <w:uiPriority w:val="99"/>
    <w:qFormat/>
    <w:pPr>
      <w:keepNext w:val="0"/>
      <w:keepLines w:val="0"/>
      <w:tabs>
        <w:tab w:val="left" w:pos="432"/>
      </w:tabs>
      <w:spacing w:beforeLines="250" w:before="360" w:afterLines="100" w:after="312"/>
      <w:ind w:left="432" w:hanging="432"/>
      <w:textAlignment w:val="auto"/>
    </w:pPr>
    <w:rPr>
      <w:b/>
      <w:sz w:val="36"/>
      <w:szCs w:val="44"/>
    </w:rPr>
  </w:style>
  <w:style w:type="paragraph" w:customStyle="1" w:styleId="Style10">
    <w:name w:val="Style1"/>
    <w:basedOn w:val="a2"/>
    <w:uiPriority w:val="99"/>
    <w:qFormat/>
    <w:pPr>
      <w:tabs>
        <w:tab w:val="left" w:pos="-720"/>
      </w:tabs>
      <w:spacing w:after="120"/>
      <w:jc w:val="both"/>
    </w:pPr>
    <w:rPr>
      <w:spacing w:val="-3"/>
      <w:sz w:val="24"/>
      <w:lang w:val="en-AU" w:eastAsia="en-US"/>
    </w:rPr>
  </w:style>
  <w:style w:type="paragraph" w:customStyle="1" w:styleId="CharCharCharCharCharCharCharCharChar1CharCharCharCharCharChar">
    <w:name w:val="Char Char Char Char Char Char Char Char Char1 Char Char Char Char Char Char"/>
    <w:basedOn w:val="a2"/>
    <w:qFormat/>
    <w:rPr>
      <w:sz w:val="24"/>
    </w:rPr>
  </w:style>
  <w:style w:type="paragraph" w:customStyle="1" w:styleId="CM14">
    <w:name w:val="CM14"/>
    <w:basedOn w:val="Default"/>
    <w:next w:val="Default"/>
    <w:qFormat/>
    <w:pPr>
      <w:spacing w:beforeLines="0" w:before="0" w:afterLines="0" w:after="145" w:line="240" w:lineRule="auto"/>
      <w:ind w:firstLineChars="0" w:firstLine="0"/>
    </w:pPr>
    <w:rPr>
      <w:rFonts w:eastAsia="宋体" w:hAnsi="Arial Unicode MS" w:cs="Times New Roman"/>
      <w:color w:val="auto"/>
    </w:rPr>
  </w:style>
  <w:style w:type="paragraph" w:customStyle="1" w:styleId="affffffffffffffffffff8">
    <w:name w:val="四级条标题"/>
    <w:basedOn w:val="afffffffffffff"/>
    <w:next w:val="a2"/>
    <w:qFormat/>
    <w:pPr>
      <w:tabs>
        <w:tab w:val="clear" w:pos="360"/>
        <w:tab w:val="clear" w:pos="1820"/>
        <w:tab w:val="clear" w:pos="2100"/>
        <w:tab w:val="clear" w:pos="2240"/>
        <w:tab w:val="clear" w:pos="2660"/>
        <w:tab w:val="left" w:pos="2520"/>
        <w:tab w:val="left" w:pos="3080"/>
      </w:tabs>
      <w:ind w:left="3080"/>
      <w:outlineLvl w:val="5"/>
    </w:pPr>
  </w:style>
  <w:style w:type="paragraph" w:customStyle="1" w:styleId="2252252">
    <w:name w:val="样式 样式 样式 小四 首行缩进:  2.25 字符 + 首行缩进:  2.25 字符 + 首行缩进:  2 字符"/>
    <w:basedOn w:val="a2"/>
    <w:pPr>
      <w:autoSpaceDE/>
      <w:autoSpaceDN/>
      <w:adjustRightInd/>
      <w:spacing w:line="440" w:lineRule="exact"/>
      <w:ind w:firstLineChars="200" w:firstLine="200"/>
      <w:jc w:val="both"/>
    </w:pPr>
  </w:style>
  <w:style w:type="paragraph" w:customStyle="1" w:styleId="CharCharCharCharCharCharCharChar3">
    <w:name w:val="Char Char Char Char Char Char Char Char"/>
    <w:basedOn w:val="a2"/>
    <w:pPr>
      <w:jc w:val="both"/>
    </w:pPr>
    <w:rPr>
      <w:sz w:val="24"/>
    </w:rPr>
  </w:style>
  <w:style w:type="paragraph" w:customStyle="1" w:styleId="T10">
    <w:name w:val="T1"/>
    <w:basedOn w:val="12"/>
    <w:qFormat/>
    <w:pPr>
      <w:keepLines w:val="0"/>
      <w:tabs>
        <w:tab w:val="left" w:pos="1155"/>
      </w:tabs>
      <w:spacing w:line="600" w:lineRule="auto"/>
      <w:textAlignment w:val="auto"/>
    </w:pPr>
    <w:rPr>
      <w:rFonts w:eastAsia="宋体" w:hAnsi="宋体"/>
      <w:b/>
      <w:bCs w:val="0"/>
      <w:kern w:val="2"/>
      <w:sz w:val="32"/>
      <w:szCs w:val="32"/>
    </w:rPr>
  </w:style>
  <w:style w:type="paragraph" w:customStyle="1" w:styleId="Char1CharCharChar13">
    <w:name w:val="Char1 Char Char Char13"/>
    <w:basedOn w:val="a2"/>
    <w:uiPriority w:val="99"/>
    <w:qFormat/>
    <w:pPr>
      <w:jc w:val="both"/>
    </w:pPr>
  </w:style>
  <w:style w:type="paragraph" w:customStyle="1" w:styleId="Charfffffffffb">
    <w:name w:val="表中文字 Char"/>
    <w:basedOn w:val="a2"/>
    <w:uiPriority w:val="99"/>
    <w:qFormat/>
    <w:pPr>
      <w:jc w:val="center"/>
    </w:pPr>
  </w:style>
  <w:style w:type="paragraph" w:customStyle="1" w:styleId="CharCharChar1CharCharCharCharCharCharCharCharCharCharCharCharCharCharCharCharCharCharChar3">
    <w:name w:val="Char Char Char1 Char Char Char Char Char Char Char Char Char Char Char Char Char Char Char Char Char Char Char3"/>
    <w:basedOn w:val="a2"/>
    <w:uiPriority w:val="99"/>
    <w:qFormat/>
    <w:pPr>
      <w:jc w:val="both"/>
    </w:pPr>
  </w:style>
  <w:style w:type="paragraph" w:customStyle="1" w:styleId="Char350">
    <w:name w:val="Char35"/>
    <w:basedOn w:val="a2"/>
    <w:uiPriority w:val="99"/>
    <w:qFormat/>
  </w:style>
  <w:style w:type="paragraph" w:customStyle="1" w:styleId="xl110">
    <w:name w:val="xl110"/>
    <w:basedOn w:val="a2"/>
    <w:qFormat/>
    <w:pPr>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sz w:val="18"/>
      <w:szCs w:val="18"/>
    </w:rPr>
  </w:style>
  <w:style w:type="paragraph" w:customStyle="1" w:styleId="Char1CharChar5">
    <w:name w:val="Char1 Char Char5"/>
    <w:basedOn w:val="a2"/>
    <w:pPr>
      <w:jc w:val="both"/>
    </w:pPr>
  </w:style>
  <w:style w:type="paragraph" w:customStyle="1" w:styleId="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2"/>
    <w:basedOn w:val="a2"/>
    <w:uiPriority w:val="99"/>
    <w:qFormat/>
    <w:pPr>
      <w:jc w:val="both"/>
    </w:pPr>
  </w:style>
  <w:style w:type="paragraph" w:customStyle="1" w:styleId="affffffffffffffffffff9">
    <w:name w:val="大表格"/>
    <w:basedOn w:val="affffffffffffffffffffa"/>
    <w:uiPriority w:val="99"/>
    <w:qFormat/>
    <w:pPr>
      <w:spacing w:line="480" w:lineRule="exact"/>
    </w:pPr>
    <w:rPr>
      <w:sz w:val="28"/>
      <w:szCs w:val="28"/>
    </w:rPr>
  </w:style>
  <w:style w:type="paragraph" w:customStyle="1" w:styleId="affffffffffffffffffffa">
    <w:name w:val="中表格"/>
    <w:basedOn w:val="a2"/>
    <w:uiPriority w:val="99"/>
    <w:qFormat/>
    <w:pPr>
      <w:spacing w:line="420" w:lineRule="exact"/>
      <w:jc w:val="center"/>
    </w:pPr>
    <w:rPr>
      <w:rFonts w:ascii="宋体" w:hAnsi="Arial"/>
      <w:sz w:val="24"/>
    </w:rPr>
  </w:style>
  <w:style w:type="paragraph" w:customStyle="1" w:styleId="CharCharCharChar9">
    <w:name w:val="样式 题注 + 居中 Char Char Char Char"/>
    <w:basedOn w:val="ac"/>
    <w:next w:val="a2"/>
    <w:uiPriority w:val="99"/>
    <w:qFormat/>
    <w:pPr>
      <w:spacing w:before="120" w:after="120"/>
      <w:jc w:val="center"/>
    </w:pPr>
    <w:rPr>
      <w:rFonts w:ascii="Times New Roman" w:hAnsi="Times New Roman" w:cs="宋体"/>
      <w:sz w:val="24"/>
      <w:szCs w:val="24"/>
    </w:rPr>
  </w:style>
  <w:style w:type="paragraph" w:customStyle="1" w:styleId="2ffff0">
    <w:name w:val="标2"/>
    <w:basedOn w:val="22"/>
    <w:next w:val="a2"/>
    <w:pPr>
      <w:spacing w:beforeLines="100" w:after="40" w:line="360" w:lineRule="auto"/>
      <w:ind w:firstLineChars="200" w:firstLine="600"/>
      <w:jc w:val="both"/>
      <w:textAlignment w:val="baseline"/>
      <w:outlineLvl w:val="9"/>
    </w:pPr>
    <w:rPr>
      <w:rFonts w:ascii="Times New Roman" w:eastAsia="黑体" w:hAnsi="Times New Roman" w:cs="Times New Roman"/>
      <w:b w:val="0"/>
      <w:bCs w:val="0"/>
      <w:sz w:val="30"/>
      <w:szCs w:val="20"/>
    </w:rPr>
  </w:style>
  <w:style w:type="paragraph" w:customStyle="1" w:styleId="1chen">
    <w:name w:val="谏壁标题1(chen）"/>
    <w:basedOn w:val="a2"/>
    <w:qFormat/>
    <w:pPr>
      <w:keepNext/>
      <w:keepLines/>
      <w:pageBreakBefore/>
      <w:spacing w:after="300" w:line="360" w:lineRule="auto"/>
      <w:outlineLvl w:val="0"/>
    </w:pPr>
    <w:rPr>
      <w:rFonts w:eastAsia="黑体"/>
      <w:bCs/>
      <w:kern w:val="44"/>
      <w:sz w:val="36"/>
      <w:szCs w:val="44"/>
    </w:rPr>
  </w:style>
  <w:style w:type="paragraph" w:customStyle="1" w:styleId="Char320">
    <w:name w:val="Char32"/>
    <w:basedOn w:val="a2"/>
    <w:qFormat/>
    <w:rPr>
      <w:sz w:val="24"/>
    </w:rPr>
  </w:style>
  <w:style w:type="paragraph" w:customStyle="1" w:styleId="GB-1111">
    <w:name w:val="GB-1.1.1.1"/>
    <w:basedOn w:val="GB-111"/>
    <w:pPr>
      <w:numPr>
        <w:ilvl w:val="3"/>
      </w:numPr>
      <w:adjustRightInd/>
      <w:outlineLvl w:val="3"/>
    </w:pPr>
  </w:style>
  <w:style w:type="paragraph" w:customStyle="1" w:styleId="GB-111">
    <w:name w:val="GB-1.1.1"/>
    <w:basedOn w:val="GB-11"/>
    <w:pPr>
      <w:numPr>
        <w:ilvl w:val="2"/>
      </w:numPr>
      <w:adjustRightInd w:val="0"/>
      <w:snapToGrid w:val="0"/>
      <w:spacing w:beforeLines="0" w:before="0" w:afterLines="0" w:after="0" w:line="360" w:lineRule="auto"/>
      <w:ind w:left="0"/>
      <w:outlineLvl w:val="2"/>
    </w:pPr>
    <w:rPr>
      <w:rFonts w:ascii="宋体" w:eastAsia="宋体"/>
    </w:rPr>
  </w:style>
  <w:style w:type="paragraph" w:customStyle="1" w:styleId="5f3">
    <w:name w:val="正文5"/>
    <w:basedOn w:val="a2"/>
    <w:uiPriority w:val="99"/>
    <w:qFormat/>
    <w:pPr>
      <w:spacing w:before="100" w:after="100"/>
      <w:jc w:val="center"/>
      <w:textAlignment w:val="baseline"/>
    </w:pPr>
    <w:rPr>
      <w:rFonts w:ascii="Times New Roman"/>
      <w:sz w:val="17"/>
    </w:rPr>
  </w:style>
  <w:style w:type="paragraph" w:customStyle="1" w:styleId="affffffffffffffffffffb">
    <w:name w:val="小节标题"/>
    <w:basedOn w:val="a2"/>
    <w:next w:val="a2"/>
    <w:qFormat/>
    <w:pPr>
      <w:spacing w:before="175" w:after="102" w:line="351" w:lineRule="atLeast"/>
      <w:jc w:val="both"/>
      <w:textAlignment w:val="baseline"/>
    </w:pPr>
    <w:rPr>
      <w:rFonts w:eastAsia="黑体"/>
      <w:color w:val="000000"/>
      <w:u w:color="000000"/>
    </w:rPr>
  </w:style>
  <w:style w:type="paragraph" w:customStyle="1" w:styleId="xl749">
    <w:name w:val="xl749"/>
    <w:basedOn w:val="a2"/>
    <w:uiPriority w:val="99"/>
    <w:qFormat/>
    <w:pPr>
      <w:spacing w:before="100" w:beforeAutospacing="1" w:after="100" w:afterAutospacing="1"/>
      <w:jc w:val="center"/>
    </w:pPr>
    <w:rPr>
      <w:rFonts w:ascii="Courier New" w:eastAsia="Arial Unicode MS" w:hAnsi="Courier New"/>
      <w:b/>
      <w:bCs/>
      <w:sz w:val="44"/>
      <w:szCs w:val="44"/>
    </w:rPr>
  </w:style>
  <w:style w:type="paragraph" w:customStyle="1" w:styleId="0772046">
    <w:name w:val="样式 首行缩进:  0.77 厘米 行距: 固定值 20 磅46"/>
    <w:basedOn w:val="a2"/>
    <w:uiPriority w:val="99"/>
    <w:qFormat/>
    <w:pPr>
      <w:spacing w:line="360" w:lineRule="auto"/>
      <w:ind w:rightChars="12" w:right="25" w:firstLineChars="200" w:firstLine="480"/>
      <w:jc w:val="both"/>
    </w:pPr>
    <w:rPr>
      <w:rFonts w:cs="宋体"/>
      <w:sz w:val="24"/>
    </w:rPr>
  </w:style>
  <w:style w:type="paragraph" w:customStyle="1" w:styleId="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2"/>
    <w:basedOn w:val="a2"/>
    <w:uiPriority w:val="99"/>
    <w:qFormat/>
    <w:pPr>
      <w:jc w:val="both"/>
    </w:pPr>
    <w:rPr>
      <w:sz w:val="24"/>
    </w:rPr>
  </w:style>
  <w:style w:type="paragraph" w:customStyle="1" w:styleId="xl40">
    <w:name w:val="xl4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rPr>
  </w:style>
  <w:style w:type="paragraph" w:customStyle="1" w:styleId="CharCharChar1CharCharCharCharCharCharCharCharCharCharCharCharCharCharCharCharCharCharCharCharCharCharCharCharCharCharChar4">
    <w:name w:val="Char Char Char1 Char Char Char Char Char Char Char Char Char Char Char Char Char Char Char Char Char Char Char Char Char Char Char Char Char Char Char4"/>
    <w:basedOn w:val="a2"/>
    <w:uiPriority w:val="99"/>
    <w:qFormat/>
    <w:pPr>
      <w:spacing w:line="360" w:lineRule="auto"/>
    </w:pPr>
    <w:rPr>
      <w:sz w:val="24"/>
    </w:rPr>
  </w:style>
  <w:style w:type="paragraph" w:customStyle="1" w:styleId="Char110">
    <w:name w:val="Char11"/>
    <w:basedOn w:val="a2"/>
    <w:qFormat/>
    <w:rPr>
      <w:sz w:val="24"/>
    </w:rPr>
  </w:style>
  <w:style w:type="paragraph" w:customStyle="1" w:styleId="1ffffff6">
    <w:name w:val="目录1"/>
    <w:basedOn w:val="a2"/>
    <w:next w:val="a2"/>
    <w:qFormat/>
    <w:pPr>
      <w:tabs>
        <w:tab w:val="left" w:leader="dot" w:pos="8503"/>
      </w:tabs>
      <w:spacing w:after="102" w:line="215" w:lineRule="atLeast"/>
      <w:ind w:firstLine="419"/>
    </w:pPr>
    <w:rPr>
      <w:rFonts w:hAnsi="宋体"/>
    </w:rPr>
  </w:style>
  <w:style w:type="paragraph" w:customStyle="1" w:styleId="CharCharffffff1">
    <w:name w:val="环评正文 Char Char"/>
    <w:uiPriority w:val="99"/>
    <w:qFormat/>
    <w:pPr>
      <w:spacing w:line="360" w:lineRule="exact"/>
      <w:ind w:firstLineChars="200" w:firstLine="200"/>
    </w:pPr>
    <w:rPr>
      <w:rFonts w:ascii="Times New Roman" w:eastAsia="宋体" w:hAnsi="Times New Roman" w:cs="Times New Roman"/>
      <w:snapToGrid w:val="0"/>
      <w:color w:val="000000"/>
      <w:kern w:val="21"/>
      <w:sz w:val="24"/>
      <w:szCs w:val="24"/>
    </w:rPr>
  </w:style>
  <w:style w:type="paragraph" w:customStyle="1" w:styleId="XYF1">
    <w:name w:val="XYF1"/>
    <w:basedOn w:val="a2"/>
    <w:qFormat/>
    <w:pPr>
      <w:tabs>
        <w:tab w:val="left" w:pos="1080"/>
      </w:tabs>
      <w:spacing w:line="440" w:lineRule="exact"/>
      <w:ind w:firstLineChars="195" w:firstLine="195"/>
      <w:jc w:val="both"/>
    </w:pPr>
    <w:rPr>
      <w:sz w:val="24"/>
    </w:rPr>
  </w:style>
  <w:style w:type="paragraph" w:customStyle="1" w:styleId="affffffffffffffffffffc">
    <w:name w:val="图编号"/>
    <w:basedOn w:val="afffffffffd"/>
    <w:uiPriority w:val="99"/>
    <w:qFormat/>
    <w:pPr>
      <w:tabs>
        <w:tab w:val="left" w:pos="763"/>
      </w:tabs>
      <w:adjustRightInd/>
      <w:snapToGrid/>
      <w:spacing w:before="300" w:after="300" w:line="360" w:lineRule="auto"/>
      <w:ind w:leftChars="800" w:left="800" w:hangingChars="200" w:hanging="200"/>
    </w:pPr>
    <w:rPr>
      <w:rFonts w:ascii="Calibri" w:eastAsia="宋体" w:hAnsi="Calibri"/>
      <w:kern w:val="2"/>
    </w:rPr>
  </w:style>
  <w:style w:type="paragraph" w:customStyle="1" w:styleId="GB231201">
    <w:name w:val="样式 (西文) 宋体 (中文) 仿宋_GB2312 五号 黑色 居中 首行缩进:  0 厘米 行距: 单倍行距"/>
    <w:basedOn w:val="a2"/>
    <w:uiPriority w:val="99"/>
    <w:qFormat/>
    <w:pPr>
      <w:jc w:val="center"/>
    </w:pPr>
    <w:rPr>
      <w:rFonts w:ascii="宋体" w:hAnsi="宋体"/>
      <w:color w:val="000000"/>
      <w:spacing w:val="5"/>
    </w:rPr>
  </w:style>
  <w:style w:type="paragraph" w:customStyle="1" w:styleId="CharCharChar1CharCharCharChar9">
    <w:name w:val="Char Char Char1 Char Char Char Char9"/>
    <w:basedOn w:val="a2"/>
    <w:uiPriority w:val="99"/>
    <w:qFormat/>
    <w:pPr>
      <w:spacing w:line="360" w:lineRule="auto"/>
      <w:jc w:val="both"/>
    </w:pPr>
    <w:rPr>
      <w:rFonts w:ascii="Times New Roman"/>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2"/>
    <w:uiPriority w:val="99"/>
    <w:qFormat/>
    <w:pPr>
      <w:jc w:val="both"/>
    </w:pPr>
    <w:rPr>
      <w:sz w:val="24"/>
    </w:rPr>
  </w:style>
  <w:style w:type="paragraph" w:customStyle="1" w:styleId="CharChar3Char2">
    <w:name w:val="Char Char3 Char2"/>
    <w:basedOn w:val="a2"/>
    <w:next w:val="a2"/>
    <w:uiPriority w:val="99"/>
    <w:qFormat/>
    <w:pPr>
      <w:spacing w:line="360" w:lineRule="auto"/>
      <w:ind w:firstLineChars="200" w:firstLine="200"/>
      <w:jc w:val="center"/>
    </w:pPr>
    <w:rPr>
      <w:rFonts w:ascii="Times New Roman" w:eastAsia="黑体"/>
    </w:rPr>
  </w:style>
  <w:style w:type="paragraph" w:customStyle="1" w:styleId="CharCharChar1CharCharCharCharCharCharCharCharCharCharCharCharCharCharChar1CharCharCharCharCharCharCharCharChar">
    <w:name w:val="Char Char Char1 Char Char Char Char Char Char Char Char Char Char Char Char Char Char Char1 Char Char Char Char Char Char Char Char Char"/>
    <w:basedOn w:val="a2"/>
    <w:uiPriority w:val="99"/>
    <w:qFormat/>
    <w:pPr>
      <w:jc w:val="both"/>
    </w:pPr>
  </w:style>
  <w:style w:type="paragraph" w:customStyle="1" w:styleId="affffffffffffffffffffd">
    <w:name w:val="標準（日本語）"/>
    <w:basedOn w:val="a2"/>
    <w:uiPriority w:val="99"/>
    <w:qFormat/>
    <w:pPr>
      <w:overflowPunct w:val="0"/>
      <w:spacing w:afterLines="50"/>
      <w:jc w:val="both"/>
    </w:pPr>
    <w:rPr>
      <w:rFonts w:eastAsia="MS Mincho"/>
      <w:snapToGrid w:val="0"/>
      <w:sz w:val="24"/>
      <w:lang w:eastAsia="ja-JP"/>
    </w:rPr>
  </w:style>
  <w:style w:type="paragraph" w:customStyle="1" w:styleId="Char2CharCharCharCharCharCharCharCharCharCharChar1CharCharCharCharCharCharCharCharChar4">
    <w:name w:val="Char2 Char Char Char Char Char Char Char Char Char Char Char1 Char Char Char Char Char Char Char Char Char4"/>
    <w:basedOn w:val="a2"/>
    <w:pPr>
      <w:jc w:val="both"/>
    </w:pPr>
    <w:rPr>
      <w:sz w:val="24"/>
    </w:rPr>
  </w:style>
  <w:style w:type="paragraph" w:customStyle="1" w:styleId="CharCharChar1CharCharCharCharCharCharCharChar1">
    <w:name w:val="Char Char Char1 Char Char Char Char Char Char Char Char1"/>
    <w:basedOn w:val="a2"/>
    <w:uiPriority w:val="99"/>
    <w:qFormat/>
    <w:pPr>
      <w:jc w:val="both"/>
    </w:pPr>
  </w:style>
  <w:style w:type="paragraph" w:customStyle="1" w:styleId="affffffffffffffffffffe">
    <w:name w:val="小标题@"/>
    <w:basedOn w:val="a2"/>
    <w:uiPriority w:val="99"/>
    <w:qFormat/>
    <w:pPr>
      <w:tabs>
        <w:tab w:val="left" w:pos="576"/>
        <w:tab w:val="left" w:pos="840"/>
      </w:tabs>
      <w:spacing w:before="60" w:after="60"/>
      <w:ind w:left="828" w:hanging="348"/>
      <w:jc w:val="both"/>
      <w:textAlignment w:val="baseline"/>
    </w:pPr>
    <w:rPr>
      <w:sz w:val="24"/>
    </w:rPr>
  </w:style>
  <w:style w:type="paragraph" w:customStyle="1" w:styleId="07720416">
    <w:name w:val="样式 首行缩进:  0.77 厘米 行距: 固定值 20 磅416"/>
    <w:basedOn w:val="a2"/>
    <w:uiPriority w:val="99"/>
    <w:qFormat/>
    <w:pPr>
      <w:spacing w:line="360" w:lineRule="auto"/>
      <w:ind w:firstLineChars="200" w:firstLine="480"/>
      <w:jc w:val="both"/>
    </w:pPr>
    <w:rPr>
      <w:sz w:val="24"/>
    </w:rPr>
  </w:style>
  <w:style w:type="paragraph" w:customStyle="1" w:styleId="12f0">
    <w:name w:val="字元12"/>
    <w:basedOn w:val="a2"/>
    <w:uiPriority w:val="99"/>
    <w:qFormat/>
    <w:pPr>
      <w:jc w:val="both"/>
    </w:pPr>
    <w:rPr>
      <w:rFonts w:ascii="Times New Roman"/>
    </w:rPr>
  </w:style>
  <w:style w:type="paragraph" w:customStyle="1" w:styleId="Char2CharCharChar3">
    <w:name w:val="Char2 Char Char Char3"/>
    <w:basedOn w:val="a2"/>
    <w:uiPriority w:val="99"/>
    <w:semiHidden/>
    <w:qFormat/>
    <w:pPr>
      <w:jc w:val="both"/>
    </w:pPr>
  </w:style>
  <w:style w:type="paragraph" w:customStyle="1" w:styleId="afffffffffffffffffffff">
    <w:name w:val="图件头"/>
    <w:basedOn w:val="a2"/>
    <w:uiPriority w:val="99"/>
    <w:qFormat/>
    <w:pPr>
      <w:spacing w:line="360" w:lineRule="auto"/>
      <w:jc w:val="both"/>
    </w:pPr>
    <w:rPr>
      <w:b/>
      <w:bCs/>
      <w:sz w:val="24"/>
    </w:rPr>
  </w:style>
  <w:style w:type="paragraph" w:customStyle="1" w:styleId="Char4CharCharCharCharCharChar1CharCharCharCharCharCharCharCharChar">
    <w:name w:val="Char4 Char Char Char Char Char Char1 Char Char Char Char Char Char Char Char Char"/>
    <w:basedOn w:val="a2"/>
    <w:uiPriority w:val="99"/>
    <w:qFormat/>
    <w:pPr>
      <w:jc w:val="both"/>
    </w:pPr>
    <w:rPr>
      <w:rFonts w:ascii="黑体" w:eastAsia="黑体" w:hAnsi="黑体"/>
      <w:b/>
      <w:spacing w:val="10"/>
    </w:rPr>
  </w:style>
  <w:style w:type="paragraph" w:customStyle="1" w:styleId="3ffd">
    <w:name w:val="注释标题3"/>
    <w:basedOn w:val="a2"/>
    <w:next w:val="a2"/>
    <w:uiPriority w:val="99"/>
    <w:qFormat/>
    <w:pPr>
      <w:jc w:val="center"/>
    </w:pPr>
    <w:rPr>
      <w:rFonts w:ascii="Times New Roman"/>
      <w:sz w:val="20"/>
    </w:rPr>
  </w:style>
  <w:style w:type="paragraph" w:customStyle="1" w:styleId="afffffffffffffffffffff0">
    <w:name w:val="正文表标题"/>
    <w:next w:val="a2"/>
    <w:qFormat/>
    <w:pPr>
      <w:spacing w:beforeLines="50" w:before="50" w:afterLines="50" w:after="50" w:line="360" w:lineRule="auto"/>
      <w:ind w:firstLineChars="40" w:firstLine="40"/>
      <w:jc w:val="center"/>
    </w:pPr>
    <w:rPr>
      <w:rFonts w:ascii="黑体" w:eastAsia="黑体" w:hAnsi="Times New Roman" w:cs="Times New Roman"/>
      <w:sz w:val="21"/>
    </w:rPr>
  </w:style>
  <w:style w:type="paragraph" w:customStyle="1" w:styleId="153">
    <w:name w:val="正文 宋体 小四 行距: 1.5 倍行距"/>
    <w:basedOn w:val="a2"/>
    <w:uiPriority w:val="99"/>
    <w:qFormat/>
    <w:pPr>
      <w:snapToGrid w:val="0"/>
      <w:spacing w:line="360" w:lineRule="auto"/>
      <w:ind w:firstLineChars="200" w:firstLine="200"/>
      <w:jc w:val="both"/>
    </w:pPr>
    <w:rPr>
      <w:rFonts w:ascii="宋体"/>
      <w:sz w:val="24"/>
    </w:rPr>
  </w:style>
  <w:style w:type="paragraph" w:customStyle="1" w:styleId="2112">
    <w:name w:val="标题 2标题 1.1"/>
    <w:basedOn w:val="22"/>
    <w:uiPriority w:val="99"/>
    <w:qFormat/>
    <w:pPr>
      <w:tabs>
        <w:tab w:val="left" w:pos="540"/>
        <w:tab w:val="left" w:pos="936"/>
      </w:tabs>
      <w:spacing w:beforeLines="100" w:before="312" w:afterLines="60" w:after="187" w:line="560" w:lineRule="exact"/>
      <w:ind w:left="936" w:hanging="936"/>
    </w:pPr>
    <w:rPr>
      <w:rFonts w:ascii="仿宋_GB2312" w:eastAsia="宋体" w:hAnsi="宋体" w:cs="宋体"/>
      <w:b w:val="0"/>
      <w:sz w:val="30"/>
      <w:szCs w:val="30"/>
    </w:rPr>
  </w:style>
  <w:style w:type="paragraph" w:customStyle="1" w:styleId="afffffffffffffffffffff1">
    <w:name w:val="四级"/>
    <w:basedOn w:val="41"/>
    <w:uiPriority w:val="99"/>
    <w:qFormat/>
    <w:pPr>
      <w:keepNext w:val="0"/>
      <w:keepLines w:val="0"/>
      <w:snapToGrid w:val="0"/>
      <w:spacing w:beforeLines="0" w:before="0"/>
      <w:ind w:leftChars="0" w:left="0" w:rightChars="0" w:right="0"/>
    </w:pPr>
    <w:rPr>
      <w:rFonts w:ascii="Times New Roman" w:eastAsia="宋体"/>
      <w:b/>
      <w:bCs w:val="0"/>
      <w:iCs/>
      <w:szCs w:val="21"/>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2"/>
    <w:qFormat/>
  </w:style>
  <w:style w:type="paragraph" w:customStyle="1" w:styleId="3070925">
    <w:name w:val="样式 标题 3 + 左侧:  0 毫米 悬挂缩进: 7.09 字符 行距: 最小值 25 磅"/>
    <w:basedOn w:val="32"/>
    <w:uiPriority w:val="99"/>
    <w:qFormat/>
    <w:pPr>
      <w:keepLines w:val="0"/>
      <w:spacing w:before="0" w:after="0" w:line="500" w:lineRule="atLeast"/>
      <w:ind w:left="709" w:hanging="709"/>
    </w:pPr>
    <w:rPr>
      <w:rFonts w:ascii="Times New Roman" w:eastAsia="宋体" w:cs="宋体"/>
      <w:b w:val="0"/>
      <w:bCs w:val="0"/>
      <w:sz w:val="28"/>
      <w:szCs w:val="28"/>
    </w:rPr>
  </w:style>
  <w:style w:type="paragraph" w:customStyle="1" w:styleId="211H2Underrubrik1prop2Heading2Hidden">
    <w:name w:val="样式 标题 2节标题节标题 1.1节H2（一）Underrubrik1prop2Heading 2 Hidden..."/>
    <w:basedOn w:val="22"/>
    <w:uiPriority w:val="99"/>
    <w:qFormat/>
    <w:pPr>
      <w:snapToGrid w:val="0"/>
      <w:spacing w:before="360" w:after="360" w:line="420" w:lineRule="exact"/>
      <w:ind w:left="578" w:hanging="578"/>
      <w:jc w:val="both"/>
    </w:pPr>
    <w:rPr>
      <w:rFonts w:ascii="黑体" w:eastAsia="黑体" w:hAnsi="宋体" w:cs="Times New Roman"/>
      <w:bCs w:val="0"/>
      <w:color w:val="000000"/>
      <w:sz w:val="30"/>
      <w:szCs w:val="30"/>
    </w:rPr>
  </w:style>
  <w:style w:type="paragraph" w:customStyle="1" w:styleId="xl68">
    <w:name w:val="xl68"/>
    <w:basedOn w:val="a2"/>
    <w:qFormat/>
    <w:pPr>
      <w:spacing w:before="100" w:beforeAutospacing="1" w:after="100" w:afterAutospacing="1"/>
      <w:jc w:val="center"/>
      <w:textAlignment w:val="center"/>
    </w:pPr>
    <w:rPr>
      <w:rFonts w:ascii="宋体" w:hAnsi="宋体" w:cs="宋体"/>
      <w:sz w:val="24"/>
    </w:rPr>
  </w:style>
  <w:style w:type="paragraph" w:customStyle="1" w:styleId="022">
    <w:name w:val="正文02"/>
    <w:basedOn w:val="a3"/>
    <w:qFormat/>
    <w:pPr>
      <w:spacing w:before="400" w:line="460" w:lineRule="exact"/>
      <w:ind w:firstLine="200"/>
      <w:jc w:val="both"/>
    </w:pPr>
    <w:rPr>
      <w:sz w:val="24"/>
    </w:rPr>
  </w:style>
  <w:style w:type="paragraph" w:customStyle="1" w:styleId="Char1CharCharCharCharCharChar1CharCharChar3">
    <w:name w:val="Char1 Char Char Char Char Char Char1 Char Char Char3"/>
    <w:basedOn w:val="a2"/>
    <w:next w:val="a2"/>
    <w:uiPriority w:val="99"/>
    <w:qFormat/>
    <w:pPr>
      <w:spacing w:line="360" w:lineRule="auto"/>
      <w:ind w:firstLineChars="200" w:firstLine="200"/>
      <w:jc w:val="center"/>
    </w:pPr>
    <w:rPr>
      <w:rFonts w:eastAsia="黑体"/>
    </w:rPr>
  </w:style>
  <w:style w:type="paragraph" w:customStyle="1" w:styleId="3313Char1CharCharChar31CharCharChar0">
    <w:name w:val="样式 样式 样式 标题 3标题 31标题 3 Char1 Char Char Char标题 31 Char Char Char标..."/>
    <w:basedOn w:val="3313Char1CharCharChar31CharCharChar"/>
    <w:uiPriority w:val="99"/>
    <w:qFormat/>
    <w:pPr>
      <w:ind w:firstLineChars="0" w:firstLine="0"/>
    </w:pPr>
  </w:style>
  <w:style w:type="paragraph" w:customStyle="1" w:styleId="afffffffffffffffffffff2">
    <w:name w:val="新正文样式"/>
    <w:basedOn w:val="a2"/>
    <w:qFormat/>
    <w:pPr>
      <w:tabs>
        <w:tab w:val="left" w:pos="567"/>
      </w:tabs>
      <w:spacing w:line="360" w:lineRule="auto"/>
      <w:ind w:firstLine="567"/>
    </w:pPr>
    <w:rPr>
      <w:rFonts w:hAnsi="宋体"/>
      <w:spacing w:val="20"/>
      <w:sz w:val="24"/>
    </w:rPr>
  </w:style>
  <w:style w:type="paragraph" w:customStyle="1" w:styleId="CharCharCharCharCharCharCharCharCharChar20">
    <w:name w:val="Char Char Char Char Char Char Char Char Char Char2"/>
    <w:basedOn w:val="a2"/>
    <w:uiPriority w:val="99"/>
    <w:qFormat/>
    <w:pPr>
      <w:jc w:val="both"/>
    </w:pPr>
    <w:rPr>
      <w:rFonts w:ascii="Times New Roman"/>
    </w:rPr>
  </w:style>
  <w:style w:type="paragraph" w:customStyle="1" w:styleId="1ffffff7">
    <w:name w:val="纯文本1"/>
    <w:basedOn w:val="a2"/>
    <w:qFormat/>
    <w:pPr>
      <w:spacing w:line="300" w:lineRule="auto"/>
      <w:textAlignment w:val="baseline"/>
    </w:pPr>
    <w:rPr>
      <w:rFonts w:ascii="Courier New" w:hAnsi="Courier New"/>
    </w:rPr>
  </w:style>
  <w:style w:type="paragraph" w:customStyle="1" w:styleId="DE7B8801F2B1483F98D539CC92927118">
    <w:name w:val="DE7B8801F2B1483F98D539CC92927118"/>
    <w:pPr>
      <w:spacing w:after="200" w:line="276" w:lineRule="auto"/>
      <w:jc w:val="both"/>
    </w:pPr>
    <w:rPr>
      <w:rFonts w:ascii="Times New Roman" w:eastAsia="宋体" w:hAnsi="Times New Roman" w:cs="Times New Roman"/>
      <w:sz w:val="22"/>
      <w:szCs w:val="21"/>
    </w:rPr>
  </w:style>
  <w:style w:type="paragraph" w:customStyle="1" w:styleId="11f">
    <w:name w:val="标题11"/>
    <w:basedOn w:val="a2"/>
    <w:next w:val="a2"/>
    <w:qFormat/>
    <w:pPr>
      <w:tabs>
        <w:tab w:val="left" w:pos="9193"/>
        <w:tab w:val="left" w:pos="9827"/>
      </w:tabs>
      <w:snapToGrid w:val="0"/>
      <w:spacing w:line="700" w:lineRule="atLeast"/>
      <w:jc w:val="center"/>
    </w:pPr>
    <w:rPr>
      <w:rFonts w:eastAsia="方正小标宋_GBK"/>
      <w:sz w:val="44"/>
    </w:rPr>
  </w:style>
  <w:style w:type="paragraph" w:customStyle="1" w:styleId="afffffffffffffffffffff3">
    <w:name w:val="正文仿宋"/>
    <w:basedOn w:val="a2"/>
    <w:uiPriority w:val="99"/>
    <w:qFormat/>
    <w:pPr>
      <w:spacing w:line="312" w:lineRule="atLeast"/>
      <w:textAlignment w:val="baseline"/>
    </w:pPr>
    <w:rPr>
      <w:rFonts w:ascii="仿宋体" w:eastAsia="仿宋体"/>
      <w:sz w:val="24"/>
    </w:rPr>
  </w:style>
  <w:style w:type="paragraph" w:customStyle="1" w:styleId="afffffffffffffffffffff4">
    <w:name w:val="正文标准格式"/>
    <w:basedOn w:val="a2"/>
    <w:uiPriority w:val="99"/>
    <w:qFormat/>
    <w:pPr>
      <w:spacing w:line="500" w:lineRule="exact"/>
      <w:ind w:leftChars="200" w:left="200"/>
    </w:pPr>
    <w:rPr>
      <w:rFonts w:eastAsia="仿宋_GB2312"/>
      <w:color w:val="000000"/>
      <w:szCs w:val="28"/>
    </w:rPr>
  </w:style>
  <w:style w:type="paragraph" w:customStyle="1" w:styleId="095063">
    <w:name w:val="样式 正文文本缩进 + 左侧:  0.95 厘米 首行缩进:  0.63 厘米"/>
    <w:basedOn w:val="af5"/>
    <w:qFormat/>
    <w:pPr>
      <w:spacing w:after="0" w:line="320" w:lineRule="exact"/>
      <w:ind w:leftChars="0" w:left="0"/>
      <w:jc w:val="center"/>
    </w:pPr>
    <w:rPr>
      <w:color w:val="000000"/>
      <w:szCs w:val="21"/>
    </w:rPr>
  </w:style>
  <w:style w:type="paragraph" w:customStyle="1" w:styleId="afffffffffffffffffffff5">
    <w:name w:val="表号"/>
    <w:basedOn w:val="a2"/>
    <w:qFormat/>
  </w:style>
  <w:style w:type="paragraph" w:customStyle="1" w:styleId="afffffffffffffffffffff6">
    <w:name w:val="??"/>
    <w:basedOn w:val="a2"/>
    <w:uiPriority w:val="99"/>
    <w:qFormat/>
    <w:pPr>
      <w:spacing w:line="312" w:lineRule="atLeast"/>
      <w:ind w:firstLine="425"/>
    </w:pPr>
    <w:rPr>
      <w:rFonts w:ascii="楷体" w:eastAsia="楷体"/>
      <w:kern w:val="30"/>
      <w:sz w:val="3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2"/>
    <w:next w:val="a2"/>
    <w:uiPriority w:val="99"/>
    <w:qFormat/>
    <w:pPr>
      <w:spacing w:line="360" w:lineRule="auto"/>
      <w:ind w:firstLineChars="200" w:firstLine="200"/>
      <w:jc w:val="center"/>
    </w:pPr>
    <w:rPr>
      <w:rFonts w:eastAsia="黑体"/>
    </w:rPr>
  </w:style>
  <w:style w:type="paragraph" w:customStyle="1" w:styleId="1ffffff8">
    <w:name w:val="环标1"/>
    <w:basedOn w:val="12"/>
    <w:qFormat/>
    <w:pPr>
      <w:keepNext w:val="0"/>
      <w:keepLines w:val="0"/>
      <w:spacing w:after="120" w:line="312" w:lineRule="atLeast"/>
      <w:textAlignment w:val="baseline"/>
    </w:pPr>
    <w:rPr>
      <w:rFonts w:eastAsia="仿宋_GB2312"/>
      <w:bCs w:val="0"/>
      <w:sz w:val="28"/>
      <w:szCs w:val="28"/>
    </w:rPr>
  </w:style>
  <w:style w:type="paragraph" w:customStyle="1" w:styleId="1ffffff9">
    <w:name w:val="表图1"/>
    <w:basedOn w:val="a2"/>
    <w:qFormat/>
    <w:pPr>
      <w:spacing w:line="0" w:lineRule="atLeast"/>
      <w:jc w:val="both"/>
    </w:pPr>
  </w:style>
  <w:style w:type="paragraph" w:customStyle="1" w:styleId="Char1CharCharCharCharChar1Char2">
    <w:name w:val="Char1 Char Char Char Char Char1 Char2"/>
    <w:basedOn w:val="a2"/>
    <w:uiPriority w:val="99"/>
    <w:semiHidden/>
    <w:qFormat/>
    <w:pPr>
      <w:jc w:val="both"/>
    </w:pPr>
    <w:rPr>
      <w:rFonts w:ascii="Times New Roman"/>
    </w:rPr>
  </w:style>
  <w:style w:type="paragraph" w:customStyle="1" w:styleId="PlainText1">
    <w:name w:val="Plain Text1"/>
    <w:basedOn w:val="a2"/>
    <w:qFormat/>
    <w:pPr>
      <w:textAlignment w:val="baseline"/>
    </w:pPr>
    <w:rPr>
      <w:rFonts w:ascii="宋体" w:hAnsi="Courier New"/>
    </w:rPr>
  </w:style>
  <w:style w:type="paragraph" w:customStyle="1" w:styleId="abstractmore">
    <w:name w:val="abstract_more"/>
    <w:basedOn w:val="a2"/>
    <w:pPr>
      <w:spacing w:before="100" w:beforeAutospacing="1" w:after="100" w:afterAutospacing="1"/>
    </w:pPr>
  </w:style>
  <w:style w:type="paragraph" w:customStyle="1" w:styleId="bg2">
    <w:name w:val="bg2"/>
    <w:basedOn w:val="a2"/>
    <w:uiPriority w:val="99"/>
    <w:qFormat/>
    <w:rPr>
      <w:rFonts w:eastAsia="仿宋_GB2312" w:cs="宋体"/>
      <w:spacing w:val="-4"/>
    </w:rPr>
  </w:style>
  <w:style w:type="paragraph" w:customStyle="1" w:styleId="afffffffffffffffffffff7">
    <w:name w:val="四级无标题条"/>
    <w:basedOn w:val="a2"/>
    <w:qFormat/>
    <w:rPr>
      <w:rFonts w:hAnsi="宋体"/>
    </w:rPr>
  </w:style>
  <w:style w:type="paragraph" w:customStyle="1" w:styleId="afffffffffffffffffffff8">
    <w:name w:val="样式 表格内容 + (中文) 宋体 居中"/>
    <w:basedOn w:val="a2"/>
    <w:uiPriority w:val="99"/>
    <w:qFormat/>
    <w:pPr>
      <w:overflowPunct w:val="0"/>
      <w:snapToGrid w:val="0"/>
      <w:spacing w:after="120" w:line="440" w:lineRule="exact"/>
      <w:jc w:val="center"/>
      <w:textAlignment w:val="baseline"/>
    </w:pPr>
    <w:rPr>
      <w:rFonts w:hAnsi="Arial" w:cs="宋体"/>
    </w:rPr>
  </w:style>
  <w:style w:type="paragraph" w:customStyle="1" w:styleId="CharCharChar1CharCharCharChar">
    <w:name w:val="Char Char Char1 Char Char Char Char"/>
    <w:basedOn w:val="a2"/>
    <w:pPr>
      <w:spacing w:line="360" w:lineRule="auto"/>
      <w:jc w:val="both"/>
    </w:pPr>
  </w:style>
  <w:style w:type="paragraph" w:customStyle="1" w:styleId="p0">
    <w:name w:val="p0"/>
    <w:basedOn w:val="a2"/>
    <w:qFormat/>
    <w:pPr>
      <w:widowControl/>
    </w:pPr>
  </w:style>
  <w:style w:type="paragraph" w:customStyle="1" w:styleId="104">
    <w:name w:val="10"/>
    <w:basedOn w:val="a2"/>
    <w:next w:val="af5"/>
    <w:qFormat/>
    <w:pPr>
      <w:spacing w:line="500" w:lineRule="exact"/>
      <w:ind w:firstLineChars="200" w:firstLine="560"/>
      <w:jc w:val="both"/>
    </w:pPr>
    <w:rPr>
      <w:rFonts w:ascii="仿宋_GB2312" w:eastAsia="仿宋_GB2312"/>
      <w:color w:val="FF0000"/>
    </w:rPr>
  </w:style>
  <w:style w:type="paragraph" w:customStyle="1" w:styleId="p22">
    <w:name w:val="p22"/>
    <w:basedOn w:val="a2"/>
    <w:qFormat/>
    <w:pPr>
      <w:widowControl/>
      <w:spacing w:line="360" w:lineRule="atLeast"/>
      <w:jc w:val="center"/>
    </w:pPr>
    <w:rPr>
      <w:rFonts w:ascii="仿宋_GB2312" w:eastAsia="仿宋_GB2312" w:hAnsi="宋体" w:cs="宋体"/>
      <w:sz w:val="24"/>
    </w:rPr>
  </w:style>
  <w:style w:type="paragraph" w:customStyle="1" w:styleId="xl750">
    <w:name w:val="xl750"/>
    <w:basedOn w:val="a2"/>
    <w:uiPriority w:val="99"/>
    <w:qFormat/>
    <w:pPr>
      <w:pBdr>
        <w:left w:val="single" w:sz="4" w:space="0" w:color="auto"/>
        <w:bottom w:val="single" w:sz="4" w:space="0" w:color="auto"/>
        <w:right w:val="single" w:sz="4" w:space="0" w:color="auto"/>
      </w:pBdr>
      <w:spacing w:before="100" w:beforeAutospacing="1" w:after="100" w:afterAutospacing="1"/>
    </w:pPr>
    <w:rPr>
      <w:rFonts w:ascii="Courier New" w:eastAsia="Arial Unicode MS" w:hAnsi="Courier New"/>
      <w:sz w:val="24"/>
    </w:rPr>
  </w:style>
  <w:style w:type="paragraph" w:customStyle="1" w:styleId="Char1CharCharCharCharCharChar4">
    <w:name w:val="Char1 Char Char Char Char Char Char4"/>
    <w:basedOn w:val="a2"/>
    <w:uiPriority w:val="99"/>
    <w:qFormat/>
    <w:pPr>
      <w:spacing w:before="100" w:beforeAutospacing="1" w:after="100" w:afterAutospacing="1"/>
      <w:ind w:firstLineChars="200" w:firstLine="200"/>
    </w:pPr>
    <w:rPr>
      <w:rFonts w:ascii="Verdana" w:eastAsia="仿宋_GB2312" w:hAnsi="Verdana"/>
      <w:sz w:val="20"/>
      <w:lang w:eastAsia="en-US"/>
    </w:rPr>
  </w:style>
  <w:style w:type="paragraph" w:customStyle="1" w:styleId="12f1">
    <w:name w:val="样式 目录 1 + 首行缩进:  2 字符"/>
    <w:basedOn w:val="13"/>
    <w:qFormat/>
    <w:pPr>
      <w:spacing w:line="480" w:lineRule="exact"/>
    </w:pPr>
    <w:rPr>
      <w:rFonts w:eastAsia="方正仿宋_GBK" w:cs="宋体"/>
      <w:sz w:val="28"/>
    </w:rPr>
  </w:style>
  <w:style w:type="paragraph" w:customStyle="1" w:styleId="xl95">
    <w:name w:val="xl95"/>
    <w:basedOn w:val="a2"/>
    <w:qFormat/>
    <w:pPr>
      <w:pBdr>
        <w:top w:val="single" w:sz="8" w:space="0" w:color="auto"/>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afffffffffffffffffffff9">
    <w:name w:val="表格居中"/>
    <w:basedOn w:val="a2"/>
    <w:qFormat/>
    <w:pPr>
      <w:jc w:val="center"/>
    </w:pPr>
    <w:rPr>
      <w:rFonts w:ascii="宋体" w:hAnsi="宋体"/>
      <w:bCs/>
      <w:snapToGrid w:val="0"/>
      <w:kern w:val="18"/>
      <w:u w:color="FF0000"/>
    </w:rPr>
  </w:style>
  <w:style w:type="paragraph" w:customStyle="1" w:styleId="CharCharChar1CharCharCharCharCharChar">
    <w:name w:val="Char Char Char1 Char Char Char Char Char Char"/>
    <w:basedOn w:val="a2"/>
    <w:qFormat/>
    <w:rPr>
      <w:sz w:val="24"/>
    </w:rPr>
  </w:style>
  <w:style w:type="paragraph" w:customStyle="1" w:styleId="ChapterNum">
    <w:name w:val="ChapterNum"/>
    <w:basedOn w:val="22"/>
    <w:uiPriority w:val="99"/>
    <w:qFormat/>
    <w:pPr>
      <w:keepLines w:val="0"/>
      <w:tabs>
        <w:tab w:val="left" w:pos="426"/>
        <w:tab w:val="left" w:pos="570"/>
        <w:tab w:val="left" w:pos="1620"/>
      </w:tabs>
      <w:spacing w:before="0" w:after="0" w:line="240" w:lineRule="auto"/>
      <w:ind w:left="570" w:hanging="570"/>
      <w:jc w:val="both"/>
      <w:outlineLvl w:val="9"/>
    </w:pPr>
    <w:rPr>
      <w:rFonts w:ascii="Arial" w:eastAsia="宋体" w:hAnsi="Arial" w:cs="Times New Roman"/>
      <w:sz w:val="28"/>
      <w:szCs w:val="28"/>
      <w:lang w:eastAsia="en-US"/>
    </w:rPr>
  </w:style>
  <w:style w:type="paragraph" w:customStyle="1" w:styleId="CharChar11CharChar">
    <w:name w:val="Char Char11 Char Char"/>
    <w:basedOn w:val="a2"/>
    <w:uiPriority w:val="99"/>
    <w:qFormat/>
    <w:pPr>
      <w:jc w:val="both"/>
    </w:pPr>
  </w:style>
  <w:style w:type="paragraph" w:customStyle="1" w:styleId="afffffffffffffffffffffa">
    <w:name w:val="小四表格"/>
    <w:basedOn w:val="a2"/>
    <w:qFormat/>
    <w:pPr>
      <w:keepNext/>
      <w:spacing w:line="480" w:lineRule="atLeast"/>
      <w:jc w:val="center"/>
    </w:pPr>
    <w:rPr>
      <w:color w:val="000000"/>
      <w:sz w:val="24"/>
    </w:rPr>
  </w:style>
  <w:style w:type="paragraph" w:customStyle="1" w:styleId="afffffffffffffffffffffb">
    <w:name w:val="居中+ 三号"/>
    <w:basedOn w:val="a2"/>
    <w:uiPriority w:val="99"/>
    <w:qFormat/>
    <w:pPr>
      <w:jc w:val="center"/>
    </w:pPr>
    <w:rPr>
      <w:b/>
      <w:bCs/>
      <w:sz w:val="32"/>
      <w:szCs w:val="30"/>
    </w:rPr>
  </w:style>
  <w:style w:type="paragraph" w:customStyle="1" w:styleId="afffffffffffffffffffffc">
    <w:name w:val="陈表格中内容"/>
    <w:basedOn w:val="a2"/>
    <w:next w:val="a2"/>
    <w:uiPriority w:val="99"/>
    <w:qFormat/>
    <w:pPr>
      <w:spacing w:line="400" w:lineRule="exact"/>
      <w:jc w:val="center"/>
    </w:pPr>
    <w:rPr>
      <w:rFonts w:ascii="仿宋_GB2312" w:eastAsia="仿宋_GB2312"/>
      <w:color w:val="FF00FF"/>
      <w:sz w:val="24"/>
      <w:lang w:val="en-GB"/>
    </w:rPr>
  </w:style>
  <w:style w:type="paragraph" w:customStyle="1" w:styleId="CharCharCharChar1CharCharChar">
    <w:name w:val="Char Char Char Char1 Char Char Char"/>
    <w:basedOn w:val="a2"/>
    <w:uiPriority w:val="99"/>
    <w:qFormat/>
    <w:pPr>
      <w:jc w:val="both"/>
    </w:pPr>
    <w:rPr>
      <w:sz w:val="24"/>
    </w:rPr>
  </w:style>
  <w:style w:type="paragraph" w:customStyle="1" w:styleId="afffffffffffffffffffffd">
    <w:name w:val="+正文"/>
    <w:basedOn w:val="a2"/>
    <w:uiPriority w:val="99"/>
    <w:qFormat/>
    <w:pPr>
      <w:spacing w:line="360" w:lineRule="auto"/>
      <w:ind w:firstLineChars="200" w:firstLine="200"/>
      <w:jc w:val="both"/>
    </w:pPr>
    <w:rPr>
      <w:rFonts w:hAnsi="宋体"/>
      <w:szCs w:val="28"/>
    </w:rPr>
  </w:style>
  <w:style w:type="paragraph" w:customStyle="1" w:styleId="1ffffffa">
    <w:name w:val="1表格"/>
    <w:basedOn w:val="a2"/>
    <w:qFormat/>
    <w:pPr>
      <w:snapToGrid w:val="0"/>
      <w:jc w:val="center"/>
      <w:outlineLvl w:val="4"/>
    </w:pPr>
    <w:rPr>
      <w:spacing w:val="4"/>
    </w:rPr>
  </w:style>
  <w:style w:type="paragraph" w:customStyle="1" w:styleId="A21">
    <w:name w:val="A标题2"/>
    <w:next w:val="a2"/>
    <w:uiPriority w:val="99"/>
    <w:qFormat/>
    <w:pPr>
      <w:spacing w:beforeLines="100" w:before="312" w:afterLines="100" w:after="312"/>
      <w:outlineLvl w:val="1"/>
    </w:pPr>
    <w:rPr>
      <w:rFonts w:ascii="黑体" w:eastAsia="黑体" w:hAnsi="Arial" w:cs="宋体"/>
      <w:b/>
      <w:kern w:val="2"/>
      <w:sz w:val="30"/>
    </w:rPr>
  </w:style>
  <w:style w:type="paragraph" w:customStyle="1" w:styleId="Char330">
    <w:name w:val="Char33"/>
    <w:basedOn w:val="a2"/>
    <w:qFormat/>
    <w:rPr>
      <w:rFonts w:ascii="Times New Roman"/>
    </w:rPr>
  </w:style>
  <w:style w:type="paragraph" w:customStyle="1" w:styleId="CharCharChar140">
    <w:name w:val="Char Char Char14"/>
    <w:basedOn w:val="a2"/>
    <w:uiPriority w:val="99"/>
    <w:qFormat/>
    <w:pPr>
      <w:jc w:val="both"/>
    </w:pPr>
    <w:rPr>
      <w:rFonts w:ascii="Times New Roman"/>
    </w:rPr>
  </w:style>
  <w:style w:type="paragraph" w:customStyle="1" w:styleId="317">
    <w:name w:val="正文文本缩进 31"/>
    <w:basedOn w:val="a2"/>
    <w:uiPriority w:val="99"/>
    <w:qFormat/>
    <w:pPr>
      <w:spacing w:line="360" w:lineRule="auto"/>
      <w:ind w:firstLine="480"/>
      <w:jc w:val="both"/>
    </w:pPr>
    <w:rPr>
      <w:rFonts w:ascii="华文仿宋" w:eastAsia="华文仿宋" w:hAnsi="华文仿宋"/>
      <w:color w:val="000000"/>
      <w:sz w:val="24"/>
    </w:rPr>
  </w:style>
  <w:style w:type="paragraph" w:customStyle="1" w:styleId="CharCharCharCharCharCharCharCharChar1CharCharCharCharCharChar9">
    <w:name w:val="Char Char Char Char Char Char Char Char Char1 Char Char Char Char Char Char9"/>
    <w:basedOn w:val="a2"/>
    <w:uiPriority w:val="99"/>
    <w:qFormat/>
    <w:pPr>
      <w:jc w:val="both"/>
    </w:pPr>
  </w:style>
  <w:style w:type="paragraph" w:customStyle="1" w:styleId="afffffffffffffffffffffe">
    <w:name w:val="红线"/>
    <w:basedOn w:val="12"/>
    <w:qFormat/>
    <w:pPr>
      <w:keepNext w:val="0"/>
      <w:keepLines w:val="0"/>
      <w:spacing w:after="851" w:line="227" w:lineRule="atLeast"/>
      <w:ind w:right="-142"/>
      <w:jc w:val="center"/>
      <w:textAlignment w:val="auto"/>
      <w:outlineLvl w:val="9"/>
    </w:pPr>
    <w:rPr>
      <w:rFonts w:ascii="宋体" w:eastAsia="宋体"/>
      <w:b/>
      <w:bCs w:val="0"/>
      <w:snapToGrid w:val="0"/>
      <w:kern w:val="0"/>
      <w:sz w:val="10"/>
      <w:szCs w:val="20"/>
    </w:rPr>
  </w:style>
  <w:style w:type="paragraph" w:customStyle="1" w:styleId="4f4">
    <w:name w:val="表格内字体4"/>
    <w:basedOn w:val="affffffff6"/>
    <w:uiPriority w:val="99"/>
    <w:qFormat/>
    <w:pPr>
      <w:spacing w:line="240" w:lineRule="auto"/>
      <w:ind w:firstLine="0"/>
      <w:jc w:val="center"/>
    </w:pPr>
    <w:rPr>
      <w:sz w:val="21"/>
      <w:szCs w:val="20"/>
    </w:rPr>
  </w:style>
  <w:style w:type="paragraph" w:customStyle="1" w:styleId="04">
    <w:name w:val="样式_正文_04"/>
    <w:uiPriority w:val="99"/>
    <w:qFormat/>
    <w:pPr>
      <w:numPr>
        <w:numId w:val="16"/>
      </w:numPr>
      <w:tabs>
        <w:tab w:val="clear" w:pos="1701"/>
        <w:tab w:val="right" w:leader="dot" w:pos="7407"/>
        <w:tab w:val="left" w:pos="7587"/>
      </w:tabs>
      <w:spacing w:line="360" w:lineRule="auto"/>
    </w:pPr>
    <w:rPr>
      <w:rFonts w:ascii="Garamond" w:eastAsia="楷体_GB2312" w:hAnsi="Garamond" w:cs="Times New Roman"/>
      <w:kern w:val="28"/>
      <w:sz w:val="24"/>
      <w:szCs w:val="24"/>
    </w:rPr>
  </w:style>
  <w:style w:type="paragraph" w:customStyle="1" w:styleId="publishtext">
    <w:name w:val="publish_text"/>
    <w:basedOn w:val="a2"/>
    <w:pPr>
      <w:spacing w:before="100" w:beforeAutospacing="1" w:after="100" w:afterAutospacing="1"/>
    </w:pPr>
  </w:style>
  <w:style w:type="paragraph" w:customStyle="1" w:styleId="13a">
    <w:name w:val="正文首行缩进13"/>
    <w:basedOn w:val="a2"/>
    <w:next w:val="a2"/>
    <w:uiPriority w:val="99"/>
    <w:qFormat/>
    <w:pPr>
      <w:tabs>
        <w:tab w:val="left" w:pos="540"/>
        <w:tab w:val="left" w:pos="1440"/>
        <w:tab w:val="left" w:pos="2448"/>
        <w:tab w:val="left" w:pos="3000"/>
        <w:tab w:val="left" w:pos="3888"/>
        <w:tab w:val="left" w:pos="4800"/>
        <w:tab w:val="left" w:pos="5040"/>
        <w:tab w:val="left" w:pos="5883"/>
        <w:tab w:val="left" w:pos="6300"/>
        <w:tab w:val="left" w:pos="7353"/>
        <w:tab w:val="left" w:pos="8613"/>
      </w:tabs>
      <w:snapToGrid w:val="0"/>
      <w:spacing w:line="300" w:lineRule="auto"/>
      <w:ind w:firstLine="561"/>
      <w:jc w:val="both"/>
      <w:textAlignment w:val="baseline"/>
    </w:pPr>
  </w:style>
  <w:style w:type="paragraph" w:customStyle="1" w:styleId="xl90">
    <w:name w:val="xl90"/>
    <w:basedOn w:val="a2"/>
    <w:qFormat/>
    <w:pPr>
      <w:pBdr>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affffffffffffffffffffff">
    <w:name w:val="正文报告"/>
    <w:basedOn w:val="a2"/>
    <w:uiPriority w:val="99"/>
    <w:qFormat/>
    <w:pPr>
      <w:tabs>
        <w:tab w:val="left" w:pos="510"/>
      </w:tabs>
      <w:spacing w:line="460" w:lineRule="exact"/>
      <w:ind w:firstLine="482"/>
      <w:jc w:val="both"/>
      <w:textAlignment w:val="baseline"/>
    </w:pPr>
    <w:rPr>
      <w:sz w:val="24"/>
    </w:rPr>
  </w:style>
  <w:style w:type="paragraph" w:customStyle="1" w:styleId="09915">
    <w:name w:val="样式 小四 首行缩进:  0.99 厘米 行距: 1.5 倍行距"/>
    <w:basedOn w:val="a2"/>
    <w:uiPriority w:val="99"/>
    <w:qFormat/>
    <w:pPr>
      <w:tabs>
        <w:tab w:val="left" w:pos="352"/>
      </w:tabs>
      <w:overflowPunct w:val="0"/>
      <w:spacing w:line="360" w:lineRule="auto"/>
      <w:ind w:firstLine="560"/>
      <w:jc w:val="both"/>
      <w:textAlignment w:val="bottom"/>
    </w:pPr>
    <w:rPr>
      <w:rFonts w:cs="宋体"/>
      <w:sz w:val="24"/>
    </w:rPr>
  </w:style>
  <w:style w:type="paragraph" w:customStyle="1" w:styleId="CharCharCharCharCharChar1CharCharCharCharCharCharChar2">
    <w:name w:val="Char Char Char Char Char Char1 Char Char Char Char Char Char Char2"/>
    <w:basedOn w:val="a2"/>
    <w:uiPriority w:val="99"/>
    <w:qFormat/>
    <w:pPr>
      <w:jc w:val="both"/>
    </w:pPr>
    <w:rPr>
      <w:rFonts w:ascii="Times New Roman"/>
    </w:rPr>
  </w:style>
  <w:style w:type="paragraph" w:customStyle="1" w:styleId="085">
    <w:name w:val="样式 首行缩进:  0.85 厘米"/>
    <w:basedOn w:val="a2"/>
    <w:pPr>
      <w:autoSpaceDE/>
      <w:autoSpaceDN/>
      <w:adjustRightInd/>
      <w:spacing w:line="360" w:lineRule="auto"/>
      <w:ind w:firstLine="482"/>
      <w:jc w:val="both"/>
    </w:pPr>
    <w:rPr>
      <w:rFonts w:cs="宋体"/>
    </w:rPr>
  </w:style>
  <w:style w:type="paragraph" w:customStyle="1" w:styleId="2ffff1">
    <w:name w:val="样式 (符号) 宋体 首行缩进:  2 字符"/>
    <w:basedOn w:val="a2"/>
    <w:uiPriority w:val="99"/>
    <w:qFormat/>
    <w:pPr>
      <w:spacing w:line="520" w:lineRule="atLeast"/>
      <w:ind w:firstLineChars="200" w:firstLine="200"/>
      <w:jc w:val="both"/>
    </w:pPr>
    <w:rPr>
      <w:rFonts w:ascii="宋体" w:eastAsia="仿宋_GB2312" w:hAnsi="宋体" w:hint="eastAsia"/>
      <w:szCs w:val="28"/>
    </w:rPr>
  </w:style>
  <w:style w:type="paragraph" w:customStyle="1" w:styleId="CharCharCharCharCharChar1CharCharCharChar1">
    <w:name w:val="Char Char Char Char Char Char1 Char Char Char Char1"/>
    <w:basedOn w:val="a2"/>
    <w:pPr>
      <w:autoSpaceDE/>
      <w:autoSpaceDN/>
      <w:adjustRightInd/>
      <w:spacing w:line="360" w:lineRule="auto"/>
      <w:ind w:firstLineChars="200" w:firstLine="200"/>
      <w:jc w:val="both"/>
    </w:pPr>
  </w:style>
  <w:style w:type="paragraph" w:customStyle="1" w:styleId="affffffffffffffffffffff0">
    <w:name w:val="正文（仿宋）"/>
    <w:basedOn w:val="a2"/>
    <w:uiPriority w:val="99"/>
    <w:qFormat/>
    <w:pPr>
      <w:spacing w:line="500" w:lineRule="exact"/>
      <w:ind w:firstLineChars="200" w:firstLine="560"/>
      <w:jc w:val="center"/>
    </w:pPr>
    <w:rPr>
      <w:rFonts w:ascii="仿宋_GB2312" w:eastAsia="仿宋_GB2312" w:hAnsi="宋体" w:cs="宋体"/>
      <w:szCs w:val="28"/>
    </w:rPr>
  </w:style>
  <w:style w:type="paragraph" w:customStyle="1" w:styleId="affffffffffffffffffffff1">
    <w:name w:val="图"/>
    <w:basedOn w:val="a2"/>
    <w:qFormat/>
    <w:pPr>
      <w:jc w:val="center"/>
    </w:pPr>
  </w:style>
  <w:style w:type="paragraph" w:customStyle="1" w:styleId="318">
    <w:name w:val="字元 字元3 字元1"/>
    <w:basedOn w:val="a2"/>
    <w:next w:val="a2"/>
    <w:uiPriority w:val="99"/>
    <w:qFormat/>
    <w:pPr>
      <w:spacing w:line="360" w:lineRule="auto"/>
      <w:ind w:firstLineChars="200" w:firstLine="200"/>
      <w:jc w:val="both"/>
    </w:pPr>
    <w:rPr>
      <w:rFonts w:ascii="Times New Roman"/>
    </w:rPr>
  </w:style>
  <w:style w:type="paragraph" w:customStyle="1" w:styleId="21d">
    <w:name w:val="列出段落21"/>
    <w:basedOn w:val="a2"/>
    <w:uiPriority w:val="99"/>
    <w:qFormat/>
    <w:pPr>
      <w:spacing w:line="460" w:lineRule="atLeast"/>
      <w:ind w:firstLineChars="200" w:firstLine="420"/>
      <w:jc w:val="both"/>
    </w:pPr>
    <w:rPr>
      <w:bCs/>
      <w:kern w:val="44"/>
      <w:szCs w:val="44"/>
    </w:rPr>
  </w:style>
  <w:style w:type="paragraph" w:customStyle="1" w:styleId="affffffffffffffffffffff2">
    <w:name w:val="样式一"/>
    <w:basedOn w:val="a2"/>
    <w:uiPriority w:val="99"/>
    <w:qFormat/>
    <w:pPr>
      <w:tabs>
        <w:tab w:val="left" w:pos="720"/>
      </w:tabs>
      <w:spacing w:beforeLines="50" w:afterLines="50" w:line="300" w:lineRule="auto"/>
      <w:ind w:left="720" w:hanging="720"/>
      <w:jc w:val="both"/>
    </w:pPr>
    <w:rPr>
      <w:rFonts w:eastAsia="黑体"/>
    </w:rPr>
  </w:style>
  <w:style w:type="paragraph" w:customStyle="1" w:styleId="xl747">
    <w:name w:val="xl747"/>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sz w:val="24"/>
    </w:rPr>
  </w:style>
  <w:style w:type="paragraph" w:customStyle="1" w:styleId="P3">
    <w:name w:val="P3"/>
    <w:uiPriority w:val="99"/>
    <w:qFormat/>
    <w:pPr>
      <w:widowControl w:val="0"/>
      <w:adjustRightInd w:val="0"/>
      <w:spacing w:after="240" w:line="0" w:lineRule="atLeast"/>
      <w:ind w:left="2160" w:hanging="720"/>
      <w:jc w:val="both"/>
      <w:textAlignment w:val="baseline"/>
    </w:pPr>
    <w:rPr>
      <w:rFonts w:ascii="Times New Roman" w:eastAsia="宋体" w:hAnsi="Times New Roman" w:cs="Times New Roman"/>
      <w:spacing w:val="20"/>
      <w:sz w:val="24"/>
      <w:lang w:val="en-GB"/>
    </w:rPr>
  </w:style>
  <w:style w:type="paragraph" w:customStyle="1" w:styleId="CharCharCharCharCharCharCharCharCharCharCharChar3">
    <w:name w:val="Char Char Char Char Char Char Char Char Char Char Char Char3"/>
    <w:basedOn w:val="a2"/>
    <w:uiPriority w:val="99"/>
    <w:qFormat/>
    <w:pPr>
      <w:jc w:val="both"/>
    </w:pPr>
  </w:style>
  <w:style w:type="paragraph" w:customStyle="1" w:styleId="Mercedes">
    <w:name w:val="Mercedes"/>
    <w:basedOn w:val="a2"/>
    <w:uiPriority w:val="99"/>
    <w:qFormat/>
    <w:pPr>
      <w:overflowPunct w:val="0"/>
      <w:spacing w:line="360" w:lineRule="auto"/>
      <w:textAlignment w:val="baseline"/>
    </w:pPr>
    <w:rPr>
      <w:rFonts w:ascii="CorporateS-Regular" w:hAnsi="CorporateS-Regular"/>
      <w:sz w:val="24"/>
      <w:lang w:val="de-DE"/>
    </w:rPr>
  </w:style>
  <w:style w:type="paragraph" w:customStyle="1" w:styleId="192">
    <w:name w:val="样式 四号 首行缩进:  1.92 字符"/>
    <w:basedOn w:val="a2"/>
    <w:pPr>
      <w:widowControl/>
      <w:autoSpaceDE/>
      <w:autoSpaceDN/>
      <w:adjustRightInd/>
      <w:ind w:firstLineChars="200" w:firstLine="560"/>
      <w:jc w:val="both"/>
    </w:pPr>
    <w:rPr>
      <w:rFonts w:ascii="Verdana" w:hAnsi="Verdana" w:cs="Verdana"/>
      <w:szCs w:val="28"/>
    </w:rPr>
  </w:style>
  <w:style w:type="paragraph" w:customStyle="1" w:styleId="CharCharCharCharCharCharCharCharChar0">
    <w:name w:val="Char Char Char Char Char Char Char Char Char"/>
    <w:basedOn w:val="a2"/>
    <w:rPr>
      <w:sz w:val="24"/>
    </w:rPr>
  </w:style>
  <w:style w:type="paragraph" w:customStyle="1" w:styleId="2ffff2">
    <w:name w:val="日期2"/>
    <w:basedOn w:val="a2"/>
    <w:next w:val="a2"/>
    <w:qFormat/>
    <w:pPr>
      <w:snapToGrid w:val="0"/>
      <w:spacing w:before="120" w:after="120" w:line="360" w:lineRule="auto"/>
      <w:ind w:firstLineChars="200" w:firstLine="200"/>
      <w:jc w:val="both"/>
      <w:textAlignment w:val="baseline"/>
    </w:pPr>
    <w:rPr>
      <w:sz w:val="24"/>
    </w:rPr>
  </w:style>
  <w:style w:type="paragraph" w:customStyle="1" w:styleId="affffffffffffffffffffff3">
    <w:name w:val="段"/>
    <w:qFormat/>
    <w:pPr>
      <w:autoSpaceDE w:val="0"/>
      <w:autoSpaceDN w:val="0"/>
      <w:spacing w:beforeLines="50" w:before="50" w:afterLines="50" w:after="50" w:line="360" w:lineRule="auto"/>
      <w:ind w:firstLineChars="200" w:firstLine="200"/>
      <w:jc w:val="both"/>
    </w:pPr>
    <w:rPr>
      <w:rFonts w:ascii="Times New Roman" w:eastAsia="宋体" w:hAnsi="Times New Roman" w:cs="Times New Roman"/>
      <w:sz w:val="21"/>
    </w:rPr>
  </w:style>
  <w:style w:type="paragraph" w:customStyle="1" w:styleId="affffffffffffffffffffff4">
    <w:name w:val="样式 表格 + 宋体 居中"/>
    <w:basedOn w:val="a2"/>
    <w:uiPriority w:val="99"/>
    <w:qFormat/>
    <w:pPr>
      <w:jc w:val="center"/>
      <w:textAlignment w:val="center"/>
    </w:pPr>
    <w:rPr>
      <w:rFonts w:ascii="Calibri" w:hAnsi="Calibri"/>
      <w:sz w:val="24"/>
    </w:rPr>
  </w:style>
  <w:style w:type="paragraph" w:customStyle="1" w:styleId="CharCharCharCharChar5">
    <w:name w:val="Char Char Char Char Char"/>
    <w:basedOn w:val="a2"/>
    <w:pPr>
      <w:jc w:val="both"/>
    </w:pPr>
    <w:rPr>
      <w:sz w:val="24"/>
    </w:rPr>
  </w:style>
  <w:style w:type="paragraph" w:customStyle="1" w:styleId="HL22">
    <w:name w:val="HL22"/>
    <w:basedOn w:val="a2"/>
    <w:uiPriority w:val="99"/>
    <w:qFormat/>
    <w:pPr>
      <w:keepNext/>
      <w:keepLines/>
      <w:spacing w:before="120" w:after="120" w:line="500" w:lineRule="exact"/>
      <w:jc w:val="both"/>
      <w:outlineLvl w:val="1"/>
    </w:pPr>
    <w:rPr>
      <w:rFonts w:eastAsia="仿宋_GB2312"/>
      <w:b/>
      <w:bCs/>
      <w:color w:val="000000"/>
      <w:szCs w:val="32"/>
    </w:rPr>
  </w:style>
  <w:style w:type="paragraph" w:customStyle="1" w:styleId="gy">
    <w:name w:val="gy"/>
    <w:basedOn w:val="a2"/>
    <w:qFormat/>
    <w:pPr>
      <w:widowControl/>
      <w:spacing w:before="100" w:beforeAutospacing="1" w:after="100" w:afterAutospacing="1" w:line="360" w:lineRule="auto"/>
      <w:ind w:left="150" w:right="150" w:firstLine="520"/>
    </w:pPr>
    <w:rPr>
      <w:rFonts w:ascii="Arial Unicode MS" w:eastAsia="Arial Unicode MS" w:hAnsi="Arial Unicode MS"/>
      <w:sz w:val="18"/>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2"/>
    <w:uiPriority w:val="99"/>
    <w:qFormat/>
    <w:pPr>
      <w:jc w:val="both"/>
    </w:pPr>
    <w:rPr>
      <w:sz w:val="24"/>
    </w:rPr>
  </w:style>
  <w:style w:type="paragraph" w:customStyle="1" w:styleId="CharCharCharCharCharCharCharCharChar2">
    <w:name w:val="Char Char Char Char Char Char Char Char Char2"/>
    <w:basedOn w:val="a2"/>
    <w:uiPriority w:val="99"/>
    <w:qFormat/>
    <w:rPr>
      <w:rFonts w:ascii="Times New Roman"/>
    </w:rPr>
  </w:style>
  <w:style w:type="paragraph" w:customStyle="1" w:styleId="3031">
    <w:name w:val="样式 标题 3 + 段前: 0.3 行1"/>
    <w:basedOn w:val="32"/>
    <w:uiPriority w:val="99"/>
    <w:qFormat/>
    <w:pPr>
      <w:snapToGrid w:val="0"/>
      <w:spacing w:before="0" w:after="0" w:line="360" w:lineRule="auto"/>
    </w:pPr>
    <w:rPr>
      <w:rFonts w:ascii="Times New Roman" w:eastAsia="黑体" w:cs="宋体"/>
      <w:b w:val="0"/>
      <w:bCs w:val="0"/>
      <w:szCs w:val="20"/>
    </w:rPr>
  </w:style>
  <w:style w:type="paragraph" w:customStyle="1" w:styleId="059628">
    <w:name w:val="样式 左侧:  0 厘米 悬挂缩进: 5.96 字符 行距: 固定值 28 磅"/>
    <w:basedOn w:val="a2"/>
    <w:uiPriority w:val="99"/>
    <w:qFormat/>
    <w:pPr>
      <w:spacing w:line="500" w:lineRule="exact"/>
      <w:jc w:val="both"/>
    </w:pPr>
    <w:rPr>
      <w:rFonts w:cs="宋体"/>
    </w:rPr>
  </w:style>
  <w:style w:type="paragraph" w:customStyle="1" w:styleId="CharChar5CharCharCharChar">
    <w:name w:val="Char Char5 Char Char Char Char"/>
    <w:basedOn w:val="a2"/>
    <w:uiPriority w:val="99"/>
    <w:qFormat/>
    <w:pPr>
      <w:jc w:val="both"/>
    </w:pPr>
    <w:rPr>
      <w:szCs w:val="28"/>
    </w:rPr>
  </w:style>
  <w:style w:type="paragraph" w:customStyle="1" w:styleId="p23">
    <w:name w:val="p23"/>
    <w:basedOn w:val="a2"/>
    <w:qFormat/>
    <w:pPr>
      <w:widowControl/>
      <w:snapToGrid w:val="0"/>
      <w:spacing w:line="500" w:lineRule="atLeast"/>
    </w:pPr>
    <w:rPr>
      <w:rFonts w:ascii="仿宋_GB2312" w:eastAsia="仿宋_GB2312" w:hAnsi="宋体" w:cs="宋体"/>
      <w:szCs w:val="28"/>
    </w:rPr>
  </w:style>
  <w:style w:type="paragraph" w:customStyle="1" w:styleId="1CharCharCharCharCharCharCharCharCharCharCharCharCharCharCharCharCharCharCharCharCharCharCharCharChar">
    <w:name w:val="1 Char Char Char Char Char Char Char Char Char Char Char Char Char Char Char Char Char Char Char Char Char Char Char Char Char"/>
    <w:basedOn w:val="a2"/>
    <w:qFormat/>
  </w:style>
  <w:style w:type="paragraph" w:customStyle="1" w:styleId="21e">
    <w:name w:val="21"/>
    <w:basedOn w:val="a2"/>
    <w:next w:val="af5"/>
    <w:qFormat/>
    <w:pPr>
      <w:spacing w:line="500" w:lineRule="exact"/>
      <w:ind w:firstLineChars="200" w:firstLine="560"/>
      <w:jc w:val="both"/>
    </w:pPr>
    <w:rPr>
      <w:rFonts w:ascii="仿宋_GB2312" w:eastAsia="仿宋_GB2312"/>
      <w:color w:val="FF0000"/>
    </w:rPr>
  </w:style>
  <w:style w:type="paragraph" w:customStyle="1" w:styleId="321">
    <w:name w:val="字元 字元3 字元2"/>
    <w:basedOn w:val="a2"/>
    <w:next w:val="a2"/>
    <w:uiPriority w:val="99"/>
    <w:qFormat/>
    <w:pPr>
      <w:spacing w:line="360" w:lineRule="auto"/>
      <w:ind w:firstLineChars="200" w:firstLine="200"/>
      <w:jc w:val="both"/>
    </w:pPr>
  </w:style>
  <w:style w:type="paragraph" w:customStyle="1" w:styleId="CharCharCharChar11">
    <w:name w:val="Char Char Char Char11"/>
    <w:basedOn w:val="a2"/>
    <w:qFormat/>
    <w:rPr>
      <w:sz w:val="24"/>
    </w:rPr>
  </w:style>
  <w:style w:type="paragraph" w:customStyle="1" w:styleId="CharChar3Char4">
    <w:name w:val="Char Char3 Char4"/>
    <w:basedOn w:val="a2"/>
    <w:next w:val="a2"/>
    <w:pPr>
      <w:spacing w:line="360" w:lineRule="auto"/>
      <w:ind w:firstLineChars="200" w:firstLine="200"/>
      <w:jc w:val="center"/>
    </w:pPr>
    <w:rPr>
      <w:rFonts w:eastAsia="黑体"/>
    </w:rPr>
  </w:style>
  <w:style w:type="paragraph" w:customStyle="1" w:styleId="affffffffffffffffffffff5">
    <w:name w:val="前言、引言标题"/>
    <w:next w:val="a2"/>
    <w:qFormat/>
    <w:pPr>
      <w:shd w:val="clear" w:color="FFFFFF" w:fill="FFFFFF"/>
      <w:tabs>
        <w:tab w:val="left" w:pos="903"/>
      </w:tabs>
      <w:spacing w:beforeLines="50" w:before="640" w:afterLines="50" w:after="560" w:line="360" w:lineRule="auto"/>
      <w:ind w:left="903" w:firstLineChars="40" w:hanging="315"/>
      <w:jc w:val="center"/>
      <w:outlineLvl w:val="0"/>
    </w:pPr>
    <w:rPr>
      <w:rFonts w:ascii="黑体" w:eastAsia="黑体" w:hAnsi="Times New Roman" w:cs="Times New Roman"/>
      <w:sz w:val="32"/>
    </w:rPr>
  </w:style>
  <w:style w:type="paragraph" w:customStyle="1" w:styleId="INDEX">
    <w:name w:val="INDEX"/>
    <w:basedOn w:val="a2"/>
    <w:uiPriority w:val="99"/>
    <w:qFormat/>
    <w:pPr>
      <w:spacing w:line="360" w:lineRule="atLeast"/>
      <w:ind w:left="1080" w:hanging="1080"/>
      <w:textAlignment w:val="bottom"/>
    </w:pPr>
    <w:rPr>
      <w:rFonts w:ascii="CF-簡秀宋體" w:eastAsia="CF-簡秀宋體"/>
      <w:sz w:val="24"/>
      <w:lang w:eastAsia="zh-TW"/>
    </w:rPr>
  </w:style>
  <w:style w:type="paragraph" w:customStyle="1" w:styleId="affffffffffffffffffffff6">
    <w:name w:val="內文１"/>
    <w:basedOn w:val="a2"/>
    <w:qFormat/>
    <w:pPr>
      <w:snapToGrid w:val="0"/>
      <w:spacing w:line="360" w:lineRule="auto"/>
      <w:ind w:leftChars="225" w:left="540" w:firstLineChars="321" w:firstLine="899"/>
    </w:pPr>
    <w:rPr>
      <w:rFonts w:eastAsia="DFKai-SB"/>
      <w:lang w:eastAsia="zh-TW"/>
    </w:rPr>
  </w:style>
  <w:style w:type="paragraph" w:customStyle="1" w:styleId="1135">
    <w:name w:val="样式 标题 1 + (中文) 宋体 小三 行距: 多倍行距 1.35 字行"/>
    <w:basedOn w:val="12"/>
    <w:qFormat/>
    <w:pPr>
      <w:tabs>
        <w:tab w:val="left" w:pos="432"/>
      </w:tabs>
      <w:snapToGrid w:val="0"/>
      <w:ind w:left="432" w:hanging="432"/>
      <w:textAlignment w:val="auto"/>
    </w:pPr>
    <w:rPr>
      <w:rFonts w:ascii="仿宋_GB2312" w:eastAsia="仿宋_GB2312" w:hAnsi="宋体" w:cs="宋体"/>
      <w:b/>
      <w:sz w:val="30"/>
      <w:szCs w:val="30"/>
    </w:rPr>
  </w:style>
  <w:style w:type="paragraph" w:customStyle="1" w:styleId="CharChar2a">
    <w:name w:val="样式 环评正文 Char Char + 首行缩进:  2 字符"/>
    <w:basedOn w:val="CharCharffffff1"/>
    <w:uiPriority w:val="99"/>
    <w:qFormat/>
    <w:pPr>
      <w:spacing w:line="440" w:lineRule="exact"/>
      <w:jc w:val="both"/>
    </w:pPr>
    <w:rPr>
      <w:rFonts w:cs="宋体"/>
      <w:snapToGrid/>
      <w:szCs w:val="20"/>
    </w:rPr>
  </w:style>
  <w:style w:type="paragraph" w:customStyle="1" w:styleId="CharCharChar1CharCharCharChar11">
    <w:name w:val="Char Char Char1 Char Char Char Char11"/>
    <w:basedOn w:val="a2"/>
    <w:uiPriority w:val="99"/>
    <w:qFormat/>
    <w:pPr>
      <w:spacing w:line="360" w:lineRule="auto"/>
      <w:jc w:val="both"/>
    </w:pPr>
  </w:style>
  <w:style w:type="paragraph" w:customStyle="1" w:styleId="21f">
    <w:name w:val="标题21"/>
    <w:basedOn w:val="a2"/>
    <w:pPr>
      <w:snapToGrid w:val="0"/>
      <w:spacing w:line="360" w:lineRule="auto"/>
      <w:jc w:val="both"/>
    </w:pPr>
  </w:style>
  <w:style w:type="paragraph" w:customStyle="1" w:styleId="1CharCharCharCharCharCharCharCharCharCharCharChar1CharCharCharCharCharChar1CharCharChar">
    <w:name w:val="1 Char Char Char Char Char Char Char Char Char Char Char Char1 Char Char Char Char Char Char1 Char Char Char"/>
    <w:basedOn w:val="a2"/>
    <w:qFormat/>
  </w:style>
  <w:style w:type="paragraph" w:customStyle="1" w:styleId="CharCharCharCharCharCharCharCharChar1CharCharChar3">
    <w:name w:val="Char Char Char Char Char Char Char Char Char1 Char Char Char3"/>
    <w:basedOn w:val="a2"/>
    <w:uiPriority w:val="99"/>
    <w:qFormat/>
    <w:pPr>
      <w:jc w:val="both"/>
    </w:p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a2"/>
    <w:pPr>
      <w:jc w:val="both"/>
    </w:pPr>
    <w:rPr>
      <w:rFonts w:ascii="Times New Roman"/>
    </w:rPr>
  </w:style>
  <w:style w:type="paragraph" w:customStyle="1" w:styleId="affffffffffffffffffffff7">
    <w:name w:val="表中正文"/>
    <w:basedOn w:val="a2"/>
    <w:uiPriority w:val="99"/>
    <w:qFormat/>
    <w:pPr>
      <w:snapToGrid w:val="0"/>
      <w:spacing w:line="280" w:lineRule="exact"/>
      <w:jc w:val="center"/>
    </w:pPr>
    <w:rPr>
      <w:rFonts w:ascii="宋体"/>
    </w:rPr>
  </w:style>
  <w:style w:type="paragraph" w:customStyle="1" w:styleId="font0">
    <w:name w:val="font0"/>
    <w:basedOn w:val="a2"/>
    <w:qFormat/>
    <w:pPr>
      <w:widowControl/>
      <w:spacing w:before="100" w:beforeAutospacing="1" w:after="100" w:afterAutospacing="1"/>
    </w:pPr>
    <w:rPr>
      <w:rFonts w:ascii="宋体" w:hAnsi="宋体" w:cs="Arial Unicode MS" w:hint="eastAsia"/>
      <w:sz w:val="24"/>
    </w:rPr>
  </w:style>
  <w:style w:type="paragraph" w:customStyle="1" w:styleId="CharCharCharCharCharChar1CharCharCharCharCharCharChar1">
    <w:name w:val="Char Char Char Char Char Char1 Char Char Char Char Char Char Char1"/>
    <w:basedOn w:val="a2"/>
    <w:uiPriority w:val="99"/>
    <w:qFormat/>
    <w:pPr>
      <w:jc w:val="both"/>
    </w:pPr>
    <w:rPr>
      <w:rFonts w:ascii="Times New Roman"/>
    </w:rPr>
  </w:style>
  <w:style w:type="paragraph" w:customStyle="1" w:styleId="Char3CharCharCharCharCharChar1">
    <w:name w:val="Char3 Char Char Char Char Char Char1"/>
    <w:basedOn w:val="a2"/>
    <w:uiPriority w:val="99"/>
    <w:qFormat/>
    <w:pPr>
      <w:jc w:val="both"/>
    </w:pPr>
  </w:style>
  <w:style w:type="paragraph" w:customStyle="1" w:styleId="CharCharCharCharCharCharCharChar4">
    <w:name w:val="Char Char Char Char Char Char Char Char4"/>
    <w:basedOn w:val="a2"/>
    <w:qFormat/>
    <w:pPr>
      <w:jc w:val="both"/>
    </w:pPr>
    <w:rPr>
      <w:rFonts w:ascii="Times New Roman"/>
    </w:rPr>
  </w:style>
  <w:style w:type="paragraph" w:customStyle="1" w:styleId="z-20">
    <w:name w:val="z-窗体底端2"/>
    <w:basedOn w:val="a2"/>
    <w:next w:val="a2"/>
    <w:uiPriority w:val="99"/>
    <w:qFormat/>
    <w:pPr>
      <w:pBdr>
        <w:top w:val="single" w:sz="6" w:space="1" w:color="auto"/>
      </w:pBdr>
      <w:jc w:val="center"/>
      <w:textAlignment w:val="baseline"/>
    </w:pPr>
    <w:rPr>
      <w:rFonts w:hAnsi="Arial"/>
      <w:vanish/>
      <w:sz w:val="16"/>
    </w:rPr>
  </w:style>
  <w:style w:type="paragraph" w:customStyle="1" w:styleId="3111">
    <w:name w:val="标题 311"/>
    <w:basedOn w:val="a2"/>
    <w:next w:val="a2"/>
    <w:uiPriority w:val="99"/>
    <w:qFormat/>
    <w:pPr>
      <w:keepNext/>
      <w:keepLines/>
      <w:spacing w:before="120" w:after="120" w:line="500" w:lineRule="exact"/>
      <w:jc w:val="both"/>
    </w:pPr>
    <w:rPr>
      <w:rFonts w:ascii="宋体" w:eastAsia="黑体" w:hAnsi="宋体"/>
      <w:sz w:val="30"/>
    </w:rPr>
  </w:style>
  <w:style w:type="paragraph" w:customStyle="1" w:styleId="reader-word-layerreader-word-s2-3">
    <w:name w:val="reader-word-layer reader-word-s2-3"/>
    <w:basedOn w:val="a2"/>
    <w:pPr>
      <w:widowControl/>
      <w:autoSpaceDE/>
      <w:autoSpaceDN/>
      <w:adjustRightInd/>
      <w:spacing w:before="100" w:beforeAutospacing="1" w:after="100" w:afterAutospacing="1"/>
    </w:pPr>
    <w:rPr>
      <w:rFonts w:ascii="宋体" w:hAnsi="宋体" w:cs="宋体"/>
    </w:rPr>
  </w:style>
  <w:style w:type="paragraph" w:customStyle="1" w:styleId="CharCharCharCharCharCharCharCharCharCharCharCharChar1">
    <w:name w:val="Char Char Char Char Char Char Char Char Char Char Char Char Char1"/>
    <w:basedOn w:val="a2"/>
    <w:uiPriority w:val="99"/>
    <w:qFormat/>
    <w:pPr>
      <w:snapToGrid w:val="0"/>
      <w:spacing w:before="120" w:after="120" w:line="360" w:lineRule="auto"/>
      <w:ind w:firstLineChars="200" w:firstLine="200"/>
      <w:jc w:val="both"/>
    </w:pPr>
    <w:rPr>
      <w:sz w:val="24"/>
    </w:rPr>
  </w:style>
  <w:style w:type="paragraph" w:customStyle="1" w:styleId="affffffffffffffffffffff8">
    <w:name w:val="正文小四"/>
    <w:basedOn w:val="a2"/>
    <w:uiPriority w:val="99"/>
    <w:qFormat/>
    <w:pPr>
      <w:spacing w:line="360" w:lineRule="auto"/>
      <w:jc w:val="both"/>
    </w:pPr>
    <w:rPr>
      <w:sz w:val="24"/>
    </w:rPr>
  </w:style>
  <w:style w:type="paragraph" w:customStyle="1" w:styleId="CharCharCharCharCharCharCharChar10">
    <w:name w:val="Char Char Char Char Char Char Char Char1"/>
    <w:basedOn w:val="a2"/>
    <w:uiPriority w:val="99"/>
    <w:qFormat/>
    <w:pPr>
      <w:jc w:val="both"/>
    </w:pPr>
    <w:rPr>
      <w:rFonts w:ascii="Times New Roman"/>
    </w:rPr>
  </w:style>
  <w:style w:type="paragraph" w:customStyle="1" w:styleId="table">
    <w:name w:val="table"/>
    <w:basedOn w:val="a2"/>
    <w:qFormat/>
    <w:pPr>
      <w:overflowPunct w:val="0"/>
      <w:spacing w:before="60" w:after="60"/>
      <w:jc w:val="center"/>
      <w:textAlignment w:val="baseline"/>
    </w:pPr>
    <w:rPr>
      <w:rFonts w:ascii="仿宋体" w:eastAsia="仿宋体"/>
      <w:sz w:val="24"/>
    </w:rPr>
  </w:style>
  <w:style w:type="paragraph" w:customStyle="1" w:styleId="099">
    <w:name w:val="样式 首行缩进:  0.99 厘米"/>
    <w:basedOn w:val="a2"/>
    <w:uiPriority w:val="99"/>
    <w:qFormat/>
    <w:pPr>
      <w:tabs>
        <w:tab w:val="left" w:pos="280"/>
      </w:tabs>
      <w:spacing w:before="120" w:line="360" w:lineRule="auto"/>
      <w:ind w:firstLine="560"/>
      <w:jc w:val="both"/>
    </w:pPr>
    <w:rPr>
      <w:rFonts w:ascii="宋体" w:eastAsia="华文仿宋" w:hAnsi="宋体" w:cs="宋体"/>
      <w:sz w:val="24"/>
    </w:rPr>
  </w:style>
  <w:style w:type="paragraph" w:customStyle="1" w:styleId="Char1CharCharCharCharCharChar">
    <w:name w:val="Char1 Char Char Char Char Char Char"/>
    <w:basedOn w:val="a2"/>
    <w:qFormat/>
    <w:pPr>
      <w:widowControl/>
      <w:spacing w:before="100" w:beforeAutospacing="1" w:after="100" w:afterAutospacing="1"/>
      <w:ind w:firstLineChars="200" w:firstLine="200"/>
    </w:pPr>
    <w:rPr>
      <w:rFonts w:ascii="Verdana" w:eastAsia="仿宋_GB2312" w:hAnsi="Verdana"/>
      <w:sz w:val="20"/>
      <w:lang w:eastAsia="en-US"/>
    </w:rPr>
  </w:style>
  <w:style w:type="paragraph" w:customStyle="1" w:styleId="affffffffffffffffffffff9">
    <w:name w:val="四级标题"/>
    <w:basedOn w:val="affffffffffffff7"/>
    <w:next w:val="afffffffffffffff5"/>
    <w:uiPriority w:val="99"/>
    <w:qFormat/>
    <w:pPr>
      <w:keepNext/>
      <w:keepLines/>
      <w:widowControl w:val="0"/>
      <w:tabs>
        <w:tab w:val="left" w:pos="851"/>
      </w:tabs>
      <w:ind w:left="851" w:hanging="851"/>
      <w:jc w:val="both"/>
      <w:outlineLvl w:val="3"/>
    </w:pPr>
    <w:rPr>
      <w:rFonts w:ascii="黑体"/>
      <w:b/>
      <w:bCs/>
      <w:sz w:val="30"/>
      <w:szCs w:val="30"/>
    </w:rPr>
  </w:style>
  <w:style w:type="paragraph" w:customStyle="1" w:styleId="reader-word-layerreader-word-s1-12">
    <w:name w:val="reader-word-layer reader-word-s1-12"/>
    <w:basedOn w:val="a2"/>
    <w:uiPriority w:val="99"/>
    <w:qFormat/>
    <w:pPr>
      <w:spacing w:before="100" w:beforeAutospacing="1" w:after="100" w:afterAutospacing="1"/>
    </w:pPr>
    <w:rPr>
      <w:rFonts w:ascii="宋体" w:hAnsi="宋体" w:cs="宋体"/>
      <w:sz w:val="24"/>
    </w:rPr>
  </w:style>
  <w:style w:type="paragraph" w:customStyle="1" w:styleId="affffffffffffffffffffffa">
    <w:name w:val="图片"/>
    <w:basedOn w:val="a2"/>
    <w:uiPriority w:val="99"/>
    <w:qFormat/>
    <w:pPr>
      <w:spacing w:line="440" w:lineRule="exact"/>
      <w:jc w:val="both"/>
    </w:pPr>
    <w:rPr>
      <w:sz w:val="24"/>
    </w:rPr>
  </w:style>
  <w:style w:type="paragraph" w:customStyle="1" w:styleId="Blocklabel">
    <w:name w:val="Block label"/>
    <w:basedOn w:val="a2"/>
    <w:uiPriority w:val="99"/>
    <w:qFormat/>
    <w:pPr>
      <w:spacing w:before="100"/>
    </w:pPr>
    <w:rPr>
      <w:rFonts w:eastAsia="Times New Roman"/>
      <w:b/>
      <w:sz w:val="22"/>
      <w:lang w:eastAsia="en-US"/>
    </w:rPr>
  </w:style>
  <w:style w:type="paragraph" w:customStyle="1" w:styleId="chenbb">
    <w:name w:val="表格chenbb"/>
    <w:basedOn w:val="a2"/>
    <w:uiPriority w:val="99"/>
    <w:qFormat/>
    <w:pPr>
      <w:spacing w:line="320" w:lineRule="exact"/>
      <w:jc w:val="center"/>
    </w:pPr>
    <w:rPr>
      <w:rFonts w:eastAsia="仿宋_GB2312"/>
      <w:b/>
    </w:rPr>
  </w:style>
  <w:style w:type="paragraph" w:customStyle="1" w:styleId="Date2">
    <w:name w:val="Date2"/>
    <w:basedOn w:val="a2"/>
    <w:next w:val="a2"/>
    <w:qFormat/>
    <w:pPr>
      <w:jc w:val="both"/>
      <w:textAlignment w:val="baseline"/>
    </w:pPr>
    <w:rPr>
      <w:rFonts w:ascii="宋体"/>
      <w:sz w:val="24"/>
    </w:rPr>
  </w:style>
  <w:style w:type="paragraph" w:customStyle="1" w:styleId="GB2312074">
    <w:name w:val="样式 仿宋_GB2312 四号 首行缩进:  0.74 厘米"/>
    <w:basedOn w:val="a2"/>
    <w:uiPriority w:val="99"/>
    <w:qFormat/>
    <w:pPr>
      <w:spacing w:line="560" w:lineRule="exact"/>
      <w:ind w:firstLineChars="200" w:firstLine="200"/>
      <w:jc w:val="both"/>
    </w:pPr>
    <w:rPr>
      <w:rFonts w:eastAsia="仿宋_GB2312" w:cs="宋体"/>
      <w:szCs w:val="28"/>
    </w:rPr>
  </w:style>
  <w:style w:type="paragraph" w:customStyle="1" w:styleId="GB231220">
    <w:name w:val="样式 仿宋_GB2312 小四 居中 行距: 固定值 20 磅"/>
    <w:basedOn w:val="a2"/>
    <w:qFormat/>
    <w:pPr>
      <w:spacing w:line="400" w:lineRule="exact"/>
      <w:jc w:val="center"/>
    </w:pPr>
    <w:rPr>
      <w:rFonts w:ascii="仿宋_GB2312" w:eastAsia="仿宋_GB2312" w:hAnsi="宋体" w:cs="宋体"/>
      <w:sz w:val="24"/>
    </w:rPr>
  </w:style>
  <w:style w:type="paragraph" w:customStyle="1" w:styleId="p9l">
    <w:name w:val="p9l"/>
    <w:basedOn w:val="a2"/>
    <w:qFormat/>
    <w:pPr>
      <w:spacing w:before="100" w:beforeAutospacing="1" w:after="100" w:afterAutospacing="1" w:line="200" w:lineRule="atLeast"/>
    </w:pPr>
    <w:rPr>
      <w:rFonts w:ascii="宋体" w:hAnsi="宋体" w:cs="宋体"/>
      <w:color w:val="000000"/>
      <w:sz w:val="18"/>
      <w:szCs w:val="18"/>
    </w:rPr>
  </w:style>
  <w:style w:type="paragraph" w:customStyle="1" w:styleId="xl83">
    <w:name w:val="xl83"/>
    <w:basedOn w:val="a2"/>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style30">
    <w:name w:val="style3"/>
    <w:basedOn w:val="a2"/>
    <w:uiPriority w:val="99"/>
    <w:qFormat/>
    <w:pPr>
      <w:spacing w:before="100" w:beforeAutospacing="1" w:after="100" w:afterAutospacing="1" w:line="360" w:lineRule="auto"/>
      <w:ind w:firstLine="360"/>
    </w:pPr>
    <w:rPr>
      <w:rFonts w:ascii="宋体" w:hAnsi="宋体" w:cs="宋体"/>
      <w:color w:val="FFFFFF"/>
      <w:sz w:val="18"/>
      <w:szCs w:val="18"/>
    </w:rPr>
  </w:style>
  <w:style w:type="paragraph" w:customStyle="1" w:styleId="CharCharCharCharCharCharCharChar1CharCharCharChar1">
    <w:name w:val="Char Char Char Char Char Char Char Char1 Char Char Char Char1"/>
    <w:basedOn w:val="a2"/>
    <w:uiPriority w:val="99"/>
    <w:qFormat/>
    <w:pPr>
      <w:jc w:val="both"/>
    </w:pPr>
  </w:style>
  <w:style w:type="paragraph" w:customStyle="1" w:styleId="1CharCharCharCharCharCharCharCharCharCharCharCharCharCharCharCharCharCharCharCharCharChar">
    <w:name w:val="1 Char Char Char Char Char Char Char Char Char Char Char Char Char Char Char Char Char Char Char Char Char Char"/>
    <w:basedOn w:val="a2"/>
    <w:qFormat/>
  </w:style>
  <w:style w:type="paragraph" w:customStyle="1" w:styleId="3112">
    <w:name w:val="正文文本缩进 311"/>
    <w:basedOn w:val="a2"/>
    <w:uiPriority w:val="99"/>
    <w:qFormat/>
    <w:pPr>
      <w:spacing w:line="360" w:lineRule="auto"/>
      <w:ind w:firstLine="480"/>
      <w:jc w:val="both"/>
    </w:pPr>
    <w:rPr>
      <w:rFonts w:ascii="华文仿宋" w:eastAsia="华文仿宋" w:hAnsi="华文仿宋"/>
      <w:color w:val="000000"/>
      <w:sz w:val="24"/>
    </w:rPr>
  </w:style>
  <w:style w:type="paragraph" w:customStyle="1" w:styleId="affffffffffffffffffffffb">
    <w:name w:val="首缩"/>
    <w:basedOn w:val="a2"/>
    <w:qFormat/>
    <w:pPr>
      <w:snapToGrid w:val="0"/>
      <w:spacing w:line="500" w:lineRule="exact"/>
      <w:ind w:firstLine="200"/>
      <w:jc w:val="both"/>
    </w:pPr>
    <w:rPr>
      <w:rFonts w:eastAsia="仿宋_GB2312"/>
      <w:snapToGrid w:val="0"/>
    </w:rPr>
  </w:style>
  <w:style w:type="paragraph" w:customStyle="1" w:styleId="3CharCharCharChar0">
    <w:name w:val="样式 标题 3 + 黑色 Char Char Char Char"/>
    <w:basedOn w:val="32"/>
    <w:uiPriority w:val="99"/>
    <w:qFormat/>
    <w:pPr>
      <w:keepNext w:val="0"/>
      <w:keepLines w:val="0"/>
      <w:tabs>
        <w:tab w:val="left" w:pos="993"/>
        <w:tab w:val="left" w:pos="1260"/>
      </w:tabs>
      <w:snapToGrid w:val="0"/>
      <w:spacing w:before="0" w:after="0" w:line="500" w:lineRule="exact"/>
      <w:jc w:val="both"/>
      <w:outlineLvl w:val="9"/>
    </w:pPr>
    <w:rPr>
      <w:rFonts w:ascii="Times New Roman" w:eastAsia="宋体"/>
      <w:b w:val="0"/>
      <w:color w:val="000000"/>
      <w:sz w:val="28"/>
    </w:rPr>
  </w:style>
  <w:style w:type="paragraph" w:customStyle="1" w:styleId="21051">
    <w:name w:val="样式 标题 2节 + 段前: 1 行 段后: 0.5 行1"/>
    <w:basedOn w:val="a2"/>
    <w:qFormat/>
    <w:pPr>
      <w:tabs>
        <w:tab w:val="left" w:pos="567"/>
      </w:tabs>
      <w:ind w:left="567" w:hanging="567"/>
      <w:jc w:val="both"/>
    </w:pPr>
  </w:style>
  <w:style w:type="paragraph" w:customStyle="1" w:styleId="CharCharCharChar1CharCharCharCharCharCharCharCharCharCharCharChar1">
    <w:name w:val="Char Char Char Char1 Char Char Char Char Char Char Char Char Char Char Char Char1"/>
    <w:basedOn w:val="a2"/>
    <w:uiPriority w:val="99"/>
    <w:qFormat/>
    <w:pPr>
      <w:tabs>
        <w:tab w:val="left" w:pos="0"/>
      </w:tabs>
    </w:pPr>
    <w:rPr>
      <w:sz w:val="24"/>
    </w:rPr>
  </w:style>
  <w:style w:type="paragraph" w:customStyle="1" w:styleId="11f0">
    <w:name w:val="日期11"/>
    <w:basedOn w:val="a2"/>
    <w:next w:val="a2"/>
    <w:uiPriority w:val="99"/>
    <w:qFormat/>
    <w:pPr>
      <w:snapToGrid w:val="0"/>
      <w:spacing w:before="120" w:after="120" w:line="360" w:lineRule="auto"/>
      <w:ind w:firstLineChars="200" w:firstLine="200"/>
      <w:jc w:val="both"/>
      <w:textAlignment w:val="baseline"/>
    </w:pPr>
    <w:rPr>
      <w:sz w:val="24"/>
    </w:rPr>
  </w:style>
  <w:style w:type="paragraph" w:customStyle="1" w:styleId="xl47">
    <w:name w:val="xl47"/>
    <w:basedOn w:val="a2"/>
    <w:qFormat/>
    <w:pPr>
      <w:widowControl/>
      <w:pBdr>
        <w:left w:val="single" w:sz="4" w:space="0" w:color="auto"/>
        <w:right w:val="single" w:sz="12" w:space="0" w:color="auto"/>
      </w:pBdr>
      <w:spacing w:before="100" w:beforeAutospacing="1" w:after="100" w:afterAutospacing="1" w:line="540" w:lineRule="exact"/>
      <w:jc w:val="center"/>
    </w:pPr>
    <w:rPr>
      <w:rFonts w:ascii="Arial Unicode MS" w:eastAsia="Arial Unicode MS" w:hAnsi="Arial Unicode MS"/>
      <w:b/>
      <w:bCs/>
      <w:sz w:val="24"/>
    </w:rPr>
  </w:style>
  <w:style w:type="paragraph" w:customStyle="1" w:styleId="Char71">
    <w:name w:val="Char71"/>
    <w:basedOn w:val="a2"/>
    <w:uiPriority w:val="99"/>
    <w:qFormat/>
    <w:pPr>
      <w:tabs>
        <w:tab w:val="right" w:leader="middleDot" w:pos="600"/>
      </w:tabs>
      <w:jc w:val="both"/>
    </w:pPr>
    <w:rPr>
      <w:rFonts w:ascii="仿宋_GB2312" w:eastAsia="仿宋_GB2312"/>
      <w:sz w:val="30"/>
      <w:szCs w:val="30"/>
    </w:rPr>
  </w:style>
  <w:style w:type="paragraph" w:customStyle="1" w:styleId="Pa12">
    <w:name w:val="Pa12"/>
    <w:basedOn w:val="Default"/>
    <w:next w:val="Default"/>
    <w:qFormat/>
    <w:pPr>
      <w:spacing w:line="201" w:lineRule="atLeast"/>
    </w:pPr>
    <w:rPr>
      <w:rFonts w:ascii="方正黑体简体" w:eastAsia="方正黑体简体" w:cs="Times New Roman"/>
      <w:color w:val="auto"/>
    </w:rPr>
  </w:style>
  <w:style w:type="paragraph" w:customStyle="1" w:styleId="GB2312101250">
    <w:name w:val="样式 样式 普通(网站) + 仿宋_GB2312 四号 两端对齐 首行缩进:  1.01 厘米 行距: 固定值 25 磅 +"/>
    <w:basedOn w:val="GB231210125"/>
    <w:uiPriority w:val="99"/>
    <w:qFormat/>
    <w:pPr>
      <w:spacing w:line="520" w:lineRule="exact"/>
      <w:ind w:firstLine="573"/>
    </w:pPr>
    <w:rPr>
      <w:szCs w:val="24"/>
    </w:rPr>
  </w:style>
  <w:style w:type="paragraph" w:customStyle="1" w:styleId="reader-word-layerreader-word-s1-29">
    <w:name w:val="reader-word-layer reader-word-s1-29"/>
    <w:basedOn w:val="a2"/>
    <w:uiPriority w:val="99"/>
    <w:qFormat/>
    <w:pPr>
      <w:spacing w:before="100" w:beforeAutospacing="1" w:after="100" w:afterAutospacing="1"/>
    </w:pPr>
    <w:rPr>
      <w:rFonts w:ascii="宋体" w:hAnsi="宋体" w:cs="宋体"/>
      <w:sz w:val="24"/>
    </w:rPr>
  </w:style>
  <w:style w:type="paragraph" w:customStyle="1" w:styleId="F">
    <w:name w:val="F正文"/>
    <w:uiPriority w:val="99"/>
    <w:qFormat/>
    <w:pPr>
      <w:widowControl w:val="0"/>
      <w:adjustRightInd w:val="0"/>
      <w:spacing w:line="360" w:lineRule="atLeast"/>
      <w:textAlignment w:val="baseline"/>
    </w:pPr>
    <w:rPr>
      <w:rFonts w:ascii="Times New Roman" w:eastAsia="宋体" w:hAnsi="Times New Roman" w:cs="Times New Roman"/>
      <w:spacing w:val="12"/>
      <w:sz w:val="24"/>
    </w:rPr>
  </w:style>
  <w:style w:type="paragraph" w:customStyle="1" w:styleId="6b">
    <w:name w:val="样式 正文缩进 + 宋体 段后: 6 磅 行距: 单倍行距"/>
    <w:basedOn w:val="a3"/>
    <w:uiPriority w:val="99"/>
    <w:qFormat/>
    <w:pPr>
      <w:spacing w:after="120" w:line="300" w:lineRule="auto"/>
      <w:ind w:firstLine="200"/>
    </w:pPr>
    <w:rPr>
      <w:rFonts w:ascii="宋体" w:hAnsi="宋体" w:cs="宋体"/>
      <w:color w:val="000000"/>
      <w:sz w:val="24"/>
      <w:szCs w:val="20"/>
    </w:rPr>
  </w:style>
  <w:style w:type="paragraph" w:customStyle="1" w:styleId="CharChar3CharCharCharChar">
    <w:name w:val="Char Char3 Char Char Char Char"/>
    <w:basedOn w:val="a2"/>
    <w:uiPriority w:val="99"/>
    <w:qFormat/>
    <w:pPr>
      <w:snapToGrid w:val="0"/>
      <w:spacing w:line="360" w:lineRule="auto"/>
      <w:ind w:firstLineChars="200" w:firstLine="200"/>
      <w:jc w:val="both"/>
    </w:pPr>
    <w:rPr>
      <w:rFonts w:eastAsia="仿宋_GB2312"/>
      <w:sz w:val="24"/>
      <w:szCs w:val="30"/>
    </w:rPr>
  </w:style>
  <w:style w:type="paragraph" w:customStyle="1" w:styleId="4f5">
    <w:name w:val="标题　4"/>
    <w:basedOn w:val="41"/>
    <w:uiPriority w:val="99"/>
    <w:qFormat/>
    <w:pPr>
      <w:ind w:leftChars="0" w:left="0" w:rightChars="0" w:right="0"/>
    </w:pPr>
    <w:rPr>
      <w:rFonts w:ascii="Times New Roman" w:eastAsia="宋体"/>
      <w:b/>
      <w:snapToGrid w:val="0"/>
      <w:sz w:val="24"/>
      <w:szCs w:val="20"/>
    </w:rPr>
  </w:style>
  <w:style w:type="paragraph" w:customStyle="1" w:styleId="0990">
    <w:name w:val="样式 表号 + 首行缩进:  0.99 厘米"/>
    <w:basedOn w:val="a2"/>
    <w:uiPriority w:val="99"/>
    <w:qFormat/>
    <w:pPr>
      <w:snapToGrid w:val="0"/>
      <w:spacing w:line="240" w:lineRule="atLeast"/>
      <w:ind w:firstLine="420"/>
      <w:jc w:val="both"/>
      <w:outlineLvl w:val="4"/>
    </w:pPr>
    <w:rPr>
      <w:rFonts w:ascii="宋体" w:hAnsi="宋体" w:cs="宋体"/>
      <w:sz w:val="24"/>
    </w:rPr>
  </w:style>
  <w:style w:type="paragraph" w:customStyle="1" w:styleId="CharCharChar1CharCharCharCharCharCharCharChar2">
    <w:name w:val="Char Char Char1 Char Char Char Char Char Char Char Char2"/>
    <w:basedOn w:val="a2"/>
    <w:uiPriority w:val="99"/>
    <w:qFormat/>
    <w:pPr>
      <w:jc w:val="both"/>
    </w:pPr>
    <w:rPr>
      <w:rFonts w:ascii="Times New Roman"/>
    </w:rPr>
  </w:style>
  <w:style w:type="paragraph" w:customStyle="1" w:styleId="xl39">
    <w:name w:val="xl3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3xi1">
    <w:name w:val="3xi1"/>
    <w:basedOn w:val="a2"/>
    <w:uiPriority w:val="99"/>
    <w:qFormat/>
    <w:pPr>
      <w:spacing w:before="100" w:beforeAutospacing="1" w:after="100" w:afterAutospacing="1"/>
    </w:pPr>
    <w:rPr>
      <w:rFonts w:ascii="宋体" w:hAnsi="宋体" w:cs="宋体"/>
      <w:sz w:val="24"/>
    </w:rPr>
  </w:style>
  <w:style w:type="paragraph" w:customStyle="1" w:styleId="CharCharChar110">
    <w:name w:val="Char Char Char11"/>
    <w:basedOn w:val="a2"/>
    <w:uiPriority w:val="99"/>
    <w:qFormat/>
    <w:pPr>
      <w:jc w:val="both"/>
    </w:pPr>
    <w:rPr>
      <w:sz w:val="24"/>
    </w:rPr>
  </w:style>
  <w:style w:type="paragraph" w:customStyle="1" w:styleId="reader-word-layerreader-word-s1-11">
    <w:name w:val="reader-word-layer reader-word-s1-11"/>
    <w:basedOn w:val="a2"/>
    <w:uiPriority w:val="99"/>
    <w:qFormat/>
    <w:pPr>
      <w:spacing w:before="100" w:beforeAutospacing="1" w:after="100" w:afterAutospacing="1"/>
    </w:pPr>
    <w:rPr>
      <w:rFonts w:ascii="宋体" w:hAnsi="宋体" w:cs="宋体"/>
      <w:sz w:val="24"/>
    </w:rPr>
  </w:style>
  <w:style w:type="paragraph" w:customStyle="1" w:styleId="Char2CharCharChar4">
    <w:name w:val="Char2 Char Char Char4"/>
    <w:basedOn w:val="a2"/>
    <w:uiPriority w:val="99"/>
    <w:qFormat/>
    <w:pPr>
      <w:snapToGrid w:val="0"/>
      <w:spacing w:line="360" w:lineRule="auto"/>
      <w:ind w:firstLineChars="200" w:firstLine="200"/>
      <w:jc w:val="both"/>
    </w:pPr>
    <w:rPr>
      <w:rFonts w:eastAsia="仿宋_GB2312"/>
      <w:sz w:val="24"/>
    </w:rPr>
  </w:style>
  <w:style w:type="paragraph" w:customStyle="1" w:styleId="reader-word-layerreader-word-s1-28">
    <w:name w:val="reader-word-layer reader-word-s1-28"/>
    <w:basedOn w:val="a2"/>
    <w:uiPriority w:val="99"/>
    <w:qFormat/>
    <w:pPr>
      <w:spacing w:before="100" w:beforeAutospacing="1" w:after="100" w:afterAutospacing="1"/>
    </w:pPr>
    <w:rPr>
      <w:rFonts w:ascii="宋体" w:hAnsi="宋体" w:cs="宋体"/>
      <w:sz w:val="24"/>
    </w:rPr>
  </w:style>
  <w:style w:type="paragraph" w:customStyle="1" w:styleId="CharCharCharCharCharCharCharCharCharChar3">
    <w:name w:val="Char Char Char Char Char Char Char Char Char Char3"/>
    <w:basedOn w:val="a2"/>
    <w:uiPriority w:val="99"/>
    <w:qFormat/>
    <w:pPr>
      <w:jc w:val="both"/>
    </w:pPr>
  </w:style>
  <w:style w:type="paragraph" w:customStyle="1" w:styleId="Char051">
    <w:name w:val="样式 公式段落 Char + 段前: 0.5 行1"/>
    <w:basedOn w:val="a2"/>
    <w:qFormat/>
    <w:pPr>
      <w:snapToGrid w:val="0"/>
      <w:jc w:val="center"/>
      <w:textAlignment w:val="center"/>
    </w:pPr>
    <w:rPr>
      <w:bCs/>
    </w:rPr>
  </w:style>
  <w:style w:type="paragraph" w:customStyle="1" w:styleId="9css2">
    <w:name w:val="9css2"/>
    <w:basedOn w:val="a2"/>
    <w:qFormat/>
    <w:pPr>
      <w:spacing w:before="100" w:beforeAutospacing="1" w:after="100" w:afterAutospacing="1" w:line="240" w:lineRule="atLeast"/>
    </w:pPr>
    <w:rPr>
      <w:rFonts w:ascii="宋体" w:hAnsi="宋体"/>
      <w:color w:val="000000"/>
      <w:sz w:val="18"/>
      <w:szCs w:val="18"/>
    </w:rPr>
  </w:style>
  <w:style w:type="paragraph" w:customStyle="1" w:styleId="GB2312250">
    <w:name w:val="样式 普通(网站) + 仿宋_GB2312 四号 加粗 行距: 固定值 25 磅"/>
    <w:basedOn w:val="aff6"/>
    <w:uiPriority w:val="99"/>
    <w:qFormat/>
    <w:pPr>
      <w:spacing w:line="500" w:lineRule="exact"/>
    </w:pPr>
    <w:rPr>
      <w:rFonts w:ascii="仿宋_GB2312" w:hAnsi="宋体" w:cs="宋体"/>
      <w:b/>
      <w:bCs/>
      <w:sz w:val="28"/>
    </w:rPr>
  </w:style>
  <w:style w:type="paragraph" w:customStyle="1" w:styleId="Char1CharCharChar1">
    <w:name w:val="Char1 Char Char Char1"/>
    <w:basedOn w:val="a2"/>
    <w:qFormat/>
    <w:pPr>
      <w:jc w:val="both"/>
    </w:pPr>
    <w:rPr>
      <w:sz w:val="24"/>
    </w:rPr>
  </w:style>
  <w:style w:type="paragraph" w:customStyle="1" w:styleId="affffffffffffffffffffffc">
    <w:name w:val="表格文字+"/>
    <w:basedOn w:val="a2"/>
    <w:uiPriority w:val="99"/>
    <w:qFormat/>
    <w:pPr>
      <w:tabs>
        <w:tab w:val="left" w:pos="3720"/>
      </w:tabs>
      <w:jc w:val="center"/>
      <w:textAlignment w:val="bottom"/>
    </w:pPr>
    <w:rPr>
      <w:rFonts w:cs="宋体"/>
    </w:rPr>
  </w:style>
  <w:style w:type="paragraph" w:customStyle="1" w:styleId="1ffffffb">
    <w:name w:val="1文章"/>
    <w:basedOn w:val="a2"/>
    <w:qFormat/>
    <w:pPr>
      <w:snapToGrid w:val="0"/>
      <w:spacing w:line="420" w:lineRule="auto"/>
      <w:ind w:firstLine="454"/>
      <w:jc w:val="both"/>
      <w:outlineLvl w:val="4"/>
    </w:pPr>
    <w:rPr>
      <w:spacing w:val="4"/>
      <w:sz w:val="24"/>
    </w:rPr>
  </w:style>
  <w:style w:type="paragraph" w:customStyle="1" w:styleId="reader-word-layerreader-word-s1-13">
    <w:name w:val="reader-word-layer reader-word-s1-13"/>
    <w:basedOn w:val="a2"/>
    <w:uiPriority w:val="99"/>
    <w:qFormat/>
    <w:pPr>
      <w:spacing w:before="100" w:beforeAutospacing="1" w:after="100" w:afterAutospacing="1"/>
    </w:pPr>
    <w:rPr>
      <w:rFonts w:ascii="宋体" w:hAnsi="宋体" w:cs="宋体"/>
      <w:sz w:val="24"/>
    </w:rPr>
  </w:style>
  <w:style w:type="paragraph" w:customStyle="1" w:styleId="affffffffffffffffffffffd">
    <w:name w:val="论文正文"/>
    <w:basedOn w:val="a3"/>
    <w:qFormat/>
    <w:pPr>
      <w:ind w:firstLine="480"/>
    </w:pPr>
    <w:rPr>
      <w:rFonts w:ascii="宋体" w:hAnsi="宋体"/>
      <w:sz w:val="28"/>
    </w:rPr>
  </w:style>
  <w:style w:type="paragraph" w:customStyle="1" w:styleId="2ffff3">
    <w:name w:val="(文字) (文字)2"/>
    <w:basedOn w:val="a2"/>
    <w:uiPriority w:val="99"/>
    <w:qFormat/>
    <w:pPr>
      <w:jc w:val="both"/>
    </w:pPr>
    <w:rPr>
      <w:rFonts w:ascii="Times New Roman"/>
    </w:rPr>
  </w:style>
  <w:style w:type="paragraph" w:customStyle="1" w:styleId="221121H2SeHeadwsa211125">
    <w:name w:val="样式 标题 2标题 21标题 121H2SeHead wsa2标题 1.1 + 小三 非加粗 段前: 12.5..."/>
    <w:basedOn w:val="22"/>
    <w:uiPriority w:val="99"/>
    <w:qFormat/>
    <w:pPr>
      <w:tabs>
        <w:tab w:val="left" w:pos="1320"/>
      </w:tabs>
      <w:spacing w:before="0" w:after="0" w:line="480" w:lineRule="auto"/>
      <w:jc w:val="both"/>
    </w:pPr>
    <w:rPr>
      <w:rFonts w:ascii="宋体" w:eastAsia="宋体" w:hAnsi="宋体" w:cs="TimesNewRomanPSMT"/>
      <w:b w:val="0"/>
      <w:bCs w:val="0"/>
      <w:sz w:val="28"/>
      <w:szCs w:val="28"/>
    </w:rPr>
  </w:style>
  <w:style w:type="paragraph" w:customStyle="1" w:styleId="2Charf7">
    <w:name w:val="正文缩进 2字符 Char"/>
    <w:basedOn w:val="a2"/>
    <w:uiPriority w:val="99"/>
    <w:qFormat/>
    <w:pPr>
      <w:snapToGrid w:val="0"/>
      <w:spacing w:after="120"/>
      <w:ind w:leftChars="-75" w:left="-75" w:hangingChars="75" w:hanging="180"/>
      <w:jc w:val="both"/>
    </w:pPr>
    <w:rPr>
      <w:rFonts w:eastAsia="仿宋_GB2312"/>
      <w:sz w:val="24"/>
    </w:rPr>
  </w:style>
  <w:style w:type="paragraph" w:customStyle="1" w:styleId="xl29">
    <w:name w:val="xl2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rPr>
  </w:style>
  <w:style w:type="paragraph" w:customStyle="1" w:styleId="3ffe">
    <w:name w:val="目录3"/>
    <w:basedOn w:val="a2"/>
    <w:next w:val="a2"/>
    <w:qFormat/>
    <w:pPr>
      <w:tabs>
        <w:tab w:val="left" w:leader="dot" w:pos="8503"/>
      </w:tabs>
      <w:spacing w:line="317" w:lineRule="atLeast"/>
      <w:ind w:left="419" w:firstLine="419"/>
    </w:pPr>
    <w:rPr>
      <w:rFonts w:hAnsi="宋体"/>
    </w:rPr>
  </w:style>
  <w:style w:type="paragraph" w:customStyle="1" w:styleId="affffffffffffffffffffffe">
    <w:name w:val="一级"/>
    <w:basedOn w:val="22"/>
    <w:uiPriority w:val="99"/>
    <w:qFormat/>
    <w:pPr>
      <w:keepNext w:val="0"/>
      <w:keepLines w:val="0"/>
      <w:spacing w:before="0" w:after="0" w:line="360" w:lineRule="auto"/>
      <w:ind w:left="425" w:hanging="425"/>
    </w:pPr>
    <w:rPr>
      <w:rFonts w:ascii="Times New Roman" w:eastAsia="宋体" w:hAnsi="Times New Roman" w:cs="Times New Roman"/>
      <w:bCs w:val="0"/>
      <w:kern w:val="44"/>
      <w:sz w:val="30"/>
      <w:szCs w:val="28"/>
    </w:rPr>
  </w:style>
  <w:style w:type="paragraph" w:customStyle="1" w:styleId="2GB2312">
    <w:name w:val="标题 2 + 楷体_GB2312"/>
    <w:basedOn w:val="12"/>
    <w:qFormat/>
    <w:pPr>
      <w:spacing w:before="240" w:after="240" w:line="440" w:lineRule="exact"/>
      <w:jc w:val="both"/>
      <w:textAlignment w:val="auto"/>
    </w:pPr>
    <w:rPr>
      <w:rFonts w:ascii="楷体_GB2312" w:eastAsia="楷体_GB2312" w:hAnsi="Arial"/>
      <w:b/>
      <w:kern w:val="2"/>
      <w:sz w:val="24"/>
      <w:szCs w:val="32"/>
    </w:rPr>
  </w:style>
  <w:style w:type="paragraph" w:customStyle="1" w:styleId="xl105">
    <w:name w:val="xl105"/>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afffffffffffffffffffffff">
    <w:name w:val="表项"/>
    <w:basedOn w:val="a2"/>
    <w:qFormat/>
    <w:pPr>
      <w:spacing w:line="360" w:lineRule="auto"/>
      <w:jc w:val="center"/>
    </w:pPr>
    <w:rPr>
      <w:szCs w:val="28"/>
    </w:rPr>
  </w:style>
  <w:style w:type="paragraph" w:customStyle="1" w:styleId="2ffff4">
    <w:name w:val="首行缩进:  2 字符"/>
    <w:basedOn w:val="a2"/>
    <w:uiPriority w:val="99"/>
    <w:qFormat/>
    <w:pPr>
      <w:ind w:firstLine="480"/>
      <w:jc w:val="both"/>
      <w:textAlignment w:val="baseline"/>
    </w:pPr>
    <w:rPr>
      <w:rFonts w:ascii="Times New Roman"/>
    </w:rPr>
  </w:style>
  <w:style w:type="paragraph" w:customStyle="1" w:styleId="afffffffffffffffffffffff0">
    <w:name w:val="题目样式"/>
    <w:basedOn w:val="a2"/>
    <w:uiPriority w:val="99"/>
    <w:qFormat/>
    <w:pPr>
      <w:snapToGrid w:val="0"/>
      <w:spacing w:before="480" w:after="240" w:line="360" w:lineRule="auto"/>
      <w:ind w:firstLineChars="200" w:firstLine="200"/>
      <w:jc w:val="center"/>
    </w:pPr>
    <w:rPr>
      <w:rFonts w:ascii="黑体" w:eastAsia="黑体"/>
      <w:b/>
      <w:bCs/>
      <w:sz w:val="44"/>
    </w:rPr>
  </w:style>
  <w:style w:type="paragraph" w:customStyle="1" w:styleId="GB2312010">
    <w:name w:val="样式 (西文) 宋体 (中文) 仿宋_GB2312 五号 黑色 居中 首行缩进:  0 厘米 行距: 单倍行距1"/>
    <w:basedOn w:val="a2"/>
    <w:uiPriority w:val="99"/>
    <w:qFormat/>
    <w:pPr>
      <w:jc w:val="center"/>
    </w:pPr>
    <w:rPr>
      <w:rFonts w:ascii="宋体" w:hAnsi="宋体"/>
      <w:color w:val="000000"/>
      <w:spacing w:val="5"/>
    </w:rPr>
  </w:style>
  <w:style w:type="paragraph" w:customStyle="1" w:styleId="144">
    <w:name w:val="样式 黑色14"/>
    <w:basedOn w:val="a2"/>
    <w:uiPriority w:val="99"/>
    <w:qFormat/>
    <w:pPr>
      <w:spacing w:line="360" w:lineRule="auto"/>
      <w:ind w:firstLineChars="171" w:firstLine="359"/>
      <w:jc w:val="both"/>
    </w:pPr>
    <w:rPr>
      <w:rFonts w:cs="宋体"/>
      <w:color w:val="000000"/>
      <w:sz w:val="24"/>
    </w:rPr>
  </w:style>
  <w:style w:type="paragraph" w:customStyle="1" w:styleId="GB231203">
    <w:name w:val="样式 (西文) 宋体 (中文) 仿宋_GB2312 五号 黑色 居中 首行缩进:  0 厘米 行距: 单倍行距3"/>
    <w:basedOn w:val="a2"/>
    <w:uiPriority w:val="99"/>
    <w:qFormat/>
    <w:pPr>
      <w:jc w:val="center"/>
    </w:pPr>
    <w:rPr>
      <w:rFonts w:ascii="宋体" w:hAnsi="宋体"/>
      <w:color w:val="000000"/>
    </w:rPr>
  </w:style>
  <w:style w:type="paragraph" w:customStyle="1" w:styleId="h">
    <w:name w:val="h"/>
    <w:basedOn w:val="a2"/>
    <w:qFormat/>
    <w:pPr>
      <w:spacing w:before="60"/>
      <w:ind w:firstLine="482"/>
    </w:pPr>
    <w:rPr>
      <w:rFonts w:eastAsia="仿宋_GB2312" w:hAnsi="Arial"/>
      <w:sz w:val="24"/>
    </w:rPr>
  </w:style>
  <w:style w:type="paragraph" w:customStyle="1" w:styleId="GB23125">
    <w:name w:val="样式 仿宋_GB2312 小四 加粗 居中"/>
    <w:basedOn w:val="a2"/>
    <w:qFormat/>
    <w:pPr>
      <w:jc w:val="center"/>
    </w:pPr>
    <w:rPr>
      <w:rFonts w:ascii="宋体" w:hAnsi="宋体" w:cs="宋体"/>
      <w:bCs/>
      <w:sz w:val="24"/>
    </w:rPr>
  </w:style>
  <w:style w:type="paragraph" w:customStyle="1" w:styleId="xl61">
    <w:name w:val="xl61"/>
    <w:basedOn w:val="a2"/>
    <w:qFormat/>
    <w:pPr>
      <w:widowControl/>
      <w:pBdr>
        <w:bottom w:val="single" w:sz="4" w:space="0" w:color="auto"/>
      </w:pBdr>
      <w:spacing w:before="100" w:beforeAutospacing="1" w:after="100" w:afterAutospacing="1"/>
      <w:textAlignment w:val="center"/>
    </w:pPr>
    <w:rPr>
      <w:rFonts w:ascii="Arial Unicode MS" w:eastAsia="Arial Unicode MS" w:hAnsi="Arial Unicode MS"/>
      <w:sz w:val="22"/>
      <w:szCs w:val="22"/>
    </w:rPr>
  </w:style>
  <w:style w:type="paragraph" w:customStyle="1" w:styleId="CharCharCharCharCharCharChar6">
    <w:name w:val="Char Char Char Char Char Char Char6"/>
    <w:basedOn w:val="a2"/>
    <w:uiPriority w:val="99"/>
    <w:qFormat/>
    <w:pPr>
      <w:spacing w:line="360" w:lineRule="auto"/>
      <w:ind w:firstLineChars="200" w:firstLine="200"/>
      <w:jc w:val="both"/>
    </w:pPr>
  </w:style>
  <w:style w:type="paragraph" w:customStyle="1" w:styleId="17119">
    <w:name w:val="样式 首行缩进:  1.71 字符19"/>
    <w:basedOn w:val="a2"/>
    <w:uiPriority w:val="99"/>
    <w:qFormat/>
    <w:pPr>
      <w:spacing w:line="360" w:lineRule="auto"/>
      <w:jc w:val="both"/>
    </w:pPr>
    <w:rPr>
      <w:rFonts w:cs="宋体"/>
      <w:color w:val="FF0000"/>
      <w:sz w:val="24"/>
    </w:rPr>
  </w:style>
  <w:style w:type="paragraph" w:customStyle="1" w:styleId="Char3CharCharChar1">
    <w:name w:val="Char3 Char Char Char1"/>
    <w:basedOn w:val="a2"/>
    <w:uiPriority w:val="99"/>
    <w:qFormat/>
    <w:pPr>
      <w:jc w:val="both"/>
    </w:pPr>
    <w:rPr>
      <w:rFonts w:ascii="Times New Roman"/>
    </w:rPr>
  </w:style>
  <w:style w:type="paragraph" w:customStyle="1" w:styleId="12f2">
    <w:name w:val="批注主题12"/>
    <w:basedOn w:val="af1"/>
    <w:next w:val="af1"/>
    <w:uiPriority w:val="99"/>
    <w:qFormat/>
    <w:pPr>
      <w:textAlignment w:val="baseline"/>
    </w:pPr>
    <w:rPr>
      <w:rFonts w:ascii="宋体" w:eastAsia="宋体" w:hAnsi="宋体" w:hint="eastAsia"/>
      <w:b/>
      <w:sz w:val="24"/>
    </w:rPr>
  </w:style>
  <w:style w:type="paragraph" w:customStyle="1" w:styleId="CharCharCharChar70">
    <w:name w:val="Char Char Char Char7"/>
    <w:basedOn w:val="a2"/>
    <w:uiPriority w:val="99"/>
    <w:qFormat/>
    <w:pPr>
      <w:snapToGrid w:val="0"/>
      <w:spacing w:line="360" w:lineRule="auto"/>
      <w:ind w:firstLineChars="200" w:firstLine="200"/>
    </w:pPr>
    <w:rPr>
      <w:rFonts w:eastAsia="仿宋_GB2312"/>
    </w:rPr>
  </w:style>
  <w:style w:type="paragraph" w:customStyle="1" w:styleId="GB231210">
    <w:name w:val="样式 样式 (中文) 仿宋_GB2312 居中1 + 小四"/>
    <w:basedOn w:val="GB231211"/>
    <w:uiPriority w:val="99"/>
    <w:qFormat/>
    <w:rPr>
      <w:rFonts w:ascii="宋体" w:eastAsia="宋体" w:hAnsi="宋体"/>
    </w:rPr>
  </w:style>
  <w:style w:type="paragraph" w:customStyle="1" w:styleId="GB231211">
    <w:name w:val="样式 (中文) 仿宋_GB2312 居中1"/>
    <w:basedOn w:val="a2"/>
    <w:uiPriority w:val="99"/>
    <w:qFormat/>
    <w:pPr>
      <w:jc w:val="center"/>
    </w:pPr>
    <w:rPr>
      <w:rFonts w:eastAsia="仿宋_GB2312" w:cs="宋体"/>
    </w:rPr>
  </w:style>
  <w:style w:type="paragraph" w:customStyle="1" w:styleId="CharCharCharCharCharChar70">
    <w:name w:val="Char Char Char Char Char Char7"/>
    <w:basedOn w:val="a2"/>
    <w:qFormat/>
    <w:rPr>
      <w:sz w:val="24"/>
    </w:rPr>
  </w:style>
  <w:style w:type="paragraph" w:customStyle="1" w:styleId="xl759">
    <w:name w:val="xl759"/>
    <w:basedOn w:val="a2"/>
    <w:uiPriority w:val="99"/>
    <w:qFormat/>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sz w:val="24"/>
    </w:rPr>
  </w:style>
  <w:style w:type="paragraph" w:customStyle="1" w:styleId="3210">
    <w:name w:val="正文文本 321"/>
    <w:basedOn w:val="a2"/>
    <w:uiPriority w:val="99"/>
    <w:qFormat/>
    <w:pPr>
      <w:spacing w:line="360" w:lineRule="auto"/>
      <w:jc w:val="both"/>
      <w:textAlignment w:val="baseline"/>
    </w:pPr>
    <w:rPr>
      <w:sz w:val="30"/>
    </w:rPr>
  </w:style>
  <w:style w:type="paragraph" w:customStyle="1" w:styleId="6c">
    <w:name w:val="表题6"/>
    <w:basedOn w:val="a2"/>
    <w:uiPriority w:val="99"/>
    <w:qFormat/>
    <w:pPr>
      <w:snapToGrid w:val="0"/>
      <w:spacing w:before="180" w:after="60"/>
      <w:jc w:val="center"/>
    </w:pPr>
    <w:rPr>
      <w:b/>
    </w:rPr>
  </w:style>
  <w:style w:type="paragraph" w:customStyle="1" w:styleId="Char3CharCharChar3">
    <w:name w:val="Char3 Char Char Char3"/>
    <w:basedOn w:val="a2"/>
    <w:uiPriority w:val="99"/>
    <w:qFormat/>
    <w:pPr>
      <w:jc w:val="both"/>
    </w:pPr>
    <w:rPr>
      <w:sz w:val="24"/>
    </w:rPr>
  </w:style>
  <w:style w:type="paragraph" w:customStyle="1" w:styleId="3fff">
    <w:name w:val="正文（3仿）"/>
    <w:uiPriority w:val="99"/>
    <w:qFormat/>
    <w:pPr>
      <w:spacing w:line="500" w:lineRule="exact"/>
      <w:ind w:firstLine="510"/>
      <w:jc w:val="both"/>
    </w:pPr>
    <w:rPr>
      <w:rFonts w:ascii="Times New Roman" w:eastAsia="仿宋_GB2312" w:hAnsi="Times New Roman" w:cs="Times New Roman"/>
      <w:sz w:val="32"/>
    </w:rPr>
  </w:style>
  <w:style w:type="paragraph" w:customStyle="1" w:styleId="Char4CharCharCharCharCharCharCharCharChar3">
    <w:name w:val="Char4 Char Char Char Char Char Char Char Char Char3"/>
    <w:basedOn w:val="a2"/>
    <w:uiPriority w:val="99"/>
    <w:qFormat/>
    <w:pPr>
      <w:jc w:val="both"/>
    </w:pPr>
  </w:style>
  <w:style w:type="paragraph" w:customStyle="1" w:styleId="afffffffffffffffffffffff1">
    <w:name w:val="－列表"/>
    <w:basedOn w:val="aff2"/>
    <w:uiPriority w:val="99"/>
    <w:qFormat/>
    <w:pPr>
      <w:snapToGrid w:val="0"/>
      <w:spacing w:line="360" w:lineRule="atLeast"/>
      <w:jc w:val="both"/>
      <w:textAlignment w:val="baseline"/>
    </w:pPr>
    <w:rPr>
      <w:rFonts w:ascii="宋体" w:eastAsia="宋体" w:hAnsi="宋体"/>
      <w:snapToGrid w:val="0"/>
      <w:kern w:val="0"/>
      <w:sz w:val="22"/>
    </w:rPr>
  </w:style>
  <w:style w:type="paragraph" w:customStyle="1" w:styleId="CharCharCharChar1CharCharCharCharCharChar3">
    <w:name w:val="Char Char Char Char1 Char Char Char Char Char Char3"/>
    <w:basedOn w:val="a2"/>
    <w:next w:val="a2"/>
    <w:uiPriority w:val="99"/>
    <w:qFormat/>
    <w:pPr>
      <w:spacing w:line="360" w:lineRule="auto"/>
      <w:ind w:firstLineChars="200" w:firstLine="200"/>
      <w:jc w:val="both"/>
    </w:pPr>
  </w:style>
  <w:style w:type="paragraph" w:customStyle="1" w:styleId="Style0">
    <w:name w:val="_Style 0"/>
    <w:uiPriority w:val="1"/>
    <w:qFormat/>
    <w:pPr>
      <w:widowControl w:val="0"/>
      <w:jc w:val="center"/>
    </w:pPr>
    <w:rPr>
      <w:rFonts w:ascii="Times New Roman" w:eastAsia="宋体" w:hAnsi="Times New Roman" w:cs="Times New Roman"/>
      <w:kern w:val="2"/>
      <w:sz w:val="21"/>
      <w:szCs w:val="24"/>
    </w:rPr>
  </w:style>
  <w:style w:type="paragraph" w:customStyle="1" w:styleId="CharCharCharChar1CharCharCharCharCharCharCharCharCharCharCharChar3">
    <w:name w:val="Char Char Char Char1 Char Char Char Char Char Char Char Char Char Char Char Char3"/>
    <w:basedOn w:val="a2"/>
    <w:uiPriority w:val="99"/>
    <w:qFormat/>
    <w:pPr>
      <w:tabs>
        <w:tab w:val="left" w:pos="0"/>
      </w:tabs>
    </w:pPr>
  </w:style>
  <w:style w:type="paragraph" w:customStyle="1" w:styleId="2151">
    <w:name w:val="样式 样式 正文文本 + 首行缩进:  2 字符 + 首行缩进:  1.5 字符"/>
    <w:basedOn w:val="a2"/>
    <w:uiPriority w:val="99"/>
    <w:qFormat/>
    <w:pPr>
      <w:spacing w:line="360" w:lineRule="auto"/>
      <w:ind w:firstLineChars="150" w:firstLine="420"/>
      <w:jc w:val="both"/>
    </w:pPr>
    <w:rPr>
      <w:rFonts w:ascii="仿宋_GB2312" w:eastAsia="仿宋_GB2312" w:hAnsi="宋体"/>
      <w:color w:val="0000FF"/>
    </w:rPr>
  </w:style>
  <w:style w:type="paragraph" w:customStyle="1" w:styleId="xl22">
    <w:name w:val="xl22"/>
    <w:basedOn w:val="a2"/>
    <w:qFormat/>
    <w:pPr>
      <w:widowControl/>
      <w:spacing w:before="100" w:beforeAutospacing="1" w:after="100" w:afterAutospacing="1"/>
      <w:jc w:val="center"/>
    </w:pPr>
    <w:rPr>
      <w:rFonts w:ascii="Arial Unicode MS" w:eastAsia="Arial Unicode MS" w:hAnsi="Arial Unicode MS"/>
    </w:rPr>
  </w:style>
  <w:style w:type="paragraph" w:customStyle="1" w:styleId="CharChar12ZchnZchnCharChar">
    <w:name w:val="Char Char12 Zchn Zchn Char Char"/>
    <w:basedOn w:val="a2"/>
    <w:uiPriority w:val="99"/>
    <w:qFormat/>
    <w:pPr>
      <w:jc w:val="both"/>
    </w:pPr>
    <w:rPr>
      <w:sz w:val="24"/>
    </w:rPr>
  </w:style>
  <w:style w:type="paragraph" w:customStyle="1" w:styleId="reader-word-layerreader-word-s1-1">
    <w:name w:val="reader-word-layer reader-word-s1-1"/>
    <w:basedOn w:val="a2"/>
    <w:uiPriority w:val="99"/>
    <w:qFormat/>
    <w:pPr>
      <w:spacing w:before="100" w:beforeAutospacing="1" w:after="100" w:afterAutospacing="1"/>
    </w:pPr>
    <w:rPr>
      <w:rFonts w:ascii="宋体" w:hAnsi="宋体" w:cs="宋体"/>
      <w:sz w:val="24"/>
    </w:rPr>
  </w:style>
  <w:style w:type="paragraph" w:customStyle="1" w:styleId="Char4CharCharCharCharCharCharCharCharChar1CharCharChar">
    <w:name w:val="Char4 Char Char Char Char Char Char Char Char Char1 Char Char Char"/>
    <w:basedOn w:val="a2"/>
    <w:uiPriority w:val="99"/>
    <w:qFormat/>
    <w:pPr>
      <w:jc w:val="both"/>
    </w:pPr>
    <w:rPr>
      <w:sz w:val="24"/>
    </w:rPr>
  </w:style>
  <w:style w:type="paragraph" w:customStyle="1" w:styleId="afffffffffffffffffffffff2">
    <w:name w:val="图名"/>
    <w:basedOn w:val="a2"/>
    <w:qFormat/>
    <w:pPr>
      <w:spacing w:line="480" w:lineRule="exact"/>
      <w:jc w:val="center"/>
    </w:pPr>
    <w:rPr>
      <w:spacing w:val="2"/>
    </w:rPr>
  </w:style>
  <w:style w:type="paragraph" w:customStyle="1" w:styleId="xl752">
    <w:name w:val="xl752"/>
    <w:basedOn w:val="a2"/>
    <w:uiPriority w:val="99"/>
    <w:qFormat/>
    <w:pPr>
      <w:spacing w:before="100" w:beforeAutospacing="1" w:after="100" w:afterAutospacing="1"/>
      <w:textAlignment w:val="center"/>
    </w:pPr>
    <w:rPr>
      <w:rFonts w:ascii="仿宋_GB2312" w:eastAsia="仿宋_GB2312" w:hAnsi="Arial Unicode MS" w:hint="eastAsia"/>
      <w:sz w:val="24"/>
    </w:rPr>
  </w:style>
  <w:style w:type="paragraph" w:customStyle="1" w:styleId="Char2CharCharCharCharCharCharCharCharCharCharCharCharCharCharCharCharCharCharCharCharChar3">
    <w:name w:val="Char2 Char Char Char Char Char Char Char Char Char Char Char Char Char Char Char Char Char Char Char Char Char3"/>
    <w:basedOn w:val="a2"/>
    <w:uiPriority w:val="99"/>
    <w:qFormat/>
    <w:pPr>
      <w:spacing w:line="360" w:lineRule="auto"/>
      <w:ind w:firstLineChars="200" w:firstLine="200"/>
      <w:jc w:val="both"/>
    </w:pPr>
    <w:rPr>
      <w:rFonts w:eastAsia="黑体"/>
      <w:szCs w:val="28"/>
    </w:rPr>
  </w:style>
  <w:style w:type="paragraph" w:customStyle="1" w:styleId="MainParanoChapter">
    <w:name w:val="Main Para no Chapter #"/>
    <w:basedOn w:val="a2"/>
    <w:qFormat/>
    <w:pPr>
      <w:widowControl/>
      <w:spacing w:after="240"/>
      <w:outlineLvl w:val="1"/>
    </w:pPr>
    <w:rPr>
      <w:rFonts w:eastAsia="Times New Roman"/>
      <w:sz w:val="24"/>
    </w:rPr>
  </w:style>
  <w:style w:type="paragraph" w:customStyle="1" w:styleId="8CharChar">
    <w:name w:val="目录 8 Char Char"/>
    <w:basedOn w:val="a2"/>
    <w:next w:val="a2"/>
    <w:qFormat/>
    <w:pPr>
      <w:spacing w:line="351" w:lineRule="atLeast"/>
      <w:ind w:left="1468" w:firstLine="419"/>
    </w:pPr>
    <w:rPr>
      <w:rFonts w:hAnsi="宋体"/>
    </w:rPr>
  </w:style>
  <w:style w:type="paragraph" w:customStyle="1" w:styleId="93">
    <w:name w:val="表格内字体9"/>
    <w:basedOn w:val="a2"/>
    <w:uiPriority w:val="99"/>
    <w:qFormat/>
    <w:pPr>
      <w:jc w:val="center"/>
    </w:pPr>
    <w:rPr>
      <w:rFonts w:ascii="宋体"/>
    </w:rPr>
  </w:style>
  <w:style w:type="paragraph" w:customStyle="1" w:styleId="33CharCharH3h33rdlevel305">
    <w:name w:val="样式 标题 3标题 3 Char CharH3h33rd level标题3 + 段前: 0.5 行"/>
    <w:basedOn w:val="32"/>
    <w:uiPriority w:val="99"/>
    <w:qFormat/>
    <w:pPr>
      <w:keepNext w:val="0"/>
      <w:keepLines w:val="0"/>
      <w:spacing w:before="0" w:after="0" w:line="500" w:lineRule="exact"/>
      <w:ind w:firstLineChars="200" w:firstLine="466"/>
      <w:jc w:val="both"/>
      <w:outlineLvl w:val="9"/>
    </w:pPr>
    <w:rPr>
      <w:rFonts w:ascii="楷体_GB2312" w:hAnsi="宋体"/>
      <w:spacing w:val="-4"/>
      <w:sz w:val="24"/>
      <w:szCs w:val="24"/>
    </w:rPr>
  </w:style>
  <w:style w:type="paragraph" w:customStyle="1" w:styleId="afffffffffffffffffffffff3">
    <w:name w:val="晓丹"/>
    <w:basedOn w:val="aff9"/>
    <w:uiPriority w:val="99"/>
    <w:qFormat/>
    <w:pPr>
      <w:snapToGrid w:val="0"/>
      <w:spacing w:after="0" w:line="360" w:lineRule="auto"/>
      <w:ind w:firstLineChars="200" w:firstLine="200"/>
      <w:jc w:val="both"/>
      <w:textAlignment w:val="baseline"/>
    </w:pPr>
    <w:rPr>
      <w:rFonts w:ascii="宋体" w:hAnsi="宋体"/>
      <w:snapToGrid w:val="0"/>
      <w:color w:val="000000"/>
      <w:spacing w:val="6"/>
      <w:kern w:val="0"/>
      <w:sz w:val="24"/>
    </w:rPr>
  </w:style>
  <w:style w:type="paragraph" w:customStyle="1" w:styleId="2213">
    <w:name w:val="正文文本 221"/>
    <w:basedOn w:val="a2"/>
    <w:uiPriority w:val="99"/>
    <w:qFormat/>
    <w:pPr>
      <w:spacing w:line="460" w:lineRule="exact"/>
      <w:ind w:firstLine="510"/>
    </w:pPr>
    <w:rPr>
      <w:rFonts w:ascii="宋体"/>
      <w:sz w:val="24"/>
    </w:rPr>
  </w:style>
  <w:style w:type="paragraph" w:customStyle="1" w:styleId="Char410">
    <w:name w:val="Char41"/>
    <w:basedOn w:val="a2"/>
    <w:uiPriority w:val="99"/>
    <w:qFormat/>
    <w:pPr>
      <w:jc w:val="both"/>
    </w:pPr>
    <w:rPr>
      <w:rFonts w:ascii="宋体" w:hAnsi="宋体" w:cs="宋体"/>
      <w:color w:val="000000"/>
      <w:sz w:val="24"/>
    </w:rPr>
  </w:style>
  <w:style w:type="paragraph" w:customStyle="1" w:styleId="4CharCharChar2">
    <w:name w:val="字元4 Char Char Char 字元 字元 字元2"/>
    <w:basedOn w:val="a2"/>
    <w:uiPriority w:val="99"/>
    <w:qFormat/>
    <w:pPr>
      <w:spacing w:line="400" w:lineRule="exact"/>
      <w:ind w:firstLine="601"/>
      <w:jc w:val="both"/>
      <w:textAlignment w:val="baseline"/>
    </w:pPr>
    <w:rPr>
      <w:rFonts w:ascii="Times New Roman"/>
      <w:spacing w:val="8"/>
    </w:rPr>
  </w:style>
  <w:style w:type="paragraph" w:customStyle="1" w:styleId="221TimesNewRoman24">
    <w:name w:val="样式 标题 2标题 21 + Times New Roman 小三 非加粗 行距: 最小值 24 磅"/>
    <w:basedOn w:val="22"/>
    <w:uiPriority w:val="99"/>
    <w:qFormat/>
    <w:pPr>
      <w:tabs>
        <w:tab w:val="left" w:pos="1320"/>
      </w:tabs>
      <w:spacing w:before="120" w:after="120" w:line="480" w:lineRule="atLeast"/>
      <w:ind w:left="1320" w:hanging="420"/>
      <w:jc w:val="both"/>
    </w:pPr>
    <w:rPr>
      <w:rFonts w:ascii="Times New Roman" w:eastAsia="黑体" w:hAnsi="Times New Roman" w:cs="宋体"/>
      <w:bCs w:val="0"/>
      <w:sz w:val="30"/>
      <w:szCs w:val="30"/>
    </w:rPr>
  </w:style>
  <w:style w:type="paragraph" w:customStyle="1" w:styleId="TimesNewRoman15">
    <w:name w:val="样式 纯文本普通文字 + Times New Roman 小四 两端对齐 行距: 1.5 倍行距"/>
    <w:basedOn w:val="af8"/>
    <w:uiPriority w:val="99"/>
    <w:qFormat/>
    <w:pPr>
      <w:spacing w:line="360" w:lineRule="auto"/>
      <w:ind w:firstLineChars="200" w:firstLine="480"/>
      <w:jc w:val="both"/>
    </w:pPr>
    <w:rPr>
      <w:rFonts w:ascii="Times New Roman" w:hAnsi="Times New Roman"/>
      <w:kern w:val="2"/>
      <w:szCs w:val="20"/>
    </w:rPr>
  </w:style>
  <w:style w:type="paragraph" w:customStyle="1" w:styleId="1ffffffc">
    <w:name w:val="1"/>
    <w:basedOn w:val="a2"/>
    <w:next w:val="af8"/>
    <w:qFormat/>
    <w:rPr>
      <w:rFonts w:ascii="宋体" w:hAnsi="Courier New" w:cs="Arial Narrow"/>
    </w:rPr>
  </w:style>
  <w:style w:type="paragraph" w:customStyle="1" w:styleId="font3">
    <w:name w:val="font3"/>
    <w:basedOn w:val="a2"/>
    <w:uiPriority w:val="99"/>
    <w:qFormat/>
    <w:pPr>
      <w:spacing w:before="100" w:beforeAutospacing="1" w:after="100" w:afterAutospacing="1"/>
    </w:pPr>
    <w:rPr>
      <w:rFonts w:ascii="黑体" w:eastAsia="黑体" w:hAnsi="宋体" w:hint="eastAsia"/>
      <w:sz w:val="22"/>
      <w:szCs w:val="22"/>
    </w:rPr>
  </w:style>
  <w:style w:type="paragraph" w:customStyle="1" w:styleId="022778">
    <w:name w:val="样式 样式 样式 样式 样式 样式 样式 样式 样式 表标题 + 左侧:  0 厘米 悬挂缩进: 2.27 字符 段前: 7.8..."/>
    <w:basedOn w:val="a2"/>
    <w:qFormat/>
    <w:pPr>
      <w:snapToGrid w:val="0"/>
      <w:spacing w:before="140" w:afterLines="20" w:after="62" w:line="420" w:lineRule="exact"/>
      <w:jc w:val="center"/>
    </w:pPr>
    <w:rPr>
      <w:rFonts w:hAnsi="宋体" w:cs="宋体"/>
      <w:b/>
      <w:bCs/>
      <w:color w:val="000000"/>
    </w:rPr>
  </w:style>
  <w:style w:type="paragraph" w:customStyle="1" w:styleId="478">
    <w:name w:val="样式 标题 4 + 段前: 7.8 磅"/>
    <w:basedOn w:val="41"/>
    <w:uiPriority w:val="99"/>
    <w:qFormat/>
    <w:pPr>
      <w:spacing w:beforeLines="0" w:line="240" w:lineRule="exact"/>
      <w:ind w:leftChars="0" w:left="0" w:rightChars="0" w:right="0"/>
      <w:jc w:val="both"/>
    </w:pPr>
    <w:rPr>
      <w:rFonts w:ascii="Arial" w:eastAsia="仿宋_GB2312" w:hAnsi="Arial" w:cs="Arial"/>
      <w:b/>
      <w:bCs w:val="0"/>
      <w:sz w:val="24"/>
      <w:szCs w:val="21"/>
    </w:rPr>
  </w:style>
  <w:style w:type="paragraph" w:customStyle="1" w:styleId="CharCharCharCharCharCharChar21">
    <w:name w:val="样式 样式 正文缩进文本条款表格标题正文（首行缩进两字） Char Char Char Char Char Char Char....2"/>
    <w:basedOn w:val="a2"/>
    <w:uiPriority w:val="99"/>
    <w:qFormat/>
    <w:pPr>
      <w:tabs>
        <w:tab w:val="left" w:pos="283"/>
        <w:tab w:val="left" w:pos="840"/>
      </w:tabs>
      <w:snapToGrid w:val="0"/>
      <w:spacing w:line="500" w:lineRule="atLeast"/>
      <w:ind w:firstLineChars="200" w:firstLine="200"/>
      <w:jc w:val="both"/>
    </w:pPr>
    <w:rPr>
      <w:rFonts w:cs="宋体"/>
    </w:rPr>
  </w:style>
  <w:style w:type="paragraph" w:customStyle="1" w:styleId="afffffffffffffffffffffff4">
    <w:name w:val="正文新"/>
    <w:basedOn w:val="a2"/>
    <w:uiPriority w:val="99"/>
    <w:qFormat/>
    <w:pPr>
      <w:spacing w:before="80" w:after="60" w:line="300" w:lineRule="auto"/>
      <w:ind w:firstLine="510"/>
      <w:jc w:val="both"/>
    </w:pPr>
    <w:rPr>
      <w:snapToGrid w:val="0"/>
      <w:sz w:val="24"/>
    </w:rPr>
  </w:style>
  <w:style w:type="paragraph" w:customStyle="1" w:styleId="T30">
    <w:name w:val="T3"/>
    <w:basedOn w:val="32"/>
    <w:qFormat/>
    <w:pPr>
      <w:keepLines w:val="0"/>
      <w:spacing w:before="0" w:after="0" w:line="480" w:lineRule="auto"/>
    </w:pPr>
    <w:rPr>
      <w:rFonts w:ascii="Times New Roman" w:eastAsia="宋体"/>
      <w:bCs w:val="0"/>
      <w:sz w:val="24"/>
      <w:szCs w:val="28"/>
    </w:rPr>
  </w:style>
  <w:style w:type="paragraph" w:customStyle="1" w:styleId="afffffffffffffffffffffff5">
    <w:name w:val="正文 + 宋体"/>
    <w:basedOn w:val="af9"/>
    <w:qFormat/>
    <w:pPr>
      <w:tabs>
        <w:tab w:val="left" w:pos="420"/>
        <w:tab w:val="left" w:pos="1260"/>
      </w:tabs>
      <w:spacing w:line="360" w:lineRule="auto"/>
      <w:ind w:leftChars="0" w:left="1260" w:hanging="60"/>
      <w:jc w:val="both"/>
    </w:pPr>
    <w:rPr>
      <w:rFonts w:ascii="宋体" w:eastAsia="宋体" w:hAnsi="宋体"/>
      <w:sz w:val="24"/>
      <w:szCs w:val="24"/>
    </w:rPr>
  </w:style>
  <w:style w:type="paragraph" w:customStyle="1" w:styleId="Char2CharCharCharCharCharCharCharCharCharCharChar1CharCharCharCharCharCharCharCharChar1">
    <w:name w:val="Char2 Char Char Char Char Char Char Char Char Char Char Char1 Char Char Char Char Char Char Char Char Char1"/>
    <w:basedOn w:val="a2"/>
    <w:qFormat/>
    <w:pPr>
      <w:jc w:val="both"/>
    </w:pPr>
    <w:rPr>
      <w:rFonts w:ascii="Times New Roman"/>
    </w:rPr>
  </w:style>
  <w:style w:type="paragraph" w:customStyle="1" w:styleId="CharCharffffff2">
    <w:name w:val="日期 Char Char"/>
    <w:basedOn w:val="a2"/>
    <w:next w:val="a2"/>
    <w:qFormat/>
    <w:pPr>
      <w:spacing w:line="351" w:lineRule="atLeast"/>
      <w:ind w:firstLine="419"/>
    </w:pPr>
    <w:rPr>
      <w:rFonts w:hAnsi="宋体"/>
      <w:sz w:val="31"/>
    </w:rPr>
  </w:style>
  <w:style w:type="paragraph" w:customStyle="1" w:styleId="042">
    <w:name w:val="样式 首行缩进 + 首行缩进:  0 厘米 左  4 字符"/>
    <w:basedOn w:val="a2"/>
    <w:uiPriority w:val="99"/>
    <w:qFormat/>
    <w:pPr>
      <w:spacing w:line="480" w:lineRule="exact"/>
      <w:ind w:left="840"/>
      <w:jc w:val="both"/>
    </w:pPr>
    <w:rPr>
      <w:sz w:val="24"/>
    </w:rPr>
  </w:style>
  <w:style w:type="paragraph" w:customStyle="1" w:styleId="5f4">
    <w:name w:val="我的样式5"/>
    <w:basedOn w:val="a2"/>
    <w:next w:val="a2"/>
    <w:qFormat/>
    <w:pPr>
      <w:tabs>
        <w:tab w:val="left" w:pos="360"/>
        <w:tab w:val="left" w:pos="900"/>
      </w:tabs>
      <w:spacing w:line="520" w:lineRule="exact"/>
    </w:pPr>
    <w:rPr>
      <w:sz w:val="24"/>
    </w:rPr>
  </w:style>
  <w:style w:type="paragraph" w:customStyle="1" w:styleId="xl44">
    <w:name w:val="xl44"/>
    <w:basedOn w:val="a2"/>
    <w:qFormat/>
    <w:pPr>
      <w:widowControl/>
      <w:pBdr>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1ffffffd">
    <w:name w:val="(1)"/>
    <w:basedOn w:val="a2"/>
    <w:qFormat/>
    <w:pPr>
      <w:autoSpaceDE/>
      <w:autoSpaceDN/>
      <w:adjustRightInd/>
      <w:spacing w:line="360" w:lineRule="auto"/>
      <w:jc w:val="both"/>
    </w:pPr>
    <w:rPr>
      <w:rFonts w:ascii="Times New Roman" w:eastAsia="宋体"/>
      <w:szCs w:val="24"/>
    </w:rPr>
  </w:style>
  <w:style w:type="paragraph" w:customStyle="1" w:styleId="xl55">
    <w:name w:val="xl55"/>
    <w:basedOn w:val="a2"/>
    <w:qFormat/>
    <w:pPr>
      <w:widowControl/>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b/>
      <w:bCs/>
      <w:sz w:val="24"/>
    </w:rPr>
  </w:style>
  <w:style w:type="paragraph" w:customStyle="1" w:styleId="CharCharCharCharCharCharCharCharChar1CharCharCharCharCharCharCharCharCharChar1">
    <w:name w:val="Char Char Char Char Char Char Char Char Char1 Char Char Char Char Char Char Char Char Char Char1"/>
    <w:basedOn w:val="a2"/>
    <w:uiPriority w:val="99"/>
    <w:qFormat/>
    <w:pPr>
      <w:jc w:val="both"/>
    </w:pPr>
  </w:style>
  <w:style w:type="paragraph" w:customStyle="1" w:styleId="CharChar1CharCharCharChar1">
    <w:name w:val="Char Char1 Char Char Char Char1"/>
    <w:basedOn w:val="a2"/>
    <w:pPr>
      <w:jc w:val="both"/>
    </w:pPr>
  </w:style>
  <w:style w:type="paragraph" w:customStyle="1" w:styleId="afffffffffffffffffffffff6">
    <w:name w:val="投标表格"/>
    <w:basedOn w:val="a2"/>
    <w:qFormat/>
    <w:pPr>
      <w:snapToGrid w:val="0"/>
      <w:spacing w:line="360" w:lineRule="auto"/>
      <w:jc w:val="center"/>
    </w:pPr>
    <w:rPr>
      <w:rFonts w:ascii="宋体" w:hAnsi="宋体"/>
      <w:sz w:val="24"/>
    </w:rPr>
  </w:style>
  <w:style w:type="paragraph" w:customStyle="1" w:styleId="test">
    <w:name w:val="test"/>
    <w:basedOn w:val="a2"/>
    <w:uiPriority w:val="99"/>
    <w:qFormat/>
    <w:pPr>
      <w:overflowPunct w:val="0"/>
      <w:spacing w:before="60" w:after="60"/>
      <w:jc w:val="both"/>
      <w:textAlignment w:val="baseline"/>
    </w:pPr>
    <w:rPr>
      <w:rFonts w:ascii="楷体_GB2312"/>
      <w:spacing w:val="-30"/>
      <w:sz w:val="22"/>
    </w:rPr>
  </w:style>
  <w:style w:type="paragraph" w:customStyle="1" w:styleId="0772041">
    <w:name w:val="样式 首行缩进:  0.77 厘米 行距: 固定值 20 磅41"/>
    <w:basedOn w:val="a2"/>
    <w:uiPriority w:val="99"/>
    <w:qFormat/>
    <w:pPr>
      <w:spacing w:line="360" w:lineRule="auto"/>
      <w:ind w:firstLineChars="195" w:firstLine="468"/>
    </w:pPr>
    <w:rPr>
      <w:sz w:val="24"/>
    </w:rPr>
  </w:style>
  <w:style w:type="paragraph" w:customStyle="1" w:styleId="CharCharCharCharCharCharCharCharCharCharCharCharCharCharCharChar3">
    <w:name w:val="Char Char Char Char Char Char Char Char Char Char Char Char Char Char Char Char3"/>
    <w:basedOn w:val="a2"/>
    <w:uiPriority w:val="99"/>
    <w:qFormat/>
    <w:pPr>
      <w:jc w:val="both"/>
    </w:pPr>
    <w:rPr>
      <w:rFonts w:ascii="Times New Roman"/>
    </w:rPr>
  </w:style>
  <w:style w:type="paragraph" w:customStyle="1" w:styleId="21f0">
    <w:name w:val="正文文本 21"/>
    <w:basedOn w:val="a2"/>
    <w:qFormat/>
    <w:pPr>
      <w:spacing w:line="460" w:lineRule="atLeast"/>
      <w:ind w:firstLine="510"/>
    </w:pPr>
    <w:rPr>
      <w:rFonts w:ascii="宋体" w:hint="eastAsia"/>
      <w:sz w:val="24"/>
    </w:rPr>
  </w:style>
  <w:style w:type="paragraph" w:customStyle="1" w:styleId="Char2CharChar1Char3">
    <w:name w:val="Char2 Char Char1 Char3"/>
    <w:basedOn w:val="a2"/>
    <w:uiPriority w:val="99"/>
    <w:qFormat/>
    <w:pPr>
      <w:jc w:val="both"/>
    </w:pPr>
  </w:style>
  <w:style w:type="paragraph" w:customStyle="1" w:styleId="CharCharChar1CharChar4">
    <w:name w:val="Char Char Char1 Char Char4"/>
    <w:basedOn w:val="a2"/>
    <w:pPr>
      <w:jc w:val="both"/>
    </w:pPr>
    <w:rPr>
      <w:rFonts w:ascii="宋体" w:hAnsi="宋体" w:cs="宋体"/>
      <w:color w:val="000000"/>
      <w:sz w:val="24"/>
    </w:rPr>
  </w:style>
  <w:style w:type="paragraph" w:customStyle="1" w:styleId="340">
    <w:name w:val="正文文本 34"/>
    <w:basedOn w:val="a2"/>
    <w:uiPriority w:val="99"/>
    <w:qFormat/>
    <w:pPr>
      <w:spacing w:line="312" w:lineRule="atLeast"/>
      <w:jc w:val="center"/>
      <w:textAlignment w:val="baseline"/>
    </w:pPr>
    <w:rPr>
      <w:rFonts w:ascii="楷体" w:eastAsia="楷体"/>
    </w:rPr>
  </w:style>
  <w:style w:type="paragraph" w:customStyle="1" w:styleId="CharCharCharChara">
    <w:name w:val="Char Char Char Char"/>
    <w:basedOn w:val="a2"/>
    <w:qFormat/>
    <w:pPr>
      <w:snapToGrid w:val="0"/>
      <w:spacing w:line="360" w:lineRule="auto"/>
      <w:ind w:firstLineChars="200" w:firstLine="200"/>
    </w:pPr>
    <w:rPr>
      <w:rFonts w:eastAsia="仿宋_GB2312"/>
      <w:sz w:val="24"/>
    </w:rPr>
  </w:style>
  <w:style w:type="paragraph" w:customStyle="1" w:styleId="025025">
    <w:name w:val="样式 文本 + 段前: 0.25 行 段后: 0.25 行"/>
    <w:basedOn w:val="afffff"/>
    <w:qFormat/>
    <w:pPr>
      <w:spacing w:beforeLines="25" w:before="78" w:afterLines="25" w:after="78" w:line="300" w:lineRule="auto"/>
      <w:ind w:firstLineChars="0" w:firstLine="567"/>
    </w:pPr>
    <w:rPr>
      <w:rFonts w:eastAsia="仿宋_GB2312" w:cs="宋体"/>
      <w:sz w:val="28"/>
      <w:szCs w:val="28"/>
    </w:rPr>
  </w:style>
  <w:style w:type="paragraph" w:customStyle="1" w:styleId="11f1">
    <w:name w:val="文档结构图11"/>
    <w:basedOn w:val="a2"/>
    <w:uiPriority w:val="99"/>
    <w:qFormat/>
    <w:pPr>
      <w:spacing w:line="360" w:lineRule="auto"/>
      <w:jc w:val="both"/>
    </w:pPr>
    <w:rPr>
      <w:rFonts w:ascii="宋体" w:hAnsi="Calibri"/>
      <w:sz w:val="18"/>
      <w:szCs w:val="18"/>
    </w:rPr>
  </w:style>
  <w:style w:type="paragraph" w:customStyle="1" w:styleId="xl63">
    <w:name w:val="xl63"/>
    <w:basedOn w:val="a2"/>
    <w:qFormat/>
    <w:pPr>
      <w:spacing w:before="100" w:beforeAutospacing="1" w:after="100" w:afterAutospacing="1" w:line="500" w:lineRule="exact"/>
      <w:jc w:val="center"/>
    </w:pPr>
    <w:rPr>
      <w:rFonts w:ascii="宋体" w:eastAsia="仿宋_GB2312" w:hAnsi="宋体" w:cs="宋体"/>
      <w:b/>
      <w:bCs/>
      <w:sz w:val="24"/>
    </w:rPr>
  </w:style>
  <w:style w:type="paragraph" w:customStyle="1" w:styleId="-4">
    <w:name w:val="列表-4"/>
    <w:basedOn w:val="a2"/>
    <w:uiPriority w:val="99"/>
    <w:qFormat/>
    <w:pPr>
      <w:spacing w:line="400" w:lineRule="atLeast"/>
      <w:jc w:val="both"/>
    </w:pPr>
    <w:rPr>
      <w:sz w:val="24"/>
    </w:rPr>
  </w:style>
  <w:style w:type="paragraph" w:customStyle="1" w:styleId="105">
    <w:name w:val="小四宋居中1.0"/>
    <w:basedOn w:val="a2"/>
    <w:next w:val="a2"/>
    <w:qFormat/>
    <w:pPr>
      <w:jc w:val="center"/>
    </w:pPr>
    <w:rPr>
      <w:rFonts w:ascii="仿宋_GB2312" w:eastAsia="仿宋_GB2312"/>
      <w:sz w:val="24"/>
    </w:rPr>
  </w:style>
  <w:style w:type="paragraph" w:customStyle="1" w:styleId="afffffffffffffffffffffff7">
    <w:name w:val="框图文字"/>
    <w:basedOn w:val="a2"/>
    <w:qFormat/>
    <w:pPr>
      <w:jc w:val="center"/>
    </w:pPr>
    <w:rPr>
      <w:sz w:val="24"/>
    </w:rPr>
  </w:style>
  <w:style w:type="paragraph" w:customStyle="1" w:styleId="xl103">
    <w:name w:val="xl103"/>
    <w:basedOn w:val="a2"/>
    <w:qFormat/>
    <w:pPr>
      <w:pBdr>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CharCharChar1CharCharCharCharCharCharCharCharCharCharChar3">
    <w:name w:val="Char Char Char1 Char Char Char Char Char Char Char Char Char Char Char3"/>
    <w:basedOn w:val="a2"/>
    <w:uiPriority w:val="99"/>
    <w:qFormat/>
    <w:pPr>
      <w:jc w:val="both"/>
    </w:pPr>
  </w:style>
  <w:style w:type="paragraph" w:customStyle="1" w:styleId="Char1CharCharCharCharCharChar11">
    <w:name w:val="Char1 Char Char Char Char Char Char11"/>
    <w:basedOn w:val="a2"/>
    <w:next w:val="a2"/>
    <w:uiPriority w:val="99"/>
    <w:qFormat/>
    <w:pPr>
      <w:spacing w:line="360" w:lineRule="auto"/>
      <w:ind w:firstLineChars="200" w:firstLine="200"/>
      <w:jc w:val="center"/>
    </w:pPr>
    <w:rPr>
      <w:rFonts w:eastAsia="黑体"/>
    </w:rPr>
  </w:style>
  <w:style w:type="paragraph" w:customStyle="1" w:styleId="Char2CharChar1Char4">
    <w:name w:val="Char2 Char Char1 Char4"/>
    <w:basedOn w:val="a2"/>
    <w:pPr>
      <w:jc w:val="both"/>
    </w:pPr>
    <w:rPr>
      <w:sz w:val="24"/>
    </w:rPr>
  </w:style>
  <w:style w:type="paragraph" w:customStyle="1" w:styleId="0772047">
    <w:name w:val="样式 首行缩进:  0.77 厘米 行距: 固定值 20 磅47"/>
    <w:basedOn w:val="a2"/>
    <w:uiPriority w:val="99"/>
    <w:qFormat/>
    <w:pPr>
      <w:spacing w:line="360" w:lineRule="auto"/>
      <w:ind w:firstLineChars="200" w:firstLine="480"/>
    </w:pPr>
    <w:rPr>
      <w:rFonts w:cs="宋体"/>
      <w:sz w:val="24"/>
    </w:rPr>
  </w:style>
  <w:style w:type="paragraph" w:customStyle="1" w:styleId="Char2CharChar3">
    <w:name w:val="Char2 Char Char3"/>
    <w:basedOn w:val="a2"/>
    <w:uiPriority w:val="99"/>
    <w:qFormat/>
    <w:pPr>
      <w:jc w:val="both"/>
    </w:pPr>
  </w:style>
  <w:style w:type="paragraph" w:customStyle="1" w:styleId="12f3">
    <w:name w:val="样式 标题 1 + 首行缩进:  2 字符"/>
    <w:basedOn w:val="12"/>
    <w:uiPriority w:val="99"/>
    <w:qFormat/>
    <w:pPr>
      <w:tabs>
        <w:tab w:val="left" w:pos="360"/>
      </w:tabs>
      <w:spacing w:line="300" w:lineRule="auto"/>
      <w:ind w:left="360" w:hanging="360"/>
      <w:jc w:val="both"/>
      <w:textAlignment w:val="auto"/>
    </w:pPr>
    <w:rPr>
      <w:rFonts w:cs="宋体"/>
      <w:sz w:val="32"/>
      <w:szCs w:val="32"/>
    </w:rPr>
  </w:style>
  <w:style w:type="paragraph" w:customStyle="1" w:styleId="afffffffffffffffffffffff8">
    <w:name w:val="海港表格文字"/>
    <w:basedOn w:val="9"/>
    <w:uiPriority w:val="99"/>
    <w:qFormat/>
    <w:pPr>
      <w:keepNext w:val="0"/>
      <w:keepLines w:val="0"/>
      <w:tabs>
        <w:tab w:val="clear" w:pos="165"/>
      </w:tabs>
      <w:snapToGrid w:val="0"/>
      <w:spacing w:before="0" w:after="0" w:line="300" w:lineRule="exact"/>
      <w:ind w:leftChars="-30" w:left="-56" w:rightChars="-30" w:right="-56" w:firstLine="19"/>
      <w:jc w:val="center"/>
      <w:textAlignment w:val="baseline"/>
      <w:outlineLvl w:val="9"/>
    </w:pPr>
    <w:rPr>
      <w:rFonts w:eastAsia="仿宋_GB2312" w:cs="Arial"/>
      <w:kern w:val="21"/>
    </w:rPr>
  </w:style>
  <w:style w:type="paragraph" w:customStyle="1" w:styleId="11f2">
    <w:name w:val="1.1"/>
    <w:qFormat/>
    <w:pPr>
      <w:widowControl w:val="0"/>
      <w:tabs>
        <w:tab w:val="left" w:pos="920"/>
      </w:tabs>
      <w:ind w:left="920" w:hanging="360"/>
      <w:jc w:val="both"/>
    </w:pPr>
    <w:rPr>
      <w:rFonts w:ascii="Times New Roman" w:eastAsia="宋体" w:hAnsi="Times New Roman" w:cs="Times New Roman"/>
      <w:kern w:val="2"/>
      <w:sz w:val="24"/>
    </w:rPr>
  </w:style>
  <w:style w:type="paragraph" w:customStyle="1" w:styleId="3130">
    <w:name w:val="标题 313"/>
    <w:basedOn w:val="a2"/>
    <w:next w:val="a2"/>
    <w:uiPriority w:val="99"/>
    <w:qFormat/>
    <w:pPr>
      <w:keepNext/>
      <w:keepLines/>
      <w:spacing w:before="120" w:after="120" w:line="500" w:lineRule="exact"/>
      <w:jc w:val="both"/>
      <w:textAlignment w:val="baseline"/>
    </w:pPr>
    <w:rPr>
      <w:rFonts w:eastAsia="黑体" w:hint="eastAsia"/>
      <w:sz w:val="30"/>
    </w:rPr>
  </w:style>
  <w:style w:type="paragraph" w:customStyle="1" w:styleId="050">
    <w:name w:val="样式 列表 + 段前: 0.5 行"/>
    <w:basedOn w:val="aff2"/>
    <w:uiPriority w:val="99"/>
    <w:qFormat/>
    <w:pPr>
      <w:tabs>
        <w:tab w:val="left" w:pos="283"/>
      </w:tabs>
      <w:snapToGrid w:val="0"/>
      <w:spacing w:beforeLines="50" w:before="156" w:line="500" w:lineRule="atLeast"/>
      <w:jc w:val="left"/>
    </w:pPr>
    <w:rPr>
      <w:rFonts w:ascii="Times New Roman" w:eastAsia="宋体" w:cs="宋体"/>
      <w:b/>
      <w:bCs/>
      <w:sz w:val="28"/>
    </w:rPr>
  </w:style>
  <w:style w:type="paragraph" w:customStyle="1" w:styleId="afffffffffffffffffffffff9">
    <w:name w:val="正文居中"/>
    <w:basedOn w:val="a2"/>
    <w:next w:val="a2"/>
    <w:qFormat/>
    <w:pPr>
      <w:spacing w:line="320" w:lineRule="atLeast"/>
      <w:jc w:val="both"/>
    </w:pPr>
    <w:rPr>
      <w:rFonts w:ascii="宋体" w:hAnsi="宋体"/>
      <w:color w:val="000000"/>
    </w:rPr>
  </w:style>
  <w:style w:type="paragraph" w:customStyle="1" w:styleId="fuxi">
    <w:name w:val="目录fuxi"/>
    <w:basedOn w:val="a2"/>
    <w:qFormat/>
    <w:pPr>
      <w:snapToGrid w:val="0"/>
      <w:spacing w:before="60" w:after="60"/>
      <w:jc w:val="center"/>
    </w:pPr>
    <w:rPr>
      <w:rFonts w:ascii="宋体" w:hAnsi="宋体"/>
      <w:outline/>
      <w:color w:val="000000"/>
      <w14:textOutline w14:w="9525" w14:cap="flat" w14:cmpd="sng" w14:algn="ctr">
        <w14:solidFill>
          <w14:srgbClr w14:val="000000"/>
        </w14:solidFill>
        <w14:prstDash w14:val="solid"/>
        <w14:round/>
      </w14:textOutline>
      <w14:textFill>
        <w14:noFill/>
      </w14:textFill>
    </w:rPr>
  </w:style>
  <w:style w:type="paragraph" w:customStyle="1" w:styleId="Char1CharCharCharCharCharCharCharCharChar">
    <w:name w:val="Char1 Char Char Char Char Char Char Char Char Char"/>
    <w:basedOn w:val="a2"/>
    <w:uiPriority w:val="99"/>
    <w:qFormat/>
    <w:pPr>
      <w:jc w:val="both"/>
    </w:pPr>
  </w:style>
  <w:style w:type="paragraph" w:customStyle="1" w:styleId="Pa8">
    <w:name w:val="Pa8"/>
    <w:basedOn w:val="Default"/>
    <w:next w:val="Default"/>
    <w:qFormat/>
    <w:pPr>
      <w:spacing w:line="241" w:lineRule="atLeast"/>
    </w:pPr>
    <w:rPr>
      <w:rFonts w:ascii="H Ya 6gj" w:eastAsia="H Ya 6gj" w:cs="Times New Roman"/>
      <w:color w:val="auto"/>
    </w:rPr>
  </w:style>
  <w:style w:type="paragraph" w:customStyle="1" w:styleId="xl87">
    <w:name w:val="xl87"/>
    <w:basedOn w:val="a2"/>
    <w:qFormat/>
    <w:pPr>
      <w:pBdr>
        <w:bottom w:val="single" w:sz="12" w:space="0" w:color="auto"/>
        <w:right w:val="single" w:sz="8" w:space="0" w:color="auto"/>
      </w:pBdr>
      <w:spacing w:before="100" w:beforeAutospacing="1" w:after="100" w:afterAutospacing="1"/>
      <w:jc w:val="center"/>
    </w:pPr>
    <w:rPr>
      <w:rFonts w:ascii="宋体" w:hAnsi="宋体" w:cs="宋体"/>
      <w:sz w:val="24"/>
    </w:rPr>
  </w:style>
  <w:style w:type="paragraph" w:customStyle="1" w:styleId="CharCharCharCharCharCharCharCharChar1CharCharCharCharCharChar7">
    <w:name w:val="Char Char Char Char Char Char Char Char Char1 Char Char Char Char Char Char7"/>
    <w:basedOn w:val="a2"/>
    <w:qFormat/>
    <w:rPr>
      <w:sz w:val="24"/>
    </w:rPr>
  </w:style>
  <w:style w:type="paragraph" w:customStyle="1" w:styleId="12f4">
    <w:name w:val="列表12"/>
    <w:basedOn w:val="a2"/>
    <w:qFormat/>
    <w:pPr>
      <w:spacing w:line="360" w:lineRule="exact"/>
      <w:jc w:val="center"/>
    </w:pPr>
    <w:rPr>
      <w:rFonts w:eastAsia="仿宋_GB2312" w:hint="eastAsia"/>
    </w:rPr>
  </w:style>
  <w:style w:type="paragraph" w:customStyle="1" w:styleId="1ffffffe">
    <w:name w:val="正文样式1"/>
    <w:basedOn w:val="a2"/>
    <w:qFormat/>
    <w:pPr>
      <w:spacing w:line="360" w:lineRule="auto"/>
      <w:ind w:firstLineChars="200" w:firstLine="480"/>
      <w:textAlignment w:val="baseline"/>
    </w:pPr>
    <w:rPr>
      <w:rFonts w:hAnsi="Arial" w:cs="Arial"/>
      <w:sz w:val="24"/>
    </w:rPr>
  </w:style>
  <w:style w:type="paragraph" w:customStyle="1" w:styleId="afffffffffffffffffffffffa">
    <w:name w:val="目录标题"/>
    <w:basedOn w:val="a2"/>
    <w:next w:val="a2"/>
    <w:qFormat/>
    <w:pPr>
      <w:spacing w:before="215" w:after="419" w:line="436" w:lineRule="atLeast"/>
      <w:ind w:firstLine="419"/>
      <w:jc w:val="center"/>
    </w:pPr>
    <w:rPr>
      <w:rFonts w:eastAsia="黑体" w:hAnsi="宋体"/>
      <w:spacing w:val="283"/>
      <w:sz w:val="42"/>
    </w:rPr>
  </w:style>
  <w:style w:type="paragraph" w:customStyle="1" w:styleId="brdrw15brsp20tqctx4153t">
    <w:name w:val="brdrw15brsp20 tqctx4153t"/>
    <w:qFormat/>
    <w:pPr>
      <w:widowControl w:val="0"/>
      <w:pBdr>
        <w:bottom w:val="single" w:sz="6" w:space="0" w:color="auto"/>
      </w:pBdr>
      <w:adjustRightInd w:val="0"/>
      <w:spacing w:line="360" w:lineRule="atLeast"/>
      <w:jc w:val="center"/>
    </w:pPr>
    <w:rPr>
      <w:rFonts w:ascii="Times New Roman" w:eastAsia="宋体" w:hAnsi="Times New Roman" w:cs="Times New Roman"/>
      <w:sz w:val="24"/>
    </w:rPr>
  </w:style>
  <w:style w:type="paragraph" w:customStyle="1" w:styleId="222H2h22Char11Char2Cha3">
    <w:name w:val="样式 标题 2标题2二级 标题 2H2h2第一层条标题 2 Char节标题节11 Char标题 2 Cha...3"/>
    <w:basedOn w:val="22"/>
    <w:uiPriority w:val="99"/>
    <w:qFormat/>
    <w:pPr>
      <w:keepNext w:val="0"/>
      <w:keepLines w:val="0"/>
      <w:tabs>
        <w:tab w:val="left" w:pos="567"/>
        <w:tab w:val="left" w:pos="680"/>
      </w:tabs>
      <w:spacing w:before="60" w:after="60" w:line="240" w:lineRule="auto"/>
      <w:ind w:left="680" w:hanging="680"/>
      <w:textAlignment w:val="baseline"/>
    </w:pPr>
    <w:rPr>
      <w:rFonts w:ascii="Times New Roman" w:eastAsia="宋体" w:hAnsi="Times New Roman" w:cs="Times New Roman"/>
      <w:b w:val="0"/>
      <w:bCs w:val="0"/>
      <w:sz w:val="21"/>
      <w:szCs w:val="30"/>
    </w:rPr>
  </w:style>
  <w:style w:type="paragraph" w:customStyle="1" w:styleId="2152">
    <w:name w:val="样式 首行缩进:  2 字符 行距: 1.5 倍行距"/>
    <w:basedOn w:val="a2"/>
    <w:uiPriority w:val="99"/>
    <w:qFormat/>
    <w:pPr>
      <w:snapToGrid w:val="0"/>
      <w:spacing w:line="360" w:lineRule="auto"/>
      <w:ind w:firstLineChars="200" w:firstLine="592"/>
      <w:jc w:val="both"/>
    </w:pPr>
    <w:rPr>
      <w:rFonts w:cs="宋体"/>
      <w:szCs w:val="28"/>
    </w:rPr>
  </w:style>
  <w:style w:type="paragraph" w:customStyle="1" w:styleId="style24">
    <w:name w:val="style24"/>
    <w:basedOn w:val="a2"/>
    <w:uiPriority w:val="99"/>
    <w:qFormat/>
    <w:pPr>
      <w:spacing w:before="100" w:beforeAutospacing="1" w:after="100" w:afterAutospacing="1"/>
    </w:pPr>
    <w:rPr>
      <w:rFonts w:ascii="宋体" w:hAnsi="宋体" w:cs="宋体"/>
      <w:szCs w:val="28"/>
    </w:rPr>
  </w:style>
  <w:style w:type="paragraph" w:customStyle="1" w:styleId="TimesNewRoman2">
    <w:name w:val="样式 表头 + Times New Roman 黑色"/>
    <w:basedOn w:val="affffffff5"/>
    <w:uiPriority w:val="99"/>
    <w:qFormat/>
    <w:pPr>
      <w:spacing w:beforeLines="30" w:before="93"/>
    </w:pPr>
    <w:rPr>
      <w:rFonts w:eastAsia="宋体"/>
      <w:b/>
      <w:bCs/>
      <w:color w:val="000000"/>
    </w:rPr>
  </w:style>
  <w:style w:type="paragraph" w:customStyle="1" w:styleId="CharCharCharCharCharCharCharCharCharCharCharCharCharCharCharCharCharCharCharCharCharCharCharCharCharCharCharChar3">
    <w:name w:val="Char Char Char Char Char Char Char Char Char Char Char Char Char Char Char Char Char Char Char Char Char Char Char Char Char Char Char Char3"/>
    <w:basedOn w:val="a2"/>
    <w:uiPriority w:val="99"/>
    <w:qFormat/>
    <w:pPr>
      <w:spacing w:after="160" w:line="240" w:lineRule="exact"/>
    </w:pPr>
    <w:rPr>
      <w:rFonts w:ascii="Verdana" w:hAnsi="Verdana"/>
      <w:sz w:val="20"/>
      <w:lang w:eastAsia="en-US"/>
    </w:rPr>
  </w:style>
  <w:style w:type="paragraph" w:customStyle="1" w:styleId="afffffffffffffffffffffffb">
    <w:name w:val="正文王"/>
    <w:basedOn w:val="af8"/>
    <w:qFormat/>
    <w:pPr>
      <w:spacing w:line="440" w:lineRule="exact"/>
    </w:pPr>
    <w:rPr>
      <w:rFonts w:ascii="Arial" w:hAnsi="Arial"/>
      <w:kern w:val="0"/>
      <w:szCs w:val="20"/>
    </w:rPr>
  </w:style>
  <w:style w:type="paragraph" w:customStyle="1" w:styleId="225">
    <w:name w:val="样式 标题 2 + 首行缩进:  2 字符"/>
    <w:basedOn w:val="12"/>
    <w:uiPriority w:val="99"/>
    <w:qFormat/>
    <w:pPr>
      <w:keepLines w:val="0"/>
      <w:snapToGrid w:val="0"/>
      <w:spacing w:beforeLines="300" w:before="936" w:afterLines="150" w:after="468" w:line="520" w:lineRule="exact"/>
      <w:jc w:val="center"/>
      <w:textAlignment w:val="auto"/>
    </w:pPr>
    <w:rPr>
      <w:rFonts w:eastAsia="华文隶书"/>
      <w:spacing w:val="-22"/>
    </w:rPr>
  </w:style>
  <w:style w:type="paragraph" w:customStyle="1" w:styleId="077207">
    <w:name w:val="样式 首行缩进:  0.77 厘米 行距: 固定值 20 磅7"/>
    <w:basedOn w:val="a2"/>
    <w:uiPriority w:val="99"/>
    <w:qFormat/>
    <w:pPr>
      <w:spacing w:line="360" w:lineRule="auto"/>
      <w:ind w:firstLineChars="200" w:firstLine="480"/>
      <w:jc w:val="both"/>
    </w:pPr>
    <w:rPr>
      <w:sz w:val="24"/>
    </w:rPr>
  </w:style>
  <w:style w:type="paragraph" w:customStyle="1" w:styleId="xl74">
    <w:name w:val="xl74"/>
    <w:basedOn w:val="a2"/>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4"/>
    </w:rPr>
  </w:style>
  <w:style w:type="paragraph" w:customStyle="1" w:styleId="CharCharCharCharCharChar13">
    <w:name w:val="Char Char Char Char Char Char13"/>
    <w:basedOn w:val="a2"/>
    <w:uiPriority w:val="99"/>
    <w:qFormat/>
    <w:rPr>
      <w:rFonts w:ascii="Calibri" w:eastAsia="宋体"/>
      <w:szCs w:val="22"/>
    </w:rPr>
  </w:style>
  <w:style w:type="paragraph" w:customStyle="1" w:styleId="afffffffffffffffffffffffc">
    <w:name w:val="正文（左悬挂）"/>
    <w:basedOn w:val="a2"/>
    <w:uiPriority w:val="99"/>
    <w:qFormat/>
    <w:pPr>
      <w:spacing w:line="360" w:lineRule="auto"/>
      <w:ind w:firstLineChars="200" w:firstLine="480"/>
      <w:jc w:val="both"/>
    </w:pPr>
    <w:rPr>
      <w:rFonts w:ascii="宋体" w:hAnsi="宋体"/>
      <w:snapToGrid w:val="0"/>
      <w:kern w:val="15"/>
      <w:sz w:val="24"/>
    </w:rPr>
  </w:style>
  <w:style w:type="paragraph" w:customStyle="1" w:styleId="169">
    <w:name w:val="样式 首行缩进:  1.69 厘米"/>
    <w:basedOn w:val="a2"/>
    <w:uiPriority w:val="99"/>
    <w:qFormat/>
    <w:pPr>
      <w:spacing w:before="60"/>
      <w:ind w:firstLine="960"/>
      <w:jc w:val="both"/>
      <w:textAlignment w:val="baseline"/>
    </w:pPr>
    <w:rPr>
      <w:rFonts w:eastAsia="Times New Roman" w:cs="宋体"/>
      <w:sz w:val="24"/>
    </w:rPr>
  </w:style>
  <w:style w:type="paragraph" w:customStyle="1" w:styleId="Normal10">
    <w:name w:val="Normal1"/>
    <w:qFormat/>
    <w:pPr>
      <w:widowControl w:val="0"/>
      <w:adjustRightInd w:val="0"/>
      <w:spacing w:line="360" w:lineRule="atLeast"/>
      <w:textAlignment w:val="baseline"/>
    </w:pPr>
    <w:rPr>
      <w:rFonts w:ascii="Times New Roman" w:eastAsia="宋体" w:hAnsi="Times New Roman" w:cs="宋体"/>
      <w:sz w:val="34"/>
      <w:szCs w:val="34"/>
    </w:rPr>
  </w:style>
  <w:style w:type="paragraph" w:customStyle="1" w:styleId="4f6">
    <w:name w:val="正文首行缩进4"/>
    <w:basedOn w:val="af4"/>
    <w:uiPriority w:val="99"/>
    <w:qFormat/>
    <w:pPr>
      <w:ind w:firstLineChars="100" w:firstLine="420"/>
      <w:jc w:val="both"/>
    </w:pPr>
    <w:rPr>
      <w:rFonts w:ascii="宋体" w:hAnsi="宋体"/>
      <w:spacing w:val="-20"/>
      <w:kern w:val="0"/>
      <w:sz w:val="18"/>
      <w:szCs w:val="24"/>
    </w:rPr>
  </w:style>
  <w:style w:type="paragraph" w:customStyle="1" w:styleId="CharCharCharCharCharCharCharCharCharCharCharChar1">
    <w:name w:val="Char Char Char Char Char Char Char Char Char Char Char Char1"/>
    <w:basedOn w:val="a2"/>
    <w:uiPriority w:val="99"/>
    <w:qFormat/>
    <w:pPr>
      <w:jc w:val="both"/>
    </w:pPr>
    <w:rPr>
      <w:sz w:val="24"/>
    </w:rPr>
  </w:style>
  <w:style w:type="paragraph" w:customStyle="1" w:styleId="Char1CharCharCharCharCharCharCharCharChar2">
    <w:name w:val="Char1 Char Char Char Char Char Char Char Char Char2"/>
    <w:basedOn w:val="a2"/>
    <w:uiPriority w:val="99"/>
    <w:qFormat/>
    <w:pPr>
      <w:jc w:val="both"/>
    </w:pPr>
    <w:rPr>
      <w:rFonts w:ascii="Times New Roman"/>
    </w:rPr>
  </w:style>
  <w:style w:type="paragraph" w:customStyle="1" w:styleId="reader-word-layer">
    <w:name w:val="reader-word-layer"/>
    <w:basedOn w:val="a2"/>
    <w:qFormat/>
    <w:pPr>
      <w:spacing w:before="100" w:beforeAutospacing="1" w:after="100" w:afterAutospacing="1"/>
    </w:pPr>
    <w:rPr>
      <w:rFonts w:ascii="宋体" w:hAnsi="宋体" w:cs="宋体"/>
      <w:sz w:val="24"/>
    </w:rPr>
  </w:style>
  <w:style w:type="paragraph" w:customStyle="1" w:styleId="afffffffffffffffffffffffd">
    <w:name w:val="方框图"/>
    <w:basedOn w:val="a2"/>
    <w:qFormat/>
    <w:pPr>
      <w:spacing w:line="240" w:lineRule="exact"/>
      <w:jc w:val="center"/>
    </w:pPr>
    <w:rPr>
      <w:rFonts w:eastAsia="方正仿宋_GBK"/>
    </w:rPr>
  </w:style>
  <w:style w:type="paragraph" w:customStyle="1" w:styleId="Char1CharCharCharCharCharCharCharCharCharCharCharCharCharCharChar2">
    <w:name w:val="Char1 Char Char Char Char Char Char Char Char Char Char Char Char Char Char Char2"/>
    <w:basedOn w:val="a2"/>
    <w:uiPriority w:val="99"/>
    <w:qFormat/>
    <w:pPr>
      <w:jc w:val="both"/>
    </w:pPr>
  </w:style>
  <w:style w:type="paragraph" w:customStyle="1" w:styleId="CM112">
    <w:name w:val="CM112"/>
    <w:basedOn w:val="Default"/>
    <w:next w:val="Default"/>
    <w:pPr>
      <w:spacing w:beforeLines="0" w:before="0" w:afterLines="0" w:after="0" w:line="240" w:lineRule="auto"/>
      <w:ind w:firstLineChars="0" w:firstLine="0"/>
      <w:jc w:val="both"/>
    </w:pPr>
    <w:rPr>
      <w:rFonts w:ascii="黑体" w:eastAsia="黑体" w:cs="Times New Roman"/>
      <w:color w:val="auto"/>
    </w:rPr>
  </w:style>
  <w:style w:type="paragraph" w:customStyle="1" w:styleId="1CharCharCharCharChar">
    <w:name w:val="1 Char Char Char Char Char"/>
    <w:basedOn w:val="a2"/>
    <w:qFormat/>
    <w:rPr>
      <w:sz w:val="24"/>
    </w:rPr>
  </w:style>
  <w:style w:type="paragraph" w:customStyle="1" w:styleId="6d">
    <w:name w:val="表格内字体6"/>
    <w:basedOn w:val="a2"/>
    <w:uiPriority w:val="99"/>
    <w:qFormat/>
    <w:pPr>
      <w:jc w:val="center"/>
    </w:pPr>
    <w:rPr>
      <w:rFonts w:ascii="宋体" w:cs="宋体"/>
    </w:rPr>
  </w:style>
  <w:style w:type="paragraph" w:customStyle="1" w:styleId="2214">
    <w:name w:val="正文文本缩进 221"/>
    <w:basedOn w:val="a2"/>
    <w:uiPriority w:val="99"/>
    <w:qFormat/>
    <w:pPr>
      <w:spacing w:after="120" w:line="480" w:lineRule="auto"/>
      <w:ind w:leftChars="200" w:left="200"/>
      <w:jc w:val="both"/>
    </w:pPr>
    <w:rPr>
      <w:sz w:val="20"/>
    </w:rPr>
  </w:style>
  <w:style w:type="paragraph" w:customStyle="1" w:styleId="2ffff5">
    <w:name w:val="普通(网站)2"/>
    <w:basedOn w:val="a2"/>
    <w:uiPriority w:val="99"/>
    <w:qFormat/>
    <w:pPr>
      <w:spacing w:before="100" w:after="100"/>
      <w:textAlignment w:val="baseline"/>
    </w:pPr>
    <w:rPr>
      <w:rFonts w:ascii="宋体" w:hAnsi="宋体"/>
      <w:sz w:val="24"/>
    </w:rPr>
  </w:style>
  <w:style w:type="paragraph" w:customStyle="1" w:styleId="CharCharCharCharCharCharCharCharCharCharCharChar2">
    <w:name w:val="Char Char Char Char Char Char Char Char Char Char Char Char2"/>
    <w:basedOn w:val="a2"/>
    <w:uiPriority w:val="99"/>
    <w:qFormat/>
    <w:pPr>
      <w:spacing w:line="480" w:lineRule="exact"/>
      <w:jc w:val="both"/>
    </w:pPr>
    <w:rPr>
      <w:rFonts w:ascii="Times New Roman"/>
    </w:rPr>
  </w:style>
  <w:style w:type="paragraph" w:customStyle="1" w:styleId="510">
    <w:name w:val="标题51"/>
    <w:basedOn w:val="a2"/>
    <w:uiPriority w:val="99"/>
    <w:qFormat/>
    <w:pPr>
      <w:snapToGrid w:val="0"/>
      <w:spacing w:line="360" w:lineRule="auto"/>
      <w:jc w:val="both"/>
    </w:pPr>
    <w:rPr>
      <w:rFonts w:ascii="仿宋_GB2312" w:eastAsia="仿宋_GB2312" w:hint="eastAsia"/>
    </w:rPr>
  </w:style>
  <w:style w:type="paragraph" w:customStyle="1" w:styleId="afffffffffffffffffffffffe">
    <w:name w:val="样式 纯文本 + (符号) 宋体 加粗 居中"/>
    <w:basedOn w:val="af8"/>
    <w:uiPriority w:val="99"/>
    <w:qFormat/>
    <w:pPr>
      <w:jc w:val="center"/>
    </w:pPr>
    <w:rPr>
      <w:rFonts w:hAnsi="宋体" w:cs="宋体"/>
      <w:b/>
      <w:bCs/>
      <w:kern w:val="0"/>
      <w:sz w:val="21"/>
    </w:rPr>
  </w:style>
  <w:style w:type="paragraph" w:customStyle="1" w:styleId="CharCharCharCharCharCharCharCharChar1CharCharCharCharCharChar1CharCharCharChar">
    <w:name w:val="Char Char Char Char Char Char Char Char Char1 Char Char Char Char Char Char1 Char Char Char Char"/>
    <w:basedOn w:val="a2"/>
    <w:qFormat/>
    <w:pPr>
      <w:jc w:val="both"/>
    </w:pPr>
  </w:style>
  <w:style w:type="paragraph" w:customStyle="1" w:styleId="affffffffffffffffffffffff">
    <w:name w:val="图标标题"/>
    <w:basedOn w:val="afffffffffffffff5"/>
    <w:next w:val="afffffffffffffff5"/>
    <w:uiPriority w:val="99"/>
    <w:qFormat/>
    <w:pPr>
      <w:ind w:firstLineChars="0" w:firstLine="0"/>
      <w:jc w:val="center"/>
    </w:pPr>
    <w:rPr>
      <w:b/>
      <w:sz w:val="21"/>
    </w:rPr>
  </w:style>
  <w:style w:type="paragraph" w:customStyle="1" w:styleId="Char2CharCharChar2">
    <w:name w:val="Char2 Char Char Char2"/>
    <w:basedOn w:val="a2"/>
    <w:uiPriority w:val="99"/>
    <w:semiHidden/>
    <w:qFormat/>
    <w:pPr>
      <w:jc w:val="both"/>
    </w:pPr>
    <w:rPr>
      <w:rFonts w:ascii="Times New Roman"/>
    </w:rPr>
  </w:style>
  <w:style w:type="paragraph" w:customStyle="1" w:styleId="1fffffff">
    <w:name w:val="范式1"/>
    <w:basedOn w:val="12"/>
    <w:uiPriority w:val="99"/>
    <w:qFormat/>
    <w:pPr>
      <w:snapToGrid w:val="0"/>
      <w:spacing w:after="360"/>
      <w:jc w:val="both"/>
      <w:textAlignment w:val="auto"/>
    </w:pPr>
    <w:rPr>
      <w:rFonts w:eastAsia="宋体"/>
      <w:sz w:val="44"/>
      <w:szCs w:val="44"/>
    </w:rPr>
  </w:style>
  <w:style w:type="paragraph" w:customStyle="1" w:styleId="21f1">
    <w:name w:val="日期21"/>
    <w:basedOn w:val="a2"/>
    <w:next w:val="a2"/>
    <w:uiPriority w:val="99"/>
    <w:qFormat/>
    <w:pPr>
      <w:snapToGrid w:val="0"/>
      <w:spacing w:before="120" w:after="120" w:line="360" w:lineRule="auto"/>
      <w:ind w:firstLineChars="200" w:firstLine="200"/>
      <w:jc w:val="both"/>
      <w:textAlignment w:val="baseline"/>
    </w:pPr>
    <w:rPr>
      <w:rFonts w:ascii="Times New Roman"/>
    </w:rPr>
  </w:style>
  <w:style w:type="paragraph" w:customStyle="1" w:styleId="1420">
    <w:name w:val="样式 样式 宋体 小四 行距: 多倍行距 1.4 字行 + 首行缩进:  2 字符"/>
    <w:basedOn w:val="a2"/>
    <w:uiPriority w:val="99"/>
    <w:qFormat/>
    <w:pPr>
      <w:spacing w:line="360" w:lineRule="auto"/>
      <w:ind w:firstLineChars="200" w:firstLine="200"/>
      <w:jc w:val="both"/>
    </w:pPr>
    <w:rPr>
      <w:rFonts w:ascii="宋体" w:hAnsi="宋体"/>
      <w:kern w:val="28"/>
    </w:rPr>
  </w:style>
  <w:style w:type="paragraph" w:customStyle="1" w:styleId="Char1CharCharChar5">
    <w:name w:val="Char1 Char Char Char5"/>
    <w:basedOn w:val="a2"/>
    <w:uiPriority w:val="99"/>
    <w:qFormat/>
    <w:pPr>
      <w:jc w:val="both"/>
    </w:pPr>
  </w:style>
  <w:style w:type="paragraph" w:customStyle="1" w:styleId="12f5">
    <w:name w:val="12点"/>
    <w:basedOn w:val="a2"/>
    <w:uiPriority w:val="99"/>
    <w:qFormat/>
    <w:pPr>
      <w:snapToGrid w:val="0"/>
      <w:spacing w:line="300" w:lineRule="auto"/>
      <w:ind w:firstLineChars="200" w:firstLine="560"/>
      <w:jc w:val="both"/>
    </w:pPr>
    <w:rPr>
      <w:rFonts w:ascii="宋体" w:hAnsi="宋体"/>
      <w:szCs w:val="28"/>
    </w:rPr>
  </w:style>
  <w:style w:type="paragraph" w:customStyle="1" w:styleId="CharChar1CharCharCharChar">
    <w:name w:val="Char Char1 Char Char Char Char"/>
    <w:basedOn w:val="a2"/>
    <w:pPr>
      <w:jc w:val="both"/>
    </w:pPr>
    <w:rPr>
      <w:sz w:val="24"/>
    </w:rPr>
  </w:style>
  <w:style w:type="paragraph" w:customStyle="1" w:styleId="ctitle">
    <w:name w:val="ctitle"/>
    <w:basedOn w:val="a2"/>
    <w:uiPriority w:val="99"/>
    <w:qFormat/>
    <w:pPr>
      <w:snapToGrid w:val="0"/>
      <w:spacing w:before="100" w:beforeAutospacing="1" w:after="100" w:afterAutospacing="1" w:line="360" w:lineRule="auto"/>
      <w:ind w:firstLineChars="200" w:firstLine="200"/>
    </w:pPr>
    <w:rPr>
      <w:rFonts w:hAnsi="Arial" w:cs="Arial"/>
      <w:b/>
      <w:bCs/>
      <w:color w:val="990000"/>
      <w:sz w:val="30"/>
      <w:szCs w:val="30"/>
    </w:rPr>
  </w:style>
  <w:style w:type="paragraph" w:customStyle="1" w:styleId="CharChar1Char2">
    <w:name w:val="Char Char1 Char2"/>
    <w:basedOn w:val="a2"/>
    <w:uiPriority w:val="99"/>
    <w:qFormat/>
    <w:pPr>
      <w:jc w:val="both"/>
    </w:pPr>
    <w:rPr>
      <w:rFonts w:ascii="Times New Roman"/>
    </w:rPr>
  </w:style>
  <w:style w:type="paragraph" w:customStyle="1" w:styleId="SectionNum">
    <w:name w:val="SectionNum"/>
    <w:basedOn w:val="a2"/>
    <w:uiPriority w:val="99"/>
    <w:qFormat/>
    <w:pPr>
      <w:keepNext/>
      <w:tabs>
        <w:tab w:val="left" w:pos="570"/>
      </w:tabs>
      <w:ind w:left="570" w:hanging="570"/>
      <w:jc w:val="both"/>
    </w:pPr>
    <w:rPr>
      <w:rFonts w:hAnsi="Arial"/>
      <w:b/>
      <w:bCs/>
      <w:sz w:val="24"/>
      <w:lang w:eastAsia="en-US"/>
    </w:rPr>
  </w:style>
  <w:style w:type="paragraph" w:customStyle="1" w:styleId="chen3">
    <w:name w:val="谏壁表头（chen）"/>
    <w:basedOn w:val="afffffffffffffffffff9"/>
    <w:qFormat/>
    <w:pPr>
      <w:ind w:firstLine="200"/>
    </w:pPr>
    <w:rPr>
      <w:bCs/>
    </w:rPr>
  </w:style>
  <w:style w:type="paragraph" w:customStyle="1" w:styleId="1fffffff0">
    <w:name w:val="(文字) (文字)1"/>
    <w:basedOn w:val="a2"/>
    <w:uiPriority w:val="99"/>
    <w:qFormat/>
    <w:pPr>
      <w:jc w:val="both"/>
    </w:pPr>
  </w:style>
  <w:style w:type="paragraph" w:customStyle="1" w:styleId="affffffffffffffffffffffff0">
    <w:name w:val="正式表格"/>
    <w:basedOn w:val="a2"/>
    <w:uiPriority w:val="99"/>
    <w:qFormat/>
    <w:pPr>
      <w:tabs>
        <w:tab w:val="center" w:pos="4422"/>
      </w:tabs>
      <w:snapToGrid w:val="0"/>
      <w:spacing w:before="100" w:beforeAutospacing="1" w:after="100" w:afterAutospacing="1" w:line="240" w:lineRule="exact"/>
      <w:jc w:val="center"/>
    </w:pPr>
    <w:rPr>
      <w:rFonts w:hAnsi="Arial" w:cs="Arial"/>
      <w:snapToGrid w:val="0"/>
    </w:rPr>
  </w:style>
  <w:style w:type="paragraph" w:customStyle="1" w:styleId="TableTitleChar1Char">
    <w:name w:val="Table Title Char1 Char"/>
    <w:basedOn w:val="a2"/>
    <w:uiPriority w:val="99"/>
    <w:qFormat/>
    <w:pPr>
      <w:snapToGrid w:val="0"/>
      <w:spacing w:before="120" w:after="120" w:line="400" w:lineRule="exact"/>
      <w:jc w:val="center"/>
    </w:pPr>
    <w:rPr>
      <w:sz w:val="24"/>
      <w:lang w:eastAsia="en-US"/>
    </w:rPr>
  </w:style>
  <w:style w:type="paragraph" w:customStyle="1" w:styleId="affffffffffffffffffffffff1">
    <w:name w:val="黑点"/>
    <w:basedOn w:val="a2"/>
    <w:qFormat/>
    <w:pPr>
      <w:tabs>
        <w:tab w:val="left" w:pos="425"/>
        <w:tab w:val="left" w:pos="600"/>
        <w:tab w:val="left" w:pos="2100"/>
      </w:tabs>
      <w:spacing w:line="360" w:lineRule="auto"/>
      <w:ind w:left="2100" w:hanging="425"/>
      <w:textAlignment w:val="baseline"/>
    </w:pPr>
    <w:rPr>
      <w:rFonts w:ascii="宋体" w:hAnsi="宋体"/>
      <w:color w:val="000000"/>
      <w:sz w:val="24"/>
    </w:rPr>
  </w:style>
  <w:style w:type="paragraph" w:customStyle="1" w:styleId="4035">
    <w:name w:val="样式 表头4 + 段前: 0.35 行"/>
    <w:basedOn w:val="a2"/>
    <w:uiPriority w:val="99"/>
    <w:qFormat/>
    <w:pPr>
      <w:snapToGrid w:val="0"/>
      <w:spacing w:beforeLines="50" w:line="520" w:lineRule="atLeast"/>
    </w:pPr>
    <w:rPr>
      <w:rFonts w:cs="宋体"/>
      <w:b/>
      <w:bCs/>
    </w:rPr>
  </w:style>
  <w:style w:type="paragraph" w:customStyle="1" w:styleId="Char1CharCharCharCharCharCharCharCharCharCharCharChar3">
    <w:name w:val="Char1 Char Char Char Char Char Char Char Char Char Char Char Char3"/>
    <w:basedOn w:val="a2"/>
    <w:uiPriority w:val="99"/>
    <w:qFormat/>
    <w:pPr>
      <w:jc w:val="both"/>
    </w:pPr>
  </w:style>
  <w:style w:type="paragraph" w:customStyle="1" w:styleId="Affffffffffffffffffffffff2">
    <w:name w:val="A标题"/>
    <w:next w:val="a2"/>
    <w:uiPriority w:val="99"/>
    <w:qFormat/>
    <w:pPr>
      <w:spacing w:before="100" w:beforeAutospacing="1" w:after="100" w:afterAutospacing="1" w:line="360" w:lineRule="auto"/>
      <w:jc w:val="center"/>
      <w:outlineLvl w:val="0"/>
    </w:pPr>
    <w:rPr>
      <w:rFonts w:ascii="Times New Roman" w:eastAsia="黑体" w:hAnsi="Times New Roman" w:cs="Times New Roman"/>
      <w:b/>
      <w:sz w:val="32"/>
    </w:rPr>
  </w:style>
  <w:style w:type="paragraph" w:customStyle="1" w:styleId="xl50">
    <w:name w:val="xl50"/>
    <w:basedOn w:val="a2"/>
    <w:qFormat/>
    <w:pPr>
      <w:widowControl/>
      <w:pBdr>
        <w:top w:val="single" w:sz="4" w:space="0" w:color="auto"/>
        <w:left w:val="single" w:sz="12" w:space="0" w:color="auto"/>
        <w:bottom w:val="single" w:sz="12"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sz w:val="24"/>
    </w:rPr>
  </w:style>
  <w:style w:type="paragraph" w:customStyle="1" w:styleId="11f3">
    <w:name w:val="纯文本11"/>
    <w:basedOn w:val="a2"/>
    <w:qFormat/>
    <w:pPr>
      <w:tabs>
        <w:tab w:val="left" w:pos="360"/>
      </w:tabs>
      <w:snapToGrid w:val="0"/>
      <w:spacing w:line="300" w:lineRule="auto"/>
      <w:ind w:firstLineChars="199" w:firstLine="558"/>
      <w:textAlignment w:val="baseline"/>
    </w:pPr>
    <w:rPr>
      <w:rFonts w:hAnsi="宋体"/>
      <w:b/>
      <w:color w:val="000000"/>
      <w:sz w:val="24"/>
    </w:rPr>
  </w:style>
  <w:style w:type="paragraph" w:customStyle="1" w:styleId="CharCharCharChar1CharCharCharCharCharCharChar">
    <w:name w:val="Char Char Char Char1 Char Char Char Char Char Char Char"/>
    <w:basedOn w:val="a2"/>
    <w:uiPriority w:val="99"/>
    <w:qFormat/>
    <w:pPr>
      <w:tabs>
        <w:tab w:val="left" w:pos="360"/>
      </w:tabs>
      <w:snapToGrid w:val="0"/>
      <w:spacing w:line="360" w:lineRule="auto"/>
      <w:jc w:val="both"/>
    </w:pPr>
    <w:rPr>
      <w:rFonts w:eastAsia="仿宋_GB2312" w:cs="宋体"/>
      <w:sz w:val="24"/>
    </w:rPr>
  </w:style>
  <w:style w:type="paragraph" w:customStyle="1" w:styleId="CharCharChar1CharCharCharChar8">
    <w:name w:val="Char Char Char1 Char Char Char Char8"/>
    <w:basedOn w:val="a2"/>
    <w:uiPriority w:val="99"/>
    <w:qFormat/>
    <w:pPr>
      <w:spacing w:line="360" w:lineRule="auto"/>
      <w:jc w:val="both"/>
    </w:pPr>
  </w:style>
  <w:style w:type="paragraph" w:customStyle="1" w:styleId="21f2">
    <w:name w:val="正文文本缩进 21"/>
    <w:basedOn w:val="a2"/>
    <w:qFormat/>
    <w:pPr>
      <w:spacing w:after="120" w:line="480" w:lineRule="auto"/>
      <w:ind w:left="420"/>
      <w:jc w:val="both"/>
      <w:textAlignment w:val="baseline"/>
    </w:pPr>
    <w:rPr>
      <w:rFonts w:ascii="宋体" w:hAnsi="宋体" w:hint="eastAsia"/>
      <w:sz w:val="24"/>
    </w:rPr>
  </w:style>
  <w:style w:type="paragraph" w:customStyle="1" w:styleId="1fffffff1">
    <w:name w:val="样式 标题 1 + 两端对齐"/>
    <w:basedOn w:val="12"/>
    <w:qFormat/>
    <w:pPr>
      <w:keepNext w:val="0"/>
      <w:keepLines w:val="0"/>
      <w:pageBreakBefore/>
      <w:tabs>
        <w:tab w:val="left" w:pos="420"/>
      </w:tabs>
      <w:snapToGrid w:val="0"/>
      <w:spacing w:line="300" w:lineRule="auto"/>
      <w:jc w:val="center"/>
      <w:textAlignment w:val="auto"/>
    </w:pPr>
    <w:rPr>
      <w:rFonts w:ascii="仿宋_GB2312" w:eastAsia="仿宋_GB2312" w:cs="宋体"/>
      <w:bCs w:val="0"/>
      <w:snapToGrid w:val="0"/>
      <w:kern w:val="0"/>
      <w:sz w:val="32"/>
      <w:szCs w:val="32"/>
    </w:rPr>
  </w:style>
  <w:style w:type="paragraph" w:customStyle="1" w:styleId="CharChar37">
    <w:name w:val="Char Char37"/>
    <w:basedOn w:val="a2"/>
    <w:uiPriority w:val="99"/>
    <w:qFormat/>
    <w:pPr>
      <w:ind w:firstLineChars="200" w:firstLine="200"/>
      <w:jc w:val="both"/>
    </w:pPr>
  </w:style>
  <w:style w:type="paragraph" w:customStyle="1" w:styleId="xl84">
    <w:name w:val="xl84"/>
    <w:basedOn w:val="a2"/>
    <w:qFormat/>
    <w:pPr>
      <w:pBdr>
        <w:left w:val="single" w:sz="4" w:space="0" w:color="auto"/>
        <w:right w:val="single" w:sz="4" w:space="0" w:color="auto"/>
      </w:pBdr>
      <w:spacing w:before="100" w:beforeAutospacing="1" w:after="100" w:afterAutospacing="1"/>
      <w:jc w:val="center"/>
      <w:textAlignment w:val="center"/>
    </w:pPr>
    <w:rPr>
      <w:rFonts w:ascii="宋体" w:hAnsi="宋体" w:cs="宋体"/>
      <w:sz w:val="24"/>
    </w:rPr>
  </w:style>
  <w:style w:type="paragraph" w:customStyle="1" w:styleId="ParaCharCharCharChar">
    <w:name w:val="默认段落字体 Para Char Char Char Char"/>
    <w:basedOn w:val="a2"/>
    <w:qFormat/>
    <w:pPr>
      <w:spacing w:line="360" w:lineRule="auto"/>
      <w:ind w:firstLineChars="200" w:firstLine="200"/>
    </w:pPr>
    <w:rPr>
      <w:rFonts w:ascii="宋体" w:hAnsi="宋体" w:cs="宋体"/>
      <w:sz w:val="24"/>
    </w:rPr>
  </w:style>
  <w:style w:type="paragraph" w:customStyle="1" w:styleId="CharCharCharCharCharCharCharCharChar1Char1">
    <w:name w:val="Char Char Char Char Char Char Char Char Char1 Char1"/>
    <w:basedOn w:val="a2"/>
    <w:uiPriority w:val="99"/>
    <w:qFormat/>
    <w:pPr>
      <w:jc w:val="both"/>
    </w:pPr>
    <w:rPr>
      <w:sz w:val="24"/>
    </w:rPr>
  </w:style>
  <w:style w:type="paragraph" w:customStyle="1" w:styleId="3fff0">
    <w:name w:val="3标题(治)"/>
    <w:basedOn w:val="32"/>
    <w:uiPriority w:val="99"/>
    <w:qFormat/>
    <w:pPr>
      <w:spacing w:before="0" w:after="0" w:line="360" w:lineRule="auto"/>
      <w:textAlignment w:val="baseline"/>
    </w:pPr>
    <w:rPr>
      <w:rFonts w:ascii="Times New Roman" w:eastAsia="黑体"/>
      <w:bCs w:val="0"/>
      <w:sz w:val="28"/>
      <w:szCs w:val="28"/>
    </w:rPr>
  </w:style>
  <w:style w:type="paragraph" w:customStyle="1" w:styleId="3fff1">
    <w:name w:val="标题3*"/>
    <w:basedOn w:val="32"/>
    <w:uiPriority w:val="99"/>
    <w:qFormat/>
    <w:pPr>
      <w:keepNext w:val="0"/>
      <w:keepLines w:val="0"/>
      <w:tabs>
        <w:tab w:val="left" w:pos="-315"/>
        <w:tab w:val="left" w:pos="1260"/>
      </w:tabs>
      <w:overflowPunct w:val="0"/>
      <w:spacing w:before="120" w:after="120" w:line="420" w:lineRule="atLeast"/>
      <w:ind w:left="1260" w:hanging="420"/>
      <w:textAlignment w:val="baseline"/>
    </w:pPr>
    <w:rPr>
      <w:rFonts w:ascii="黑体" w:eastAsia="黑体"/>
      <w:b w:val="0"/>
      <w:bCs w:val="0"/>
      <w:sz w:val="26"/>
      <w:szCs w:val="20"/>
    </w:rPr>
  </w:style>
  <w:style w:type="paragraph" w:customStyle="1" w:styleId="q4">
    <w:name w:val="q4"/>
    <w:basedOn w:val="a2"/>
    <w:uiPriority w:val="99"/>
    <w:qFormat/>
    <w:pPr>
      <w:keepNext/>
      <w:keepLines/>
      <w:tabs>
        <w:tab w:val="left" w:pos="851"/>
      </w:tabs>
      <w:spacing w:before="120" w:after="120" w:line="300" w:lineRule="exact"/>
      <w:ind w:firstLine="510"/>
      <w:textAlignment w:val="baseline"/>
    </w:pPr>
    <w:rPr>
      <w:rFonts w:hAnsi="Arial"/>
      <w:b/>
      <w:color w:val="000000"/>
      <w:kern w:val="44"/>
      <w:sz w:val="24"/>
    </w:rPr>
  </w:style>
  <w:style w:type="paragraph" w:customStyle="1" w:styleId="affffffffffffffffffffffff3">
    <w:name w:val="样式 列表 + 居中"/>
    <w:basedOn w:val="aff2"/>
    <w:uiPriority w:val="99"/>
    <w:qFormat/>
    <w:pPr>
      <w:snapToGrid w:val="0"/>
      <w:spacing w:line="240" w:lineRule="auto"/>
    </w:pPr>
    <w:rPr>
      <w:rFonts w:ascii="Times New Roman" w:eastAsia="宋体"/>
      <w:sz w:val="21"/>
    </w:rPr>
  </w:style>
  <w:style w:type="paragraph" w:customStyle="1" w:styleId="fahrw">
    <w:name w:val="fahrw"/>
    <w:basedOn w:val="Lauftext"/>
    <w:uiPriority w:val="99"/>
    <w:qFormat/>
    <w:pPr>
      <w:tabs>
        <w:tab w:val="left" w:pos="993"/>
        <w:tab w:val="left" w:pos="7655"/>
      </w:tabs>
    </w:pPr>
  </w:style>
  <w:style w:type="paragraph" w:customStyle="1" w:styleId="Lauftext">
    <w:name w:val="Lauftext"/>
    <w:uiPriority w:val="99"/>
    <w:qFormat/>
    <w:pPr>
      <w:tabs>
        <w:tab w:val="left" w:pos="2268"/>
        <w:tab w:val="left" w:pos="3402"/>
        <w:tab w:val="left" w:pos="4962"/>
        <w:tab w:val="left" w:pos="6521"/>
      </w:tabs>
      <w:overflowPunct w:val="0"/>
      <w:autoSpaceDE w:val="0"/>
      <w:autoSpaceDN w:val="0"/>
      <w:adjustRightInd w:val="0"/>
      <w:spacing w:line="194" w:lineRule="atLeast"/>
      <w:textAlignment w:val="baseline"/>
    </w:pPr>
    <w:rPr>
      <w:rFonts w:ascii="CorpoSLig" w:eastAsia="宋体" w:hAnsi="CorpoSLig" w:cs="Times New Roman"/>
      <w:sz w:val="16"/>
      <w:lang w:val="de-DE"/>
    </w:rPr>
  </w:style>
  <w:style w:type="paragraph" w:customStyle="1" w:styleId="4MHZ">
    <w:name w:val="标题4_MHZ"/>
    <w:basedOn w:val="a2"/>
    <w:next w:val="a2"/>
    <w:qFormat/>
    <w:pPr>
      <w:snapToGrid w:val="0"/>
      <w:spacing w:line="360" w:lineRule="auto"/>
      <w:ind w:firstLineChars="200" w:firstLine="482"/>
      <w:jc w:val="both"/>
    </w:pPr>
    <w:rPr>
      <w:b/>
      <w:bCs/>
      <w:sz w:val="24"/>
    </w:rPr>
  </w:style>
  <w:style w:type="paragraph" w:customStyle="1" w:styleId="CharCharCharCharCharCharCharCharChar1CharCharCharCharCharCharChar1">
    <w:name w:val="Char Char Char Char Char Char Char Char Char1 Char Char Char Char Char Char Char1"/>
    <w:basedOn w:val="a2"/>
    <w:uiPriority w:val="99"/>
    <w:qFormat/>
    <w:pPr>
      <w:snapToGrid w:val="0"/>
      <w:spacing w:line="360" w:lineRule="auto"/>
      <w:ind w:firstLineChars="200" w:firstLine="200"/>
      <w:jc w:val="both"/>
    </w:pPr>
    <w:rPr>
      <w:rFonts w:eastAsia="仿宋_GB2312"/>
      <w:sz w:val="24"/>
    </w:rPr>
  </w:style>
  <w:style w:type="paragraph" w:customStyle="1" w:styleId="2ffff6">
    <w:name w:val="样式 标题2宋体黑色 + 三号"/>
    <w:basedOn w:val="a2"/>
    <w:uiPriority w:val="99"/>
    <w:qFormat/>
    <w:pPr>
      <w:keepNext/>
      <w:keepLines/>
      <w:spacing w:before="240"/>
      <w:outlineLvl w:val="1"/>
    </w:pPr>
    <w:rPr>
      <w:rFonts w:eastAsia="黑体"/>
      <w:bCs/>
      <w:sz w:val="32"/>
      <w:szCs w:val="32"/>
    </w:rPr>
  </w:style>
  <w:style w:type="paragraph" w:customStyle="1" w:styleId="0772049">
    <w:name w:val="样式 首行缩进:  0.77 厘米 行距: 固定值 20 磅49"/>
    <w:basedOn w:val="a2"/>
    <w:uiPriority w:val="99"/>
    <w:qFormat/>
    <w:pPr>
      <w:spacing w:line="360" w:lineRule="auto"/>
      <w:ind w:firstLineChars="150" w:firstLine="360"/>
    </w:pPr>
    <w:rPr>
      <w:color w:val="FF0000"/>
      <w:sz w:val="24"/>
    </w:rPr>
  </w:style>
  <w:style w:type="paragraph" w:customStyle="1" w:styleId="6e">
    <w:name w:val="样式 题注 + 小四 居中 段前: 6 磅"/>
    <w:basedOn w:val="ac"/>
    <w:uiPriority w:val="99"/>
    <w:qFormat/>
    <w:pPr>
      <w:snapToGrid w:val="0"/>
      <w:spacing w:before="240"/>
      <w:jc w:val="center"/>
    </w:pPr>
    <w:rPr>
      <w:rFonts w:ascii="Arial" w:hAnsi="Arial" w:cs="宋体"/>
      <w:kern w:val="0"/>
      <w:sz w:val="24"/>
      <w:szCs w:val="20"/>
    </w:rPr>
  </w:style>
  <w:style w:type="paragraph" w:customStyle="1" w:styleId="Char2CharCharCharCharCharCharCharCharCharCharChar1CharCharCharCharCharCharChar4">
    <w:name w:val="Char2 Char Char Char Char Char Char Char Char Char Char Char1 Char Char Char Char Char Char Char4"/>
    <w:basedOn w:val="a2"/>
    <w:uiPriority w:val="99"/>
    <w:qFormat/>
    <w:pPr>
      <w:jc w:val="both"/>
    </w:pPr>
    <w:rPr>
      <w:sz w:val="24"/>
    </w:rPr>
  </w:style>
  <w:style w:type="paragraph" w:customStyle="1" w:styleId="affffffffffffffffffffffff4">
    <w:name w:val="条目"/>
    <w:basedOn w:val="af8"/>
    <w:next w:val="af4"/>
    <w:qFormat/>
    <w:pPr>
      <w:ind w:firstLine="567"/>
      <w:jc w:val="both"/>
      <w:outlineLvl w:val="4"/>
    </w:pPr>
    <w:rPr>
      <w:kern w:val="2"/>
      <w:szCs w:val="20"/>
    </w:rPr>
  </w:style>
  <w:style w:type="paragraph" w:customStyle="1" w:styleId="zw">
    <w:name w:val="zw"/>
    <w:basedOn w:val="a2"/>
    <w:qFormat/>
    <w:pPr>
      <w:spacing w:before="100" w:beforeAutospacing="1" w:after="100" w:afterAutospacing="1" w:line="440" w:lineRule="atLeast"/>
    </w:pPr>
    <w:rPr>
      <w:rFonts w:ascii="宋体" w:hAnsi="宋体" w:cs="宋体"/>
      <w:sz w:val="22"/>
      <w:szCs w:val="22"/>
    </w:rPr>
  </w:style>
  <w:style w:type="paragraph" w:customStyle="1" w:styleId="CharCharCharCharCharCharChar7">
    <w:name w:val="Char Char Char Char Char Char Char"/>
    <w:basedOn w:val="a2"/>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2">
    <w:name w:val="Char Char Char Char Char Char Char Char Char Char Char Char Char Char Char Char Char Char Char2"/>
    <w:basedOn w:val="a2"/>
    <w:uiPriority w:val="99"/>
    <w:qFormat/>
    <w:pPr>
      <w:jc w:val="both"/>
    </w:pPr>
  </w:style>
  <w:style w:type="paragraph" w:customStyle="1" w:styleId="Char4CharCharCharCharCharCharCharCharCharCharCharCharCharCharCharCharChar1CharCharCharCharCharChar1CharCharCharCharCharCharCharCharCharCharCharCharCharCharCharCharCharCharChar2">
    <w:name w:val="Char4 Char Char Char Char Char Char Char Char Char Char Char Char Char Char Char Char Char1 Char Char Char Char Char Char1 Char Char Char Char Char Char Char Char Char Char Char Char Char Char Char Char Char Char Char2"/>
    <w:basedOn w:val="a2"/>
    <w:uiPriority w:val="99"/>
    <w:qFormat/>
    <w:pPr>
      <w:spacing w:line="240" w:lineRule="exact"/>
      <w:ind w:firstLineChars="200" w:firstLine="200"/>
      <w:jc w:val="both"/>
    </w:pPr>
    <w:rPr>
      <w:rFonts w:ascii="Times New Roman"/>
      <w:szCs w:val="28"/>
    </w:rPr>
  </w:style>
  <w:style w:type="paragraph" w:customStyle="1" w:styleId="affffffffffffffffffffffff5">
    <w:name w:val="五号表格"/>
    <w:next w:val="a2"/>
    <w:qFormat/>
    <w:rPr>
      <w:rFonts w:ascii="Times New Roman" w:eastAsia="宋体" w:hAnsi="Times New Roman" w:cs="Times New Roman"/>
      <w:sz w:val="21"/>
    </w:rPr>
  </w:style>
  <w:style w:type="paragraph" w:customStyle="1" w:styleId="p2">
    <w:name w:val="p2"/>
    <w:basedOn w:val="a2"/>
    <w:uiPriority w:val="99"/>
    <w:qFormat/>
    <w:pPr>
      <w:spacing w:line="540" w:lineRule="atLeast"/>
      <w:ind w:firstLine="596"/>
      <w:jc w:val="both"/>
    </w:pPr>
    <w:rPr>
      <w:rFonts w:ascii="華康中楷體" w:eastAsia="華康中楷體" w:hint="eastAsia"/>
      <w:spacing w:val="20"/>
      <w:szCs w:val="28"/>
      <w:lang w:eastAsia="zh-TW"/>
    </w:rPr>
  </w:style>
  <w:style w:type="paragraph" w:customStyle="1" w:styleId="1fffffff2">
    <w:name w:val="样式 样式1 + 黑色"/>
    <w:basedOn w:val="a2"/>
    <w:uiPriority w:val="99"/>
    <w:qFormat/>
    <w:pPr>
      <w:spacing w:line="480" w:lineRule="exact"/>
      <w:ind w:firstLineChars="200" w:firstLine="480"/>
      <w:jc w:val="both"/>
    </w:pPr>
    <w:rPr>
      <w:color w:val="000000"/>
      <w:sz w:val="24"/>
    </w:rPr>
  </w:style>
  <w:style w:type="paragraph" w:customStyle="1" w:styleId="Char3CharCharCharCharCharChar4">
    <w:name w:val="Char3 Char Char Char Char Char Char4"/>
    <w:basedOn w:val="a2"/>
    <w:pPr>
      <w:jc w:val="both"/>
    </w:p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2"/>
    <w:uiPriority w:val="99"/>
    <w:qFormat/>
    <w:pPr>
      <w:spacing w:line="360" w:lineRule="auto"/>
      <w:ind w:firstLineChars="200" w:firstLine="200"/>
      <w:jc w:val="both"/>
    </w:pPr>
  </w:style>
  <w:style w:type="paragraph" w:customStyle="1" w:styleId="Char4CharCharCharCharCharCharCharCharChar4">
    <w:name w:val="Char4 Char Char Char Char Char Char Char Char Char4"/>
    <w:basedOn w:val="a2"/>
    <w:uiPriority w:val="99"/>
    <w:qFormat/>
    <w:pPr>
      <w:jc w:val="both"/>
    </w:pPr>
    <w:rPr>
      <w:sz w:val="24"/>
    </w:rPr>
  </w:style>
  <w:style w:type="paragraph" w:customStyle="1" w:styleId="421">
    <w:name w:val="标题 42"/>
    <w:basedOn w:val="a2"/>
    <w:next w:val="a2"/>
    <w:uiPriority w:val="99"/>
    <w:qFormat/>
    <w:pPr>
      <w:snapToGrid w:val="0"/>
      <w:jc w:val="both"/>
      <w:textAlignment w:val="baseline"/>
    </w:pPr>
    <w:rPr>
      <w:rFonts w:hint="eastAsia"/>
      <w:sz w:val="32"/>
    </w:rPr>
  </w:style>
  <w:style w:type="paragraph" w:customStyle="1" w:styleId="CS95">
    <w:name w:val="样式 样式 表头 + (中文) 文鼎CS中宋 小四 段后: 9.5 磅 + 两端对齐"/>
    <w:basedOn w:val="a2"/>
    <w:qFormat/>
    <w:pPr>
      <w:snapToGrid w:val="0"/>
      <w:spacing w:beforeLines="40" w:before="124" w:after="80" w:line="320" w:lineRule="atLeast"/>
      <w:ind w:firstLineChars="300" w:firstLine="300"/>
      <w:textAlignment w:val="baseline"/>
    </w:pPr>
    <w:rPr>
      <w:rFonts w:eastAsia="文鼎CS中宋" w:cs="宋体"/>
      <w:spacing w:val="8"/>
      <w:sz w:val="24"/>
    </w:rPr>
  </w:style>
  <w:style w:type="paragraph" w:customStyle="1" w:styleId="Char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 Char2"/>
    <w:basedOn w:val="a2"/>
    <w:uiPriority w:val="99"/>
    <w:qFormat/>
    <w:pPr>
      <w:jc w:val="both"/>
    </w:pPr>
  </w:style>
  <w:style w:type="paragraph" w:customStyle="1" w:styleId="1660">
    <w:name w:val="样式 标题1 + 段前: 6 磅 段后: 6 磅"/>
    <w:basedOn w:val="a2"/>
    <w:qFormat/>
    <w:pPr>
      <w:keepNext/>
      <w:keepLines/>
      <w:spacing w:before="120" w:after="120" w:line="500" w:lineRule="exact"/>
      <w:jc w:val="both"/>
      <w:outlineLvl w:val="0"/>
    </w:pPr>
    <w:rPr>
      <w:rFonts w:eastAsia="黑体" w:cs="宋体"/>
      <w:b/>
      <w:bCs/>
      <w:kern w:val="44"/>
      <w:sz w:val="30"/>
    </w:rPr>
  </w:style>
  <w:style w:type="paragraph" w:customStyle="1" w:styleId="CharChar3CharChar1">
    <w:name w:val="Char Char3 Char Char1"/>
    <w:basedOn w:val="a2"/>
    <w:uiPriority w:val="99"/>
    <w:qFormat/>
    <w:pPr>
      <w:jc w:val="both"/>
    </w:pPr>
    <w:rPr>
      <w:rFonts w:ascii="Times New Roman"/>
    </w:rPr>
  </w:style>
  <w:style w:type="paragraph" w:customStyle="1" w:styleId="Style20">
    <w:name w:val="_Style 2"/>
    <w:basedOn w:val="a2"/>
    <w:next w:val="39"/>
    <w:uiPriority w:val="99"/>
    <w:qFormat/>
    <w:pPr>
      <w:ind w:firstLine="576"/>
      <w:jc w:val="both"/>
      <w:textAlignment w:val="baseline"/>
    </w:pPr>
    <w:rPr>
      <w:rFonts w:ascii="宋体" w:hAnsi="宋体" w:hint="eastAsia"/>
      <w:sz w:val="24"/>
    </w:rPr>
  </w:style>
  <w:style w:type="paragraph" w:customStyle="1" w:styleId="CharCharCharChar1CharCharChar3">
    <w:name w:val="Char Char Char Char1 Char Char Char3"/>
    <w:basedOn w:val="a2"/>
    <w:uiPriority w:val="99"/>
    <w:qFormat/>
    <w:pPr>
      <w:jc w:val="both"/>
    </w:pPr>
  </w:style>
  <w:style w:type="paragraph" w:customStyle="1" w:styleId="affffffffffffffffffffffff6">
    <w:name w:val="报告正文文字"/>
    <w:basedOn w:val="a2"/>
    <w:uiPriority w:val="99"/>
    <w:qFormat/>
    <w:pPr>
      <w:spacing w:line="360" w:lineRule="auto"/>
      <w:ind w:firstLineChars="200" w:firstLine="560"/>
      <w:jc w:val="both"/>
    </w:pPr>
    <w:rPr>
      <w:rFonts w:ascii="仿宋_GB2312" w:eastAsia="仿宋_GB2312"/>
    </w:rPr>
  </w:style>
  <w:style w:type="paragraph" w:customStyle="1" w:styleId="Char1CharCharChar12">
    <w:name w:val="Char1 Char Char Char12"/>
    <w:basedOn w:val="a2"/>
    <w:uiPriority w:val="99"/>
    <w:qFormat/>
    <w:pPr>
      <w:jc w:val="both"/>
    </w:pPr>
    <w:rPr>
      <w:rFonts w:ascii="Times New Roman"/>
    </w:rPr>
  </w:style>
  <w:style w:type="paragraph" w:customStyle="1" w:styleId="Tabletext">
    <w:name w:val="Table text"/>
    <w:basedOn w:val="a2"/>
    <w:uiPriority w:val="99"/>
    <w:qFormat/>
    <w:pPr>
      <w:spacing w:before="80" w:after="80"/>
    </w:pPr>
    <w:rPr>
      <w:rFonts w:eastAsia="Times New Roman"/>
      <w:sz w:val="22"/>
      <w:lang w:eastAsia="en-US"/>
    </w:rPr>
  </w:style>
  <w:style w:type="paragraph" w:customStyle="1" w:styleId="023">
    <w:name w:val="样式 样式 列表 + 左侧:  0 厘米 悬挂缩进: 2 字符 + 红色 行距: 单倍行距"/>
    <w:basedOn w:val="020"/>
    <w:qFormat/>
    <w:pPr>
      <w:spacing w:line="240" w:lineRule="auto"/>
      <w:jc w:val="both"/>
    </w:pPr>
    <w:rPr>
      <w:b/>
    </w:rPr>
  </w:style>
  <w:style w:type="paragraph" w:customStyle="1" w:styleId="2250">
    <w:name w:val="样式 正文文本缩进正文文字缩进 + 四号 首行缩进:  2 字符 行距: 最小值 25 磅"/>
    <w:basedOn w:val="af5"/>
    <w:qFormat/>
    <w:pPr>
      <w:spacing w:after="0" w:line="500" w:lineRule="exact"/>
      <w:ind w:leftChars="0" w:left="0" w:firstLineChars="200" w:firstLine="200"/>
      <w:jc w:val="both"/>
    </w:pPr>
    <w:rPr>
      <w:rFonts w:cs="宋体"/>
      <w:sz w:val="28"/>
      <w:szCs w:val="20"/>
    </w:rPr>
  </w:style>
  <w:style w:type="paragraph" w:customStyle="1" w:styleId="ZW0">
    <w:name w:val="ZW"/>
    <w:basedOn w:val="a2"/>
    <w:uiPriority w:val="99"/>
    <w:qFormat/>
    <w:pPr>
      <w:spacing w:line="500" w:lineRule="exact"/>
      <w:ind w:firstLineChars="200" w:firstLine="200"/>
      <w:jc w:val="both"/>
      <w:textAlignment w:val="baseline"/>
    </w:pPr>
    <w:rPr>
      <w:color w:val="000000"/>
      <w:szCs w:val="28"/>
    </w:rPr>
  </w:style>
  <w:style w:type="paragraph" w:customStyle="1" w:styleId="106">
    <w:name w:val="表格内字体10"/>
    <w:basedOn w:val="a2"/>
    <w:uiPriority w:val="99"/>
    <w:qFormat/>
    <w:pPr>
      <w:jc w:val="center"/>
    </w:pPr>
    <w:rPr>
      <w:rFonts w:ascii="宋体" w:cs="宋体"/>
    </w:rPr>
  </w:style>
  <w:style w:type="paragraph" w:customStyle="1" w:styleId="Char3CharCharCharCharCharChar3">
    <w:name w:val="Char3 Char Char Char Char Char Char3"/>
    <w:basedOn w:val="a2"/>
    <w:uiPriority w:val="99"/>
    <w:qFormat/>
    <w:pPr>
      <w:jc w:val="both"/>
    </w:pPr>
  </w:style>
  <w:style w:type="paragraph" w:customStyle="1" w:styleId="CharCharCharCharCharCharCharCharChar1CharCharCharCharCharCharCharCharCharChar4">
    <w:name w:val="Char Char Char Char Char Char Char Char Char1 Char Char Char Char Char Char Char Char Char Char4"/>
    <w:basedOn w:val="a2"/>
    <w:pPr>
      <w:jc w:val="both"/>
    </w:pPr>
  </w:style>
  <w:style w:type="paragraph" w:customStyle="1" w:styleId="2ffff7">
    <w:name w:val="样式 正文 + 首行缩进:  2 字符 + 宋体 四号"/>
    <w:basedOn w:val="2ffff8"/>
    <w:uiPriority w:val="99"/>
    <w:qFormat/>
    <w:rPr>
      <w:rFonts w:ascii="宋体" w:hAnsi="宋体"/>
      <w:sz w:val="28"/>
    </w:rPr>
  </w:style>
  <w:style w:type="paragraph" w:customStyle="1" w:styleId="2ffff8">
    <w:name w:val="正文 + 首行缩进:  2 字符"/>
    <w:basedOn w:val="a2"/>
    <w:uiPriority w:val="99"/>
    <w:qFormat/>
    <w:pPr>
      <w:ind w:firstLineChars="200" w:firstLine="480"/>
      <w:jc w:val="both"/>
    </w:pPr>
    <w:rPr>
      <w:rFonts w:cs="宋体"/>
      <w:sz w:val="24"/>
    </w:rPr>
  </w:style>
  <w:style w:type="paragraph" w:customStyle="1" w:styleId="Char1CharCharChar11">
    <w:name w:val="Char1 Char Char Char11"/>
    <w:basedOn w:val="a2"/>
    <w:uiPriority w:val="99"/>
    <w:qFormat/>
    <w:pPr>
      <w:jc w:val="both"/>
    </w:pPr>
    <w:rPr>
      <w:sz w:val="24"/>
    </w:rPr>
  </w:style>
  <w:style w:type="paragraph" w:customStyle="1" w:styleId="4-001001">
    <w:name w:val="样式 标题 4 + 黑色 左侧:  -0.01 厘米 首行缩进:  0.01 厘米"/>
    <w:basedOn w:val="41"/>
    <w:qFormat/>
    <w:pPr>
      <w:tabs>
        <w:tab w:val="left" w:pos="2160"/>
      </w:tabs>
      <w:spacing w:before="120" w:line="312" w:lineRule="auto"/>
      <w:ind w:leftChars="0" w:left="2160" w:rightChars="0" w:right="0" w:hanging="420"/>
      <w:jc w:val="both"/>
    </w:pPr>
    <w:rPr>
      <w:rFonts w:ascii="仿宋_GB2312" w:eastAsia="仿宋_GB2312" w:hAnsi="Arial"/>
      <w:bCs w:val="0"/>
      <w:color w:val="000000"/>
      <w:szCs w:val="20"/>
    </w:rPr>
  </w:style>
  <w:style w:type="paragraph" w:customStyle="1" w:styleId="Char2CharChar1CharCharChar1">
    <w:name w:val="Char2 Char Char1 Char Char Char1"/>
    <w:basedOn w:val="a2"/>
    <w:uiPriority w:val="99"/>
    <w:qFormat/>
    <w:pPr>
      <w:jc w:val="both"/>
    </w:pPr>
    <w:rPr>
      <w:sz w:val="24"/>
    </w:rPr>
  </w:style>
  <w:style w:type="paragraph" w:customStyle="1" w:styleId="xl26">
    <w:name w:val="xl26"/>
    <w:basedOn w:val="a2"/>
    <w:qFormat/>
    <w:pPr>
      <w:widowControl/>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sz w:val="24"/>
    </w:rPr>
  </w:style>
  <w:style w:type="paragraph" w:customStyle="1" w:styleId="zhenwen">
    <w:name w:val="zhenwen"/>
    <w:basedOn w:val="a2"/>
    <w:qFormat/>
    <w:pPr>
      <w:spacing w:before="100" w:beforeAutospacing="1" w:after="100" w:afterAutospacing="1" w:line="360" w:lineRule="atLeast"/>
    </w:pPr>
    <w:rPr>
      <w:rFonts w:ascii="Բ" w:hAnsi="Բ"/>
      <w:color w:val="000000"/>
      <w:sz w:val="18"/>
      <w:szCs w:val="18"/>
    </w:rPr>
  </w:style>
  <w:style w:type="paragraph" w:customStyle="1" w:styleId="xl104">
    <w:name w:val="xl104"/>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reader-word-layerreader-word-s1-20">
    <w:name w:val="reader-word-layer reader-word-s1-20"/>
    <w:basedOn w:val="a2"/>
    <w:uiPriority w:val="99"/>
    <w:qFormat/>
    <w:pPr>
      <w:spacing w:before="100" w:beforeAutospacing="1" w:after="100" w:afterAutospacing="1"/>
    </w:pPr>
    <w:rPr>
      <w:rFonts w:ascii="宋体" w:hAnsi="宋体" w:cs="宋体"/>
      <w:sz w:val="24"/>
    </w:rPr>
  </w:style>
  <w:style w:type="paragraph" w:customStyle="1" w:styleId="241">
    <w:name w:val="样式 小四 行距: 固定值 24 磅"/>
    <w:basedOn w:val="a2"/>
    <w:qFormat/>
    <w:pPr>
      <w:spacing w:line="500" w:lineRule="exact"/>
      <w:ind w:firstLineChars="200" w:firstLine="200"/>
      <w:jc w:val="both"/>
    </w:pPr>
    <w:rPr>
      <w:sz w:val="24"/>
    </w:rPr>
  </w:style>
  <w:style w:type="paragraph" w:customStyle="1" w:styleId="226">
    <w:name w:val="正文文本 22"/>
    <w:basedOn w:val="a2"/>
    <w:next w:val="af5"/>
    <w:uiPriority w:val="99"/>
    <w:qFormat/>
    <w:pPr>
      <w:spacing w:after="120" w:line="500" w:lineRule="exact"/>
      <w:ind w:leftChars="200" w:left="420"/>
      <w:jc w:val="both"/>
    </w:pPr>
    <w:rPr>
      <w:rFonts w:ascii="仿宋_GB2312" w:eastAsia="仿宋_GB2312"/>
      <w:szCs w:val="28"/>
    </w:rPr>
  </w:style>
  <w:style w:type="paragraph" w:customStyle="1" w:styleId="CharCharCharChar1CharCharChar1">
    <w:name w:val="Char Char Char Char1 Char Char Char1"/>
    <w:basedOn w:val="a2"/>
    <w:uiPriority w:val="99"/>
    <w:qFormat/>
    <w:pPr>
      <w:jc w:val="both"/>
    </w:pPr>
    <w:rPr>
      <w:sz w:val="24"/>
    </w:rPr>
  </w:style>
  <w:style w:type="paragraph" w:customStyle="1" w:styleId="xl35">
    <w:name w:val="xl3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color w:val="000000"/>
      <w:sz w:val="24"/>
    </w:rPr>
  </w:style>
  <w:style w:type="paragraph" w:customStyle="1" w:styleId="2TimesNewRoman0500">
    <w:name w:val="样式 样式 样式 标题2 + (西文) Times New Roman (中文) 宋体 加粗 + 段前: 0.5 行 段后: 0..."/>
    <w:basedOn w:val="2TimesNewRoman0505"/>
    <w:qFormat/>
    <w:rPr>
      <w:color w:val="000000"/>
    </w:rPr>
  </w:style>
  <w:style w:type="paragraph" w:customStyle="1" w:styleId="2TimesNewRoman0505">
    <w:name w:val="样式 样式 标题2 + (西文) Times New Roman (中文) 宋体 加粗 + 段前: 0.5 行 段后: 0.5..."/>
    <w:basedOn w:val="2TimesNewRoman0"/>
    <w:qFormat/>
    <w:rPr>
      <w:rFonts w:eastAsia="仿宋_GB2312" w:cs="宋体"/>
    </w:rPr>
  </w:style>
  <w:style w:type="paragraph" w:customStyle="1" w:styleId="2TimesNewRoman0">
    <w:name w:val="样式 标题2 + (西文) Times New Roman (中文) 宋体 加粗"/>
    <w:basedOn w:val="22"/>
    <w:qFormat/>
    <w:pPr>
      <w:keepNext w:val="0"/>
      <w:keepLines w:val="0"/>
      <w:spacing w:beforeLines="50" w:before="50" w:afterLines="50" w:after="50" w:line="500" w:lineRule="exact"/>
      <w:jc w:val="both"/>
      <w:outlineLvl w:val="0"/>
    </w:pPr>
    <w:rPr>
      <w:rFonts w:ascii="Times New Roman" w:eastAsia="宋体" w:hAnsi="Times New Roman" w:cs="Times New Roman"/>
      <w:sz w:val="28"/>
      <w:szCs w:val="20"/>
    </w:rPr>
  </w:style>
  <w:style w:type="paragraph" w:customStyle="1" w:styleId="xl34">
    <w:name w:val="xl34"/>
    <w:basedOn w:val="a2"/>
    <w:qFormat/>
    <w:pPr>
      <w:widowControl/>
      <w:spacing w:before="100" w:beforeAutospacing="1" w:after="100" w:afterAutospacing="1"/>
      <w:jc w:val="center"/>
    </w:pPr>
    <w:rPr>
      <w:rFonts w:ascii="Arial Unicode MS" w:eastAsia="Arial Unicode MS" w:hAnsi="Arial Unicode MS"/>
      <w:sz w:val="24"/>
    </w:rPr>
  </w:style>
  <w:style w:type="paragraph" w:customStyle="1" w:styleId="CharCharChar1CharCharCharCharCharCharCharChar3">
    <w:name w:val="Char Char Char1 Char Char Char Char Char Char Char Char3"/>
    <w:basedOn w:val="a2"/>
    <w:uiPriority w:val="99"/>
    <w:qFormat/>
    <w:pPr>
      <w:jc w:val="both"/>
    </w:pPr>
  </w:style>
  <w:style w:type="paragraph" w:customStyle="1" w:styleId="affffffffffffffffffffffff7">
    <w:name w:val="福建表格"/>
    <w:basedOn w:val="a2"/>
    <w:next w:val="a2"/>
    <w:uiPriority w:val="99"/>
    <w:qFormat/>
    <w:pPr>
      <w:spacing w:line="300" w:lineRule="auto"/>
      <w:jc w:val="center"/>
      <w:outlineLvl w:val="8"/>
    </w:pPr>
    <w:rPr>
      <w:rFonts w:ascii="宋体" w:hAnsi="宋体"/>
      <w:sz w:val="24"/>
    </w:rPr>
  </w:style>
  <w:style w:type="paragraph" w:customStyle="1" w:styleId="Char2CharCharCharCharCharCharCharCharCharCharChar1CharCharCharCharCharCharCharCharChar3">
    <w:name w:val="Char2 Char Char Char Char Char Char Char Char Char Char Char1 Char Char Char Char Char Char Char Char Char3"/>
    <w:basedOn w:val="a2"/>
    <w:uiPriority w:val="99"/>
    <w:qFormat/>
  </w:style>
  <w:style w:type="paragraph" w:customStyle="1" w:styleId="4CharChar4">
    <w:name w:val="目录 4 Char Char"/>
    <w:basedOn w:val="a2"/>
    <w:next w:val="a2"/>
    <w:qFormat/>
    <w:pPr>
      <w:spacing w:line="351" w:lineRule="atLeast"/>
      <w:ind w:left="629" w:firstLine="419"/>
    </w:pPr>
    <w:rPr>
      <w:rFonts w:hAnsi="宋体"/>
    </w:rPr>
  </w:style>
  <w:style w:type="paragraph" w:customStyle="1" w:styleId="CharCharChar1CharCharCharCharCharCharCharCharCharCharChar">
    <w:name w:val="Char Char Char1 Char Char Char Char Char Char Char Char Char Char Char"/>
    <w:basedOn w:val="a2"/>
    <w:uiPriority w:val="99"/>
    <w:qFormat/>
    <w:pPr>
      <w:jc w:val="both"/>
    </w:pPr>
  </w:style>
  <w:style w:type="paragraph" w:customStyle="1" w:styleId="Char150">
    <w:name w:val="Char15"/>
    <w:basedOn w:val="a2"/>
    <w:uiPriority w:val="99"/>
    <w:qFormat/>
  </w:style>
  <w:style w:type="paragraph" w:customStyle="1" w:styleId="Char2CharChar1CharCharCharCharCharCharCharCharCharChar1">
    <w:name w:val="Char2 Char Char1 Char Char Char Char Char Char Char Char Char Char1"/>
    <w:basedOn w:val="a2"/>
    <w:uiPriority w:val="99"/>
    <w:qFormat/>
    <w:pPr>
      <w:jc w:val="both"/>
    </w:pPr>
    <w:rPr>
      <w:sz w:val="24"/>
    </w:rPr>
  </w:style>
  <w:style w:type="paragraph" w:customStyle="1" w:styleId="affffffffffffffffffffffff8">
    <w:name w:val="图号"/>
    <w:basedOn w:val="a2"/>
    <w:uiPriority w:val="99"/>
    <w:qFormat/>
    <w:pPr>
      <w:snapToGrid w:val="0"/>
      <w:spacing w:line="360" w:lineRule="auto"/>
      <w:jc w:val="center"/>
    </w:pPr>
    <w:rPr>
      <w:rFonts w:ascii="宋体" w:hAnsi="宋体"/>
      <w:b/>
      <w:bCs/>
      <w:lang w:val="zh-CN"/>
    </w:rPr>
  </w:style>
  <w:style w:type="paragraph" w:customStyle="1" w:styleId="ZW00">
    <w:name w:val="ZW(00)"/>
    <w:basedOn w:val="ZW0"/>
    <w:uiPriority w:val="99"/>
    <w:qFormat/>
    <w:pPr>
      <w:ind w:firstLineChars="0" w:firstLine="0"/>
    </w:pPr>
  </w:style>
  <w:style w:type="paragraph" w:customStyle="1" w:styleId="CharCharCharCharCharCharCharCharCharCharChar2">
    <w:name w:val="Char Char Char Char Char Char Char Char Char Char Char2"/>
    <w:basedOn w:val="a2"/>
    <w:uiPriority w:val="99"/>
    <w:qFormat/>
    <w:pPr>
      <w:jc w:val="both"/>
    </w:pPr>
    <w:rPr>
      <w:rFonts w:ascii="Times New Roman"/>
    </w:rPr>
  </w:style>
  <w:style w:type="paragraph" w:customStyle="1" w:styleId="Char4CharCharCharCharCharCharCharCharCharCharCharCharCharCharCharCharChar1CharCharCharCharCharChar1CharCharCharCharCharCharCharCharCharCharCharCharCharCharCharCharCharCharChar3">
    <w:name w:val="Char4 Char Char Char Char Char Char Char Char Char Char Char Char Char Char Char Char Char1 Char Char Char Char Char Char1 Char Char Char Char Char Char Char Char Char Char Char Char Char Char Char Char Char Char Char3"/>
    <w:basedOn w:val="a2"/>
    <w:uiPriority w:val="99"/>
    <w:qFormat/>
    <w:pPr>
      <w:spacing w:line="240" w:lineRule="exact"/>
      <w:ind w:firstLineChars="200" w:firstLine="200"/>
      <w:jc w:val="both"/>
    </w:pPr>
    <w:rPr>
      <w:szCs w:val="28"/>
    </w:rPr>
  </w:style>
  <w:style w:type="paragraph" w:customStyle="1" w:styleId="affffffffffffffffffffffff9">
    <w:name w:val="表内容中"/>
    <w:basedOn w:val="af9"/>
    <w:qFormat/>
    <w:pPr>
      <w:snapToGrid w:val="0"/>
      <w:spacing w:line="360" w:lineRule="exact"/>
      <w:ind w:leftChars="0" w:left="0"/>
      <w:jc w:val="center"/>
    </w:pPr>
    <w:rPr>
      <w:rFonts w:eastAsia="宋体" w:hAnsi="Arial"/>
      <w:color w:val="000000"/>
      <w:kern w:val="16"/>
    </w:rPr>
  </w:style>
  <w:style w:type="paragraph" w:customStyle="1" w:styleId="21510">
    <w:name w:val="样式 宋体 小四 黑色 首行缩进:  2字符 行距: 1.5 倍行距1"/>
    <w:basedOn w:val="a2"/>
    <w:uiPriority w:val="99"/>
    <w:qFormat/>
    <w:pPr>
      <w:snapToGrid w:val="0"/>
      <w:spacing w:line="360" w:lineRule="auto"/>
      <w:ind w:firstLineChars="200" w:firstLine="480"/>
      <w:jc w:val="both"/>
    </w:pPr>
    <w:rPr>
      <w:rFonts w:ascii="宋体" w:hAnsi="宋体"/>
      <w:color w:val="000000"/>
      <w:sz w:val="24"/>
    </w:rPr>
  </w:style>
  <w:style w:type="paragraph" w:customStyle="1" w:styleId="affffffffffffffffffffffffa">
    <w:name w:val="正文(不缩进)"/>
    <w:basedOn w:val="af4"/>
    <w:uiPriority w:val="99"/>
    <w:qFormat/>
    <w:pPr>
      <w:tabs>
        <w:tab w:val="left" w:pos="2460"/>
      </w:tabs>
      <w:spacing w:after="0" w:line="360" w:lineRule="auto"/>
      <w:jc w:val="both"/>
    </w:pPr>
    <w:rPr>
      <w:rFonts w:ascii="宋体" w:hAnsi="宋体"/>
      <w:spacing w:val="-5"/>
      <w:kern w:val="0"/>
      <w:sz w:val="24"/>
      <w:szCs w:val="24"/>
      <w:lang w:bidi="he-IL"/>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2"/>
    <w:semiHidden/>
    <w:pPr>
      <w:autoSpaceDE/>
      <w:autoSpaceDN/>
      <w:adjustRightInd/>
      <w:jc w:val="both"/>
    </w:pPr>
  </w:style>
  <w:style w:type="paragraph" w:customStyle="1" w:styleId="TableTitleChar1Char1">
    <w:name w:val="Table Title Char1 Char1"/>
    <w:basedOn w:val="a2"/>
    <w:qFormat/>
    <w:pPr>
      <w:widowControl/>
      <w:snapToGrid w:val="0"/>
      <w:spacing w:beforeLines="50" w:before="156" w:afterLines="50" w:after="156" w:line="400" w:lineRule="exact"/>
      <w:jc w:val="center"/>
    </w:pPr>
    <w:rPr>
      <w:sz w:val="24"/>
      <w:lang w:eastAsia="en-US"/>
    </w:rPr>
  </w:style>
  <w:style w:type="paragraph" w:customStyle="1" w:styleId="CharCharCharChar21">
    <w:name w:val="Char Char Char Char2"/>
    <w:basedOn w:val="a2"/>
    <w:qFormat/>
  </w:style>
  <w:style w:type="paragraph" w:customStyle="1" w:styleId="3fff2">
    <w:name w:val="正文样式3"/>
    <w:basedOn w:val="a2"/>
    <w:uiPriority w:val="99"/>
    <w:qFormat/>
    <w:pPr>
      <w:spacing w:line="20" w:lineRule="atLeast"/>
      <w:jc w:val="center"/>
      <w:textAlignment w:val="baseline"/>
    </w:pPr>
    <w:rPr>
      <w:sz w:val="24"/>
    </w:rPr>
  </w:style>
  <w:style w:type="paragraph" w:customStyle="1" w:styleId="affffffffffffffffffffffffb">
    <w:name w:val="资料来源"/>
    <w:next w:val="a2"/>
    <w:pPr>
      <w:tabs>
        <w:tab w:val="left" w:pos="4860"/>
      </w:tabs>
      <w:snapToGrid w:val="0"/>
      <w:ind w:firstLineChars="200" w:firstLine="360"/>
      <w:jc w:val="both"/>
    </w:pPr>
    <w:rPr>
      <w:rFonts w:ascii="Times New Roman" w:eastAsia="宋体" w:hAnsi="Times New Roman" w:cs="Times New Roman"/>
      <w:color w:val="000000"/>
      <w:sz w:val="18"/>
      <w:szCs w:val="21"/>
    </w:rPr>
  </w:style>
  <w:style w:type="paragraph" w:customStyle="1" w:styleId="234">
    <w:name w:val="样式 行距: 固定值 23 磅"/>
    <w:basedOn w:val="a2"/>
    <w:uiPriority w:val="99"/>
    <w:qFormat/>
    <w:pPr>
      <w:spacing w:line="360" w:lineRule="auto"/>
      <w:ind w:firstLineChars="200" w:firstLine="200"/>
      <w:jc w:val="both"/>
    </w:pPr>
    <w:rPr>
      <w:rFonts w:cs="宋体"/>
      <w:sz w:val="24"/>
    </w:rPr>
  </w:style>
  <w:style w:type="paragraph" w:customStyle="1" w:styleId="chen111">
    <w:name w:val="chen正文111"/>
    <w:basedOn w:val="a2"/>
    <w:uiPriority w:val="99"/>
    <w:qFormat/>
    <w:pPr>
      <w:snapToGrid w:val="0"/>
      <w:spacing w:line="500" w:lineRule="exact"/>
      <w:ind w:firstLineChars="200" w:firstLine="560"/>
      <w:jc w:val="both"/>
    </w:pPr>
    <w:rPr>
      <w:rFonts w:eastAsia="仿宋_GB2312"/>
      <w:bCs/>
      <w:color w:val="000000"/>
      <w:szCs w:val="28"/>
    </w:rPr>
  </w:style>
  <w:style w:type="paragraph" w:customStyle="1" w:styleId="78">
    <w:name w:val="样式 图表名称 + 段前: 7.8 磅"/>
    <w:basedOn w:val="a2"/>
    <w:uiPriority w:val="99"/>
    <w:qFormat/>
    <w:pPr>
      <w:spacing w:beforeLines="50" w:line="360" w:lineRule="auto"/>
      <w:jc w:val="center"/>
    </w:pPr>
    <w:rPr>
      <w:rFonts w:cs="宋体"/>
      <w:sz w:val="24"/>
    </w:rPr>
  </w:style>
  <w:style w:type="paragraph" w:customStyle="1" w:styleId="222CharH2h211122">
    <w:name w:val="样式 标题 2标题2标题 2 Char节标题H2h2第一层条节标题 1.11二级 标题 2标题 2（修改）..."/>
    <w:basedOn w:val="22"/>
    <w:uiPriority w:val="99"/>
    <w:qFormat/>
    <w:pPr>
      <w:snapToGrid w:val="0"/>
      <w:spacing w:beforeLines="50" w:before="156" w:after="240" w:line="360" w:lineRule="auto"/>
      <w:jc w:val="both"/>
      <w:textAlignment w:val="baseline"/>
    </w:pPr>
    <w:rPr>
      <w:rFonts w:ascii="Arial" w:eastAsia="仿宋_GB2312" w:hAnsi="Arial" w:cs="宋体"/>
      <w:b w:val="0"/>
      <w:sz w:val="24"/>
      <w:szCs w:val="30"/>
    </w:rPr>
  </w:style>
  <w:style w:type="paragraph" w:customStyle="1" w:styleId="CharCharChar1Char6">
    <w:name w:val="Char Char Char1 Char6"/>
    <w:basedOn w:val="a2"/>
    <w:qFormat/>
    <w:pPr>
      <w:jc w:val="both"/>
      <w:textAlignment w:val="baseline"/>
    </w:pPr>
    <w:rPr>
      <w:rFonts w:ascii="仿宋_GB2312" w:eastAsia="仿宋_GB2312"/>
    </w:rPr>
  </w:style>
  <w:style w:type="paragraph" w:customStyle="1" w:styleId="CharCharCharCharCharCharChar8">
    <w:name w:val="表格头 Char Char Char Char Char Char Char"/>
    <w:basedOn w:val="a2"/>
    <w:qFormat/>
    <w:pPr>
      <w:snapToGrid w:val="0"/>
      <w:spacing w:line="360" w:lineRule="auto"/>
      <w:jc w:val="center"/>
    </w:pPr>
    <w:rPr>
      <w:b/>
      <w:sz w:val="24"/>
    </w:rPr>
  </w:style>
  <w:style w:type="paragraph" w:customStyle="1" w:styleId="affffffffffffffffffffffffc">
    <w:name w:val="正文中对齐"/>
    <w:basedOn w:val="a2"/>
    <w:uiPriority w:val="99"/>
    <w:qFormat/>
    <w:pPr>
      <w:snapToGrid w:val="0"/>
      <w:spacing w:before="60" w:after="60" w:line="60" w:lineRule="atLeast"/>
      <w:jc w:val="center"/>
      <w:textAlignment w:val="baseline"/>
    </w:pPr>
    <w:rPr>
      <w:rFonts w:ascii="宋体" w:hAnsi="宋体" w:hint="eastAsia"/>
      <w:sz w:val="24"/>
    </w:rPr>
  </w:style>
  <w:style w:type="paragraph" w:customStyle="1" w:styleId="CharCharCharCharChar6">
    <w:name w:val="样式 正文缩进文本条款表正文正文非缩进表格标题正文（首行缩进两字） Char Char Char Char Char ..."/>
    <w:basedOn w:val="a3"/>
    <w:qFormat/>
    <w:pPr>
      <w:tabs>
        <w:tab w:val="left" w:pos="283"/>
      </w:tabs>
      <w:snapToGrid w:val="0"/>
      <w:spacing w:line="500" w:lineRule="atLeast"/>
      <w:ind w:firstLine="549"/>
      <w:jc w:val="both"/>
    </w:pPr>
    <w:rPr>
      <w:rFonts w:cs="宋体"/>
      <w:sz w:val="28"/>
      <w:szCs w:val="20"/>
    </w:rPr>
  </w:style>
  <w:style w:type="paragraph" w:customStyle="1" w:styleId="4f7">
    <w:name w:val="标题4"/>
    <w:basedOn w:val="a2"/>
    <w:qFormat/>
    <w:pPr>
      <w:spacing w:line="300" w:lineRule="auto"/>
      <w:ind w:firstLineChars="200" w:firstLine="200"/>
      <w:textAlignment w:val="baseline"/>
    </w:pPr>
    <w:rPr>
      <w:rFonts w:ascii="宋体" w:eastAsia="仿宋_GB2312"/>
    </w:rPr>
  </w:style>
  <w:style w:type="paragraph" w:customStyle="1" w:styleId="CharCharCharChar1CharCharCharCharCharCharCharCharCharCharCharChar">
    <w:name w:val="Char Char Char Char1 Char Char Char Char Char Char Char Char Char Char Char Char"/>
    <w:basedOn w:val="a2"/>
    <w:uiPriority w:val="99"/>
    <w:qFormat/>
    <w:pPr>
      <w:tabs>
        <w:tab w:val="left" w:pos="0"/>
      </w:tabs>
    </w:pPr>
    <w:rPr>
      <w:sz w:val="24"/>
    </w:rPr>
  </w:style>
  <w:style w:type="paragraph" w:customStyle="1" w:styleId="0836">
    <w:name w:val="样式 宋体 四号 首行缩进:  0.83 厘米 行距: 最小值 6 磅"/>
    <w:basedOn w:val="a2"/>
    <w:qFormat/>
    <w:pPr>
      <w:spacing w:line="480" w:lineRule="exact"/>
      <w:ind w:firstLine="567"/>
      <w:jc w:val="both"/>
    </w:pPr>
  </w:style>
  <w:style w:type="paragraph" w:customStyle="1" w:styleId="CharCharCharChar1CharCharCharCharCharChar2">
    <w:name w:val="Char Char Char Char1 Char Char Char Char Char Char2"/>
    <w:basedOn w:val="a2"/>
    <w:next w:val="a2"/>
    <w:uiPriority w:val="99"/>
    <w:qFormat/>
    <w:pPr>
      <w:spacing w:line="360" w:lineRule="auto"/>
      <w:ind w:firstLineChars="200" w:firstLine="200"/>
      <w:jc w:val="both"/>
    </w:pPr>
  </w:style>
  <w:style w:type="paragraph" w:customStyle="1" w:styleId="affffffffffffffffffffffffd">
    <w:name w:val="本文正文"/>
    <w:basedOn w:val="a2"/>
    <w:qFormat/>
    <w:pPr>
      <w:spacing w:line="300" w:lineRule="auto"/>
      <w:ind w:firstLineChars="200" w:firstLine="560"/>
      <w:textAlignment w:val="baseline"/>
    </w:pPr>
  </w:style>
  <w:style w:type="paragraph" w:customStyle="1" w:styleId="3fff3">
    <w:name w:val="正文文字 3"/>
    <w:basedOn w:val="a2"/>
    <w:qFormat/>
    <w:pPr>
      <w:jc w:val="center"/>
    </w:pPr>
  </w:style>
  <w:style w:type="paragraph" w:customStyle="1" w:styleId="1fffffff3">
    <w:name w:val="表格内字体1"/>
    <w:basedOn w:val="a2"/>
    <w:uiPriority w:val="99"/>
    <w:qFormat/>
    <w:pPr>
      <w:jc w:val="center"/>
    </w:pPr>
    <w:rPr>
      <w:rFonts w:ascii="宋体" w:cs="宋体"/>
    </w:rPr>
  </w:style>
  <w:style w:type="paragraph" w:customStyle="1" w:styleId="CharCharCharCharCharCharCharCharChar1CharCharCharCharCharCharChar3">
    <w:name w:val="Char Char Char Char Char Char Char Char Char1 Char Char Char Char Char Char Char3"/>
    <w:basedOn w:val="a2"/>
    <w:uiPriority w:val="99"/>
    <w:qFormat/>
    <w:pPr>
      <w:snapToGrid w:val="0"/>
      <w:spacing w:line="360" w:lineRule="auto"/>
      <w:ind w:firstLineChars="200" w:firstLine="200"/>
      <w:jc w:val="both"/>
    </w:pPr>
    <w:rPr>
      <w:rFonts w:eastAsia="仿宋_GB2312"/>
    </w:rPr>
  </w:style>
  <w:style w:type="paragraph" w:customStyle="1" w:styleId="ParaCharCharCharCharCharCharCharCharCharCharCharCharChar1Char">
    <w:name w:val="默认段落字体 Para Char Char Char Char Char Char Char Char Char Char Char Char Char1 Char"/>
    <w:basedOn w:val="a2"/>
    <w:uiPriority w:val="99"/>
    <w:qFormat/>
    <w:pPr>
      <w:shd w:val="clear" w:color="auto" w:fill="000080"/>
      <w:snapToGrid w:val="0"/>
      <w:spacing w:line="360" w:lineRule="auto"/>
      <w:jc w:val="both"/>
    </w:pPr>
    <w:rPr>
      <w:rFonts w:ascii="Tahoma" w:eastAsia="仿宋_GB2312" w:hAnsi="Tahoma"/>
      <w:szCs w:val="18"/>
    </w:rPr>
  </w:style>
  <w:style w:type="paragraph" w:customStyle="1" w:styleId="2230">
    <w:name w:val="正文文本 223"/>
    <w:basedOn w:val="a2"/>
    <w:uiPriority w:val="99"/>
    <w:qFormat/>
    <w:pPr>
      <w:spacing w:line="460" w:lineRule="exact"/>
      <w:ind w:firstLine="510"/>
      <w:textAlignment w:val="baseline"/>
    </w:pPr>
    <w:rPr>
      <w:rFonts w:ascii="宋体"/>
      <w:sz w:val="24"/>
    </w:rPr>
  </w:style>
  <w:style w:type="paragraph" w:customStyle="1" w:styleId="CharCharCharCharb">
    <w:name w:val="表格头 Char Char Char Char"/>
    <w:basedOn w:val="a2"/>
    <w:uiPriority w:val="99"/>
    <w:qFormat/>
    <w:pPr>
      <w:snapToGrid w:val="0"/>
      <w:spacing w:line="360" w:lineRule="auto"/>
      <w:jc w:val="center"/>
    </w:pPr>
    <w:rPr>
      <w:b/>
      <w:sz w:val="24"/>
    </w:rPr>
  </w:style>
  <w:style w:type="paragraph" w:customStyle="1" w:styleId="affffffffffffffffffffffffe">
    <w:name w:val="(文字) (文字)"/>
    <w:basedOn w:val="a2"/>
    <w:pPr>
      <w:jc w:val="both"/>
    </w:pPr>
    <w:rPr>
      <w:sz w:val="24"/>
    </w:rPr>
  </w:style>
  <w:style w:type="paragraph" w:customStyle="1" w:styleId="1520">
    <w:name w:val="淮安正文样式 小四 行距: 1.5 倍行距 首行缩进:  2 字符"/>
    <w:basedOn w:val="a2"/>
    <w:uiPriority w:val="99"/>
    <w:qFormat/>
    <w:pPr>
      <w:snapToGrid w:val="0"/>
      <w:ind w:firstLineChars="200" w:firstLine="480"/>
      <w:jc w:val="both"/>
    </w:pPr>
    <w:rPr>
      <w:snapToGrid w:val="0"/>
      <w:color w:val="0000FF"/>
      <w:sz w:val="24"/>
      <w:szCs w:val="28"/>
    </w:rPr>
  </w:style>
  <w:style w:type="paragraph" w:customStyle="1" w:styleId="Style27">
    <w:name w:val="_Style 27"/>
    <w:basedOn w:val="a2"/>
    <w:next w:val="a3"/>
    <w:uiPriority w:val="99"/>
    <w:qFormat/>
    <w:pPr>
      <w:ind w:firstLine="420"/>
      <w:jc w:val="both"/>
    </w:pPr>
  </w:style>
  <w:style w:type="paragraph" w:customStyle="1" w:styleId="Formatvorlage1">
    <w:name w:val="Formatvorlage1"/>
    <w:basedOn w:val="22"/>
    <w:uiPriority w:val="99"/>
    <w:qFormat/>
    <w:pPr>
      <w:keepLines w:val="0"/>
      <w:tabs>
        <w:tab w:val="left" w:pos="840"/>
      </w:tabs>
      <w:spacing w:before="240" w:after="60" w:line="360" w:lineRule="auto"/>
      <w:ind w:left="840" w:hanging="420"/>
      <w:jc w:val="both"/>
      <w:textAlignment w:val="baseline"/>
      <w:outlineLvl w:val="9"/>
    </w:pPr>
    <w:rPr>
      <w:rFonts w:ascii="CorpoSLig" w:eastAsia="宋体" w:hAnsi="CorpoSLig" w:cs="Times New Roman"/>
      <w:bCs w:val="0"/>
      <w:i/>
      <w:color w:val="FF0000"/>
      <w:sz w:val="24"/>
      <w:szCs w:val="20"/>
    </w:rPr>
  </w:style>
  <w:style w:type="paragraph" w:customStyle="1" w:styleId="Char1CharCharCharCharCharCharCharCharCharCharCharCharCharCharChar3">
    <w:name w:val="Char1 Char Char Char Char Char Char Char Char Char Char Char Char Char Char Char3"/>
    <w:basedOn w:val="a2"/>
    <w:uiPriority w:val="99"/>
    <w:qFormat/>
    <w:pPr>
      <w:spacing w:line="360" w:lineRule="auto"/>
      <w:jc w:val="both"/>
    </w:pPr>
    <w:rPr>
      <w:rFonts w:ascii="Times New Roman"/>
      <w:szCs w:val="22"/>
    </w:rPr>
  </w:style>
  <w:style w:type="paragraph" w:customStyle="1" w:styleId="CharChar2CharCharCharChar">
    <w:name w:val="Char Char2 Char Char Char Char"/>
    <w:basedOn w:val="a2"/>
    <w:uiPriority w:val="99"/>
    <w:qFormat/>
    <w:pPr>
      <w:keepNext/>
      <w:tabs>
        <w:tab w:val="left" w:pos="425"/>
      </w:tabs>
      <w:spacing w:before="80" w:after="80"/>
      <w:ind w:hanging="425"/>
      <w:jc w:val="both"/>
    </w:pPr>
    <w:rPr>
      <w:rFonts w:hAnsi="Arial" w:cs="Arial"/>
      <w:sz w:val="20"/>
    </w:rPr>
  </w:style>
  <w:style w:type="paragraph" w:customStyle="1" w:styleId="CharCharCharCharCharCharCharCharChar1CharCharCharChar3">
    <w:name w:val="Char Char Char Char Char Char Char Char Char1 Char Char Char Char3"/>
    <w:basedOn w:val="a2"/>
    <w:uiPriority w:val="99"/>
    <w:semiHidden/>
    <w:qFormat/>
    <w:pPr>
      <w:jc w:val="both"/>
    </w:pPr>
  </w:style>
  <w:style w:type="paragraph" w:customStyle="1" w:styleId="CharChar3Char3">
    <w:name w:val="Char Char3 Char3"/>
    <w:basedOn w:val="a2"/>
    <w:next w:val="a2"/>
    <w:uiPriority w:val="99"/>
    <w:qFormat/>
    <w:pPr>
      <w:spacing w:line="360" w:lineRule="auto"/>
      <w:ind w:firstLineChars="200" w:firstLine="200"/>
      <w:jc w:val="center"/>
    </w:pPr>
    <w:rPr>
      <w:rFonts w:eastAsia="黑体"/>
    </w:rPr>
  </w:style>
  <w:style w:type="paragraph" w:customStyle="1" w:styleId="1fffffff4">
    <w:name w:val="小标题(1)"/>
    <w:basedOn w:val="af4"/>
    <w:uiPriority w:val="99"/>
    <w:qFormat/>
    <w:pPr>
      <w:snapToGrid w:val="0"/>
      <w:spacing w:before="60" w:after="60" w:line="264" w:lineRule="auto"/>
      <w:ind w:firstLineChars="100" w:firstLine="240"/>
      <w:jc w:val="both"/>
      <w:textAlignment w:val="baseline"/>
    </w:pPr>
    <w:rPr>
      <w:rFonts w:eastAsia="仿宋_GB2312"/>
      <w:snapToGrid w:val="0"/>
      <w:kern w:val="0"/>
      <w:sz w:val="24"/>
      <w:szCs w:val="24"/>
    </w:rPr>
  </w:style>
  <w:style w:type="paragraph" w:customStyle="1" w:styleId="94">
    <w:name w:val="9"/>
    <w:next w:val="a2"/>
    <w:qFormat/>
    <w:rPr>
      <w:rFonts w:ascii="Times New Roman" w:eastAsia="宋体" w:hAnsi="Times New Roman" w:cs="Times New Roman"/>
      <w:kern w:val="2"/>
      <w:sz w:val="21"/>
      <w:szCs w:val="24"/>
    </w:rPr>
  </w:style>
  <w:style w:type="paragraph" w:customStyle="1" w:styleId="B2">
    <w:name w:val="标题B"/>
    <w:uiPriority w:val="99"/>
    <w:qFormat/>
    <w:pPr>
      <w:adjustRightInd w:val="0"/>
      <w:spacing w:line="720" w:lineRule="auto"/>
      <w:outlineLvl w:val="1"/>
    </w:pPr>
    <w:rPr>
      <w:rFonts w:ascii="Times New Roman" w:eastAsia="宋体" w:hAnsi="Times New Roman" w:cs="Times New Roman"/>
      <w:b/>
      <w:sz w:val="30"/>
    </w:rPr>
  </w:style>
  <w:style w:type="paragraph" w:customStyle="1" w:styleId="unnamed2">
    <w:name w:val="unnamed2"/>
    <w:basedOn w:val="a2"/>
    <w:uiPriority w:val="99"/>
    <w:qFormat/>
    <w:pPr>
      <w:snapToGrid w:val="0"/>
      <w:spacing w:before="100" w:beforeAutospacing="1" w:after="100" w:afterAutospacing="1" w:line="255" w:lineRule="atLeast"/>
      <w:ind w:firstLineChars="200" w:firstLine="200"/>
    </w:pPr>
    <w:rPr>
      <w:rFonts w:ascii="宋体" w:hAnsi="宋体"/>
      <w:sz w:val="20"/>
    </w:rPr>
  </w:style>
  <w:style w:type="paragraph" w:customStyle="1" w:styleId="Charfffffffffc">
    <w:name w:val="正文新 Char"/>
    <w:basedOn w:val="a2"/>
    <w:qFormat/>
    <w:pPr>
      <w:spacing w:line="360" w:lineRule="auto"/>
      <w:ind w:firstLineChars="200" w:firstLine="480"/>
    </w:pPr>
    <w:rPr>
      <w:rFonts w:hAnsi="宋体"/>
      <w:sz w:val="24"/>
    </w:rPr>
  </w:style>
  <w:style w:type="paragraph" w:customStyle="1" w:styleId="4f8">
    <w:name w:val="4"/>
    <w:basedOn w:val="a2"/>
    <w:next w:val="af5"/>
    <w:qFormat/>
    <w:pPr>
      <w:spacing w:line="500" w:lineRule="exact"/>
      <w:ind w:firstLineChars="200" w:firstLine="560"/>
    </w:pPr>
    <w:rPr>
      <w:rFonts w:ascii="仿宋_GB2312" w:eastAsia="仿宋_GB2312"/>
    </w:rPr>
  </w:style>
  <w:style w:type="paragraph" w:customStyle="1" w:styleId="xl69">
    <w:name w:val="xl69"/>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rPr>
  </w:style>
  <w:style w:type="paragraph" w:customStyle="1" w:styleId="CharCharCharCharChar1Char">
    <w:name w:val="Char Char Char Char Char1 Char"/>
    <w:basedOn w:val="a2"/>
    <w:uiPriority w:val="99"/>
    <w:qFormat/>
    <w:pPr>
      <w:jc w:val="both"/>
    </w:pPr>
  </w:style>
  <w:style w:type="paragraph" w:customStyle="1" w:styleId="154">
    <w:name w:val="样式 宋体 小四 居中 行距: 1.5 倍行距"/>
    <w:basedOn w:val="a2"/>
    <w:uiPriority w:val="99"/>
    <w:qFormat/>
    <w:pPr>
      <w:jc w:val="center"/>
    </w:pPr>
    <w:rPr>
      <w:rFonts w:ascii="宋体"/>
      <w:sz w:val="24"/>
    </w:rPr>
  </w:style>
  <w:style w:type="paragraph" w:customStyle="1" w:styleId="MTDisplayEquation">
    <w:name w:val="MTDisplayEquation"/>
    <w:basedOn w:val="a2"/>
    <w:next w:val="a2"/>
    <w:qFormat/>
    <w:pPr>
      <w:tabs>
        <w:tab w:val="center" w:pos="4160"/>
        <w:tab w:val="right" w:pos="8300"/>
      </w:tabs>
      <w:spacing w:line="360" w:lineRule="auto"/>
      <w:ind w:firstLineChars="200" w:firstLine="480"/>
    </w:pPr>
    <w:rPr>
      <w:rFonts w:ascii="宋体" w:hAnsi="宋体"/>
      <w:sz w:val="24"/>
    </w:rPr>
  </w:style>
  <w:style w:type="paragraph" w:customStyle="1" w:styleId="y0">
    <w:name w:val="?y??"/>
    <w:uiPriority w:val="99"/>
    <w:qFormat/>
    <w:pPr>
      <w:widowControl w:val="0"/>
      <w:overflowPunct w:val="0"/>
      <w:autoSpaceDE w:val="0"/>
      <w:autoSpaceDN w:val="0"/>
      <w:adjustRightInd w:val="0"/>
      <w:spacing w:line="357" w:lineRule="atLeast"/>
      <w:jc w:val="both"/>
      <w:textAlignment w:val="baseline"/>
    </w:pPr>
    <w:rPr>
      <w:rFonts w:ascii="Times New Roman" w:eastAsia="宋体" w:hAnsi="Times New Roman" w:cs="Times New Roman"/>
      <w:color w:val="000000"/>
      <w:sz w:val="21"/>
    </w:rPr>
  </w:style>
  <w:style w:type="paragraph" w:customStyle="1" w:styleId="navitext">
    <w:name w:val="navitext"/>
    <w:basedOn w:val="a2"/>
    <w:uiPriority w:val="99"/>
    <w:qFormat/>
    <w:pPr>
      <w:snapToGrid w:val="0"/>
      <w:spacing w:before="100" w:beforeAutospacing="1" w:after="100" w:afterAutospacing="1" w:line="360" w:lineRule="auto"/>
      <w:ind w:firstLineChars="200" w:firstLine="200"/>
    </w:pPr>
    <w:rPr>
      <w:rFonts w:ascii="宋体" w:hAnsi="宋体"/>
      <w:color w:val="000000"/>
      <w:sz w:val="18"/>
      <w:szCs w:val="18"/>
    </w:rPr>
  </w:style>
  <w:style w:type="paragraph" w:customStyle="1" w:styleId="12212">
    <w:name w:val="样式 样式 样式 +中文正文 文字 1 首行缩进:  2 字符 + 首行缩进:  2 字符 + 文字 1 首行缩进:  2 字符"/>
    <w:basedOn w:val="1221"/>
    <w:uiPriority w:val="99"/>
    <w:qFormat/>
    <w:pPr>
      <w:ind w:firstLine="560"/>
    </w:pPr>
    <w:rPr>
      <w:color w:val="000000"/>
    </w:rPr>
  </w:style>
  <w:style w:type="paragraph" w:customStyle="1" w:styleId="CharCharCharChar60">
    <w:name w:val="Char Char Char Char6"/>
    <w:basedOn w:val="a2"/>
    <w:uiPriority w:val="99"/>
    <w:qFormat/>
    <w:rPr>
      <w:rFonts w:ascii="Times New Roman"/>
    </w:rPr>
  </w:style>
  <w:style w:type="paragraph" w:customStyle="1" w:styleId="afffffffffffffffffffffffff">
    <w:name w:val="表目录"/>
    <w:basedOn w:val="a2"/>
    <w:qFormat/>
    <w:pPr>
      <w:snapToGrid w:val="0"/>
      <w:spacing w:beforeLines="50" w:before="50"/>
      <w:jc w:val="center"/>
    </w:pPr>
    <w:rPr>
      <w:rFonts w:ascii="宋体"/>
    </w:rPr>
  </w:style>
  <w:style w:type="paragraph" w:customStyle="1" w:styleId="CharCharChar4CharCharCharCharCharChar1CharCharCharCharCharChar1CharCharCharCharCharCharCharCharCharChar">
    <w:name w:val="Char Char Char4 Char Char Char Char Char Char1 Char Char Char Char Char Char1 Char Char Char Char Char Char Char Char Char Char"/>
    <w:basedOn w:val="a2"/>
    <w:pPr>
      <w:autoSpaceDE/>
      <w:autoSpaceDN/>
      <w:adjustRightInd/>
      <w:jc w:val="both"/>
    </w:pPr>
    <w:rPr>
      <w:rFonts w:eastAsia="黑体"/>
    </w:rPr>
  </w:style>
  <w:style w:type="paragraph" w:customStyle="1" w:styleId="CharCharChar1CharCharCharCharCharCharCharCharCharCharChar4">
    <w:name w:val="Char Char Char1 Char Char Char Char Char Char Char Char Char Char Char4"/>
    <w:basedOn w:val="a2"/>
    <w:pPr>
      <w:jc w:val="both"/>
    </w:pPr>
  </w:style>
  <w:style w:type="paragraph" w:customStyle="1" w:styleId="CharCharChar1Char1">
    <w:name w:val="Char Char Char1 Char1"/>
    <w:basedOn w:val="a2"/>
    <w:qFormat/>
    <w:rPr>
      <w:sz w:val="24"/>
    </w:rPr>
  </w:style>
  <w:style w:type="paragraph" w:customStyle="1" w:styleId="3fff4">
    <w:name w:val="表题3"/>
    <w:basedOn w:val="a2"/>
    <w:uiPriority w:val="99"/>
    <w:qFormat/>
    <w:pPr>
      <w:snapToGrid w:val="0"/>
      <w:spacing w:before="180" w:after="60"/>
      <w:jc w:val="center"/>
    </w:pPr>
    <w:rPr>
      <w:b/>
    </w:rPr>
  </w:style>
  <w:style w:type="paragraph" w:customStyle="1" w:styleId="043">
    <w:name w:val="样式 样式 正文缩进正文（首行缩进两字）文本条款 + 段前: 0.4 行 + 非加粗"/>
    <w:basedOn w:val="041"/>
    <w:uiPriority w:val="99"/>
    <w:qFormat/>
    <w:pPr>
      <w:tabs>
        <w:tab w:val="left" w:pos="3360"/>
      </w:tabs>
      <w:ind w:left="-7" w:firstLine="567"/>
    </w:pPr>
    <w:rPr>
      <w:rFonts w:eastAsia="宋体"/>
      <w:b w:val="0"/>
      <w:sz w:val="24"/>
    </w:rPr>
  </w:style>
  <w:style w:type="paragraph" w:customStyle="1" w:styleId="2ffff9">
    <w:name w:val="样式 正文(缩进) + 首行缩进:  2 字符"/>
    <w:basedOn w:val="a2"/>
    <w:uiPriority w:val="99"/>
    <w:qFormat/>
    <w:pPr>
      <w:spacing w:line="360" w:lineRule="auto"/>
      <w:ind w:firstLineChars="200" w:firstLine="480"/>
      <w:jc w:val="both"/>
    </w:pPr>
    <w:rPr>
      <w:rFonts w:cs="宋体"/>
      <w:sz w:val="24"/>
    </w:rPr>
  </w:style>
  <w:style w:type="paragraph" w:customStyle="1" w:styleId="CharCharCharCharChar50">
    <w:name w:val="Char Char Char Char Char5"/>
    <w:basedOn w:val="a2"/>
    <w:uiPriority w:val="99"/>
    <w:qFormat/>
    <w:pPr>
      <w:jc w:val="both"/>
    </w:pPr>
  </w:style>
  <w:style w:type="paragraph" w:customStyle="1" w:styleId="2ffffa">
    <w:name w:val="字元 字元2"/>
    <w:basedOn w:val="a2"/>
    <w:uiPriority w:val="99"/>
    <w:qFormat/>
    <w:pPr>
      <w:jc w:val="both"/>
    </w:pPr>
    <w:rPr>
      <w:rFonts w:ascii="Times New Roman"/>
    </w:rPr>
  </w:style>
  <w:style w:type="paragraph" w:customStyle="1" w:styleId="Char1CharCharCharCharCharCharCharCharChar4">
    <w:name w:val="Char1 Char Char Char Char Char Char Char Char Char4"/>
    <w:basedOn w:val="a2"/>
    <w:pPr>
      <w:jc w:val="both"/>
    </w:pPr>
  </w:style>
  <w:style w:type="paragraph" w:customStyle="1" w:styleId="0010">
    <w:name w:val="表格001"/>
    <w:basedOn w:val="a2"/>
    <w:qFormat/>
    <w:pPr>
      <w:jc w:val="center"/>
    </w:pPr>
  </w:style>
  <w:style w:type="paragraph" w:customStyle="1" w:styleId="CM42">
    <w:name w:val="CM42"/>
    <w:basedOn w:val="Default"/>
    <w:next w:val="Default"/>
    <w:uiPriority w:val="99"/>
    <w:qFormat/>
    <w:pPr>
      <w:spacing w:beforeLines="0" w:before="0" w:afterLines="0" w:after="0" w:line="500" w:lineRule="atLeast"/>
      <w:ind w:firstLineChars="0" w:firstLine="0"/>
    </w:pPr>
    <w:rPr>
      <w:rFonts w:ascii="黑体" w:eastAsia="黑体" w:cs="Times New Roman"/>
      <w:color w:val="auto"/>
    </w:rPr>
  </w:style>
  <w:style w:type="paragraph" w:customStyle="1" w:styleId="Char1CharCharCharCharCharCharCharCharCharCharCharCharCharCharChar">
    <w:name w:val="Char1 Char Char Char Char Char Char Char Char Char Char Char Char Char Char Char"/>
    <w:basedOn w:val="a2"/>
    <w:uiPriority w:val="99"/>
    <w:qFormat/>
    <w:pPr>
      <w:jc w:val="both"/>
    </w:pPr>
  </w:style>
  <w:style w:type="paragraph" w:customStyle="1" w:styleId="Style25">
    <w:name w:val="_Style 25"/>
    <w:basedOn w:val="a2"/>
    <w:next w:val="1ffff9"/>
    <w:uiPriority w:val="99"/>
    <w:qFormat/>
    <w:pPr>
      <w:spacing w:before="100" w:beforeAutospacing="1" w:after="100" w:afterAutospacing="1"/>
    </w:pPr>
    <w:rPr>
      <w:rFonts w:hAnsi="宋体" w:hint="eastAsia"/>
      <w:color w:val="000000"/>
      <w:sz w:val="24"/>
    </w:rPr>
  </w:style>
  <w:style w:type="paragraph" w:customStyle="1" w:styleId="13b">
    <w:name w:val="字元13"/>
    <w:basedOn w:val="a2"/>
    <w:uiPriority w:val="99"/>
    <w:qFormat/>
    <w:pPr>
      <w:jc w:val="both"/>
    </w:pPr>
  </w:style>
  <w:style w:type="paragraph" w:customStyle="1" w:styleId="y1">
    <w:name w:val="y表头"/>
    <w:basedOn w:val="af4"/>
    <w:qFormat/>
    <w:pPr>
      <w:tabs>
        <w:tab w:val="left" w:pos="900"/>
      </w:tabs>
      <w:spacing w:after="0"/>
      <w:jc w:val="center"/>
    </w:pPr>
    <w:rPr>
      <w:rFonts w:ascii="宋体" w:eastAsia="楷体_GB2312" w:hAnsi="宋体"/>
      <w:b/>
      <w:sz w:val="24"/>
    </w:rPr>
  </w:style>
  <w:style w:type="paragraph" w:customStyle="1" w:styleId="09">
    <w:name w:val="样式 谏壁统稿表格内文字 + 左  0 字符"/>
    <w:basedOn w:val="a2"/>
    <w:qFormat/>
    <w:pPr>
      <w:snapToGrid w:val="0"/>
      <w:spacing w:line="0" w:lineRule="atLeast"/>
      <w:jc w:val="center"/>
    </w:pPr>
    <w:rPr>
      <w:rFonts w:cs="宋体"/>
    </w:rPr>
  </w:style>
  <w:style w:type="paragraph" w:customStyle="1" w:styleId="322">
    <w:name w:val="正文文本缩进 32"/>
    <w:basedOn w:val="a2"/>
    <w:uiPriority w:val="99"/>
    <w:qFormat/>
    <w:pPr>
      <w:spacing w:after="120" w:line="360" w:lineRule="auto"/>
      <w:ind w:firstLine="567"/>
      <w:jc w:val="both"/>
      <w:textAlignment w:val="baseline"/>
    </w:pPr>
    <w:rPr>
      <w:rFonts w:ascii="楷体_GB2312"/>
    </w:rPr>
  </w:style>
  <w:style w:type="paragraph" w:customStyle="1" w:styleId="xl75">
    <w:name w:val="xl75"/>
    <w:basedOn w:val="a2"/>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afffffffffffffffffffffffff0">
    <w:name w:val="一"/>
    <w:basedOn w:val="22"/>
    <w:uiPriority w:val="99"/>
    <w:qFormat/>
    <w:pPr>
      <w:keepNext w:val="0"/>
      <w:keepLines w:val="0"/>
      <w:spacing w:before="0" w:after="0" w:line="360" w:lineRule="auto"/>
      <w:ind w:left="425" w:hanging="425"/>
    </w:pPr>
    <w:rPr>
      <w:rFonts w:ascii="Times New Roman" w:eastAsia="宋体" w:hAnsi="Times New Roman" w:cs="Times New Roman"/>
      <w:bCs w:val="0"/>
      <w:kern w:val="44"/>
      <w:sz w:val="30"/>
      <w:szCs w:val="28"/>
    </w:rPr>
  </w:style>
  <w:style w:type="paragraph" w:customStyle="1" w:styleId="CM34">
    <w:name w:val="CM34"/>
    <w:basedOn w:val="Default"/>
    <w:next w:val="Default"/>
    <w:pPr>
      <w:spacing w:beforeLines="0" w:before="0" w:afterLines="0" w:after="0" w:line="500" w:lineRule="atLeast"/>
      <w:ind w:firstLineChars="0" w:firstLine="0"/>
      <w:jc w:val="both"/>
    </w:pPr>
    <w:rPr>
      <w:rFonts w:ascii="黑体" w:eastAsia="黑体" w:cs="Times New Roman"/>
      <w:color w:val="auto"/>
    </w:rPr>
  </w:style>
  <w:style w:type="paragraph" w:customStyle="1" w:styleId="CharCharChar1CharCharCharChar10">
    <w:name w:val="Char Char Char1 Char Char Char Char10"/>
    <w:basedOn w:val="a2"/>
    <w:uiPriority w:val="99"/>
    <w:qFormat/>
    <w:pPr>
      <w:spacing w:line="360" w:lineRule="auto"/>
      <w:jc w:val="both"/>
    </w:pPr>
  </w:style>
  <w:style w:type="paragraph" w:customStyle="1" w:styleId="1115">
    <w:name w:val="样式 标题 1章标题 1 + 黑色 行距: 1.5 倍行距"/>
    <w:basedOn w:val="12"/>
    <w:uiPriority w:val="99"/>
    <w:qFormat/>
    <w:pPr>
      <w:snapToGrid w:val="0"/>
      <w:spacing w:before="340" w:after="330"/>
      <w:jc w:val="both"/>
      <w:textAlignment w:val="auto"/>
    </w:pPr>
    <w:rPr>
      <w:rFonts w:eastAsia="宋体"/>
      <w:color w:val="000000"/>
      <w:sz w:val="44"/>
      <w:szCs w:val="44"/>
    </w:rPr>
  </w:style>
  <w:style w:type="paragraph" w:customStyle="1" w:styleId="CharCharCharChar80">
    <w:name w:val="Char Char Char Char8"/>
    <w:basedOn w:val="a2"/>
    <w:rPr>
      <w:sz w:val="24"/>
    </w:rPr>
  </w:style>
  <w:style w:type="paragraph" w:customStyle="1" w:styleId="CharCharChar1CharCharCharCharCharCharCharCharCharChar">
    <w:name w:val="Char Char Char1 Char Char Char Char Char Char Char Char Char Char"/>
    <w:basedOn w:val="a2"/>
    <w:pPr>
      <w:autoSpaceDE/>
      <w:autoSpaceDN/>
      <w:adjustRightInd/>
      <w:spacing w:line="440" w:lineRule="exact"/>
      <w:ind w:firstLineChars="200" w:firstLine="560"/>
      <w:jc w:val="both"/>
    </w:pPr>
    <w:rPr>
      <w:rFonts w:ascii="仿宋_GB2312" w:eastAsia="仿宋_GB2312"/>
      <w:szCs w:val="28"/>
    </w:rPr>
  </w:style>
  <w:style w:type="paragraph" w:customStyle="1" w:styleId="afffffffffffffffffffffffff1">
    <w:name w:val="样式 首行缩进正文 + 小四"/>
    <w:basedOn w:val="a2"/>
    <w:uiPriority w:val="99"/>
    <w:qFormat/>
    <w:pPr>
      <w:snapToGrid w:val="0"/>
      <w:spacing w:beforeLines="50" w:before="156" w:line="360" w:lineRule="auto"/>
      <w:ind w:firstLineChars="200" w:firstLine="480"/>
      <w:jc w:val="both"/>
    </w:pPr>
    <w:rPr>
      <w:sz w:val="24"/>
    </w:rPr>
  </w:style>
  <w:style w:type="paragraph" w:customStyle="1" w:styleId="3Charf">
    <w:name w:val="标题 3 Char ... + 段..."/>
    <w:basedOn w:val="a2"/>
    <w:uiPriority w:val="99"/>
    <w:semiHidden/>
    <w:qFormat/>
    <w:pPr>
      <w:keepNext/>
      <w:keepLines/>
      <w:spacing w:beforeLines="50" w:afterLines="50" w:line="360" w:lineRule="auto"/>
      <w:jc w:val="both"/>
      <w:outlineLvl w:val="2"/>
    </w:pPr>
    <w:rPr>
      <w:rFonts w:ascii="新宋体" w:eastAsia="新宋体" w:hAnsi="新宋体" w:cs="新宋体"/>
      <w:b/>
      <w:bCs/>
    </w:rPr>
  </w:style>
  <w:style w:type="paragraph" w:customStyle="1" w:styleId="202">
    <w:name w:val="样式 样式 小四 行距: 固定值 20 磅 + (符号) 宋体"/>
    <w:basedOn w:val="a2"/>
    <w:uiPriority w:val="99"/>
    <w:qFormat/>
    <w:pPr>
      <w:spacing w:line="400" w:lineRule="exact"/>
    </w:pPr>
    <w:rPr>
      <w:rFonts w:cs="宋体"/>
      <w:sz w:val="24"/>
    </w:rPr>
  </w:style>
  <w:style w:type="paragraph" w:customStyle="1" w:styleId="CM94">
    <w:name w:val="CM94"/>
    <w:basedOn w:val="Default"/>
    <w:next w:val="Default"/>
    <w:pPr>
      <w:spacing w:beforeLines="0" w:before="0" w:afterLines="0" w:after="0" w:line="240" w:lineRule="auto"/>
      <w:ind w:firstLineChars="0" w:firstLine="0"/>
      <w:jc w:val="both"/>
    </w:pPr>
    <w:rPr>
      <w:rFonts w:ascii="黑体" w:eastAsia="黑体" w:cs="Times New Roman"/>
      <w:color w:val="auto"/>
    </w:rPr>
  </w:style>
  <w:style w:type="paragraph" w:customStyle="1" w:styleId="Char120">
    <w:name w:val="Char12"/>
    <w:basedOn w:val="a2"/>
    <w:qFormat/>
    <w:pPr>
      <w:snapToGrid w:val="0"/>
      <w:spacing w:before="120" w:after="120" w:line="360" w:lineRule="auto"/>
      <w:ind w:firstLineChars="200" w:firstLine="200"/>
      <w:jc w:val="both"/>
    </w:pPr>
    <w:rPr>
      <w:rFonts w:ascii="仿宋_GB2312" w:eastAsia="仿宋_GB2312"/>
      <w:b/>
      <w:sz w:val="32"/>
      <w:szCs w:val="32"/>
    </w:rPr>
  </w:style>
  <w:style w:type="paragraph" w:customStyle="1" w:styleId="Char1CharCharCharCharChar4">
    <w:name w:val="Char1 Char Char Char Char Char4"/>
    <w:basedOn w:val="a2"/>
    <w:next w:val="a2"/>
    <w:pPr>
      <w:spacing w:line="360" w:lineRule="auto"/>
      <w:ind w:firstLineChars="200" w:firstLine="200"/>
      <w:jc w:val="center"/>
    </w:pPr>
    <w:rPr>
      <w:rFonts w:eastAsia="黑体"/>
    </w:rPr>
  </w:style>
  <w:style w:type="paragraph" w:customStyle="1" w:styleId="afffffffffffffffffffffffff2">
    <w:name w:val="条文"/>
    <w:basedOn w:val="50"/>
    <w:next w:val="a2"/>
    <w:qFormat/>
    <w:pPr>
      <w:keepNext w:val="0"/>
      <w:tabs>
        <w:tab w:val="clear" w:pos="1008"/>
      </w:tabs>
      <w:spacing w:before="120" w:after="0" w:line="240" w:lineRule="auto"/>
      <w:ind w:left="0" w:firstLine="454"/>
      <w:jc w:val="both"/>
    </w:pPr>
    <w:rPr>
      <w:b w:val="0"/>
      <w:bCs w:val="0"/>
      <w:sz w:val="24"/>
      <w:szCs w:val="20"/>
    </w:rPr>
  </w:style>
  <w:style w:type="paragraph" w:customStyle="1" w:styleId="afffffffffffffffffffffffff3">
    <w:name w:val="图文框"/>
    <w:basedOn w:val="a2"/>
    <w:qFormat/>
    <w:pPr>
      <w:snapToGrid w:val="0"/>
      <w:jc w:val="center"/>
    </w:pPr>
    <w:rPr>
      <w:rFonts w:ascii="宋体" w:hAnsi="宋体"/>
      <w:sz w:val="24"/>
    </w:rPr>
  </w:style>
  <w:style w:type="paragraph" w:customStyle="1" w:styleId="155">
    <w:name w:val="样式 宋体 小四 行距: 1.5 倍行距"/>
    <w:basedOn w:val="a2"/>
    <w:uiPriority w:val="99"/>
    <w:qFormat/>
    <w:pPr>
      <w:spacing w:line="360" w:lineRule="auto"/>
      <w:jc w:val="both"/>
    </w:pPr>
    <w:rPr>
      <w:rFonts w:ascii="宋体" w:hAnsi="宋体" w:cs="宋体"/>
      <w:sz w:val="24"/>
    </w:rPr>
  </w:style>
  <w:style w:type="paragraph" w:customStyle="1" w:styleId="sss">
    <w:name w:val="sss"/>
    <w:basedOn w:val="a2"/>
    <w:qFormat/>
    <w:pPr>
      <w:tabs>
        <w:tab w:val="left" w:pos="480"/>
        <w:tab w:val="left" w:pos="648"/>
      </w:tabs>
      <w:ind w:left="432" w:hanging="144"/>
    </w:pPr>
    <w:rPr>
      <w:rFonts w:ascii="Bookman Old Style" w:hAnsi="Bookman Old Style" w:cs="Arial"/>
      <w:bCs/>
      <w:sz w:val="22"/>
    </w:rPr>
  </w:style>
  <w:style w:type="paragraph" w:customStyle="1" w:styleId="Fu01">
    <w:name w:val="样式Fu01"/>
    <w:basedOn w:val="a2"/>
    <w:uiPriority w:val="99"/>
    <w:qFormat/>
    <w:pPr>
      <w:spacing w:before="40" w:after="40" w:line="0" w:lineRule="atLeast"/>
    </w:pPr>
    <w:rPr>
      <w:rFonts w:ascii="幼圆" w:eastAsia="幼圆"/>
      <w:snapToGrid w:val="0"/>
    </w:rPr>
  </w:style>
  <w:style w:type="paragraph" w:customStyle="1" w:styleId="CharCharCharCharChar40">
    <w:name w:val="Char Char Char Char Char4"/>
    <w:basedOn w:val="a2"/>
    <w:uiPriority w:val="99"/>
    <w:qFormat/>
    <w:pPr>
      <w:jc w:val="both"/>
    </w:pPr>
    <w:rPr>
      <w:rFonts w:ascii="Times New Roman"/>
    </w:rPr>
  </w:style>
  <w:style w:type="paragraph" w:customStyle="1" w:styleId="128014">
    <w:name w:val="样式 样式 左  1.28 字符 + 首行缩进:  0.14 字符"/>
    <w:basedOn w:val="a2"/>
    <w:uiPriority w:val="99"/>
    <w:qFormat/>
    <w:pPr>
      <w:spacing w:before="240" w:line="360" w:lineRule="auto"/>
      <w:ind w:rightChars="50" w:right="120"/>
      <w:jc w:val="both"/>
    </w:pPr>
    <w:rPr>
      <w:rFonts w:ascii="宋体" w:hAnsi="宋体" w:cs="宋体"/>
      <w:sz w:val="24"/>
    </w:rPr>
  </w:style>
  <w:style w:type="paragraph" w:customStyle="1" w:styleId="X">
    <w:name w:val="表X"/>
    <w:basedOn w:val="af8"/>
    <w:uiPriority w:val="99"/>
    <w:qFormat/>
    <w:pPr>
      <w:keepNext/>
      <w:tabs>
        <w:tab w:val="left" w:pos="1200"/>
        <w:tab w:val="left" w:pos="1680"/>
      </w:tabs>
      <w:spacing w:before="240"/>
      <w:ind w:left="1200" w:hanging="420"/>
    </w:pPr>
    <w:rPr>
      <w:rFonts w:ascii="Courier New"/>
      <w:kern w:val="2"/>
      <w:sz w:val="28"/>
      <w:szCs w:val="20"/>
    </w:rPr>
  </w:style>
  <w:style w:type="paragraph" w:customStyle="1" w:styleId="textblack15">
    <w:name w:val="text_black15"/>
    <w:basedOn w:val="a2"/>
    <w:pPr>
      <w:widowControl/>
      <w:autoSpaceDE/>
      <w:autoSpaceDN/>
      <w:adjustRightInd/>
      <w:spacing w:before="100" w:beforeAutospacing="1" w:after="100" w:afterAutospacing="1" w:line="450" w:lineRule="atLeast"/>
      <w:ind w:firstLineChars="200" w:firstLine="200"/>
    </w:pPr>
    <w:rPr>
      <w:rFonts w:ascii="ˎ̥" w:hAnsi="ˎ̥" w:cs="宋体"/>
      <w:color w:val="000000"/>
      <w:sz w:val="23"/>
      <w:szCs w:val="23"/>
    </w:rPr>
  </w:style>
  <w:style w:type="paragraph" w:customStyle="1" w:styleId="1fffffff5">
    <w:name w:val="表格正文1"/>
    <w:basedOn w:val="a2"/>
    <w:uiPriority w:val="99"/>
    <w:qFormat/>
    <w:pPr>
      <w:spacing w:line="360" w:lineRule="auto"/>
      <w:ind w:firstLineChars="200" w:firstLine="480"/>
      <w:jc w:val="center"/>
    </w:pPr>
    <w:rPr>
      <w:sz w:val="24"/>
    </w:rPr>
  </w:style>
  <w:style w:type="paragraph" w:customStyle="1" w:styleId="afffffffffffffffffffffffff4">
    <w:name w:val="表内"/>
    <w:basedOn w:val="a2"/>
    <w:pPr>
      <w:autoSpaceDE/>
      <w:autoSpaceDN/>
      <w:spacing w:line="240" w:lineRule="exact"/>
      <w:jc w:val="center"/>
      <w:textAlignment w:val="baseline"/>
    </w:pPr>
    <w:rPr>
      <w:rFonts w:ascii="Verdana" w:hAnsi="Verdana" w:cs="Verdana"/>
    </w:rPr>
  </w:style>
  <w:style w:type="paragraph" w:customStyle="1" w:styleId="DefinitionTerm">
    <w:name w:val="Definition Term"/>
    <w:basedOn w:val="a2"/>
    <w:next w:val="a2"/>
    <w:uiPriority w:val="99"/>
    <w:qFormat/>
    <w:pPr>
      <w:overflowPunct w:val="0"/>
      <w:textAlignment w:val="baseline"/>
    </w:pPr>
    <w:rPr>
      <w:sz w:val="24"/>
      <w:lang w:val="en-GB"/>
    </w:rPr>
  </w:style>
  <w:style w:type="paragraph" w:customStyle="1" w:styleId="HLZW">
    <w:name w:val="HLZW + (中文)"/>
    <w:basedOn w:val="a2"/>
    <w:uiPriority w:val="99"/>
    <w:qFormat/>
    <w:pPr>
      <w:spacing w:line="500" w:lineRule="exact"/>
      <w:ind w:firstLineChars="200" w:firstLine="480"/>
      <w:jc w:val="both"/>
    </w:pPr>
    <w:rPr>
      <w:rFonts w:eastAsia="仿宋_GB2312" w:cs="宋体"/>
      <w:color w:val="000000"/>
    </w:rPr>
  </w:style>
  <w:style w:type="paragraph" w:customStyle="1" w:styleId="2ffffb">
    <w:name w:val="注释标题2"/>
    <w:basedOn w:val="a2"/>
    <w:next w:val="a2"/>
    <w:uiPriority w:val="99"/>
    <w:qFormat/>
    <w:pPr>
      <w:jc w:val="center"/>
    </w:pPr>
    <w:rPr>
      <w:sz w:val="20"/>
    </w:rPr>
  </w:style>
  <w:style w:type="paragraph" w:customStyle="1" w:styleId="40">
    <w:name w:val="陈标题4"/>
    <w:basedOn w:val="a2"/>
    <w:next w:val="a2"/>
    <w:uiPriority w:val="99"/>
    <w:qFormat/>
    <w:pPr>
      <w:keepNext/>
      <w:keepLines/>
      <w:numPr>
        <w:ilvl w:val="3"/>
        <w:numId w:val="4"/>
      </w:numPr>
      <w:spacing w:line="360" w:lineRule="auto"/>
      <w:ind w:left="0"/>
      <w:jc w:val="both"/>
      <w:outlineLvl w:val="3"/>
    </w:pPr>
    <w:rPr>
      <w:b/>
      <w:sz w:val="24"/>
      <w:szCs w:val="28"/>
    </w:rPr>
  </w:style>
  <w:style w:type="paragraph" w:customStyle="1" w:styleId="Char100">
    <w:name w:val="Char10"/>
    <w:basedOn w:val="a2"/>
    <w:uiPriority w:val="99"/>
    <w:qFormat/>
    <w:pPr>
      <w:jc w:val="both"/>
    </w:pPr>
    <w:rPr>
      <w:rFonts w:ascii="Times New Roman"/>
    </w:rPr>
  </w:style>
  <w:style w:type="paragraph" w:customStyle="1" w:styleId="11f4">
    <w:name w:val="正文缩进11"/>
    <w:basedOn w:val="a2"/>
    <w:uiPriority w:val="99"/>
    <w:qFormat/>
    <w:pPr>
      <w:ind w:firstLineChars="200" w:firstLine="420"/>
      <w:jc w:val="both"/>
    </w:pPr>
  </w:style>
  <w:style w:type="paragraph" w:customStyle="1" w:styleId="1fffffff6">
    <w:name w:val="宏文本1"/>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font14">
    <w:name w:val="font14"/>
    <w:basedOn w:val="a2"/>
    <w:qFormat/>
    <w:pPr>
      <w:spacing w:before="100" w:beforeAutospacing="1" w:after="100" w:afterAutospacing="1"/>
    </w:pPr>
    <w:rPr>
      <w:rFonts w:ascii="宋体" w:hAnsi="宋体" w:cs="宋体"/>
      <w:b/>
      <w:bCs/>
      <w:sz w:val="24"/>
    </w:rPr>
  </w:style>
  <w:style w:type="paragraph" w:customStyle="1" w:styleId="CharCharCharCharCharCharCharCharChar1CharCharCharCharCharCharCharCharChar1CharCharCharCharCharCharCharCharCharChar">
    <w:name w:val="Char Char Char Char Char Char Char Char Char1 Char Char Char Char Char Char Char Char Char1 Char Char Char Char Char Char Char Char Char Char"/>
    <w:basedOn w:val="a2"/>
    <w:pPr>
      <w:jc w:val="both"/>
    </w:pPr>
    <w:rPr>
      <w:sz w:val="24"/>
    </w:rPr>
  </w:style>
  <w:style w:type="paragraph" w:customStyle="1" w:styleId="CharCharCharCharCharCharCharCharChar1CharCharChar4">
    <w:name w:val="Char Char Char Char Char Char Char Char Char1 Char Char Char4"/>
    <w:basedOn w:val="a2"/>
    <w:pPr>
      <w:jc w:val="both"/>
    </w:pPr>
    <w:rPr>
      <w:sz w:val="24"/>
    </w:rPr>
  </w:style>
  <w:style w:type="paragraph" w:customStyle="1" w:styleId="afffffffffffffffffffffffff5">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3chen">
    <w:name w:val="谏壁标题3（chen）"/>
    <w:basedOn w:val="a2"/>
    <w:qFormat/>
    <w:pPr>
      <w:keepNext/>
      <w:keepLines/>
      <w:spacing w:before="100" w:after="120" w:line="360" w:lineRule="auto"/>
      <w:outlineLvl w:val="2"/>
    </w:pPr>
    <w:rPr>
      <w:rFonts w:eastAsia="黑体"/>
      <w:sz w:val="30"/>
      <w:szCs w:val="32"/>
    </w:rPr>
  </w:style>
  <w:style w:type="paragraph" w:customStyle="1" w:styleId="CharChar1CharCharCharChar11">
    <w:name w:val="Char Char1 Char Char Char Char11"/>
    <w:basedOn w:val="a2"/>
    <w:uiPriority w:val="99"/>
    <w:qFormat/>
    <w:pPr>
      <w:jc w:val="both"/>
    </w:pPr>
  </w:style>
  <w:style w:type="paragraph" w:customStyle="1" w:styleId="3h3H3level3PIM3Level3HeadHeading3-oldsect12">
    <w:name w:val="样式 标题 3h3H3level_3PIM 3Level 3 HeadHeading 3 - oldsect1.2..."/>
    <w:basedOn w:val="32"/>
    <w:uiPriority w:val="99"/>
    <w:qFormat/>
    <w:pPr>
      <w:keepNext w:val="0"/>
      <w:keepLines w:val="0"/>
      <w:spacing w:before="120" w:after="120" w:line="400" w:lineRule="exact"/>
      <w:ind w:firstLine="601"/>
      <w:jc w:val="both"/>
    </w:pPr>
    <w:rPr>
      <w:rFonts w:ascii="Times New Roman"/>
      <w:bCs w:val="0"/>
      <w:spacing w:val="8"/>
      <w:sz w:val="28"/>
      <w:szCs w:val="20"/>
    </w:rPr>
  </w:style>
  <w:style w:type="paragraph" w:customStyle="1" w:styleId="CharCharCharCharCharCharChar30">
    <w:name w:val="Char Char Char Char Char Char Char3"/>
    <w:basedOn w:val="a2"/>
    <w:qFormat/>
    <w:pPr>
      <w:spacing w:line="360" w:lineRule="atLeast"/>
      <w:jc w:val="both"/>
      <w:textAlignment w:val="baseline"/>
    </w:pPr>
    <w:rPr>
      <w:rFonts w:hAnsi="Arial" w:cs="Arial"/>
      <w:sz w:val="20"/>
    </w:rPr>
  </w:style>
  <w:style w:type="paragraph" w:customStyle="1" w:styleId="Char1CharCharCharCharChar1">
    <w:name w:val="Char1 Char Char Char Char Char1"/>
    <w:basedOn w:val="a2"/>
    <w:next w:val="a2"/>
    <w:uiPriority w:val="99"/>
    <w:qFormat/>
    <w:pPr>
      <w:spacing w:line="360" w:lineRule="auto"/>
      <w:ind w:firstLineChars="200" w:firstLine="200"/>
      <w:jc w:val="center"/>
    </w:pPr>
    <w:rPr>
      <w:rFonts w:eastAsia="黑体"/>
    </w:rPr>
  </w:style>
  <w:style w:type="paragraph" w:customStyle="1" w:styleId="3fff5">
    <w:name w:val="字元3"/>
    <w:basedOn w:val="a2"/>
    <w:pPr>
      <w:jc w:val="both"/>
    </w:pPr>
    <w:rPr>
      <w:sz w:val="24"/>
    </w:rPr>
  </w:style>
  <w:style w:type="paragraph" w:customStyle="1" w:styleId="CharCharCharChar1CharCharCharCharCharChar1">
    <w:name w:val="Char Char Char Char1 Char Char Char Char Char Char1"/>
    <w:basedOn w:val="a2"/>
    <w:next w:val="a2"/>
    <w:uiPriority w:val="99"/>
    <w:qFormat/>
    <w:pPr>
      <w:spacing w:line="360" w:lineRule="auto"/>
      <w:ind w:firstLineChars="200" w:firstLine="200"/>
      <w:jc w:val="both"/>
    </w:pPr>
    <w:rPr>
      <w:rFonts w:ascii="宋体" w:hAnsi="宋体" w:cs="宋体"/>
      <w:sz w:val="24"/>
    </w:rPr>
  </w:style>
  <w:style w:type="paragraph" w:customStyle="1" w:styleId="paragraphindent1">
    <w:name w:val="paragraphindent1"/>
    <w:basedOn w:val="a2"/>
    <w:uiPriority w:val="99"/>
    <w:qFormat/>
    <w:pPr>
      <w:ind w:firstLine="480"/>
    </w:pPr>
    <w:rPr>
      <w:rFonts w:ascii="ˎ̥" w:hAnsi="ˎ̥" w:cs="宋体"/>
      <w:sz w:val="24"/>
    </w:rPr>
  </w:style>
  <w:style w:type="paragraph" w:customStyle="1" w:styleId="CM77">
    <w:name w:val="CM77"/>
    <w:basedOn w:val="Default"/>
    <w:next w:val="Default"/>
    <w:uiPriority w:val="99"/>
    <w:qFormat/>
    <w:pPr>
      <w:spacing w:beforeLines="0" w:before="0" w:afterLines="0" w:after="205" w:line="240" w:lineRule="auto"/>
      <w:ind w:firstLineChars="0" w:firstLine="0"/>
    </w:pPr>
    <w:rPr>
      <w:rFonts w:ascii="IINFIO+TimesNewRoman" w:eastAsia="IINFIO+TimesNewRoman" w:cs="Times New Roman"/>
      <w:color w:val="auto"/>
    </w:rPr>
  </w:style>
  <w:style w:type="paragraph" w:customStyle="1" w:styleId="CharChar3Char1">
    <w:name w:val="Char Char3 Char1"/>
    <w:basedOn w:val="a2"/>
    <w:next w:val="a2"/>
    <w:uiPriority w:val="99"/>
    <w:qFormat/>
    <w:pPr>
      <w:spacing w:line="360" w:lineRule="auto"/>
      <w:ind w:firstLineChars="200" w:firstLine="200"/>
      <w:jc w:val="center"/>
    </w:pPr>
    <w:rPr>
      <w:rFonts w:eastAsia="黑体"/>
    </w:rPr>
  </w:style>
  <w:style w:type="paragraph" w:customStyle="1" w:styleId="CM38">
    <w:name w:val="CM38"/>
    <w:basedOn w:val="Default"/>
    <w:next w:val="Default"/>
    <w:uiPriority w:val="99"/>
    <w:qFormat/>
    <w:pPr>
      <w:spacing w:beforeLines="0" w:before="0" w:afterLines="0" w:after="0" w:line="500" w:lineRule="atLeast"/>
      <w:ind w:firstLineChars="0" w:firstLine="0"/>
    </w:pPr>
    <w:rPr>
      <w:rFonts w:ascii="黑体" w:eastAsia="黑体" w:cs="Times New Roman"/>
      <w:color w:val="auto"/>
    </w:rPr>
  </w:style>
  <w:style w:type="paragraph" w:customStyle="1" w:styleId="660">
    <w:name w:val="样式 (西文) 宋体 段前: 6 磅 段后: 6 磅"/>
    <w:basedOn w:val="a2"/>
    <w:qFormat/>
    <w:pPr>
      <w:spacing w:before="120" w:after="120" w:line="500" w:lineRule="exact"/>
      <w:jc w:val="both"/>
    </w:pPr>
    <w:rPr>
      <w:rFonts w:ascii="宋体" w:eastAsia="仿宋_GB2312" w:hAnsi="宋体" w:cs="宋体"/>
    </w:rPr>
  </w:style>
  <w:style w:type="paragraph" w:customStyle="1" w:styleId="afffffffffffffffffffffffff6">
    <w:name w:val="正文小四 标准"/>
    <w:basedOn w:val="a2"/>
    <w:uiPriority w:val="99"/>
    <w:qFormat/>
    <w:pPr>
      <w:spacing w:beforeLines="50" w:afterLines="50" w:line="360" w:lineRule="auto"/>
      <w:ind w:firstLineChars="200" w:firstLine="480"/>
      <w:jc w:val="both"/>
    </w:pPr>
    <w:rPr>
      <w:sz w:val="24"/>
    </w:rPr>
  </w:style>
  <w:style w:type="paragraph" w:customStyle="1" w:styleId="1fffffff7">
    <w:name w:val="表格样式1"/>
    <w:basedOn w:val="a2"/>
    <w:next w:val="a2"/>
    <w:qFormat/>
    <w:pPr>
      <w:spacing w:line="40" w:lineRule="atLeast"/>
      <w:jc w:val="center"/>
    </w:pPr>
    <w:rPr>
      <w:rFonts w:hAnsi="宋体"/>
      <w:sz w:val="24"/>
    </w:rPr>
  </w:style>
  <w:style w:type="paragraph" w:customStyle="1" w:styleId="221121H2SeHeadwsa211">
    <w:name w:val="样式 标题 2标题 21标题 121节H2SeHead wsa2标题 1.1 + 黑体 四号 非加粗"/>
    <w:basedOn w:val="22"/>
    <w:uiPriority w:val="99"/>
    <w:qFormat/>
    <w:pPr>
      <w:keepNext w:val="0"/>
      <w:keepLines w:val="0"/>
      <w:numPr>
        <w:ilvl w:val="1"/>
        <w:numId w:val="5"/>
      </w:numPr>
      <w:snapToGrid w:val="0"/>
      <w:jc w:val="both"/>
    </w:pPr>
    <w:rPr>
      <w:rFonts w:ascii="黑体" w:eastAsia="黑体" w:hAnsi="黑体" w:cs="Times New Roman"/>
      <w:b w:val="0"/>
      <w:bCs w:val="0"/>
      <w:color w:val="000000"/>
      <w:sz w:val="28"/>
    </w:rPr>
  </w:style>
  <w:style w:type="paragraph" w:customStyle="1" w:styleId="CharCharCharCharCharCharCharCharChar1CharCharCharCharCharChar13">
    <w:name w:val="Char Char Char Char Char Char Char Char Char1 Char Char Char Char Char Char13"/>
    <w:basedOn w:val="a2"/>
    <w:pPr>
      <w:jc w:val="both"/>
    </w:pPr>
  </w:style>
  <w:style w:type="paragraph" w:customStyle="1" w:styleId="2ffffc">
    <w:name w:val="纯文本2"/>
    <w:basedOn w:val="a2"/>
    <w:uiPriority w:val="99"/>
    <w:qFormat/>
    <w:pPr>
      <w:snapToGrid w:val="0"/>
      <w:spacing w:line="360" w:lineRule="auto"/>
      <w:ind w:firstLineChars="218" w:firstLine="523"/>
      <w:textAlignment w:val="baseline"/>
    </w:pPr>
    <w:rPr>
      <w:rFonts w:ascii="宋体" w:hAnsi="宋体"/>
      <w:color w:val="000000"/>
      <w:sz w:val="24"/>
    </w:rPr>
  </w:style>
  <w:style w:type="paragraph" w:customStyle="1" w:styleId="afffffffffffffffffffffffff7">
    <w:name w:val="项目编号"/>
    <w:basedOn w:val="a2"/>
    <w:next w:val="a2"/>
    <w:qFormat/>
    <w:pPr>
      <w:spacing w:before="120" w:after="120" w:line="360" w:lineRule="auto"/>
    </w:pPr>
    <w:rPr>
      <w:sz w:val="24"/>
    </w:rPr>
  </w:style>
  <w:style w:type="paragraph" w:customStyle="1" w:styleId="4TimesNewRoman">
    <w:name w:val="样式 标题 4 + (西文) Times New Roman (中文) 宋体 小四"/>
    <w:basedOn w:val="41"/>
    <w:qFormat/>
    <w:pPr>
      <w:tabs>
        <w:tab w:val="left" w:pos="1021"/>
        <w:tab w:val="left" w:pos="1247"/>
      </w:tabs>
      <w:snapToGrid w:val="0"/>
      <w:spacing w:beforeLines="25" w:before="78" w:afterLines="25" w:after="78"/>
      <w:ind w:left="964" w:rightChars="0" w:right="0" w:hanging="964"/>
    </w:pPr>
    <w:rPr>
      <w:rFonts w:ascii="华文中宋" w:eastAsia="华文中宋" w:hAnsi="华文中宋"/>
      <w:bCs w:val="0"/>
      <w:color w:val="0000FF"/>
      <w:sz w:val="24"/>
      <w:szCs w:val="24"/>
    </w:rPr>
  </w:style>
  <w:style w:type="paragraph" w:customStyle="1" w:styleId="afffffffffffffffffffffffff8">
    <w:name w:val="谏壁表"/>
    <w:basedOn w:val="TableTitle"/>
    <w:qFormat/>
    <w:pPr>
      <w:spacing w:beforeLines="0" w:afterLines="0" w:after="0"/>
    </w:pPr>
    <w:rPr>
      <w:b/>
    </w:rPr>
  </w:style>
  <w:style w:type="paragraph" w:customStyle="1" w:styleId="font6">
    <w:name w:val="font6"/>
    <w:basedOn w:val="a2"/>
    <w:qFormat/>
    <w:pPr>
      <w:widowControl/>
      <w:spacing w:before="100" w:beforeAutospacing="1" w:after="100" w:afterAutospacing="1"/>
    </w:pPr>
    <w:rPr>
      <w:rFonts w:ascii="宋体" w:hAnsi="宋体" w:cs="Arial Unicode MS" w:hint="eastAsia"/>
      <w:sz w:val="18"/>
      <w:szCs w:val="18"/>
    </w:rPr>
  </w:style>
  <w:style w:type="paragraph" w:customStyle="1" w:styleId="33H3h33rdlevel3CharChar35">
    <w:name w:val="样式 标题 3标题3H3h33rd level第二层条头标题 3 Char Char小标题小节标题标题 3 ...5"/>
    <w:basedOn w:val="32"/>
    <w:uiPriority w:val="99"/>
    <w:qFormat/>
    <w:pPr>
      <w:keepLines w:val="0"/>
      <w:tabs>
        <w:tab w:val="left" w:pos="1260"/>
      </w:tabs>
      <w:spacing w:before="156" w:after="120" w:line="264" w:lineRule="auto"/>
      <w:ind w:left="1260" w:hanging="720"/>
      <w:textAlignment w:val="baseline"/>
    </w:pPr>
    <w:rPr>
      <w:rFonts w:ascii="Times New Roman" w:eastAsia="仿宋_GB2312" w:cs="宋体"/>
      <w:b w:val="0"/>
      <w:bCs w:val="0"/>
      <w:sz w:val="24"/>
      <w:szCs w:val="20"/>
    </w:rPr>
  </w:style>
  <w:style w:type="paragraph" w:customStyle="1" w:styleId="3fff6">
    <w:name w:val="表格 3"/>
    <w:basedOn w:val="a2"/>
    <w:qFormat/>
    <w:pPr>
      <w:jc w:val="center"/>
    </w:pPr>
  </w:style>
  <w:style w:type="paragraph" w:customStyle="1" w:styleId="3BookmanOldStyle">
    <w:name w:val="标题 3 + (西文) Bookman Old Style"/>
    <w:basedOn w:val="22"/>
    <w:uiPriority w:val="99"/>
    <w:qFormat/>
    <w:pPr>
      <w:keepLines w:val="0"/>
      <w:spacing w:before="0" w:after="0" w:line="560" w:lineRule="exact"/>
      <w:jc w:val="both"/>
    </w:pPr>
    <w:rPr>
      <w:rFonts w:ascii="Bookman Old Style" w:eastAsia="宋体" w:hAnsi="Bookman Old Style" w:cs="Times New Roman"/>
      <w:b w:val="0"/>
      <w:sz w:val="30"/>
      <w:szCs w:val="30"/>
    </w:rPr>
  </w:style>
  <w:style w:type="paragraph" w:customStyle="1" w:styleId="11f5">
    <w:name w:val="宏文本11"/>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kern w:val="2"/>
      <w:sz w:val="24"/>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2"/>
    <w:uiPriority w:val="99"/>
    <w:qFormat/>
    <w:pPr>
      <w:spacing w:line="240" w:lineRule="exact"/>
      <w:ind w:firstLineChars="200" w:firstLine="200"/>
      <w:jc w:val="both"/>
    </w:pPr>
    <w:rPr>
      <w:szCs w:val="28"/>
    </w:rPr>
  </w:style>
  <w:style w:type="paragraph" w:customStyle="1" w:styleId="CharCharCharCharCharCharCharCharChar3">
    <w:name w:val="样式 纯文本纯文本 Char Char Char纯文本 Char Char纯文本 Char Char Char Char ..."/>
    <w:basedOn w:val="af8"/>
    <w:uiPriority w:val="99"/>
    <w:qFormat/>
    <w:pPr>
      <w:spacing w:line="360" w:lineRule="auto"/>
      <w:ind w:firstLineChars="200" w:firstLine="200"/>
      <w:jc w:val="both"/>
    </w:pPr>
    <w:rPr>
      <w:rFonts w:hAnsi="宋体" w:cs="宋体"/>
      <w:kern w:val="2"/>
      <w:szCs w:val="24"/>
    </w:rPr>
  </w:style>
  <w:style w:type="paragraph" w:customStyle="1" w:styleId="afffffffffffffffffffffffff9">
    <w:name w:val="图注"/>
    <w:basedOn w:val="a2"/>
    <w:next w:val="a2"/>
    <w:qFormat/>
    <w:pPr>
      <w:spacing w:before="60"/>
      <w:jc w:val="center"/>
    </w:pPr>
    <w:rPr>
      <w:rFonts w:ascii="宋体" w:hAnsi="宋体"/>
      <w:color w:val="0000FF"/>
      <w:sz w:val="24"/>
    </w:rPr>
  </w:style>
  <w:style w:type="paragraph" w:customStyle="1" w:styleId="xl73">
    <w:name w:val="xl73"/>
    <w:basedOn w:val="a2"/>
    <w:qFormat/>
    <w:pPr>
      <w:pBdr>
        <w:top w:val="single" w:sz="4" w:space="0" w:color="auto"/>
        <w:right w:val="single" w:sz="4" w:space="0" w:color="auto"/>
      </w:pBdr>
      <w:spacing w:before="100" w:beforeAutospacing="1" w:after="100" w:afterAutospacing="1"/>
      <w:jc w:val="center"/>
      <w:textAlignment w:val="center"/>
    </w:pPr>
    <w:rPr>
      <w:rFonts w:ascii="宋体" w:hAnsi="宋体" w:cs="宋体"/>
      <w:sz w:val="24"/>
    </w:rPr>
  </w:style>
  <w:style w:type="paragraph" w:customStyle="1" w:styleId="227">
    <w:name w:val="正文22"/>
    <w:basedOn w:val="a2"/>
    <w:next w:val="a3"/>
    <w:uiPriority w:val="99"/>
    <w:qFormat/>
    <w:pPr>
      <w:snapToGrid w:val="0"/>
      <w:spacing w:line="360" w:lineRule="atLeast"/>
      <w:jc w:val="both"/>
    </w:pPr>
    <w:rPr>
      <w:rFonts w:ascii="宋体" w:eastAsia="黑体" w:hAnsi="宋体"/>
      <w:spacing w:val="5"/>
      <w:sz w:val="32"/>
    </w:rPr>
  </w:style>
  <w:style w:type="paragraph" w:customStyle="1" w:styleId="afffffffffffffffffffffffffa">
    <w:name w:val="表字"/>
    <w:basedOn w:val="a2"/>
    <w:qFormat/>
    <w:pPr>
      <w:jc w:val="center"/>
    </w:pPr>
    <w:rPr>
      <w:rFonts w:ascii="宋体"/>
    </w:rPr>
  </w:style>
  <w:style w:type="paragraph" w:customStyle="1" w:styleId="CharCharChar1CharCharCharCharCharCharChar4">
    <w:name w:val="Char Char Char1 Char Char Char Char Char Char Char4"/>
    <w:basedOn w:val="a2"/>
  </w:style>
  <w:style w:type="paragraph" w:customStyle="1" w:styleId="afffffffffffffffffffffffffb">
    <w:name w:val="正文表格文字"/>
    <w:basedOn w:val="a2"/>
    <w:uiPriority w:val="99"/>
    <w:qFormat/>
    <w:pPr>
      <w:spacing w:line="400" w:lineRule="exact"/>
    </w:pPr>
  </w:style>
  <w:style w:type="paragraph" w:customStyle="1" w:styleId="afffffffffffffffffffffffffc">
    <w:name w:val="表前文"/>
    <w:basedOn w:val="a2"/>
    <w:qFormat/>
    <w:pPr>
      <w:spacing w:after="120" w:line="400" w:lineRule="exact"/>
      <w:ind w:firstLine="601"/>
      <w:textAlignment w:val="baseline"/>
    </w:pPr>
    <w:rPr>
      <w:spacing w:val="8"/>
      <w:szCs w:val="28"/>
    </w:rPr>
  </w:style>
  <w:style w:type="paragraph" w:customStyle="1" w:styleId="CharCharCharCharCharCharCharCharCharCharCharChar1CharCharCharCharCharCharCharCharChar">
    <w:name w:val="Char Char Char Char Char Char Char Char Char Char Char Char1 Char Char Char Char Char Char Char Char Char"/>
    <w:basedOn w:val="a2"/>
    <w:uiPriority w:val="99"/>
    <w:qFormat/>
    <w:pPr>
      <w:spacing w:line="240" w:lineRule="exact"/>
      <w:ind w:firstLineChars="200" w:firstLine="200"/>
      <w:jc w:val="both"/>
    </w:pPr>
    <w:rPr>
      <w:szCs w:val="28"/>
    </w:rPr>
  </w:style>
  <w:style w:type="paragraph" w:customStyle="1" w:styleId="gh">
    <w:name w:val="gh"/>
    <w:basedOn w:val="a2"/>
    <w:qFormat/>
    <w:pPr>
      <w:spacing w:line="360" w:lineRule="auto"/>
      <w:ind w:firstLine="425"/>
    </w:pPr>
    <w:rPr>
      <w:sz w:val="24"/>
    </w:rPr>
  </w:style>
  <w:style w:type="paragraph" w:customStyle="1" w:styleId="CharCharCharCharCharCharCharCharCharCharChar1CharCharCharCharCharCharCharCharCharCharCharCharCharCharCharChar2">
    <w:name w:val="Char Char Char Char Char Char Char Char Char Char Char1 Char Char Char Char Char Char Char Char Char Char Char Char Char Char Char Char2"/>
    <w:basedOn w:val="a2"/>
    <w:uiPriority w:val="99"/>
    <w:qFormat/>
    <w:pPr>
      <w:jc w:val="both"/>
    </w:pPr>
    <w:rPr>
      <w:rFonts w:ascii="Times New Roman"/>
    </w:rPr>
  </w:style>
  <w:style w:type="paragraph" w:customStyle="1" w:styleId="CharChar1CharCharCharChar3">
    <w:name w:val="Char Char1 Char Char Char Char3"/>
    <w:basedOn w:val="a2"/>
    <w:uiPriority w:val="99"/>
    <w:qFormat/>
    <w:pPr>
      <w:jc w:val="both"/>
    </w:pPr>
    <w:rPr>
      <w:rFonts w:ascii="Times New Roman"/>
    </w:rPr>
  </w:style>
  <w:style w:type="paragraph" w:customStyle="1" w:styleId="1fffffff8">
    <w:name w:val="修订1"/>
    <w:uiPriority w:val="99"/>
    <w:qFormat/>
    <w:rPr>
      <w:rFonts w:ascii="Times New Roman" w:eastAsia="宋体" w:hAnsi="Times New Roman" w:cs="Times New Roman"/>
      <w:kern w:val="2"/>
      <w:sz w:val="21"/>
      <w:szCs w:val="24"/>
    </w:rPr>
  </w:style>
  <w:style w:type="paragraph" w:customStyle="1" w:styleId="CharCharChar2CharCharCharCharCharCharCharCharCharChar4">
    <w:name w:val="Char Char Char2 Char Char Char Char Char Char Char Char Char Char4"/>
    <w:basedOn w:val="a2"/>
    <w:uiPriority w:val="99"/>
    <w:qFormat/>
    <w:pPr>
      <w:jc w:val="both"/>
    </w:pPr>
  </w:style>
  <w:style w:type="paragraph" w:customStyle="1" w:styleId="2ffffd">
    <w:name w:val="列表2"/>
    <w:basedOn w:val="a2"/>
    <w:uiPriority w:val="99"/>
    <w:qFormat/>
    <w:pPr>
      <w:spacing w:line="360" w:lineRule="exact"/>
      <w:jc w:val="center"/>
    </w:pPr>
    <w:rPr>
      <w:rFonts w:eastAsia="仿宋_GB2312" w:hint="eastAsia"/>
      <w:sz w:val="24"/>
    </w:rPr>
  </w:style>
  <w:style w:type="paragraph" w:customStyle="1" w:styleId="xl51">
    <w:name w:val="xl51"/>
    <w:basedOn w:val="a2"/>
    <w:qFormat/>
    <w:pPr>
      <w:widowControl/>
      <w:pBdr>
        <w:top w:val="single" w:sz="4" w:space="0" w:color="auto"/>
        <w:left w:val="single" w:sz="4" w:space="0" w:color="auto"/>
        <w:bottom w:val="single" w:sz="12"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sz w:val="24"/>
    </w:rPr>
  </w:style>
  <w:style w:type="paragraph" w:customStyle="1" w:styleId="17111">
    <w:name w:val="样式 首行缩进:  1.71 字符11"/>
    <w:basedOn w:val="a2"/>
    <w:uiPriority w:val="99"/>
    <w:qFormat/>
    <w:pPr>
      <w:spacing w:line="360" w:lineRule="auto"/>
      <w:ind w:firstLineChars="171" w:firstLine="359"/>
      <w:jc w:val="both"/>
    </w:pPr>
    <w:rPr>
      <w:rFonts w:cs="宋体"/>
      <w:sz w:val="24"/>
    </w:rPr>
  </w:style>
  <w:style w:type="paragraph" w:customStyle="1" w:styleId="000">
    <w:name w:val="正文00"/>
    <w:basedOn w:val="a2"/>
    <w:qFormat/>
    <w:pPr>
      <w:snapToGrid w:val="0"/>
      <w:spacing w:before="120" w:line="300" w:lineRule="auto"/>
      <w:ind w:firstLineChars="200" w:firstLine="480"/>
    </w:pPr>
    <w:rPr>
      <w:rFonts w:hAnsi="宋体"/>
      <w:color w:val="000000"/>
      <w:sz w:val="24"/>
    </w:rPr>
  </w:style>
  <w:style w:type="paragraph" w:customStyle="1" w:styleId="11f6">
    <w:name w:val="表格内字体11"/>
    <w:basedOn w:val="a2"/>
    <w:uiPriority w:val="99"/>
    <w:qFormat/>
    <w:pPr>
      <w:jc w:val="center"/>
    </w:pPr>
    <w:rPr>
      <w:rFonts w:ascii="宋体" w:cs="宋体"/>
    </w:rPr>
  </w:style>
  <w:style w:type="paragraph" w:customStyle="1" w:styleId="afffffffffffffffffffffffffd">
    <w:name w:val="正文（首行缩进）"/>
    <w:basedOn w:val="a2"/>
    <w:qFormat/>
    <w:pPr>
      <w:snapToGrid w:val="0"/>
      <w:spacing w:line="360" w:lineRule="auto"/>
      <w:ind w:firstLineChars="200" w:firstLine="200"/>
    </w:pPr>
    <w:rPr>
      <w:sz w:val="24"/>
    </w:rPr>
  </w:style>
  <w:style w:type="paragraph" w:customStyle="1" w:styleId="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w:basedOn w:val="a2"/>
    <w:next w:val="a3"/>
    <w:qFormat/>
    <w:pPr>
      <w:ind w:firstLineChars="200" w:firstLine="420"/>
    </w:pPr>
  </w:style>
  <w:style w:type="paragraph" w:customStyle="1" w:styleId="3fff7">
    <w:name w:val="样式 标题 3 + 宋体 小四"/>
    <w:basedOn w:val="headi"/>
    <w:uiPriority w:val="99"/>
    <w:qFormat/>
    <w:pPr>
      <w:adjustRightInd/>
      <w:textAlignment w:val="auto"/>
    </w:pPr>
    <w:rPr>
      <w:rFonts w:eastAsia="黑体" w:hAnsi="宋体"/>
      <w:sz w:val="32"/>
    </w:rPr>
  </w:style>
  <w:style w:type="paragraph" w:customStyle="1" w:styleId="afffffffffffffffffffffffffe">
    <w:name w:val="电镀表"/>
    <w:basedOn w:val="a2"/>
    <w:uiPriority w:val="99"/>
    <w:qFormat/>
    <w:pPr>
      <w:snapToGrid w:val="0"/>
      <w:ind w:firstLineChars="99" w:firstLine="211"/>
      <w:jc w:val="both"/>
      <w:textAlignment w:val="center"/>
    </w:pPr>
  </w:style>
  <w:style w:type="paragraph" w:customStyle="1" w:styleId="11f7">
    <w:name w:val="正文11"/>
    <w:basedOn w:val="a2"/>
    <w:qFormat/>
    <w:rPr>
      <w:rFonts w:ascii="仿宋_GB2312" w:eastAsia="仿宋_GB2312" w:hAnsi="Calibri"/>
      <w:color w:val="000000"/>
      <w:szCs w:val="28"/>
    </w:rPr>
  </w:style>
  <w:style w:type="paragraph" w:customStyle="1" w:styleId="affffffffffffffffffffffffff">
    <w:name w:val="表格内容格式"/>
    <w:basedOn w:val="a2"/>
    <w:qFormat/>
    <w:pPr>
      <w:spacing w:line="240" w:lineRule="atLeast"/>
      <w:jc w:val="both"/>
      <w:textAlignment w:val="baseline"/>
    </w:pPr>
    <w:rPr>
      <w:rFonts w:ascii="宋体" w:hAnsi="宋体"/>
      <w:snapToGrid w:val="0"/>
      <w:color w:val="000000"/>
    </w:rPr>
  </w:style>
  <w:style w:type="paragraph" w:customStyle="1" w:styleId="CharCharCharCharCharCharCharCharCharCharCharCharCharCharCharChar1">
    <w:name w:val="Char Char Char Char Char Char Char Char Char Char Char Char Char Char Char Char1"/>
    <w:basedOn w:val="a2"/>
    <w:uiPriority w:val="99"/>
    <w:qFormat/>
    <w:pPr>
      <w:jc w:val="both"/>
    </w:pPr>
    <w:rPr>
      <w:sz w:val="24"/>
    </w:rPr>
  </w:style>
  <w:style w:type="paragraph" w:customStyle="1" w:styleId="2ffffe">
    <w:name w:val="+列表2"/>
    <w:basedOn w:val="a2"/>
    <w:uiPriority w:val="99"/>
    <w:qFormat/>
    <w:pPr>
      <w:jc w:val="center"/>
    </w:pPr>
  </w:style>
  <w:style w:type="paragraph" w:customStyle="1" w:styleId="CharCharCharCharCharCharCharCharChar1CharCharCharChar1">
    <w:name w:val="Char Char Char Char Char Char Char Char Char1 Char Char Char Char1"/>
    <w:basedOn w:val="a2"/>
    <w:uiPriority w:val="99"/>
    <w:qFormat/>
    <w:pPr>
      <w:jc w:val="both"/>
    </w:pPr>
  </w:style>
  <w:style w:type="paragraph" w:customStyle="1" w:styleId="a16">
    <w:name w:val="a新标题1"/>
    <w:basedOn w:val="12"/>
    <w:next w:val="22"/>
    <w:uiPriority w:val="99"/>
    <w:qFormat/>
    <w:pPr>
      <w:spacing w:before="340" w:after="330" w:line="240" w:lineRule="exact"/>
      <w:textAlignment w:val="auto"/>
    </w:pPr>
    <w:rPr>
      <w:rFonts w:eastAsia="宋体"/>
      <w:bCs w:val="0"/>
      <w:sz w:val="28"/>
      <w:szCs w:val="44"/>
    </w:rPr>
  </w:style>
  <w:style w:type="paragraph" w:customStyle="1" w:styleId="GB231224">
    <w:name w:val="样式 普通(网站) + 仿宋_GB2312 四号 黑色 行距: 固定值 24 磅"/>
    <w:basedOn w:val="aff6"/>
    <w:uiPriority w:val="99"/>
    <w:qFormat/>
    <w:pPr>
      <w:spacing w:line="480" w:lineRule="exact"/>
      <w:ind w:firstLineChars="200" w:firstLine="560"/>
    </w:pPr>
    <w:rPr>
      <w:rFonts w:ascii="仿宋_GB2312" w:hAnsi="宋体" w:cs="宋体"/>
      <w:color w:val="000000"/>
      <w:sz w:val="28"/>
    </w:rPr>
  </w:style>
  <w:style w:type="paragraph" w:customStyle="1" w:styleId="2fffff">
    <w:name w:val="样式 标题 2节 + 宋体 加粗"/>
    <w:basedOn w:val="22"/>
    <w:qFormat/>
    <w:pPr>
      <w:tabs>
        <w:tab w:val="left" w:pos="1275"/>
        <w:tab w:val="left" w:pos="1505"/>
      </w:tabs>
      <w:snapToGrid w:val="0"/>
      <w:spacing w:before="0" w:after="0" w:line="360" w:lineRule="auto"/>
      <w:ind w:left="200" w:hangingChars="200" w:hanging="200"/>
    </w:pPr>
    <w:rPr>
      <w:rFonts w:ascii="宋体" w:eastAsia="宋体" w:hAnsi="宋体" w:cs="Times New Roman"/>
      <w:sz w:val="28"/>
      <w:szCs w:val="20"/>
    </w:rPr>
  </w:style>
  <w:style w:type="paragraph" w:customStyle="1" w:styleId="Char2CharChar1CharCharCharCharCharCharCharCharCharChar">
    <w:name w:val="Char2 Char Char1 Char Char Char Char Char Char Char Char Char Char"/>
    <w:basedOn w:val="a2"/>
    <w:pPr>
      <w:jc w:val="both"/>
    </w:pPr>
    <w:rPr>
      <w:sz w:val="24"/>
    </w:rPr>
  </w:style>
  <w:style w:type="paragraph" w:customStyle="1" w:styleId="affffffffffffffffffffffffff0">
    <w:name w:val="正文 居中"/>
    <w:basedOn w:val="a2"/>
    <w:qFormat/>
    <w:pPr>
      <w:spacing w:before="48" w:after="48" w:line="360" w:lineRule="auto"/>
      <w:jc w:val="center"/>
    </w:pPr>
    <w:rPr>
      <w:rFonts w:ascii="宋体" w:hAnsi="宋体"/>
      <w:bCs/>
      <w:snapToGrid w:val="0"/>
      <w:sz w:val="24"/>
    </w:rPr>
  </w:style>
  <w:style w:type="paragraph" w:customStyle="1" w:styleId="xl45">
    <w:name w:val="xl4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rPr>
  </w:style>
  <w:style w:type="paragraph" w:customStyle="1" w:styleId="affffffffffffffffffffffffff1">
    <w:name w:val="基准页眉样式"/>
    <w:basedOn w:val="af4"/>
    <w:qFormat/>
    <w:pPr>
      <w:spacing w:before="80" w:after="80"/>
      <w:jc w:val="center"/>
    </w:pPr>
    <w:rPr>
      <w:color w:val="000000"/>
      <w:szCs w:val="21"/>
    </w:rPr>
  </w:style>
  <w:style w:type="paragraph" w:customStyle="1" w:styleId="affffffffffffffffffffffffff2">
    <w:name w:val="文档二级标题"/>
    <w:basedOn w:val="a2"/>
    <w:uiPriority w:val="99"/>
    <w:qFormat/>
    <w:pPr>
      <w:jc w:val="both"/>
    </w:pPr>
    <w:rPr>
      <w:rFonts w:ascii="楷体_GB2312" w:hAnsi="华文仿宋"/>
    </w:rPr>
  </w:style>
  <w:style w:type="paragraph" w:customStyle="1" w:styleId="ParaCharCharChar1CharCharCharChar">
    <w:name w:val="默认段落字体 Para Char Char Char1 Char Char Char Char"/>
    <w:basedOn w:val="a2"/>
    <w:qFormat/>
    <w:rPr>
      <w:sz w:val="24"/>
    </w:rPr>
  </w:style>
  <w:style w:type="paragraph" w:customStyle="1" w:styleId="1CharCharCharCharCharCharCharCharCharCharCharCharCharCharCharCharCharCharChar">
    <w:name w:val="1 Char Char Char Char Char Char Char Char Char Char Char Char Char Char Char Char Char Char Char"/>
    <w:basedOn w:val="a2"/>
    <w:qFormat/>
  </w:style>
  <w:style w:type="paragraph" w:customStyle="1" w:styleId="affffffffffffffffffffffffff3">
    <w:name w:val="小节"/>
    <w:basedOn w:val="a2"/>
    <w:next w:val="af4"/>
    <w:pPr>
      <w:autoSpaceDE/>
      <w:autoSpaceDN/>
      <w:adjustRightInd/>
      <w:spacing w:before="120" w:line="360" w:lineRule="auto"/>
    </w:pPr>
  </w:style>
  <w:style w:type="paragraph" w:customStyle="1" w:styleId="xl58">
    <w:name w:val="xl58"/>
    <w:basedOn w:val="a2"/>
    <w:qFormat/>
    <w:pPr>
      <w:pBdr>
        <w:bottom w:val="single" w:sz="4" w:space="0" w:color="auto"/>
      </w:pBdr>
      <w:shd w:val="clear" w:color="auto" w:fill="FFFFFF"/>
      <w:spacing w:before="100" w:beforeAutospacing="1" w:after="100" w:afterAutospacing="1"/>
    </w:pPr>
    <w:rPr>
      <w:rFonts w:ascii="Arial Unicode MS" w:eastAsia="Arial Unicode MS" w:hAnsi="Arial Unicode MS"/>
      <w:color w:val="000080"/>
      <w:szCs w:val="28"/>
    </w:rPr>
  </w:style>
  <w:style w:type="paragraph" w:customStyle="1" w:styleId="2fffff0">
    <w:name w:val="样式 正文首行缩进正文应用 + 首行缩进:  2 字符"/>
    <w:basedOn w:val="aff9"/>
    <w:qFormat/>
    <w:pPr>
      <w:spacing w:after="0" w:line="360" w:lineRule="auto"/>
      <w:ind w:firstLineChars="200" w:firstLine="480"/>
      <w:jc w:val="both"/>
    </w:pPr>
    <w:rPr>
      <w:sz w:val="28"/>
      <w:szCs w:val="20"/>
    </w:rPr>
  </w:style>
  <w:style w:type="paragraph" w:customStyle="1" w:styleId="CM9">
    <w:name w:val="CM9"/>
    <w:basedOn w:val="Default"/>
    <w:next w:val="Default"/>
    <w:uiPriority w:val="99"/>
    <w:qFormat/>
    <w:pPr>
      <w:spacing w:beforeLines="0" w:before="0" w:afterLines="0" w:after="420" w:line="240" w:lineRule="auto"/>
      <w:ind w:firstLineChars="0" w:firstLine="0"/>
    </w:pPr>
    <w:rPr>
      <w:rFonts w:ascii="新宋体" w:eastAsia="新宋体" w:cs="Times New Roman"/>
      <w:color w:val="auto"/>
    </w:rPr>
  </w:style>
  <w:style w:type="paragraph" w:customStyle="1" w:styleId="affffffffffffffffffffffffff4">
    <w:name w:val="广西炼油"/>
    <w:basedOn w:val="a3"/>
    <w:uiPriority w:val="99"/>
    <w:qFormat/>
    <w:pPr>
      <w:spacing w:before="5" w:line="360" w:lineRule="auto"/>
      <w:ind w:firstLineChars="0" w:firstLine="480"/>
      <w:jc w:val="both"/>
    </w:pPr>
    <w:rPr>
      <w:sz w:val="24"/>
      <w:szCs w:val="28"/>
    </w:rPr>
  </w:style>
  <w:style w:type="paragraph" w:customStyle="1" w:styleId="-0161">
    <w:name w:val="样式 左侧:  -0.16 厘米1"/>
    <w:basedOn w:val="a2"/>
    <w:uiPriority w:val="99"/>
    <w:qFormat/>
    <w:pPr>
      <w:ind w:left="-90"/>
      <w:jc w:val="both"/>
    </w:pPr>
    <w:rPr>
      <w:rFonts w:ascii="宋体" w:hAnsi="宋体" w:cs="宋体"/>
      <w:snapToGrid w:val="0"/>
      <w:sz w:val="24"/>
    </w:rPr>
  </w:style>
  <w:style w:type="paragraph" w:customStyle="1" w:styleId="211305055">
    <w:name w:val="样式 样式 标题 2 + 首行缩进:  1.13 厘米 + 段前: 0.5 行 段后: 0.5 行5"/>
    <w:basedOn w:val="2113"/>
    <w:uiPriority w:val="99"/>
    <w:qFormat/>
    <w:pPr>
      <w:spacing w:afterLines="0"/>
    </w:pPr>
  </w:style>
  <w:style w:type="paragraph" w:customStyle="1" w:styleId="CharCharCharCharCharCharCharCharCharCharCharChar1CharCharChar">
    <w:name w:val="Char Char Char Char Char Char Char Char Char Char Char Char1 Char Char Char"/>
    <w:basedOn w:val="a2"/>
    <w:pPr>
      <w:spacing w:after="160" w:line="240" w:lineRule="exact"/>
    </w:pPr>
    <w:rPr>
      <w:rFonts w:ascii="Verdana" w:hAnsi="Verdana"/>
      <w:sz w:val="20"/>
      <w:lang w:eastAsia="en-US"/>
    </w:rPr>
  </w:style>
  <w:style w:type="paragraph" w:customStyle="1" w:styleId="affffffffffffffffffffffffff5">
    <w:name w:val="密级编号"/>
    <w:basedOn w:val="a2"/>
    <w:uiPriority w:val="99"/>
    <w:qFormat/>
    <w:pPr>
      <w:jc w:val="center"/>
      <w:textAlignment w:val="baseline"/>
    </w:pPr>
    <w:rPr>
      <w:rFonts w:ascii="仿宋_GB2312" w:eastAsia="仿宋_GB2312"/>
      <w:sz w:val="24"/>
    </w:rPr>
  </w:style>
  <w:style w:type="paragraph" w:customStyle="1" w:styleId="affffffffffffffffffffffffff6">
    <w:name w:val="居中四号"/>
    <w:uiPriority w:val="99"/>
    <w:qFormat/>
    <w:pPr>
      <w:spacing w:line="300" w:lineRule="auto"/>
      <w:jc w:val="center"/>
    </w:pPr>
    <w:rPr>
      <w:rFonts w:ascii="Times New Roman" w:eastAsia="宋体" w:hAnsi="Times New Roman" w:cs="Times New Roman"/>
      <w:sz w:val="28"/>
    </w:rPr>
  </w:style>
  <w:style w:type="paragraph" w:customStyle="1" w:styleId="1fffffff9">
    <w:name w:val="项目符号1"/>
    <w:basedOn w:val="a2"/>
    <w:qFormat/>
    <w:pPr>
      <w:tabs>
        <w:tab w:val="left" w:pos="360"/>
        <w:tab w:val="left" w:pos="935"/>
      </w:tabs>
      <w:snapToGrid w:val="0"/>
      <w:spacing w:before="120" w:after="120" w:line="312" w:lineRule="auto"/>
      <w:ind w:left="935" w:hangingChars="200" w:hanging="360"/>
    </w:pPr>
    <w:rPr>
      <w:rFonts w:hAnsi="Arial"/>
      <w:b/>
    </w:rPr>
  </w:style>
  <w:style w:type="paragraph" w:customStyle="1" w:styleId="Char4CharCharCharCharCharCharCharCharChar1">
    <w:name w:val="Char4 Char Char Char Char Char Char Char Char Char1"/>
    <w:basedOn w:val="a2"/>
    <w:uiPriority w:val="99"/>
    <w:qFormat/>
    <w:pPr>
      <w:jc w:val="both"/>
    </w:pPr>
    <w:rPr>
      <w:sz w:val="24"/>
    </w:rPr>
  </w:style>
  <w:style w:type="paragraph" w:customStyle="1" w:styleId="3CharCharb">
    <w:name w:val="目录 3 Char Char"/>
    <w:basedOn w:val="a2"/>
    <w:next w:val="a2"/>
    <w:qFormat/>
    <w:pPr>
      <w:spacing w:line="351" w:lineRule="atLeast"/>
      <w:ind w:left="419" w:firstLine="419"/>
    </w:pPr>
    <w:rPr>
      <w:rFonts w:hAnsi="宋体"/>
      <w:i/>
    </w:rPr>
  </w:style>
  <w:style w:type="paragraph" w:customStyle="1" w:styleId="235">
    <w:name w:val="正文文本缩进 23"/>
    <w:basedOn w:val="a2"/>
    <w:uiPriority w:val="99"/>
    <w:qFormat/>
    <w:pPr>
      <w:spacing w:after="120" w:line="480" w:lineRule="auto"/>
      <w:ind w:left="420"/>
      <w:jc w:val="both"/>
      <w:textAlignment w:val="baseline"/>
    </w:pPr>
    <w:rPr>
      <w:rFonts w:hint="eastAsia"/>
    </w:rPr>
  </w:style>
  <w:style w:type="paragraph" w:customStyle="1" w:styleId="0a">
    <w:name w:val="0"/>
    <w:basedOn w:val="a2"/>
    <w:uiPriority w:val="99"/>
    <w:qFormat/>
    <w:pPr>
      <w:snapToGrid w:val="0"/>
      <w:jc w:val="both"/>
    </w:pPr>
  </w:style>
  <w:style w:type="paragraph" w:customStyle="1" w:styleId="affffffffffffffffffffffffff7">
    <w:name w:val="样式 表头"/>
    <w:uiPriority w:val="99"/>
    <w:qFormat/>
    <w:pPr>
      <w:spacing w:beforeLines="50"/>
      <w:jc w:val="center"/>
    </w:pPr>
    <w:rPr>
      <w:rFonts w:ascii="Times New Roman" w:eastAsia="黑体" w:hAnsi="Times New Roman" w:cs="Times New Roman"/>
      <w:b/>
      <w:bCs/>
      <w:kern w:val="2"/>
      <w:sz w:val="24"/>
      <w:szCs w:val="24"/>
    </w:rPr>
  </w:style>
  <w:style w:type="paragraph" w:customStyle="1" w:styleId="statement">
    <w:name w:val="statement"/>
    <w:basedOn w:val="a2"/>
    <w:qFormat/>
    <w:pPr>
      <w:spacing w:before="100" w:beforeAutospacing="1" w:after="100" w:afterAutospacing="1"/>
    </w:pPr>
    <w:rPr>
      <w:rFonts w:eastAsia="Arial Unicode MS" w:hAnsi="Arial" w:cs="Arial"/>
      <w:color w:val="003366"/>
      <w:sz w:val="14"/>
      <w:szCs w:val="14"/>
    </w:rPr>
  </w:style>
  <w:style w:type="paragraph" w:customStyle="1" w:styleId="getriebe">
    <w:name w:val="getriebe"/>
    <w:basedOn w:val="fahrw"/>
    <w:uiPriority w:val="99"/>
    <w:qFormat/>
    <w:pPr>
      <w:tabs>
        <w:tab w:val="clear" w:pos="993"/>
      </w:tabs>
    </w:p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2"/>
    <w:uiPriority w:val="99"/>
    <w:qFormat/>
    <w:pPr>
      <w:spacing w:line="240" w:lineRule="exact"/>
      <w:ind w:firstLineChars="200" w:firstLine="200"/>
      <w:jc w:val="both"/>
    </w:pPr>
    <w:rPr>
      <w:szCs w:val="28"/>
    </w:rPr>
  </w:style>
  <w:style w:type="paragraph" w:customStyle="1" w:styleId="145">
    <w:name w:val="文本块14"/>
    <w:basedOn w:val="a2"/>
    <w:qFormat/>
    <w:pPr>
      <w:spacing w:before="100" w:after="100"/>
    </w:pPr>
    <w:rPr>
      <w:rFonts w:eastAsia="Times New Roman"/>
      <w:sz w:val="22"/>
      <w:lang w:eastAsia="en-US"/>
    </w:rPr>
  </w:style>
  <w:style w:type="paragraph" w:customStyle="1" w:styleId="pic3">
    <w:name w:val="pic3"/>
    <w:basedOn w:val="a2"/>
    <w:uiPriority w:val="99"/>
    <w:qFormat/>
    <w:pPr>
      <w:pBdr>
        <w:top w:val="double" w:sz="6" w:space="0" w:color="999999"/>
        <w:left w:val="double" w:sz="6" w:space="0" w:color="999999"/>
        <w:bottom w:val="double" w:sz="6" w:space="0" w:color="999999"/>
        <w:right w:val="double" w:sz="6" w:space="0" w:color="999999"/>
      </w:pBdr>
      <w:spacing w:before="100" w:beforeAutospacing="1" w:after="100" w:afterAutospacing="1"/>
    </w:pPr>
    <w:rPr>
      <w:rFonts w:ascii="Arial Unicode MS" w:eastAsia="Arial Unicode MS" w:hAnsi="Arial Unicode MS" w:cs="楷体_GB2312"/>
      <w:sz w:val="24"/>
    </w:rPr>
  </w:style>
  <w:style w:type="paragraph" w:customStyle="1" w:styleId="CharCharChar1CharCharCharCharCharCharCharChar">
    <w:name w:val="Char Char Char1 Char Char Char Char Char Char Char Char"/>
    <w:basedOn w:val="a2"/>
    <w:uiPriority w:val="99"/>
    <w:qFormat/>
    <w:pPr>
      <w:jc w:val="both"/>
    </w:pPr>
  </w:style>
  <w:style w:type="paragraph" w:customStyle="1" w:styleId="affffffffffffffffffffffffff8">
    <w:name w:val="方案正文样式"/>
    <w:basedOn w:val="a2"/>
    <w:pPr>
      <w:autoSpaceDE/>
      <w:autoSpaceDN/>
      <w:snapToGrid w:val="0"/>
      <w:spacing w:line="360" w:lineRule="auto"/>
      <w:ind w:firstLineChars="200" w:firstLine="454"/>
      <w:jc w:val="both"/>
      <w:textAlignment w:val="baseline"/>
    </w:pPr>
    <w:rPr>
      <w:snapToGrid w:val="0"/>
    </w:rPr>
  </w:style>
  <w:style w:type="paragraph" w:customStyle="1" w:styleId="1fffffffa">
    <w:name w:val="环评正文1"/>
    <w:basedOn w:val="affffff7"/>
    <w:uiPriority w:val="99"/>
    <w:qFormat/>
    <w:pPr>
      <w:ind w:firstLineChars="0" w:firstLine="0"/>
    </w:pPr>
    <w:rPr>
      <w:rFonts w:ascii="Calibri" w:eastAsia="宋体" w:hAnsi="Calibri"/>
      <w:color w:val="000000"/>
      <w:kern w:val="21"/>
      <w:sz w:val="24"/>
      <w:szCs w:val="24"/>
    </w:rPr>
  </w:style>
  <w:style w:type="paragraph" w:customStyle="1" w:styleId="2fffff1">
    <w:name w:val="样式 正文标准格式 + 左侧:  2 字符"/>
    <w:basedOn w:val="afffffffffffffffffffff4"/>
    <w:uiPriority w:val="99"/>
    <w:qFormat/>
  </w:style>
  <w:style w:type="paragraph" w:customStyle="1" w:styleId="2fffff2">
    <w:name w:val="样式 标题 2"/>
    <w:basedOn w:val="22"/>
    <w:uiPriority w:val="99"/>
    <w:qFormat/>
    <w:pPr>
      <w:keepLines w:val="0"/>
      <w:snapToGrid w:val="0"/>
      <w:spacing w:beforeLines="50" w:before="156" w:after="0" w:line="360" w:lineRule="auto"/>
    </w:pPr>
    <w:rPr>
      <w:rFonts w:ascii="Arial" w:eastAsia="黑体" w:hAnsi="Arial" w:cs="宋体"/>
      <w:bCs w:val="0"/>
      <w:sz w:val="30"/>
      <w:szCs w:val="30"/>
    </w:rPr>
  </w:style>
  <w:style w:type="paragraph" w:customStyle="1" w:styleId="GB231206">
    <w:name w:val="样式 (西文) 宋体 (中文) 仿宋_GB2312 五号 黑色 居中 首行缩进:  0 厘米 行距: 单倍行距6"/>
    <w:basedOn w:val="a2"/>
    <w:uiPriority w:val="99"/>
    <w:qFormat/>
    <w:pPr>
      <w:jc w:val="center"/>
    </w:pPr>
    <w:rPr>
      <w:rFonts w:ascii="宋体" w:hAnsi="宋体"/>
      <w:color w:val="000000"/>
    </w:rPr>
  </w:style>
  <w:style w:type="paragraph" w:customStyle="1" w:styleId="xl96">
    <w:name w:val="xl96"/>
    <w:basedOn w:val="a2"/>
    <w:qFormat/>
    <w:pPr>
      <w:pBdr>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affffffffffffffffffffffffff9">
    <w:name w:val="王向东正文"/>
    <w:uiPriority w:val="99"/>
    <w:qFormat/>
    <w:pPr>
      <w:ind w:rightChars="8" w:right="22" w:firstLineChars="200" w:firstLine="560"/>
    </w:pPr>
    <w:rPr>
      <w:rFonts w:ascii="Times New Roman" w:eastAsia="仿宋_GB2312" w:hAnsi="Times New Roman" w:cs="幼圆"/>
      <w:kern w:val="2"/>
      <w:sz w:val="28"/>
      <w:szCs w:val="28"/>
    </w:rPr>
  </w:style>
  <w:style w:type="paragraph" w:customStyle="1" w:styleId="CharChar1Char3">
    <w:name w:val="Char Char1 Char3"/>
    <w:basedOn w:val="a2"/>
    <w:uiPriority w:val="99"/>
    <w:qFormat/>
    <w:pPr>
      <w:jc w:val="both"/>
    </w:pPr>
  </w:style>
  <w:style w:type="paragraph" w:customStyle="1" w:styleId="1352">
    <w:name w:val="样式 13.5 磅 首行缩进:  2 字符"/>
    <w:basedOn w:val="a2"/>
    <w:uiPriority w:val="99"/>
    <w:qFormat/>
    <w:pPr>
      <w:ind w:leftChars="1" w:left="2" w:firstLineChars="200" w:firstLine="480"/>
    </w:pPr>
    <w:rPr>
      <w:rFonts w:cs="宋体"/>
      <w:kern w:val="10"/>
      <w:sz w:val="24"/>
    </w:rPr>
  </w:style>
  <w:style w:type="paragraph" w:customStyle="1" w:styleId="GB2312251">
    <w:name w:val="样式 普通(网站) + 仿宋_GB2312 四号 行距: 固定值 25 磅"/>
    <w:basedOn w:val="46"/>
    <w:uiPriority w:val="99"/>
    <w:qFormat/>
    <w:pPr>
      <w:spacing w:line="500" w:lineRule="exact"/>
    </w:pPr>
    <w:rPr>
      <w:rFonts w:ascii="仿宋_GB2312" w:eastAsia="仿宋_GB2312" w:hAnsi="宋体" w:cs="宋体"/>
      <w:sz w:val="28"/>
    </w:rPr>
  </w:style>
  <w:style w:type="paragraph" w:customStyle="1" w:styleId="HTML21">
    <w:name w:val="HTML 预设格式2"/>
    <w:basedOn w:val="a2"/>
    <w:uiPriority w:val="99"/>
    <w:qFormat/>
    <w:pPr>
      <w:jc w:val="both"/>
    </w:pPr>
    <w:rPr>
      <w:rFonts w:ascii="Courier New" w:hAnsi="Courier New"/>
      <w:sz w:val="20"/>
    </w:rPr>
  </w:style>
  <w:style w:type="paragraph" w:customStyle="1" w:styleId="CharCharCharChar50">
    <w:name w:val="Char Char Char Char5"/>
    <w:basedOn w:val="a2"/>
    <w:qFormat/>
    <w:pPr>
      <w:jc w:val="both"/>
    </w:pPr>
  </w:style>
  <w:style w:type="paragraph" w:customStyle="1" w:styleId="1fffffffb">
    <w:name w:val="ü1"/>
    <w:basedOn w:val="a2"/>
    <w:uiPriority w:val="99"/>
    <w:qFormat/>
    <w:pPr>
      <w:spacing w:before="480" w:after="120" w:line="480" w:lineRule="auto"/>
      <w:jc w:val="both"/>
      <w:textAlignment w:val="baseline"/>
    </w:pPr>
    <w:rPr>
      <w:rFonts w:ascii="CorpoSLig" w:hAnsi="CorpoSLig"/>
      <w:b/>
    </w:rPr>
  </w:style>
  <w:style w:type="paragraph" w:customStyle="1" w:styleId="reader-word-layerreader-word-s1-21">
    <w:name w:val="reader-word-layer reader-word-s1-21"/>
    <w:basedOn w:val="a2"/>
    <w:uiPriority w:val="99"/>
    <w:qFormat/>
    <w:pPr>
      <w:spacing w:before="100" w:beforeAutospacing="1" w:after="100" w:afterAutospacing="1"/>
    </w:pPr>
    <w:rPr>
      <w:rFonts w:ascii="宋体" w:hAnsi="宋体" w:cs="宋体"/>
      <w:sz w:val="24"/>
    </w:rPr>
  </w:style>
  <w:style w:type="paragraph" w:customStyle="1" w:styleId="chen4">
    <w:name w:val="chen表格内字体"/>
    <w:basedOn w:val="a2"/>
    <w:qFormat/>
    <w:pPr>
      <w:spacing w:line="400" w:lineRule="exact"/>
      <w:jc w:val="center"/>
    </w:pPr>
    <w:rPr>
      <w:rFonts w:eastAsia="仿宋_GB2312" w:cs="宋体"/>
      <w:sz w:val="24"/>
    </w:rPr>
  </w:style>
  <w:style w:type="paragraph" w:customStyle="1" w:styleId="CharCharCharCharCharChar40">
    <w:name w:val="Char Char Char Char Char Char4"/>
    <w:basedOn w:val="a2"/>
    <w:qFormat/>
    <w:rPr>
      <w:rFonts w:ascii="Times New Roman"/>
    </w:rPr>
  </w:style>
  <w:style w:type="paragraph" w:customStyle="1" w:styleId="affffffffffffffffffffffffffa">
    <w:name w:val="国函"/>
    <w:next w:val="a2"/>
    <w:qFormat/>
    <w:pPr>
      <w:adjustRightInd w:val="0"/>
      <w:spacing w:beforeLines="50" w:before="50" w:afterLines="50" w:after="300" w:line="360" w:lineRule="auto"/>
      <w:ind w:firstLineChars="40" w:firstLine="40"/>
      <w:jc w:val="center"/>
    </w:pPr>
    <w:rPr>
      <w:rFonts w:ascii="Times New Roman" w:eastAsia="楷体_GB2312" w:hAnsi="Times New Roman" w:cs="Times New Roman"/>
    </w:rPr>
  </w:style>
  <w:style w:type="paragraph" w:customStyle="1" w:styleId="CM10">
    <w:name w:val="CM10"/>
    <w:basedOn w:val="Default"/>
    <w:next w:val="Default"/>
    <w:uiPriority w:val="99"/>
    <w:qFormat/>
    <w:pPr>
      <w:spacing w:beforeLines="0" w:before="0" w:afterLines="0" w:after="150" w:line="240" w:lineRule="auto"/>
      <w:ind w:firstLineChars="0" w:firstLine="0"/>
    </w:pPr>
    <w:rPr>
      <w:rFonts w:ascii="新宋体" w:eastAsia="新宋体" w:cs="Times New Roman"/>
      <w:color w:val="auto"/>
    </w:rPr>
  </w:style>
  <w:style w:type="paragraph" w:customStyle="1" w:styleId="211H2Underrubrik1prop2Heading2HiddenHeadi">
    <w:name w:val="样式 标题 2节标题 1.1H2（一）Underrubrik1prop2Heading 2 HiddenHeadi..."/>
    <w:basedOn w:val="22"/>
    <w:qFormat/>
    <w:pPr>
      <w:snapToGrid w:val="0"/>
      <w:spacing w:before="120" w:after="120" w:line="240" w:lineRule="auto"/>
      <w:jc w:val="both"/>
    </w:pPr>
    <w:rPr>
      <w:rFonts w:ascii="宋体" w:eastAsia="宋体" w:hAnsi="宋体" w:cs="宋体"/>
      <w:snapToGrid w:val="0"/>
      <w:sz w:val="28"/>
      <w:szCs w:val="20"/>
    </w:rPr>
  </w:style>
  <w:style w:type="paragraph" w:customStyle="1" w:styleId="2fffff3">
    <w:name w:val="正文文本2"/>
    <w:basedOn w:val="a2"/>
    <w:uiPriority w:val="99"/>
    <w:qFormat/>
    <w:pPr>
      <w:spacing w:after="120"/>
      <w:jc w:val="both"/>
    </w:pPr>
    <w:rPr>
      <w:rFonts w:hint="eastAsia"/>
    </w:rPr>
  </w:style>
  <w:style w:type="paragraph" w:customStyle="1" w:styleId="3TimesNewRoman0">
    <w:name w:val="样式 标题 3 + (西文) Times New Roman (中文) 宋体 小四 加粗"/>
    <w:basedOn w:val="32"/>
    <w:qFormat/>
    <w:pPr>
      <w:tabs>
        <w:tab w:val="left" w:pos="1021"/>
      </w:tabs>
      <w:snapToGrid w:val="0"/>
      <w:spacing w:before="0" w:after="0" w:line="360" w:lineRule="auto"/>
      <w:ind w:leftChars="50" w:left="1021" w:hanging="1021"/>
    </w:pPr>
    <w:rPr>
      <w:rFonts w:ascii="仿宋_GB2312" w:eastAsia="仿宋_GB2312"/>
      <w:sz w:val="24"/>
      <w:szCs w:val="24"/>
    </w:rPr>
  </w:style>
  <w:style w:type="paragraph" w:customStyle="1" w:styleId="Char3CharCharChar1CharChar1Char1">
    <w:name w:val="Char3 Char Char Char1 Char Char1 Char1"/>
    <w:basedOn w:val="a2"/>
    <w:uiPriority w:val="99"/>
    <w:qFormat/>
    <w:pPr>
      <w:jc w:val="both"/>
    </w:pPr>
  </w:style>
  <w:style w:type="paragraph" w:customStyle="1" w:styleId="79">
    <w:name w:val="表题7"/>
    <w:basedOn w:val="a2"/>
    <w:uiPriority w:val="99"/>
    <w:qFormat/>
    <w:pPr>
      <w:snapToGrid w:val="0"/>
      <w:spacing w:before="180" w:after="60"/>
      <w:jc w:val="center"/>
    </w:pPr>
    <w:rPr>
      <w:b/>
    </w:rPr>
  </w:style>
  <w:style w:type="paragraph" w:customStyle="1" w:styleId="affffffffffffffffffffffffffb">
    <w:name w:val="正文(黑体)"/>
    <w:basedOn w:val="a2"/>
    <w:qFormat/>
    <w:pPr>
      <w:spacing w:line="288" w:lineRule="auto"/>
      <w:ind w:firstLine="482"/>
      <w:textAlignment w:val="baseline"/>
    </w:pPr>
    <w:rPr>
      <w:rFonts w:ascii="黑体" w:hAnsi="宋体"/>
      <w:sz w:val="24"/>
    </w:rPr>
  </w:style>
  <w:style w:type="paragraph" w:customStyle="1" w:styleId="1710">
    <w:name w:val="样式 首行缩进:  1.71 字符"/>
    <w:basedOn w:val="a2"/>
    <w:uiPriority w:val="99"/>
    <w:qFormat/>
    <w:pPr>
      <w:spacing w:line="360" w:lineRule="auto"/>
      <w:jc w:val="both"/>
    </w:pPr>
    <w:rPr>
      <w:rFonts w:cs="宋体"/>
      <w:color w:val="FF0000"/>
      <w:sz w:val="24"/>
    </w:rPr>
  </w:style>
  <w:style w:type="paragraph" w:customStyle="1" w:styleId="Title5">
    <w:name w:val="Title 5"/>
    <w:basedOn w:val="50"/>
    <w:next w:val="a2"/>
    <w:uiPriority w:val="99"/>
    <w:qFormat/>
    <w:pPr>
      <w:keepNext w:val="0"/>
      <w:keepLines w:val="0"/>
      <w:tabs>
        <w:tab w:val="clear" w:pos="1008"/>
      </w:tabs>
      <w:snapToGrid w:val="0"/>
      <w:spacing w:before="0" w:after="0" w:line="500" w:lineRule="exact"/>
      <w:ind w:leftChars="67" w:left="141" w:firstLine="0"/>
    </w:pPr>
    <w:rPr>
      <w:b w:val="0"/>
      <w:bCs w:val="0"/>
      <w:kern w:val="0"/>
      <w:sz w:val="24"/>
      <w:szCs w:val="24"/>
    </w:rPr>
  </w:style>
  <w:style w:type="paragraph" w:customStyle="1" w:styleId="xl31">
    <w:name w:val="xl3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rPr>
  </w:style>
  <w:style w:type="paragraph" w:customStyle="1" w:styleId="Char4CharCharCharCharCharCharCharCharChar2">
    <w:name w:val="Char4 Char Char Char Char Char Char Char Char Char2"/>
    <w:basedOn w:val="a2"/>
    <w:uiPriority w:val="99"/>
    <w:qFormat/>
    <w:pPr>
      <w:jc w:val="both"/>
    </w:pPr>
    <w:rPr>
      <w:rFonts w:ascii="Times New Roman"/>
    </w:rPr>
  </w:style>
  <w:style w:type="paragraph" w:customStyle="1" w:styleId="CharCharChar1CharChar1">
    <w:name w:val="Char Char Char1 Char Char1"/>
    <w:basedOn w:val="a2"/>
    <w:uiPriority w:val="99"/>
    <w:qFormat/>
    <w:pPr>
      <w:jc w:val="both"/>
    </w:pPr>
    <w:rPr>
      <w:rFonts w:ascii="宋体" w:hAnsi="宋体" w:cs="宋体"/>
      <w:color w:val="000000"/>
      <w:sz w:val="24"/>
    </w:rPr>
  </w:style>
  <w:style w:type="paragraph" w:customStyle="1" w:styleId="21122CharH2h21221">
    <w:name w:val="样式 标题 2节标题 1.1标题2标题 2 Char节标题H2h2第一层条1二级 标题 2标题 2（修改）...1"/>
    <w:basedOn w:val="22"/>
    <w:uiPriority w:val="99"/>
    <w:qFormat/>
    <w:pPr>
      <w:tabs>
        <w:tab w:val="left" w:pos="575"/>
      </w:tabs>
      <w:snapToGrid w:val="0"/>
      <w:spacing w:beforeLines="50" w:before="156" w:afterLines="50" w:after="156" w:line="312" w:lineRule="auto"/>
      <w:jc w:val="both"/>
    </w:pPr>
    <w:rPr>
      <w:rFonts w:ascii="Arial" w:eastAsia="仿宋_GB2312" w:hAnsi="Arial" w:cs="Times New Roman"/>
      <w:bCs w:val="0"/>
      <w:sz w:val="24"/>
      <w:szCs w:val="30"/>
    </w:rPr>
  </w:style>
  <w:style w:type="paragraph" w:customStyle="1" w:styleId="affffffffffffffffffffffffffc">
    <w:name w:val="a"/>
    <w:basedOn w:val="a2"/>
    <w:uiPriority w:val="99"/>
    <w:qFormat/>
    <w:pPr>
      <w:snapToGrid w:val="0"/>
      <w:spacing w:before="100" w:beforeAutospacing="1" w:after="100" w:afterAutospacing="1" w:line="360" w:lineRule="auto"/>
      <w:ind w:firstLineChars="200" w:firstLine="200"/>
    </w:pPr>
    <w:rPr>
      <w:rFonts w:ascii="宋体" w:hAnsi="宋体"/>
      <w:color w:val="000000"/>
      <w:sz w:val="24"/>
    </w:rPr>
  </w:style>
  <w:style w:type="paragraph" w:customStyle="1" w:styleId="4f9">
    <w:name w:val="注释标题4"/>
    <w:basedOn w:val="a2"/>
    <w:next w:val="a2"/>
    <w:uiPriority w:val="99"/>
    <w:qFormat/>
    <w:pPr>
      <w:jc w:val="center"/>
    </w:pPr>
    <w:rPr>
      <w:sz w:val="20"/>
    </w:rPr>
  </w:style>
  <w:style w:type="paragraph" w:customStyle="1" w:styleId="Char2CharCharCharCharCharCharCharCharCharCharChar1CharCharCharCharCharCharChar2">
    <w:name w:val="Char2 Char Char Char Char Char Char Char Char Char Char Char1 Char Char Char Char Char Char Char2"/>
    <w:basedOn w:val="a2"/>
    <w:uiPriority w:val="99"/>
    <w:qFormat/>
    <w:pPr>
      <w:jc w:val="both"/>
    </w:pPr>
    <w:rPr>
      <w:rFonts w:ascii="Times New Roman"/>
    </w:rPr>
  </w:style>
  <w:style w:type="paragraph" w:customStyle="1" w:styleId="affffffffffffffffffffffffffd">
    <w:name w:val="编号下正文"/>
    <w:basedOn w:val="a2"/>
    <w:uiPriority w:val="99"/>
    <w:qFormat/>
    <w:pPr>
      <w:spacing w:afterLines="50" w:after="156" w:line="288" w:lineRule="auto"/>
      <w:ind w:firstLineChars="200" w:firstLine="200"/>
      <w:jc w:val="both"/>
    </w:pPr>
    <w:rPr>
      <w:bCs/>
      <w:sz w:val="24"/>
    </w:rPr>
  </w:style>
  <w:style w:type="paragraph" w:customStyle="1" w:styleId="CharCharCharCharCharCharCharCharChar1CharCharCharChar4">
    <w:name w:val="Char Char Char Char Char Char Char Char Char1 Char Char Char Char4"/>
    <w:basedOn w:val="a2"/>
    <w:semiHidden/>
    <w:pPr>
      <w:jc w:val="both"/>
    </w:pPr>
  </w:style>
  <w:style w:type="paragraph" w:customStyle="1" w:styleId="412">
    <w:name w:val="标题 41"/>
    <w:basedOn w:val="a2"/>
    <w:next w:val="a2"/>
    <w:uiPriority w:val="99"/>
    <w:qFormat/>
    <w:pPr>
      <w:snapToGrid w:val="0"/>
      <w:jc w:val="both"/>
      <w:textAlignment w:val="baseline"/>
    </w:pPr>
    <w:rPr>
      <w:rFonts w:ascii="宋体" w:hAnsi="宋体" w:hint="eastAsia"/>
      <w:sz w:val="32"/>
    </w:rPr>
  </w:style>
  <w:style w:type="paragraph" w:customStyle="1" w:styleId="11f8">
    <w:name w:val="正文首行缩进11"/>
    <w:basedOn w:val="aff9"/>
    <w:uiPriority w:val="99"/>
    <w:qFormat/>
    <w:pPr>
      <w:spacing w:line="360" w:lineRule="auto"/>
      <w:ind w:leftChars="11" w:left="23" w:firstLineChars="183" w:firstLine="439"/>
      <w:jc w:val="both"/>
    </w:pPr>
    <w:rPr>
      <w:rFonts w:hAnsi="Calibri"/>
      <w:kern w:val="0"/>
      <w:sz w:val="24"/>
    </w:rPr>
  </w:style>
  <w:style w:type="paragraph" w:customStyle="1" w:styleId="Char1CharCharCharCharCharChar5">
    <w:name w:val="Char1 Char Char Char Char Char Char5"/>
    <w:basedOn w:val="a2"/>
    <w:pPr>
      <w:spacing w:before="100" w:beforeAutospacing="1" w:after="100" w:afterAutospacing="1"/>
      <w:ind w:firstLineChars="200" w:firstLine="200"/>
    </w:pPr>
    <w:rPr>
      <w:rFonts w:ascii="Verdana" w:eastAsia="仿宋_GB2312" w:hAnsi="Verdana"/>
      <w:sz w:val="20"/>
      <w:lang w:eastAsia="en-US"/>
    </w:rPr>
  </w:style>
  <w:style w:type="paragraph" w:customStyle="1" w:styleId="xl76">
    <w:name w:val="xl76"/>
    <w:basedOn w:val="a2"/>
    <w:qFormat/>
    <w:pPr>
      <w:pBdr>
        <w:top w:val="single" w:sz="4" w:space="0" w:color="auto"/>
        <w:bottom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3140">
    <w:name w:val="标题 314"/>
    <w:basedOn w:val="a2"/>
    <w:next w:val="a2"/>
    <w:uiPriority w:val="99"/>
    <w:qFormat/>
    <w:pPr>
      <w:keepNext/>
      <w:keepLines/>
      <w:spacing w:before="120" w:after="120" w:line="500" w:lineRule="exact"/>
      <w:jc w:val="both"/>
      <w:textAlignment w:val="baseline"/>
    </w:pPr>
    <w:rPr>
      <w:rFonts w:ascii="宋体" w:eastAsia="黑体" w:hAnsi="宋体" w:hint="eastAsia"/>
      <w:sz w:val="30"/>
    </w:rPr>
  </w:style>
  <w:style w:type="paragraph" w:customStyle="1" w:styleId="CharCharChar1CharCharCharChar7">
    <w:name w:val="Char Char Char1 Char Char Char Char7"/>
    <w:basedOn w:val="a2"/>
    <w:uiPriority w:val="99"/>
    <w:qFormat/>
    <w:pPr>
      <w:spacing w:line="360" w:lineRule="auto"/>
      <w:jc w:val="both"/>
    </w:pPr>
  </w:style>
  <w:style w:type="paragraph" w:customStyle="1" w:styleId="CharCharChar1CharCharCharCharCharChar3">
    <w:name w:val="Char Char Char1 Char Char Char Char Char Char3"/>
    <w:basedOn w:val="a2"/>
    <w:uiPriority w:val="99"/>
    <w:qFormat/>
    <w:pPr>
      <w:jc w:val="both"/>
    </w:pPr>
    <w:rPr>
      <w:rFonts w:ascii="Times New Roman"/>
    </w:rPr>
  </w:style>
  <w:style w:type="paragraph" w:customStyle="1" w:styleId="xl41">
    <w:name w:val="xl4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211305053">
    <w:name w:val="样式 样式 标题 2 + 首行缩进:  1.13 厘米 + 段前: 0.5 行 段后: 0.5 行3"/>
    <w:basedOn w:val="2113"/>
    <w:uiPriority w:val="99"/>
    <w:qFormat/>
    <w:pPr>
      <w:spacing w:line="500" w:lineRule="exact"/>
    </w:pPr>
  </w:style>
  <w:style w:type="paragraph" w:customStyle="1" w:styleId="12f6">
    <w:name w:val="样式 表名 + 段后: 12 磅"/>
    <w:basedOn w:val="afffffffffffffffffff5"/>
    <w:uiPriority w:val="99"/>
    <w:qFormat/>
    <w:pPr>
      <w:keepNext/>
      <w:spacing w:before="120" w:after="120" w:line="420" w:lineRule="exact"/>
      <w:ind w:firstLineChars="200" w:firstLine="200"/>
      <w:outlineLvl w:val="4"/>
    </w:pPr>
    <w:rPr>
      <w:rFonts w:cs="宋体"/>
      <w:snapToGrid w:val="0"/>
      <w:color w:val="auto"/>
      <w:sz w:val="24"/>
      <w:szCs w:val="24"/>
    </w:rPr>
  </w:style>
  <w:style w:type="paragraph" w:customStyle="1" w:styleId="2fffff4">
    <w:name w:val="正文文本缩进2"/>
    <w:basedOn w:val="a2"/>
    <w:uiPriority w:val="99"/>
    <w:qFormat/>
    <w:pPr>
      <w:spacing w:after="120"/>
      <w:ind w:leftChars="200" w:left="200"/>
      <w:jc w:val="both"/>
    </w:pPr>
    <w:rPr>
      <w:sz w:val="20"/>
    </w:rPr>
  </w:style>
  <w:style w:type="paragraph" w:customStyle="1" w:styleId="affffffffffffffffffffffffffe">
    <w:name w:val="报告正文朱"/>
    <w:basedOn w:val="a2"/>
    <w:uiPriority w:val="99"/>
    <w:qFormat/>
    <w:pPr>
      <w:snapToGrid w:val="0"/>
      <w:spacing w:line="360" w:lineRule="auto"/>
      <w:ind w:firstLineChars="200" w:firstLine="200"/>
    </w:pPr>
    <w:rPr>
      <w:bCs/>
      <w:kern w:val="44"/>
      <w:sz w:val="24"/>
      <w:szCs w:val="44"/>
    </w:rPr>
  </w:style>
  <w:style w:type="paragraph" w:customStyle="1" w:styleId="afffffffffffffffffffffffffff">
    <w:name w:val="参加人员"/>
    <w:basedOn w:val="a2"/>
    <w:qFormat/>
    <w:pPr>
      <w:jc w:val="both"/>
    </w:pPr>
    <w:rPr>
      <w:sz w:val="24"/>
    </w:rPr>
  </w:style>
  <w:style w:type="paragraph" w:customStyle="1" w:styleId="319">
    <w:name w:val="样式 标题 3条 + 两端对齐1"/>
    <w:basedOn w:val="32"/>
    <w:qFormat/>
    <w:pPr>
      <w:keepNext w:val="0"/>
      <w:keepLines w:val="0"/>
      <w:tabs>
        <w:tab w:val="left" w:pos="290"/>
        <w:tab w:val="left" w:pos="500"/>
        <w:tab w:val="left" w:pos="1130"/>
        <w:tab w:val="left" w:pos="3229"/>
      </w:tabs>
      <w:snapToGrid w:val="0"/>
      <w:spacing w:before="156" w:after="156" w:line="440" w:lineRule="exact"/>
      <w:ind w:leftChars="50" w:left="480" w:hanging="480"/>
    </w:pPr>
    <w:rPr>
      <w:rFonts w:ascii="宋体" w:eastAsia="宋体" w:hAnsi="宋体" w:cs="宋体"/>
      <w:b w:val="0"/>
      <w:bCs w:val="0"/>
      <w:sz w:val="24"/>
      <w:szCs w:val="20"/>
    </w:rPr>
  </w:style>
  <w:style w:type="paragraph" w:customStyle="1" w:styleId="21111yjm22Heading2HiddenHeading1">
    <w:name w:val="样式 标题 2节标题 1.1标题 1.1标题 yjm2第一章 标题 2Heading 2 HiddenHeading...1"/>
    <w:basedOn w:val="22"/>
    <w:uiPriority w:val="99"/>
    <w:qFormat/>
    <w:pPr>
      <w:keepLines w:val="0"/>
      <w:snapToGrid w:val="0"/>
      <w:spacing w:beforeLines="50" w:before="156" w:after="0" w:line="360" w:lineRule="auto"/>
    </w:pPr>
    <w:rPr>
      <w:rFonts w:ascii="Arial" w:eastAsia="黑体" w:hAnsi="Arial" w:cs="宋体"/>
      <w:bCs w:val="0"/>
      <w:sz w:val="30"/>
      <w:szCs w:val="30"/>
    </w:rPr>
  </w:style>
  <w:style w:type="paragraph" w:customStyle="1" w:styleId="3TimesNewRoman1">
    <w:name w:val="样式 标题3 + Times New Roman 黑色"/>
    <w:basedOn w:val="32"/>
    <w:uiPriority w:val="99"/>
    <w:qFormat/>
    <w:pPr>
      <w:spacing w:before="80" w:after="0" w:line="360" w:lineRule="auto"/>
      <w:ind w:left="180"/>
    </w:pPr>
    <w:rPr>
      <w:rFonts w:ascii="Times New Roman" w:eastAsia="黑体"/>
      <w:b w:val="0"/>
      <w:bCs w:val="0"/>
      <w:color w:val="000000"/>
      <w:sz w:val="24"/>
      <w:szCs w:val="20"/>
      <w:lang w:val="zh-CN"/>
    </w:rPr>
  </w:style>
  <w:style w:type="paragraph" w:customStyle="1" w:styleId="afffffffffffffffffffffffffff0">
    <w:name w:val="条题"/>
    <w:basedOn w:val="a2"/>
    <w:qFormat/>
    <w:pPr>
      <w:tabs>
        <w:tab w:val="left" w:pos="1400"/>
      </w:tabs>
      <w:spacing w:line="420" w:lineRule="exact"/>
      <w:ind w:left="1400" w:hanging="840"/>
    </w:pPr>
    <w:rPr>
      <w:rFonts w:hAnsi="宋体"/>
      <w:b/>
      <w:bCs/>
      <w:color w:val="000000"/>
      <w:sz w:val="24"/>
    </w:rPr>
  </w:style>
  <w:style w:type="paragraph" w:customStyle="1" w:styleId="CharCharCharCharCharCharCharCharCharChar4">
    <w:name w:val="Char Char Char Char Char Char Char Char Char Char4"/>
    <w:basedOn w:val="a2"/>
    <w:qFormat/>
    <w:pPr>
      <w:jc w:val="both"/>
    </w:pPr>
    <w:rPr>
      <w:rFonts w:ascii="黑体" w:eastAsia="黑体" w:hAnsi="黑体"/>
      <w:b/>
      <w:spacing w:val="10"/>
    </w:rPr>
  </w:style>
  <w:style w:type="paragraph" w:customStyle="1" w:styleId="Char1CharCharCharCharCharChar1CharCharChar1">
    <w:name w:val="Char1 Char Char Char Char Char Char1 Char Char Char1"/>
    <w:basedOn w:val="a2"/>
    <w:next w:val="a2"/>
    <w:uiPriority w:val="99"/>
    <w:qFormat/>
    <w:pPr>
      <w:spacing w:line="360" w:lineRule="auto"/>
      <w:ind w:firstLineChars="200" w:firstLine="200"/>
      <w:jc w:val="center"/>
    </w:pPr>
    <w:rPr>
      <w:rFonts w:eastAsia="黑体"/>
    </w:rPr>
  </w:style>
  <w:style w:type="paragraph" w:customStyle="1" w:styleId="3fff8">
    <w:name w:val="正文3"/>
    <w:basedOn w:val="a2"/>
    <w:uiPriority w:val="99"/>
    <w:qFormat/>
    <w:pPr>
      <w:spacing w:before="100" w:after="100"/>
      <w:jc w:val="center"/>
      <w:textAlignment w:val="baseline"/>
    </w:pPr>
    <w:rPr>
      <w:sz w:val="17"/>
    </w:rPr>
  </w:style>
  <w:style w:type="paragraph" w:customStyle="1" w:styleId="SubSectionNum">
    <w:name w:val="SubSectionNum"/>
    <w:basedOn w:val="a2"/>
    <w:uiPriority w:val="99"/>
    <w:qFormat/>
    <w:pPr>
      <w:tabs>
        <w:tab w:val="left" w:pos="720"/>
      </w:tabs>
      <w:ind w:left="720" w:hanging="720"/>
      <w:jc w:val="both"/>
    </w:pPr>
    <w:rPr>
      <w:rFonts w:hAnsi="Arial"/>
      <w:b/>
      <w:bCs/>
      <w:sz w:val="24"/>
      <w:lang w:eastAsia="en-US"/>
    </w:rPr>
  </w:style>
  <w:style w:type="paragraph" w:customStyle="1" w:styleId="1fffffffc">
    <w:name w:val="正文文本首行缩进1"/>
    <w:basedOn w:val="af4"/>
    <w:uiPriority w:val="99"/>
    <w:qFormat/>
    <w:pPr>
      <w:ind w:firstLineChars="100" w:firstLine="420"/>
      <w:jc w:val="both"/>
    </w:pPr>
    <w:rPr>
      <w:rFonts w:hAnsi="Calibri"/>
      <w:sz w:val="28"/>
      <w:szCs w:val="24"/>
    </w:rPr>
  </w:style>
  <w:style w:type="paragraph" w:customStyle="1" w:styleId="afffffffffffffffffffffffffff1">
    <w:name w:val="杠式表格"/>
    <w:basedOn w:val="a2"/>
    <w:uiPriority w:val="99"/>
    <w:qFormat/>
    <w:pPr>
      <w:spacing w:after="60" w:line="312" w:lineRule="atLeast"/>
      <w:jc w:val="center"/>
      <w:textAlignment w:val="baseline"/>
    </w:pPr>
  </w:style>
  <w:style w:type="paragraph" w:customStyle="1" w:styleId="HTML30">
    <w:name w:val="HTML 预设格式3"/>
    <w:basedOn w:val="a2"/>
    <w:uiPriority w:val="99"/>
    <w:qFormat/>
    <w:pPr>
      <w:jc w:val="both"/>
    </w:pPr>
    <w:rPr>
      <w:rFonts w:ascii="Courier New" w:hAnsi="Courier New"/>
      <w:sz w:val="20"/>
    </w:rPr>
  </w:style>
  <w:style w:type="paragraph" w:customStyle="1" w:styleId="CharChar1CharCharCharCharCharCharCharChar">
    <w:name w:val="Char Char1 Char Char Char Char Char Char Char Char"/>
    <w:basedOn w:val="a2"/>
    <w:semiHidden/>
    <w:pPr>
      <w:autoSpaceDE/>
      <w:autoSpaceDN/>
      <w:adjustRightInd/>
      <w:spacing w:line="360" w:lineRule="auto"/>
      <w:ind w:firstLineChars="200" w:firstLine="200"/>
      <w:jc w:val="both"/>
    </w:pPr>
    <w:rPr>
      <w:rFonts w:cs="黑体"/>
    </w:rPr>
  </w:style>
  <w:style w:type="paragraph" w:customStyle="1" w:styleId="afffffffffffffffffffffffffff2">
    <w:name w:val="a封面－项目名称"/>
    <w:basedOn w:val="a2"/>
    <w:next w:val="a2"/>
    <w:uiPriority w:val="99"/>
    <w:qFormat/>
    <w:pPr>
      <w:spacing w:beforeLines="50" w:before="120" w:afterLines="50" w:after="120" w:line="360" w:lineRule="auto"/>
      <w:jc w:val="center"/>
    </w:pPr>
    <w:rPr>
      <w:rFonts w:eastAsia="黑体"/>
      <w:b/>
      <w:sz w:val="48"/>
    </w:rPr>
  </w:style>
  <w:style w:type="paragraph" w:customStyle="1" w:styleId="2fffff5">
    <w:name w:val="样式 正文格式 + 宋体 首行缩进:  2 字符"/>
    <w:basedOn w:val="a2"/>
    <w:qFormat/>
    <w:pPr>
      <w:spacing w:line="360" w:lineRule="auto"/>
    </w:pPr>
    <w:rPr>
      <w:rFonts w:ascii="宋体" w:eastAsia="宋体" w:cs="宋体"/>
      <w:sz w:val="24"/>
    </w:rPr>
  </w:style>
  <w:style w:type="paragraph" w:customStyle="1" w:styleId="11f9">
    <w:name w:val="访问过的超链接11"/>
    <w:next w:val="a2"/>
    <w:uiPriority w:val="99"/>
    <w:qFormat/>
    <w:rPr>
      <w:rFonts w:ascii="Times New Roman" w:eastAsia="宋体" w:hAnsi="Times New Roman" w:cs="Times New Roman"/>
      <w:kern w:val="2"/>
      <w:sz w:val="21"/>
      <w:szCs w:val="24"/>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2"/>
    <w:pPr>
      <w:spacing w:after="160" w:line="240" w:lineRule="exact"/>
    </w:pPr>
    <w:rPr>
      <w:rFonts w:ascii="Verdana" w:hAnsi="Verdana"/>
      <w:sz w:val="20"/>
      <w:lang w:eastAsia="en-US"/>
    </w:rPr>
  </w:style>
  <w:style w:type="paragraph" w:customStyle="1" w:styleId="afffffffffffffffffffffffffff3">
    <w:name w:val="总题"/>
    <w:next w:val="aff7"/>
    <w:uiPriority w:val="99"/>
    <w:qFormat/>
    <w:pPr>
      <w:spacing w:before="100" w:beforeAutospacing="1" w:after="100" w:afterAutospacing="1" w:line="480" w:lineRule="auto"/>
      <w:jc w:val="center"/>
    </w:pPr>
    <w:rPr>
      <w:rFonts w:ascii="Times New Roman" w:eastAsia="黑体" w:hAnsi="Times New Roman" w:cs="Times New Roman"/>
      <w:b/>
      <w:spacing w:val="20"/>
      <w:sz w:val="44"/>
    </w:rPr>
  </w:style>
  <w:style w:type="paragraph" w:customStyle="1" w:styleId="CM4">
    <w:name w:val="CM4"/>
    <w:basedOn w:val="Default"/>
    <w:next w:val="Default"/>
    <w:uiPriority w:val="99"/>
    <w:qFormat/>
    <w:pPr>
      <w:spacing w:beforeLines="0" w:before="0" w:afterLines="0" w:after="0" w:line="240" w:lineRule="auto"/>
      <w:ind w:firstLineChars="0" w:firstLine="0"/>
    </w:pPr>
    <w:rPr>
      <w:rFonts w:ascii="新宋体" w:eastAsia="新宋体" w:cs="Times New Roman"/>
      <w:color w:val="auto"/>
    </w:rPr>
  </w:style>
  <w:style w:type="paragraph" w:customStyle="1" w:styleId="Char4CharCharCharCharChar2">
    <w:name w:val="Char4 Char Char Char Char Char2"/>
    <w:basedOn w:val="a2"/>
    <w:uiPriority w:val="99"/>
    <w:qFormat/>
    <w:pPr>
      <w:jc w:val="both"/>
    </w:pPr>
    <w:rPr>
      <w:rFonts w:ascii="Times New Roman"/>
    </w:rPr>
  </w:style>
  <w:style w:type="paragraph" w:customStyle="1" w:styleId="CharCharChar1CharCharCharChar6">
    <w:name w:val="Char Char Char1 Char Char Char Char6"/>
    <w:basedOn w:val="a2"/>
    <w:uiPriority w:val="99"/>
    <w:qFormat/>
    <w:pPr>
      <w:spacing w:line="360" w:lineRule="auto"/>
      <w:jc w:val="both"/>
    </w:pPr>
  </w:style>
  <w:style w:type="paragraph" w:customStyle="1" w:styleId="07720">
    <w:name w:val="样式 首行缩进:  0.77 厘米 行距: 固定值 20 磅"/>
    <w:basedOn w:val="a2"/>
    <w:uiPriority w:val="99"/>
    <w:qFormat/>
    <w:pPr>
      <w:spacing w:line="360" w:lineRule="auto"/>
      <w:ind w:firstLineChars="200" w:firstLine="480"/>
      <w:jc w:val="both"/>
    </w:pPr>
    <w:rPr>
      <w:rFonts w:ascii="宋体" w:cs="宋体"/>
      <w:sz w:val="24"/>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2"/>
    <w:uiPriority w:val="99"/>
    <w:qFormat/>
    <w:pPr>
      <w:jc w:val="both"/>
    </w:pPr>
    <w:rPr>
      <w:rFonts w:ascii="Times New Roman"/>
    </w:rPr>
  </w:style>
  <w:style w:type="paragraph" w:customStyle="1" w:styleId="Char3CharChar1Char11">
    <w:name w:val="Char3 Char Char1 Char11"/>
    <w:basedOn w:val="a2"/>
    <w:uiPriority w:val="99"/>
    <w:qFormat/>
    <w:pPr>
      <w:jc w:val="both"/>
    </w:pPr>
    <w:rPr>
      <w:rFonts w:ascii="Times New Roman"/>
    </w:rPr>
  </w:style>
  <w:style w:type="paragraph" w:customStyle="1" w:styleId="CharCharCharCharCharCharCharCharChar4">
    <w:name w:val="Char Char Char Char Char Char Char Char Char4"/>
    <w:basedOn w:val="a2"/>
    <w:qFormat/>
    <w:rPr>
      <w:sz w:val="24"/>
    </w:rPr>
  </w:style>
  <w:style w:type="paragraph" w:customStyle="1" w:styleId="2fffff6">
    <w:name w:val="环标2"/>
    <w:basedOn w:val="22"/>
    <w:qFormat/>
    <w:pPr>
      <w:spacing w:before="60" w:after="60" w:line="312" w:lineRule="atLeast"/>
      <w:textAlignment w:val="baseline"/>
    </w:pPr>
    <w:rPr>
      <w:rFonts w:ascii="黑体" w:eastAsia="黑体" w:hAnsi="Arial" w:cs="Times New Roman"/>
      <w:b w:val="0"/>
      <w:bCs w:val="0"/>
      <w:sz w:val="28"/>
      <w:szCs w:val="20"/>
    </w:rPr>
  </w:style>
  <w:style w:type="paragraph" w:customStyle="1" w:styleId="xl70">
    <w:name w:val="xl70"/>
    <w:basedOn w:val="a2"/>
    <w:qFormat/>
    <w:pPr>
      <w:spacing w:before="100" w:beforeAutospacing="1" w:after="100" w:afterAutospacing="1"/>
      <w:jc w:val="center"/>
      <w:textAlignment w:val="center"/>
    </w:pPr>
    <w:rPr>
      <w:rFonts w:ascii="宋体" w:hAnsi="宋体" w:cs="宋体"/>
      <w:b/>
      <w:bCs/>
      <w:sz w:val="24"/>
    </w:rPr>
  </w:style>
  <w:style w:type="paragraph" w:customStyle="1" w:styleId="xl85">
    <w:name w:val="xl85"/>
    <w:basedOn w:val="a2"/>
    <w:qFormat/>
    <w:pPr>
      <w:spacing w:before="100" w:beforeAutospacing="1" w:after="100" w:afterAutospacing="1"/>
      <w:jc w:val="center"/>
    </w:pPr>
    <w:rPr>
      <w:sz w:val="18"/>
      <w:szCs w:val="18"/>
    </w:rPr>
  </w:style>
  <w:style w:type="paragraph" w:customStyle="1" w:styleId="CharCharCharCharCharCharCharCharCharCharCharCharCharCharCharCharCharChar2">
    <w:name w:val="Char Char Char Char Char Char Char Char Char Char Char Char Char Char Char Char Char Char2"/>
    <w:basedOn w:val="a2"/>
    <w:uiPriority w:val="99"/>
    <w:qFormat/>
  </w:style>
  <w:style w:type="paragraph" w:customStyle="1" w:styleId="Char2CharChar1">
    <w:name w:val="Char2 Char Char1"/>
    <w:basedOn w:val="a2"/>
    <w:uiPriority w:val="99"/>
    <w:qFormat/>
    <w:pPr>
      <w:jc w:val="both"/>
    </w:pPr>
    <w:rPr>
      <w:sz w:val="24"/>
    </w:rPr>
  </w:style>
  <w:style w:type="paragraph" w:customStyle="1" w:styleId="CharCharCharCharCharCharChar41">
    <w:name w:val="Char Char Char Char Char Char Char4"/>
    <w:basedOn w:val="a2"/>
    <w:uiPriority w:val="99"/>
    <w:qFormat/>
    <w:pPr>
      <w:spacing w:line="360" w:lineRule="auto"/>
      <w:ind w:firstLineChars="200" w:firstLine="200"/>
      <w:jc w:val="both"/>
    </w:pPr>
  </w:style>
  <w:style w:type="paragraph" w:customStyle="1" w:styleId="21130505">
    <w:name w:val="样式 样式 标题 2 + 首行缩进:  1.13 厘米 + 段前: 0.5 行 段后: 0.5 行"/>
    <w:basedOn w:val="2113"/>
    <w:uiPriority w:val="99"/>
    <w:qFormat/>
  </w:style>
  <w:style w:type="paragraph" w:customStyle="1" w:styleId="afffffffffffffffffffffffffff4">
    <w:name w:val="表头、图尾"/>
    <w:basedOn w:val="a2"/>
    <w:next w:val="a2"/>
    <w:qFormat/>
    <w:pPr>
      <w:wordWrap w:val="0"/>
      <w:autoSpaceDE/>
      <w:autoSpaceDN/>
      <w:adjustRightInd/>
      <w:spacing w:beforeLines="20" w:before="48" w:afterLines="10" w:after="24"/>
      <w:jc w:val="center"/>
      <w:outlineLvl w:val="3"/>
    </w:pPr>
    <w:rPr>
      <w:b/>
    </w:rPr>
  </w:style>
  <w:style w:type="paragraph" w:customStyle="1" w:styleId="afffffffffffffffffffffffffff5">
    <w:name w:val="标题一"/>
    <w:basedOn w:val="12"/>
    <w:qFormat/>
    <w:pPr>
      <w:widowControl/>
      <w:tabs>
        <w:tab w:val="left" w:pos="1155"/>
      </w:tabs>
      <w:spacing w:beforeLines="100" w:before="312" w:afterLines="100" w:after="312"/>
      <w:textAlignment w:val="auto"/>
    </w:pPr>
    <w:rPr>
      <w:rFonts w:cs="Arial"/>
      <w:b/>
      <w:color w:val="FF0000"/>
      <w:sz w:val="36"/>
      <w:szCs w:val="36"/>
    </w:rPr>
  </w:style>
  <w:style w:type="paragraph" w:customStyle="1" w:styleId="ParaCharCharCharCharCharCharCharCharCharCharCharCharCharCharCharChar">
    <w:name w:val="默认段落字体 Para Char Char Char Char Char Char Char Char Char Char Char Char Char Char Char Char"/>
    <w:basedOn w:val="a2"/>
    <w:qFormat/>
    <w:pPr>
      <w:jc w:val="both"/>
    </w:pPr>
  </w:style>
  <w:style w:type="paragraph" w:customStyle="1" w:styleId="22Heading2HiddenHeading2CCBSheading2H2h21">
    <w:name w:val="样式 标题 2第一章 标题 2Heading 2 HiddenHeading 2 CCBSheading 2H2h2...1"/>
    <w:basedOn w:val="22"/>
    <w:qFormat/>
    <w:pPr>
      <w:spacing w:before="120" w:after="120" w:line="500" w:lineRule="exact"/>
      <w:jc w:val="both"/>
    </w:pPr>
    <w:rPr>
      <w:rFonts w:ascii="Times New Roman" w:eastAsia="仿宋_GB2312" w:hAnsi="Times New Roman" w:cs="宋体"/>
      <w:sz w:val="28"/>
      <w:szCs w:val="20"/>
    </w:rPr>
  </w:style>
  <w:style w:type="paragraph" w:customStyle="1" w:styleId="1121">
    <w:name w:val="样式 目录 1 + 行距: 最小值 12 磅1"/>
    <w:basedOn w:val="13"/>
    <w:uiPriority w:val="99"/>
    <w:qFormat/>
    <w:pPr>
      <w:tabs>
        <w:tab w:val="right" w:leader="dot" w:pos="8296"/>
        <w:tab w:val="left" w:leader="dot" w:pos="8461"/>
        <w:tab w:val="right" w:leader="dot" w:pos="9100"/>
      </w:tabs>
      <w:snapToGrid w:val="0"/>
      <w:spacing w:line="500" w:lineRule="atLeast"/>
    </w:pPr>
    <w:rPr>
      <w:rFonts w:eastAsia="黑体"/>
      <w:b w:val="0"/>
      <w:bCs w:val="0"/>
      <w:caps w:val="0"/>
    </w:rPr>
  </w:style>
  <w:style w:type="paragraph" w:customStyle="1" w:styleId="CharCharCharChar1CharCharCharCharCharCharChar4">
    <w:name w:val="Char Char Char Char1 Char Char Char Char Char Char Char4"/>
    <w:basedOn w:val="a2"/>
    <w:pPr>
      <w:tabs>
        <w:tab w:val="left" w:pos="360"/>
      </w:tabs>
      <w:snapToGrid w:val="0"/>
      <w:spacing w:line="360" w:lineRule="auto"/>
      <w:jc w:val="both"/>
    </w:pPr>
    <w:rPr>
      <w:rFonts w:eastAsia="仿宋_GB2312" w:cs="宋体"/>
      <w:sz w:val="24"/>
    </w:rPr>
  </w:style>
  <w:style w:type="paragraph" w:customStyle="1" w:styleId="xl101">
    <w:name w:val="xl101"/>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afffffffffffffffffffffffffff6">
    <w:name w:val="自动表格内部"/>
    <w:basedOn w:val="a2"/>
    <w:uiPriority w:val="99"/>
    <w:qFormat/>
    <w:pPr>
      <w:snapToGrid w:val="0"/>
      <w:jc w:val="center"/>
    </w:pPr>
  </w:style>
  <w:style w:type="paragraph" w:customStyle="1" w:styleId="Char2CharCharCharCharCharCharCharCharCharCharCharCharCharCharCharCharCharCharCharCharChar4">
    <w:name w:val="Char2 Char Char Char Char Char Char Char Char Char Char Char Char Char Char Char Char Char Char Char Char Char4"/>
    <w:basedOn w:val="a2"/>
    <w:uiPriority w:val="99"/>
    <w:qFormat/>
    <w:pPr>
      <w:snapToGrid w:val="0"/>
      <w:spacing w:line="360" w:lineRule="auto"/>
      <w:ind w:firstLineChars="200" w:firstLine="200"/>
      <w:jc w:val="both"/>
    </w:pPr>
    <w:rPr>
      <w:rFonts w:eastAsia="仿宋_GB2312"/>
      <w:sz w:val="24"/>
    </w:rPr>
  </w:style>
  <w:style w:type="paragraph" w:customStyle="1" w:styleId="e0">
    <w:name w:val="正文e"/>
    <w:basedOn w:val="a2"/>
    <w:qFormat/>
    <w:pPr>
      <w:jc w:val="both"/>
    </w:pPr>
    <w:rPr>
      <w:rFonts w:hAnsi="Arial" w:cs="Arial"/>
      <w:sz w:val="24"/>
    </w:rPr>
  </w:style>
  <w:style w:type="paragraph" w:customStyle="1" w:styleId="5f5">
    <w:name w:val="5号表文"/>
    <w:uiPriority w:val="99"/>
    <w:qFormat/>
    <w:pPr>
      <w:widowControl w:val="0"/>
      <w:adjustRightInd w:val="0"/>
      <w:snapToGrid w:val="0"/>
      <w:spacing w:line="360" w:lineRule="auto"/>
      <w:jc w:val="both"/>
    </w:pPr>
    <w:rPr>
      <w:rFonts w:ascii="仿宋_GB2312" w:eastAsia="仿宋_GB2312" w:hAnsi="Times New Roman" w:cs="Times New Roman"/>
      <w:kern w:val="2"/>
      <w:sz w:val="28"/>
    </w:rPr>
  </w:style>
  <w:style w:type="paragraph" w:customStyle="1" w:styleId="5f6">
    <w:name w:val="表格（5号）"/>
    <w:basedOn w:val="a2"/>
    <w:pPr>
      <w:tabs>
        <w:tab w:val="left" w:pos="900"/>
      </w:tabs>
      <w:spacing w:line="240" w:lineRule="exact"/>
      <w:jc w:val="center"/>
    </w:pPr>
    <w:rPr>
      <w:rFonts w:hAnsi="Arial"/>
      <w:color w:val="000000"/>
      <w:kern w:val="18"/>
      <w:sz w:val="18"/>
    </w:rPr>
  </w:style>
  <w:style w:type="paragraph" w:customStyle="1" w:styleId="236">
    <w:name w:val="纯文本23"/>
    <w:basedOn w:val="a2"/>
    <w:qFormat/>
    <w:pPr>
      <w:jc w:val="both"/>
      <w:textAlignment w:val="baseline"/>
    </w:pPr>
    <w:rPr>
      <w:rFonts w:ascii="宋体" w:hAnsi="Courier New"/>
    </w:rPr>
  </w:style>
  <w:style w:type="paragraph" w:customStyle="1" w:styleId="GB-1">
    <w:name w:val="GB-1"/>
    <w:pPr>
      <w:keepNext/>
      <w:numPr>
        <w:numId w:val="14"/>
      </w:numPr>
      <w:autoSpaceDE w:val="0"/>
      <w:autoSpaceDN w:val="0"/>
      <w:spacing w:line="480" w:lineRule="auto"/>
      <w:outlineLvl w:val="0"/>
    </w:pPr>
    <w:rPr>
      <w:rFonts w:ascii="黑体" w:eastAsia="黑体" w:hAnsi="Times New Roman" w:cs="Times New Roman"/>
      <w:sz w:val="24"/>
      <w:szCs w:val="21"/>
    </w:rPr>
  </w:style>
  <w:style w:type="paragraph" w:customStyle="1" w:styleId="afffffffffffffffffffffffffff7">
    <w:name w:val="小表格"/>
    <w:basedOn w:val="affffd"/>
    <w:qFormat/>
    <w:pPr>
      <w:widowControl w:val="0"/>
      <w:overflowPunct w:val="0"/>
      <w:spacing w:line="240" w:lineRule="auto"/>
      <w:textAlignment w:val="auto"/>
    </w:pPr>
    <w:rPr>
      <w:rFonts w:ascii="仿宋_GB2312" w:hAnsi="Times New Roman"/>
      <w:szCs w:val="20"/>
    </w:rPr>
  </w:style>
  <w:style w:type="paragraph" w:customStyle="1" w:styleId="2fffff7">
    <w:name w:val="样式 标题 2节 + 宋体 加粗 左"/>
    <w:basedOn w:val="22"/>
    <w:qFormat/>
    <w:pPr>
      <w:tabs>
        <w:tab w:val="left" w:pos="1275"/>
      </w:tabs>
      <w:spacing w:before="0" w:after="0" w:line="360" w:lineRule="auto"/>
    </w:pPr>
    <w:rPr>
      <w:rFonts w:ascii="宋体" w:eastAsia="宋体" w:hAnsi="宋体" w:cs="Times New Roman"/>
      <w:sz w:val="28"/>
      <w:szCs w:val="20"/>
    </w:rPr>
  </w:style>
  <w:style w:type="paragraph" w:customStyle="1" w:styleId="41111h4H4Fab-4T5PIM4RefHeading1rh1Headin">
    <w:name w:val="样式 标题 4款标题1.1.1.1h4H4Fab-4T5PIM 4Ref Heading 1rh1Headin..."/>
    <w:basedOn w:val="41"/>
    <w:uiPriority w:val="99"/>
    <w:qFormat/>
    <w:pPr>
      <w:keepNext w:val="0"/>
      <w:keepLines w:val="0"/>
      <w:spacing w:beforeLines="0" w:before="0"/>
      <w:ind w:leftChars="0" w:left="0" w:rightChars="0" w:right="0"/>
    </w:pPr>
    <w:rPr>
      <w:rFonts w:ascii="Times New Roman" w:eastAsia="宋体"/>
      <w:b/>
      <w:szCs w:val="21"/>
    </w:rPr>
  </w:style>
  <w:style w:type="paragraph" w:customStyle="1" w:styleId="CharChar1CharCharCharChar14">
    <w:name w:val="Char Char1 Char Char Char Char14"/>
    <w:basedOn w:val="a2"/>
    <w:qFormat/>
    <w:rPr>
      <w:sz w:val="24"/>
    </w:rPr>
  </w:style>
  <w:style w:type="paragraph" w:customStyle="1" w:styleId="33CharCharh3H3level3PIM3Level3HeadHeadin">
    <w:name w:val="样式 标题 3标题 3 Char Char头h3H3level_3PIM 3Level 3 HeadHeadin..."/>
    <w:basedOn w:val="32"/>
    <w:uiPriority w:val="99"/>
    <w:qFormat/>
    <w:pPr>
      <w:spacing w:before="0" w:after="0" w:line="500" w:lineRule="exact"/>
      <w:jc w:val="center"/>
    </w:pPr>
    <w:rPr>
      <w:rFonts w:ascii="仿宋_GB2312" w:eastAsia="仿宋_GB2312" w:cs="宋体"/>
      <w:sz w:val="28"/>
      <w:szCs w:val="20"/>
    </w:rPr>
  </w:style>
  <w:style w:type="paragraph" w:customStyle="1" w:styleId="xl53">
    <w:name w:val="xl53"/>
    <w:basedOn w:val="a2"/>
    <w:qFormat/>
    <w:pPr>
      <w:widowControl/>
      <w:pBdr>
        <w:left w:val="single" w:sz="8" w:space="0" w:color="auto"/>
      </w:pBdr>
      <w:spacing w:before="100" w:beforeAutospacing="1" w:after="100" w:afterAutospacing="1"/>
    </w:pPr>
    <w:rPr>
      <w:rFonts w:eastAsia="Arial Unicode MS"/>
    </w:rPr>
  </w:style>
  <w:style w:type="paragraph" w:customStyle="1" w:styleId="reader-word-layerreader-word-s1-10">
    <w:name w:val="reader-word-layer reader-word-s1-10"/>
    <w:basedOn w:val="a2"/>
    <w:uiPriority w:val="99"/>
    <w:qFormat/>
    <w:pPr>
      <w:spacing w:before="100" w:beforeAutospacing="1" w:after="100" w:afterAutospacing="1"/>
    </w:pPr>
    <w:rPr>
      <w:rFonts w:ascii="宋体" w:hAnsi="宋体" w:cs="宋体"/>
      <w:sz w:val="24"/>
    </w:rPr>
  </w:style>
  <w:style w:type="paragraph" w:customStyle="1" w:styleId="242">
    <w:name w:val="正文文本缩进 24"/>
    <w:basedOn w:val="a2"/>
    <w:uiPriority w:val="99"/>
    <w:qFormat/>
    <w:pPr>
      <w:spacing w:after="120" w:line="480" w:lineRule="auto"/>
      <w:ind w:left="420"/>
      <w:jc w:val="both"/>
      <w:textAlignment w:val="baseline"/>
    </w:pPr>
    <w:rPr>
      <w:rFonts w:ascii="宋体" w:hAnsi="宋体" w:hint="eastAsia"/>
      <w:sz w:val="24"/>
    </w:rPr>
  </w:style>
  <w:style w:type="paragraph" w:customStyle="1" w:styleId="CharCharCharCharCharCharCharCharChar1CharCharCharCharCharChar12">
    <w:name w:val="Char Char Char Char Char Char Char Char Char1 Char Char Char Char Char Char12"/>
    <w:basedOn w:val="a2"/>
    <w:uiPriority w:val="99"/>
    <w:qFormat/>
    <w:pPr>
      <w:jc w:val="both"/>
    </w:pPr>
  </w:style>
  <w:style w:type="paragraph" w:customStyle="1" w:styleId="afffffffffffffffffffffffffff8">
    <w:name w:val="论文表名"/>
    <w:basedOn w:val="a2"/>
    <w:uiPriority w:val="99"/>
    <w:qFormat/>
    <w:pPr>
      <w:snapToGrid w:val="0"/>
      <w:spacing w:beforeLines="50" w:before="156" w:afterLines="20" w:after="62" w:line="360" w:lineRule="auto"/>
      <w:ind w:firstLineChars="200" w:firstLine="200"/>
      <w:jc w:val="center"/>
    </w:pPr>
    <w:rPr>
      <w:rFonts w:eastAsia="黑体" w:hAnsi="Arial"/>
      <w:sz w:val="24"/>
    </w:rPr>
  </w:style>
  <w:style w:type="paragraph" w:customStyle="1" w:styleId="Style35">
    <w:name w:val="_Style 35"/>
    <w:basedOn w:val="a2"/>
    <w:uiPriority w:val="99"/>
    <w:qFormat/>
    <w:pPr>
      <w:jc w:val="both"/>
    </w:pPr>
  </w:style>
  <w:style w:type="paragraph" w:customStyle="1" w:styleId="CharCharChar1CharCharCharCharCharChar5">
    <w:name w:val="Char Char Char1 Char Char Char Char Char Char5"/>
    <w:basedOn w:val="a2"/>
    <w:pPr>
      <w:jc w:val="both"/>
    </w:pPr>
    <w:rPr>
      <w:sz w:val="24"/>
    </w:rPr>
  </w:style>
  <w:style w:type="paragraph" w:customStyle="1" w:styleId="afffffffffffffffffffffffffff9">
    <w:name w:val="环表头"/>
    <w:basedOn w:val="afffffffffffffffffffffffffffa"/>
    <w:next w:val="a2"/>
    <w:qFormat/>
    <w:pPr>
      <w:tabs>
        <w:tab w:val="left" w:pos="283"/>
      </w:tabs>
      <w:suppressAutoHyphens w:val="0"/>
      <w:spacing w:before="62" w:after="31"/>
      <w:ind w:left="0" w:right="0" w:firstLineChars="175" w:firstLine="420"/>
    </w:pPr>
    <w:rPr>
      <w:rFonts w:ascii="宋体" w:hAnsi="宋体"/>
      <w:bCs w:val="0"/>
      <w:color w:val="auto"/>
    </w:rPr>
  </w:style>
  <w:style w:type="paragraph" w:customStyle="1" w:styleId="afffffffffffffffffffffffffffa">
    <w:name w:val="环正文"/>
    <w:basedOn w:val="a2"/>
    <w:qFormat/>
    <w:pPr>
      <w:widowControl/>
      <w:suppressAutoHyphens/>
      <w:snapToGrid w:val="0"/>
      <w:spacing w:line="360" w:lineRule="auto"/>
      <w:ind w:left="-24" w:right="6" w:firstLineChars="200" w:firstLine="480"/>
      <w:textAlignment w:val="baseline"/>
    </w:pPr>
    <w:rPr>
      <w:bCs/>
      <w:color w:val="000000"/>
      <w:sz w:val="24"/>
    </w:rPr>
  </w:style>
  <w:style w:type="paragraph" w:customStyle="1" w:styleId="6f">
    <w:name w:val="正文6"/>
    <w:qFormat/>
    <w:pPr>
      <w:widowControl w:val="0"/>
      <w:adjustRightInd w:val="0"/>
      <w:spacing w:line="312" w:lineRule="atLeast"/>
      <w:jc w:val="both"/>
      <w:textAlignment w:val="baseline"/>
    </w:pPr>
    <w:rPr>
      <w:rFonts w:ascii="Arial" w:eastAsia="楷体_GB2312" w:hAnsi="Times New Roman" w:cs="Times New Roman"/>
      <w:spacing w:val="-6"/>
      <w:sz w:val="28"/>
    </w:rPr>
  </w:style>
  <w:style w:type="paragraph" w:customStyle="1" w:styleId="1fffffffd">
    <w:name w:val="正文文字缩进1"/>
    <w:basedOn w:val="a2"/>
    <w:next w:val="af5"/>
    <w:uiPriority w:val="99"/>
    <w:qFormat/>
    <w:pPr>
      <w:spacing w:line="360" w:lineRule="atLeast"/>
      <w:ind w:firstLine="425"/>
      <w:jc w:val="both"/>
      <w:textAlignment w:val="baseline"/>
    </w:pPr>
    <w:rPr>
      <w:rFonts w:ascii="宋体" w:hAnsi="Tms Rmn" w:cs="宋体"/>
      <w:szCs w:val="28"/>
    </w:rPr>
  </w:style>
  <w:style w:type="paragraph" w:customStyle="1" w:styleId="ft02">
    <w:name w:val="ft02"/>
    <w:basedOn w:val="a2"/>
    <w:uiPriority w:val="99"/>
    <w:qFormat/>
    <w:pPr>
      <w:spacing w:line="345" w:lineRule="atLeast"/>
    </w:pPr>
    <w:rPr>
      <w:rFonts w:ascii="Times" w:hAnsi="Times" w:cs="Times"/>
      <w:color w:val="000000"/>
    </w:rPr>
  </w:style>
  <w:style w:type="paragraph" w:customStyle="1" w:styleId="2fffff8">
    <w:name w:val="标题2级"/>
    <w:basedOn w:val="22"/>
    <w:uiPriority w:val="99"/>
    <w:qFormat/>
    <w:pPr>
      <w:spacing w:before="0" w:after="0" w:line="360" w:lineRule="auto"/>
    </w:pPr>
    <w:rPr>
      <w:rFonts w:ascii="Times New Roman" w:eastAsia="宋体" w:hAnsi="Times New Roman" w:cs="Times New Roman"/>
      <w:b w:val="0"/>
      <w:bCs w:val="0"/>
      <w:sz w:val="28"/>
      <w:szCs w:val="20"/>
    </w:rPr>
  </w:style>
  <w:style w:type="paragraph" w:customStyle="1" w:styleId="newstext">
    <w:name w:val="news_text"/>
    <w:basedOn w:val="a2"/>
    <w:uiPriority w:val="99"/>
    <w:qFormat/>
    <w:pPr>
      <w:spacing w:before="100" w:beforeAutospacing="1" w:after="100" w:afterAutospacing="1"/>
    </w:pPr>
    <w:rPr>
      <w:rFonts w:ascii="宋体" w:hAnsi="宋体" w:cs="宋体"/>
      <w:color w:val="000000"/>
      <w:sz w:val="22"/>
      <w:szCs w:val="22"/>
    </w:rPr>
  </w:style>
  <w:style w:type="paragraph" w:customStyle="1" w:styleId="3fff9">
    <w:name w:val="标题3级"/>
    <w:basedOn w:val="2fffff8"/>
    <w:uiPriority w:val="99"/>
    <w:qFormat/>
  </w:style>
  <w:style w:type="paragraph" w:customStyle="1" w:styleId="CharChar1CharCharCharCharCharCharCharCharCharCharCharCharChar4">
    <w:name w:val="Char Char1 Char Char Char Char Char Char Char Char Char Char Char Char Char4"/>
    <w:basedOn w:val="a2"/>
    <w:uiPriority w:val="99"/>
    <w:qFormat/>
    <w:pPr>
      <w:spacing w:line="360" w:lineRule="auto"/>
      <w:ind w:firstLineChars="200" w:firstLine="200"/>
      <w:jc w:val="both"/>
    </w:pPr>
    <w:rPr>
      <w:rFonts w:ascii="宋体" w:hAnsi="宋体" w:cs="宋体"/>
      <w:sz w:val="24"/>
    </w:rPr>
  </w:style>
  <w:style w:type="paragraph" w:customStyle="1" w:styleId="2tt">
    <w:name w:val="标题2tt"/>
    <w:basedOn w:val="a2"/>
    <w:qFormat/>
    <w:pPr>
      <w:spacing w:line="360" w:lineRule="auto"/>
    </w:pPr>
    <w:rPr>
      <w:b/>
      <w:szCs w:val="28"/>
    </w:rPr>
  </w:style>
  <w:style w:type="paragraph" w:customStyle="1" w:styleId="21f3">
    <w:name w:val="列表21"/>
    <w:basedOn w:val="a2"/>
    <w:uiPriority w:val="99"/>
    <w:qFormat/>
    <w:pPr>
      <w:spacing w:line="360" w:lineRule="exact"/>
      <w:jc w:val="center"/>
    </w:pPr>
    <w:rPr>
      <w:rFonts w:ascii="Times New Roman" w:eastAsia="仿宋_GB2312" w:hint="eastAsia"/>
    </w:rPr>
  </w:style>
  <w:style w:type="paragraph" w:customStyle="1" w:styleId="282525">
    <w:name w:val="样式 样式 样式 行距: 固定值 28 磅 + 首行缩进:  2.5 字符 + 首行缩进:  2.5 字符"/>
    <w:basedOn w:val="2825"/>
    <w:uiPriority w:val="99"/>
    <w:qFormat/>
    <w:pPr>
      <w:spacing w:line="500" w:lineRule="exact"/>
      <w:ind w:firstLine="250"/>
    </w:pPr>
  </w:style>
  <w:style w:type="paragraph" w:customStyle="1" w:styleId="f4235">
    <w:name w:val="f&lt;4&gt;23.5"/>
    <w:uiPriority w:val="99"/>
    <w:qFormat/>
    <w:pPr>
      <w:widowControl w:val="0"/>
      <w:adjustRightInd w:val="0"/>
      <w:spacing w:line="470" w:lineRule="atLeast"/>
      <w:textAlignment w:val="baseline"/>
    </w:pPr>
    <w:rPr>
      <w:rFonts w:ascii="仿宋体" w:eastAsia="仿宋体" w:hAnsi="Times New Roman" w:cs="Times New Roman"/>
      <w:kern w:val="24"/>
      <w:sz w:val="24"/>
    </w:rPr>
  </w:style>
  <w:style w:type="paragraph" w:customStyle="1" w:styleId="CharCharChar1Char4">
    <w:name w:val="Char Char Char1 Char4"/>
    <w:basedOn w:val="a2"/>
    <w:uiPriority w:val="99"/>
    <w:qFormat/>
    <w:pPr>
      <w:jc w:val="both"/>
    </w:pPr>
    <w:rPr>
      <w:rFonts w:ascii="Times New Roman"/>
    </w:rPr>
  </w:style>
  <w:style w:type="paragraph" w:customStyle="1" w:styleId="Char4CharCharCharCharCharCharCharCharCharCharCharCharCharCharCharCharChar1CharCharCharCharCharChar1CharCharCharCharCharCharCharCharCharCharCharCharCharCharCharCharCharCharChar4">
    <w:name w:val="Char4 Char Char Char Char Char Char Char Char Char Char Char Char Char Char Char Char Char1 Char Char Char Char Char Char1 Char Char Char Char Char Char Char Char Char Char Char Char Char Char Char Char Char Char Char4"/>
    <w:basedOn w:val="a2"/>
    <w:pPr>
      <w:spacing w:line="240" w:lineRule="exact"/>
      <w:ind w:firstLineChars="200" w:firstLine="200"/>
      <w:jc w:val="both"/>
    </w:pPr>
    <w:rPr>
      <w:szCs w:val="28"/>
    </w:rPr>
  </w:style>
  <w:style w:type="paragraph" w:customStyle="1" w:styleId="P5">
    <w:name w:val="P5"/>
    <w:uiPriority w:val="99"/>
    <w:qFormat/>
    <w:pPr>
      <w:widowControl w:val="0"/>
      <w:adjustRightInd w:val="0"/>
      <w:spacing w:after="240" w:line="0" w:lineRule="atLeast"/>
      <w:ind w:left="1440"/>
      <w:jc w:val="both"/>
      <w:textAlignment w:val="baseline"/>
    </w:pPr>
    <w:rPr>
      <w:rFonts w:ascii="Times New Roman" w:eastAsia="宋体" w:hAnsi="Times New Roman" w:cs="Times New Roman"/>
      <w:spacing w:val="20"/>
      <w:sz w:val="24"/>
      <w:lang w:val="en-GB"/>
    </w:rPr>
  </w:style>
  <w:style w:type="paragraph" w:customStyle="1" w:styleId="024">
    <w:name w:val="标题02"/>
    <w:basedOn w:val="a2"/>
    <w:next w:val="a2"/>
    <w:uiPriority w:val="99"/>
    <w:qFormat/>
    <w:pPr>
      <w:snapToGrid w:val="0"/>
      <w:spacing w:line="440" w:lineRule="atLeast"/>
      <w:jc w:val="both"/>
    </w:pPr>
    <w:rPr>
      <w:b/>
      <w:sz w:val="24"/>
    </w:rPr>
  </w:style>
  <w:style w:type="paragraph" w:customStyle="1" w:styleId="CharCharCharCharCharCharCharCharChar1CharCharCharCharCharCharCharCharCharChar2">
    <w:name w:val="Char Char Char Char Char Char Char Char Char1 Char Char Char Char Char Char Char Char Char Char2"/>
    <w:basedOn w:val="a2"/>
    <w:uiPriority w:val="99"/>
    <w:qFormat/>
    <w:pPr>
      <w:jc w:val="both"/>
    </w:pPr>
    <w:rPr>
      <w:rFonts w:ascii="Times New Roman"/>
    </w:rPr>
  </w:style>
  <w:style w:type="paragraph" w:customStyle="1" w:styleId="Char3CharCharChar">
    <w:name w:val="Char3 Char Char Char"/>
    <w:basedOn w:val="a2"/>
    <w:pPr>
      <w:jc w:val="both"/>
    </w:pPr>
    <w:rPr>
      <w:sz w:val="24"/>
    </w:rPr>
  </w:style>
  <w:style w:type="paragraph" w:customStyle="1" w:styleId="3120">
    <w:name w:val="标题 312"/>
    <w:basedOn w:val="a2"/>
    <w:next w:val="a2"/>
    <w:uiPriority w:val="99"/>
    <w:qFormat/>
    <w:pPr>
      <w:keepNext/>
      <w:keepLines/>
      <w:spacing w:before="120" w:after="120" w:line="500" w:lineRule="exact"/>
      <w:jc w:val="both"/>
      <w:textAlignment w:val="baseline"/>
    </w:pPr>
    <w:rPr>
      <w:rFonts w:eastAsia="黑体" w:hint="eastAsia"/>
      <w:sz w:val="30"/>
    </w:rPr>
  </w:style>
  <w:style w:type="paragraph" w:customStyle="1" w:styleId="P60">
    <w:name w:val="P6"/>
    <w:uiPriority w:val="99"/>
    <w:qFormat/>
    <w:pPr>
      <w:widowControl w:val="0"/>
      <w:adjustRightInd w:val="0"/>
      <w:spacing w:after="240" w:line="0" w:lineRule="atLeast"/>
      <w:ind w:left="3456" w:hanging="576"/>
      <w:jc w:val="both"/>
      <w:textAlignment w:val="baseline"/>
    </w:pPr>
    <w:rPr>
      <w:rFonts w:ascii="Times New Roman" w:eastAsia="全真中明體" w:hAnsi="Times New Roman" w:cs="Times New Roman"/>
      <w:spacing w:val="20"/>
      <w:sz w:val="24"/>
      <w:lang w:val="en-GB" w:eastAsia="zh-TW"/>
    </w:rPr>
  </w:style>
  <w:style w:type="paragraph" w:customStyle="1" w:styleId="reader-word-layerreader-word-s1-6">
    <w:name w:val="reader-word-layer reader-word-s1-6"/>
    <w:basedOn w:val="a2"/>
    <w:qFormat/>
    <w:pPr>
      <w:spacing w:before="100" w:beforeAutospacing="1" w:after="100" w:afterAutospacing="1"/>
    </w:pPr>
    <w:rPr>
      <w:rFonts w:ascii="宋体" w:hAnsi="宋体" w:cs="宋体"/>
      <w:sz w:val="24"/>
    </w:rPr>
  </w:style>
  <w:style w:type="character" w:customStyle="1" w:styleId="z-13">
    <w:name w:val="z-窗体顶端 字符1"/>
    <w:basedOn w:val="a4"/>
    <w:uiPriority w:val="99"/>
    <w:semiHidden/>
    <w:rPr>
      <w:rFonts w:ascii="Arial" w:eastAsia="楷体_GB2312" w:hAnsi="Arial" w:cs="Arial"/>
      <w:vanish/>
      <w:spacing w:val="-6"/>
      <w:kern w:val="0"/>
      <w:sz w:val="16"/>
      <w:szCs w:val="16"/>
    </w:rPr>
  </w:style>
  <w:style w:type="paragraph" w:customStyle="1" w:styleId="xl743">
    <w:name w:val="xl743"/>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eastAsia="Arial Unicode MS" w:hAnsi="Courier New"/>
      <w:sz w:val="24"/>
    </w:rPr>
  </w:style>
  <w:style w:type="paragraph" w:customStyle="1" w:styleId="CharCharChar2CharCharCharCharCharCharCharCharCharChar1">
    <w:name w:val="Char Char Char2 Char Char Char Char Char Char Char Char Char Char1"/>
    <w:basedOn w:val="a2"/>
    <w:uiPriority w:val="99"/>
    <w:qFormat/>
    <w:pPr>
      <w:jc w:val="both"/>
    </w:pPr>
  </w:style>
  <w:style w:type="paragraph" w:customStyle="1" w:styleId="afffffffffffffffffffffffffffb">
    <w:name w:val="新表"/>
    <w:basedOn w:val="a2"/>
    <w:qFormat/>
    <w:pPr>
      <w:spacing w:line="360" w:lineRule="exact"/>
    </w:pPr>
    <w:rPr>
      <w:rFonts w:eastAsia="仿宋_GB2312"/>
      <w:bCs/>
      <w:sz w:val="24"/>
    </w:rPr>
  </w:style>
  <w:style w:type="paragraph" w:customStyle="1" w:styleId="wtext">
    <w:name w:val="wtext"/>
    <w:basedOn w:val="a2"/>
    <w:uiPriority w:val="99"/>
    <w:qFormat/>
    <w:pPr>
      <w:spacing w:before="100" w:beforeAutospacing="1" w:after="100" w:afterAutospacing="1"/>
    </w:pPr>
    <w:rPr>
      <w:rFonts w:ascii="宋体" w:hAnsi="宋体" w:cs="宋体"/>
      <w:sz w:val="24"/>
    </w:rPr>
  </w:style>
  <w:style w:type="paragraph" w:customStyle="1" w:styleId="11fa">
    <w:name w:val="批注主题11"/>
    <w:basedOn w:val="af1"/>
    <w:next w:val="af1"/>
    <w:uiPriority w:val="99"/>
    <w:qFormat/>
    <w:pPr>
      <w:textAlignment w:val="baseline"/>
    </w:pPr>
    <w:rPr>
      <w:rFonts w:ascii="Calibri" w:eastAsia="宋体" w:hAnsi="Calibri" w:hint="eastAsia"/>
      <w:b/>
    </w:rPr>
  </w:style>
  <w:style w:type="paragraph" w:customStyle="1" w:styleId="CharCharCharCharCharCharCharChar1CharCharCharCharCharCharCharCharCharCharCharChar1Char1">
    <w:name w:val="Char Char Char Char Char Char Char Char1 Char Char Char Char Char Char Char Char Char Char Char Char1 Char1"/>
    <w:basedOn w:val="a2"/>
    <w:uiPriority w:val="99"/>
    <w:qFormat/>
    <w:pPr>
      <w:jc w:val="both"/>
    </w:pPr>
    <w:rPr>
      <w:sz w:val="24"/>
    </w:rPr>
  </w:style>
  <w:style w:type="paragraph" w:customStyle="1" w:styleId="Char130">
    <w:name w:val="Char13"/>
    <w:basedOn w:val="a2"/>
    <w:uiPriority w:val="99"/>
    <w:qFormat/>
    <w:pPr>
      <w:tabs>
        <w:tab w:val="left" w:pos="2040"/>
      </w:tabs>
      <w:snapToGrid w:val="0"/>
      <w:ind w:leftChars="800" w:left="2040" w:hanging="360"/>
      <w:jc w:val="both"/>
    </w:pPr>
    <w:rPr>
      <w:rFonts w:ascii="Times New Roman" w:eastAsia="仿宋_GB2312"/>
    </w:rPr>
  </w:style>
  <w:style w:type="paragraph" w:customStyle="1" w:styleId="afffffffffffffffffffffffffffc">
    <w:name w:val="敏感表"/>
    <w:basedOn w:val="a2"/>
    <w:next w:val="a2"/>
    <w:uiPriority w:val="99"/>
    <w:qFormat/>
    <w:pPr>
      <w:topLinePunct/>
      <w:spacing w:line="240" w:lineRule="atLeast"/>
      <w:jc w:val="center"/>
      <w:textAlignment w:val="bottom"/>
    </w:pPr>
  </w:style>
  <w:style w:type="paragraph" w:customStyle="1" w:styleId="17114">
    <w:name w:val="样式 首行缩进:  1.71 字符14"/>
    <w:basedOn w:val="aff9"/>
    <w:uiPriority w:val="99"/>
    <w:qFormat/>
    <w:pPr>
      <w:spacing w:line="360" w:lineRule="auto"/>
      <w:ind w:firstLineChars="171" w:firstLine="410"/>
      <w:jc w:val="both"/>
    </w:pPr>
    <w:rPr>
      <w:rFonts w:cs="宋体"/>
      <w:sz w:val="24"/>
      <w:szCs w:val="20"/>
    </w:rPr>
  </w:style>
  <w:style w:type="paragraph" w:customStyle="1" w:styleId="4-0010010">
    <w:name w:val="样式 样式 标题 4 + 黑色 左侧:  -0.01 厘米 首行缩进:  0.01 厘米 + 左侧:  0 厘米 首行缩进: ..."/>
    <w:basedOn w:val="4-001001"/>
    <w:qFormat/>
  </w:style>
  <w:style w:type="paragraph" w:customStyle="1" w:styleId="Char3CharCharChar1CharChar1Char">
    <w:name w:val="Char3 Char Char Char1 Char Char1 Char"/>
    <w:basedOn w:val="a2"/>
    <w:pPr>
      <w:jc w:val="both"/>
    </w:pPr>
  </w:style>
  <w:style w:type="paragraph" w:customStyle="1" w:styleId="afffffffffffffffffffffffffffd">
    <w:name w:val="表格文字（对中）"/>
    <w:basedOn w:val="a3"/>
    <w:uiPriority w:val="99"/>
    <w:qFormat/>
    <w:pPr>
      <w:snapToGrid w:val="0"/>
      <w:spacing w:line="240" w:lineRule="exact"/>
      <w:ind w:firstLineChars="0" w:firstLine="0"/>
      <w:jc w:val="center"/>
    </w:pPr>
    <w:rPr>
      <w:rFonts w:ascii="宋体" w:hAnsi="宋体"/>
      <w:snapToGrid w:val="0"/>
      <w:szCs w:val="22"/>
    </w:rPr>
  </w:style>
  <w:style w:type="paragraph" w:customStyle="1" w:styleId="afffffffffffffffffffffffffffe">
    <w:name w:val="正文说明"/>
    <w:basedOn w:val="a2"/>
    <w:uiPriority w:val="99"/>
    <w:qFormat/>
    <w:pPr>
      <w:spacing w:beforeLines="25" w:before="78" w:line="360" w:lineRule="auto"/>
      <w:ind w:firstLine="756"/>
      <w:jc w:val="both"/>
    </w:pPr>
    <w:rPr>
      <w:rFonts w:ascii="宋体" w:hAnsi="宋体"/>
      <w:color w:val="FF0000"/>
      <w:sz w:val="36"/>
      <w:szCs w:val="36"/>
      <w:bdr w:val="single" w:sz="4" w:space="0" w:color="auto"/>
    </w:rPr>
  </w:style>
  <w:style w:type="paragraph" w:customStyle="1" w:styleId="affffffffffffffffffffffffffff">
    <w:name w:val="表格本"/>
    <w:basedOn w:val="a3"/>
    <w:uiPriority w:val="99"/>
    <w:qFormat/>
    <w:pPr>
      <w:snapToGrid w:val="0"/>
      <w:ind w:firstLineChars="0" w:firstLine="0"/>
      <w:jc w:val="center"/>
      <w:textAlignment w:val="baseline"/>
    </w:pPr>
    <w:rPr>
      <w:kern w:val="0"/>
      <w:sz w:val="20"/>
      <w:szCs w:val="21"/>
    </w:rPr>
  </w:style>
  <w:style w:type="paragraph" w:customStyle="1" w:styleId="3fffa">
    <w:name w:val="普通(网站)3"/>
    <w:basedOn w:val="a2"/>
    <w:uiPriority w:val="99"/>
    <w:qFormat/>
    <w:pPr>
      <w:jc w:val="both"/>
      <w:textAlignment w:val="baseline"/>
    </w:pPr>
    <w:rPr>
      <w:sz w:val="24"/>
    </w:rPr>
  </w:style>
  <w:style w:type="paragraph" w:customStyle="1" w:styleId="P8">
    <w:name w:val="P8"/>
    <w:basedOn w:val="a2"/>
    <w:uiPriority w:val="99"/>
    <w:qFormat/>
    <w:pPr>
      <w:spacing w:line="360" w:lineRule="atLeast"/>
      <w:ind w:left="4032"/>
      <w:textAlignment w:val="baseline"/>
    </w:pPr>
    <w:rPr>
      <w:rFonts w:eastAsia="全真中明體"/>
      <w:spacing w:val="20"/>
      <w:sz w:val="24"/>
      <w:lang w:eastAsia="zh-TW"/>
    </w:rPr>
  </w:style>
  <w:style w:type="paragraph" w:customStyle="1" w:styleId="affffffffffffffffffffffffffff0">
    <w:name w:val="中文报告书样式"/>
    <w:basedOn w:val="a2"/>
    <w:pPr>
      <w:autoSpaceDE/>
      <w:autoSpaceDN/>
      <w:spacing w:line="480" w:lineRule="atLeast"/>
      <w:ind w:firstLineChars="200" w:firstLine="482"/>
      <w:jc w:val="both"/>
      <w:textAlignment w:val="baseline"/>
    </w:pPr>
    <w:rPr>
      <w:kern w:val="24"/>
    </w:rPr>
  </w:style>
  <w:style w:type="paragraph" w:customStyle="1" w:styleId="1230">
    <w:name w:val="样式 行距: 最小值 12 磅3"/>
    <w:basedOn w:val="a2"/>
    <w:uiPriority w:val="99"/>
    <w:qFormat/>
    <w:pPr>
      <w:spacing w:line="360" w:lineRule="auto"/>
      <w:ind w:firstLineChars="200" w:firstLine="480"/>
      <w:jc w:val="both"/>
    </w:pPr>
    <w:rPr>
      <w:rFonts w:ascii="宋体" w:hAnsi="宋体"/>
      <w:sz w:val="24"/>
    </w:rPr>
  </w:style>
  <w:style w:type="paragraph" w:customStyle="1" w:styleId="font9">
    <w:name w:val="font9"/>
    <w:basedOn w:val="a2"/>
    <w:qFormat/>
    <w:pPr>
      <w:widowControl/>
      <w:spacing w:before="100" w:beforeAutospacing="1" w:after="100" w:afterAutospacing="1"/>
    </w:pPr>
    <w:rPr>
      <w:rFonts w:ascii="宋体" w:hAnsi="宋体" w:cs="Arial Unicode MS" w:hint="eastAsia"/>
      <w:color w:val="000000"/>
      <w:sz w:val="24"/>
    </w:rPr>
  </w:style>
  <w:style w:type="paragraph" w:customStyle="1" w:styleId="203">
    <w:name w:val="样式 行距: 最小值 20 磅"/>
    <w:basedOn w:val="a2"/>
    <w:qFormat/>
    <w:pPr>
      <w:spacing w:line="360" w:lineRule="auto"/>
      <w:ind w:firstLine="567"/>
      <w:textAlignment w:val="baseline"/>
    </w:pPr>
    <w:rPr>
      <w:rFonts w:cs="宋体"/>
      <w:sz w:val="24"/>
    </w:rPr>
  </w:style>
  <w:style w:type="paragraph" w:customStyle="1" w:styleId="3205">
    <w:name w:val="样式 标题 3 + 左侧:  2 字符 段前: 0.5 行"/>
    <w:basedOn w:val="32"/>
    <w:uiPriority w:val="99"/>
    <w:qFormat/>
    <w:pPr>
      <w:spacing w:beforeLines="50" w:before="156" w:after="0" w:line="440" w:lineRule="exact"/>
      <w:ind w:firstLineChars="200" w:firstLine="200"/>
    </w:pPr>
    <w:rPr>
      <w:rFonts w:ascii="Times New Roman" w:eastAsia="华文细黑"/>
      <w:b w:val="0"/>
      <w:bCs w:val="0"/>
      <w:sz w:val="28"/>
      <w:szCs w:val="20"/>
    </w:rPr>
  </w:style>
  <w:style w:type="paragraph" w:customStyle="1" w:styleId="affffffffffffffffffffffffffff1">
    <w:name w:val=".."/>
    <w:basedOn w:val="Default"/>
    <w:next w:val="Default"/>
    <w:qFormat/>
    <w:pPr>
      <w:spacing w:beforeLines="0" w:before="0" w:afterLines="0" w:after="0" w:line="240" w:lineRule="auto"/>
      <w:ind w:firstLineChars="0" w:firstLine="0"/>
    </w:pPr>
    <w:rPr>
      <w:rFonts w:ascii=".." w:eastAsia=".." w:cs="Times New Roman"/>
      <w:color w:val="auto"/>
    </w:rPr>
  </w:style>
  <w:style w:type="paragraph" w:customStyle="1" w:styleId="051">
    <w:name w:val="样式 表标题 + 段前: 0.5 行1"/>
    <w:basedOn w:val="7"/>
    <w:uiPriority w:val="99"/>
    <w:qFormat/>
    <w:pPr>
      <w:keepNext w:val="0"/>
      <w:keepLines w:val="0"/>
      <w:tabs>
        <w:tab w:val="clear" w:pos="165"/>
        <w:tab w:val="left" w:pos="1757"/>
        <w:tab w:val="left" w:pos="3780"/>
      </w:tabs>
      <w:snapToGrid w:val="0"/>
      <w:spacing w:before="206" w:after="0" w:line="480" w:lineRule="exact"/>
      <w:ind w:left="0" w:firstLine="0"/>
      <w:jc w:val="center"/>
      <w:outlineLvl w:val="9"/>
    </w:pPr>
    <w:rPr>
      <w:rFonts w:eastAsia="黑体"/>
      <w:b w:val="0"/>
      <w:sz w:val="28"/>
    </w:rPr>
  </w:style>
  <w:style w:type="paragraph" w:customStyle="1" w:styleId="CharCharChar1CharCharCharCharCharCharCharCharCharCharCharCharCharCharChar1CharCharCharCharCharCharCharCharCharCharCharCharCharChar">
    <w:name w:val="Char Char Char1 Char Char Char Char Char Char Char Char Char Char Char Char Char Char Char1 Char Char Char Char Char Char Char Char Char Char Char Char Char Char"/>
    <w:basedOn w:val="a2"/>
    <w:uiPriority w:val="99"/>
    <w:qFormat/>
    <w:pPr>
      <w:jc w:val="both"/>
    </w:pPr>
  </w:style>
  <w:style w:type="paragraph" w:customStyle="1" w:styleId="yz">
    <w:name w:val="yz"/>
    <w:basedOn w:val="af4"/>
    <w:qFormat/>
    <w:pPr>
      <w:tabs>
        <w:tab w:val="left" w:pos="900"/>
      </w:tabs>
      <w:spacing w:after="0"/>
      <w:ind w:firstLineChars="200" w:firstLine="200"/>
      <w:textAlignment w:val="baseline"/>
    </w:pPr>
    <w:rPr>
      <w:rFonts w:ascii="宋体" w:hAnsi="宋体"/>
      <w:sz w:val="24"/>
    </w:rPr>
  </w:style>
  <w:style w:type="paragraph" w:customStyle="1" w:styleId="415">
    <w:name w:val="正文41"/>
    <w:basedOn w:val="a2"/>
    <w:uiPriority w:val="99"/>
    <w:qFormat/>
    <w:pPr>
      <w:spacing w:line="480" w:lineRule="exact"/>
      <w:jc w:val="both"/>
      <w:textAlignment w:val="baseline"/>
    </w:pPr>
    <w:rPr>
      <w:rFonts w:ascii="Times New Roman"/>
      <w:spacing w:val="-2"/>
    </w:rPr>
  </w:style>
  <w:style w:type="paragraph" w:customStyle="1" w:styleId="xl102">
    <w:name w:val="xl102"/>
    <w:basedOn w:val="a2"/>
    <w:qFormat/>
    <w:pPr>
      <w:pBdr>
        <w:top w:val="single" w:sz="8" w:space="0" w:color="auto"/>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affffffffffffffffffffffffffff2">
    <w:name w:val="文本居中"/>
    <w:basedOn w:val="a2"/>
    <w:qFormat/>
    <w:pPr>
      <w:spacing w:line="360" w:lineRule="auto"/>
      <w:jc w:val="center"/>
    </w:pPr>
  </w:style>
  <w:style w:type="paragraph" w:customStyle="1" w:styleId="2TimesNewRoman1313173">
    <w:name w:val="样式 标题 2 + Times New Roman 黑色 段前: 13 磅 段后: 13 磅 行距: 多倍行距 1.73..."/>
    <w:basedOn w:val="22"/>
    <w:uiPriority w:val="99"/>
    <w:qFormat/>
    <w:pPr>
      <w:spacing w:beforeLines="100" w:before="312" w:afterLines="50" w:after="156" w:line="360" w:lineRule="auto"/>
      <w:jc w:val="both"/>
    </w:pPr>
    <w:rPr>
      <w:rFonts w:ascii="Times New Roman" w:eastAsia="黑体" w:hAnsi="Times New Roman" w:cs="Times New Roman"/>
      <w:bCs w:val="0"/>
      <w:color w:val="000000"/>
      <w:sz w:val="28"/>
      <w:szCs w:val="30"/>
    </w:rPr>
  </w:style>
  <w:style w:type="paragraph" w:customStyle="1" w:styleId="1fffffffe">
    <w:name w:val="正文首行缩进1"/>
    <w:basedOn w:val="a2"/>
    <w:next w:val="a2"/>
    <w:qFormat/>
    <w:pPr>
      <w:tabs>
        <w:tab w:val="left" w:pos="540"/>
        <w:tab w:val="left" w:pos="1440"/>
        <w:tab w:val="left" w:pos="2448"/>
        <w:tab w:val="left" w:pos="3000"/>
        <w:tab w:val="left" w:pos="3888"/>
        <w:tab w:val="left" w:pos="4800"/>
        <w:tab w:val="left" w:pos="5040"/>
        <w:tab w:val="left" w:pos="5883"/>
        <w:tab w:val="left" w:pos="6300"/>
        <w:tab w:val="left" w:pos="7353"/>
        <w:tab w:val="left" w:pos="8613"/>
      </w:tabs>
      <w:snapToGrid w:val="0"/>
      <w:spacing w:line="300" w:lineRule="auto"/>
      <w:ind w:firstLine="561"/>
      <w:jc w:val="both"/>
      <w:textAlignment w:val="baseline"/>
    </w:pPr>
  </w:style>
  <w:style w:type="paragraph" w:customStyle="1" w:styleId="CharCharChar1Char2">
    <w:name w:val="Char Char Char1 Char2"/>
    <w:basedOn w:val="a2"/>
    <w:uiPriority w:val="99"/>
    <w:qFormat/>
    <w:pPr>
      <w:jc w:val="both"/>
      <w:textAlignment w:val="baseline"/>
    </w:pPr>
    <w:rPr>
      <w:rFonts w:ascii="仿宋_GB2312" w:eastAsia="仿宋_GB2312"/>
    </w:rPr>
  </w:style>
  <w:style w:type="paragraph" w:customStyle="1" w:styleId="CharChar1CharCharCharChar13">
    <w:name w:val="Char Char1 Char Char Char Char13"/>
    <w:basedOn w:val="a2"/>
    <w:uiPriority w:val="99"/>
    <w:qFormat/>
    <w:pPr>
      <w:jc w:val="both"/>
    </w:pPr>
  </w:style>
  <w:style w:type="paragraph" w:customStyle="1" w:styleId="Char3CharCharChar1CharChar1Char4">
    <w:name w:val="Char3 Char Char Char1 Char Char1 Char4"/>
    <w:basedOn w:val="a2"/>
    <w:uiPriority w:val="99"/>
    <w:qFormat/>
    <w:pPr>
      <w:jc w:val="both"/>
    </w:pPr>
  </w:style>
  <w:style w:type="paragraph" w:customStyle="1" w:styleId="Normal27">
    <w:name w:val="Normal_27"/>
    <w:qFormat/>
    <w:pPr>
      <w:spacing w:before="120" w:after="240"/>
      <w:jc w:val="both"/>
    </w:pPr>
    <w:rPr>
      <w:rFonts w:ascii="Times New Roman" w:eastAsia="Calibri" w:hAnsi="Times New Roman" w:cs="Times New Roman"/>
      <w:sz w:val="22"/>
      <w:szCs w:val="21"/>
      <w:lang w:val="ru-RU" w:eastAsia="en-US"/>
    </w:rPr>
  </w:style>
  <w:style w:type="paragraph" w:customStyle="1" w:styleId="13c">
    <w:name w:val="文档结构图13"/>
    <w:basedOn w:val="a2"/>
    <w:uiPriority w:val="99"/>
    <w:qFormat/>
    <w:pPr>
      <w:spacing w:line="360" w:lineRule="auto"/>
      <w:jc w:val="both"/>
    </w:pPr>
    <w:rPr>
      <w:rFonts w:hAnsi="Calibri"/>
      <w:sz w:val="18"/>
      <w:szCs w:val="18"/>
    </w:rPr>
  </w:style>
  <w:style w:type="paragraph" w:customStyle="1" w:styleId="affffffffffffffffffffffffffff3">
    <w:name w:val="图形"/>
    <w:basedOn w:val="a3"/>
    <w:uiPriority w:val="99"/>
    <w:qFormat/>
    <w:pPr>
      <w:ind w:firstLineChars="0" w:firstLine="0"/>
      <w:jc w:val="both"/>
      <w:textAlignment w:val="baseline"/>
    </w:pPr>
    <w:rPr>
      <w:rFonts w:ascii="宋体" w:eastAsia="楷体_GB2312"/>
      <w:spacing w:val="8"/>
      <w:kern w:val="0"/>
      <w:sz w:val="28"/>
      <w:szCs w:val="20"/>
    </w:rPr>
  </w:style>
  <w:style w:type="paragraph" w:customStyle="1" w:styleId="Textopredeterminado">
    <w:name w:val="Texto predeterminado"/>
    <w:basedOn w:val="a2"/>
    <w:uiPriority w:val="99"/>
    <w:qFormat/>
    <w:pPr>
      <w:spacing w:line="240" w:lineRule="atLeast"/>
    </w:pPr>
    <w:rPr>
      <w:sz w:val="24"/>
    </w:rPr>
  </w:style>
  <w:style w:type="paragraph" w:customStyle="1" w:styleId="31113CharChar3Char3CharCharCharCha">
    <w:name w:val="样式 标题 31.1.1条标题 3 Char Char标题 3 Char标题 3 Char Char Char Cha..."/>
    <w:basedOn w:val="32"/>
    <w:uiPriority w:val="99"/>
    <w:qFormat/>
    <w:pPr>
      <w:spacing w:before="120" w:after="120" w:line="300" w:lineRule="auto"/>
    </w:pPr>
    <w:rPr>
      <w:rFonts w:ascii="宋体" w:eastAsia="宋体" w:cs="宋体"/>
      <w:color w:val="000000"/>
      <w:sz w:val="28"/>
      <w:szCs w:val="20"/>
    </w:rPr>
  </w:style>
  <w:style w:type="paragraph" w:customStyle="1" w:styleId="33H3h33rdlevel3Char3Char">
    <w:name w:val="样式 标题 3头标题3H3h33rd level第二层条标题 3 Char小标题小节标题标题 3 Char ..."/>
    <w:basedOn w:val="32"/>
    <w:uiPriority w:val="99"/>
    <w:qFormat/>
    <w:pPr>
      <w:keepLines w:val="0"/>
      <w:tabs>
        <w:tab w:val="left" w:pos="1742"/>
      </w:tabs>
      <w:spacing w:before="0" w:after="0" w:line="300" w:lineRule="auto"/>
      <w:ind w:right="-153"/>
      <w:jc w:val="both"/>
      <w:textAlignment w:val="baseline"/>
    </w:pPr>
    <w:rPr>
      <w:rFonts w:ascii="Times New Roman" w:eastAsia="仿宋_GB2312" w:cs="宋体"/>
      <w:b w:val="0"/>
      <w:bCs w:val="0"/>
      <w:color w:val="000000"/>
      <w:sz w:val="24"/>
      <w:szCs w:val="20"/>
    </w:rPr>
  </w:style>
  <w:style w:type="paragraph" w:customStyle="1" w:styleId="StandardWeb2">
    <w:name w:val="Standard (Web)2"/>
    <w:basedOn w:val="a2"/>
    <w:uiPriority w:val="99"/>
    <w:qFormat/>
    <w:pPr>
      <w:spacing w:before="100" w:beforeAutospacing="1" w:after="100" w:afterAutospacing="1"/>
      <w:ind w:left="851"/>
    </w:pPr>
    <w:rPr>
      <w:rFonts w:hAnsi="Arial" w:cs="Arial"/>
      <w:color w:val="000000"/>
      <w:sz w:val="17"/>
      <w:szCs w:val="17"/>
      <w:lang w:val="de-DE" w:eastAsia="de-DE"/>
    </w:rPr>
  </w:style>
  <w:style w:type="paragraph" w:customStyle="1" w:styleId="xl741">
    <w:name w:val="xl741"/>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Arial Unicode MS" w:hAnsi="Courier New"/>
      <w:sz w:val="24"/>
    </w:rPr>
  </w:style>
  <w:style w:type="paragraph" w:customStyle="1" w:styleId="affffffffffffffffffffffffffff4">
    <w:name w:val="列图"/>
    <w:basedOn w:val="aff2"/>
    <w:next w:val="a2"/>
    <w:qFormat/>
    <w:pPr>
      <w:tabs>
        <w:tab w:val="left" w:pos="3765"/>
      </w:tabs>
      <w:spacing w:line="240" w:lineRule="auto"/>
    </w:pPr>
    <w:rPr>
      <w:rFonts w:ascii="Times New Roman" w:eastAsia="宋体"/>
      <w:bCs/>
      <w:sz w:val="21"/>
      <w:szCs w:val="21"/>
    </w:rPr>
  </w:style>
  <w:style w:type="paragraph" w:customStyle="1" w:styleId="12f7">
    <w:name w:val="宏文本12"/>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3220">
    <w:name w:val="样式 表格 32 + 首行缩进:  2 字符"/>
    <w:basedOn w:val="a2"/>
    <w:qFormat/>
    <w:pPr>
      <w:snapToGrid w:val="0"/>
      <w:spacing w:line="240" w:lineRule="atLeast"/>
      <w:jc w:val="center"/>
      <w:textAlignment w:val="baseline"/>
    </w:p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2"/>
    <w:uiPriority w:val="99"/>
    <w:qFormat/>
    <w:pPr>
      <w:jc w:val="both"/>
    </w:pPr>
    <w:rPr>
      <w:rFonts w:ascii="Times New Roman"/>
    </w:rPr>
  </w:style>
  <w:style w:type="paragraph" w:customStyle="1" w:styleId="Char1CharCharCharCharCharCharCharCharCharCharCharCharCharCharChar5">
    <w:name w:val="Char1 Char Char Char Char Char Char Char Char Char Char Char Char Char Char Char5"/>
    <w:basedOn w:val="a2"/>
    <w:pPr>
      <w:spacing w:line="360" w:lineRule="auto"/>
      <w:jc w:val="both"/>
    </w:pPr>
    <w:rPr>
      <w:sz w:val="24"/>
      <w:szCs w:val="22"/>
    </w:rPr>
  </w:style>
  <w:style w:type="paragraph" w:customStyle="1" w:styleId="CM95">
    <w:name w:val="CM95"/>
    <w:basedOn w:val="Default"/>
    <w:next w:val="Default"/>
    <w:pPr>
      <w:spacing w:beforeLines="0" w:before="0" w:afterLines="0" w:after="0" w:line="240" w:lineRule="auto"/>
      <w:ind w:firstLineChars="0" w:firstLine="0"/>
      <w:jc w:val="both"/>
    </w:pPr>
    <w:rPr>
      <w:rFonts w:ascii="黑体" w:eastAsia="黑体" w:cs="Times New Roman"/>
      <w:color w:val="auto"/>
    </w:rPr>
  </w:style>
  <w:style w:type="paragraph" w:customStyle="1" w:styleId="Char420">
    <w:name w:val="Char42"/>
    <w:basedOn w:val="a2"/>
    <w:uiPriority w:val="99"/>
    <w:qFormat/>
    <w:pPr>
      <w:jc w:val="both"/>
    </w:pPr>
    <w:rPr>
      <w:color w:val="000000"/>
    </w:rPr>
  </w:style>
  <w:style w:type="paragraph" w:customStyle="1" w:styleId="affffffffffffffffffffffffffff5">
    <w:name w:val="表居中（中文）"/>
    <w:basedOn w:val="a2"/>
    <w:qFormat/>
    <w:pPr>
      <w:spacing w:line="380" w:lineRule="atLeast"/>
      <w:jc w:val="center"/>
      <w:textAlignment w:val="baseline"/>
    </w:pPr>
  </w:style>
  <w:style w:type="paragraph" w:customStyle="1" w:styleId="4143102">
    <w:name w:val="样式 标题 4标题 14 + 加粗 无下划线 自动设置 段前: 3 磅 段后: 10 磅2"/>
    <w:basedOn w:val="41"/>
    <w:uiPriority w:val="99"/>
    <w:qFormat/>
    <w:pPr>
      <w:keepLines w:val="0"/>
      <w:tabs>
        <w:tab w:val="left" w:pos="425"/>
      </w:tabs>
      <w:snapToGrid w:val="0"/>
      <w:spacing w:beforeLines="0" w:before="60" w:after="200" w:line="240" w:lineRule="auto"/>
      <w:ind w:leftChars="0" w:left="0" w:rightChars="0" w:right="0"/>
      <w:jc w:val="both"/>
    </w:pPr>
    <w:rPr>
      <w:rFonts w:ascii="Times New Roman" w:eastAsia="宋体"/>
      <w:color w:val="000000"/>
      <w:sz w:val="24"/>
      <w:szCs w:val="20"/>
    </w:rPr>
  </w:style>
  <w:style w:type="paragraph" w:customStyle="1" w:styleId="affffffffffffffffffffffffffff6">
    <w:name w:val="本文表文字"/>
    <w:basedOn w:val="a2"/>
    <w:qFormat/>
    <w:pPr>
      <w:jc w:val="center"/>
      <w:textAlignment w:val="baseline"/>
    </w:pPr>
    <w:rPr>
      <w:sz w:val="24"/>
    </w:rPr>
  </w:style>
  <w:style w:type="paragraph" w:customStyle="1" w:styleId="affffffffffffffffffffffffffff7">
    <w:name w:val="样式"/>
    <w:qFormat/>
    <w:pPr>
      <w:keepNext/>
      <w:keepLines/>
      <w:widowControl w:val="0"/>
      <w:adjustRightInd w:val="0"/>
      <w:spacing w:before="340" w:after="330" w:line="578" w:lineRule="atLeast"/>
      <w:jc w:val="both"/>
      <w:textAlignment w:val="baseline"/>
    </w:pPr>
    <w:rPr>
      <w:rFonts w:ascii="Times New Roman" w:eastAsia="宋体" w:hAnsi="Times New Roman" w:cs="Times New Roman"/>
      <w:b/>
      <w:sz w:val="24"/>
    </w:rPr>
  </w:style>
  <w:style w:type="paragraph" w:customStyle="1" w:styleId="PlainTe">
    <w:name w:val="Plain Te"/>
    <w:basedOn w:val="a2"/>
    <w:uiPriority w:val="99"/>
    <w:qFormat/>
    <w:rPr>
      <w:rFonts w:ascii="宋体" w:hAnsi="Courier New"/>
    </w:rPr>
  </w:style>
  <w:style w:type="paragraph" w:customStyle="1" w:styleId="xl46">
    <w:name w:val="xl46"/>
    <w:basedOn w:val="a2"/>
    <w:qFormat/>
    <w:pPr>
      <w:widowControl/>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color w:val="000000"/>
      <w:sz w:val="24"/>
    </w:rPr>
  </w:style>
  <w:style w:type="paragraph" w:customStyle="1" w:styleId="Formatvorlage4">
    <w:name w:val="Formatvorlage4"/>
    <w:basedOn w:val="a2"/>
    <w:uiPriority w:val="99"/>
    <w:qFormat/>
    <w:pPr>
      <w:spacing w:line="360" w:lineRule="auto"/>
      <w:ind w:firstLine="709"/>
      <w:jc w:val="both"/>
      <w:textAlignment w:val="baseline"/>
    </w:pPr>
    <w:rPr>
      <w:rFonts w:ascii="CorpoSLig" w:hAnsi="CorpoSLig"/>
      <w:sz w:val="24"/>
      <w:lang w:val="en-GB"/>
    </w:rPr>
  </w:style>
  <w:style w:type="paragraph" w:customStyle="1" w:styleId="CharCharCharChar1CharCharCharCharCharCharCharCharCharCharCharChar4">
    <w:name w:val="Char Char Char Char1 Char Char Char Char Char Char Char Char Char Char Char Char4"/>
    <w:basedOn w:val="a2"/>
    <w:pPr>
      <w:tabs>
        <w:tab w:val="left" w:pos="0"/>
      </w:tabs>
    </w:pPr>
    <w:rPr>
      <w:sz w:val="24"/>
    </w:rPr>
  </w:style>
  <w:style w:type="paragraph" w:customStyle="1" w:styleId="440">
    <w:name w:val="标题 44"/>
    <w:basedOn w:val="a2"/>
    <w:next w:val="a2"/>
    <w:uiPriority w:val="99"/>
    <w:qFormat/>
    <w:pPr>
      <w:snapToGrid w:val="0"/>
      <w:jc w:val="both"/>
      <w:textAlignment w:val="baseline"/>
    </w:pPr>
    <w:rPr>
      <w:rFonts w:ascii="宋体" w:hAnsi="宋体" w:hint="eastAsia"/>
      <w:sz w:val="32"/>
    </w:rPr>
  </w:style>
  <w:style w:type="paragraph" w:customStyle="1" w:styleId="407522">
    <w:name w:val="样式 样式 样式 样式 样式4 + 首行缩进:  0.75 字符 + 首行缩进:  2 字符 + 首行缩进:  2 字符 + 首..."/>
    <w:basedOn w:val="a2"/>
    <w:uiPriority w:val="99"/>
    <w:qFormat/>
    <w:pPr>
      <w:snapToGrid w:val="0"/>
      <w:spacing w:line="480" w:lineRule="exact"/>
      <w:ind w:firstLineChars="200" w:firstLine="480"/>
      <w:jc w:val="both"/>
    </w:pPr>
    <w:rPr>
      <w:rFonts w:ascii="华文中宋" w:eastAsia="华文中宋" w:hAnsi="华文中宋"/>
      <w:sz w:val="24"/>
    </w:rPr>
  </w:style>
  <w:style w:type="paragraph" w:customStyle="1" w:styleId="13d">
    <w:name w:val="样式 黑色13"/>
    <w:basedOn w:val="a2"/>
    <w:uiPriority w:val="99"/>
    <w:qFormat/>
    <w:pPr>
      <w:spacing w:line="360" w:lineRule="auto"/>
      <w:ind w:firstLineChars="171" w:firstLine="359"/>
      <w:jc w:val="both"/>
    </w:pPr>
    <w:rPr>
      <w:rFonts w:cs="宋体"/>
      <w:color w:val="000000"/>
      <w:sz w:val="24"/>
    </w:rPr>
  </w:style>
  <w:style w:type="paragraph" w:customStyle="1" w:styleId="1ffffffff">
    <w:name w:val="我的 标题 1.."/>
    <w:basedOn w:val="12"/>
    <w:uiPriority w:val="99"/>
    <w:qFormat/>
    <w:pPr>
      <w:keepLines w:val="0"/>
      <w:tabs>
        <w:tab w:val="left" w:pos="432"/>
      </w:tabs>
      <w:snapToGrid w:val="0"/>
      <w:spacing w:before="156" w:after="7"/>
      <w:ind w:left="432" w:hanging="432"/>
      <w:jc w:val="both"/>
      <w:textAlignment w:val="auto"/>
    </w:pPr>
    <w:rPr>
      <w:rFonts w:eastAsia="宋体"/>
      <w:sz w:val="44"/>
      <w:szCs w:val="44"/>
    </w:rPr>
  </w:style>
  <w:style w:type="paragraph" w:customStyle="1" w:styleId="1111CharCharCharChar111Char1">
    <w:name w:val="样式 标题 11.标题 1一、标题 1 Char Char Char Char1 南陵标题 1标题 1 Char标题...1"/>
    <w:basedOn w:val="12"/>
    <w:uiPriority w:val="99"/>
    <w:qFormat/>
    <w:pPr>
      <w:tabs>
        <w:tab w:val="left" w:pos="0"/>
      </w:tabs>
      <w:snapToGrid w:val="0"/>
      <w:spacing w:beforeLines="100" w:before="312" w:line="240" w:lineRule="auto"/>
      <w:textAlignment w:val="bottom"/>
    </w:pPr>
    <w:rPr>
      <w:rFonts w:ascii="Arial" w:eastAsia="宋体" w:cs="Arial"/>
      <w:b/>
      <w:bCs w:val="0"/>
      <w:sz w:val="28"/>
      <w:szCs w:val="44"/>
    </w:rPr>
  </w:style>
  <w:style w:type="paragraph" w:customStyle="1" w:styleId="21111yjm22Heading2HiddenHeading">
    <w:name w:val="样式 标题 2节标题 1.1标题 1.1标题 yjm2第一章 标题 2Heading 2 HiddenHeading..."/>
    <w:basedOn w:val="22"/>
    <w:uiPriority w:val="99"/>
    <w:qFormat/>
    <w:pPr>
      <w:keepLines w:val="0"/>
      <w:snapToGrid w:val="0"/>
      <w:spacing w:beforeLines="50" w:before="156" w:after="0" w:line="360" w:lineRule="auto"/>
    </w:pPr>
    <w:rPr>
      <w:rFonts w:ascii="Arial" w:eastAsia="黑体" w:hAnsi="Arial" w:cs="宋体"/>
      <w:bCs w:val="0"/>
      <w:sz w:val="30"/>
      <w:szCs w:val="30"/>
    </w:rPr>
  </w:style>
  <w:style w:type="paragraph" w:customStyle="1" w:styleId="4fa">
    <w:name w:val="正文缩进4"/>
    <w:basedOn w:val="a2"/>
    <w:uiPriority w:val="99"/>
    <w:qFormat/>
    <w:pPr>
      <w:spacing w:line="560" w:lineRule="exact"/>
      <w:ind w:firstLineChars="200" w:firstLine="560"/>
      <w:jc w:val="both"/>
      <w:textAlignment w:val="baseline"/>
    </w:pPr>
    <w:rPr>
      <w:rFonts w:ascii="宋体" w:hAnsi="宋体" w:hint="eastAsia"/>
    </w:rPr>
  </w:style>
  <w:style w:type="paragraph" w:customStyle="1" w:styleId="1h1H1PIM1111SectionHeadHeader11stlevell12">
    <w:name w:val="样式 标题 1h1H1PIM 1标书11.标题 1Section HeadHeader11st levell1...2"/>
    <w:basedOn w:val="12"/>
    <w:qFormat/>
    <w:pPr>
      <w:pageBreakBefore/>
      <w:numPr>
        <w:numId w:val="17"/>
      </w:numPr>
      <w:spacing w:before="120" w:after="120"/>
      <w:textAlignment w:val="auto"/>
    </w:pPr>
    <w:rPr>
      <w:rFonts w:eastAsia="宋体"/>
      <w:b/>
      <w:sz w:val="30"/>
      <w:szCs w:val="30"/>
    </w:rPr>
  </w:style>
  <w:style w:type="paragraph" w:customStyle="1" w:styleId="CharCharChar1CharCharCharCharCharChar4">
    <w:name w:val="Char Char Char1 Char Char Char Char Char Char4"/>
    <w:basedOn w:val="a2"/>
    <w:uiPriority w:val="99"/>
    <w:qFormat/>
    <w:pPr>
      <w:jc w:val="both"/>
    </w:pPr>
  </w:style>
  <w:style w:type="paragraph" w:customStyle="1" w:styleId="P1">
    <w:name w:val="P1"/>
    <w:uiPriority w:val="99"/>
    <w:qFormat/>
    <w:pPr>
      <w:widowControl w:val="0"/>
      <w:tabs>
        <w:tab w:val="left" w:pos="1440"/>
      </w:tabs>
      <w:adjustRightInd w:val="0"/>
      <w:spacing w:after="240" w:line="0" w:lineRule="atLeast"/>
      <w:ind w:left="1440" w:hanging="720"/>
      <w:jc w:val="both"/>
      <w:textAlignment w:val="baseline"/>
    </w:pPr>
    <w:rPr>
      <w:rFonts w:ascii="Times New Roman" w:eastAsia="PMingLiU" w:hAnsi="Times New Roman" w:cs="Times New Roman"/>
      <w:spacing w:val="20"/>
      <w:sz w:val="24"/>
      <w:lang w:val="en-GB"/>
    </w:rPr>
  </w:style>
  <w:style w:type="paragraph" w:customStyle="1" w:styleId="CharChar12ZchnZchnCharChar3">
    <w:name w:val="Char Char12 Zchn Zchn Char Char3"/>
    <w:basedOn w:val="a2"/>
    <w:pPr>
      <w:jc w:val="both"/>
    </w:pPr>
    <w:rPr>
      <w:sz w:val="24"/>
    </w:rPr>
  </w:style>
  <w:style w:type="paragraph" w:customStyle="1" w:styleId="xl106">
    <w:name w:val="xl106"/>
    <w:basedOn w:val="a2"/>
    <w:qFormat/>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宋体" w:hAnsi="宋体" w:cs="宋体"/>
      <w:color w:val="000000"/>
      <w:sz w:val="18"/>
      <w:szCs w:val="18"/>
    </w:rPr>
  </w:style>
  <w:style w:type="paragraph" w:customStyle="1" w:styleId="Char1CharCharCharCharCharCharCharCharCharCharCharCharCharCharCharCharCharCharCharCharChar">
    <w:name w:val="Char1 Char Char Char Char Char Char Char Char Char Char Char Char Char Char Char Char Char Char Char Char Char"/>
    <w:basedOn w:val="a2"/>
    <w:qFormat/>
  </w:style>
  <w:style w:type="paragraph" w:customStyle="1" w:styleId="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3"/>
    <w:basedOn w:val="a2"/>
    <w:pPr>
      <w:jc w:val="both"/>
    </w:pPr>
    <w:rPr>
      <w:sz w:val="24"/>
    </w:rPr>
  </w:style>
  <w:style w:type="paragraph" w:customStyle="1" w:styleId="3fffb">
    <w:name w:val="宏文本3"/>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xl751">
    <w:name w:val="xl751"/>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hAnsi="Arial Unicode MS" w:hint="eastAsia"/>
      <w:sz w:val="24"/>
    </w:rPr>
  </w:style>
  <w:style w:type="paragraph" w:customStyle="1" w:styleId="BT2">
    <w:name w:val="BT2"/>
    <w:basedOn w:val="22"/>
    <w:uiPriority w:val="99"/>
    <w:qFormat/>
    <w:pPr>
      <w:spacing w:before="0" w:after="0" w:line="413" w:lineRule="auto"/>
      <w:jc w:val="both"/>
    </w:pPr>
    <w:rPr>
      <w:rFonts w:ascii="Times New Roman" w:eastAsia="宋体" w:hAnsi="Times New Roman" w:cs="Times New Roman"/>
      <w:b w:val="0"/>
      <w:sz w:val="30"/>
    </w:rPr>
  </w:style>
  <w:style w:type="paragraph" w:customStyle="1" w:styleId="3fffc">
    <w:name w:val="小3黑顶"/>
    <w:basedOn w:val="22"/>
    <w:uiPriority w:val="99"/>
    <w:qFormat/>
    <w:pPr>
      <w:spacing w:before="440" w:after="240" w:line="500" w:lineRule="exact"/>
      <w:jc w:val="both"/>
    </w:pPr>
    <w:rPr>
      <w:rFonts w:ascii="黑体" w:eastAsia="黑体" w:hAnsi="Times New Roman" w:cs="Times New Roman"/>
      <w:sz w:val="30"/>
      <w:szCs w:val="30"/>
    </w:rPr>
  </w:style>
  <w:style w:type="paragraph" w:customStyle="1" w:styleId="3fffd">
    <w:name w:val="样式 标题 3 + 加粗"/>
    <w:basedOn w:val="32"/>
    <w:qFormat/>
    <w:pPr>
      <w:tabs>
        <w:tab w:val="left" w:pos="737"/>
      </w:tabs>
      <w:snapToGrid w:val="0"/>
      <w:spacing w:line="312" w:lineRule="auto"/>
      <w:ind w:leftChars="50" w:left="397" w:hanging="397"/>
    </w:pPr>
    <w:rPr>
      <w:rFonts w:ascii="仿宋_GB2312" w:eastAsia="仿宋_GB2312"/>
      <w:sz w:val="28"/>
    </w:rPr>
  </w:style>
  <w:style w:type="paragraph" w:customStyle="1" w:styleId="1-0">
    <w:name w:val="版式1-正文"/>
    <w:basedOn w:val="a2"/>
    <w:uiPriority w:val="99"/>
    <w:qFormat/>
    <w:pPr>
      <w:spacing w:line="440" w:lineRule="exact"/>
      <w:ind w:firstLineChars="200" w:firstLine="420"/>
      <w:jc w:val="both"/>
    </w:pPr>
    <w:rPr>
      <w:rFonts w:eastAsia="华文细黑" w:hAnsi="Arial" w:cs="宋体"/>
    </w:rPr>
  </w:style>
  <w:style w:type="paragraph" w:customStyle="1" w:styleId="dandan6-13">
    <w:name w:val="dandan6-13正文"/>
    <w:basedOn w:val="a2"/>
    <w:next w:val="a2"/>
    <w:uiPriority w:val="99"/>
    <w:qFormat/>
    <w:pPr>
      <w:keepNext/>
      <w:keepLines/>
      <w:spacing w:before="40" w:after="40" w:line="360" w:lineRule="auto"/>
      <w:ind w:firstLineChars="200" w:firstLine="200"/>
      <w:jc w:val="both"/>
    </w:pPr>
    <w:rPr>
      <w:rFonts w:cs="宋体"/>
      <w:sz w:val="24"/>
      <w:szCs w:val="28"/>
    </w:rPr>
  </w:style>
  <w:style w:type="paragraph" w:customStyle="1" w:styleId="xl36">
    <w:name w:val="xl36"/>
    <w:basedOn w:val="a2"/>
    <w:qFormat/>
    <w:pPr>
      <w:widowControl/>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eastAsia="Arial Unicode MS"/>
      <w:sz w:val="24"/>
    </w:rPr>
  </w:style>
  <w:style w:type="paragraph" w:customStyle="1" w:styleId="3fffe">
    <w:name w:val="标题 3 + 宋体"/>
    <w:basedOn w:val="32"/>
    <w:qFormat/>
    <w:pPr>
      <w:keepNext w:val="0"/>
      <w:keepLines w:val="0"/>
      <w:tabs>
        <w:tab w:val="left" w:pos="567"/>
      </w:tabs>
      <w:snapToGrid w:val="0"/>
      <w:spacing w:before="0" w:after="0" w:line="360" w:lineRule="auto"/>
      <w:ind w:left="567" w:hanging="567"/>
      <w:jc w:val="both"/>
    </w:pPr>
    <w:rPr>
      <w:rFonts w:ascii="宋体" w:eastAsia="宋体" w:hAnsi="宋体"/>
      <w:b w:val="0"/>
      <w:bCs w:val="0"/>
      <w:sz w:val="28"/>
      <w:szCs w:val="28"/>
    </w:rPr>
  </w:style>
  <w:style w:type="paragraph" w:customStyle="1" w:styleId="CharCharCharChar1CharCharCharCharCharChar4">
    <w:name w:val="Char Char Char Char1 Char Char Char Char Char Char4"/>
    <w:basedOn w:val="a2"/>
    <w:next w:val="a2"/>
    <w:uiPriority w:val="99"/>
    <w:qFormat/>
    <w:pPr>
      <w:spacing w:line="360" w:lineRule="auto"/>
      <w:ind w:firstLineChars="200" w:firstLine="200"/>
      <w:jc w:val="both"/>
    </w:pPr>
    <w:rPr>
      <w:rFonts w:ascii="宋体" w:hAnsi="宋体" w:cs="宋体"/>
      <w:sz w:val="24"/>
    </w:rPr>
  </w:style>
  <w:style w:type="paragraph" w:customStyle="1" w:styleId="3ffff">
    <w:name w:val="样式 标题 3 + (西文)粗体"/>
    <w:basedOn w:val="32"/>
    <w:uiPriority w:val="99"/>
    <w:qFormat/>
    <w:pPr>
      <w:spacing w:line="413" w:lineRule="auto"/>
      <w:jc w:val="both"/>
    </w:pPr>
    <w:rPr>
      <w:rFonts w:eastAsia="仿宋_GB2312" w:hAnsi="Arial" w:cs="Angsana New"/>
      <w:sz w:val="24"/>
      <w:lang w:bidi="th-TH"/>
    </w:rPr>
  </w:style>
  <w:style w:type="paragraph" w:customStyle="1" w:styleId="reader-word-layerreader-word-s1-16">
    <w:name w:val="reader-word-layer reader-word-s1-16"/>
    <w:basedOn w:val="a2"/>
    <w:uiPriority w:val="99"/>
    <w:qFormat/>
    <w:pPr>
      <w:spacing w:before="100" w:beforeAutospacing="1" w:after="100" w:afterAutospacing="1"/>
    </w:pPr>
    <w:rPr>
      <w:rFonts w:ascii="宋体" w:hAnsi="宋体" w:cs="宋体"/>
      <w:sz w:val="24"/>
    </w:rPr>
  </w:style>
  <w:style w:type="paragraph" w:customStyle="1" w:styleId="xl748">
    <w:name w:val="xl748"/>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sz w:val="24"/>
    </w:rPr>
  </w:style>
  <w:style w:type="paragraph" w:customStyle="1" w:styleId="affffffffffffffffffffffffffff8">
    <w:name w:val="四号正文 首行缩进"/>
    <w:basedOn w:val="a2"/>
    <w:uiPriority w:val="99"/>
    <w:qFormat/>
    <w:pPr>
      <w:snapToGrid w:val="0"/>
      <w:spacing w:line="360" w:lineRule="auto"/>
      <w:ind w:firstLineChars="200" w:firstLine="576"/>
      <w:jc w:val="both"/>
    </w:pPr>
    <w:rPr>
      <w:rFonts w:cs="宋体"/>
      <w:sz w:val="30"/>
      <w:szCs w:val="30"/>
    </w:rPr>
  </w:style>
  <w:style w:type="paragraph" w:customStyle="1" w:styleId="Char1CharCharCharCharChar2">
    <w:name w:val="Char1 Char Char Char Char Char2"/>
    <w:basedOn w:val="a2"/>
    <w:next w:val="a2"/>
    <w:uiPriority w:val="99"/>
    <w:qFormat/>
    <w:pPr>
      <w:spacing w:line="360" w:lineRule="auto"/>
      <w:ind w:firstLineChars="200" w:firstLine="200"/>
      <w:jc w:val="center"/>
    </w:pPr>
    <w:rPr>
      <w:rFonts w:ascii="Times New Roman" w:eastAsia="黑体"/>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2"/>
    <w:qFormat/>
    <w:pPr>
      <w:spacing w:after="160" w:line="240" w:lineRule="exact"/>
    </w:pPr>
    <w:rPr>
      <w:rFonts w:ascii="Verdana" w:hAnsi="Verdana"/>
      <w:sz w:val="20"/>
      <w:lang w:eastAsia="en-US"/>
    </w:rPr>
  </w:style>
  <w:style w:type="paragraph" w:customStyle="1" w:styleId="11fb">
    <w:name w:val="注释标题11"/>
    <w:basedOn w:val="a2"/>
    <w:next w:val="a2"/>
    <w:uiPriority w:val="99"/>
    <w:qFormat/>
    <w:pPr>
      <w:jc w:val="center"/>
    </w:pPr>
    <w:rPr>
      <w:rFonts w:ascii="Calibri" w:hAnsi="Calibri"/>
      <w:szCs w:val="22"/>
    </w:rPr>
  </w:style>
  <w:style w:type="paragraph" w:customStyle="1" w:styleId="31a">
    <w:name w:val="日期31"/>
    <w:basedOn w:val="a2"/>
    <w:next w:val="a2"/>
    <w:uiPriority w:val="99"/>
    <w:qFormat/>
    <w:pPr>
      <w:jc w:val="both"/>
      <w:textAlignment w:val="baseline"/>
    </w:pPr>
  </w:style>
  <w:style w:type="paragraph" w:customStyle="1" w:styleId="affffffffffffffffffffffffffff9">
    <w:name w:val="表格题"/>
    <w:basedOn w:val="af8"/>
    <w:uiPriority w:val="99"/>
    <w:qFormat/>
    <w:pPr>
      <w:jc w:val="both"/>
    </w:pPr>
    <w:rPr>
      <w:rFonts w:cs="Courier New" w:hint="eastAsia"/>
      <w:kern w:val="2"/>
      <w:sz w:val="21"/>
    </w:rPr>
  </w:style>
  <w:style w:type="paragraph" w:customStyle="1" w:styleId="CharCharCharCharCharChar1Char1">
    <w:name w:val="Char Char Char Char Char Char1 Char1"/>
    <w:basedOn w:val="a2"/>
    <w:uiPriority w:val="99"/>
    <w:qFormat/>
    <w:pPr>
      <w:spacing w:line="360" w:lineRule="auto"/>
      <w:ind w:firstLineChars="200" w:firstLine="200"/>
      <w:jc w:val="both"/>
    </w:pPr>
    <w:rPr>
      <w:rFonts w:ascii="宋体" w:hAnsi="宋体" w:cs="宋体"/>
      <w:sz w:val="24"/>
    </w:rPr>
  </w:style>
  <w:style w:type="paragraph" w:customStyle="1" w:styleId="Char1CharCharCharCharCharCharCharCharChar1CharCharCharCharCharChar2">
    <w:name w:val="Char1 Char Char Char Char Char Char Char Char Char1 Char Char Char Char Char Char2"/>
    <w:basedOn w:val="a2"/>
    <w:uiPriority w:val="99"/>
    <w:qFormat/>
    <w:pPr>
      <w:spacing w:before="100" w:beforeAutospacing="1" w:after="100" w:afterAutospacing="1"/>
      <w:ind w:firstLineChars="200" w:firstLine="200"/>
    </w:pPr>
    <w:rPr>
      <w:rFonts w:ascii="Verdana" w:eastAsia="仿宋_GB2312" w:hAnsi="Verdana"/>
      <w:sz w:val="20"/>
      <w:lang w:eastAsia="en-US"/>
    </w:rPr>
  </w:style>
  <w:style w:type="paragraph" w:customStyle="1" w:styleId="CharCharCharCharCharCharChar9">
    <w:name w:val="样式 正文缩进正文（首行缩进两字） Char Char Char Char Char Char Char表格标题文本条款..."/>
    <w:basedOn w:val="affffffffffffffffffffff0"/>
    <w:uiPriority w:val="99"/>
    <w:qFormat/>
  </w:style>
  <w:style w:type="paragraph" w:customStyle="1" w:styleId="3415151113h33rdlevelH3">
    <w:name w:val="样式 标题 34号宋体左齐行距1.5倍小标题四号宋体左齐行距1.5倍条标题1.1.13h33rd levelH3..."/>
    <w:basedOn w:val="41"/>
    <w:pPr>
      <w:tabs>
        <w:tab w:val="left" w:pos="864"/>
      </w:tabs>
      <w:spacing w:beforeLines="0" w:before="120" w:after="120"/>
      <w:ind w:left="864" w:rightChars="0" w:right="0" w:hanging="864"/>
      <w:jc w:val="both"/>
      <w:textAlignment w:val="baseline"/>
    </w:pPr>
    <w:rPr>
      <w:rFonts w:ascii="Times New Roman" w:eastAsia="ˎ̥" w:cs="宋体"/>
      <w:bCs w:val="0"/>
      <w:sz w:val="24"/>
      <w:szCs w:val="20"/>
    </w:rPr>
  </w:style>
  <w:style w:type="paragraph" w:customStyle="1" w:styleId="488">
    <w:name w:val="样式 标题 4 + 段前: 8 磅 段后: 8 磅"/>
    <w:basedOn w:val="41"/>
    <w:uiPriority w:val="99"/>
    <w:qFormat/>
    <w:pPr>
      <w:spacing w:before="160" w:afterLines="50" w:after="160" w:line="480" w:lineRule="exact"/>
      <w:ind w:leftChars="0" w:left="0" w:rightChars="0" w:right="0"/>
      <w:jc w:val="both"/>
      <w:textAlignment w:val="baseline"/>
    </w:pPr>
    <w:rPr>
      <w:rFonts w:ascii="Times New Roman" w:eastAsia="宋体" w:cs="宋体"/>
      <w:b/>
      <w:bCs w:val="0"/>
      <w:szCs w:val="20"/>
    </w:rPr>
  </w:style>
  <w:style w:type="paragraph" w:customStyle="1" w:styleId="affffffffffffffffffffffffffffa">
    <w:name w:val="段落正文"/>
    <w:basedOn w:val="a2"/>
    <w:pPr>
      <w:autoSpaceDE/>
      <w:autoSpaceDN/>
      <w:adjustRightInd/>
      <w:ind w:firstLineChars="200" w:firstLine="480"/>
      <w:jc w:val="both"/>
    </w:pPr>
    <w:rPr>
      <w:rFonts w:cs="宋体"/>
    </w:rPr>
  </w:style>
  <w:style w:type="paragraph" w:customStyle="1" w:styleId="P4">
    <w:name w:val="P4"/>
    <w:uiPriority w:val="99"/>
    <w:qFormat/>
    <w:pPr>
      <w:widowControl w:val="0"/>
      <w:adjustRightInd w:val="0"/>
      <w:spacing w:after="240" w:line="0" w:lineRule="atLeast"/>
      <w:ind w:left="2160"/>
      <w:jc w:val="both"/>
      <w:textAlignment w:val="baseline"/>
    </w:pPr>
    <w:rPr>
      <w:rFonts w:ascii="Times New Roman" w:eastAsia="宋体" w:hAnsi="Times New Roman" w:cs="Times New Roman"/>
      <w:spacing w:val="20"/>
      <w:sz w:val="24"/>
      <w:lang w:val="en-GB"/>
    </w:rPr>
  </w:style>
  <w:style w:type="paragraph" w:customStyle="1" w:styleId="CharChar39">
    <w:name w:val="Char Char39"/>
    <w:basedOn w:val="a2"/>
    <w:pPr>
      <w:ind w:firstLineChars="200" w:firstLine="200"/>
      <w:jc w:val="both"/>
    </w:pPr>
  </w:style>
  <w:style w:type="paragraph" w:customStyle="1" w:styleId="affffffffffffffffffffffffffffb">
    <w:name w:val="表格编号"/>
    <w:basedOn w:val="a2"/>
    <w:next w:val="a2"/>
    <w:qFormat/>
    <w:pPr>
      <w:tabs>
        <w:tab w:val="left" w:pos="720"/>
      </w:tabs>
      <w:spacing w:before="300" w:after="200"/>
      <w:jc w:val="center"/>
    </w:pPr>
    <w:rPr>
      <w:sz w:val="24"/>
    </w:rPr>
  </w:style>
  <w:style w:type="paragraph" w:customStyle="1" w:styleId="xl43">
    <w:name w:val="xl43"/>
    <w:basedOn w:val="a2"/>
    <w:qFormat/>
    <w:pPr>
      <w:widowControl/>
      <w:pBdr>
        <w:bottom w:val="single" w:sz="4" w:space="0" w:color="auto"/>
        <w:right w:val="single" w:sz="4" w:space="0" w:color="auto"/>
      </w:pBdr>
      <w:spacing w:before="100" w:beforeAutospacing="1" w:after="100" w:afterAutospacing="1"/>
    </w:pPr>
    <w:rPr>
      <w:rFonts w:eastAsia="Arial Unicode MS"/>
      <w:sz w:val="24"/>
    </w:rPr>
  </w:style>
  <w:style w:type="paragraph" w:customStyle="1" w:styleId="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2"/>
    <w:basedOn w:val="a2"/>
    <w:uiPriority w:val="99"/>
    <w:qFormat/>
    <w:pPr>
      <w:jc w:val="both"/>
    </w:pPr>
  </w:style>
  <w:style w:type="paragraph" w:customStyle="1" w:styleId="CharCharCharCharCharCharCharCharCharCharCharCharCharCharCharCharCharCharCharCharCharChar3">
    <w:name w:val="Char Char Char Char Char Char Char Char Char Char Char Char Char Char Char Char Char Char Char Char Char Char3"/>
    <w:basedOn w:val="a2"/>
    <w:uiPriority w:val="99"/>
    <w:qFormat/>
    <w:pPr>
      <w:jc w:val="both"/>
    </w:pPr>
  </w:style>
  <w:style w:type="paragraph" w:customStyle="1" w:styleId="2fffff9">
    <w:name w:val="样式 正文段落 + 首行缩进:  2 字符"/>
    <w:basedOn w:val="a2"/>
    <w:uiPriority w:val="99"/>
    <w:qFormat/>
    <w:pPr>
      <w:tabs>
        <w:tab w:val="left" w:pos="227"/>
      </w:tabs>
      <w:overflowPunct w:val="0"/>
      <w:spacing w:before="100" w:beforeAutospacing="1" w:after="100" w:afterAutospacing="1" w:line="360" w:lineRule="auto"/>
      <w:ind w:firstLineChars="200" w:firstLine="480"/>
      <w:jc w:val="both"/>
      <w:textAlignment w:val="baseline"/>
    </w:pPr>
    <w:rPr>
      <w:rFonts w:eastAsia="仿宋_GB2312"/>
      <w:sz w:val="24"/>
    </w:rPr>
  </w:style>
  <w:style w:type="paragraph" w:customStyle="1" w:styleId="3Char1Char1CharCharChar1Char111h3H3level3">
    <w:name w:val="样式 标题 3Char1Char1 Char CharChar1 Char条标题1.1.1h3H3level_3..."/>
    <w:basedOn w:val="32"/>
    <w:uiPriority w:val="99"/>
    <w:qFormat/>
    <w:pPr>
      <w:spacing w:before="0" w:after="0" w:line="360" w:lineRule="auto"/>
      <w:ind w:left="268" w:rightChars="100" w:right="210" w:hangingChars="99" w:hanging="268"/>
      <w:jc w:val="both"/>
    </w:pPr>
    <w:rPr>
      <w:rFonts w:ascii="Times New Roman" w:eastAsia="宋体" w:cs="宋体"/>
      <w:kern w:val="10"/>
      <w:sz w:val="27"/>
      <w:szCs w:val="27"/>
    </w:rPr>
  </w:style>
  <w:style w:type="paragraph" w:customStyle="1" w:styleId="-7">
    <w:name w:val="标-7"/>
    <w:basedOn w:val="a2"/>
    <w:qFormat/>
    <w:pPr>
      <w:tabs>
        <w:tab w:val="left" w:pos="360"/>
      </w:tabs>
      <w:spacing w:before="120"/>
      <w:ind w:left="1701" w:hanging="425"/>
    </w:pPr>
    <w:rPr>
      <w:sz w:val="24"/>
    </w:rPr>
  </w:style>
  <w:style w:type="paragraph" w:customStyle="1" w:styleId="211305054">
    <w:name w:val="样式 样式 标题 2 + 首行缩进:  1.13 厘米 + 段前: 0.5 行 段后: 0.5 行4"/>
    <w:basedOn w:val="2113"/>
    <w:uiPriority w:val="99"/>
    <w:qFormat/>
    <w:pPr>
      <w:spacing w:beforeLines="100" w:line="500" w:lineRule="exact"/>
    </w:pPr>
  </w:style>
  <w:style w:type="paragraph" w:customStyle="1" w:styleId="font7">
    <w:name w:val="font7"/>
    <w:basedOn w:val="a2"/>
    <w:qFormat/>
    <w:pPr>
      <w:widowControl/>
      <w:spacing w:before="100" w:beforeAutospacing="1" w:after="100" w:afterAutospacing="1"/>
    </w:pPr>
    <w:rPr>
      <w:rFonts w:eastAsia="Arial Unicode MS"/>
      <w:sz w:val="24"/>
    </w:rPr>
  </w:style>
  <w:style w:type="paragraph" w:customStyle="1" w:styleId="CharCharCharCharCharCharCharCharChar1Char">
    <w:name w:val="Char Char Char Char Char Char Char Char Char1 Char"/>
    <w:basedOn w:val="a2"/>
    <w:pPr>
      <w:jc w:val="both"/>
    </w:pPr>
    <w:rPr>
      <w:sz w:val="24"/>
    </w:rPr>
  </w:style>
  <w:style w:type="paragraph" w:customStyle="1" w:styleId="1690">
    <w:name w:val="样式 样式 首行缩进:  1.69 厘米 + (中文) 宋体"/>
    <w:basedOn w:val="169"/>
    <w:uiPriority w:val="99"/>
    <w:qFormat/>
    <w:pPr>
      <w:ind w:firstLine="0"/>
    </w:pPr>
    <w:rPr>
      <w:rFonts w:eastAsia="仿宋_GB2312"/>
      <w:szCs w:val="24"/>
    </w:rPr>
  </w:style>
  <w:style w:type="paragraph" w:customStyle="1" w:styleId="Char3f8">
    <w:name w:val="Char3"/>
    <w:basedOn w:val="a2"/>
    <w:qFormat/>
    <w:rPr>
      <w:sz w:val="24"/>
    </w:rPr>
  </w:style>
  <w:style w:type="paragraph" w:customStyle="1" w:styleId="Char1CharCharCharCharCharCharCharCharChar1CharCharCharCharCharChar5">
    <w:name w:val="Char1 Char Char Char Char Char Char Char Char Char1 Char Char Char Char Char Char5"/>
    <w:basedOn w:val="a2"/>
    <w:pPr>
      <w:spacing w:before="100" w:beforeAutospacing="1" w:after="100" w:afterAutospacing="1"/>
      <w:ind w:firstLineChars="200" w:firstLine="200"/>
    </w:pPr>
    <w:rPr>
      <w:rFonts w:ascii="Verdana" w:eastAsia="仿宋_GB2312" w:hAnsi="Verdana"/>
      <w:sz w:val="20"/>
      <w:lang w:eastAsia="en-US"/>
    </w:rPr>
  </w:style>
  <w:style w:type="paragraph" w:customStyle="1" w:styleId="1">
    <w:name w:val="样式1）"/>
    <w:basedOn w:val="50"/>
    <w:qFormat/>
    <w:pPr>
      <w:numPr>
        <w:ilvl w:val="4"/>
        <w:numId w:val="13"/>
      </w:numPr>
      <w:tabs>
        <w:tab w:val="clear" w:pos="2535"/>
        <w:tab w:val="left" w:pos="1226"/>
      </w:tabs>
      <w:spacing w:beforeLines="50" w:before="156" w:afterLines="50" w:after="156" w:line="400" w:lineRule="exact"/>
      <w:ind w:leftChars="213" w:left="821" w:hangingChars="156" w:hanging="374"/>
    </w:pPr>
    <w:rPr>
      <w:b w:val="0"/>
      <w:sz w:val="24"/>
    </w:rPr>
  </w:style>
  <w:style w:type="paragraph" w:customStyle="1" w:styleId="CharCharCharCharc">
    <w:name w:val="环评正文 Char Char Char Char"/>
    <w:uiPriority w:val="99"/>
    <w:qFormat/>
    <w:pPr>
      <w:spacing w:line="400" w:lineRule="exact"/>
      <w:ind w:firstLineChars="200" w:firstLine="200"/>
      <w:jc w:val="both"/>
    </w:pPr>
    <w:rPr>
      <w:rFonts w:ascii="Times New Roman" w:eastAsia="宋体" w:hAnsi="Times New Roman" w:cs="Times New Roman"/>
      <w:color w:val="000000"/>
      <w:kern w:val="21"/>
      <w:sz w:val="24"/>
      <w:szCs w:val="24"/>
    </w:rPr>
  </w:style>
  <w:style w:type="paragraph" w:customStyle="1" w:styleId="Char3CharCharChar4">
    <w:name w:val="Char3 Char Char Char4"/>
    <w:basedOn w:val="a2"/>
    <w:uiPriority w:val="99"/>
    <w:qFormat/>
    <w:pPr>
      <w:jc w:val="both"/>
    </w:pPr>
    <w:rPr>
      <w:sz w:val="24"/>
    </w:rPr>
  </w:style>
  <w:style w:type="paragraph" w:customStyle="1" w:styleId="Char2CharChar1CharCharCharCharCharCharCharCharCharChar4">
    <w:name w:val="Char2 Char Char1 Char Char Char Char Char Char Char Char Char Char4"/>
    <w:basedOn w:val="a2"/>
    <w:uiPriority w:val="99"/>
    <w:qFormat/>
    <w:pPr>
      <w:jc w:val="both"/>
    </w:pPr>
    <w:rPr>
      <w:sz w:val="24"/>
    </w:rPr>
  </w:style>
  <w:style w:type="paragraph" w:customStyle="1" w:styleId="list4">
    <w:name w:val="list4"/>
    <w:basedOn w:val="a2"/>
    <w:uiPriority w:val="99"/>
    <w:qFormat/>
    <w:pPr>
      <w:spacing w:line="360" w:lineRule="auto"/>
    </w:pPr>
    <w:rPr>
      <w:rFonts w:ascii="宋体"/>
      <w:spacing w:val="20"/>
      <w:sz w:val="22"/>
      <w:lang w:val="en-AU"/>
    </w:rPr>
  </w:style>
  <w:style w:type="paragraph" w:customStyle="1" w:styleId="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3"/>
    <w:basedOn w:val="a2"/>
    <w:uiPriority w:val="99"/>
    <w:qFormat/>
    <w:pPr>
      <w:jc w:val="both"/>
    </w:pPr>
    <w:rPr>
      <w:sz w:val="24"/>
    </w:rPr>
  </w:style>
  <w:style w:type="paragraph" w:customStyle="1" w:styleId="3111H3BOD0Heading3-oldLevel3Headh33rdle">
    <w:name w:val="样式 标题 3条标题1.1.1H3BOD 0Heading 3 - oldLevel 3 Headh33rd le..."/>
    <w:basedOn w:val="32"/>
    <w:qFormat/>
    <w:pPr>
      <w:tabs>
        <w:tab w:val="left" w:pos="0"/>
        <w:tab w:val="left" w:pos="1215"/>
      </w:tabs>
      <w:spacing w:before="0" w:after="0" w:line="500" w:lineRule="exact"/>
    </w:pPr>
    <w:rPr>
      <w:rFonts w:ascii="宋体" w:eastAsia="宋体" w:cs="宋体"/>
      <w:b w:val="0"/>
      <w:bCs w:val="0"/>
      <w:color w:val="FF0000"/>
      <w:sz w:val="28"/>
      <w:szCs w:val="20"/>
    </w:rPr>
  </w:style>
  <w:style w:type="paragraph" w:customStyle="1" w:styleId="1231">
    <w:name w:val="文本123"/>
    <w:basedOn w:val="a3"/>
    <w:uiPriority w:val="99"/>
    <w:qFormat/>
    <w:pPr>
      <w:tabs>
        <w:tab w:val="left" w:pos="360"/>
        <w:tab w:val="left" w:pos="3360"/>
      </w:tabs>
      <w:snapToGrid w:val="0"/>
      <w:spacing w:before="20" w:line="480" w:lineRule="exact"/>
      <w:ind w:left="3360" w:firstLineChars="0" w:hanging="420"/>
      <w:jc w:val="both"/>
    </w:pPr>
    <w:rPr>
      <w:sz w:val="24"/>
      <w:szCs w:val="20"/>
    </w:rPr>
  </w:style>
  <w:style w:type="paragraph" w:customStyle="1" w:styleId="CharCharCharCharCharCharCharCharCharChar1CharCharChar">
    <w:name w:val="Char Char Char Char Char Char Char Char Char Char1 Char Char Char"/>
    <w:basedOn w:val="a2"/>
    <w:pPr>
      <w:spacing w:line="240" w:lineRule="exact"/>
      <w:ind w:firstLineChars="200" w:firstLine="200"/>
      <w:jc w:val="both"/>
    </w:pPr>
    <w:rPr>
      <w:szCs w:val="28"/>
    </w:rPr>
  </w:style>
  <w:style w:type="paragraph" w:customStyle="1" w:styleId="affffffffffffffffffffffffffffc">
    <w:name w:val="表居中"/>
    <w:basedOn w:val="af4"/>
    <w:pPr>
      <w:autoSpaceDE/>
      <w:autoSpaceDN/>
      <w:adjustRightInd/>
      <w:spacing w:after="0" w:line="240" w:lineRule="exact"/>
      <w:jc w:val="both"/>
    </w:pPr>
    <w:rPr>
      <w:rFonts w:eastAsia="仿宋_GB2312"/>
      <w:kern w:val="1"/>
      <w:sz w:val="24"/>
      <w:szCs w:val="24"/>
      <w:lang w:eastAsia="ar-SA"/>
    </w:rPr>
  </w:style>
  <w:style w:type="paragraph" w:customStyle="1" w:styleId="332">
    <w:name w:val="正文文本 33"/>
    <w:basedOn w:val="a2"/>
    <w:uiPriority w:val="99"/>
    <w:qFormat/>
    <w:pPr>
      <w:spacing w:line="312" w:lineRule="atLeast"/>
      <w:jc w:val="center"/>
      <w:textAlignment w:val="baseline"/>
    </w:pPr>
    <w:rPr>
      <w:rFonts w:ascii="楷体" w:eastAsia="楷体"/>
    </w:rPr>
  </w:style>
  <w:style w:type="paragraph" w:customStyle="1" w:styleId="A17">
    <w:name w:val="A1"/>
    <w:basedOn w:val="12"/>
    <w:uiPriority w:val="99"/>
    <w:qFormat/>
    <w:pPr>
      <w:keepNext w:val="0"/>
      <w:keepLines w:val="0"/>
      <w:tabs>
        <w:tab w:val="left" w:pos="340"/>
        <w:tab w:val="left" w:pos="1872"/>
      </w:tabs>
      <w:spacing w:line="240" w:lineRule="auto"/>
      <w:jc w:val="both"/>
      <w:textAlignment w:val="auto"/>
    </w:pPr>
    <w:rPr>
      <w:rFonts w:eastAsia="宋体"/>
      <w:b/>
      <w:sz w:val="24"/>
      <w:szCs w:val="24"/>
    </w:rPr>
  </w:style>
  <w:style w:type="paragraph" w:customStyle="1" w:styleId="5f7">
    <w:name w:val="图中文字5号"/>
    <w:basedOn w:val="a2"/>
    <w:uiPriority w:val="99"/>
    <w:qFormat/>
    <w:pPr>
      <w:snapToGrid w:val="0"/>
      <w:jc w:val="center"/>
      <w:textAlignment w:val="baseline"/>
    </w:pPr>
    <w:rPr>
      <w:rFonts w:eastAsia="仿宋_GB2312"/>
      <w:kern w:val="28"/>
      <w:position w:val="-14"/>
    </w:rPr>
  </w:style>
  <w:style w:type="paragraph" w:customStyle="1" w:styleId="p14">
    <w:name w:val="p14"/>
    <w:basedOn w:val="a2"/>
    <w:uiPriority w:val="99"/>
    <w:qFormat/>
    <w:pPr>
      <w:snapToGrid w:val="0"/>
      <w:spacing w:before="100" w:beforeAutospacing="1" w:after="100" w:afterAutospacing="1" w:line="336" w:lineRule="auto"/>
      <w:ind w:firstLineChars="200" w:firstLine="200"/>
    </w:pPr>
    <w:rPr>
      <w:rFonts w:ascii="宋体" w:hAnsi="宋体"/>
      <w:sz w:val="24"/>
    </w:rPr>
  </w:style>
  <w:style w:type="paragraph" w:customStyle="1" w:styleId="3133Char1CharCharChar31ReHead3WSAh3B">
    <w:name w:val="样式 标题 3标题 13标题 3 Char1 Char Char Char标题 31ReHead 3 WSAh3B..."/>
    <w:basedOn w:val="32"/>
    <w:uiPriority w:val="99"/>
    <w:qFormat/>
    <w:pPr>
      <w:snapToGrid w:val="0"/>
      <w:spacing w:beforeLines="50" w:before="156" w:afterLines="20" w:after="62" w:line="360" w:lineRule="auto"/>
    </w:pPr>
    <w:rPr>
      <w:rFonts w:ascii="Times New Roman" w:eastAsia="宋体"/>
      <w:sz w:val="24"/>
      <w:szCs w:val="24"/>
      <w:lang w:val="zh-CN"/>
    </w:rPr>
  </w:style>
  <w:style w:type="paragraph" w:customStyle="1" w:styleId="biao2">
    <w:name w:val="biao2"/>
    <w:basedOn w:val="a2"/>
    <w:uiPriority w:val="99"/>
    <w:qFormat/>
    <w:pPr>
      <w:spacing w:before="100" w:after="100"/>
      <w:jc w:val="center"/>
      <w:textAlignment w:val="center"/>
    </w:pPr>
    <w:rPr>
      <w:rFonts w:ascii="??" w:hAnsi="??"/>
      <w:color w:val="000000"/>
      <w:sz w:val="27"/>
    </w:rPr>
  </w:style>
  <w:style w:type="paragraph" w:customStyle="1" w:styleId="GB231220TimesNewRoman">
    <w:name w:val="样式 样式 仿宋_GB2312 小四 居中 行距: 固定值 20 磅 + Times New Roman"/>
    <w:basedOn w:val="a2"/>
    <w:qFormat/>
    <w:pPr>
      <w:jc w:val="center"/>
    </w:pPr>
    <w:rPr>
      <w:rFonts w:eastAsia="仿宋_GB2312" w:cs="宋体"/>
    </w:rPr>
  </w:style>
  <w:style w:type="paragraph" w:customStyle="1" w:styleId="211305051">
    <w:name w:val="样式 样式 标题 2 + 首行缩进:  1.13 厘米 + 段前: 0.5 行 段后: 0.5 行1"/>
    <w:basedOn w:val="2113"/>
    <w:uiPriority w:val="99"/>
    <w:qFormat/>
    <w:pPr>
      <w:spacing w:line="360" w:lineRule="auto"/>
    </w:pPr>
  </w:style>
  <w:style w:type="paragraph" w:customStyle="1" w:styleId="CM96">
    <w:name w:val="CM96"/>
    <w:basedOn w:val="Default"/>
    <w:next w:val="Default"/>
    <w:pPr>
      <w:spacing w:beforeLines="0" w:before="0" w:afterLines="0" w:after="0" w:line="240" w:lineRule="auto"/>
      <w:ind w:firstLineChars="0" w:firstLine="0"/>
      <w:jc w:val="both"/>
    </w:pPr>
    <w:rPr>
      <w:rFonts w:ascii="黑体" w:eastAsia="黑体" w:cs="Times New Roman"/>
      <w:color w:val="auto"/>
    </w:rPr>
  </w:style>
  <w:style w:type="paragraph" w:customStyle="1" w:styleId="1ffffffff0">
    <w:name w:val="1表格头"/>
    <w:basedOn w:val="1ffffffa"/>
    <w:qFormat/>
    <w:pPr>
      <w:spacing w:line="420" w:lineRule="auto"/>
      <w:outlineLvl w:val="3"/>
    </w:pPr>
    <w:rPr>
      <w:rFonts w:eastAsia="黑体"/>
      <w:b/>
      <w:sz w:val="24"/>
    </w:rPr>
  </w:style>
  <w:style w:type="paragraph" w:customStyle="1" w:styleId="Char160">
    <w:name w:val="Char16"/>
    <w:basedOn w:val="a2"/>
    <w:uiPriority w:val="99"/>
    <w:qFormat/>
    <w:rPr>
      <w:rFonts w:ascii="Calibri" w:hAnsi="Calibri"/>
    </w:rPr>
  </w:style>
  <w:style w:type="paragraph" w:customStyle="1" w:styleId="10215">
    <w:name w:val="样式 四号 首行缩进:  1.02 厘米 行距: 1.5 倍行距"/>
    <w:basedOn w:val="a2"/>
    <w:uiPriority w:val="99"/>
    <w:qFormat/>
    <w:pPr>
      <w:tabs>
        <w:tab w:val="right" w:leader="dot" w:pos="8296"/>
      </w:tabs>
      <w:ind w:left="210"/>
    </w:pPr>
    <w:rPr>
      <w:rFonts w:ascii="黑体"/>
      <w:smallCaps/>
      <w:sz w:val="20"/>
    </w:rPr>
  </w:style>
  <w:style w:type="paragraph" w:customStyle="1" w:styleId="mytableheader">
    <w:name w:val="my table header"/>
    <w:basedOn w:val="affffffff5"/>
    <w:uiPriority w:val="99"/>
    <w:qFormat/>
    <w:locked/>
    <w:pPr>
      <w:overflowPunct w:val="0"/>
      <w:spacing w:before="0" w:line="360" w:lineRule="auto"/>
      <w:ind w:firstLine="495"/>
      <w:jc w:val="both"/>
      <w:textAlignment w:val="bottom"/>
    </w:pPr>
    <w:rPr>
      <w:rFonts w:ascii="黑体" w:eastAsia="宋体" w:hAnsi="黑体"/>
      <w:b/>
      <w:bCs/>
    </w:rPr>
  </w:style>
  <w:style w:type="paragraph" w:customStyle="1" w:styleId="CharCharCharChar1CharCharCharCharCharCharChar3">
    <w:name w:val="Char Char Char Char1 Char Char Char Char Char Char Char3"/>
    <w:basedOn w:val="a2"/>
    <w:uiPriority w:val="99"/>
    <w:qFormat/>
    <w:pPr>
      <w:tabs>
        <w:tab w:val="left" w:pos="360"/>
      </w:tabs>
      <w:snapToGrid w:val="0"/>
      <w:spacing w:line="360" w:lineRule="auto"/>
      <w:jc w:val="both"/>
    </w:pPr>
    <w:rPr>
      <w:rFonts w:eastAsia="仿宋_GB2312"/>
    </w:rPr>
  </w:style>
  <w:style w:type="paragraph" w:customStyle="1" w:styleId="Char221">
    <w:name w:val="Char22"/>
    <w:basedOn w:val="a2"/>
    <w:qFormat/>
    <w:rPr>
      <w:sz w:val="24"/>
    </w:rPr>
  </w:style>
  <w:style w:type="paragraph" w:customStyle="1" w:styleId="CharCharGB2312">
    <w:name w:val="样式 纯文本普通文字 Char表格文字表内文字纯文本 Char + 仿宋_GB2312 四号"/>
    <w:basedOn w:val="af8"/>
    <w:uiPriority w:val="99"/>
    <w:qFormat/>
    <w:rPr>
      <w:rFonts w:hAnsi="仿宋_GB2312" w:cs="Courier New"/>
      <w:kern w:val="0"/>
      <w:sz w:val="28"/>
      <w:szCs w:val="28"/>
    </w:rPr>
  </w:style>
  <w:style w:type="paragraph" w:customStyle="1" w:styleId="4CharCharChar0">
    <w:name w:val="字元4 Char Char Char 字元 字元 字元"/>
    <w:basedOn w:val="a2"/>
    <w:qFormat/>
    <w:pPr>
      <w:spacing w:line="400" w:lineRule="exact"/>
      <w:ind w:firstLine="601"/>
      <w:jc w:val="both"/>
      <w:textAlignment w:val="baseline"/>
    </w:pPr>
    <w:rPr>
      <w:rFonts w:ascii="Times New Roman"/>
      <w:spacing w:val="8"/>
    </w:rPr>
  </w:style>
  <w:style w:type="paragraph" w:customStyle="1" w:styleId="CharCharChar1CharCharChar1CharCharChar1Char">
    <w:name w:val="Char Char Char1 Char Char Char1 Char Char Char1 Char"/>
    <w:basedOn w:val="a2"/>
    <w:qFormat/>
    <w:pPr>
      <w:spacing w:line="400" w:lineRule="exact"/>
      <w:ind w:firstLineChars="200" w:firstLine="200"/>
      <w:jc w:val="both"/>
    </w:pPr>
    <w:rPr>
      <w:szCs w:val="28"/>
    </w:rPr>
  </w:style>
  <w:style w:type="paragraph" w:customStyle="1" w:styleId="head">
    <w:name w:val="head"/>
    <w:basedOn w:val="a2"/>
    <w:uiPriority w:val="99"/>
    <w:qFormat/>
    <w:pPr>
      <w:snapToGrid w:val="0"/>
      <w:spacing w:before="100" w:beforeAutospacing="1" w:after="100" w:afterAutospacing="1" w:line="400" w:lineRule="atLeast"/>
      <w:ind w:firstLineChars="200" w:firstLine="200"/>
    </w:pPr>
    <w:rPr>
      <w:rFonts w:ascii="宋体" w:hAnsi="宋体"/>
      <w:color w:val="000000"/>
      <w:szCs w:val="28"/>
    </w:rPr>
  </w:style>
  <w:style w:type="paragraph" w:customStyle="1" w:styleId="4106">
    <w:name w:val="样式 样式 标题4 + (中文) 宋体 + (中文) 宋体 首行缩进:  1.06 厘米"/>
    <w:basedOn w:val="a2"/>
    <w:qFormat/>
    <w:pPr>
      <w:keepNext/>
      <w:keepLines/>
      <w:spacing w:line="480" w:lineRule="exact"/>
      <w:jc w:val="both"/>
      <w:outlineLvl w:val="3"/>
    </w:pPr>
    <w:rPr>
      <w:rFonts w:cs="宋体"/>
      <w:b/>
      <w:bCs/>
      <w:sz w:val="30"/>
    </w:rPr>
  </w:style>
  <w:style w:type="character" w:customStyle="1" w:styleId="1ffffffff1">
    <w:name w:val="明显引用 字符1"/>
    <w:basedOn w:val="a4"/>
    <w:uiPriority w:val="30"/>
    <w:rPr>
      <w:rFonts w:ascii="Arial" w:eastAsia="楷体_GB2312" w:hAnsi="Times New Roman" w:cs="Times New Roman"/>
      <w:i/>
      <w:iCs/>
      <w:color w:val="4472C4" w:themeColor="accent1"/>
      <w:spacing w:val="-6"/>
      <w:kern w:val="0"/>
      <w:sz w:val="28"/>
      <w:szCs w:val="20"/>
    </w:rPr>
  </w:style>
  <w:style w:type="paragraph" w:customStyle="1" w:styleId="0772048">
    <w:name w:val="样式 首行缩进:  0.77 厘米 行距: 固定值 20 磅48"/>
    <w:basedOn w:val="a2"/>
    <w:uiPriority w:val="99"/>
    <w:qFormat/>
    <w:pPr>
      <w:spacing w:line="360" w:lineRule="auto"/>
      <w:ind w:firstLineChars="150" w:firstLine="360"/>
    </w:pPr>
    <w:rPr>
      <w:rFonts w:cs="宋体"/>
      <w:color w:val="FF0000"/>
      <w:sz w:val="24"/>
    </w:rPr>
  </w:style>
  <w:style w:type="paragraph" w:customStyle="1" w:styleId="xl23">
    <w:name w:val="xl23"/>
    <w:basedOn w:val="a2"/>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xl109">
    <w:name w:val="xl109"/>
    <w:basedOn w:val="a2"/>
    <w:qFormat/>
    <w:pPr>
      <w:pBdr>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2fffffa">
    <w:name w:val="样式 四号 首行缩进:  2 字符"/>
    <w:basedOn w:val="a2"/>
    <w:qFormat/>
    <w:pPr>
      <w:snapToGrid w:val="0"/>
      <w:spacing w:before="120" w:line="360" w:lineRule="auto"/>
      <w:ind w:firstLineChars="200" w:firstLine="560"/>
    </w:pPr>
    <w:rPr>
      <w:rFonts w:eastAsia="仿宋_GB2312"/>
      <w:bCs/>
      <w:iCs/>
      <w:color w:val="000000"/>
      <w:szCs w:val="28"/>
    </w:rPr>
  </w:style>
  <w:style w:type="paragraph" w:customStyle="1" w:styleId="GB231228">
    <w:name w:val="样式 正文文本缩进 + 仿宋_GB2312 蓝色 行距: 固定值 28 磅"/>
    <w:basedOn w:val="af5"/>
    <w:uiPriority w:val="99"/>
    <w:qFormat/>
    <w:pPr>
      <w:spacing w:after="0" w:line="560" w:lineRule="exact"/>
      <w:ind w:leftChars="0" w:left="0" w:firstLineChars="200" w:firstLine="200"/>
      <w:jc w:val="both"/>
    </w:pPr>
    <w:rPr>
      <w:rFonts w:ascii="仿宋_GB2312" w:eastAsia="仿宋_GB2312" w:cs="宋体"/>
      <w:color w:val="0000FF"/>
      <w:sz w:val="28"/>
      <w:szCs w:val="28"/>
    </w:rPr>
  </w:style>
  <w:style w:type="paragraph" w:customStyle="1" w:styleId="205050">
    <w:name w:val="样式 题2 + 非加粗 段前: 0.5 行 段后: 0.5 行"/>
    <w:basedOn w:val="2fd"/>
    <w:qFormat/>
    <w:pPr>
      <w:spacing w:beforeLines="0" w:afterLines="0"/>
    </w:pPr>
    <w:rPr>
      <w:rFonts w:cs="宋体"/>
      <w:bCs w:val="0"/>
      <w:szCs w:val="20"/>
    </w:rPr>
  </w:style>
  <w:style w:type="paragraph" w:customStyle="1" w:styleId="affffffffffffffffffffffffffffd">
    <w:name w:val="图标题"/>
    <w:next w:val="a2"/>
    <w:qFormat/>
    <w:pPr>
      <w:spacing w:beforeLines="50" w:before="50" w:afterLines="50" w:after="50" w:line="300" w:lineRule="auto"/>
      <w:ind w:firstLineChars="40" w:firstLine="40"/>
      <w:jc w:val="center"/>
    </w:pPr>
    <w:rPr>
      <w:rFonts w:ascii="Times New Roman" w:eastAsia="微软简标宋" w:hAnsi="Times New Roman" w:cs="Times New Roman"/>
      <w:spacing w:val="8"/>
      <w:sz w:val="24"/>
    </w:rPr>
  </w:style>
  <w:style w:type="paragraph" w:customStyle="1" w:styleId="CharCharCharCharCharChar30">
    <w:name w:val="Char Char Char Char Char Char3"/>
    <w:basedOn w:val="a2"/>
    <w:qFormat/>
    <w:rPr>
      <w:sz w:val="24"/>
    </w:rPr>
  </w:style>
  <w:style w:type="paragraph" w:customStyle="1" w:styleId="Char1CharCharCharCharCharCharCharCharCharCharCharChar1">
    <w:name w:val="Char1 Char Char Char Char Char Char Char Char Char Char Char Char1"/>
    <w:basedOn w:val="a2"/>
    <w:uiPriority w:val="99"/>
    <w:qFormat/>
    <w:pPr>
      <w:jc w:val="both"/>
    </w:pPr>
  </w:style>
  <w:style w:type="paragraph" w:customStyle="1" w:styleId="4150">
    <w:name w:val="样式 标题 4 + 行距: 1.5 倍行距"/>
    <w:basedOn w:val="41"/>
    <w:uiPriority w:val="99"/>
    <w:qFormat/>
    <w:pPr>
      <w:spacing w:beforeLines="0" w:before="0"/>
      <w:ind w:leftChars="0" w:left="0" w:rightChars="0" w:right="0"/>
      <w:jc w:val="both"/>
    </w:pPr>
    <w:rPr>
      <w:rFonts w:ascii="Arial" w:hAnsi="Arial" w:cs="宋体"/>
      <w:bCs w:val="0"/>
      <w:color w:val="000000"/>
      <w:sz w:val="24"/>
      <w:szCs w:val="20"/>
    </w:rPr>
  </w:style>
  <w:style w:type="paragraph" w:customStyle="1" w:styleId="CharCharCharCharCharCharCharChar1CharCharCharCharCharCharCharCharCharCharCharChar1Char4">
    <w:name w:val="Char Char Char Char Char Char Char Char1 Char Char Char Char Char Char Char Char Char Char Char Char1 Char4"/>
    <w:basedOn w:val="a2"/>
    <w:pPr>
      <w:jc w:val="both"/>
    </w:pPr>
    <w:rPr>
      <w:sz w:val="24"/>
    </w:rPr>
  </w:style>
  <w:style w:type="paragraph" w:customStyle="1" w:styleId="Char1CharChar1">
    <w:name w:val="Char1 Char Char1"/>
    <w:basedOn w:val="a2"/>
    <w:uiPriority w:val="99"/>
    <w:qFormat/>
    <w:pPr>
      <w:jc w:val="both"/>
    </w:pPr>
  </w:style>
  <w:style w:type="paragraph" w:customStyle="1" w:styleId="1ffffffff2">
    <w:name w:val="标题1级"/>
    <w:basedOn w:val="12"/>
    <w:uiPriority w:val="99"/>
    <w:qFormat/>
    <w:pPr>
      <w:spacing w:before="312" w:after="156"/>
      <w:jc w:val="center"/>
      <w:textAlignment w:val="auto"/>
    </w:pPr>
    <w:rPr>
      <w:rFonts w:eastAsia="宋体"/>
      <w:b/>
      <w:bCs w:val="0"/>
      <w:color w:val="000000"/>
      <w:sz w:val="28"/>
      <w:szCs w:val="20"/>
    </w:rPr>
  </w:style>
  <w:style w:type="paragraph" w:customStyle="1" w:styleId="affffffffffffffffffffffffffffe">
    <w:name w:val="已访问的超级链接"/>
    <w:next w:val="a2"/>
    <w:uiPriority w:val="99"/>
    <w:qFormat/>
    <w:pPr>
      <w:widowControl w:val="0"/>
      <w:jc w:val="both"/>
    </w:pPr>
    <w:rPr>
      <w:rFonts w:ascii="Times New Roman" w:eastAsia="宋体" w:hAnsi="Times New Roman" w:cs="Times New Roman"/>
      <w:kern w:val="2"/>
      <w:sz w:val="21"/>
      <w:szCs w:val="21"/>
    </w:rPr>
  </w:style>
  <w:style w:type="paragraph" w:customStyle="1" w:styleId="1ffffffff3">
    <w:name w:val="编号1"/>
    <w:basedOn w:val="a2"/>
    <w:uiPriority w:val="99"/>
    <w:qFormat/>
    <w:pPr>
      <w:tabs>
        <w:tab w:val="left" w:pos="900"/>
      </w:tabs>
      <w:spacing w:after="140" w:line="400" w:lineRule="exact"/>
      <w:ind w:left="900" w:hanging="420"/>
      <w:jc w:val="both"/>
    </w:pPr>
    <w:rPr>
      <w:sz w:val="24"/>
    </w:rPr>
  </w:style>
  <w:style w:type="paragraph" w:customStyle="1" w:styleId="CharCharCharCharCharChar10">
    <w:name w:val="Char Char Char Char Char Char1"/>
    <w:basedOn w:val="a2"/>
    <w:pPr>
      <w:jc w:val="both"/>
    </w:pPr>
    <w:rPr>
      <w:sz w:val="24"/>
    </w:rPr>
  </w:style>
  <w:style w:type="paragraph" w:customStyle="1" w:styleId="xl94">
    <w:name w:val="xl94"/>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2010">
    <w:name w:val="样式 黑体 小四 加粗 行距: 固定值 20 磅1"/>
    <w:basedOn w:val="a2"/>
    <w:uiPriority w:val="99"/>
    <w:qFormat/>
    <w:pPr>
      <w:spacing w:line="400" w:lineRule="exact"/>
      <w:jc w:val="both"/>
    </w:pPr>
    <w:rPr>
      <w:rFonts w:ascii="黑体" w:eastAsia="黑体" w:cs="宋体"/>
      <w:b/>
      <w:bCs/>
    </w:rPr>
  </w:style>
  <w:style w:type="paragraph" w:customStyle="1" w:styleId="840">
    <w:name w:val="河石管道 表头84"/>
    <w:uiPriority w:val="99"/>
    <w:qFormat/>
    <w:pPr>
      <w:spacing w:line="0" w:lineRule="atLeast"/>
      <w:jc w:val="both"/>
    </w:pPr>
    <w:rPr>
      <w:rFonts w:ascii="Times New Roman" w:eastAsia="宋体" w:hAnsi="Times New Roman" w:cs="Times New Roman"/>
      <w:b/>
      <w:bCs/>
      <w:sz w:val="18"/>
    </w:rPr>
  </w:style>
  <w:style w:type="paragraph" w:customStyle="1" w:styleId="Char2CharChar1CharCharChar3">
    <w:name w:val="Char2 Char Char1 Char Char Char3"/>
    <w:basedOn w:val="a2"/>
    <w:uiPriority w:val="99"/>
    <w:qFormat/>
    <w:pPr>
      <w:jc w:val="both"/>
    </w:pPr>
  </w:style>
  <w:style w:type="paragraph" w:customStyle="1" w:styleId="416">
    <w:name w:val="正文缩进41"/>
    <w:basedOn w:val="a2"/>
    <w:uiPriority w:val="99"/>
    <w:qFormat/>
    <w:pPr>
      <w:spacing w:line="560" w:lineRule="exact"/>
      <w:ind w:firstLineChars="200" w:firstLine="560"/>
      <w:jc w:val="both"/>
      <w:textAlignment w:val="baseline"/>
    </w:pPr>
    <w:rPr>
      <w:rFonts w:hint="eastAsia"/>
    </w:rPr>
  </w:style>
  <w:style w:type="paragraph" w:customStyle="1" w:styleId="xl56">
    <w:name w:val="xl56"/>
    <w:basedOn w:val="a2"/>
    <w:qFormat/>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rPr>
  </w:style>
  <w:style w:type="paragraph" w:customStyle="1" w:styleId="Char70">
    <w:name w:val="Char7"/>
    <w:basedOn w:val="a2"/>
    <w:qFormat/>
    <w:pPr>
      <w:tabs>
        <w:tab w:val="right" w:leader="middleDot" w:pos="600"/>
      </w:tabs>
      <w:jc w:val="both"/>
    </w:pPr>
    <w:rPr>
      <w:rFonts w:ascii="仿宋_GB2312" w:eastAsia="仿宋_GB2312"/>
      <w:sz w:val="30"/>
      <w:szCs w:val="30"/>
    </w:rPr>
  </w:style>
  <w:style w:type="paragraph" w:customStyle="1" w:styleId="afffffffffffffffffffffffffffff">
    <w:name w:val="表格头"/>
    <w:basedOn w:val="affffffff5"/>
    <w:uiPriority w:val="99"/>
    <w:qFormat/>
    <w:pPr>
      <w:snapToGrid w:val="0"/>
      <w:spacing w:beforeLines="20" w:before="0" w:line="300" w:lineRule="auto"/>
      <w:ind w:firstLineChars="200" w:firstLine="200"/>
      <w:textAlignment w:val="baseline"/>
    </w:pPr>
    <w:rPr>
      <w:rFonts w:eastAsia="仿宋_GB2312"/>
      <w:b/>
      <w:bCs/>
      <w:spacing w:val="-10"/>
      <w:sz w:val="28"/>
      <w:szCs w:val="28"/>
    </w:rPr>
  </w:style>
  <w:style w:type="paragraph" w:customStyle="1" w:styleId="afffffffffffffffffffffffffffff0">
    <w:name w:val="支标题 a)"/>
    <w:basedOn w:val="a2"/>
    <w:next w:val="a2"/>
    <w:uiPriority w:val="99"/>
    <w:qFormat/>
    <w:pPr>
      <w:tabs>
        <w:tab w:val="left" w:pos="510"/>
        <w:tab w:val="left" w:pos="1097"/>
      </w:tabs>
      <w:spacing w:before="120" w:after="120" w:line="460" w:lineRule="exact"/>
      <w:ind w:left="284" w:firstLine="453"/>
    </w:pPr>
    <w:rPr>
      <w:rFonts w:ascii="ZapfDingbats BT" w:hAnsi="ZapfDingbats BT"/>
      <w:sz w:val="23"/>
    </w:rPr>
  </w:style>
  <w:style w:type="paragraph" w:customStyle="1" w:styleId="afffffffffffffffffffffffffffff1">
    <w:name w:val="报告表正文"/>
    <w:basedOn w:val="a2"/>
    <w:pPr>
      <w:autoSpaceDE/>
      <w:autoSpaceDN/>
      <w:spacing w:line="312" w:lineRule="auto"/>
      <w:ind w:left="113" w:right="113" w:firstLineChars="200" w:firstLine="482"/>
      <w:textAlignment w:val="baseline"/>
    </w:pPr>
  </w:style>
  <w:style w:type="paragraph" w:customStyle="1" w:styleId="0772043">
    <w:name w:val="样式 首行缩进:  0.77 厘米 行距: 固定值 20 磅43"/>
    <w:basedOn w:val="a2"/>
    <w:uiPriority w:val="99"/>
    <w:qFormat/>
    <w:pPr>
      <w:spacing w:line="360" w:lineRule="auto"/>
      <w:ind w:firstLineChars="200" w:firstLine="480"/>
      <w:jc w:val="both"/>
    </w:pPr>
    <w:rPr>
      <w:rFonts w:cs="宋体"/>
      <w:sz w:val="24"/>
    </w:rPr>
  </w:style>
  <w:style w:type="paragraph" w:customStyle="1" w:styleId="--2">
    <w:name w:val="钢--2"/>
    <w:basedOn w:val="a2"/>
    <w:next w:val="a2"/>
    <w:pPr>
      <w:autoSpaceDE/>
      <w:autoSpaceDN/>
      <w:adjustRightInd/>
      <w:spacing w:before="240" w:after="240" w:line="520" w:lineRule="exact"/>
      <w:ind w:leftChars="100" w:left="210"/>
      <w:jc w:val="both"/>
      <w:outlineLvl w:val="1"/>
    </w:pPr>
    <w:rPr>
      <w:rFonts w:ascii="宋体" w:hAnsi="宋体"/>
      <w:b/>
    </w:rPr>
  </w:style>
  <w:style w:type="paragraph" w:customStyle="1" w:styleId="CharCharCharCharCharCharCharCharChar1CharCharCharCharCharCharCharCharChar1CharCharCharCharCharCharCharCharCharChar3">
    <w:name w:val="Char Char Char Char Char Char Char Char Char1 Char Char Char Char Char Char Char Char Char1 Char Char Char Char Char Char Char Char Char Char3"/>
    <w:basedOn w:val="a2"/>
    <w:qFormat/>
    <w:pPr>
      <w:jc w:val="both"/>
    </w:pPr>
    <w:rPr>
      <w:rFonts w:ascii="Times New Roman"/>
    </w:rPr>
  </w:style>
  <w:style w:type="paragraph" w:customStyle="1" w:styleId="2251">
    <w:name w:val="样式 样式 正文缩进 + 首行缩进:  2 字符 + 首行缩进:  2.5 字符"/>
    <w:basedOn w:val="a2"/>
    <w:uiPriority w:val="99"/>
    <w:qFormat/>
    <w:pPr>
      <w:tabs>
        <w:tab w:val="left" w:pos="0"/>
      </w:tabs>
      <w:overflowPunct w:val="0"/>
      <w:spacing w:line="360" w:lineRule="auto"/>
      <w:ind w:firstLineChars="200" w:firstLine="480"/>
      <w:jc w:val="both"/>
      <w:textAlignment w:val="bottom"/>
    </w:pPr>
    <w:rPr>
      <w:rFonts w:ascii="宋体" w:hAnsi="宋体" w:cs="宋体"/>
      <w:sz w:val="24"/>
    </w:rPr>
  </w:style>
  <w:style w:type="paragraph" w:customStyle="1" w:styleId="p16">
    <w:name w:val="p16"/>
    <w:basedOn w:val="a2"/>
    <w:qFormat/>
    <w:pPr>
      <w:widowControl/>
      <w:snapToGrid w:val="0"/>
      <w:spacing w:line="500" w:lineRule="atLeast"/>
    </w:pPr>
    <w:rPr>
      <w:rFonts w:ascii="宋体" w:hAnsi="宋体" w:cs="宋体"/>
    </w:rPr>
  </w:style>
  <w:style w:type="paragraph" w:customStyle="1" w:styleId="afffffffffffffffffffffffffffff2">
    <w:name w:val="字元 字元"/>
    <w:basedOn w:val="a2"/>
    <w:pPr>
      <w:jc w:val="both"/>
    </w:pPr>
    <w:rPr>
      <w:sz w:val="24"/>
    </w:rPr>
  </w:style>
  <w:style w:type="paragraph" w:customStyle="1" w:styleId="4">
    <w:name w:val="样式 标题 4 + 宋体 小四 非加粗"/>
    <w:basedOn w:val="41"/>
    <w:uiPriority w:val="99"/>
    <w:qFormat/>
    <w:pPr>
      <w:numPr>
        <w:ilvl w:val="3"/>
        <w:numId w:val="5"/>
      </w:numPr>
      <w:spacing w:beforeLines="0" w:before="280" w:after="290" w:line="376" w:lineRule="auto"/>
      <w:ind w:leftChars="0" w:left="0" w:rightChars="0" w:right="0"/>
      <w:jc w:val="both"/>
    </w:pPr>
    <w:rPr>
      <w:rFonts w:ascii="Times New Roman" w:eastAsia="宋体"/>
      <w:b/>
      <w:bCs w:val="0"/>
      <w:sz w:val="24"/>
    </w:rPr>
  </w:style>
  <w:style w:type="paragraph" w:customStyle="1" w:styleId="hang">
    <w:name w:val="hang"/>
    <w:basedOn w:val="a2"/>
    <w:uiPriority w:val="99"/>
    <w:qFormat/>
    <w:pPr>
      <w:spacing w:before="100" w:beforeAutospacing="1" w:after="100" w:afterAutospacing="1" w:line="480" w:lineRule="atLeast"/>
    </w:pPr>
    <w:rPr>
      <w:rFonts w:ascii="宋体" w:hAnsi="宋体" w:cs="宋体"/>
      <w:color w:val="000000"/>
      <w:sz w:val="19"/>
      <w:szCs w:val="19"/>
    </w:rPr>
  </w:style>
  <w:style w:type="paragraph" w:customStyle="1" w:styleId="CharChar1CharCharCharChar2">
    <w:name w:val="Char Char1 Char Char Char Char2"/>
    <w:basedOn w:val="a2"/>
    <w:qFormat/>
    <w:pPr>
      <w:jc w:val="both"/>
    </w:pPr>
    <w:rPr>
      <w:sz w:val="24"/>
    </w:rPr>
  </w:style>
  <w:style w:type="paragraph" w:customStyle="1" w:styleId="CharCharCharCharCharCharCharCharChar1CharCharCharCharCharCharChar2">
    <w:name w:val="Char Char Char Char Char Char Char Char Char1 Char Char Char Char Char Char Char2"/>
    <w:basedOn w:val="a2"/>
    <w:uiPriority w:val="99"/>
    <w:qFormat/>
    <w:pPr>
      <w:snapToGrid w:val="0"/>
      <w:spacing w:line="360" w:lineRule="auto"/>
      <w:ind w:firstLineChars="200" w:firstLine="200"/>
      <w:jc w:val="both"/>
    </w:pPr>
    <w:rPr>
      <w:rFonts w:ascii="Times New Roman" w:eastAsia="仿宋_GB2312"/>
    </w:rPr>
  </w:style>
  <w:style w:type="paragraph" w:customStyle="1" w:styleId="GB2312148">
    <w:name w:val="样式 样式 列出段落 + (西文) 宋体 (中文) 仿宋_GB2312 四号 行距: 多倍行距 1.48 字行 + 首行缩进: ..."/>
    <w:basedOn w:val="a2"/>
    <w:qFormat/>
    <w:pPr>
      <w:spacing w:line="355" w:lineRule="auto"/>
      <w:ind w:firstLineChars="200" w:firstLine="560"/>
      <w:jc w:val="both"/>
    </w:pPr>
    <w:rPr>
      <w:rFonts w:ascii="宋体" w:eastAsia="仿宋_GB2312" w:hAnsi="宋体" w:cs="宋体"/>
    </w:rPr>
  </w:style>
  <w:style w:type="paragraph" w:customStyle="1" w:styleId="CharCharChar1CharCharChar4">
    <w:name w:val="Char Char Char1 Char Char Char4"/>
    <w:basedOn w:val="a2"/>
    <w:qFormat/>
    <w:pPr>
      <w:tabs>
        <w:tab w:val="left" w:pos="0"/>
      </w:tabs>
    </w:pPr>
    <w:rPr>
      <w:sz w:val="24"/>
    </w:rPr>
  </w:style>
  <w:style w:type="paragraph" w:customStyle="1" w:styleId="4CharCharChar3">
    <w:name w:val="字元4 Char Char Char 字元 字元 字元3"/>
    <w:basedOn w:val="a2"/>
    <w:qFormat/>
    <w:pPr>
      <w:spacing w:line="400" w:lineRule="exact"/>
      <w:ind w:firstLine="601"/>
      <w:jc w:val="both"/>
      <w:textAlignment w:val="baseline"/>
    </w:pPr>
    <w:rPr>
      <w:spacing w:val="8"/>
      <w:sz w:val="24"/>
    </w:rPr>
  </w:style>
  <w:style w:type="paragraph" w:customStyle="1" w:styleId="xl52">
    <w:name w:val="xl52"/>
    <w:basedOn w:val="a2"/>
    <w:qFormat/>
    <w:pPr>
      <w:widowControl/>
      <w:pBdr>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rPr>
  </w:style>
  <w:style w:type="paragraph" w:customStyle="1" w:styleId="xl100">
    <w:name w:val="xl100"/>
    <w:basedOn w:val="a2"/>
    <w:qFormat/>
    <w:pPr>
      <w:spacing w:before="100" w:beforeAutospacing="1" w:after="100" w:afterAutospacing="1"/>
      <w:jc w:val="center"/>
    </w:pPr>
    <w:rPr>
      <w:rFonts w:ascii="宋体" w:hAnsi="宋体" w:cs="宋体"/>
      <w:sz w:val="24"/>
    </w:rPr>
  </w:style>
  <w:style w:type="paragraph" w:customStyle="1" w:styleId="Char1CharCharChar7">
    <w:name w:val="Char1 Char Char Char7"/>
    <w:basedOn w:val="a2"/>
    <w:qFormat/>
    <w:pPr>
      <w:jc w:val="both"/>
    </w:pPr>
    <w:rPr>
      <w:sz w:val="24"/>
    </w:rPr>
  </w:style>
  <w:style w:type="paragraph" w:customStyle="1" w:styleId="afffffffffffffffffffffffffffff3">
    <w:name w:val="论文图名"/>
    <w:basedOn w:val="a2"/>
    <w:uiPriority w:val="99"/>
    <w:qFormat/>
    <w:pPr>
      <w:snapToGrid w:val="0"/>
      <w:spacing w:beforeLines="30" w:before="93" w:after="120" w:line="360" w:lineRule="auto"/>
      <w:ind w:firstLineChars="200" w:firstLine="200"/>
      <w:jc w:val="center"/>
    </w:pPr>
    <w:rPr>
      <w:rFonts w:eastAsia="黑体" w:hAnsi="Arial"/>
      <w:sz w:val="24"/>
    </w:rPr>
  </w:style>
  <w:style w:type="paragraph" w:customStyle="1" w:styleId="CharCharChar1CharCharCharCharCharCharCharCharCharCharCharCharCharCharCharCharCharCharCharCharCharChar4">
    <w:name w:val="Char Char Char1 Char Char Char Char Char Char Char Char Char Char Char Char Char Char Char Char Char Char Char Char Char Char4"/>
    <w:basedOn w:val="a2"/>
    <w:qFormat/>
  </w:style>
  <w:style w:type="paragraph" w:customStyle="1" w:styleId="111h11212">
    <w:name w:val="样式 标题 11.标题 1h1 + 两端对齐 段前: 12 磅 段后: 12 磅"/>
    <w:basedOn w:val="12"/>
    <w:uiPriority w:val="99"/>
    <w:qFormat/>
    <w:pPr>
      <w:tabs>
        <w:tab w:val="left" w:pos="0"/>
        <w:tab w:val="left" w:pos="432"/>
      </w:tabs>
      <w:snapToGrid w:val="0"/>
      <w:spacing w:beforeLines="100" w:before="312" w:line="240" w:lineRule="auto"/>
      <w:ind w:left="432" w:hanging="432"/>
      <w:jc w:val="both"/>
      <w:textAlignment w:val="bottom"/>
    </w:pPr>
    <w:rPr>
      <w:rFonts w:ascii="Arial" w:eastAsia="宋体" w:cs="宋体"/>
      <w:b/>
      <w:bCs w:val="0"/>
      <w:sz w:val="28"/>
      <w:szCs w:val="44"/>
    </w:rPr>
  </w:style>
  <w:style w:type="paragraph" w:customStyle="1" w:styleId="CharCharCharCharChar60">
    <w:name w:val="Char Char Char Char Char6"/>
    <w:basedOn w:val="a2"/>
    <w:uiPriority w:val="99"/>
    <w:qFormat/>
    <w:pPr>
      <w:jc w:val="both"/>
    </w:pPr>
    <w:rPr>
      <w:sz w:val="24"/>
    </w:rPr>
  </w:style>
  <w:style w:type="paragraph" w:customStyle="1" w:styleId="3h361213">
    <w:name w:val="样式 标题 3h3 + 两端对齐 段前: 6 磅 段后: 12 磅 行距: 多倍行距 1.3 字行"/>
    <w:basedOn w:val="32"/>
    <w:uiPriority w:val="99"/>
    <w:qFormat/>
    <w:pPr>
      <w:keepLines w:val="0"/>
      <w:spacing w:before="120" w:after="120" w:line="312" w:lineRule="auto"/>
      <w:jc w:val="both"/>
      <w:textAlignment w:val="baseline"/>
    </w:pPr>
    <w:rPr>
      <w:rFonts w:ascii="Times New Roman" w:eastAsia="黑体" w:cs="宋体"/>
      <w:b w:val="0"/>
      <w:bCs w:val="0"/>
      <w:sz w:val="24"/>
      <w:szCs w:val="20"/>
    </w:rPr>
  </w:style>
  <w:style w:type="paragraph" w:customStyle="1" w:styleId="btBodyTextchGB2312">
    <w:name w:val="样式 正文文本btBody Text(ch) + 仿宋_GB2312 五号"/>
    <w:basedOn w:val="af4"/>
    <w:qFormat/>
    <w:pPr>
      <w:snapToGrid w:val="0"/>
      <w:spacing w:after="0" w:line="500" w:lineRule="exact"/>
      <w:jc w:val="both"/>
    </w:pPr>
    <w:rPr>
      <w:rFonts w:ascii="仿宋_GB2312" w:hAnsi="仿宋_GB2312"/>
      <w:sz w:val="28"/>
      <w:szCs w:val="24"/>
    </w:rPr>
  </w:style>
  <w:style w:type="paragraph" w:customStyle="1" w:styleId="3ffff0">
    <w:name w:val="宏福3"/>
    <w:basedOn w:val="32"/>
    <w:uiPriority w:val="99"/>
    <w:qFormat/>
    <w:pPr>
      <w:tabs>
        <w:tab w:val="left" w:pos="1021"/>
      </w:tabs>
      <w:snapToGrid w:val="0"/>
      <w:spacing w:before="240" w:after="0" w:line="240" w:lineRule="auto"/>
      <w:ind w:leftChars="50" w:left="105"/>
      <w:jc w:val="both"/>
    </w:pPr>
    <w:rPr>
      <w:rFonts w:ascii="Times New Roman" w:eastAsia="宋体"/>
      <w:b w:val="0"/>
      <w:bCs w:val="0"/>
      <w:sz w:val="28"/>
      <w:szCs w:val="20"/>
    </w:rPr>
  </w:style>
  <w:style w:type="paragraph" w:customStyle="1" w:styleId="z-14">
    <w:name w:val="z-窗体顶端1"/>
    <w:basedOn w:val="a2"/>
    <w:next w:val="a2"/>
    <w:uiPriority w:val="99"/>
    <w:qFormat/>
    <w:pPr>
      <w:pBdr>
        <w:bottom w:val="single" w:sz="6" w:space="1" w:color="auto"/>
      </w:pBdr>
      <w:jc w:val="center"/>
      <w:textAlignment w:val="baseline"/>
    </w:pPr>
    <w:rPr>
      <w:rFonts w:hAnsi="Arial"/>
      <w:vanish/>
      <w:sz w:val="16"/>
    </w:rPr>
  </w:style>
  <w:style w:type="paragraph" w:customStyle="1" w:styleId="Char460">
    <w:name w:val="Char46"/>
    <w:basedOn w:val="a2"/>
    <w:qFormat/>
    <w:pPr>
      <w:jc w:val="both"/>
    </w:pPr>
    <w:rPr>
      <w:rFonts w:ascii="宋体" w:hAnsi="宋体" w:cs="宋体"/>
      <w:color w:val="000000"/>
      <w:sz w:val="24"/>
    </w:rPr>
  </w:style>
  <w:style w:type="paragraph" w:customStyle="1" w:styleId="afffffffffffffffffffffffffffff4">
    <w:name w:val="样式 样式 题注 + 两端对齐 + 宋体"/>
    <w:basedOn w:val="a2"/>
    <w:qFormat/>
    <w:pPr>
      <w:keepNext/>
      <w:spacing w:line="360" w:lineRule="auto"/>
      <w:jc w:val="center"/>
    </w:pPr>
    <w:rPr>
      <w:rFonts w:ascii="宋体" w:eastAsia="仿宋_GB2312" w:hAnsi="宋体"/>
      <w:snapToGrid w:val="0"/>
    </w:rPr>
  </w:style>
  <w:style w:type="paragraph" w:customStyle="1" w:styleId="CharCharCharCharCharCharCharChar1CharCharCharChar">
    <w:name w:val="Char Char Char Char Char Char Char Char1 Char Char Char Char"/>
    <w:basedOn w:val="a2"/>
    <w:uiPriority w:val="99"/>
    <w:qFormat/>
    <w:pPr>
      <w:jc w:val="both"/>
    </w:pPr>
    <w:rPr>
      <w:rFonts w:ascii="Times New Roman"/>
    </w:rPr>
  </w:style>
  <w:style w:type="paragraph" w:customStyle="1" w:styleId="CharCharCharCharChar2CharCharCharCharCharCharCharCharChar">
    <w:name w:val="Char Char Char Char Char2 Char Char Char Char Char Char Char Char Char"/>
    <w:basedOn w:val="a2"/>
    <w:uiPriority w:val="99"/>
    <w:qFormat/>
    <w:pPr>
      <w:jc w:val="both"/>
    </w:pPr>
  </w:style>
  <w:style w:type="paragraph" w:customStyle="1" w:styleId="7a">
    <w:name w:val="7"/>
    <w:basedOn w:val="a2"/>
    <w:next w:val="af5"/>
    <w:qFormat/>
    <w:pPr>
      <w:spacing w:line="500" w:lineRule="exact"/>
      <w:ind w:firstLineChars="200" w:firstLine="560"/>
      <w:jc w:val="both"/>
    </w:pPr>
    <w:rPr>
      <w:rFonts w:ascii="仿宋_GB2312" w:eastAsia="仿宋_GB2312"/>
      <w:color w:val="FF0000"/>
    </w:rPr>
  </w:style>
  <w:style w:type="paragraph" w:customStyle="1" w:styleId="13e">
    <w:name w:val="普通(网站)13"/>
    <w:basedOn w:val="a2"/>
    <w:uiPriority w:val="99"/>
    <w:qFormat/>
    <w:pPr>
      <w:jc w:val="both"/>
      <w:textAlignment w:val="baseline"/>
    </w:pPr>
  </w:style>
  <w:style w:type="paragraph" w:customStyle="1" w:styleId="01501514">
    <w:name w:val="样式 正文文本 + 居中 段前: 0.15 行 段后: 0.15 行 行距: 最小值 14 磅"/>
    <w:basedOn w:val="af4"/>
    <w:uiPriority w:val="99"/>
    <w:qFormat/>
    <w:pPr>
      <w:tabs>
        <w:tab w:val="left" w:pos="283"/>
      </w:tabs>
      <w:snapToGrid w:val="0"/>
      <w:spacing w:after="0" w:line="280" w:lineRule="atLeast"/>
      <w:jc w:val="center"/>
    </w:pPr>
    <w:rPr>
      <w:rFonts w:cs="宋体"/>
      <w:kern w:val="0"/>
      <w:sz w:val="24"/>
    </w:rPr>
  </w:style>
  <w:style w:type="paragraph" w:customStyle="1" w:styleId="CharCharCharChar1CharCharChar4">
    <w:name w:val="Char Char Char Char1 Char Char Char4"/>
    <w:basedOn w:val="a2"/>
    <w:pPr>
      <w:jc w:val="both"/>
    </w:pPr>
    <w:rPr>
      <w:sz w:val="24"/>
    </w:rPr>
  </w:style>
  <w:style w:type="paragraph" w:customStyle="1" w:styleId="21111yjm22Heading2HiddenHeading2">
    <w:name w:val="样式 标题 2节标题 1.1标题 1.1标题 yjm2第一章 标题 2Heading 2 HiddenHeading...2"/>
    <w:basedOn w:val="22"/>
    <w:uiPriority w:val="99"/>
    <w:qFormat/>
    <w:pPr>
      <w:keepLines w:val="0"/>
      <w:snapToGrid w:val="0"/>
      <w:spacing w:beforeLines="50" w:before="156" w:after="0" w:line="360" w:lineRule="auto"/>
    </w:pPr>
    <w:rPr>
      <w:rFonts w:ascii="Arial" w:eastAsia="黑体" w:hAnsi="Arial" w:cs="宋体"/>
      <w:bCs w:val="0"/>
      <w:sz w:val="30"/>
      <w:szCs w:val="30"/>
    </w:rPr>
  </w:style>
  <w:style w:type="paragraph" w:customStyle="1" w:styleId="243">
    <w:name w:val="24"/>
    <w:basedOn w:val="a2"/>
    <w:next w:val="39"/>
    <w:qFormat/>
    <w:pPr>
      <w:spacing w:line="500" w:lineRule="exact"/>
      <w:ind w:firstLineChars="200" w:firstLine="560"/>
      <w:jc w:val="both"/>
    </w:pPr>
    <w:rPr>
      <w:rFonts w:ascii="仿宋_GB2312" w:eastAsia="仿宋_GB2312"/>
    </w:rPr>
  </w:style>
  <w:style w:type="paragraph" w:customStyle="1" w:styleId="1ffffffff4">
    <w:name w:val="样式 标题 1 + 宋体"/>
    <w:basedOn w:val="12"/>
    <w:uiPriority w:val="99"/>
    <w:qFormat/>
    <w:pPr>
      <w:tabs>
        <w:tab w:val="left" w:pos="574"/>
      </w:tabs>
      <w:spacing w:before="340" w:after="330" w:line="576" w:lineRule="auto"/>
      <w:jc w:val="both"/>
      <w:textAlignment w:val="auto"/>
    </w:pPr>
    <w:rPr>
      <w:rFonts w:ascii="宋体" w:eastAsia="方正姚体" w:hAnsi="宋体"/>
      <w:b/>
      <w:sz w:val="36"/>
      <w:szCs w:val="44"/>
    </w:rPr>
  </w:style>
  <w:style w:type="paragraph" w:customStyle="1" w:styleId="TOC1">
    <w:name w:val="TOC 标题1"/>
    <w:basedOn w:val="12"/>
    <w:next w:val="a2"/>
    <w:uiPriority w:val="39"/>
    <w:qFormat/>
    <w:pPr>
      <w:spacing w:before="480" w:line="276" w:lineRule="auto"/>
      <w:textAlignment w:val="auto"/>
      <w:outlineLvl w:val="9"/>
    </w:pPr>
    <w:rPr>
      <w:rFonts w:ascii="Cambria" w:eastAsia="宋体" w:hAnsi="Cambria"/>
      <w:b/>
      <w:bCs w:val="0"/>
      <w:color w:val="365F91"/>
      <w:kern w:val="0"/>
      <w:sz w:val="28"/>
      <w:szCs w:val="28"/>
    </w:rPr>
  </w:style>
  <w:style w:type="paragraph" w:customStyle="1" w:styleId="Charfffffffffd">
    <w:name w:val="册除格式 Char"/>
    <w:uiPriority w:val="99"/>
    <w:qFormat/>
    <w:pPr>
      <w:spacing w:line="360" w:lineRule="auto"/>
      <w:ind w:firstLine="482"/>
    </w:pPr>
    <w:rPr>
      <w:rFonts w:ascii="黑体" w:eastAsia="宋体" w:hAnsi="Arial" w:cs="Arial"/>
      <w:snapToGrid w:val="0"/>
      <w:spacing w:val="4"/>
      <w:kern w:val="18"/>
      <w:sz w:val="24"/>
      <w:szCs w:val="28"/>
    </w:rPr>
  </w:style>
  <w:style w:type="paragraph" w:customStyle="1" w:styleId="afffffffffffffffffffffffffffff5">
    <w:name w:val="表左"/>
    <w:next w:val="a2"/>
    <w:pPr>
      <w:widowControl w:val="0"/>
      <w:tabs>
        <w:tab w:val="left" w:pos="146"/>
      </w:tabs>
      <w:suppressAutoHyphens/>
      <w:snapToGrid w:val="0"/>
      <w:jc w:val="both"/>
      <w:textAlignment w:val="center"/>
    </w:pPr>
    <w:rPr>
      <w:rFonts w:ascii="Times New Roman" w:eastAsia="宋体" w:hAnsi="仿宋_GB2312" w:cs="Times New Roman"/>
      <w:sz w:val="18"/>
    </w:rPr>
  </w:style>
  <w:style w:type="paragraph" w:customStyle="1" w:styleId="afffffffffffffffffffffffffffff6">
    <w:name w:val="封面正文"/>
    <w:qFormat/>
    <w:pPr>
      <w:spacing w:beforeLines="50" w:before="50" w:afterLines="50" w:after="50" w:line="360" w:lineRule="auto"/>
      <w:ind w:firstLineChars="40" w:firstLine="40"/>
      <w:jc w:val="both"/>
    </w:pPr>
    <w:rPr>
      <w:rFonts w:ascii="Times New Roman" w:eastAsia="宋体" w:hAnsi="Times New Roman" w:cs="Times New Roman"/>
    </w:rPr>
  </w:style>
  <w:style w:type="paragraph" w:customStyle="1" w:styleId="CharCharCharCharChar7">
    <w:name w:val="纯文本 Char Char Char Char Char"/>
    <w:basedOn w:val="a2"/>
    <w:next w:val="af8"/>
    <w:pPr>
      <w:autoSpaceDE/>
      <w:autoSpaceDN/>
      <w:adjustRightInd/>
      <w:spacing w:line="360" w:lineRule="auto"/>
      <w:ind w:firstLineChars="200" w:firstLine="200"/>
      <w:jc w:val="both"/>
    </w:pPr>
    <w:rPr>
      <w:rFonts w:ascii="宋体" w:hAnsi="Courier New"/>
    </w:rPr>
  </w:style>
  <w:style w:type="paragraph" w:customStyle="1" w:styleId="charfffffffffe">
    <w:name w:val="char"/>
    <w:basedOn w:val="a2"/>
    <w:uiPriority w:val="99"/>
    <w:qFormat/>
    <w:pPr>
      <w:spacing w:after="160" w:line="240" w:lineRule="exact"/>
    </w:pPr>
    <w:rPr>
      <w:rFonts w:ascii="Verdana" w:eastAsia="仿宋_GB2312" w:hAnsi="Verdana" w:cs="”“Times New Roman”“"/>
      <w:sz w:val="24"/>
      <w:lang w:eastAsia="en-US"/>
    </w:rPr>
  </w:style>
  <w:style w:type="paragraph" w:customStyle="1" w:styleId="xl756">
    <w:name w:val="xl756"/>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Arial Unicode MS" w:hint="eastAsia"/>
      <w:sz w:val="24"/>
    </w:rPr>
  </w:style>
  <w:style w:type="paragraph" w:customStyle="1" w:styleId="afffffffffffffffffffffffffffff7">
    <w:name w:val="图目录"/>
    <w:basedOn w:val="affffffffffffffffffffff1"/>
    <w:qFormat/>
    <w:pPr>
      <w:spacing w:beforeLines="50" w:before="50"/>
      <w:outlineLvl w:val="5"/>
    </w:pPr>
    <w:rPr>
      <w:rFonts w:ascii="宋体"/>
    </w:rPr>
  </w:style>
  <w:style w:type="paragraph" w:customStyle="1" w:styleId="1ffffffff5">
    <w:name w:val="表内文字小1"/>
    <w:basedOn w:val="a2"/>
    <w:uiPriority w:val="99"/>
    <w:qFormat/>
    <w:pPr>
      <w:snapToGrid w:val="0"/>
      <w:jc w:val="center"/>
    </w:pPr>
    <w:rPr>
      <w:rFonts w:ascii="宋体" w:hAnsi="Times"/>
    </w:rPr>
  </w:style>
  <w:style w:type="paragraph" w:customStyle="1" w:styleId="P7">
    <w:name w:val="P7"/>
    <w:uiPriority w:val="99"/>
    <w:qFormat/>
    <w:pPr>
      <w:widowControl w:val="0"/>
      <w:tabs>
        <w:tab w:val="left" w:pos="576"/>
      </w:tabs>
      <w:adjustRightInd w:val="0"/>
      <w:spacing w:after="240" w:line="0" w:lineRule="atLeast"/>
      <w:ind w:left="1728" w:hanging="1728"/>
      <w:jc w:val="both"/>
      <w:textAlignment w:val="baseline"/>
    </w:pPr>
    <w:rPr>
      <w:rFonts w:ascii="Times New Roman" w:eastAsia="全真中明體" w:hAnsi="Times New Roman" w:cs="Times New Roman"/>
      <w:spacing w:val="20"/>
      <w:sz w:val="24"/>
      <w:lang w:val="en-GB" w:eastAsia="zh-TW"/>
    </w:rPr>
  </w:style>
  <w:style w:type="paragraph" w:customStyle="1" w:styleId="CharCharChar1CharChar3">
    <w:name w:val="Char Char Char1 Char Char3"/>
    <w:basedOn w:val="a2"/>
    <w:uiPriority w:val="99"/>
    <w:qFormat/>
    <w:pPr>
      <w:jc w:val="both"/>
    </w:pPr>
    <w:rPr>
      <w:color w:val="000000"/>
    </w:rPr>
  </w:style>
  <w:style w:type="paragraph" w:customStyle="1" w:styleId="146">
    <w:name w:val="字元14"/>
    <w:basedOn w:val="a2"/>
    <w:uiPriority w:val="99"/>
    <w:qFormat/>
    <w:pPr>
      <w:jc w:val="both"/>
    </w:pPr>
  </w:style>
  <w:style w:type="paragraph" w:customStyle="1" w:styleId="Char360">
    <w:name w:val="Char36"/>
    <w:basedOn w:val="a2"/>
    <w:rPr>
      <w:sz w:val="24"/>
    </w:rPr>
  </w:style>
  <w:style w:type="paragraph" w:customStyle="1" w:styleId="A40">
    <w:name w:val="A标题4"/>
    <w:next w:val="a2"/>
    <w:uiPriority w:val="99"/>
    <w:qFormat/>
    <w:pPr>
      <w:spacing w:beforeLines="50" w:before="156" w:afterLines="50" w:after="156" w:line="360" w:lineRule="auto"/>
      <w:outlineLvl w:val="3"/>
    </w:pPr>
    <w:rPr>
      <w:rFonts w:ascii="Arial" w:eastAsia="宋体" w:hAnsi="Arial" w:cs="宋体"/>
      <w:b/>
      <w:bCs/>
      <w:kern w:val="2"/>
      <w:sz w:val="28"/>
    </w:rPr>
  </w:style>
  <w:style w:type="paragraph" w:customStyle="1" w:styleId="Normal26">
    <w:name w:val="Normal_26"/>
    <w:qFormat/>
    <w:pPr>
      <w:spacing w:before="120" w:after="240"/>
      <w:jc w:val="both"/>
    </w:pPr>
    <w:rPr>
      <w:rFonts w:ascii="Times New Roman" w:eastAsia="Calibri" w:hAnsi="Times New Roman" w:cs="Times New Roman"/>
      <w:sz w:val="22"/>
      <w:szCs w:val="21"/>
      <w:lang w:val="ru-RU" w:eastAsia="en-US"/>
    </w:rPr>
  </w:style>
  <w:style w:type="paragraph" w:customStyle="1" w:styleId="afffffffffffffffffffffffffffff8">
    <w:name w:val="+列表编号"/>
    <w:basedOn w:val="ab"/>
    <w:uiPriority w:val="99"/>
    <w:qFormat/>
    <w:pPr>
      <w:tabs>
        <w:tab w:val="clear" w:pos="855"/>
        <w:tab w:val="center" w:pos="4320"/>
        <w:tab w:val="right" w:pos="8640"/>
      </w:tabs>
      <w:adjustRightInd/>
      <w:snapToGrid/>
      <w:spacing w:beforeLines="50" w:before="120" w:line="360" w:lineRule="auto"/>
      <w:ind w:left="0" w:firstLine="0"/>
      <w:jc w:val="center"/>
    </w:pPr>
    <w:rPr>
      <w:rFonts w:ascii="Times New Roman" w:eastAsia="宋体"/>
      <w:b/>
      <w:spacing w:val="8"/>
      <w:szCs w:val="28"/>
    </w:rPr>
  </w:style>
  <w:style w:type="paragraph" w:customStyle="1" w:styleId="237">
    <w:name w:val="23"/>
    <w:basedOn w:val="a2"/>
    <w:next w:val="af5"/>
    <w:qFormat/>
    <w:pPr>
      <w:spacing w:line="500" w:lineRule="exact"/>
      <w:ind w:firstLineChars="200" w:firstLine="560"/>
      <w:jc w:val="both"/>
    </w:pPr>
    <w:rPr>
      <w:rFonts w:ascii="仿宋_GB2312" w:eastAsia="仿宋_GB2312"/>
      <w:color w:val="FF0000"/>
    </w:rPr>
  </w:style>
  <w:style w:type="paragraph" w:customStyle="1" w:styleId="CharCharChar1CharCharCharCharCharCharCharChar4">
    <w:name w:val="Char Char Char1 Char Char Char Char Char Char Char Char4"/>
    <w:basedOn w:val="a2"/>
    <w:pPr>
      <w:jc w:val="both"/>
    </w:pPr>
  </w:style>
  <w:style w:type="paragraph" w:customStyle="1" w:styleId="xl60">
    <w:name w:val="xl60"/>
    <w:basedOn w:val="a2"/>
    <w:qFormat/>
    <w:pPr>
      <w:pBdr>
        <w:top w:val="single" w:sz="8" w:space="0" w:color="auto"/>
        <w:left w:val="single" w:sz="4" w:space="0" w:color="auto"/>
        <w:bottom w:val="single" w:sz="4" w:space="0" w:color="auto"/>
        <w:right w:val="single" w:sz="8" w:space="0" w:color="auto"/>
      </w:pBdr>
      <w:shd w:val="clear" w:color="auto" w:fill="FFFFFF"/>
      <w:spacing w:before="100" w:after="100"/>
      <w:jc w:val="center"/>
    </w:pPr>
    <w:rPr>
      <w:sz w:val="24"/>
    </w:rPr>
  </w:style>
  <w:style w:type="paragraph" w:customStyle="1" w:styleId="323">
    <w:name w:val="正文文本 32"/>
    <w:basedOn w:val="a2"/>
    <w:uiPriority w:val="99"/>
    <w:qFormat/>
    <w:pPr>
      <w:spacing w:line="360" w:lineRule="auto"/>
      <w:jc w:val="both"/>
      <w:textAlignment w:val="baseline"/>
    </w:pPr>
    <w:rPr>
      <w:rFonts w:ascii="宋体"/>
      <w:sz w:val="30"/>
    </w:rPr>
  </w:style>
  <w:style w:type="paragraph" w:customStyle="1" w:styleId="360">
    <w:name w:val="正文文本 36"/>
    <w:basedOn w:val="a2"/>
    <w:uiPriority w:val="99"/>
    <w:qFormat/>
    <w:pPr>
      <w:spacing w:line="360" w:lineRule="auto"/>
      <w:jc w:val="center"/>
    </w:pPr>
    <w:rPr>
      <w:rFonts w:ascii="宋体"/>
      <w:sz w:val="20"/>
    </w:rPr>
  </w:style>
  <w:style w:type="paragraph" w:customStyle="1" w:styleId="2025025025025">
    <w:name w:val="样式 样式 样式 样式 标题 2 + 段前: 0.25 行 段后: 0.25 行 + 段前: 0.25 行 段后: 0.25 行..."/>
    <w:basedOn w:val="a2"/>
    <w:uiPriority w:val="99"/>
    <w:qFormat/>
    <w:pPr>
      <w:keepNext/>
      <w:keepLines/>
      <w:tabs>
        <w:tab w:val="left" w:pos="1140"/>
      </w:tabs>
      <w:snapToGrid w:val="0"/>
      <w:spacing w:beforeLines="25" w:before="78" w:afterLines="25" w:after="78" w:line="360" w:lineRule="auto"/>
      <w:ind w:left="1320" w:hanging="420"/>
      <w:outlineLvl w:val="1"/>
    </w:pPr>
    <w:rPr>
      <w:rFonts w:cs="宋体"/>
      <w:b/>
      <w:bCs/>
      <w:sz w:val="24"/>
    </w:rPr>
  </w:style>
  <w:style w:type="paragraph" w:customStyle="1" w:styleId="afffffffffffffffffffffffffffff9">
    <w:name w:val="表格（第一行）"/>
    <w:basedOn w:val="a2"/>
    <w:uiPriority w:val="99"/>
    <w:qFormat/>
    <w:pPr>
      <w:spacing w:beforeLines="50" w:line="400" w:lineRule="exact"/>
      <w:jc w:val="center"/>
    </w:pPr>
    <w:rPr>
      <w:rFonts w:hAnsi="Arial"/>
      <w:b/>
    </w:rPr>
  </w:style>
  <w:style w:type="paragraph" w:customStyle="1" w:styleId="CharCharCharCharCharCharCharCharCharCharCharCharCharCharCharCharCharChar3">
    <w:name w:val="Char Char Char Char Char Char Char Char Char Char Char Char Char Char Char Char Char Char3"/>
    <w:basedOn w:val="a2"/>
    <w:qFormat/>
    <w:rPr>
      <w:sz w:val="24"/>
    </w:rPr>
  </w:style>
  <w:style w:type="paragraph" w:customStyle="1" w:styleId="head1">
    <w:name w:val="head1"/>
    <w:basedOn w:val="a2"/>
    <w:qFormat/>
    <w:rPr>
      <w:rFonts w:ascii="黑体" w:eastAsia="黑体"/>
      <w:b/>
      <w:bCs/>
      <w:sz w:val="36"/>
      <w:szCs w:val="36"/>
    </w:rPr>
  </w:style>
  <w:style w:type="paragraph" w:customStyle="1" w:styleId="Char340">
    <w:name w:val="Char34"/>
    <w:basedOn w:val="a2"/>
    <w:uiPriority w:val="99"/>
    <w:qFormat/>
    <w:rPr>
      <w:rFonts w:ascii="Times New Roman"/>
    </w:rPr>
  </w:style>
  <w:style w:type="paragraph" w:customStyle="1" w:styleId="CharCharCharChar14">
    <w:name w:val="Char Char Char Char14"/>
    <w:basedOn w:val="a2"/>
    <w:uiPriority w:val="99"/>
    <w:qFormat/>
  </w:style>
  <w:style w:type="paragraph" w:customStyle="1" w:styleId="afffffffffffffffffffffffffffffa">
    <w:name w:val="基准页脚样式"/>
    <w:basedOn w:val="af4"/>
    <w:uiPriority w:val="99"/>
    <w:qFormat/>
    <w:pPr>
      <w:spacing w:after="0" w:line="240" w:lineRule="exact"/>
      <w:jc w:val="center"/>
    </w:pPr>
    <w:rPr>
      <w:rFonts w:ascii="宋体" w:hAnsi="宋体"/>
      <w:color w:val="FF0000"/>
      <w:kern w:val="0"/>
      <w:szCs w:val="24"/>
    </w:rPr>
  </w:style>
  <w:style w:type="paragraph" w:customStyle="1" w:styleId="3002">
    <w:name w:val="样式 标题 3 + 五号 加粗 段前: 0 磅 段后: 0 磅 行距: 单倍行距"/>
    <w:basedOn w:val="32"/>
    <w:qFormat/>
    <w:pPr>
      <w:tabs>
        <w:tab w:val="left" w:pos="5040"/>
      </w:tabs>
      <w:spacing w:before="0" w:after="0" w:line="240" w:lineRule="auto"/>
      <w:ind w:leftChars="50" w:left="105" w:rightChars="50" w:right="105"/>
      <w:jc w:val="both"/>
    </w:pPr>
    <w:rPr>
      <w:rFonts w:ascii="黑体" w:eastAsia="宋体" w:cs="宋体"/>
      <w:b w:val="0"/>
      <w:bCs w:val="0"/>
      <w:sz w:val="28"/>
      <w:szCs w:val="21"/>
    </w:rPr>
  </w:style>
  <w:style w:type="paragraph" w:customStyle="1" w:styleId="GB2312252">
    <w:name w:val="样式 仿宋_GB2312 四号 行距: 固定值 25 磅"/>
    <w:basedOn w:val="a2"/>
    <w:uiPriority w:val="99"/>
    <w:qFormat/>
    <w:pPr>
      <w:spacing w:line="500" w:lineRule="exact"/>
      <w:ind w:firstLineChars="200" w:firstLine="560"/>
      <w:jc w:val="center"/>
    </w:pPr>
    <w:rPr>
      <w:rFonts w:ascii="仿宋_GB2312" w:eastAsia="仿宋_GB2312" w:hAnsi="仿宋_GB2312" w:cs="宋体"/>
    </w:rPr>
  </w:style>
  <w:style w:type="paragraph" w:customStyle="1" w:styleId="tt2">
    <w:name w:val="样式 tt + 首行缩进:  2 字符"/>
    <w:basedOn w:val="a2"/>
    <w:qFormat/>
    <w:pPr>
      <w:spacing w:line="460" w:lineRule="exact"/>
      <w:ind w:firstLineChars="200" w:firstLine="200"/>
      <w:jc w:val="both"/>
    </w:pPr>
    <w:rPr>
      <w:rFonts w:hAnsi="Arial"/>
      <w:sz w:val="24"/>
    </w:rPr>
  </w:style>
  <w:style w:type="paragraph" w:customStyle="1" w:styleId="11fc">
    <w:name w:val="无间隔11"/>
    <w:next w:val="a2"/>
    <w:uiPriority w:val="99"/>
    <w:qFormat/>
    <w:pPr>
      <w:widowControl w:val="0"/>
      <w:jc w:val="both"/>
    </w:pPr>
    <w:rPr>
      <w:rFonts w:ascii="Times New Roman" w:eastAsia="宋体" w:hAnsi="Times New Roman" w:cs="Times New Roman"/>
      <w:kern w:val="2"/>
      <w:sz w:val="21"/>
      <w:szCs w:val="21"/>
    </w:rPr>
  </w:style>
  <w:style w:type="paragraph" w:customStyle="1" w:styleId="A33">
    <w:name w:val="A标题3"/>
    <w:next w:val="a2"/>
    <w:uiPriority w:val="99"/>
    <w:qFormat/>
    <w:pPr>
      <w:spacing w:beforeLines="100" w:before="312" w:afterLines="100" w:after="312" w:line="360" w:lineRule="auto"/>
      <w:outlineLvl w:val="2"/>
    </w:pPr>
    <w:rPr>
      <w:rFonts w:ascii="Times New Roman" w:eastAsia="黑体" w:hAnsi="Times New Roman" w:cs="宋体"/>
      <w:b/>
      <w:color w:val="FF0000"/>
      <w:spacing w:val="20"/>
      <w:sz w:val="28"/>
    </w:rPr>
  </w:style>
  <w:style w:type="paragraph" w:customStyle="1" w:styleId="2fffffb">
    <w:name w:val="样式 黑体 居中2"/>
    <w:basedOn w:val="a2"/>
    <w:qFormat/>
    <w:pPr>
      <w:spacing w:line="520" w:lineRule="exact"/>
      <w:jc w:val="center"/>
      <w:textAlignment w:val="center"/>
    </w:pPr>
    <w:rPr>
      <w:rFonts w:ascii="黑体" w:eastAsia="黑体" w:hAnsi="华文楷体" w:cs="宋体"/>
      <w:color w:val="000000"/>
      <w:sz w:val="24"/>
    </w:rPr>
  </w:style>
  <w:style w:type="paragraph" w:customStyle="1" w:styleId="204">
    <w:name w:val="样式 正文缩进 + 行距: 固定值 20 磅"/>
    <w:basedOn w:val="a2"/>
    <w:qFormat/>
    <w:pPr>
      <w:spacing w:line="400" w:lineRule="exact"/>
      <w:ind w:firstLineChars="200" w:firstLine="200"/>
    </w:pPr>
    <w:rPr>
      <w:rFonts w:cs="宋体"/>
      <w:sz w:val="24"/>
    </w:rPr>
  </w:style>
  <w:style w:type="paragraph" w:customStyle="1" w:styleId="CharChar1CharCharCharChar4">
    <w:name w:val="Char Char1 Char Char Char Char4"/>
    <w:basedOn w:val="a2"/>
    <w:uiPriority w:val="99"/>
    <w:qFormat/>
    <w:pPr>
      <w:jc w:val="both"/>
    </w:pPr>
  </w:style>
  <w:style w:type="paragraph" w:customStyle="1" w:styleId="1717">
    <w:name w:val="样式 首行缩进:  1.71 字符7"/>
    <w:basedOn w:val="a2"/>
    <w:uiPriority w:val="99"/>
    <w:qFormat/>
    <w:pPr>
      <w:spacing w:line="360" w:lineRule="auto"/>
      <w:ind w:rightChars="100" w:right="210" w:firstLineChars="225" w:firstLine="540"/>
      <w:jc w:val="both"/>
    </w:pPr>
    <w:rPr>
      <w:rFonts w:ascii="宋体" w:hAnsi="宋体" w:cs="宋体"/>
      <w:sz w:val="24"/>
    </w:rPr>
  </w:style>
  <w:style w:type="paragraph" w:customStyle="1" w:styleId="little">
    <w:name w:val="little"/>
    <w:basedOn w:val="a2"/>
    <w:uiPriority w:val="99"/>
    <w:qFormat/>
    <w:pPr>
      <w:spacing w:before="100" w:beforeAutospacing="1" w:after="100" w:afterAutospacing="1"/>
    </w:pPr>
    <w:rPr>
      <w:rFonts w:ascii="宋体" w:hAnsi="宋体" w:cs="宋体"/>
      <w:sz w:val="24"/>
    </w:rPr>
  </w:style>
  <w:style w:type="paragraph" w:customStyle="1" w:styleId="12f8">
    <w:name w:val="1标题2级"/>
    <w:basedOn w:val="a2"/>
    <w:uiPriority w:val="99"/>
    <w:qFormat/>
    <w:pPr>
      <w:keepNext/>
      <w:snapToGrid w:val="0"/>
      <w:spacing w:line="420" w:lineRule="auto"/>
      <w:jc w:val="both"/>
    </w:pPr>
    <w:rPr>
      <w:rFonts w:eastAsia="黑体"/>
      <w:b/>
      <w:sz w:val="30"/>
    </w:rPr>
  </w:style>
  <w:style w:type="paragraph" w:customStyle="1" w:styleId="xl62">
    <w:name w:val="xl62"/>
    <w:basedOn w:val="a2"/>
    <w:qFormat/>
    <w:pPr>
      <w:pBdr>
        <w:left w:val="single" w:sz="4" w:space="0" w:color="auto"/>
        <w:bottom w:val="single" w:sz="4" w:space="0" w:color="auto"/>
      </w:pBdr>
      <w:spacing w:before="100" w:after="100"/>
      <w:jc w:val="center"/>
    </w:pPr>
    <w:rPr>
      <w:rFonts w:ascii="宋体" w:hAnsi="宋体"/>
      <w:sz w:val="24"/>
    </w:rPr>
  </w:style>
  <w:style w:type="paragraph" w:customStyle="1" w:styleId="CharCharChar16">
    <w:name w:val="Char Char Char16"/>
    <w:basedOn w:val="a2"/>
    <w:qFormat/>
    <w:pPr>
      <w:jc w:val="both"/>
    </w:pPr>
    <w:rPr>
      <w:sz w:val="24"/>
    </w:rPr>
  </w:style>
  <w:style w:type="paragraph" w:customStyle="1" w:styleId="px12s">
    <w:name w:val="px12s"/>
    <w:basedOn w:val="a2"/>
    <w:uiPriority w:val="99"/>
    <w:qFormat/>
    <w:pPr>
      <w:snapToGrid w:val="0"/>
      <w:spacing w:before="100" w:beforeAutospacing="1" w:after="100" w:afterAutospacing="1" w:line="360" w:lineRule="auto"/>
      <w:ind w:firstLineChars="200" w:firstLine="200"/>
    </w:pPr>
    <w:rPr>
      <w:rFonts w:ascii="宋体" w:hAnsi="宋体"/>
      <w:sz w:val="18"/>
      <w:szCs w:val="18"/>
    </w:rPr>
  </w:style>
  <w:style w:type="paragraph" w:customStyle="1" w:styleId="CharCharCharCharCharCharCharCharCharCharCharChar1CharCharChar1">
    <w:name w:val="Char Char Char Char Char Char Char Char Char Char Char Char1 Char Char Char1"/>
    <w:basedOn w:val="a2"/>
    <w:qFormat/>
    <w:pPr>
      <w:spacing w:after="160" w:line="240" w:lineRule="exact"/>
    </w:pPr>
    <w:rPr>
      <w:rFonts w:ascii="Verdana" w:hAnsi="Verdana"/>
      <w:sz w:val="20"/>
      <w:lang w:eastAsia="en-US"/>
    </w:rPr>
  </w:style>
  <w:style w:type="paragraph" w:customStyle="1" w:styleId="1050">
    <w:name w:val="表题前1后0.5行"/>
    <w:basedOn w:val="a2"/>
    <w:qFormat/>
    <w:pPr>
      <w:overflowPunct w:val="0"/>
      <w:topLinePunct/>
      <w:spacing w:before="30" w:after="30"/>
      <w:jc w:val="center"/>
    </w:pPr>
  </w:style>
  <w:style w:type="paragraph" w:customStyle="1" w:styleId="Char1CharCharCharCharCharCharCharCharCharCharCharCharCharCharChar4">
    <w:name w:val="Char1 Char Char Char Char Char Char Char Char Char Char Char Char Char Char Char4"/>
    <w:basedOn w:val="a2"/>
    <w:uiPriority w:val="99"/>
    <w:qFormat/>
    <w:pPr>
      <w:jc w:val="both"/>
    </w:pPr>
  </w:style>
  <w:style w:type="paragraph" w:customStyle="1" w:styleId="CharCharCharCharChar2CharCharCharCharCharChar">
    <w:name w:val="Char Char Char Char Char2 Char Char Char Char Char Char"/>
    <w:basedOn w:val="a2"/>
    <w:uiPriority w:val="99"/>
    <w:qFormat/>
    <w:pPr>
      <w:jc w:val="both"/>
    </w:pPr>
  </w:style>
  <w:style w:type="paragraph" w:customStyle="1" w:styleId="afffffffffffffffffffffffffffffb">
    <w:name w:val="表格（一）"/>
    <w:basedOn w:val="a2"/>
    <w:qFormat/>
    <w:pPr>
      <w:wordWrap w:val="0"/>
      <w:overflowPunct w:val="0"/>
      <w:snapToGrid w:val="0"/>
      <w:spacing w:beforeLines="15" w:before="15" w:afterLines="15" w:after="15" w:line="360" w:lineRule="auto"/>
      <w:ind w:firstLineChars="200" w:firstLine="200"/>
      <w:jc w:val="both"/>
    </w:pPr>
    <w:rPr>
      <w:snapToGrid w:val="0"/>
    </w:rPr>
  </w:style>
  <w:style w:type="paragraph" w:customStyle="1" w:styleId="5CharChar1">
    <w:name w:val="目录 5 Char Char"/>
    <w:basedOn w:val="a2"/>
    <w:next w:val="a2"/>
    <w:qFormat/>
    <w:pPr>
      <w:spacing w:line="351" w:lineRule="atLeast"/>
      <w:ind w:left="839" w:firstLine="419"/>
    </w:pPr>
    <w:rPr>
      <w:rFonts w:hAnsi="宋体"/>
    </w:rPr>
  </w:style>
  <w:style w:type="paragraph" w:customStyle="1" w:styleId="Char180">
    <w:name w:val="Char18"/>
    <w:basedOn w:val="a2"/>
    <w:qFormat/>
    <w:rPr>
      <w:sz w:val="24"/>
    </w:rPr>
  </w:style>
  <w:style w:type="paragraph" w:customStyle="1" w:styleId="xl740">
    <w:name w:val="xl740"/>
    <w:basedOn w:val="a2"/>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Courier New" w:eastAsia="Arial Unicode MS" w:hAnsi="Courier New"/>
      <w:sz w:val="24"/>
    </w:rPr>
  </w:style>
  <w:style w:type="paragraph" w:customStyle="1" w:styleId="Normal2">
    <w:name w:val="Normal2"/>
    <w:qFormat/>
    <w:pPr>
      <w:widowControl w:val="0"/>
      <w:adjustRightInd w:val="0"/>
      <w:spacing w:line="312" w:lineRule="atLeast"/>
      <w:jc w:val="both"/>
      <w:textAlignment w:val="baseline"/>
    </w:pPr>
    <w:rPr>
      <w:rFonts w:ascii="Arial" w:eastAsia="楷体_GB2312" w:hAnsi="Times New Roman" w:cs="Times New Roman"/>
      <w:spacing w:val="-6"/>
      <w:sz w:val="28"/>
    </w:rPr>
  </w:style>
  <w:style w:type="paragraph" w:customStyle="1" w:styleId="Char2CharChar1Char1">
    <w:name w:val="Char2 Char Char1 Char1"/>
    <w:basedOn w:val="a2"/>
    <w:uiPriority w:val="99"/>
    <w:qFormat/>
    <w:pPr>
      <w:jc w:val="both"/>
    </w:pPr>
    <w:rPr>
      <w:sz w:val="24"/>
    </w:rPr>
  </w:style>
  <w:style w:type="paragraph" w:customStyle="1" w:styleId="2fffffc">
    <w:name w:val="字元2"/>
    <w:basedOn w:val="a2"/>
    <w:uiPriority w:val="99"/>
    <w:qFormat/>
    <w:pPr>
      <w:jc w:val="both"/>
    </w:pPr>
    <w:rPr>
      <w:rFonts w:ascii="Times New Roman"/>
    </w:rPr>
  </w:style>
  <w:style w:type="paragraph" w:customStyle="1" w:styleId="CharChar1CharCharCharCharCharCharCharCharCharCharCharCharChar2">
    <w:name w:val="Char Char1 Char Char Char Char Char Char Char Char Char Char Char Char Char2"/>
    <w:basedOn w:val="a2"/>
    <w:uiPriority w:val="99"/>
    <w:qFormat/>
    <w:pPr>
      <w:spacing w:line="360" w:lineRule="auto"/>
      <w:ind w:firstLineChars="200" w:firstLine="200"/>
      <w:jc w:val="both"/>
    </w:pPr>
  </w:style>
  <w:style w:type="paragraph" w:customStyle="1" w:styleId="CharCharCharCharCharChar1CharCharCharCharCharCharCharCharCharChar">
    <w:name w:val="Char Char Char Char Char Char1 Char Char Char Char Char Char Char Char Char Char"/>
    <w:basedOn w:val="a2"/>
    <w:uiPriority w:val="99"/>
    <w:qFormat/>
    <w:pPr>
      <w:spacing w:after="160" w:line="240" w:lineRule="exact"/>
    </w:pPr>
  </w:style>
  <w:style w:type="paragraph" w:customStyle="1" w:styleId="nw">
    <w:name w:val="nw"/>
    <w:basedOn w:val="a2"/>
    <w:uiPriority w:val="99"/>
    <w:qFormat/>
    <w:pPr>
      <w:spacing w:before="100" w:after="100"/>
      <w:textAlignment w:val="baseline"/>
    </w:pPr>
    <w:rPr>
      <w:rFonts w:ascii="宋体" w:hAnsi="宋体"/>
      <w:color w:val="000000"/>
    </w:rPr>
  </w:style>
  <w:style w:type="paragraph" w:customStyle="1" w:styleId="CharCharCharCharCharCharCharCharChar1CharCharCharCharCharCharChar4">
    <w:name w:val="Char Char Char Char Char Char Char Char Char1 Char Char Char Char Char Char Char4"/>
    <w:basedOn w:val="a2"/>
    <w:uiPriority w:val="99"/>
    <w:qFormat/>
    <w:pPr>
      <w:snapToGrid w:val="0"/>
      <w:spacing w:line="360" w:lineRule="auto"/>
      <w:ind w:firstLineChars="200" w:firstLine="200"/>
      <w:jc w:val="both"/>
    </w:pPr>
    <w:rPr>
      <w:rFonts w:eastAsia="仿宋_GB2312"/>
      <w:sz w:val="24"/>
    </w:rPr>
  </w:style>
  <w:style w:type="paragraph" w:customStyle="1" w:styleId="21f4">
    <w:name w:val="正文首行缩进21"/>
    <w:basedOn w:val="a2"/>
    <w:uiPriority w:val="99"/>
    <w:qFormat/>
    <w:pPr>
      <w:spacing w:line="500" w:lineRule="atLeast"/>
      <w:ind w:firstLine="560"/>
      <w:jc w:val="both"/>
    </w:pPr>
    <w:rPr>
      <w:rFonts w:ascii="Times New Roman"/>
    </w:rPr>
  </w:style>
  <w:style w:type="paragraph" w:customStyle="1" w:styleId="21f5">
    <w:name w:val="样式 正文文本 + 首行缩进:  2 字符1"/>
    <w:basedOn w:val="af4"/>
    <w:uiPriority w:val="99"/>
    <w:qFormat/>
    <w:pPr>
      <w:spacing w:after="60" w:line="264" w:lineRule="auto"/>
      <w:ind w:firstLineChars="200" w:firstLine="480"/>
      <w:jc w:val="both"/>
      <w:textAlignment w:val="baseline"/>
    </w:pPr>
    <w:rPr>
      <w:rFonts w:eastAsia="仿宋_GB2312" w:cs="宋体"/>
      <w:kern w:val="0"/>
      <w:sz w:val="24"/>
    </w:rPr>
  </w:style>
  <w:style w:type="paragraph" w:customStyle="1" w:styleId="afffffffffffffffffffffffffffffc">
    <w:name w:val="小四表文左齐"/>
    <w:basedOn w:val="a2"/>
    <w:qFormat/>
    <w:pPr>
      <w:jc w:val="center"/>
    </w:pPr>
    <w:rPr>
      <w:rFonts w:ascii="仿宋_GB2312" w:eastAsia="仿宋_GB2312" w:hAnsi="宋体"/>
    </w:rPr>
  </w:style>
  <w:style w:type="paragraph" w:customStyle="1" w:styleId="031">
    <w:name w:val="表格03"/>
    <w:basedOn w:val="a2"/>
    <w:qFormat/>
    <w:pPr>
      <w:spacing w:line="400" w:lineRule="exact"/>
      <w:jc w:val="center"/>
    </w:pPr>
  </w:style>
  <w:style w:type="paragraph" w:customStyle="1" w:styleId="CharCharCharCharCharCharCharCharC1">
    <w:name w:val="样式 正文缩进文本条款文本条款 Char Char Char Char Char Char Char Char文本条款 C...1"/>
    <w:basedOn w:val="a3"/>
    <w:qFormat/>
    <w:pPr>
      <w:snapToGrid w:val="0"/>
      <w:spacing w:line="520" w:lineRule="atLeast"/>
      <w:ind w:firstLine="560"/>
      <w:jc w:val="both"/>
    </w:pPr>
    <w:rPr>
      <w:rFonts w:cs="宋体"/>
      <w:sz w:val="28"/>
      <w:szCs w:val="20"/>
    </w:rPr>
  </w:style>
  <w:style w:type="paragraph" w:customStyle="1" w:styleId="GB-11111">
    <w:name w:val="GB-1.1.1.1.1"/>
    <w:basedOn w:val="GB-1111"/>
    <w:pPr>
      <w:numPr>
        <w:ilvl w:val="4"/>
      </w:numPr>
      <w:outlineLvl w:val="4"/>
    </w:pPr>
    <w:rPr>
      <w:szCs w:val="21"/>
    </w:rPr>
  </w:style>
  <w:style w:type="paragraph" w:customStyle="1" w:styleId="3ffff1">
    <w:name w:val="无间隔3"/>
    <w:next w:val="a2"/>
    <w:uiPriority w:val="99"/>
    <w:qFormat/>
    <w:pPr>
      <w:widowControl w:val="0"/>
      <w:jc w:val="both"/>
    </w:pPr>
    <w:rPr>
      <w:rFonts w:ascii="Times New Roman" w:eastAsia="宋体" w:hAnsi="Times New Roman" w:cs="Times New Roman"/>
      <w:kern w:val="2"/>
      <w:sz w:val="21"/>
      <w:szCs w:val="21"/>
    </w:rPr>
  </w:style>
  <w:style w:type="paragraph" w:customStyle="1" w:styleId="3ffff2">
    <w:name w:val="标题 3 + 黑色"/>
    <w:basedOn w:val="22"/>
    <w:qFormat/>
    <w:pPr>
      <w:spacing w:line="360" w:lineRule="auto"/>
    </w:pPr>
    <w:rPr>
      <w:rFonts w:ascii="Arial" w:eastAsia="黑体" w:hAnsi="Arial" w:cs="Times New Roman"/>
      <w:bCs w:val="0"/>
      <w:color w:val="000000"/>
      <w:szCs w:val="20"/>
    </w:rPr>
  </w:style>
  <w:style w:type="paragraph" w:customStyle="1" w:styleId="style70">
    <w:name w:val="style7"/>
    <w:basedOn w:val="a2"/>
    <w:uiPriority w:val="99"/>
    <w:qFormat/>
    <w:pPr>
      <w:spacing w:before="100" w:beforeAutospacing="1" w:after="100" w:afterAutospacing="1" w:line="360" w:lineRule="auto"/>
    </w:pPr>
    <w:rPr>
      <w:rFonts w:ascii="宋体" w:hAnsi="宋体" w:cs="宋体"/>
      <w:color w:val="000099"/>
      <w:sz w:val="24"/>
    </w:rPr>
  </w:style>
  <w:style w:type="paragraph" w:customStyle="1" w:styleId="0011">
    <w:name w:val="样式 题注 + 左侧:  0.01 厘米"/>
    <w:basedOn w:val="ac"/>
    <w:uiPriority w:val="99"/>
    <w:qFormat/>
    <w:pPr>
      <w:spacing w:beforeLines="50" w:before="156" w:after="160" w:line="360" w:lineRule="auto"/>
      <w:ind w:left="7"/>
      <w:jc w:val="center"/>
    </w:pPr>
    <w:rPr>
      <w:rFonts w:ascii="Arial" w:eastAsia="宋体" w:hAnsi="Arial" w:cs="宋体"/>
      <w:sz w:val="24"/>
      <w:szCs w:val="20"/>
    </w:rPr>
  </w:style>
  <w:style w:type="paragraph" w:customStyle="1" w:styleId="afffffffffffffffffffffffffffffd">
    <w:name w:val="样式 样式 报告书表格 + 五号 + 宋体"/>
    <w:basedOn w:val="affffffffffff0"/>
    <w:uiPriority w:val="99"/>
    <w:qFormat/>
    <w:rPr>
      <w:rFonts w:ascii="宋体" w:eastAsia="Times New Roman" w:hAnsi="宋体"/>
    </w:rPr>
  </w:style>
  <w:style w:type="paragraph" w:customStyle="1" w:styleId="afffffffffffffffffffffffffffffe">
    <w:name w:val="正文修改样式"/>
    <w:basedOn w:val="39"/>
    <w:uiPriority w:val="99"/>
    <w:qFormat/>
    <w:pPr>
      <w:spacing w:beforeLines="50" w:before="156" w:afterLines="50" w:after="156" w:line="360" w:lineRule="auto"/>
      <w:ind w:firstLineChars="227" w:firstLine="545"/>
      <w:jc w:val="both"/>
    </w:pPr>
    <w:rPr>
      <w:rFonts w:ascii="宋体" w:hAnsi="宋体"/>
      <w:color w:val="000000"/>
      <w:sz w:val="24"/>
      <w:szCs w:val="21"/>
    </w:rPr>
  </w:style>
  <w:style w:type="paragraph" w:customStyle="1" w:styleId="AAAAAAAAAAAA">
    <w:name w:val="AAAAAAAAAAAA"/>
    <w:basedOn w:val="a2"/>
    <w:uiPriority w:val="99"/>
    <w:qFormat/>
    <w:pPr>
      <w:jc w:val="center"/>
    </w:pPr>
    <w:rPr>
      <w:rFonts w:hAnsi="宋体"/>
    </w:rPr>
  </w:style>
  <w:style w:type="paragraph" w:customStyle="1" w:styleId="CharCharChar1CharCharCharCharCharCharCharCharCharCharCharCharCharCharChar1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w:basedOn w:val="a2"/>
    <w:uiPriority w:val="99"/>
    <w:qFormat/>
    <w:pPr>
      <w:jc w:val="both"/>
    </w:pPr>
  </w:style>
  <w:style w:type="paragraph" w:customStyle="1" w:styleId="a1CharCharCharCharChar1CharCharChar">
    <w:name w:val="a1 Char Char Char Char Char1 Char Char Char"/>
    <w:basedOn w:val="a2"/>
    <w:semiHidden/>
    <w:pPr>
      <w:autoSpaceDE/>
      <w:autoSpaceDN/>
      <w:adjustRightInd/>
      <w:spacing w:line="360" w:lineRule="auto"/>
      <w:ind w:left="510" w:firstLineChars="200" w:firstLine="200"/>
      <w:jc w:val="both"/>
    </w:pPr>
    <w:rPr>
      <w:rFonts w:hAnsi="Arial" w:cs="Arial"/>
      <w:sz w:val="32"/>
      <w:szCs w:val="32"/>
    </w:rPr>
  </w:style>
  <w:style w:type="paragraph" w:customStyle="1" w:styleId="Char4CharCharCharCharChar">
    <w:name w:val="Char4 Char Char Char Char Char"/>
    <w:basedOn w:val="a2"/>
    <w:uiPriority w:val="99"/>
    <w:qFormat/>
    <w:pPr>
      <w:jc w:val="both"/>
    </w:pPr>
    <w:rPr>
      <w:sz w:val="24"/>
    </w:rPr>
  </w:style>
  <w:style w:type="paragraph" w:customStyle="1" w:styleId="ltext">
    <w:name w:val="l_text"/>
    <w:basedOn w:val="a2"/>
    <w:qFormat/>
    <w:pPr>
      <w:overflowPunct w:val="0"/>
      <w:spacing w:line="360" w:lineRule="auto"/>
      <w:ind w:firstLine="567"/>
      <w:jc w:val="both"/>
      <w:textAlignment w:val="baseline"/>
    </w:pPr>
    <w:rPr>
      <w:lang w:val="en-GB"/>
    </w:rPr>
  </w:style>
  <w:style w:type="paragraph" w:customStyle="1" w:styleId="1ffffffff6">
    <w:name w:val="注1"/>
    <w:basedOn w:val="a2"/>
    <w:uiPriority w:val="99"/>
    <w:qFormat/>
    <w:pPr>
      <w:overflowPunct w:val="0"/>
      <w:topLinePunct/>
      <w:jc w:val="center"/>
    </w:pPr>
    <w:rPr>
      <w:b/>
    </w:rPr>
  </w:style>
  <w:style w:type="paragraph" w:customStyle="1" w:styleId="11fd">
    <w:name w:val="(文字) (文字)11"/>
    <w:basedOn w:val="a2"/>
    <w:uiPriority w:val="99"/>
    <w:qFormat/>
    <w:pPr>
      <w:jc w:val="both"/>
    </w:pPr>
  </w:style>
  <w:style w:type="paragraph" w:customStyle="1" w:styleId="324">
    <w:name w:val="正文32"/>
    <w:uiPriority w:val="99"/>
    <w:qFormat/>
    <w:pPr>
      <w:widowControl w:val="0"/>
      <w:adjustRightInd w:val="0"/>
      <w:spacing w:beforeLines="50" w:before="50" w:afterLines="50" w:after="50" w:line="360" w:lineRule="atLeast"/>
      <w:ind w:firstLineChars="40" w:firstLine="40"/>
      <w:textAlignment w:val="baseline"/>
    </w:pPr>
    <w:rPr>
      <w:rFonts w:ascii="Times New Roman" w:eastAsia="宋体" w:hAnsi="Times New Roman" w:cs="Times New Roman"/>
      <w:sz w:val="34"/>
    </w:rPr>
  </w:style>
  <w:style w:type="paragraph" w:customStyle="1" w:styleId="205">
    <w:name w:val="样式 四号 加粗 行距: 最小值 20 磅"/>
    <w:basedOn w:val="a2"/>
    <w:qFormat/>
    <w:pPr>
      <w:spacing w:line="360" w:lineRule="auto"/>
      <w:ind w:firstLine="567"/>
      <w:textAlignment w:val="baseline"/>
    </w:pPr>
    <w:rPr>
      <w:rFonts w:cs="宋体"/>
      <w:b/>
      <w:bCs/>
    </w:rPr>
  </w:style>
  <w:style w:type="paragraph" w:customStyle="1" w:styleId="Normal8">
    <w:name w:val="Normal_8"/>
    <w:pPr>
      <w:spacing w:before="120" w:after="240"/>
      <w:jc w:val="both"/>
    </w:pPr>
    <w:rPr>
      <w:rFonts w:ascii="Times New Roman" w:eastAsia="Calibri" w:hAnsi="Times New Roman" w:cs="Times New Roman"/>
      <w:sz w:val="22"/>
      <w:szCs w:val="21"/>
      <w:lang w:val="ru-RU" w:eastAsia="en-US"/>
    </w:rPr>
  </w:style>
  <w:style w:type="paragraph" w:customStyle="1" w:styleId="affffffffffffffffffffffffffffff">
    <w:name w:val="纯文本表内文字"/>
    <w:basedOn w:val="af8"/>
    <w:qFormat/>
    <w:pPr>
      <w:snapToGrid w:val="0"/>
      <w:spacing w:line="320" w:lineRule="atLeast"/>
    </w:pPr>
    <w:rPr>
      <w:rFonts w:ascii="Arial" w:hAnsi="Arial"/>
      <w:spacing w:val="10"/>
      <w:kern w:val="0"/>
      <w:sz w:val="21"/>
      <w:szCs w:val="20"/>
    </w:rPr>
  </w:style>
  <w:style w:type="paragraph" w:customStyle="1" w:styleId="Char1CharCharCharCharCharCharCharCharChar3">
    <w:name w:val="Char1 Char Char Char Char Char Char Char Char Char3"/>
    <w:basedOn w:val="a2"/>
    <w:uiPriority w:val="99"/>
    <w:qFormat/>
    <w:pPr>
      <w:jc w:val="both"/>
    </w:pPr>
  </w:style>
  <w:style w:type="paragraph" w:customStyle="1" w:styleId="titel">
    <w:name w:val="titel"/>
    <w:uiPriority w:val="99"/>
    <w:qFormat/>
    <w:pPr>
      <w:pageBreakBefore/>
      <w:overflowPunct w:val="0"/>
      <w:autoSpaceDE w:val="0"/>
      <w:autoSpaceDN w:val="0"/>
      <w:adjustRightInd w:val="0"/>
      <w:jc w:val="center"/>
      <w:textAlignment w:val="baseline"/>
    </w:pPr>
    <w:rPr>
      <w:rFonts w:ascii="CorpoSLig" w:eastAsia="宋体" w:hAnsi="CorpoSLig" w:cs="Times New Roman"/>
      <w:b/>
      <w:caps/>
      <w:sz w:val="48"/>
      <w:lang w:val="de-DE"/>
    </w:rPr>
  </w:style>
  <w:style w:type="paragraph" w:customStyle="1" w:styleId="211305052">
    <w:name w:val="样式 样式 标题 2 + 首行缩进:  1.13 厘米 + 段前: 0.5 行 段后: 0.5 行2"/>
    <w:basedOn w:val="2113"/>
    <w:uiPriority w:val="99"/>
    <w:qFormat/>
    <w:pPr>
      <w:spacing w:beforeLines="100"/>
    </w:pPr>
  </w:style>
  <w:style w:type="paragraph" w:customStyle="1" w:styleId="affffffffffffffffffffffffffffff0">
    <w:name w:val="码头表"/>
    <w:basedOn w:val="a2"/>
    <w:uiPriority w:val="99"/>
    <w:qFormat/>
    <w:pPr>
      <w:jc w:val="center"/>
    </w:pPr>
    <w:rPr>
      <w:rFonts w:ascii="宋体" w:hAnsi="宋体"/>
      <w:color w:val="000000"/>
      <w:sz w:val="18"/>
    </w:rPr>
  </w:style>
  <w:style w:type="paragraph" w:customStyle="1" w:styleId="Char1CharCharCharCharCharCharCharChar3">
    <w:name w:val="Char1 Char Char Char Char Char Char Char Char3"/>
    <w:basedOn w:val="a2"/>
    <w:uiPriority w:val="99"/>
    <w:qFormat/>
    <w:pPr>
      <w:jc w:val="both"/>
    </w:pPr>
  </w:style>
  <w:style w:type="paragraph" w:customStyle="1" w:styleId="Title2">
    <w:name w:val="Title 2"/>
    <w:basedOn w:val="22"/>
    <w:next w:val="a2"/>
    <w:uiPriority w:val="99"/>
    <w:qFormat/>
    <w:pPr>
      <w:keepNext w:val="0"/>
      <w:keepLines w:val="0"/>
      <w:snapToGrid w:val="0"/>
      <w:spacing w:before="0" w:after="0" w:line="500" w:lineRule="exact"/>
    </w:pPr>
    <w:rPr>
      <w:rFonts w:ascii="Times New Roman" w:eastAsia="宋体" w:hAnsi="Times New Roman" w:cs="Times New Roman"/>
      <w:bCs w:val="0"/>
      <w:sz w:val="24"/>
      <w:szCs w:val="24"/>
    </w:rPr>
  </w:style>
  <w:style w:type="paragraph" w:customStyle="1" w:styleId="affffffffffffffffffffffffffffff1">
    <w:name w:val="小四表文居中"/>
    <w:uiPriority w:val="99"/>
    <w:qFormat/>
    <w:pPr>
      <w:widowControl w:val="0"/>
      <w:spacing w:line="400" w:lineRule="exact"/>
      <w:jc w:val="center"/>
    </w:pPr>
    <w:rPr>
      <w:rFonts w:ascii="仿宋_GB2312" w:eastAsia="仿宋_GB2312" w:hAnsi="Times New Roman" w:cs="Times New Roman"/>
      <w:kern w:val="2"/>
      <w:sz w:val="24"/>
      <w:szCs w:val="24"/>
    </w:rPr>
  </w:style>
  <w:style w:type="paragraph" w:customStyle="1" w:styleId="b20">
    <w:name w:val="b新标题2"/>
    <w:basedOn w:val="22"/>
    <w:uiPriority w:val="99"/>
    <w:qFormat/>
    <w:pPr>
      <w:spacing w:line="240" w:lineRule="exact"/>
    </w:pPr>
    <w:rPr>
      <w:rFonts w:ascii="Arial" w:eastAsia="黑体" w:hAnsi="Arial" w:cs="Times New Roman"/>
      <w:sz w:val="24"/>
    </w:rPr>
  </w:style>
  <w:style w:type="paragraph" w:customStyle="1" w:styleId="251">
    <w:name w:val="样式 宋体 四号 左 行距: 固定值 25 磅"/>
    <w:basedOn w:val="a2"/>
    <w:qFormat/>
    <w:pPr>
      <w:spacing w:line="500" w:lineRule="exact"/>
      <w:ind w:firstLineChars="200" w:firstLine="200"/>
    </w:pPr>
    <w:rPr>
      <w:rFonts w:cs="宋体"/>
    </w:rPr>
  </w:style>
  <w:style w:type="paragraph" w:customStyle="1" w:styleId="CharChar1CharCharCharCharCharCharCharCharCharCharCharCharChar3">
    <w:name w:val="Char Char1 Char Char Char Char Char Char Char Char Char Char Char Char Char3"/>
    <w:basedOn w:val="a2"/>
    <w:uiPriority w:val="99"/>
    <w:qFormat/>
    <w:pPr>
      <w:spacing w:line="360" w:lineRule="auto"/>
      <w:ind w:firstLineChars="200" w:firstLine="200"/>
      <w:jc w:val="both"/>
    </w:pPr>
  </w:style>
  <w:style w:type="paragraph" w:customStyle="1" w:styleId="Char1CharCharCharCharCharCharCharCharCharCharCharChar2">
    <w:name w:val="Char1 Char Char Char Char Char Char Char Char Char Char Char Char2"/>
    <w:basedOn w:val="a2"/>
    <w:uiPriority w:val="99"/>
    <w:qFormat/>
    <w:pPr>
      <w:jc w:val="both"/>
    </w:pPr>
    <w:rPr>
      <w:rFonts w:ascii="Times New Roman"/>
    </w:rPr>
  </w:style>
  <w:style w:type="paragraph" w:customStyle="1" w:styleId="4151">
    <w:name w:val="样式 标题 4 + 宋体 行距: 1.5 倍行距"/>
    <w:basedOn w:val="41"/>
    <w:uiPriority w:val="99"/>
    <w:qFormat/>
    <w:pPr>
      <w:tabs>
        <w:tab w:val="left" w:pos="4320"/>
      </w:tabs>
      <w:snapToGrid w:val="0"/>
      <w:spacing w:afterLines="50" w:after="156" w:line="480" w:lineRule="exact"/>
      <w:ind w:leftChars="0" w:left="0" w:rightChars="0" w:right="0"/>
      <w:jc w:val="both"/>
    </w:pPr>
    <w:rPr>
      <w:rFonts w:ascii="Times New Roman" w:eastAsia="宋体"/>
      <w:b/>
    </w:rPr>
  </w:style>
  <w:style w:type="paragraph" w:customStyle="1" w:styleId="bgt">
    <w:name w:val="bgt"/>
    <w:basedOn w:val="a2"/>
    <w:next w:val="a2"/>
    <w:uiPriority w:val="99"/>
    <w:qFormat/>
    <w:pPr>
      <w:spacing w:line="360" w:lineRule="auto"/>
      <w:ind w:right="480"/>
      <w:jc w:val="center"/>
    </w:pPr>
    <w:rPr>
      <w:rFonts w:ascii="宋体" w:hAnsi="宋体"/>
      <w:b/>
      <w:color w:val="000000"/>
      <w:sz w:val="24"/>
    </w:rPr>
  </w:style>
  <w:style w:type="paragraph" w:customStyle="1" w:styleId="GB231222">
    <w:name w:val="样式 正文文本缩进 + (中文) 楷体_GB2312 行距: 固定值 22 磅"/>
    <w:basedOn w:val="af5"/>
    <w:uiPriority w:val="99"/>
    <w:qFormat/>
    <w:pPr>
      <w:spacing w:after="0" w:line="440" w:lineRule="exact"/>
      <w:ind w:leftChars="0" w:left="0" w:firstLineChars="200" w:firstLine="560"/>
      <w:jc w:val="both"/>
    </w:pPr>
    <w:rPr>
      <w:rFonts w:eastAsia="楷体_GB2312"/>
      <w:sz w:val="28"/>
      <w:szCs w:val="20"/>
    </w:rPr>
  </w:style>
  <w:style w:type="paragraph" w:customStyle="1" w:styleId="2TimesNewRoman050">
    <w:name w:val="样式 样式 标题 2节 + (西文) Times New Roman (中文) 宋体 四号 段前: 0.5 行 段后: 0......"/>
    <w:basedOn w:val="a2"/>
    <w:qFormat/>
    <w:pPr>
      <w:keepNext/>
      <w:keepLines/>
      <w:numPr>
        <w:numId w:val="18"/>
      </w:numPr>
      <w:snapToGrid w:val="0"/>
      <w:outlineLvl w:val="1"/>
    </w:pPr>
    <w:rPr>
      <w:rFonts w:ascii="华文仿宋" w:eastAsia="华文仿宋" w:hAnsi="华文仿宋" w:cs="宋体"/>
      <w:b/>
      <w:bCs/>
      <w:szCs w:val="28"/>
    </w:rPr>
  </w:style>
  <w:style w:type="paragraph" w:customStyle="1" w:styleId="Titleu">
    <w:name w:val="Title_u"/>
    <w:basedOn w:val="a2"/>
    <w:uiPriority w:val="99"/>
    <w:qFormat/>
    <w:pPr>
      <w:overflowPunct w:val="0"/>
      <w:spacing w:before="120" w:after="120" w:line="360" w:lineRule="auto"/>
      <w:jc w:val="center"/>
      <w:textAlignment w:val="baseline"/>
    </w:pPr>
    <w:rPr>
      <w:rFonts w:ascii="黑体" w:eastAsia="黑体"/>
      <w:b/>
    </w:rPr>
  </w:style>
  <w:style w:type="paragraph" w:customStyle="1" w:styleId="affffffffffffffffffffffffffffff2">
    <w:name w:val="设样式三"/>
    <w:basedOn w:val="7"/>
    <w:uiPriority w:val="99"/>
    <w:qFormat/>
    <w:pPr>
      <w:tabs>
        <w:tab w:val="clear" w:pos="165"/>
      </w:tabs>
      <w:spacing w:before="0" w:after="0" w:line="360" w:lineRule="auto"/>
      <w:ind w:left="0" w:firstLine="0"/>
    </w:pPr>
    <w:rPr>
      <w:bCs/>
      <w:kern w:val="0"/>
      <w:szCs w:val="24"/>
    </w:rPr>
  </w:style>
  <w:style w:type="paragraph" w:customStyle="1" w:styleId="affffffffffffffffffffffffffffff3">
    <w:name w:val="三级无标题条"/>
    <w:basedOn w:val="a2"/>
    <w:qFormat/>
    <w:pPr>
      <w:tabs>
        <w:tab w:val="left" w:pos="2660"/>
      </w:tabs>
      <w:ind w:left="2660" w:hanging="420"/>
    </w:pPr>
    <w:rPr>
      <w:rFonts w:hAnsi="宋体"/>
    </w:rPr>
  </w:style>
  <w:style w:type="paragraph" w:customStyle="1" w:styleId="CharCharCharCharCharCharCharCharCharCharCharCharCharCharCharChar4">
    <w:name w:val="Char Char Char Char Char Char Char Char Char Char Char Char Char Char Char Char4"/>
    <w:basedOn w:val="a2"/>
    <w:uiPriority w:val="99"/>
    <w:qFormat/>
    <w:pPr>
      <w:jc w:val="both"/>
    </w:pPr>
  </w:style>
  <w:style w:type="paragraph" w:customStyle="1" w:styleId="3ffff3">
    <w:name w:val="样式标题3"/>
    <w:basedOn w:val="a2"/>
    <w:qFormat/>
    <w:pPr>
      <w:keepNext/>
      <w:keepLines/>
      <w:spacing w:line="336" w:lineRule="auto"/>
      <w:outlineLvl w:val="2"/>
    </w:pPr>
    <w:rPr>
      <w:rFonts w:cs="宋体"/>
      <w:bCs/>
      <w:sz w:val="30"/>
      <w:szCs w:val="30"/>
    </w:rPr>
  </w:style>
  <w:style w:type="paragraph" w:customStyle="1" w:styleId="Char1CharCharChar2">
    <w:name w:val="Char1 Char Char Char2"/>
    <w:basedOn w:val="a2"/>
    <w:uiPriority w:val="99"/>
    <w:qFormat/>
    <w:pPr>
      <w:jc w:val="both"/>
    </w:pPr>
  </w:style>
  <w:style w:type="paragraph" w:customStyle="1" w:styleId="3ffff4">
    <w:name w:val="表格3"/>
    <w:basedOn w:val="a2"/>
    <w:pPr>
      <w:widowControl/>
      <w:autoSpaceDE/>
      <w:autoSpaceDN/>
      <w:adjustRightInd/>
      <w:spacing w:line="276" w:lineRule="auto"/>
      <w:ind w:firstLineChars="200" w:firstLine="200"/>
      <w:jc w:val="center"/>
    </w:pPr>
    <w:rPr>
      <w:rFonts w:cs="黑体"/>
    </w:rPr>
  </w:style>
  <w:style w:type="paragraph" w:customStyle="1" w:styleId="OmniPage7">
    <w:name w:val="OmniPage #7"/>
    <w:basedOn w:val="a2"/>
    <w:uiPriority w:val="99"/>
    <w:qFormat/>
    <w:pPr>
      <w:spacing w:line="320" w:lineRule="exact"/>
    </w:pPr>
    <w:rPr>
      <w:sz w:val="20"/>
      <w:lang w:val="en-GB" w:eastAsia="en-US"/>
    </w:rPr>
  </w:style>
  <w:style w:type="paragraph" w:customStyle="1" w:styleId="jophy">
    <w:name w:val="表格头jophy"/>
    <w:basedOn w:val="a2"/>
    <w:uiPriority w:val="99"/>
    <w:qFormat/>
    <w:pPr>
      <w:snapToGrid w:val="0"/>
      <w:jc w:val="center"/>
      <w:textAlignment w:val="baseline"/>
    </w:pPr>
    <w:rPr>
      <w:b/>
      <w:bCs/>
      <w:spacing w:val="-10"/>
      <w:szCs w:val="28"/>
    </w:rPr>
  </w:style>
  <w:style w:type="paragraph" w:customStyle="1" w:styleId="section1">
    <w:name w:val="section1"/>
    <w:basedOn w:val="a2"/>
    <w:uiPriority w:val="99"/>
    <w:qFormat/>
    <w:pPr>
      <w:spacing w:before="100" w:after="100"/>
      <w:textAlignment w:val="baseline"/>
    </w:pPr>
    <w:rPr>
      <w:rFonts w:ascii="宋体" w:hAnsi="宋体"/>
      <w:sz w:val="24"/>
    </w:rPr>
  </w:style>
  <w:style w:type="paragraph" w:customStyle="1" w:styleId="affffffffffffffffffffffffffffff4">
    <w:name w:val="正文▲"/>
    <w:pPr>
      <w:spacing w:line="360" w:lineRule="auto"/>
      <w:ind w:firstLineChars="200" w:firstLine="200"/>
    </w:pPr>
    <w:rPr>
      <w:rFonts w:ascii="Times New Roman" w:eastAsia="宋体" w:hAnsi="Times New Roman" w:cs="Times New Roman"/>
      <w:color w:val="000000"/>
      <w:kern w:val="2"/>
      <w:sz w:val="24"/>
      <w:szCs w:val="24"/>
    </w:rPr>
  </w:style>
  <w:style w:type="paragraph" w:customStyle="1" w:styleId="Mytabletailer">
    <w:name w:val="My table tailer"/>
    <w:basedOn w:val="aff2"/>
    <w:uiPriority w:val="99"/>
    <w:qFormat/>
    <w:locked/>
    <w:pPr>
      <w:suppressAutoHyphens/>
      <w:spacing w:line="240" w:lineRule="auto"/>
    </w:pPr>
    <w:rPr>
      <w:rFonts w:ascii="宋体" w:eastAsia="宋体" w:hAnsi="宋体"/>
      <w:spacing w:val="-1"/>
      <w:kern w:val="0"/>
      <w:sz w:val="32"/>
      <w:szCs w:val="32"/>
    </w:rPr>
  </w:style>
  <w:style w:type="paragraph" w:customStyle="1" w:styleId="affffffffffffffffffffffffffffff5">
    <w:name w:val="大标题"/>
    <w:basedOn w:val="12"/>
    <w:uiPriority w:val="99"/>
    <w:qFormat/>
    <w:pPr>
      <w:tabs>
        <w:tab w:val="left" w:pos="8640"/>
      </w:tabs>
      <w:spacing w:before="340" w:afterLines="100" w:after="312" w:line="480" w:lineRule="auto"/>
      <w:ind w:firstLineChars="200" w:firstLine="200"/>
      <w:jc w:val="center"/>
      <w:textAlignment w:val="auto"/>
    </w:pPr>
    <w:rPr>
      <w:rFonts w:eastAsia="宋体"/>
      <w:b/>
      <w:color w:val="000000"/>
      <w:sz w:val="44"/>
      <w:szCs w:val="44"/>
    </w:rPr>
  </w:style>
  <w:style w:type="paragraph" w:customStyle="1" w:styleId="2420">
    <w:name w:val="样式 四号 行距: 固定值 24 磅 首行缩进:  2 字符"/>
    <w:basedOn w:val="a2"/>
    <w:qFormat/>
    <w:pPr>
      <w:spacing w:line="480" w:lineRule="exact"/>
      <w:ind w:firstLineChars="200" w:firstLine="200"/>
      <w:jc w:val="both"/>
    </w:pPr>
    <w:rPr>
      <w:rFonts w:cs="宋体"/>
    </w:rPr>
  </w:style>
  <w:style w:type="paragraph" w:customStyle="1" w:styleId="281">
    <w:name w:val="四号正文28"/>
    <w:basedOn w:val="a2"/>
    <w:uiPriority w:val="99"/>
    <w:qFormat/>
    <w:pPr>
      <w:spacing w:line="560" w:lineRule="exact"/>
      <w:ind w:leftChars="200" w:left="200"/>
      <w:jc w:val="both"/>
    </w:pPr>
    <w:rPr>
      <w:rFonts w:eastAsia="仿宋_GB2312"/>
      <w:bCs/>
      <w:szCs w:val="28"/>
    </w:rPr>
  </w:style>
  <w:style w:type="paragraph" w:customStyle="1" w:styleId="CharCharCharCharCharCharCharChar30">
    <w:name w:val="Char Char Char Char Char Char Char Char3"/>
    <w:basedOn w:val="a2"/>
    <w:uiPriority w:val="99"/>
    <w:qFormat/>
    <w:pPr>
      <w:jc w:val="both"/>
    </w:pPr>
    <w:rPr>
      <w:rFonts w:ascii="Times New Roman"/>
    </w:rPr>
  </w:style>
  <w:style w:type="paragraph" w:customStyle="1" w:styleId="417">
    <w:name w:val="小4黑居中行1"/>
    <w:uiPriority w:val="99"/>
    <w:qFormat/>
    <w:pPr>
      <w:widowControl w:val="0"/>
      <w:jc w:val="center"/>
    </w:pPr>
    <w:rPr>
      <w:rFonts w:ascii="Times New Roman" w:eastAsia="宋体" w:hAnsi="Times New Roman" w:cs="Times New Roman"/>
      <w:kern w:val="2"/>
      <w:sz w:val="24"/>
    </w:rPr>
  </w:style>
  <w:style w:type="paragraph" w:customStyle="1" w:styleId="1111111Charyjm1h11stlevelSection">
    <w:name w:val="样式 标题 1（安评1）章标题 1标题111标题 1 Char标题yjm1h11st levelSection ..."/>
    <w:basedOn w:val="12"/>
    <w:uiPriority w:val="99"/>
    <w:qFormat/>
    <w:pPr>
      <w:tabs>
        <w:tab w:val="left" w:pos="360"/>
        <w:tab w:val="left" w:pos="432"/>
      </w:tabs>
      <w:ind w:left="432" w:hanging="432"/>
      <w:jc w:val="both"/>
      <w:textAlignment w:val="auto"/>
    </w:pPr>
    <w:rPr>
      <w:rFonts w:eastAsia="宋体" w:cs="宋体"/>
      <w:b/>
      <w:bCs w:val="0"/>
      <w:sz w:val="44"/>
      <w:szCs w:val="44"/>
    </w:rPr>
  </w:style>
  <w:style w:type="paragraph" w:customStyle="1" w:styleId="2fffffd">
    <w:name w:val="样2"/>
    <w:basedOn w:val="a2"/>
    <w:next w:val="a2"/>
    <w:pPr>
      <w:autoSpaceDE/>
      <w:autoSpaceDN/>
      <w:spacing w:line="360" w:lineRule="auto"/>
      <w:ind w:firstLineChars="200" w:firstLine="200"/>
      <w:jc w:val="center"/>
      <w:textAlignment w:val="baseline"/>
    </w:pPr>
  </w:style>
  <w:style w:type="paragraph" w:customStyle="1" w:styleId="ParaCharCharCharCharCharCharChar">
    <w:name w:val="默认段落字体 Para Char Char Char Char Char Char Char"/>
    <w:basedOn w:val="a2"/>
    <w:qFormat/>
    <w:pPr>
      <w:spacing w:line="360" w:lineRule="auto"/>
    </w:pPr>
    <w:rPr>
      <w:sz w:val="24"/>
    </w:rPr>
  </w:style>
  <w:style w:type="paragraph" w:customStyle="1" w:styleId="333">
    <w:name w:val="正文33"/>
    <w:qFormat/>
    <w:pPr>
      <w:widowControl w:val="0"/>
      <w:adjustRightInd w:val="0"/>
      <w:spacing w:beforeLines="50" w:before="50" w:afterLines="50" w:after="50" w:line="360" w:lineRule="atLeast"/>
      <w:ind w:firstLineChars="40" w:firstLine="40"/>
      <w:textAlignment w:val="baseline"/>
    </w:pPr>
    <w:rPr>
      <w:rFonts w:ascii="Times New Roman" w:eastAsia="宋体" w:hAnsi="Times New Roman" w:cs="Times New Roman"/>
      <w:sz w:val="34"/>
    </w:rPr>
  </w:style>
  <w:style w:type="paragraph" w:customStyle="1" w:styleId="affffffffffffffffffffffffffffff6">
    <w:name w:val="表内式样"/>
    <w:uiPriority w:val="99"/>
    <w:qFormat/>
    <w:pPr>
      <w:widowControl w:val="0"/>
      <w:adjustRightInd w:val="0"/>
      <w:jc w:val="center"/>
      <w:textAlignment w:val="baseline"/>
    </w:pPr>
    <w:rPr>
      <w:rFonts w:ascii="Times New Roman" w:eastAsia="宋体" w:hAnsi="Times New Roman" w:cs="Times New Roman"/>
      <w:kern w:val="2"/>
      <w:sz w:val="21"/>
    </w:rPr>
  </w:style>
  <w:style w:type="paragraph" w:customStyle="1" w:styleId="p100">
    <w:name w:val="p10"/>
    <w:basedOn w:val="a2"/>
    <w:uiPriority w:val="99"/>
    <w:qFormat/>
    <w:pPr>
      <w:spacing w:before="100" w:beforeAutospacing="1" w:after="100" w:afterAutospacing="1"/>
    </w:pPr>
    <w:rPr>
      <w:rFonts w:ascii="Arial Unicode MS" w:hAnsi="Arial Unicode MS"/>
      <w:sz w:val="24"/>
    </w:rPr>
  </w:style>
  <w:style w:type="paragraph" w:customStyle="1" w:styleId="CharCharChar1CharCharCharCharCharCharCharCharCharCharCharCharChar1">
    <w:name w:val="Char Char Char1 Char Char Char Char Char Char Char Char Char Char Char Char Char1"/>
    <w:basedOn w:val="a2"/>
    <w:uiPriority w:val="99"/>
    <w:qFormat/>
    <w:pPr>
      <w:jc w:val="both"/>
    </w:pPr>
    <w:rPr>
      <w:sz w:val="24"/>
    </w:rPr>
  </w:style>
  <w:style w:type="paragraph" w:customStyle="1" w:styleId="CharCharCharCharCharCharChar70">
    <w:name w:val="Char Char Char Char Char Char Char7"/>
    <w:basedOn w:val="a2"/>
    <w:pPr>
      <w:spacing w:line="360" w:lineRule="auto"/>
      <w:ind w:firstLineChars="200" w:firstLine="200"/>
      <w:jc w:val="both"/>
    </w:pPr>
    <w:rPr>
      <w:rFonts w:ascii="宋体" w:hAnsi="宋体" w:cs="宋体"/>
      <w:sz w:val="24"/>
    </w:rPr>
  </w:style>
  <w:style w:type="paragraph" w:customStyle="1" w:styleId="147">
    <w:name w:val="14"/>
    <w:basedOn w:val="a2"/>
    <w:next w:val="af5"/>
    <w:qFormat/>
    <w:pPr>
      <w:spacing w:line="500" w:lineRule="exact"/>
      <w:ind w:firstLineChars="200" w:firstLine="560"/>
      <w:jc w:val="both"/>
    </w:pPr>
    <w:rPr>
      <w:rFonts w:ascii="仿宋_GB2312" w:eastAsia="仿宋_GB2312"/>
      <w:color w:val="FF0000"/>
    </w:rPr>
  </w:style>
  <w:style w:type="paragraph" w:customStyle="1" w:styleId="w">
    <w:name w:val="w"/>
    <w:basedOn w:val="a2"/>
    <w:uiPriority w:val="99"/>
    <w:qFormat/>
    <w:pPr>
      <w:spacing w:line="360" w:lineRule="auto"/>
      <w:ind w:firstLine="200"/>
      <w:jc w:val="both"/>
      <w:textAlignment w:val="baseline"/>
    </w:pPr>
    <w:rPr>
      <w:color w:val="000000"/>
      <w:sz w:val="30"/>
    </w:rPr>
  </w:style>
  <w:style w:type="paragraph" w:customStyle="1" w:styleId="p17">
    <w:name w:val="p17"/>
    <w:basedOn w:val="a2"/>
    <w:qFormat/>
    <w:pPr>
      <w:widowControl/>
      <w:snapToGrid w:val="0"/>
      <w:spacing w:line="500" w:lineRule="atLeast"/>
    </w:pPr>
    <w:rPr>
      <w:rFonts w:ascii="宋体" w:hAnsi="宋体" w:cs="宋体"/>
      <w:color w:val="FF0000"/>
      <w:szCs w:val="28"/>
    </w:rPr>
  </w:style>
  <w:style w:type="paragraph" w:customStyle="1" w:styleId="CharCharCharCharCharCharCharCharCharCharCharCharChar4">
    <w:name w:val="Char Char Char Char Char Char Char Char Char Char Char Char Char4"/>
    <w:basedOn w:val="a2"/>
    <w:uiPriority w:val="99"/>
    <w:qFormat/>
    <w:pPr>
      <w:jc w:val="both"/>
    </w:pPr>
    <w:rPr>
      <w:sz w:val="24"/>
    </w:rPr>
  </w:style>
  <w:style w:type="paragraph" w:customStyle="1" w:styleId="05782205">
    <w:name w:val="样式 样式 段前: 0.5 行 段后: 7.8 磅 首行缩进:  2 字符 + 首行缩进:  2 字符 段前: 0.5 行"/>
    <w:basedOn w:val="a2"/>
    <w:pPr>
      <w:autoSpaceDE/>
      <w:autoSpaceDN/>
      <w:adjustRightInd/>
      <w:spacing w:beforeLines="50" w:line="360" w:lineRule="auto"/>
      <w:ind w:firstLineChars="200" w:firstLine="200"/>
      <w:jc w:val="both"/>
    </w:pPr>
    <w:rPr>
      <w:rFonts w:cs="宋体"/>
    </w:rPr>
  </w:style>
  <w:style w:type="paragraph" w:customStyle="1" w:styleId="affffffffffffffffffffffffffffff7">
    <w:name w:val="框图字"/>
    <w:basedOn w:val="a2"/>
    <w:uiPriority w:val="99"/>
    <w:qFormat/>
    <w:pPr>
      <w:snapToGrid w:val="0"/>
      <w:jc w:val="both"/>
    </w:pPr>
    <w:rPr>
      <w:rFonts w:ascii="宋体" w:cs="宋体"/>
      <w:sz w:val="18"/>
      <w:szCs w:val="18"/>
    </w:rPr>
  </w:style>
  <w:style w:type="paragraph" w:customStyle="1" w:styleId="Char4CharCharChar4">
    <w:name w:val="Char4 Char Char Char4"/>
    <w:basedOn w:val="a2"/>
    <w:pPr>
      <w:jc w:val="both"/>
    </w:pPr>
    <w:rPr>
      <w:sz w:val="24"/>
    </w:rPr>
  </w:style>
  <w:style w:type="paragraph" w:customStyle="1" w:styleId="P20">
    <w:name w:val="P2"/>
    <w:uiPriority w:val="99"/>
    <w:qFormat/>
    <w:pPr>
      <w:widowControl w:val="0"/>
      <w:adjustRightInd w:val="0"/>
      <w:spacing w:after="240" w:line="0" w:lineRule="atLeast"/>
      <w:ind w:left="720"/>
      <w:jc w:val="both"/>
      <w:textAlignment w:val="baseline"/>
    </w:pPr>
    <w:rPr>
      <w:rFonts w:ascii="Times New Roman" w:eastAsia="宋体" w:hAnsi="Times New Roman" w:cs="Times New Roman"/>
      <w:spacing w:val="20"/>
      <w:sz w:val="24"/>
      <w:lang w:val="en-GB"/>
    </w:rPr>
  </w:style>
  <w:style w:type="paragraph" w:customStyle="1" w:styleId="4TimesNewRoman0">
    <w:name w:val="样式 样式 标题 4 + Times New Roman + 非加粗"/>
    <w:basedOn w:val="a2"/>
    <w:next w:val="a2"/>
    <w:uiPriority w:val="99"/>
    <w:qFormat/>
    <w:pPr>
      <w:keepNext/>
      <w:keepLines/>
      <w:tabs>
        <w:tab w:val="left" w:pos="1080"/>
      </w:tabs>
      <w:spacing w:before="280" w:after="290" w:line="376" w:lineRule="auto"/>
      <w:jc w:val="both"/>
      <w:outlineLvl w:val="3"/>
    </w:pPr>
    <w:rPr>
      <w:rFonts w:eastAsia="仿宋_GB2312"/>
      <w:szCs w:val="28"/>
    </w:rPr>
  </w:style>
  <w:style w:type="paragraph" w:customStyle="1" w:styleId="Normal33">
    <w:name w:val="Normal_33"/>
    <w:pPr>
      <w:spacing w:before="120" w:after="240"/>
      <w:jc w:val="both"/>
    </w:pPr>
    <w:rPr>
      <w:rFonts w:ascii="Times New Roman" w:eastAsia="Calibri" w:hAnsi="Times New Roman" w:cs="Times New Roman"/>
      <w:sz w:val="22"/>
      <w:szCs w:val="21"/>
      <w:lang w:val="ru-RU" w:eastAsia="en-US"/>
    </w:rPr>
  </w:style>
  <w:style w:type="paragraph" w:customStyle="1" w:styleId="1ffffffff7">
    <w:name w:val="无间隔1"/>
    <w:next w:val="a2"/>
    <w:qFormat/>
    <w:pPr>
      <w:widowControl w:val="0"/>
      <w:jc w:val="both"/>
    </w:pPr>
    <w:rPr>
      <w:rFonts w:ascii="Times New Roman" w:eastAsia="宋体" w:hAnsi="Times New Roman" w:cs="Times New Roman"/>
      <w:kern w:val="2"/>
      <w:sz w:val="21"/>
      <w:szCs w:val="21"/>
    </w:rPr>
  </w:style>
  <w:style w:type="paragraph" w:customStyle="1" w:styleId="CharCharCharCharCharCharCharCharCharChar1CharCharChar2">
    <w:name w:val="Char Char Char Char Char Char Char Char Char Char1 Char Char Char2"/>
    <w:basedOn w:val="a2"/>
    <w:uiPriority w:val="99"/>
    <w:qFormat/>
    <w:pPr>
      <w:spacing w:line="240" w:lineRule="exact"/>
      <w:ind w:firstLineChars="200" w:firstLine="200"/>
      <w:jc w:val="both"/>
    </w:pPr>
    <w:rPr>
      <w:rFonts w:ascii="Times New Roman"/>
      <w:szCs w:val="28"/>
    </w:rPr>
  </w:style>
  <w:style w:type="paragraph" w:customStyle="1" w:styleId="-02-02">
    <w:name w:val="样式 表 + 左侧:  -0.2 字符 右侧:  -0.2 字符"/>
    <w:basedOn w:val="9"/>
    <w:uiPriority w:val="99"/>
    <w:qFormat/>
    <w:pPr>
      <w:keepNext w:val="0"/>
      <w:keepLines w:val="0"/>
      <w:pBdr>
        <w:top w:val="single" w:sz="12" w:space="1" w:color="auto"/>
        <w:left w:val="single" w:sz="12" w:space="4" w:color="auto"/>
        <w:bottom w:val="single" w:sz="12" w:space="1" w:color="auto"/>
        <w:right w:val="single" w:sz="12" w:space="4" w:color="auto"/>
      </w:pBdr>
      <w:tabs>
        <w:tab w:val="clear" w:pos="165"/>
      </w:tabs>
      <w:spacing w:before="0" w:after="0" w:line="240" w:lineRule="auto"/>
      <w:ind w:leftChars="-20" w:left="-20" w:rightChars="-20" w:right="-20" w:firstLine="19"/>
      <w:jc w:val="center"/>
      <w:textAlignment w:val="baseline"/>
      <w:outlineLvl w:val="9"/>
    </w:pPr>
    <w:rPr>
      <w:rFonts w:eastAsia="仿宋_GB2312" w:cs="宋体"/>
      <w:snapToGrid w:val="0"/>
      <w:kern w:val="0"/>
    </w:rPr>
  </w:style>
  <w:style w:type="paragraph" w:customStyle="1" w:styleId="affffffffffffffffffffffffffffff8">
    <w:name w:val="表格_表头"/>
    <w:next w:val="a2"/>
    <w:uiPriority w:val="99"/>
    <w:qFormat/>
    <w:pPr>
      <w:adjustRightInd w:val="0"/>
      <w:spacing w:line="360" w:lineRule="auto"/>
      <w:jc w:val="center"/>
      <w:textAlignment w:val="baseline"/>
    </w:pPr>
    <w:rPr>
      <w:rFonts w:ascii="Times New Roman" w:eastAsia="宋体" w:hAnsi="Times New Roman" w:cs="Times New Roman"/>
      <w:sz w:val="24"/>
    </w:rPr>
  </w:style>
  <w:style w:type="paragraph" w:customStyle="1" w:styleId="2fffffe">
    <w:name w:val="样式 首行缩进 + 四号 首行缩进:  2 字符"/>
    <w:basedOn w:val="afffffffffffffffff2"/>
    <w:qFormat/>
    <w:pPr>
      <w:snapToGrid w:val="0"/>
      <w:ind w:firstLine="482"/>
    </w:pPr>
    <w:rPr>
      <w:rFonts w:ascii="宋体" w:hAnsi="宋体" w:cs="宋体"/>
      <w:b/>
      <w:lang w:val="en-GB"/>
    </w:rPr>
  </w:style>
  <w:style w:type="paragraph" w:customStyle="1" w:styleId="xl37">
    <w:name w:val="xl3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olor w:val="000000"/>
      <w:sz w:val="24"/>
    </w:rPr>
  </w:style>
  <w:style w:type="paragraph" w:customStyle="1" w:styleId="ParaChar">
    <w:name w:val="默认段落字体 Para Char"/>
    <w:basedOn w:val="a2"/>
    <w:qFormat/>
    <w:rPr>
      <w:sz w:val="24"/>
    </w:rPr>
  </w:style>
  <w:style w:type="paragraph" w:customStyle="1" w:styleId="affffffffffffffffffffffffffffff9">
    <w:name w:val="表中"/>
    <w:basedOn w:val="a2"/>
    <w:uiPriority w:val="99"/>
    <w:qFormat/>
    <w:pPr>
      <w:snapToGrid w:val="0"/>
      <w:jc w:val="center"/>
    </w:pPr>
    <w:rPr>
      <w:snapToGrid w:val="0"/>
    </w:rPr>
  </w:style>
  <w:style w:type="paragraph" w:customStyle="1" w:styleId="xl48">
    <w:name w:val="xl48"/>
    <w:basedOn w:val="a2"/>
    <w:qFormat/>
    <w:pPr>
      <w:widowControl/>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color w:val="000000"/>
      <w:sz w:val="24"/>
    </w:rPr>
  </w:style>
  <w:style w:type="paragraph" w:customStyle="1" w:styleId="tdbig">
    <w:name w:val="tdbig"/>
    <w:basedOn w:val="a2"/>
    <w:uiPriority w:val="99"/>
    <w:qFormat/>
    <w:pPr>
      <w:snapToGrid w:val="0"/>
      <w:spacing w:before="100" w:beforeAutospacing="1" w:after="100" w:afterAutospacing="1" w:line="270" w:lineRule="atLeast"/>
      <w:ind w:firstLineChars="200" w:firstLine="200"/>
    </w:pPr>
    <w:rPr>
      <w:rFonts w:ascii="Georgia" w:hAnsi="Georgia"/>
      <w:color w:val="2B4F91"/>
      <w:spacing w:val="15"/>
      <w:sz w:val="24"/>
    </w:rPr>
  </w:style>
  <w:style w:type="paragraph" w:customStyle="1" w:styleId="1ffffffff8">
    <w:name w:val="样式1.....表格"/>
    <w:basedOn w:val="a2"/>
    <w:next w:val="a2"/>
    <w:qFormat/>
    <w:pPr>
      <w:jc w:val="center"/>
    </w:pPr>
    <w:rPr>
      <w:sz w:val="24"/>
    </w:rPr>
  </w:style>
  <w:style w:type="paragraph" w:customStyle="1" w:styleId="CharChar1Char4">
    <w:name w:val="Char Char1 Char4"/>
    <w:basedOn w:val="a2"/>
    <w:qFormat/>
    <w:pPr>
      <w:jc w:val="both"/>
    </w:pPr>
  </w:style>
  <w:style w:type="paragraph" w:customStyle="1" w:styleId="253">
    <w:name w:val="样式 报告 + 行距: 固定值 25 磅"/>
    <w:basedOn w:val="a2"/>
    <w:uiPriority w:val="99"/>
    <w:qFormat/>
    <w:pPr>
      <w:spacing w:line="500" w:lineRule="exact"/>
      <w:ind w:firstLineChars="200" w:firstLine="560"/>
      <w:jc w:val="both"/>
      <w:textAlignment w:val="center"/>
    </w:pPr>
    <w:rPr>
      <w:rFonts w:ascii="TimesNewRoman" w:hAnsi="TimesNewRoman" w:cs="宋体"/>
      <w:szCs w:val="28"/>
    </w:rPr>
  </w:style>
  <w:style w:type="paragraph" w:customStyle="1" w:styleId="123-II">
    <w:name w:val="文本123-II"/>
    <w:basedOn w:val="41"/>
    <w:uiPriority w:val="99"/>
    <w:qFormat/>
    <w:pPr>
      <w:keepNext w:val="0"/>
      <w:keepLines w:val="0"/>
      <w:tabs>
        <w:tab w:val="left" w:pos="0"/>
      </w:tabs>
      <w:spacing w:beforeLines="0" w:before="50" w:line="240" w:lineRule="auto"/>
      <w:ind w:leftChars="0" w:left="0" w:rightChars="0" w:right="0"/>
      <w:jc w:val="both"/>
    </w:pPr>
    <w:rPr>
      <w:rFonts w:ascii="Times New Roman" w:eastAsia="宋体"/>
      <w:bCs w:val="0"/>
      <w:sz w:val="24"/>
      <w:szCs w:val="20"/>
    </w:rPr>
  </w:style>
  <w:style w:type="paragraph" w:customStyle="1" w:styleId="affffffffffffffffffffffffffffffa">
    <w:name w:val="宋体+小四"/>
    <w:basedOn w:val="a2"/>
    <w:pPr>
      <w:autoSpaceDE/>
      <w:autoSpaceDN/>
      <w:adjustRightInd/>
      <w:spacing w:line="360" w:lineRule="auto"/>
      <w:ind w:firstLineChars="200" w:firstLine="200"/>
      <w:jc w:val="both"/>
    </w:pPr>
    <w:rPr>
      <w:rFonts w:ascii="宋体" w:hAnsi="宋体"/>
    </w:rPr>
  </w:style>
  <w:style w:type="paragraph" w:customStyle="1" w:styleId="17132">
    <w:name w:val="样式 首行缩进:  1.71 字符32"/>
    <w:basedOn w:val="a2"/>
    <w:uiPriority w:val="99"/>
    <w:qFormat/>
    <w:pPr>
      <w:spacing w:line="360" w:lineRule="auto"/>
      <w:ind w:firstLineChars="200" w:firstLine="480"/>
      <w:jc w:val="both"/>
    </w:pPr>
    <w:rPr>
      <w:sz w:val="24"/>
    </w:rPr>
  </w:style>
  <w:style w:type="paragraph" w:customStyle="1" w:styleId="affffffffffffffffffffffffffffffb">
    <w:name w:val="表的正文"/>
    <w:basedOn w:val="a2"/>
    <w:uiPriority w:val="99"/>
    <w:qFormat/>
    <w:pPr>
      <w:spacing w:line="400" w:lineRule="atLeast"/>
      <w:ind w:leftChars="100" w:left="100" w:rightChars="100" w:right="100" w:firstLine="482"/>
      <w:jc w:val="both"/>
    </w:pPr>
    <w:rPr>
      <w:rFonts w:ascii="仿宋_GB2312" w:eastAsia="仿宋_GB2312" w:hAnsi="宋体" w:hint="eastAsia"/>
      <w:sz w:val="24"/>
    </w:rPr>
  </w:style>
  <w:style w:type="paragraph" w:customStyle="1" w:styleId="newscontl">
    <w:name w:val="newscontl"/>
    <w:basedOn w:val="a2"/>
    <w:uiPriority w:val="99"/>
    <w:qFormat/>
    <w:pPr>
      <w:spacing w:before="100" w:beforeAutospacing="1" w:after="100" w:afterAutospacing="1"/>
    </w:pPr>
    <w:rPr>
      <w:rFonts w:ascii="宋体" w:hAnsi="宋体" w:cs="宋体"/>
      <w:color w:val="000000"/>
      <w:sz w:val="24"/>
    </w:rPr>
  </w:style>
  <w:style w:type="paragraph" w:customStyle="1" w:styleId="affffffffffffffffffffffffffffffc">
    <w:name w:val="表前文字"/>
    <w:basedOn w:val="a2"/>
    <w:qFormat/>
    <w:pPr>
      <w:jc w:val="center"/>
    </w:pPr>
    <w:rPr>
      <w:rFonts w:ascii="宋体" w:hAnsi="宋体"/>
      <w:sz w:val="24"/>
    </w:rPr>
  </w:style>
  <w:style w:type="paragraph" w:customStyle="1" w:styleId="CharCharCharCharCharCharCharCharChar1CharCharCharCharCharChar5">
    <w:name w:val="Char Char Char Char Char Char Char Char Char1 Char Char Char Char Char Char5"/>
    <w:basedOn w:val="a2"/>
    <w:qFormat/>
    <w:rPr>
      <w:sz w:val="24"/>
    </w:rPr>
  </w:style>
  <w:style w:type="paragraph" w:customStyle="1" w:styleId="Char1CharChar2">
    <w:name w:val="Char1 Char Char2"/>
    <w:basedOn w:val="a2"/>
    <w:uiPriority w:val="99"/>
    <w:qFormat/>
    <w:pPr>
      <w:jc w:val="both"/>
    </w:pPr>
    <w:rPr>
      <w:rFonts w:ascii="Times New Roman"/>
    </w:rPr>
  </w:style>
  <w:style w:type="paragraph" w:customStyle="1" w:styleId="4fb">
    <w:name w:val="(文字) (文字)4"/>
    <w:basedOn w:val="a2"/>
    <w:uiPriority w:val="99"/>
    <w:qFormat/>
    <w:pPr>
      <w:jc w:val="both"/>
    </w:pPr>
    <w:rPr>
      <w:sz w:val="24"/>
    </w:rPr>
  </w:style>
  <w:style w:type="paragraph" w:customStyle="1" w:styleId="Char4CharCharCharCharChar3">
    <w:name w:val="Char4 Char Char Char Char Char3"/>
    <w:basedOn w:val="a2"/>
    <w:uiPriority w:val="99"/>
    <w:qFormat/>
    <w:pPr>
      <w:jc w:val="both"/>
    </w:pPr>
  </w:style>
  <w:style w:type="paragraph" w:customStyle="1" w:styleId="mytable">
    <w:name w:val="my table"/>
    <w:basedOn w:val="affffd"/>
    <w:uiPriority w:val="99"/>
    <w:qFormat/>
    <w:locked/>
    <w:pPr>
      <w:spacing w:line="240" w:lineRule="exact"/>
      <w:jc w:val="both"/>
      <w:textAlignment w:val="auto"/>
    </w:pPr>
    <w:rPr>
      <w:szCs w:val="20"/>
    </w:rPr>
  </w:style>
  <w:style w:type="paragraph" w:customStyle="1" w:styleId="228">
    <w:name w:val="样式 样式 样式 首行缩进:  2 字符 + 首行缩进:  2 字符 + 居中 行距: 单倍行距"/>
    <w:basedOn w:val="a2"/>
    <w:pPr>
      <w:autoSpaceDE/>
      <w:autoSpaceDN/>
      <w:adjustRightInd/>
      <w:snapToGrid w:val="0"/>
      <w:spacing w:line="360" w:lineRule="auto"/>
      <w:ind w:firstLineChars="200" w:firstLine="200"/>
      <w:jc w:val="center"/>
    </w:pPr>
    <w:rPr>
      <w:rFonts w:ascii="宋体" w:hAnsi="宋体" w:cs="宋体"/>
      <w:color w:val="000000"/>
    </w:rPr>
  </w:style>
  <w:style w:type="paragraph" w:customStyle="1" w:styleId="affffffffffffffffffffffffffffffd">
    <w:name w:val="封面标准文稿类别"/>
    <w:uiPriority w:val="99"/>
    <w:qFormat/>
    <w:pPr>
      <w:spacing w:before="440" w:line="400" w:lineRule="exact"/>
      <w:jc w:val="center"/>
    </w:pPr>
    <w:rPr>
      <w:rFonts w:ascii="Times New Roman" w:eastAsia="宋体" w:hAnsi="Times New Roman" w:cs="Times New Roman"/>
      <w:sz w:val="24"/>
    </w:rPr>
  </w:style>
  <w:style w:type="paragraph" w:customStyle="1" w:styleId="221121TimesNewRoman8">
    <w:name w:val="样式 标题 2标题 21标题 121 + Times New Roman 小三 非加粗 黑色 段前: 8 磅 段..."/>
    <w:basedOn w:val="22"/>
    <w:uiPriority w:val="99"/>
    <w:qFormat/>
    <w:pPr>
      <w:tabs>
        <w:tab w:val="left" w:pos="360"/>
      </w:tabs>
      <w:spacing w:before="160" w:after="160" w:line="240" w:lineRule="auto"/>
      <w:jc w:val="both"/>
    </w:pPr>
    <w:rPr>
      <w:rFonts w:ascii="黑体" w:eastAsia="黑体" w:hAnsi="Times New Roman" w:cs="Times New Roman"/>
      <w:b w:val="0"/>
      <w:color w:val="000000"/>
      <w:sz w:val="30"/>
      <w:szCs w:val="30"/>
    </w:rPr>
  </w:style>
  <w:style w:type="paragraph" w:customStyle="1" w:styleId="229">
    <w:name w:val="正文文本22"/>
    <w:basedOn w:val="a2"/>
    <w:uiPriority w:val="99"/>
    <w:qFormat/>
    <w:pPr>
      <w:spacing w:line="360" w:lineRule="auto"/>
      <w:ind w:firstLineChars="200" w:firstLine="480"/>
      <w:jc w:val="both"/>
    </w:pPr>
    <w:rPr>
      <w:rFonts w:ascii="宋体" w:cs="宋体"/>
      <w:sz w:val="24"/>
    </w:rPr>
  </w:style>
  <w:style w:type="paragraph" w:customStyle="1" w:styleId="CharCharCharCharChar1Char2">
    <w:name w:val="Char Char Char Char Char1 Char2"/>
    <w:basedOn w:val="a2"/>
    <w:uiPriority w:val="99"/>
    <w:qFormat/>
    <w:pPr>
      <w:jc w:val="both"/>
    </w:pPr>
    <w:rPr>
      <w:rFonts w:ascii="Times New Roman"/>
    </w:rPr>
  </w:style>
  <w:style w:type="paragraph" w:customStyle="1" w:styleId="CharChar5CharChar2">
    <w:name w:val="Char Char5 Char Char2"/>
    <w:basedOn w:val="a2"/>
    <w:pPr>
      <w:spacing w:line="360" w:lineRule="auto"/>
      <w:ind w:firstLineChars="200" w:firstLine="200"/>
      <w:jc w:val="both"/>
    </w:pPr>
    <w:rPr>
      <w:rFonts w:ascii="宋体" w:hAnsi="宋体" w:cs="宋体"/>
      <w:sz w:val="24"/>
    </w:rPr>
  </w:style>
  <w:style w:type="paragraph" w:customStyle="1" w:styleId="CharCharCharCharCharCharCharCharChar1CharCharCharCharCharChar10">
    <w:name w:val="Char Char Char Char Char Char Char Char Char1 Char Char Char Char Char Char10"/>
    <w:basedOn w:val="a2"/>
    <w:pPr>
      <w:jc w:val="both"/>
    </w:pPr>
  </w:style>
  <w:style w:type="paragraph" w:customStyle="1" w:styleId="12f9">
    <w:name w:val="批注框文本12"/>
    <w:basedOn w:val="a2"/>
    <w:qFormat/>
    <w:pPr>
      <w:spacing w:after="120" w:line="440" w:lineRule="exact"/>
      <w:jc w:val="both"/>
    </w:pPr>
    <w:rPr>
      <w:rFonts w:hAnsi="Arial" w:hint="eastAsia"/>
      <w:sz w:val="18"/>
    </w:rPr>
  </w:style>
  <w:style w:type="paragraph" w:customStyle="1" w:styleId="affffffffffffffffffffffffffffffe">
    <w:name w:val="注"/>
    <w:basedOn w:val="a2"/>
    <w:next w:val="a2"/>
    <w:qFormat/>
    <w:pPr>
      <w:spacing w:before="60" w:after="60" w:line="312" w:lineRule="auto"/>
      <w:jc w:val="both"/>
    </w:pPr>
    <w:rPr>
      <w:rFonts w:eastAsia="黑体"/>
    </w:rPr>
  </w:style>
  <w:style w:type="paragraph" w:customStyle="1" w:styleId="afffffffffffffffffffffffffffffff">
    <w:name w:val="标准正文"/>
    <w:basedOn w:val="a2"/>
    <w:uiPriority w:val="99"/>
    <w:qFormat/>
    <w:pPr>
      <w:tabs>
        <w:tab w:val="left" w:pos="5580"/>
      </w:tabs>
      <w:topLinePunct/>
      <w:spacing w:line="360" w:lineRule="auto"/>
      <w:ind w:firstLineChars="200" w:firstLine="560"/>
      <w:jc w:val="both"/>
    </w:pPr>
    <w:rPr>
      <w:rFonts w:ascii="宋体" w:hAnsi="宋体"/>
    </w:rPr>
  </w:style>
  <w:style w:type="paragraph" w:customStyle="1" w:styleId="afffffffffffffffffffffffffffffff0">
    <w:name w:val="英方字母"/>
    <w:basedOn w:val="a2"/>
    <w:uiPriority w:val="99"/>
    <w:qFormat/>
    <w:pPr>
      <w:tabs>
        <w:tab w:val="left" w:pos="360"/>
      </w:tabs>
      <w:spacing w:line="360" w:lineRule="auto"/>
      <w:jc w:val="both"/>
    </w:pPr>
    <w:rPr>
      <w:rFonts w:ascii="Bookman Old Style" w:hAnsi="Bookman Old Style" w:cs="Bookman Old Style"/>
      <w:sz w:val="24"/>
    </w:rPr>
  </w:style>
  <w:style w:type="paragraph" w:customStyle="1" w:styleId="1ffffffff9">
    <w:name w:val="1级标题"/>
    <w:basedOn w:val="12"/>
    <w:qFormat/>
    <w:pPr>
      <w:keepNext w:val="0"/>
      <w:keepLines w:val="0"/>
      <w:textAlignment w:val="auto"/>
    </w:pPr>
    <w:rPr>
      <w:rFonts w:ascii="黑体"/>
      <w:sz w:val="30"/>
      <w:szCs w:val="30"/>
    </w:rPr>
  </w:style>
  <w:style w:type="paragraph" w:customStyle="1" w:styleId="afffffffffffffffffffffffffffffff1">
    <w:name w:val="右侧"/>
    <w:uiPriority w:val="99"/>
    <w:semiHidden/>
    <w:qFormat/>
    <w:pPr>
      <w:spacing w:line="280" w:lineRule="exact"/>
      <w:jc w:val="right"/>
    </w:pPr>
    <w:rPr>
      <w:rFonts w:ascii="Batang" w:eastAsia="宋体" w:hAnsi="Batang" w:cs="Times New Roman"/>
      <w:color w:val="000000"/>
      <w:sz w:val="18"/>
    </w:rPr>
  </w:style>
  <w:style w:type="paragraph" w:customStyle="1" w:styleId="afffffffffffffffffffffffffffffff2">
    <w:name w:val="表格两端对齐"/>
    <w:basedOn w:val="afffffffffffffffffffff9"/>
    <w:qFormat/>
    <w:pPr>
      <w:spacing w:line="360" w:lineRule="auto"/>
    </w:pPr>
  </w:style>
  <w:style w:type="paragraph" w:customStyle="1" w:styleId="afffffffffffffffffffffffffffffff3">
    <w:name w:val="课题申报正文"/>
    <w:basedOn w:val="a2"/>
    <w:uiPriority w:val="99"/>
    <w:qFormat/>
    <w:pPr>
      <w:spacing w:line="400" w:lineRule="exact"/>
      <w:ind w:right="57" w:firstLineChars="200" w:firstLine="200"/>
      <w:jc w:val="both"/>
    </w:pPr>
    <w:rPr>
      <w:sz w:val="24"/>
    </w:rPr>
  </w:style>
  <w:style w:type="paragraph" w:customStyle="1" w:styleId="4717824">
    <w:name w:val="样式 宋体 四号 悬挂缩进: 4.71 字符 段前: 7.8 磅 行距: 固定值 24 磅"/>
    <w:basedOn w:val="a2"/>
    <w:uiPriority w:val="99"/>
    <w:qFormat/>
    <w:pPr>
      <w:spacing w:before="156" w:line="480" w:lineRule="exact"/>
      <w:ind w:leftChars="240" w:left="1823" w:hangingChars="471" w:hanging="1319"/>
      <w:jc w:val="both"/>
    </w:pPr>
    <w:rPr>
      <w:rFonts w:ascii="宋体" w:cs="宋体"/>
      <w:sz w:val="24"/>
    </w:rPr>
  </w:style>
  <w:style w:type="paragraph" w:customStyle="1" w:styleId="unnamed1">
    <w:name w:val="unnamed1"/>
    <w:basedOn w:val="a2"/>
    <w:uiPriority w:val="99"/>
    <w:qFormat/>
    <w:pPr>
      <w:snapToGrid w:val="0"/>
      <w:spacing w:before="100" w:beforeAutospacing="1" w:after="100" w:afterAutospacing="1" w:line="360" w:lineRule="auto"/>
      <w:ind w:firstLineChars="200" w:firstLine="200"/>
    </w:pPr>
    <w:rPr>
      <w:rFonts w:ascii="宋体" w:hAnsi="宋体"/>
      <w:sz w:val="18"/>
      <w:szCs w:val="18"/>
    </w:rPr>
  </w:style>
  <w:style w:type="paragraph" w:customStyle="1" w:styleId="book111">
    <w:name w:val="book1_1_1"/>
    <w:basedOn w:val="32"/>
    <w:qFormat/>
    <w:pPr>
      <w:keepNext w:val="0"/>
      <w:tabs>
        <w:tab w:val="left" w:pos="1050"/>
        <w:tab w:val="left" w:pos="1770"/>
      </w:tabs>
      <w:spacing w:beforeLines="50" w:before="156" w:after="50" w:line="400" w:lineRule="exact"/>
      <w:ind w:left="330"/>
      <w:jc w:val="both"/>
    </w:pPr>
    <w:rPr>
      <w:rFonts w:ascii="Times New Roman" w:eastAsia="宋体"/>
      <w:b w:val="0"/>
      <w:sz w:val="24"/>
    </w:rPr>
  </w:style>
  <w:style w:type="paragraph" w:customStyle="1" w:styleId="33CharChar111Section025025">
    <w:name w:val="样式 标题 3标题 3 Char Char条标题1.1.1Section + 段前: 0.25 行 段后: 0.25 行"/>
    <w:basedOn w:val="32"/>
    <w:next w:val="aff9"/>
    <w:uiPriority w:val="99"/>
    <w:qFormat/>
    <w:pPr>
      <w:keepNext w:val="0"/>
      <w:keepLines w:val="0"/>
      <w:tabs>
        <w:tab w:val="left" w:pos="1260"/>
      </w:tabs>
      <w:snapToGrid w:val="0"/>
      <w:spacing w:before="95" w:after="95" w:line="540" w:lineRule="atLeast"/>
      <w:ind w:left="1260" w:hanging="420"/>
      <w:jc w:val="both"/>
    </w:pPr>
    <w:rPr>
      <w:rFonts w:ascii="Times New Roman" w:eastAsia="宋体" w:cs="宋体"/>
      <w:sz w:val="28"/>
      <w:szCs w:val="20"/>
    </w:rPr>
  </w:style>
  <w:style w:type="paragraph" w:customStyle="1" w:styleId="figure1">
    <w:name w:val="figure1"/>
    <w:basedOn w:val="a2"/>
    <w:uiPriority w:val="99"/>
    <w:qFormat/>
    <w:pPr>
      <w:spacing w:line="320" w:lineRule="atLeast"/>
      <w:ind w:firstLineChars="200" w:firstLine="200"/>
    </w:pPr>
    <w:rPr>
      <w:snapToGrid w:val="0"/>
      <w:spacing w:val="-20"/>
      <w:sz w:val="24"/>
    </w:rPr>
  </w:style>
  <w:style w:type="paragraph" w:customStyle="1" w:styleId="CharCharChar1CharCharCharCharCharCharCharCharCharCharCharCharChar4">
    <w:name w:val="Char Char Char1 Char Char Char Char Char Char Char Char Char Char Char Char Char4"/>
    <w:basedOn w:val="a2"/>
    <w:uiPriority w:val="99"/>
    <w:qFormat/>
    <w:pPr>
      <w:jc w:val="both"/>
    </w:pPr>
    <w:rPr>
      <w:sz w:val="24"/>
    </w:rPr>
  </w:style>
  <w:style w:type="paragraph" w:customStyle="1" w:styleId="afffffffffffffffffffffffffffffff4">
    <w:name w:val="表、图名宋旭峰"/>
    <w:basedOn w:val="a2"/>
    <w:uiPriority w:val="99"/>
    <w:qFormat/>
    <w:pPr>
      <w:spacing w:beforeLines="50" w:before="156" w:line="360" w:lineRule="auto"/>
      <w:jc w:val="center"/>
    </w:pPr>
    <w:rPr>
      <w:rFonts w:ascii="宋体" w:hAnsi="宋体"/>
      <w:bCs/>
      <w:snapToGrid w:val="0"/>
      <w:spacing w:val="-12"/>
      <w:sz w:val="24"/>
    </w:rPr>
  </w:style>
  <w:style w:type="paragraph" w:customStyle="1" w:styleId="0991">
    <w:name w:val="样式 正文文字 + 首行缩进:  0.99 厘米"/>
    <w:basedOn w:val="af4"/>
    <w:uiPriority w:val="99"/>
    <w:qFormat/>
    <w:pPr>
      <w:spacing w:after="0" w:line="400" w:lineRule="exact"/>
      <w:jc w:val="both"/>
    </w:pPr>
    <w:rPr>
      <w:rFonts w:eastAsia="楷体_GB2312"/>
      <w:kern w:val="0"/>
      <w:szCs w:val="28"/>
    </w:rPr>
  </w:style>
  <w:style w:type="paragraph" w:customStyle="1" w:styleId="afffffffffffffffffffffffffffffff5">
    <w:name w:val="样式 正文文字 +"/>
    <w:basedOn w:val="af4"/>
    <w:uiPriority w:val="99"/>
    <w:qFormat/>
    <w:pPr>
      <w:spacing w:after="60" w:line="264" w:lineRule="auto"/>
      <w:ind w:firstLineChars="110" w:firstLine="110"/>
      <w:jc w:val="both"/>
      <w:textAlignment w:val="baseline"/>
    </w:pPr>
    <w:rPr>
      <w:kern w:val="0"/>
      <w:sz w:val="24"/>
    </w:rPr>
  </w:style>
  <w:style w:type="paragraph" w:customStyle="1" w:styleId="2ffffff">
    <w:name w:val="表头2"/>
    <w:basedOn w:val="afffffffffffffffff3"/>
  </w:style>
  <w:style w:type="paragraph" w:customStyle="1" w:styleId="CM65">
    <w:name w:val="CM65"/>
    <w:basedOn w:val="Default"/>
    <w:next w:val="Default"/>
    <w:pPr>
      <w:spacing w:beforeLines="0" w:before="0" w:afterLines="0" w:after="0" w:line="500" w:lineRule="atLeast"/>
      <w:ind w:firstLineChars="0" w:firstLine="0"/>
      <w:jc w:val="both"/>
    </w:pPr>
    <w:rPr>
      <w:rFonts w:ascii="黑体" w:eastAsia="黑体" w:cs="Times New Roman"/>
      <w:color w:val="auto"/>
    </w:rPr>
  </w:style>
  <w:style w:type="paragraph" w:customStyle="1" w:styleId="bt20">
    <w:name w:val="bt2"/>
    <w:next w:val="1ffffffc"/>
    <w:uiPriority w:val="99"/>
    <w:qFormat/>
    <w:pPr>
      <w:adjustRightInd w:val="0"/>
      <w:snapToGrid w:val="0"/>
      <w:spacing w:line="360" w:lineRule="auto"/>
    </w:pPr>
    <w:rPr>
      <w:rFonts w:ascii="Times New Roman" w:eastAsia="宋体" w:hAnsi="Times New Roman" w:cs="Times New Roman"/>
      <w:b/>
      <w:kern w:val="2"/>
      <w:sz w:val="32"/>
    </w:rPr>
  </w:style>
  <w:style w:type="paragraph" w:customStyle="1" w:styleId="afffffffffffffffffffffffffffffff6">
    <w:name w:val="表蕊左对齐"/>
    <w:qFormat/>
    <w:pPr>
      <w:widowControl w:val="0"/>
      <w:adjustRightInd w:val="0"/>
      <w:spacing w:beforeLines="50" w:before="50" w:afterLines="50" w:after="50" w:line="320" w:lineRule="exact"/>
      <w:ind w:firstLineChars="40" w:firstLine="40"/>
      <w:jc w:val="both"/>
      <w:textAlignment w:val="baseline"/>
    </w:pPr>
    <w:rPr>
      <w:rFonts w:ascii="Times New Roman" w:eastAsia="宋体" w:hAnsi="Times New Roman" w:cs="Times New Roman"/>
      <w:spacing w:val="8"/>
      <w:sz w:val="21"/>
      <w:szCs w:val="28"/>
    </w:rPr>
  </w:style>
  <w:style w:type="paragraph" w:customStyle="1" w:styleId="CharCharChar1CharCharCharChar1">
    <w:name w:val="Char Char Char1 Char Char Char Char1"/>
    <w:basedOn w:val="a2"/>
    <w:uiPriority w:val="99"/>
    <w:qFormat/>
    <w:pPr>
      <w:spacing w:line="360" w:lineRule="auto"/>
      <w:jc w:val="both"/>
    </w:pPr>
  </w:style>
  <w:style w:type="paragraph" w:customStyle="1" w:styleId="CM108">
    <w:name w:val="CM108"/>
    <w:basedOn w:val="a2"/>
    <w:next w:val="a2"/>
    <w:qFormat/>
    <w:pPr>
      <w:spacing w:after="55"/>
    </w:pPr>
    <w:rPr>
      <w:sz w:val="24"/>
    </w:rPr>
  </w:style>
  <w:style w:type="paragraph" w:customStyle="1" w:styleId="2ffffff0">
    <w:name w:val="图表2"/>
    <w:basedOn w:val="a2"/>
    <w:uiPriority w:val="99"/>
    <w:qFormat/>
    <w:pPr>
      <w:overflowPunct w:val="0"/>
      <w:spacing w:after="60"/>
      <w:jc w:val="center"/>
      <w:textAlignment w:val="baseline"/>
    </w:pPr>
    <w:rPr>
      <w:rFonts w:ascii="宋体"/>
      <w:kern w:val="28"/>
      <w:sz w:val="20"/>
    </w:rPr>
  </w:style>
  <w:style w:type="paragraph" w:customStyle="1" w:styleId="p18">
    <w:name w:val="p18"/>
    <w:basedOn w:val="a2"/>
    <w:qFormat/>
    <w:pPr>
      <w:widowControl/>
      <w:snapToGrid w:val="0"/>
      <w:spacing w:line="500" w:lineRule="atLeast"/>
    </w:pPr>
    <w:rPr>
      <w:rFonts w:ascii="宋体" w:hAnsi="宋体" w:cs="宋体"/>
      <w:color w:val="FF0000"/>
      <w:szCs w:val="28"/>
    </w:rPr>
  </w:style>
  <w:style w:type="paragraph" w:customStyle="1" w:styleId="22a">
    <w:name w:val="样式 小四 行距: 固定值 22 磅"/>
    <w:basedOn w:val="a2"/>
    <w:uiPriority w:val="99"/>
    <w:qFormat/>
    <w:pPr>
      <w:spacing w:line="440" w:lineRule="exact"/>
      <w:ind w:firstLineChars="200" w:firstLine="480"/>
      <w:jc w:val="both"/>
    </w:pPr>
    <w:rPr>
      <w:rFonts w:cs="宋体"/>
    </w:rPr>
  </w:style>
  <w:style w:type="paragraph" w:customStyle="1" w:styleId="CharCharCharCharCharCharCharCharChar1CharCharCharCharCharChar2">
    <w:name w:val="Char Char Char Char Char Char Char Char Char1 Char Char Char Char Char Char2"/>
    <w:basedOn w:val="a2"/>
    <w:qFormat/>
    <w:rPr>
      <w:sz w:val="24"/>
    </w:rPr>
  </w:style>
  <w:style w:type="paragraph" w:customStyle="1" w:styleId="1716">
    <w:name w:val="样式 首行缩进:  1.71 字符6"/>
    <w:basedOn w:val="a2"/>
    <w:uiPriority w:val="99"/>
    <w:qFormat/>
    <w:pPr>
      <w:spacing w:line="360" w:lineRule="auto"/>
      <w:ind w:rightChars="12" w:right="25" w:firstLineChars="225" w:firstLine="540"/>
      <w:jc w:val="both"/>
    </w:pPr>
    <w:rPr>
      <w:sz w:val="24"/>
    </w:rPr>
  </w:style>
  <w:style w:type="paragraph" w:customStyle="1" w:styleId="326">
    <w:name w:val="样式 标题 3 + 首行缩进:  2 字符"/>
    <w:basedOn w:val="32"/>
    <w:qFormat/>
    <w:pPr>
      <w:spacing w:before="30" w:after="30" w:line="500" w:lineRule="exact"/>
      <w:jc w:val="both"/>
    </w:pPr>
    <w:rPr>
      <w:rFonts w:ascii="Times New Roman" w:eastAsia="宋体" w:cs="宋体"/>
      <w:sz w:val="30"/>
      <w:szCs w:val="20"/>
    </w:rPr>
  </w:style>
  <w:style w:type="paragraph" w:customStyle="1" w:styleId="Char2CharChar4">
    <w:name w:val="Char2 Char Char4"/>
    <w:basedOn w:val="a2"/>
    <w:pPr>
      <w:jc w:val="both"/>
    </w:pPr>
    <w:rPr>
      <w:sz w:val="24"/>
    </w:rPr>
  </w:style>
  <w:style w:type="paragraph" w:customStyle="1" w:styleId="Style12">
    <w:name w:val="_Style 1"/>
    <w:basedOn w:val="a2"/>
    <w:next w:val="a3"/>
    <w:uiPriority w:val="99"/>
    <w:qFormat/>
    <w:pPr>
      <w:spacing w:line="288" w:lineRule="auto"/>
      <w:ind w:firstLine="480"/>
      <w:jc w:val="both"/>
      <w:textAlignment w:val="baseline"/>
    </w:pPr>
    <w:rPr>
      <w:rFonts w:ascii="宋体" w:hAnsi="宋体" w:hint="eastAsia"/>
      <w:sz w:val="24"/>
    </w:rPr>
  </w:style>
  <w:style w:type="paragraph" w:customStyle="1" w:styleId="Char2CharChar1CharCharCharChar3">
    <w:name w:val="Char2 Char Char1 Char Char Char Char3"/>
    <w:basedOn w:val="a2"/>
    <w:uiPriority w:val="99"/>
    <w:qFormat/>
    <w:pPr>
      <w:jc w:val="both"/>
    </w:pPr>
  </w:style>
  <w:style w:type="paragraph" w:customStyle="1" w:styleId="CharCharCharCharCharCharChar42">
    <w:name w:val="样式 样式 正文缩进正文（首行缩进两字） Char Char Char Char Char Char Char表格标题标题4文...."/>
    <w:basedOn w:val="CharCharCharCharCharCharChar40"/>
    <w:qFormat/>
  </w:style>
  <w:style w:type="paragraph" w:customStyle="1" w:styleId="2114">
    <w:name w:val="样式 标题 2 + 宋体 小四 非加粗 段前: 1 行 段后: 1 行"/>
    <w:basedOn w:val="22"/>
    <w:uiPriority w:val="99"/>
    <w:qFormat/>
    <w:pPr>
      <w:snapToGrid w:val="0"/>
      <w:spacing w:before="0" w:beforeAutospacing="1" w:after="0" w:line="336" w:lineRule="auto"/>
      <w:ind w:left="446"/>
      <w:jc w:val="both"/>
    </w:pPr>
    <w:rPr>
      <w:rFonts w:ascii="宋体" w:eastAsia="宋体" w:hAnsi="宋体" w:cs="Times New Roman"/>
      <w:b w:val="0"/>
      <w:bCs w:val="0"/>
      <w:sz w:val="24"/>
      <w:szCs w:val="24"/>
    </w:rPr>
  </w:style>
  <w:style w:type="paragraph" w:customStyle="1" w:styleId="CharCharCharCharCharCharCharChar1CharCharCharChar2">
    <w:name w:val="Char Char Char Char Char Char Char Char1 Char Char Char Char2"/>
    <w:basedOn w:val="a2"/>
    <w:pPr>
      <w:jc w:val="both"/>
    </w:pPr>
  </w:style>
  <w:style w:type="paragraph" w:customStyle="1" w:styleId="3121">
    <w:name w:val="正文文本缩进 312"/>
    <w:basedOn w:val="a2"/>
    <w:uiPriority w:val="99"/>
    <w:qFormat/>
    <w:pPr>
      <w:spacing w:line="360" w:lineRule="auto"/>
      <w:ind w:firstLine="480"/>
      <w:jc w:val="both"/>
    </w:pPr>
    <w:rPr>
      <w:rFonts w:ascii="华文仿宋" w:eastAsia="华文仿宋" w:hAnsi="华文仿宋"/>
      <w:color w:val="000000"/>
      <w:sz w:val="24"/>
    </w:rPr>
  </w:style>
  <w:style w:type="paragraph" w:customStyle="1" w:styleId="12fa">
    <w:name w:val="样式 表格1 + 首行缩进:  2 字符"/>
    <w:basedOn w:val="1ffd"/>
    <w:uiPriority w:val="99"/>
    <w:qFormat/>
    <w:pPr>
      <w:spacing w:line="240" w:lineRule="auto"/>
      <w:textAlignment w:val="center"/>
    </w:pPr>
    <w:rPr>
      <w:rFonts w:ascii="宋体" w:cs="宋体"/>
    </w:rPr>
  </w:style>
  <w:style w:type="paragraph" w:customStyle="1" w:styleId="-016">
    <w:name w:val="样式 左侧:  -0.16 厘米"/>
    <w:basedOn w:val="a2"/>
    <w:uiPriority w:val="99"/>
    <w:qFormat/>
    <w:pPr>
      <w:ind w:left="-90"/>
      <w:jc w:val="both"/>
    </w:pPr>
    <w:rPr>
      <w:rFonts w:ascii="宋体" w:hAnsi="宋体" w:cs="宋体"/>
      <w:snapToGrid w:val="0"/>
      <w:sz w:val="24"/>
    </w:rPr>
  </w:style>
  <w:style w:type="paragraph" w:customStyle="1" w:styleId="style8">
    <w:name w:val="style8"/>
    <w:basedOn w:val="a2"/>
    <w:uiPriority w:val="99"/>
    <w:qFormat/>
    <w:rPr>
      <w:rFonts w:ascii="宋体" w:hAnsi="宋体" w:cs="宋体"/>
      <w:sz w:val="24"/>
    </w:rPr>
  </w:style>
  <w:style w:type="paragraph" w:customStyle="1" w:styleId="Char1CharCharCharCharCharCharCharCharChar1CharCharCharCharCharChar3">
    <w:name w:val="Char1 Char Char Char Char Char Char Char Char Char1 Char Char Char Char Char Char3"/>
    <w:basedOn w:val="a2"/>
    <w:uiPriority w:val="99"/>
    <w:qFormat/>
    <w:pPr>
      <w:spacing w:before="100" w:beforeAutospacing="1" w:after="100" w:afterAutospacing="1"/>
      <w:ind w:firstLineChars="200" w:firstLine="200"/>
    </w:pPr>
    <w:rPr>
      <w:rFonts w:ascii="Verdana" w:eastAsia="仿宋_GB2312" w:hAnsi="Verdana"/>
      <w:sz w:val="20"/>
      <w:lang w:eastAsia="en-US"/>
    </w:rPr>
  </w:style>
  <w:style w:type="paragraph" w:customStyle="1" w:styleId="2ffffff1">
    <w:name w:val="样式 黑色 首行缩进:  2 字符"/>
    <w:basedOn w:val="a2"/>
    <w:uiPriority w:val="99"/>
    <w:qFormat/>
    <w:pPr>
      <w:spacing w:line="360" w:lineRule="exact"/>
      <w:ind w:firstLineChars="200" w:firstLine="200"/>
      <w:jc w:val="both"/>
    </w:pPr>
    <w:rPr>
      <w:rFonts w:cs="宋体"/>
      <w:snapToGrid w:val="0"/>
      <w:color w:val="000000"/>
      <w:sz w:val="24"/>
    </w:rPr>
  </w:style>
  <w:style w:type="paragraph" w:customStyle="1" w:styleId="afffffffffffffffffffffffffffffff7">
    <w:name w:val="我的正文首行缩进"/>
    <w:basedOn w:val="2a"/>
    <w:uiPriority w:val="99"/>
    <w:qFormat/>
    <w:pPr>
      <w:spacing w:line="360" w:lineRule="auto"/>
      <w:ind w:leftChars="0" w:left="0" w:firstLineChars="0" w:firstLine="0"/>
      <w:jc w:val="both"/>
    </w:pPr>
    <w:rPr>
      <w:b/>
      <w:sz w:val="24"/>
    </w:rPr>
  </w:style>
  <w:style w:type="paragraph" w:customStyle="1" w:styleId="Achievement">
    <w:name w:val="Achievement"/>
    <w:basedOn w:val="a2"/>
    <w:pPr>
      <w:numPr>
        <w:numId w:val="19"/>
      </w:numPr>
      <w:autoSpaceDE/>
      <w:autoSpaceDN/>
      <w:adjustRightInd/>
      <w:spacing w:line="440" w:lineRule="exact"/>
      <w:jc w:val="both"/>
    </w:pPr>
  </w:style>
  <w:style w:type="paragraph" w:customStyle="1" w:styleId="21122CharH2h2122">
    <w:name w:val="样式 标题 2节标题 1.1标题2标题 2 Char节标题H2h2第一层条1二级 标题 2标题 2（修改）..."/>
    <w:basedOn w:val="22"/>
    <w:uiPriority w:val="99"/>
    <w:qFormat/>
    <w:pPr>
      <w:tabs>
        <w:tab w:val="left" w:pos="575"/>
      </w:tabs>
      <w:spacing w:beforeLines="50" w:before="156" w:afterLines="50" w:after="156" w:line="312" w:lineRule="auto"/>
      <w:jc w:val="both"/>
    </w:pPr>
    <w:rPr>
      <w:rFonts w:ascii="Arial" w:eastAsia="仿宋_GB2312" w:hAnsi="Arial" w:cs="宋体"/>
      <w:sz w:val="24"/>
      <w:szCs w:val="30"/>
    </w:rPr>
  </w:style>
  <w:style w:type="paragraph" w:customStyle="1" w:styleId="afffffffffffffffffffffffffffffff8">
    <w:name w:val="框图"/>
    <w:basedOn w:val="a2"/>
    <w:qFormat/>
    <w:pPr>
      <w:snapToGrid w:val="0"/>
      <w:ind w:leftChars="-38" w:left="2" w:rightChars="-38" w:right="-106" w:hangingChars="54" w:hanging="108"/>
      <w:jc w:val="center"/>
    </w:pPr>
    <w:rPr>
      <w:rFonts w:ascii="宋体" w:hAnsi="宋体"/>
      <w:sz w:val="20"/>
    </w:rPr>
  </w:style>
  <w:style w:type="paragraph" w:customStyle="1" w:styleId="4fc">
    <w:name w:val="日期4"/>
    <w:basedOn w:val="a2"/>
    <w:next w:val="a2"/>
    <w:uiPriority w:val="99"/>
    <w:qFormat/>
    <w:pPr>
      <w:jc w:val="both"/>
      <w:textAlignment w:val="baseline"/>
    </w:pPr>
  </w:style>
  <w:style w:type="paragraph" w:customStyle="1" w:styleId="AZ">
    <w:name w:val="AZ"/>
    <w:basedOn w:val="a2"/>
    <w:uiPriority w:val="99"/>
    <w:qFormat/>
    <w:pPr>
      <w:tabs>
        <w:tab w:val="left" w:pos="851"/>
        <w:tab w:val="left" w:pos="900"/>
      </w:tabs>
      <w:spacing w:before="60" w:after="120"/>
      <w:ind w:left="900" w:hanging="420"/>
    </w:pPr>
    <w:rPr>
      <w:rFonts w:hAnsi="Arial"/>
      <w:color w:val="000000"/>
      <w:sz w:val="22"/>
      <w:szCs w:val="22"/>
      <w:lang w:val="de-DE" w:eastAsia="de-DE"/>
    </w:rPr>
  </w:style>
  <w:style w:type="paragraph" w:customStyle="1" w:styleId="11fe">
    <w:name w:val="列表11"/>
    <w:basedOn w:val="a2"/>
    <w:uiPriority w:val="99"/>
    <w:qFormat/>
    <w:pPr>
      <w:spacing w:line="360" w:lineRule="exact"/>
      <w:jc w:val="center"/>
    </w:pPr>
    <w:rPr>
      <w:rFonts w:eastAsia="仿宋_GB2312"/>
      <w:sz w:val="24"/>
    </w:rPr>
  </w:style>
  <w:style w:type="paragraph" w:customStyle="1" w:styleId="011">
    <w:name w:val="样式_图表_01"/>
    <w:uiPriority w:val="99"/>
    <w:qFormat/>
    <w:pPr>
      <w:keepNext/>
      <w:widowControl w:val="0"/>
      <w:spacing w:beforeLines="50" w:before="120" w:afterLines="100" w:after="240" w:line="240" w:lineRule="atLeast"/>
      <w:jc w:val="center"/>
    </w:pPr>
    <w:rPr>
      <w:rFonts w:ascii="Garamond" w:eastAsia="楷体_GB2312" w:hAnsi="Garamond" w:cs="Times New Roman"/>
      <w:sz w:val="24"/>
      <w:szCs w:val="24"/>
    </w:rPr>
  </w:style>
  <w:style w:type="paragraph" w:customStyle="1" w:styleId="afffffffffffffffffffffffffffffff9">
    <w:name w:val="样式 纯文本 + (符号) 宋体 居中"/>
    <w:basedOn w:val="af8"/>
    <w:uiPriority w:val="99"/>
    <w:qFormat/>
    <w:pPr>
      <w:jc w:val="center"/>
    </w:pPr>
    <w:rPr>
      <w:rFonts w:hAnsi="宋体" w:cs="宋体"/>
      <w:kern w:val="0"/>
      <w:sz w:val="21"/>
    </w:rPr>
  </w:style>
  <w:style w:type="paragraph" w:customStyle="1" w:styleId="CharCharChar1CharCharCharCharCharCharCharCharCharCharCharCharChar2">
    <w:name w:val="Char Char Char1 Char Char Char Char Char Char Char Char Char Char Char Char Char2"/>
    <w:basedOn w:val="a2"/>
    <w:uiPriority w:val="99"/>
    <w:qFormat/>
    <w:pPr>
      <w:jc w:val="both"/>
    </w:pPr>
    <w:rPr>
      <w:rFonts w:ascii="Times New Roman"/>
    </w:rPr>
  </w:style>
  <w:style w:type="paragraph" w:customStyle="1" w:styleId="5f8">
    <w:name w:val="表题5"/>
    <w:basedOn w:val="a2"/>
    <w:uiPriority w:val="99"/>
    <w:qFormat/>
    <w:pPr>
      <w:snapToGrid w:val="0"/>
      <w:spacing w:before="180" w:after="60"/>
      <w:jc w:val="center"/>
    </w:pPr>
    <w:rPr>
      <w:b/>
    </w:rPr>
  </w:style>
  <w:style w:type="paragraph" w:customStyle="1" w:styleId="3ffff5">
    <w:name w:val="图表3"/>
    <w:basedOn w:val="a2"/>
    <w:uiPriority w:val="99"/>
    <w:qFormat/>
    <w:pPr>
      <w:overflowPunct w:val="0"/>
      <w:jc w:val="center"/>
      <w:textAlignment w:val="baseline"/>
    </w:pPr>
    <w:rPr>
      <w:rFonts w:ascii="宋体"/>
      <w:kern w:val="28"/>
      <w:sz w:val="20"/>
    </w:rPr>
  </w:style>
  <w:style w:type="paragraph" w:customStyle="1" w:styleId="4CharCharChar1">
    <w:name w:val="字元4 Char Char Char 字元 字元 字元1"/>
    <w:basedOn w:val="a2"/>
    <w:uiPriority w:val="99"/>
    <w:qFormat/>
    <w:pPr>
      <w:spacing w:line="400" w:lineRule="exact"/>
      <w:ind w:firstLine="601"/>
      <w:jc w:val="both"/>
      <w:textAlignment w:val="baseline"/>
    </w:pPr>
    <w:rPr>
      <w:rFonts w:ascii="Times New Roman"/>
      <w:spacing w:val="8"/>
    </w:rPr>
  </w:style>
  <w:style w:type="paragraph" w:customStyle="1" w:styleId="c3">
    <w:name w:val="c新标题3"/>
    <w:basedOn w:val="32"/>
    <w:uiPriority w:val="99"/>
    <w:qFormat/>
    <w:pPr>
      <w:spacing w:line="240" w:lineRule="exact"/>
    </w:pPr>
    <w:rPr>
      <w:rFonts w:ascii="Times New Roman" w:eastAsia="宋体"/>
      <w:b w:val="0"/>
      <w:sz w:val="24"/>
    </w:rPr>
  </w:style>
  <w:style w:type="paragraph" w:customStyle="1" w:styleId="HTML40">
    <w:name w:val="HTML 预设格式4"/>
    <w:basedOn w:val="a2"/>
    <w:uiPriority w:val="99"/>
    <w:qFormat/>
    <w:pPr>
      <w:jc w:val="both"/>
    </w:pPr>
    <w:rPr>
      <w:rFonts w:ascii="Courier New" w:hAnsi="Courier New"/>
      <w:sz w:val="20"/>
    </w:rPr>
  </w:style>
  <w:style w:type="paragraph" w:customStyle="1" w:styleId="2221">
    <w:name w:val="正文文本 222"/>
    <w:basedOn w:val="a2"/>
    <w:uiPriority w:val="99"/>
    <w:qFormat/>
    <w:pPr>
      <w:spacing w:line="460" w:lineRule="exact"/>
      <w:ind w:firstLine="510"/>
      <w:textAlignment w:val="baseline"/>
    </w:pPr>
  </w:style>
  <w:style w:type="paragraph" w:customStyle="1" w:styleId="2015">
    <w:name w:val="样式 正文文本缩进 2 + 左侧:  0 厘米 行距: 1.5 倍行距"/>
    <w:basedOn w:val="25"/>
    <w:qFormat/>
    <w:pPr>
      <w:spacing w:after="0" w:line="500" w:lineRule="exact"/>
      <w:ind w:leftChars="0" w:left="0" w:firstLineChars="200" w:firstLine="560"/>
    </w:pPr>
    <w:rPr>
      <w:rFonts w:ascii="楷体_GB2312" w:eastAsia="楷体_GB2312" w:hAnsi="宋体" w:cs="宋体"/>
      <w:kern w:val="0"/>
      <w:sz w:val="28"/>
      <w:szCs w:val="28"/>
    </w:rPr>
  </w:style>
  <w:style w:type="paragraph" w:customStyle="1" w:styleId="afffffffffffffffffffffffffffffffa">
    <w:name w:val="引言"/>
    <w:basedOn w:val="a2"/>
    <w:next w:val="a2"/>
    <w:uiPriority w:val="99"/>
    <w:qFormat/>
    <w:pPr>
      <w:snapToGrid w:val="0"/>
      <w:jc w:val="center"/>
    </w:pPr>
    <w:rPr>
      <w:rFonts w:ascii="仿宋_GB2312" w:eastAsia="仿宋_GB2312"/>
      <w:color w:val="000000"/>
      <w:sz w:val="24"/>
    </w:rPr>
  </w:style>
  <w:style w:type="paragraph" w:customStyle="1" w:styleId="xl739">
    <w:name w:val="xl739"/>
    <w:basedOn w:val="a2"/>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Courier New" w:eastAsia="Arial Unicode MS" w:hAnsi="Courier New"/>
      <w:sz w:val="24"/>
    </w:rPr>
  </w:style>
  <w:style w:type="paragraph" w:customStyle="1" w:styleId="xl64">
    <w:name w:val="xl64"/>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22b">
    <w:name w:val="样式 样式 首行缩进:  2 字符 + 首行缩进:  2 字符"/>
    <w:basedOn w:val="a2"/>
    <w:uiPriority w:val="99"/>
    <w:qFormat/>
    <w:pPr>
      <w:spacing w:line="440" w:lineRule="exact"/>
      <w:ind w:firstLineChars="200" w:firstLine="560"/>
      <w:jc w:val="both"/>
    </w:pPr>
  </w:style>
  <w:style w:type="paragraph" w:customStyle="1" w:styleId="86">
    <w:name w:val="8"/>
    <w:basedOn w:val="a2"/>
    <w:next w:val="39"/>
    <w:qFormat/>
    <w:pPr>
      <w:spacing w:line="500" w:lineRule="exact"/>
      <w:ind w:firstLineChars="200" w:firstLine="560"/>
      <w:jc w:val="both"/>
    </w:pPr>
    <w:rPr>
      <w:rFonts w:ascii="仿宋_GB2312" w:eastAsia="仿宋_GB2312"/>
    </w:rPr>
  </w:style>
  <w:style w:type="paragraph" w:customStyle="1" w:styleId="2ffffff2">
    <w:name w:val="表格 2"/>
    <w:basedOn w:val="a2"/>
    <w:uiPriority w:val="99"/>
    <w:qFormat/>
    <w:pPr>
      <w:jc w:val="center"/>
      <w:textAlignment w:val="baseline"/>
    </w:pPr>
    <w:rPr>
      <w:sz w:val="24"/>
    </w:rPr>
  </w:style>
  <w:style w:type="paragraph" w:customStyle="1" w:styleId="2ffffff3">
    <w:name w:val="项目概要标题2"/>
    <w:basedOn w:val="a2"/>
    <w:uiPriority w:val="99"/>
    <w:qFormat/>
    <w:pPr>
      <w:tabs>
        <w:tab w:val="left" w:pos="360"/>
      </w:tabs>
      <w:spacing w:after="156" w:line="360" w:lineRule="atLeast"/>
      <w:jc w:val="both"/>
    </w:pPr>
    <w:rPr>
      <w:rFonts w:hAnsi="Arial"/>
      <w:sz w:val="24"/>
    </w:rPr>
  </w:style>
  <w:style w:type="paragraph" w:customStyle="1" w:styleId="Style200">
    <w:name w:val="_Style 20"/>
    <w:basedOn w:val="a2"/>
    <w:next w:val="af5"/>
    <w:uiPriority w:val="99"/>
    <w:qFormat/>
    <w:pPr>
      <w:ind w:firstLineChars="200" w:firstLine="200"/>
      <w:jc w:val="both"/>
    </w:pPr>
  </w:style>
  <w:style w:type="paragraph" w:customStyle="1" w:styleId="ParaCharCharChar1CharCharCharCharCharCharCharCharCharChar">
    <w:name w:val="默认段落字体 Para Char Char Char1 Char Char Char Char Char Char Char Char Char Char"/>
    <w:basedOn w:val="a2"/>
    <w:qFormat/>
    <w:rPr>
      <w:sz w:val="24"/>
    </w:rPr>
  </w:style>
  <w:style w:type="paragraph" w:customStyle="1" w:styleId="1CharCharCharCharCharCharCharCharCharCharCharCharCharCharCharCharCharChar1Char">
    <w:name w:val="1 Char Char Char Char Char Char Char Char Char Char Char Char Char Char Char Char Char Char1 Char"/>
    <w:basedOn w:val="a2"/>
    <w:qFormat/>
  </w:style>
  <w:style w:type="paragraph" w:customStyle="1" w:styleId="GB2312GB23120515">
    <w:name w:val="样式 样式 (西文) 仿宋_GB2312 (中文) 仿宋_GB2312 黑色 段前: 0.5 行 行距: 1.5 倍行距 首....."/>
    <w:basedOn w:val="a2"/>
    <w:uiPriority w:val="99"/>
    <w:qFormat/>
    <w:pPr>
      <w:snapToGrid w:val="0"/>
      <w:spacing w:afterLines="100" w:after="100" w:line="300" w:lineRule="auto"/>
      <w:ind w:firstLineChars="200" w:firstLine="200"/>
      <w:jc w:val="both"/>
    </w:pPr>
    <w:rPr>
      <w:rFonts w:eastAsia="仿宋_GB2312" w:cs="宋体"/>
      <w:color w:val="000000"/>
    </w:rPr>
  </w:style>
  <w:style w:type="paragraph" w:customStyle="1" w:styleId="2ffffff4">
    <w:name w:val="样式 题注 + 首行缩进:  2 字符"/>
    <w:basedOn w:val="ac"/>
    <w:uiPriority w:val="99"/>
    <w:qFormat/>
    <w:pPr>
      <w:spacing w:before="152" w:after="160" w:line="500" w:lineRule="exact"/>
      <w:ind w:firstLineChars="200" w:firstLine="400"/>
      <w:jc w:val="center"/>
    </w:pPr>
    <w:rPr>
      <w:rFonts w:ascii="Arial" w:eastAsia="宋体" w:hAnsi="Arial" w:cs="宋体"/>
      <w:b/>
      <w:sz w:val="24"/>
      <w:szCs w:val="24"/>
    </w:rPr>
  </w:style>
  <w:style w:type="paragraph" w:customStyle="1" w:styleId="2h2MVA27818">
    <w:name w:val="样式 标题 2h2MVA2 + 段前: 7.8 磅 段后: 1.8 磅"/>
    <w:basedOn w:val="22"/>
    <w:uiPriority w:val="99"/>
    <w:qFormat/>
    <w:pPr>
      <w:keepNext w:val="0"/>
      <w:keepLines w:val="0"/>
      <w:tabs>
        <w:tab w:val="left" w:pos="575"/>
      </w:tabs>
      <w:spacing w:before="156" w:after="36" w:line="240" w:lineRule="auto"/>
      <w:ind w:left="575" w:hanging="576"/>
      <w:textAlignment w:val="baseline"/>
    </w:pPr>
    <w:rPr>
      <w:rFonts w:ascii="Times New Roman" w:eastAsia="黑体" w:hAnsi="Times New Roman" w:cs="宋体"/>
      <w:b w:val="0"/>
      <w:sz w:val="24"/>
      <w:szCs w:val="30"/>
    </w:rPr>
  </w:style>
  <w:style w:type="paragraph" w:customStyle="1" w:styleId="012">
    <w:name w:val="正文01"/>
    <w:basedOn w:val="a2"/>
    <w:qFormat/>
    <w:pPr>
      <w:snapToGrid w:val="0"/>
      <w:spacing w:before="60" w:line="460" w:lineRule="exact"/>
      <w:ind w:firstLineChars="200" w:firstLine="200"/>
      <w:jc w:val="both"/>
    </w:pPr>
    <w:rPr>
      <w:sz w:val="24"/>
    </w:rPr>
  </w:style>
  <w:style w:type="paragraph" w:customStyle="1" w:styleId="chang0">
    <w:name w:val="chang"/>
    <w:basedOn w:val="a2"/>
    <w:qFormat/>
    <w:pPr>
      <w:spacing w:line="400" w:lineRule="exact"/>
      <w:ind w:firstLineChars="200" w:firstLine="200"/>
    </w:pPr>
    <w:rPr>
      <w:rFonts w:cs="宋体"/>
      <w:sz w:val="24"/>
    </w:rPr>
  </w:style>
  <w:style w:type="paragraph" w:customStyle="1" w:styleId="pic-info">
    <w:name w:val="pic-info"/>
    <w:basedOn w:val="a2"/>
    <w:pPr>
      <w:widowControl/>
      <w:autoSpaceDE/>
      <w:autoSpaceDN/>
      <w:adjustRightInd/>
      <w:spacing w:before="100" w:beforeAutospacing="1" w:after="100" w:afterAutospacing="1"/>
    </w:pPr>
    <w:rPr>
      <w:rFonts w:ascii="宋体" w:hAnsi="宋体" w:cs="宋体"/>
    </w:rPr>
  </w:style>
  <w:style w:type="paragraph" w:customStyle="1" w:styleId="Char4CharCharCharCharChar4">
    <w:name w:val="Char4 Char Char Char Char Char4"/>
    <w:basedOn w:val="a2"/>
    <w:pPr>
      <w:jc w:val="both"/>
    </w:pPr>
    <w:rPr>
      <w:sz w:val="24"/>
    </w:rPr>
  </w:style>
  <w:style w:type="paragraph" w:customStyle="1" w:styleId="1ffffffffa">
    <w:name w:val="表格内容1"/>
    <w:basedOn w:val="a2"/>
    <w:qFormat/>
    <w:pPr>
      <w:snapToGrid w:val="0"/>
      <w:spacing w:beforeLines="15" w:before="46" w:afterLines="15" w:after="46" w:line="240" w:lineRule="exact"/>
      <w:jc w:val="center"/>
    </w:pPr>
    <w:rPr>
      <w:rFonts w:ascii="宋体" w:hAnsi="宋体"/>
      <w:snapToGrid w:val="0"/>
    </w:rPr>
  </w:style>
  <w:style w:type="paragraph" w:customStyle="1" w:styleId="Char1CharCharCharCharCharCharCharCharChar1CharCharCharCharCharChar1">
    <w:name w:val="Char1 Char Char Char Char Char Char Char Char Char1 Char Char Char Char Char Char1"/>
    <w:basedOn w:val="a2"/>
    <w:uiPriority w:val="99"/>
    <w:qFormat/>
    <w:pPr>
      <w:spacing w:before="100" w:beforeAutospacing="1" w:after="100" w:afterAutospacing="1"/>
      <w:ind w:firstLineChars="200" w:firstLine="200"/>
    </w:pPr>
    <w:rPr>
      <w:rFonts w:ascii="Verdana" w:eastAsia="仿宋_GB2312" w:hAnsi="Verdana"/>
      <w:sz w:val="20"/>
      <w:lang w:eastAsia="en-US"/>
    </w:rPr>
  </w:style>
  <w:style w:type="paragraph" w:customStyle="1" w:styleId="book1111">
    <w:name w:val="book1_1_1_1"/>
    <w:basedOn w:val="41"/>
    <w:qFormat/>
    <w:pPr>
      <w:keepNext w:val="0"/>
      <w:numPr>
        <w:ilvl w:val="3"/>
        <w:numId w:val="13"/>
      </w:numPr>
      <w:tabs>
        <w:tab w:val="clear" w:pos="2115"/>
        <w:tab w:val="left" w:pos="1487"/>
      </w:tabs>
      <w:spacing w:after="156" w:line="400" w:lineRule="exact"/>
      <w:ind w:leftChars="0" w:left="536" w:rightChars="0" w:right="0" w:firstLine="0"/>
    </w:pPr>
    <w:rPr>
      <w:rFonts w:ascii="宋体" w:eastAsia="宋体" w:hAnsi="宋体" w:cs="Arial"/>
      <w:sz w:val="24"/>
    </w:rPr>
  </w:style>
  <w:style w:type="paragraph" w:customStyle="1" w:styleId="2ffffff5">
    <w:name w:val="可研标题2"/>
    <w:basedOn w:val="22"/>
    <w:uiPriority w:val="99"/>
    <w:qFormat/>
    <w:pPr>
      <w:keepLines w:val="0"/>
      <w:spacing w:before="0" w:after="0" w:line="240" w:lineRule="auto"/>
    </w:pPr>
    <w:rPr>
      <w:rFonts w:ascii="仿宋_GB2312" w:eastAsia="仿宋_GB2312" w:hAnsi="宋体" w:cs="Times New Roman"/>
      <w:bCs w:val="0"/>
    </w:rPr>
  </w:style>
  <w:style w:type="paragraph" w:customStyle="1" w:styleId="1ffffffffb">
    <w:name w:val="正文 1"/>
    <w:basedOn w:val="a2"/>
    <w:pPr>
      <w:spacing w:line="440" w:lineRule="exact"/>
      <w:ind w:firstLine="482"/>
      <w:jc w:val="both"/>
    </w:pPr>
    <w:rPr>
      <w:rFonts w:ascii="Times New Roman" w:eastAsia="幼圆"/>
    </w:rPr>
  </w:style>
  <w:style w:type="paragraph" w:customStyle="1" w:styleId="123021">
    <w:name w:val="样式 文本123 + 段前: 0.2 行1"/>
    <w:basedOn w:val="1231"/>
    <w:uiPriority w:val="99"/>
    <w:qFormat/>
    <w:pPr>
      <w:tabs>
        <w:tab w:val="clear" w:pos="360"/>
        <w:tab w:val="clear" w:pos="3360"/>
        <w:tab w:val="left" w:pos="420"/>
      </w:tabs>
      <w:ind w:left="420" w:firstLine="510"/>
    </w:pPr>
  </w:style>
  <w:style w:type="paragraph" w:customStyle="1" w:styleId="1ffffffffc">
    <w:name w:val="表内容1"/>
    <w:basedOn w:val="a2"/>
    <w:uiPriority w:val="99"/>
    <w:qFormat/>
    <w:pPr>
      <w:tabs>
        <w:tab w:val="left" w:pos="480"/>
      </w:tabs>
      <w:spacing w:after="200" w:line="264" w:lineRule="auto"/>
      <w:jc w:val="center"/>
      <w:textAlignment w:val="bottom"/>
    </w:pPr>
    <w:rPr>
      <w:rFonts w:ascii="宋体" w:hAnsi="Calibri"/>
      <w:sz w:val="24"/>
      <w:lang w:eastAsia="en-US"/>
    </w:rPr>
  </w:style>
  <w:style w:type="paragraph" w:customStyle="1" w:styleId="CharCharCharCharCharCharCharCharChar1Char4">
    <w:name w:val="Char Char Char Char Char Char Char Char Char1 Char4"/>
    <w:basedOn w:val="a2"/>
    <w:qFormat/>
    <w:pPr>
      <w:jc w:val="both"/>
    </w:pPr>
    <w:rPr>
      <w:sz w:val="24"/>
    </w:rPr>
  </w:style>
  <w:style w:type="paragraph" w:customStyle="1" w:styleId="Char1CharCharCharCharChar3">
    <w:name w:val="Char1 Char Char Char Char Char3"/>
    <w:basedOn w:val="a2"/>
    <w:next w:val="a2"/>
    <w:uiPriority w:val="99"/>
    <w:qFormat/>
    <w:pPr>
      <w:spacing w:line="360" w:lineRule="auto"/>
      <w:ind w:firstLineChars="200" w:firstLine="200"/>
      <w:jc w:val="center"/>
    </w:pPr>
    <w:rPr>
      <w:rFonts w:eastAsia="黑体"/>
    </w:rPr>
  </w:style>
  <w:style w:type="paragraph" w:customStyle="1" w:styleId="afffffffffffffffffffffffffffffffb">
    <w:name w:val="图的标题"/>
    <w:basedOn w:val="a2"/>
    <w:qFormat/>
    <w:pPr>
      <w:spacing w:line="360" w:lineRule="auto"/>
      <w:jc w:val="center"/>
    </w:pPr>
    <w:rPr>
      <w:rFonts w:ascii="宋体" w:hAnsi="宋体"/>
      <w:bCs/>
      <w:sz w:val="24"/>
    </w:rPr>
  </w:style>
  <w:style w:type="paragraph" w:customStyle="1" w:styleId="xl86">
    <w:name w:val="xl86"/>
    <w:basedOn w:val="a2"/>
    <w:qFormat/>
    <w:pPr>
      <w:pBdr>
        <w:bottom w:val="single" w:sz="12" w:space="0" w:color="auto"/>
      </w:pBdr>
      <w:spacing w:before="100" w:beforeAutospacing="1" w:after="100" w:afterAutospacing="1"/>
      <w:jc w:val="center"/>
    </w:pPr>
    <w:rPr>
      <w:rFonts w:ascii="宋体" w:hAnsi="宋体" w:cs="宋体"/>
      <w:sz w:val="18"/>
      <w:szCs w:val="18"/>
    </w:rPr>
  </w:style>
  <w:style w:type="paragraph" w:customStyle="1" w:styleId="Char51">
    <w:name w:val="Char5"/>
    <w:basedOn w:val="a2"/>
    <w:qFormat/>
    <w:pPr>
      <w:spacing w:line="240" w:lineRule="exact"/>
    </w:pPr>
    <w:rPr>
      <w:szCs w:val="28"/>
    </w:rPr>
  </w:style>
  <w:style w:type="paragraph" w:customStyle="1" w:styleId="xl24">
    <w:name w:val="xl24"/>
    <w:basedOn w:val="a2"/>
    <w:qFormat/>
    <w:pPr>
      <w:widowControl/>
      <w:spacing w:before="100" w:beforeAutospacing="1" w:after="100" w:afterAutospacing="1"/>
      <w:jc w:val="center"/>
    </w:pPr>
    <w:rPr>
      <w:rFonts w:ascii="Arial Unicode MS" w:eastAsia="Arial Unicode MS" w:hAnsi="Arial Unicode MS" w:cs="Arial Unicode MS"/>
      <w:sz w:val="20"/>
    </w:rPr>
  </w:style>
  <w:style w:type="paragraph" w:customStyle="1" w:styleId="CharCharCharCharCharCharCharCharChar1CharCharCharCharCharChar6">
    <w:name w:val="Char Char Char Char Char Char Char Char Char1 Char Char Char Char Char Char6"/>
    <w:basedOn w:val="a2"/>
    <w:qFormat/>
    <w:rPr>
      <w:sz w:val="24"/>
    </w:rPr>
  </w:style>
  <w:style w:type="paragraph" w:customStyle="1" w:styleId="3MHZ">
    <w:name w:val="标题3_MHZ"/>
    <w:basedOn w:val="a2"/>
    <w:next w:val="a2"/>
    <w:qFormat/>
    <w:pPr>
      <w:jc w:val="both"/>
    </w:pPr>
    <w:rPr>
      <w:b/>
    </w:rPr>
  </w:style>
  <w:style w:type="paragraph" w:customStyle="1" w:styleId="Formatvorlage2">
    <w:name w:val="Formatvorlage2"/>
    <w:basedOn w:val="32"/>
    <w:uiPriority w:val="99"/>
    <w:qFormat/>
    <w:pPr>
      <w:keepLines w:val="0"/>
      <w:tabs>
        <w:tab w:val="left" w:pos="1094"/>
      </w:tabs>
      <w:spacing w:before="240" w:after="60" w:line="360" w:lineRule="auto"/>
      <w:ind w:left="1094" w:hanging="569"/>
      <w:jc w:val="both"/>
      <w:textAlignment w:val="baseline"/>
      <w:outlineLvl w:val="9"/>
    </w:pPr>
    <w:rPr>
      <w:rFonts w:ascii="CorpoSLig" w:eastAsia="宋体" w:hAnsi="CorpoSLig"/>
      <w:bCs w:val="0"/>
      <w:i/>
      <w:sz w:val="24"/>
      <w:szCs w:val="20"/>
    </w:rPr>
  </w:style>
  <w:style w:type="paragraph" w:customStyle="1" w:styleId="13f">
    <w:name w:val="文本块13"/>
    <w:basedOn w:val="a2"/>
    <w:uiPriority w:val="99"/>
    <w:qFormat/>
    <w:pPr>
      <w:spacing w:before="100" w:after="100"/>
    </w:pPr>
    <w:rPr>
      <w:rFonts w:eastAsia="Times New Roman"/>
      <w:sz w:val="22"/>
      <w:lang w:eastAsia="en-US"/>
    </w:rPr>
  </w:style>
  <w:style w:type="paragraph" w:customStyle="1" w:styleId="5f9">
    <w:name w:val="标题5"/>
    <w:basedOn w:val="a2"/>
    <w:uiPriority w:val="99"/>
    <w:qFormat/>
    <w:pPr>
      <w:snapToGrid w:val="0"/>
      <w:spacing w:line="360" w:lineRule="auto"/>
      <w:jc w:val="both"/>
    </w:pPr>
    <w:rPr>
      <w:rFonts w:ascii="仿宋_GB2312" w:eastAsia="仿宋_GB2312" w:hint="eastAsia"/>
    </w:rPr>
  </w:style>
  <w:style w:type="paragraph" w:customStyle="1" w:styleId="12fb">
    <w:name w:val="(文字) (文字)12"/>
    <w:basedOn w:val="a2"/>
    <w:uiPriority w:val="99"/>
    <w:qFormat/>
    <w:pPr>
      <w:jc w:val="both"/>
    </w:pPr>
  </w:style>
  <w:style w:type="paragraph" w:customStyle="1" w:styleId="xl746">
    <w:name w:val="xl746"/>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sz w:val="24"/>
    </w:rPr>
  </w:style>
  <w:style w:type="paragraph" w:customStyle="1" w:styleId="CharCharCharCharCharCharCharCharCharChar1CharCharChar3">
    <w:name w:val="Char Char Char Char Char Char Char Char Char Char1 Char Char Char3"/>
    <w:basedOn w:val="a2"/>
    <w:uiPriority w:val="99"/>
    <w:qFormat/>
    <w:pPr>
      <w:spacing w:line="240" w:lineRule="exact"/>
      <w:ind w:firstLineChars="200" w:firstLine="200"/>
      <w:jc w:val="both"/>
    </w:pPr>
    <w:rPr>
      <w:szCs w:val="28"/>
    </w:rPr>
  </w:style>
  <w:style w:type="paragraph" w:customStyle="1" w:styleId="2ffffff6">
    <w:name w:val="样式 标题 2节 + 黑色"/>
    <w:basedOn w:val="22"/>
    <w:uiPriority w:val="99"/>
    <w:qFormat/>
    <w:pPr>
      <w:keepNext w:val="0"/>
      <w:keepLines w:val="0"/>
      <w:tabs>
        <w:tab w:val="left" w:pos="576"/>
      </w:tabs>
      <w:wordWrap w:val="0"/>
      <w:overflowPunct w:val="0"/>
      <w:spacing w:before="0" w:after="0" w:line="600" w:lineRule="exact"/>
      <w:ind w:left="576" w:hanging="576"/>
      <w:jc w:val="both"/>
    </w:pPr>
    <w:rPr>
      <w:rFonts w:ascii="Times New Roman" w:eastAsia="宋体" w:hAnsi="Times New Roman" w:cs="Times New Roman"/>
      <w:b w:val="0"/>
      <w:color w:val="000000"/>
      <w:sz w:val="28"/>
      <w:szCs w:val="28"/>
    </w:rPr>
  </w:style>
  <w:style w:type="paragraph" w:customStyle="1" w:styleId="032">
    <w:name w:val="样式 正文缩进 + 段前: 0.3 行"/>
    <w:basedOn w:val="a3"/>
    <w:qFormat/>
    <w:pPr>
      <w:suppressAutoHyphens/>
      <w:spacing w:beforeLines="30" w:before="72" w:afterLines="10" w:after="10" w:line="288" w:lineRule="auto"/>
      <w:ind w:firstLine="480"/>
      <w:jc w:val="both"/>
    </w:pPr>
    <w:rPr>
      <w:kern w:val="24"/>
      <w:sz w:val="24"/>
      <w:szCs w:val="20"/>
    </w:rPr>
  </w:style>
  <w:style w:type="paragraph" w:customStyle="1" w:styleId="GB2312093">
    <w:name w:val="样式 正文文字 + 楷体_GB2312 四号 首行缩进:  0.93 厘米"/>
    <w:basedOn w:val="af4"/>
    <w:qFormat/>
    <w:pPr>
      <w:snapToGrid w:val="0"/>
      <w:spacing w:after="0" w:line="500" w:lineRule="exact"/>
      <w:ind w:firstLineChars="200" w:firstLine="560"/>
      <w:jc w:val="both"/>
    </w:pPr>
    <w:rPr>
      <w:color w:val="000000"/>
      <w:sz w:val="28"/>
      <w:szCs w:val="28"/>
      <w:lang w:val="zh-CN"/>
    </w:rPr>
  </w:style>
  <w:style w:type="paragraph" w:customStyle="1" w:styleId="hhcwt20">
    <w:name w:val="hhcwt标题2"/>
    <w:basedOn w:val="a2"/>
    <w:qFormat/>
    <w:pPr>
      <w:keepNext/>
      <w:keepLines/>
      <w:spacing w:before="120" w:after="120" w:line="336" w:lineRule="auto"/>
      <w:outlineLvl w:val="1"/>
    </w:pPr>
    <w:rPr>
      <w:rFonts w:eastAsia="黑体" w:cs="宋体"/>
      <w:sz w:val="32"/>
    </w:rPr>
  </w:style>
  <w:style w:type="paragraph" w:customStyle="1" w:styleId="22422Char">
    <w:name w:val="样式 样式 样式 样式 正文文字缩进 2 + 行距: 固定值 24 磅 + 首行缩进:  2 字符 + 首行缩进:  2 字符 ... Char"/>
    <w:basedOn w:val="a2"/>
    <w:uiPriority w:val="99"/>
    <w:qFormat/>
    <w:pPr>
      <w:spacing w:line="480" w:lineRule="auto"/>
      <w:ind w:firstLineChars="200" w:firstLine="560"/>
      <w:jc w:val="both"/>
    </w:pPr>
    <w:rPr>
      <w:sz w:val="30"/>
      <w:szCs w:val="28"/>
    </w:rPr>
  </w:style>
  <w:style w:type="paragraph" w:customStyle="1" w:styleId="afffffffffffffffffffffffffffffffc">
    <w:name w:val="样式 样式 五号 居中 +"/>
    <w:basedOn w:val="afffffffffffffa"/>
    <w:uiPriority w:val="99"/>
    <w:qFormat/>
    <w:pPr>
      <w:spacing w:line="240" w:lineRule="auto"/>
      <w:ind w:left="0" w:firstLine="0"/>
    </w:pPr>
  </w:style>
  <w:style w:type="paragraph" w:customStyle="1" w:styleId="nr">
    <w:name w:val="nr"/>
    <w:basedOn w:val="a2"/>
    <w:uiPriority w:val="99"/>
    <w:qFormat/>
    <w:pPr>
      <w:spacing w:before="100" w:beforeAutospacing="1" w:after="100" w:afterAutospacing="1" w:line="320" w:lineRule="atLeast"/>
    </w:pPr>
    <w:rPr>
      <w:rFonts w:ascii="宋体" w:hAnsi="宋体" w:hint="eastAsia"/>
      <w:color w:val="000000"/>
      <w:sz w:val="22"/>
    </w:rPr>
  </w:style>
  <w:style w:type="paragraph" w:customStyle="1" w:styleId="afffffffffffffffffffffffffffffffd">
    <w:name w:val="附录"/>
    <w:next w:val="a2"/>
    <w:uiPriority w:val="99"/>
    <w:qFormat/>
    <w:pPr>
      <w:spacing w:line="360" w:lineRule="auto"/>
      <w:outlineLvl w:val="0"/>
    </w:pPr>
    <w:rPr>
      <w:rFonts w:ascii="Times New Roman" w:eastAsia="黑体" w:hAnsi="Times New Roman" w:cs="Times New Roman"/>
      <w:b/>
      <w:kern w:val="2"/>
      <w:sz w:val="36"/>
      <w:szCs w:val="36"/>
    </w:rPr>
  </w:style>
  <w:style w:type="paragraph" w:customStyle="1" w:styleId="11110">
    <w:name w:val="1.1.1.1  标题或文字"/>
    <w:basedOn w:val="a2"/>
    <w:uiPriority w:val="99"/>
    <w:qFormat/>
    <w:pPr>
      <w:spacing w:after="50" w:line="460" w:lineRule="exact"/>
      <w:jc w:val="both"/>
    </w:pPr>
    <w:rPr>
      <w:rFonts w:ascii="宋体" w:hAnsi="宋体"/>
      <w:sz w:val="24"/>
    </w:rPr>
  </w:style>
  <w:style w:type="paragraph" w:customStyle="1" w:styleId="xl25">
    <w:name w:val="xl2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4111">
    <w:name w:val="标题 4　1.1.1"/>
    <w:basedOn w:val="41"/>
    <w:uiPriority w:val="99"/>
    <w:qFormat/>
    <w:pPr>
      <w:spacing w:beforeLines="0" w:before="120" w:after="120" w:line="490" w:lineRule="exact"/>
      <w:ind w:leftChars="0" w:left="0" w:rightChars="0" w:right="0"/>
      <w:jc w:val="both"/>
    </w:pPr>
    <w:rPr>
      <w:rFonts w:ascii="Times New Roman" w:cs="宋体"/>
      <w:b/>
      <w:szCs w:val="20"/>
    </w:rPr>
  </w:style>
  <w:style w:type="paragraph" w:customStyle="1" w:styleId="3211">
    <w:name w:val="正文文本缩进 321"/>
    <w:basedOn w:val="a2"/>
    <w:uiPriority w:val="99"/>
    <w:qFormat/>
    <w:pPr>
      <w:spacing w:after="120" w:line="360" w:lineRule="auto"/>
      <w:ind w:firstLine="567"/>
      <w:jc w:val="both"/>
      <w:textAlignment w:val="baseline"/>
    </w:pPr>
    <w:rPr>
      <w:rFonts w:ascii="楷体_GB2312"/>
    </w:rPr>
  </w:style>
  <w:style w:type="paragraph" w:customStyle="1" w:styleId="CharCharChar1CharCharCharCharCharCharCharCharCharCharCharCharCharCharChar1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w:basedOn w:val="a2"/>
    <w:uiPriority w:val="99"/>
    <w:qFormat/>
    <w:pPr>
      <w:jc w:val="both"/>
    </w:pPr>
  </w:style>
  <w:style w:type="paragraph" w:customStyle="1" w:styleId="afffffffffffffffffffffffffffffffe">
    <w:name w:val="五级条标题"/>
    <w:basedOn w:val="affffffffffffffffffff8"/>
    <w:next w:val="a2"/>
    <w:qFormat/>
    <w:pPr>
      <w:tabs>
        <w:tab w:val="clear" w:pos="2520"/>
        <w:tab w:val="clear" w:pos="3080"/>
        <w:tab w:val="left" w:pos="2940"/>
        <w:tab w:val="left" w:pos="3500"/>
      </w:tabs>
      <w:ind w:left="3500"/>
      <w:outlineLvl w:val="6"/>
    </w:pPr>
  </w:style>
  <w:style w:type="paragraph" w:customStyle="1" w:styleId="affffffffffffffffffffffffffffffff">
    <w:name w:val="符号"/>
    <w:basedOn w:val="a2"/>
    <w:uiPriority w:val="99"/>
    <w:qFormat/>
    <w:pPr>
      <w:tabs>
        <w:tab w:val="left" w:pos="810"/>
        <w:tab w:val="left" w:pos="935"/>
      </w:tabs>
      <w:spacing w:line="460" w:lineRule="exact"/>
      <w:ind w:left="935" w:hanging="285"/>
      <w:textAlignment w:val="baseline"/>
    </w:pPr>
    <w:rPr>
      <w:sz w:val="24"/>
    </w:rPr>
  </w:style>
  <w:style w:type="paragraph" w:customStyle="1" w:styleId="TimesNewRoman3">
    <w:name w:val="样式 报告 + Times New Roman"/>
    <w:basedOn w:val="a2"/>
    <w:uiPriority w:val="99"/>
    <w:qFormat/>
    <w:pPr>
      <w:spacing w:line="520" w:lineRule="exact"/>
      <w:ind w:firstLine="505"/>
      <w:jc w:val="both"/>
    </w:pPr>
    <w:rPr>
      <w:rFonts w:ascii="宋体" w:hAnsi="宋体"/>
      <w:sz w:val="24"/>
    </w:rPr>
  </w:style>
  <w:style w:type="paragraph" w:customStyle="1" w:styleId="CharChar1CharCharCharCharCharCharCharCharCharChar1">
    <w:name w:val="Char Char1 Char Char Char Char Char Char Char Char Char Char1"/>
    <w:basedOn w:val="a2"/>
    <w:pPr>
      <w:autoSpaceDE/>
      <w:autoSpaceDN/>
      <w:spacing w:line="360" w:lineRule="atLeast"/>
      <w:jc w:val="both"/>
      <w:textAlignment w:val="baseline"/>
    </w:pPr>
  </w:style>
  <w:style w:type="paragraph" w:customStyle="1" w:styleId="1ffffffffd">
    <w:name w:val="样式 标题 1 + 小四"/>
    <w:basedOn w:val="12"/>
    <w:uiPriority w:val="99"/>
    <w:qFormat/>
    <w:pPr>
      <w:spacing w:before="120" w:after="240" w:line="0" w:lineRule="atLeast"/>
      <w:ind w:left="851" w:hanging="851"/>
      <w:jc w:val="center"/>
      <w:textAlignment w:val="auto"/>
    </w:pPr>
    <w:rPr>
      <w:rFonts w:eastAsia="宋体"/>
      <w:b/>
      <w:bCs w:val="0"/>
      <w:sz w:val="30"/>
      <w:szCs w:val="44"/>
    </w:rPr>
  </w:style>
  <w:style w:type="paragraph" w:customStyle="1" w:styleId="2ffffff7">
    <w:name w:val="样式标题2"/>
    <w:basedOn w:val="a2"/>
    <w:qFormat/>
    <w:pPr>
      <w:keepNext/>
      <w:keepLines/>
      <w:spacing w:before="120" w:after="120" w:line="336" w:lineRule="auto"/>
      <w:outlineLvl w:val="1"/>
    </w:pPr>
    <w:rPr>
      <w:rFonts w:eastAsia="黑体" w:cs="宋体"/>
      <w:sz w:val="32"/>
    </w:rPr>
  </w:style>
  <w:style w:type="paragraph" w:customStyle="1" w:styleId="22Heading2HiddenHeading2CCBSheading2H21">
    <w:name w:val="样式 标题 2节第一章 标题 2Heading 2 HiddenHeading 2 CCBSheading 2H2...1"/>
    <w:basedOn w:val="22"/>
    <w:uiPriority w:val="99"/>
    <w:qFormat/>
    <w:pPr>
      <w:spacing w:before="120" w:after="120" w:line="500" w:lineRule="exact"/>
      <w:jc w:val="both"/>
    </w:pPr>
    <w:rPr>
      <w:rFonts w:ascii="宋体" w:eastAsia="宋体" w:hAnsi="宋体" w:cs="Times New Roman"/>
      <w:b w:val="0"/>
      <w:bCs w:val="0"/>
      <w:sz w:val="28"/>
      <w:szCs w:val="28"/>
    </w:rPr>
  </w:style>
  <w:style w:type="paragraph" w:customStyle="1" w:styleId="0505">
    <w:name w:val="样式 表头 + 段前: 0.5 行 段后: 0.5 行"/>
    <w:basedOn w:val="a2"/>
    <w:uiPriority w:val="99"/>
    <w:qFormat/>
    <w:pPr>
      <w:spacing w:before="100" w:beforeAutospacing="1" w:after="100" w:afterAutospacing="1" w:line="480" w:lineRule="exact"/>
      <w:jc w:val="center"/>
    </w:pPr>
    <w:rPr>
      <w:b/>
      <w:sz w:val="24"/>
      <w:lang w:val="zh-CN"/>
    </w:rPr>
  </w:style>
  <w:style w:type="paragraph" w:customStyle="1" w:styleId="4chen">
    <w:name w:val="谏壁标题4(chen)"/>
    <w:basedOn w:val="a2"/>
    <w:qFormat/>
    <w:pPr>
      <w:snapToGrid w:val="0"/>
      <w:spacing w:beforeLines="50" w:before="156" w:line="360" w:lineRule="auto"/>
      <w:ind w:firstLineChars="200" w:firstLine="200"/>
    </w:pPr>
  </w:style>
  <w:style w:type="paragraph" w:customStyle="1" w:styleId="affffffffffffffffffffffffffffffff0">
    <w:name w:val="表后文"/>
    <w:qFormat/>
    <w:pPr>
      <w:spacing w:beforeLines="50" w:before="50" w:afterLines="50" w:after="50" w:line="360" w:lineRule="auto"/>
      <w:ind w:firstLineChars="40" w:firstLine="601"/>
    </w:pPr>
    <w:rPr>
      <w:rFonts w:ascii="Times New Roman" w:eastAsia="宋体" w:hAnsi="Times New Roman" w:cs="Times New Roman"/>
      <w:spacing w:val="8"/>
      <w:sz w:val="21"/>
      <w:szCs w:val="21"/>
    </w:rPr>
  </w:style>
  <w:style w:type="paragraph" w:customStyle="1" w:styleId="190">
    <w:name w:val="19"/>
    <w:basedOn w:val="a2"/>
    <w:next w:val="af5"/>
    <w:qFormat/>
    <w:pPr>
      <w:spacing w:line="500" w:lineRule="exact"/>
      <w:ind w:firstLineChars="200" w:firstLine="560"/>
      <w:jc w:val="both"/>
    </w:pPr>
    <w:rPr>
      <w:rFonts w:ascii="仿宋_GB2312" w:eastAsia="仿宋_GB2312"/>
      <w:color w:val="FF0000"/>
    </w:rPr>
  </w:style>
  <w:style w:type="paragraph" w:customStyle="1" w:styleId="CharChar5CharChar1">
    <w:name w:val="Char Char5 Char Char1"/>
    <w:basedOn w:val="a2"/>
    <w:uiPriority w:val="99"/>
    <w:qFormat/>
    <w:pPr>
      <w:spacing w:line="360" w:lineRule="auto"/>
      <w:ind w:firstLineChars="200" w:firstLine="200"/>
      <w:jc w:val="both"/>
    </w:pPr>
  </w:style>
  <w:style w:type="paragraph" w:customStyle="1" w:styleId="CharCharCharCharCharCharCharCharCharChar1CharCharChar4">
    <w:name w:val="Char Char Char Char Char Char Char Char Char Char1 Char Char Char4"/>
    <w:basedOn w:val="a2"/>
    <w:qFormat/>
    <w:pPr>
      <w:spacing w:line="240" w:lineRule="exact"/>
      <w:ind w:firstLineChars="200" w:firstLine="200"/>
      <w:jc w:val="both"/>
    </w:pPr>
    <w:rPr>
      <w:szCs w:val="28"/>
    </w:rPr>
  </w:style>
  <w:style w:type="paragraph" w:customStyle="1" w:styleId="GB231202">
    <w:name w:val="样式 (西文) 宋体 (中文) 仿宋_GB2312 五号 黑色 居中 首行缩进:  0 厘米 行距: 单倍行距2"/>
    <w:basedOn w:val="a2"/>
    <w:uiPriority w:val="99"/>
    <w:qFormat/>
    <w:pPr>
      <w:jc w:val="center"/>
    </w:pPr>
    <w:rPr>
      <w:rFonts w:ascii="宋体" w:hAnsi="宋体"/>
      <w:color w:val="000000"/>
      <w:spacing w:val="5"/>
    </w:rPr>
  </w:style>
  <w:style w:type="paragraph" w:customStyle="1" w:styleId="3ffff6">
    <w:name w:val="标题　3"/>
    <w:basedOn w:val="41"/>
    <w:uiPriority w:val="99"/>
    <w:qFormat/>
    <w:pPr>
      <w:ind w:leftChars="0" w:left="0" w:rightChars="0" w:right="0"/>
    </w:pPr>
    <w:rPr>
      <w:rFonts w:ascii="Times New Roman" w:eastAsia="宋体"/>
      <w:b/>
      <w:snapToGrid w:val="0"/>
      <w:sz w:val="24"/>
      <w:szCs w:val="20"/>
    </w:rPr>
  </w:style>
  <w:style w:type="paragraph" w:customStyle="1" w:styleId="21f6">
    <w:name w:val="注释标题21"/>
    <w:basedOn w:val="a2"/>
    <w:next w:val="a2"/>
    <w:uiPriority w:val="99"/>
    <w:qFormat/>
    <w:pPr>
      <w:jc w:val="center"/>
    </w:pPr>
    <w:rPr>
      <w:sz w:val="20"/>
    </w:rPr>
  </w:style>
  <w:style w:type="paragraph" w:customStyle="1" w:styleId="Chapter">
    <w:name w:val="Chapter"/>
    <w:basedOn w:val="12"/>
    <w:qFormat/>
    <w:pPr>
      <w:numPr>
        <w:numId w:val="13"/>
      </w:numPr>
      <w:tabs>
        <w:tab w:val="clear" w:pos="1155"/>
        <w:tab w:val="left" w:pos="926"/>
      </w:tabs>
      <w:spacing w:before="340" w:after="330" w:line="578" w:lineRule="auto"/>
      <w:ind w:left="-16" w:firstLine="0"/>
      <w:jc w:val="center"/>
      <w:textAlignment w:val="auto"/>
    </w:pPr>
    <w:rPr>
      <w:rFonts w:eastAsia="宋体"/>
      <w:b/>
      <w:sz w:val="36"/>
      <w:szCs w:val="36"/>
    </w:rPr>
  </w:style>
  <w:style w:type="paragraph" w:customStyle="1" w:styleId="222H2h22Char11Char2Cha1">
    <w:name w:val="样式 样式 标题 2标题2二级 标题 2H2h2第一层条标题 2 Char节标题节11 Char标题 2 Cha... +1"/>
    <w:basedOn w:val="222H2h22Char11Char2Cha"/>
    <w:uiPriority w:val="99"/>
    <w:qFormat/>
    <w:pPr>
      <w:spacing w:before="240"/>
      <w:jc w:val="left"/>
    </w:pPr>
    <w:rPr>
      <w:rFonts w:cs="宋体"/>
      <w:b/>
    </w:rPr>
  </w:style>
  <w:style w:type="paragraph" w:customStyle="1" w:styleId="222H2h22Char11Char2Cha">
    <w:name w:val="样式 标题 2标题2二级 标题 2H2h2第一层条标题 2 Char节标题节11 Char标题 2 Cha..."/>
    <w:basedOn w:val="22"/>
    <w:uiPriority w:val="99"/>
    <w:qFormat/>
    <w:pPr>
      <w:keepNext w:val="0"/>
      <w:keepLines w:val="0"/>
      <w:spacing w:before="160" w:after="160" w:line="312" w:lineRule="auto"/>
      <w:jc w:val="both"/>
      <w:textAlignment w:val="baseline"/>
    </w:pPr>
    <w:rPr>
      <w:rFonts w:ascii="Times New Roman" w:eastAsia="仿宋_GB2312" w:hAnsi="Times New Roman" w:cs="Times New Roman"/>
      <w:b w:val="0"/>
      <w:bCs w:val="0"/>
      <w:sz w:val="24"/>
      <w:szCs w:val="30"/>
    </w:rPr>
  </w:style>
  <w:style w:type="paragraph" w:customStyle="1" w:styleId="156">
    <w:name w:val="样式 小四 行距: 1.5 倍行距"/>
    <w:basedOn w:val="a2"/>
    <w:qFormat/>
    <w:pPr>
      <w:spacing w:line="360" w:lineRule="auto"/>
      <w:jc w:val="both"/>
    </w:pPr>
    <w:rPr>
      <w:rFonts w:cs="宋体"/>
      <w:sz w:val="24"/>
    </w:rPr>
  </w:style>
  <w:style w:type="paragraph" w:customStyle="1" w:styleId="Style38">
    <w:name w:val="_Style 38"/>
    <w:basedOn w:val="a2"/>
    <w:next w:val="a3"/>
    <w:uiPriority w:val="99"/>
    <w:qFormat/>
    <w:pPr>
      <w:ind w:firstLineChars="200" w:firstLine="200"/>
      <w:jc w:val="both"/>
    </w:pPr>
  </w:style>
  <w:style w:type="paragraph" w:customStyle="1" w:styleId="2ffffff8">
    <w:name w:val="样式 王向东正文 + 首行缩进:  2 字符"/>
    <w:basedOn w:val="a2"/>
    <w:uiPriority w:val="99"/>
    <w:qFormat/>
    <w:pPr>
      <w:spacing w:line="360" w:lineRule="auto"/>
      <w:ind w:firstLineChars="200" w:firstLine="560"/>
      <w:jc w:val="both"/>
    </w:pPr>
    <w:rPr>
      <w:rFonts w:eastAsia="仿宋_GB2312" w:cs="宋体"/>
    </w:rPr>
  </w:style>
  <w:style w:type="paragraph" w:customStyle="1" w:styleId="Char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 Char3"/>
    <w:basedOn w:val="a2"/>
    <w:uiPriority w:val="99"/>
    <w:qFormat/>
    <w:pPr>
      <w:jc w:val="both"/>
    </w:pPr>
    <w:rPr>
      <w:sz w:val="24"/>
    </w:rPr>
  </w:style>
  <w:style w:type="paragraph" w:customStyle="1" w:styleId="21Char0">
    <w:name w:val="标准文本 首行缩进:2 字符 行距1倍 Char"/>
    <w:basedOn w:val="a2"/>
    <w:qFormat/>
    <w:pPr>
      <w:snapToGrid w:val="0"/>
      <w:spacing w:line="360" w:lineRule="auto"/>
      <w:ind w:firstLineChars="200" w:firstLine="420"/>
      <w:jc w:val="center"/>
      <w:textAlignment w:val="center"/>
    </w:pPr>
    <w:rPr>
      <w:rFonts w:ascii="宋体" w:hAnsi="宋体"/>
      <w:b/>
    </w:rPr>
  </w:style>
  <w:style w:type="paragraph" w:customStyle="1" w:styleId="affffffffffffffffffffffffffffffff1">
    <w:name w:val="宋体"/>
    <w:basedOn w:val="a2"/>
    <w:pPr>
      <w:autoSpaceDE/>
      <w:autoSpaceDN/>
      <w:adjustRightInd/>
      <w:spacing w:line="360" w:lineRule="auto"/>
      <w:ind w:firstLineChars="200" w:firstLine="200"/>
      <w:jc w:val="both"/>
    </w:pPr>
    <w:rPr>
      <w:rFonts w:cs="黑体"/>
    </w:rPr>
  </w:style>
  <w:style w:type="paragraph" w:customStyle="1" w:styleId="33H3h33rdlevel">
    <w:name w:val="样式 标题 3标题3H3h33rd level第二层条头一 + 黑色"/>
    <w:basedOn w:val="32"/>
    <w:uiPriority w:val="99"/>
    <w:qFormat/>
    <w:pPr>
      <w:keepLines w:val="0"/>
      <w:tabs>
        <w:tab w:val="left" w:pos="709"/>
      </w:tabs>
      <w:spacing w:before="120" w:after="120" w:line="360" w:lineRule="exact"/>
      <w:ind w:left="709" w:hanging="709"/>
      <w:textAlignment w:val="baseline"/>
    </w:pPr>
    <w:rPr>
      <w:rFonts w:eastAsia="黑体" w:hAnsi="Arial"/>
      <w:b w:val="0"/>
      <w:bCs w:val="0"/>
      <w:sz w:val="24"/>
      <w:szCs w:val="20"/>
    </w:rPr>
  </w:style>
  <w:style w:type="paragraph" w:customStyle="1" w:styleId="2ffffff9">
    <w:name w:val="2"/>
    <w:basedOn w:val="a2"/>
    <w:next w:val="a3"/>
    <w:qFormat/>
    <w:pPr>
      <w:ind w:firstLine="420"/>
    </w:pPr>
  </w:style>
  <w:style w:type="paragraph" w:customStyle="1" w:styleId="CharCharChar1CharCharCharCharCharCharCharCharCharCharCharCharCharCharChar1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w:basedOn w:val="a2"/>
    <w:uiPriority w:val="99"/>
    <w:qFormat/>
    <w:pPr>
      <w:jc w:val="both"/>
    </w:pPr>
  </w:style>
  <w:style w:type="paragraph" w:customStyle="1" w:styleId="CharChar1CharCharCharCharCharCharCharCharCharCharCharCharChar1">
    <w:name w:val="Char Char1 Char Char Char Char Char Char Char Char Char Char Char Char Char1"/>
    <w:basedOn w:val="a2"/>
    <w:uiPriority w:val="99"/>
    <w:qFormat/>
    <w:pPr>
      <w:spacing w:line="360" w:lineRule="auto"/>
      <w:ind w:firstLineChars="200" w:firstLine="200"/>
      <w:jc w:val="both"/>
    </w:pPr>
    <w:rPr>
      <w:rFonts w:ascii="宋体" w:hAnsi="宋体" w:cs="宋体"/>
      <w:sz w:val="24"/>
    </w:rPr>
  </w:style>
  <w:style w:type="paragraph" w:customStyle="1" w:styleId="22c">
    <w:name w:val="样式 正文文本缩进 2 + 首行缩进:  2 字符"/>
    <w:basedOn w:val="25"/>
    <w:uiPriority w:val="99"/>
    <w:qFormat/>
    <w:pPr>
      <w:spacing w:after="0" w:line="480" w:lineRule="exact"/>
      <w:ind w:leftChars="0" w:left="0" w:firstLineChars="200" w:firstLine="560"/>
      <w:jc w:val="both"/>
    </w:pPr>
    <w:rPr>
      <w:rFonts w:cs="宋体"/>
      <w:kern w:val="10"/>
      <w:sz w:val="28"/>
      <w:szCs w:val="20"/>
    </w:rPr>
  </w:style>
  <w:style w:type="paragraph" w:customStyle="1" w:styleId="CharCharCharCharCharCharCharCharChar1CharCharCharCharCharChar4">
    <w:name w:val="Char Char Char Char Char Char Char Char Char1 Char Char Char Char Char Char4"/>
    <w:basedOn w:val="a2"/>
    <w:qFormat/>
    <w:rPr>
      <w:sz w:val="24"/>
    </w:rPr>
  </w:style>
  <w:style w:type="paragraph" w:customStyle="1" w:styleId="Char72">
    <w:name w:val="Char72"/>
    <w:basedOn w:val="a2"/>
    <w:uiPriority w:val="99"/>
    <w:qFormat/>
    <w:pPr>
      <w:tabs>
        <w:tab w:val="right" w:leader="middleDot" w:pos="600"/>
      </w:tabs>
      <w:jc w:val="both"/>
    </w:pPr>
    <w:rPr>
      <w:rFonts w:ascii="仿宋_GB2312" w:eastAsia="仿宋_GB2312"/>
      <w:sz w:val="30"/>
      <w:szCs w:val="30"/>
    </w:rPr>
  </w:style>
  <w:style w:type="paragraph" w:customStyle="1" w:styleId="CharCharCharCharCharCharCharCharChar1CharCharCharCharCharCharCharCharCharChar3">
    <w:name w:val="Char Char Char Char Char Char Char Char Char1 Char Char Char Char Char Char Char Char Char Char3"/>
    <w:basedOn w:val="a2"/>
    <w:uiPriority w:val="99"/>
    <w:qFormat/>
    <w:pPr>
      <w:jc w:val="both"/>
    </w:pPr>
  </w:style>
  <w:style w:type="paragraph" w:customStyle="1" w:styleId="affffffffffffffffffffffffffffffff2">
    <w:name w:val="图表名"/>
    <w:basedOn w:val="a2"/>
    <w:qFormat/>
    <w:pPr>
      <w:jc w:val="center"/>
    </w:pPr>
    <w:rPr>
      <w:rFonts w:eastAsia="黑体"/>
      <w:bCs/>
      <w:sz w:val="24"/>
    </w:rPr>
  </w:style>
  <w:style w:type="paragraph" w:customStyle="1" w:styleId="211305056">
    <w:name w:val="样式 样式 标题 2 + 首行缩进:  1.13 厘米 + 段前: 0.5 行 段后: 0.5 行6"/>
    <w:basedOn w:val="2113"/>
    <w:uiPriority w:val="99"/>
    <w:qFormat/>
    <w:pPr>
      <w:spacing w:before="156" w:afterLines="0"/>
    </w:p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2"/>
    <w:basedOn w:val="a2"/>
    <w:uiPriority w:val="99"/>
    <w:qFormat/>
    <w:pPr>
      <w:spacing w:after="160" w:line="240" w:lineRule="exact"/>
    </w:pPr>
    <w:rPr>
      <w:rFonts w:ascii="Verdana" w:hAnsi="Verdana"/>
      <w:sz w:val="20"/>
      <w:lang w:eastAsia="en-US"/>
    </w:rPr>
  </w:style>
  <w:style w:type="paragraph" w:customStyle="1" w:styleId="Char2CharCharChar1">
    <w:name w:val="Char2 Char Char Char1"/>
    <w:basedOn w:val="a2"/>
    <w:uiPriority w:val="99"/>
    <w:qFormat/>
    <w:pPr>
      <w:jc w:val="both"/>
    </w:pPr>
    <w:rPr>
      <w:sz w:val="24"/>
    </w:rPr>
  </w:style>
  <w:style w:type="paragraph" w:customStyle="1" w:styleId="23535131">
    <w:name w:val="样式 样式 公正文 + 首行缩进:  2 字符 段前: 3.5 磅 段后: 3.5 磅 行距: 多倍行距 1.3 字行 + 首行...1"/>
    <w:basedOn w:val="a2"/>
    <w:qFormat/>
    <w:pPr>
      <w:snapToGrid w:val="0"/>
      <w:spacing w:line="560" w:lineRule="exact"/>
      <w:ind w:firstLineChars="200" w:firstLine="200"/>
      <w:jc w:val="both"/>
    </w:pPr>
    <w:rPr>
      <w:rFonts w:ascii="宋体" w:eastAsia="仿宋_GB2312" w:hAnsi="宋体" w:cs="宋体"/>
      <w:snapToGrid w:val="0"/>
      <w:szCs w:val="28"/>
    </w:rPr>
  </w:style>
  <w:style w:type="paragraph" w:customStyle="1" w:styleId="2mystyle2style2173">
    <w:name w:val="样式 标题 2mystyle2style2 + 四号 非加粗 居中 行距: 多倍行距 1.73 字行"/>
    <w:basedOn w:val="22"/>
    <w:uiPriority w:val="99"/>
    <w:qFormat/>
    <w:pPr>
      <w:spacing w:line="413" w:lineRule="auto"/>
      <w:jc w:val="center"/>
    </w:pPr>
    <w:rPr>
      <w:rFonts w:ascii="Arial" w:eastAsia="黑体" w:hAnsi="Arial" w:cs="Century"/>
      <w:bCs w:val="0"/>
      <w:sz w:val="28"/>
      <w:szCs w:val="30"/>
    </w:rPr>
  </w:style>
  <w:style w:type="paragraph" w:customStyle="1" w:styleId="13f0">
    <w:name w:val="日期13"/>
    <w:basedOn w:val="a2"/>
    <w:next w:val="a2"/>
    <w:uiPriority w:val="99"/>
    <w:qFormat/>
    <w:pPr>
      <w:snapToGrid w:val="0"/>
      <w:spacing w:before="120" w:after="120" w:line="360" w:lineRule="auto"/>
      <w:ind w:firstLineChars="200" w:firstLine="200"/>
      <w:jc w:val="both"/>
      <w:textAlignment w:val="baseline"/>
    </w:pPr>
  </w:style>
  <w:style w:type="paragraph" w:customStyle="1" w:styleId="1114">
    <w:name w:val="样式 111"/>
    <w:basedOn w:val="a2"/>
    <w:uiPriority w:val="99"/>
    <w:qFormat/>
    <w:pPr>
      <w:jc w:val="center"/>
    </w:pPr>
    <w:rPr>
      <w:rFonts w:eastAsia="仿宋_GB2312"/>
      <w:color w:val="000000"/>
      <w:sz w:val="24"/>
    </w:rPr>
  </w:style>
  <w:style w:type="paragraph" w:customStyle="1" w:styleId="Char1CharCharChar14">
    <w:name w:val="Char1 Char Char Char14"/>
    <w:basedOn w:val="a2"/>
    <w:pPr>
      <w:jc w:val="both"/>
    </w:pPr>
    <w:rPr>
      <w:sz w:val="24"/>
    </w:rPr>
  </w:style>
  <w:style w:type="paragraph" w:customStyle="1" w:styleId="CharCharCharCharCharCharCharCharChar30">
    <w:name w:val="Char Char Char Char Char Char Char Char Char3"/>
    <w:basedOn w:val="a2"/>
    <w:uiPriority w:val="99"/>
    <w:qFormat/>
  </w:style>
  <w:style w:type="paragraph" w:customStyle="1" w:styleId="Char1CharCharCharCharCharCharCharChar1">
    <w:name w:val="Char1 Char Char Char Char Char Char Char Char1"/>
    <w:basedOn w:val="a2"/>
    <w:uiPriority w:val="99"/>
    <w:qFormat/>
    <w:pPr>
      <w:jc w:val="both"/>
    </w:pPr>
    <w:rPr>
      <w:sz w:val="24"/>
    </w:rPr>
  </w:style>
  <w:style w:type="paragraph" w:customStyle="1" w:styleId="Normal25">
    <w:name w:val="Normal_25"/>
    <w:qFormat/>
    <w:pPr>
      <w:spacing w:before="120" w:after="240"/>
      <w:jc w:val="both"/>
    </w:pPr>
    <w:rPr>
      <w:rFonts w:ascii="Times New Roman" w:eastAsia="Calibri" w:hAnsi="Times New Roman" w:cs="Times New Roman"/>
      <w:sz w:val="22"/>
      <w:szCs w:val="21"/>
      <w:lang w:val="ru-RU" w:eastAsia="en-US"/>
    </w:rPr>
  </w:style>
  <w:style w:type="paragraph" w:customStyle="1" w:styleId="211112b22CharTimesNewRoman">
    <w:name w:val="样式 标题 2节标题 1.11.1标题2b2标题 2 Char + Times New Roman"/>
    <w:basedOn w:val="22"/>
    <w:next w:val="a2"/>
    <w:uiPriority w:val="99"/>
    <w:qFormat/>
    <w:pPr>
      <w:keepNext w:val="0"/>
      <w:keepLines w:val="0"/>
      <w:tabs>
        <w:tab w:val="left" w:pos="720"/>
      </w:tabs>
      <w:snapToGrid w:val="0"/>
      <w:spacing w:beforeLines="50" w:before="160" w:afterLines="50" w:after="160" w:line="520" w:lineRule="exact"/>
      <w:jc w:val="both"/>
    </w:pPr>
    <w:rPr>
      <w:rFonts w:ascii="Times New Roman" w:eastAsia="黑体" w:hAnsi="宋体" w:cs="Times New Roman"/>
      <w:b w:val="0"/>
      <w:color w:val="000000"/>
      <w:sz w:val="30"/>
      <w:szCs w:val="30"/>
    </w:rPr>
  </w:style>
  <w:style w:type="paragraph" w:customStyle="1" w:styleId="CharCharCharCharCharCharCharCharCharCharCharChar4">
    <w:name w:val="Char Char Char Char Char Char Char Char Char Char Char Char4"/>
    <w:basedOn w:val="a2"/>
    <w:uiPriority w:val="99"/>
    <w:qFormat/>
    <w:pPr>
      <w:jc w:val="both"/>
    </w:pPr>
    <w:rPr>
      <w:sz w:val="24"/>
    </w:rPr>
  </w:style>
  <w:style w:type="paragraph" w:customStyle="1" w:styleId="0012">
    <w:name w:val="样式 正文001 + 首行缩进:  2 字符"/>
    <w:basedOn w:val="a2"/>
    <w:uiPriority w:val="99"/>
    <w:qFormat/>
    <w:pPr>
      <w:spacing w:line="500" w:lineRule="atLeast"/>
      <w:ind w:firstLineChars="200" w:firstLine="480"/>
      <w:jc w:val="both"/>
    </w:pPr>
    <w:rPr>
      <w:sz w:val="24"/>
    </w:rPr>
  </w:style>
  <w:style w:type="paragraph" w:customStyle="1" w:styleId="CharCharCharChar15">
    <w:name w:val="Char Char Char Char15"/>
    <w:basedOn w:val="a2"/>
    <w:qFormat/>
    <w:rPr>
      <w:sz w:val="24"/>
    </w:rPr>
  </w:style>
  <w:style w:type="paragraph" w:customStyle="1" w:styleId="3313Char1CharCharChar31CharCharChar1">
    <w:name w:val="样式 样式 样式 标题 3标题 31标题 3 Char1 Char Char Char标题 31 Char Char Char标...1"/>
    <w:basedOn w:val="a2"/>
    <w:uiPriority w:val="99"/>
    <w:qFormat/>
    <w:pPr>
      <w:keepNext/>
      <w:keepLines/>
      <w:spacing w:beforeLines="50" w:before="156" w:afterLines="50" w:after="156" w:line="520" w:lineRule="exact"/>
      <w:jc w:val="both"/>
      <w:outlineLvl w:val="2"/>
    </w:pPr>
    <w:rPr>
      <w:rFonts w:cs="宋体"/>
      <w:b/>
      <w:bCs/>
      <w:snapToGrid w:val="0"/>
      <w:sz w:val="24"/>
    </w:rPr>
  </w:style>
  <w:style w:type="paragraph" w:customStyle="1" w:styleId="xl42">
    <w:name w:val="xl42"/>
    <w:basedOn w:val="a2"/>
    <w:qFormat/>
    <w:pPr>
      <w:widowControl/>
      <w:pBdr>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wb">
    <w:name w:val="wb"/>
    <w:basedOn w:val="a2"/>
    <w:pPr>
      <w:autoSpaceDE/>
      <w:autoSpaceDN/>
      <w:snapToGrid w:val="0"/>
      <w:spacing w:line="360" w:lineRule="auto"/>
      <w:ind w:firstLineChars="200" w:firstLine="560"/>
      <w:jc w:val="both"/>
    </w:pPr>
    <w:rPr>
      <w:rFonts w:ascii="宋体" w:hAnsi="宋体" w:cs="宋体"/>
      <w:szCs w:val="28"/>
    </w:rPr>
  </w:style>
  <w:style w:type="paragraph" w:customStyle="1" w:styleId="CharCharCharCharChar1Char4">
    <w:name w:val="Char Char Char Char Char1 Char4"/>
    <w:basedOn w:val="a2"/>
    <w:pPr>
      <w:jc w:val="both"/>
    </w:pPr>
  </w:style>
  <w:style w:type="paragraph" w:customStyle="1" w:styleId="CharCharChar4CharCharCharCharCharChar1CharCharCharCharCharChar1CharCharCharCharCharCharCharCharCharCharCharCharCharCharChar1CharCharCharChar">
    <w:name w:val="Char Char Char4 Char Char Char Char Char Char1 Char Char Char Char Char Char1 Char Char Char Char Char Char Char Char Char Char Char Char Char Char Char1 Char Char Char Char"/>
    <w:basedOn w:val="a2"/>
    <w:pPr>
      <w:autoSpaceDE/>
      <w:autoSpaceDN/>
      <w:adjustRightInd/>
      <w:jc w:val="both"/>
    </w:pPr>
    <w:rPr>
      <w:rFonts w:eastAsia="黑体"/>
    </w:rPr>
  </w:style>
  <w:style w:type="paragraph" w:customStyle="1" w:styleId="2ffffffa">
    <w:name w:val="样式 正文▲ + 首行缩进:  2 字符"/>
    <w:basedOn w:val="affffffffffffffffffffffffffffff4"/>
    <w:pPr>
      <w:widowControl w:val="0"/>
      <w:ind w:firstLine="480"/>
    </w:pPr>
    <w:rPr>
      <w:rFonts w:cs="宋体"/>
      <w:bCs/>
      <w:szCs w:val="20"/>
    </w:rPr>
  </w:style>
  <w:style w:type="paragraph" w:customStyle="1" w:styleId="CharCharChar1CharCharCharCharCharCharCharCharCharCharCharCharCharCharCharCharCharCharCharCharCharCharCharCharCharCharChar1">
    <w:name w:val="Char Char Char1 Char Char Char Char Char Char Char Char Char Char Char Char Char Char Char Char Char Char Char Char Char Char Char Char Char Char Char1"/>
    <w:basedOn w:val="a2"/>
    <w:uiPriority w:val="99"/>
    <w:qFormat/>
    <w:pPr>
      <w:spacing w:line="360" w:lineRule="auto"/>
    </w:pPr>
    <w:rPr>
      <w:sz w:val="24"/>
    </w:rPr>
  </w:style>
  <w:style w:type="paragraph" w:customStyle="1" w:styleId="TableText0">
    <w:name w:val="TableText"/>
    <w:uiPriority w:val="99"/>
    <w:qFormat/>
    <w:pPr>
      <w:jc w:val="center"/>
    </w:pPr>
    <w:rPr>
      <w:rFonts w:ascii="Times New Roman" w:eastAsia="宋体" w:hAnsi="Times New Roman" w:cs="Times New Roman"/>
      <w:kern w:val="2"/>
      <w:sz w:val="21"/>
      <w:szCs w:val="24"/>
    </w:rPr>
  </w:style>
  <w:style w:type="paragraph" w:customStyle="1" w:styleId="12322Char">
    <w:name w:val="样式 样式 样式 样式 样式 样式 样式 123 + 自动设置 首行缩进:  2 字符 + 首行缩进:  2 字符 + 黑色 首... Char"/>
    <w:basedOn w:val="a2"/>
    <w:uiPriority w:val="99"/>
    <w:qFormat/>
    <w:pPr>
      <w:tabs>
        <w:tab w:val="left" w:pos="352"/>
      </w:tabs>
      <w:overflowPunct w:val="0"/>
      <w:snapToGrid w:val="0"/>
      <w:spacing w:line="460" w:lineRule="exact"/>
      <w:ind w:firstLineChars="200" w:firstLine="560"/>
      <w:jc w:val="both"/>
      <w:textAlignment w:val="bottom"/>
    </w:pPr>
    <w:rPr>
      <w:rFonts w:cs="宋体"/>
      <w:szCs w:val="28"/>
    </w:rPr>
  </w:style>
  <w:style w:type="paragraph" w:customStyle="1" w:styleId="2chen">
    <w:name w:val="谏壁标题2(chen）"/>
    <w:basedOn w:val="a2"/>
    <w:qFormat/>
    <w:pPr>
      <w:keepNext/>
      <w:keepLines/>
      <w:spacing w:after="120" w:line="360" w:lineRule="auto"/>
      <w:outlineLvl w:val="1"/>
    </w:pPr>
    <w:rPr>
      <w:rFonts w:eastAsia="黑体"/>
      <w:sz w:val="32"/>
      <w:szCs w:val="32"/>
    </w:rPr>
  </w:style>
  <w:style w:type="paragraph" w:customStyle="1" w:styleId="Print-FromToSubjectDate">
    <w:name w:val="Print- From: To: Subject: Date:"/>
    <w:basedOn w:val="a2"/>
    <w:uiPriority w:val="99"/>
    <w:qFormat/>
    <w:pPr>
      <w:pBdr>
        <w:left w:val="single" w:sz="18" w:space="1" w:color="auto"/>
      </w:pBdr>
      <w:spacing w:line="360" w:lineRule="atLeast"/>
      <w:textAlignment w:val="baseline"/>
    </w:pPr>
    <w:rPr>
      <w:rFonts w:eastAsia="PMingLiU"/>
      <w:sz w:val="24"/>
      <w:lang w:eastAsia="zh-TW"/>
    </w:rPr>
  </w:style>
  <w:style w:type="paragraph" w:customStyle="1" w:styleId="hh">
    <w:name w:val="hh"/>
    <w:basedOn w:val="a2"/>
    <w:uiPriority w:val="99"/>
    <w:qFormat/>
    <w:pPr>
      <w:ind w:firstLine="567"/>
      <w:jc w:val="both"/>
      <w:textAlignment w:val="baseline"/>
    </w:pPr>
    <w:rPr>
      <w:color w:val="000000"/>
    </w:rPr>
  </w:style>
  <w:style w:type="paragraph" w:customStyle="1" w:styleId="31113CharChar3CharCharCharChar">
    <w:name w:val="我的 标题 3条标题1.1.1标题 3 Char Char小标题头小节标题标题 3 Char Char Char标... Char"/>
    <w:basedOn w:val="32"/>
    <w:uiPriority w:val="99"/>
    <w:qFormat/>
    <w:pPr>
      <w:snapToGrid w:val="0"/>
      <w:spacing w:before="0" w:after="0" w:line="360" w:lineRule="auto"/>
      <w:jc w:val="both"/>
      <w:textAlignment w:val="baseline"/>
    </w:pPr>
    <w:rPr>
      <w:rFonts w:ascii="Times New Roman" w:eastAsia="黑体"/>
      <w:bCs w:val="0"/>
      <w:snapToGrid w:val="0"/>
      <w:sz w:val="28"/>
      <w:szCs w:val="20"/>
    </w:rPr>
  </w:style>
  <w:style w:type="paragraph" w:customStyle="1" w:styleId="334">
    <w:name w:val="正文文本缩进 33"/>
    <w:basedOn w:val="a2"/>
    <w:uiPriority w:val="99"/>
    <w:qFormat/>
    <w:pPr>
      <w:spacing w:line="360" w:lineRule="auto"/>
      <w:ind w:firstLine="480"/>
      <w:jc w:val="both"/>
    </w:pPr>
    <w:rPr>
      <w:rFonts w:ascii="华文仿宋" w:eastAsia="华文仿宋" w:hAnsi="华文仿宋"/>
      <w:color w:val="000000"/>
    </w:rPr>
  </w:style>
  <w:style w:type="paragraph" w:customStyle="1" w:styleId="Char73">
    <w:name w:val="Char73"/>
    <w:basedOn w:val="a2"/>
    <w:pPr>
      <w:tabs>
        <w:tab w:val="right" w:leader="middleDot" w:pos="600"/>
      </w:tabs>
      <w:jc w:val="both"/>
    </w:pPr>
    <w:rPr>
      <w:rFonts w:ascii="仿宋_GB2312" w:eastAsia="仿宋_GB2312"/>
      <w:sz w:val="30"/>
      <w:szCs w:val="30"/>
    </w:rPr>
  </w:style>
  <w:style w:type="paragraph" w:customStyle="1" w:styleId="4fd">
    <w:name w:val="字元 字元4"/>
    <w:basedOn w:val="a2"/>
    <w:qFormat/>
    <w:pPr>
      <w:jc w:val="both"/>
    </w:pPr>
    <w:rPr>
      <w:sz w:val="24"/>
    </w:rPr>
  </w:style>
  <w:style w:type="paragraph" w:customStyle="1" w:styleId="Normal28">
    <w:name w:val="Normal_28"/>
    <w:qFormat/>
    <w:pPr>
      <w:spacing w:before="120" w:after="240"/>
      <w:jc w:val="both"/>
    </w:pPr>
    <w:rPr>
      <w:rFonts w:ascii="Times New Roman" w:eastAsia="Calibri" w:hAnsi="Times New Roman" w:cs="Times New Roman"/>
      <w:sz w:val="22"/>
      <w:szCs w:val="21"/>
      <w:lang w:val="ru-RU" w:eastAsia="en-US"/>
    </w:rPr>
  </w:style>
  <w:style w:type="paragraph" w:customStyle="1" w:styleId="1ffffffffe">
    <w:name w:val="文字1"/>
    <w:basedOn w:val="a2"/>
    <w:uiPriority w:val="99"/>
    <w:qFormat/>
    <w:pPr>
      <w:snapToGrid w:val="0"/>
      <w:spacing w:before="120" w:after="120" w:line="360" w:lineRule="auto"/>
      <w:ind w:firstLineChars="200" w:firstLine="200"/>
      <w:jc w:val="both"/>
    </w:pPr>
    <w:rPr>
      <w:rFonts w:ascii="仿宋_GB2312" w:eastAsia="仿宋_GB2312" w:hAnsi="宋体"/>
      <w:sz w:val="24"/>
    </w:rPr>
  </w:style>
  <w:style w:type="paragraph" w:customStyle="1" w:styleId="affffffffffffffffffffffffffffffff3">
    <w:name w:val="图表内容"/>
    <w:basedOn w:val="a2"/>
    <w:uiPriority w:val="99"/>
    <w:qFormat/>
    <w:pPr>
      <w:jc w:val="center"/>
      <w:textAlignment w:val="baseline"/>
    </w:pPr>
    <w:rPr>
      <w:rFonts w:ascii="宋体"/>
    </w:rPr>
  </w:style>
  <w:style w:type="paragraph" w:customStyle="1" w:styleId="xl93">
    <w:name w:val="xl93"/>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Style15">
    <w:name w:val="_Style 15"/>
    <w:basedOn w:val="a2"/>
    <w:uiPriority w:val="99"/>
    <w:qFormat/>
    <w:pPr>
      <w:snapToGrid w:val="0"/>
      <w:spacing w:line="240" w:lineRule="exact"/>
      <w:ind w:firstLineChars="200" w:firstLine="200"/>
      <w:jc w:val="both"/>
    </w:pPr>
    <w:rPr>
      <w:rFonts w:ascii="仿宋_GB2312" w:eastAsia="仿宋_GB2312"/>
    </w:rPr>
  </w:style>
  <w:style w:type="paragraph" w:customStyle="1" w:styleId="12fc">
    <w:name w:val="无间隔12"/>
    <w:qFormat/>
    <w:pPr>
      <w:widowControl w:val="0"/>
      <w:adjustRightInd w:val="0"/>
      <w:spacing w:beforeLines="50" w:before="50" w:afterLines="50" w:after="50" w:line="360" w:lineRule="auto"/>
      <w:ind w:firstLineChars="40" w:firstLine="40"/>
      <w:jc w:val="center"/>
      <w:textAlignment w:val="baseline"/>
    </w:pPr>
    <w:rPr>
      <w:rFonts w:ascii="Times New Roman" w:eastAsia="宋体" w:hAnsi="Times New Roman" w:cs="Times New Roman"/>
      <w:b/>
      <w:sz w:val="21"/>
    </w:rPr>
  </w:style>
  <w:style w:type="paragraph" w:customStyle="1" w:styleId="CharCharCharCharCharCharCharCharChar1CharCharChar2">
    <w:name w:val="Char Char Char Char Char Char Char Char Char1 Char Char Char2"/>
    <w:basedOn w:val="a2"/>
    <w:uiPriority w:val="99"/>
    <w:qFormat/>
    <w:pPr>
      <w:jc w:val="both"/>
    </w:pPr>
    <w:rPr>
      <w:rFonts w:ascii="Times New Roman"/>
    </w:rPr>
  </w:style>
  <w:style w:type="paragraph" w:customStyle="1" w:styleId="Char1CharCharCharCharCharCharCharCharChar1CharCharCharCharCharChar4">
    <w:name w:val="Char1 Char Char Char Char Char Char Char Char Char1 Char Char Char Char Char Char4"/>
    <w:basedOn w:val="a2"/>
    <w:uiPriority w:val="99"/>
    <w:qFormat/>
    <w:pPr>
      <w:spacing w:before="100" w:beforeAutospacing="1" w:after="100" w:afterAutospacing="1"/>
      <w:ind w:firstLineChars="200" w:firstLine="200"/>
    </w:pPr>
    <w:rPr>
      <w:rFonts w:ascii="Verdana" w:eastAsia="仿宋_GB2312" w:hAnsi="Verdana"/>
      <w:sz w:val="20"/>
      <w:lang w:eastAsia="en-US"/>
    </w:rPr>
  </w:style>
  <w:style w:type="paragraph" w:customStyle="1" w:styleId="reader-word-layerreader-word-s1-9">
    <w:name w:val="reader-word-layer reader-word-s1-9"/>
    <w:basedOn w:val="a2"/>
    <w:qFormat/>
    <w:pPr>
      <w:spacing w:before="100" w:beforeAutospacing="1" w:after="100" w:afterAutospacing="1"/>
    </w:pPr>
    <w:rPr>
      <w:rFonts w:ascii="宋体" w:hAnsi="宋体" w:cs="宋体"/>
      <w:sz w:val="24"/>
    </w:rPr>
  </w:style>
  <w:style w:type="paragraph" w:customStyle="1" w:styleId="font11">
    <w:name w:val="font11"/>
    <w:basedOn w:val="a2"/>
    <w:qFormat/>
    <w:pPr>
      <w:spacing w:before="100" w:beforeAutospacing="1" w:after="100" w:afterAutospacing="1"/>
    </w:pPr>
    <w:rPr>
      <w:rFonts w:ascii="宋体" w:hAnsi="宋体" w:hint="eastAsia"/>
      <w:color w:val="000000"/>
      <w:sz w:val="18"/>
      <w:szCs w:val="18"/>
    </w:rPr>
  </w:style>
  <w:style w:type="paragraph" w:customStyle="1" w:styleId="affffffffffffffffffffffffffffffff4">
    <w:name w:val="表体宋旭峰"/>
    <w:basedOn w:val="a2"/>
    <w:uiPriority w:val="99"/>
    <w:qFormat/>
    <w:pPr>
      <w:overflowPunct w:val="0"/>
      <w:spacing w:line="360" w:lineRule="auto"/>
      <w:jc w:val="center"/>
      <w:textAlignment w:val="baseline"/>
    </w:pPr>
    <w:rPr>
      <w:rFonts w:ascii="宋体" w:hAnsi="宋体" w:cs="Courier New"/>
      <w:snapToGrid w:val="0"/>
      <w:spacing w:val="-20"/>
    </w:rPr>
  </w:style>
  <w:style w:type="paragraph" w:customStyle="1" w:styleId="affffffffffffffffffffffffffffffff5">
    <w:name w:val="单行表格样式(居中)"/>
    <w:uiPriority w:val="99"/>
    <w:qFormat/>
    <w:pPr>
      <w:jc w:val="center"/>
    </w:pPr>
    <w:rPr>
      <w:rFonts w:ascii="Times New Roman" w:eastAsia="宋体" w:hAnsi="Times New Roman" w:cs="Times New Roman"/>
      <w:kern w:val="2"/>
      <w:sz w:val="21"/>
      <w:szCs w:val="28"/>
    </w:rPr>
  </w:style>
  <w:style w:type="paragraph" w:customStyle="1" w:styleId="3ffff7">
    <w:name w:val="批注主题3"/>
    <w:basedOn w:val="af1"/>
    <w:next w:val="af1"/>
    <w:uiPriority w:val="99"/>
    <w:qFormat/>
    <w:pPr>
      <w:textAlignment w:val="baseline"/>
    </w:pPr>
    <w:rPr>
      <w:rFonts w:ascii="Calibri" w:eastAsia="宋体" w:hint="eastAsia"/>
      <w:b/>
    </w:rPr>
  </w:style>
  <w:style w:type="paragraph" w:customStyle="1" w:styleId="m3">
    <w:name w:val="m3"/>
    <w:basedOn w:val="a2"/>
    <w:uiPriority w:val="99"/>
    <w:qFormat/>
    <w:pPr>
      <w:overflowPunct w:val="0"/>
      <w:spacing w:before="120" w:line="312" w:lineRule="auto"/>
      <w:jc w:val="both"/>
      <w:textAlignment w:val="baseline"/>
    </w:pPr>
    <w:rPr>
      <w:rFonts w:ascii="仿宋体" w:eastAsia="仿宋体"/>
      <w:spacing w:val="-14"/>
    </w:rPr>
  </w:style>
  <w:style w:type="paragraph" w:customStyle="1" w:styleId="Char1CharCharCharCharCharChar12">
    <w:name w:val="Char1 Char Char Char Char Char Char12"/>
    <w:basedOn w:val="a2"/>
    <w:next w:val="a2"/>
    <w:uiPriority w:val="99"/>
    <w:qFormat/>
    <w:pPr>
      <w:spacing w:line="360" w:lineRule="auto"/>
      <w:ind w:firstLineChars="200" w:firstLine="200"/>
      <w:jc w:val="center"/>
    </w:pPr>
    <w:rPr>
      <w:rFonts w:ascii="Times New Roman" w:eastAsia="黑体"/>
    </w:rPr>
  </w:style>
  <w:style w:type="paragraph" w:customStyle="1" w:styleId="7CharChar">
    <w:name w:val="目录 7 Char Char"/>
    <w:basedOn w:val="a2"/>
    <w:next w:val="a2"/>
    <w:qFormat/>
    <w:pPr>
      <w:spacing w:line="351" w:lineRule="atLeast"/>
      <w:ind w:left="1258" w:firstLine="419"/>
    </w:pPr>
    <w:rPr>
      <w:rFonts w:hAnsi="宋体"/>
    </w:rPr>
  </w:style>
  <w:style w:type="paragraph" w:customStyle="1" w:styleId="085015015">
    <w:name w:val="样式 黑色 首行缩进:  0.85 厘米 段前: 0.15 行 段后: 0.15 行"/>
    <w:basedOn w:val="a2"/>
    <w:uiPriority w:val="99"/>
    <w:qFormat/>
    <w:pPr>
      <w:spacing w:line="360" w:lineRule="auto"/>
      <w:ind w:firstLine="482"/>
      <w:jc w:val="both"/>
    </w:pPr>
    <w:rPr>
      <w:rFonts w:ascii="宋体"/>
      <w:color w:val="000000"/>
      <w:sz w:val="24"/>
    </w:rPr>
  </w:style>
  <w:style w:type="paragraph" w:customStyle="1" w:styleId="0000">
    <w:name w:val="正文000"/>
    <w:basedOn w:val="af8"/>
    <w:pPr>
      <w:autoSpaceDE/>
      <w:autoSpaceDN/>
      <w:snapToGrid w:val="0"/>
      <w:spacing w:beforeLines="50" w:before="156" w:afterLines="50" w:after="156" w:line="360" w:lineRule="auto"/>
      <w:ind w:firstLineChars="200" w:firstLine="200"/>
      <w:jc w:val="both"/>
    </w:pPr>
    <w:rPr>
      <w:rFonts w:ascii="Times New Roman" w:hAnsi="Times New Roman"/>
      <w:color w:val="000000"/>
      <w:spacing w:val="14"/>
      <w:kern w:val="2"/>
      <w:sz w:val="21"/>
      <w:szCs w:val="20"/>
    </w:rPr>
  </w:style>
  <w:style w:type="paragraph" w:customStyle="1" w:styleId="Title3">
    <w:name w:val="Title 3"/>
    <w:basedOn w:val="32"/>
    <w:next w:val="a2"/>
    <w:uiPriority w:val="99"/>
    <w:qFormat/>
    <w:pPr>
      <w:keepNext w:val="0"/>
      <w:keepLines w:val="0"/>
      <w:snapToGrid w:val="0"/>
      <w:spacing w:before="0" w:after="0" w:line="500" w:lineRule="exact"/>
      <w:ind w:firstLineChars="200" w:firstLine="480"/>
    </w:pPr>
    <w:rPr>
      <w:rFonts w:ascii="Times New Roman" w:eastAsia="宋体"/>
      <w:b w:val="0"/>
      <w:bCs w:val="0"/>
      <w:color w:val="000000"/>
      <w:sz w:val="24"/>
      <w:szCs w:val="26"/>
      <w:lang w:eastAsia="ko-KR"/>
    </w:rPr>
  </w:style>
  <w:style w:type="paragraph" w:customStyle="1" w:styleId="CharCharCharCharCharCharCharCharChar1CharCharCharCharCharChar8">
    <w:name w:val="Char Char Char Char Char Char Char Char Char1 Char Char Char Char Char Char8"/>
    <w:basedOn w:val="a2"/>
    <w:uiPriority w:val="99"/>
    <w:qFormat/>
    <w:pPr>
      <w:jc w:val="both"/>
    </w:pPr>
    <w:rPr>
      <w:rFonts w:ascii="Times New Roman"/>
    </w:rPr>
  </w:style>
  <w:style w:type="paragraph" w:customStyle="1" w:styleId="xl38">
    <w:name w:val="xl3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rPr>
  </w:style>
  <w:style w:type="paragraph" w:customStyle="1" w:styleId="affffffffffffffffffffffffffffffff6">
    <w:name w:val="表格（大）"/>
    <w:basedOn w:val="a2"/>
    <w:qFormat/>
    <w:pPr>
      <w:jc w:val="center"/>
    </w:pPr>
    <w:rPr>
      <w:rFonts w:ascii="仿宋_GB2312" w:eastAsia="仿宋_GB2312"/>
      <w:color w:val="000000"/>
      <w:sz w:val="24"/>
    </w:rPr>
  </w:style>
  <w:style w:type="paragraph" w:customStyle="1" w:styleId="dandan6-13CharCharChar">
    <w:name w:val="dandan6-13正文 Char Char Char"/>
    <w:basedOn w:val="a2"/>
    <w:next w:val="a2"/>
    <w:uiPriority w:val="99"/>
    <w:qFormat/>
    <w:pPr>
      <w:keepNext/>
      <w:keepLines/>
      <w:tabs>
        <w:tab w:val="left" w:pos="0"/>
      </w:tabs>
      <w:spacing w:before="40" w:after="40" w:line="340" w:lineRule="exact"/>
      <w:ind w:firstLineChars="200" w:firstLine="200"/>
      <w:textAlignment w:val="baseline"/>
    </w:pPr>
    <w:rPr>
      <w:rFonts w:cs="宋体"/>
      <w:sz w:val="24"/>
      <w:szCs w:val="28"/>
    </w:rPr>
  </w:style>
  <w:style w:type="paragraph" w:customStyle="1" w:styleId="affffffffffffffffffffffffffffffff7">
    <w:name w:val="福建表格文字"/>
    <w:basedOn w:val="a2"/>
    <w:uiPriority w:val="99"/>
    <w:qFormat/>
    <w:pPr>
      <w:spacing w:line="300" w:lineRule="auto"/>
      <w:ind w:left="-28" w:right="-29" w:firstLineChars="13" w:firstLine="27"/>
      <w:jc w:val="center"/>
    </w:pPr>
    <w:rPr>
      <w:rFonts w:ascii="宋体" w:hAnsi="宋体"/>
    </w:rPr>
  </w:style>
  <w:style w:type="paragraph" w:customStyle="1" w:styleId="CharChar1CharCharCharChar5">
    <w:name w:val="Char Char1 Char Char Char Char5"/>
    <w:basedOn w:val="a2"/>
    <w:qFormat/>
  </w:style>
  <w:style w:type="paragraph" w:customStyle="1" w:styleId="affffffffffffffffffffffffffffffff8">
    <w:name w:val="一级无标题条"/>
    <w:basedOn w:val="a2"/>
    <w:qFormat/>
    <w:rPr>
      <w:rFonts w:hAnsi="宋体"/>
    </w:rPr>
  </w:style>
  <w:style w:type="paragraph" w:customStyle="1" w:styleId="CharCharCharCharCharCharCharCharCharCharCharCharChar2">
    <w:name w:val="Char Char Char Char Char Char Char Char Char Char Char Char Char2"/>
    <w:basedOn w:val="a2"/>
    <w:uiPriority w:val="99"/>
    <w:qFormat/>
    <w:pPr>
      <w:jc w:val="both"/>
    </w:pPr>
  </w:style>
  <w:style w:type="paragraph" w:customStyle="1" w:styleId="221121TimesNewRoman83">
    <w:name w:val="样式 标题 2标题 21标题 121 + Times New Roman 小三 非加粗 黑色 段前: 8 磅 段...3"/>
    <w:basedOn w:val="a2"/>
    <w:uiPriority w:val="99"/>
    <w:qFormat/>
    <w:pPr>
      <w:tabs>
        <w:tab w:val="left" w:pos="238"/>
      </w:tabs>
      <w:ind w:left="238"/>
      <w:jc w:val="both"/>
    </w:pPr>
  </w:style>
  <w:style w:type="paragraph" w:customStyle="1" w:styleId="affffffffffffffffffffffffffffffff9">
    <w:name w:val="陈正文"/>
    <w:basedOn w:val="a2"/>
    <w:next w:val="a2"/>
    <w:uiPriority w:val="99"/>
    <w:qFormat/>
    <w:pPr>
      <w:spacing w:line="288" w:lineRule="auto"/>
      <w:ind w:firstLineChars="171" w:firstLine="410"/>
      <w:jc w:val="both"/>
    </w:pPr>
    <w:rPr>
      <w:rFonts w:eastAsia="仿宋_GB2312"/>
      <w:sz w:val="24"/>
    </w:rPr>
  </w:style>
  <w:style w:type="paragraph" w:customStyle="1" w:styleId="4fe">
    <w:name w:val="标题正4"/>
    <w:basedOn w:val="a2"/>
    <w:qFormat/>
    <w:pPr>
      <w:spacing w:line="240" w:lineRule="exact"/>
      <w:jc w:val="center"/>
    </w:pPr>
  </w:style>
  <w:style w:type="paragraph" w:customStyle="1" w:styleId="22d">
    <w:name w:val="样式 正文 + 首行缩进:  2 字符 + 宋体 四号 首行缩进:  2 字符"/>
    <w:basedOn w:val="2ffff8"/>
    <w:uiPriority w:val="99"/>
    <w:qFormat/>
    <w:pPr>
      <w:spacing w:line="480" w:lineRule="exact"/>
      <w:ind w:firstLine="200"/>
    </w:pPr>
    <w:rPr>
      <w:rFonts w:ascii="宋体" w:hAnsi="宋体" w:cs="Times New Roman"/>
      <w:sz w:val="28"/>
    </w:rPr>
  </w:style>
  <w:style w:type="paragraph" w:customStyle="1" w:styleId="MyList-5">
    <w:name w:val="MyList-5"/>
    <w:basedOn w:val="MyList-4"/>
    <w:uiPriority w:val="99"/>
    <w:qFormat/>
    <w:pPr>
      <w:numPr>
        <w:ilvl w:val="4"/>
      </w:numPr>
      <w:tabs>
        <w:tab w:val="clear" w:pos="1191"/>
      </w:tabs>
    </w:pPr>
  </w:style>
  <w:style w:type="paragraph" w:customStyle="1" w:styleId="CharChar1CharCharCharChar12">
    <w:name w:val="Char Char1 Char Char Char Char12"/>
    <w:basedOn w:val="a2"/>
    <w:uiPriority w:val="99"/>
    <w:qFormat/>
    <w:pPr>
      <w:jc w:val="both"/>
    </w:pPr>
    <w:rPr>
      <w:rFonts w:ascii="Times New Roman"/>
    </w:rPr>
  </w:style>
  <w:style w:type="paragraph" w:customStyle="1" w:styleId="affffffffffffffffffffffffffffffffa">
    <w:name w:val="本文１"/>
    <w:basedOn w:val="a2"/>
    <w:qFormat/>
    <w:pPr>
      <w:jc w:val="both"/>
    </w:pPr>
    <w:rPr>
      <w:rFonts w:eastAsia="DFKai-SB"/>
      <w:lang w:eastAsia="zh-TW"/>
    </w:rPr>
  </w:style>
  <w:style w:type="paragraph" w:customStyle="1" w:styleId="085150">
    <w:name w:val="样式 宋体 小四 两端对齐 首行缩进:  0.85 厘米 行距: 1.5 倍行距"/>
    <w:basedOn w:val="a2"/>
    <w:uiPriority w:val="99"/>
    <w:qFormat/>
    <w:pPr>
      <w:spacing w:line="360" w:lineRule="auto"/>
      <w:ind w:firstLine="482"/>
      <w:jc w:val="both"/>
    </w:pPr>
    <w:rPr>
      <w:sz w:val="24"/>
    </w:rPr>
  </w:style>
  <w:style w:type="paragraph" w:customStyle="1" w:styleId="22e">
    <w:name w:val="22"/>
    <w:basedOn w:val="a2"/>
    <w:next w:val="af5"/>
    <w:qFormat/>
    <w:pPr>
      <w:spacing w:line="500" w:lineRule="exact"/>
      <w:ind w:firstLineChars="200" w:firstLine="560"/>
      <w:jc w:val="both"/>
    </w:pPr>
    <w:rPr>
      <w:rFonts w:ascii="仿宋_GB2312" w:eastAsia="仿宋_GB2312"/>
      <w:color w:val="FF0000"/>
    </w:rPr>
  </w:style>
  <w:style w:type="paragraph" w:customStyle="1" w:styleId="CharCharCharCharCharCharCharCharCharCharCharCharCharCharCharCharCharCharCharCharCharCharCharCharCharCharCharChar4">
    <w:name w:val="Char Char Char Char Char Char Char Char Char Char Char Char Char Char Char Char Char Char Char Char Char Char Char Char Char Char Char Char4"/>
    <w:basedOn w:val="a2"/>
    <w:qFormat/>
    <w:pPr>
      <w:widowControl/>
      <w:spacing w:after="160" w:line="240" w:lineRule="exact"/>
    </w:pPr>
    <w:rPr>
      <w:rFonts w:ascii="Verdana" w:hAnsi="Verdana"/>
      <w:sz w:val="20"/>
      <w:lang w:eastAsia="en-US"/>
    </w:rPr>
  </w:style>
  <w:style w:type="paragraph" w:customStyle="1" w:styleId="CharChar2CharCharCharChar2">
    <w:name w:val="Char Char2 Char Char Char Char2"/>
    <w:basedOn w:val="a2"/>
    <w:pPr>
      <w:keepNext/>
      <w:tabs>
        <w:tab w:val="left" w:pos="425"/>
      </w:tabs>
      <w:spacing w:before="80" w:after="80"/>
      <w:ind w:hanging="425"/>
      <w:jc w:val="both"/>
    </w:pPr>
    <w:rPr>
      <w:rFonts w:hAnsi="Arial" w:cs="Arial"/>
      <w:sz w:val="20"/>
    </w:rPr>
  </w:style>
  <w:style w:type="paragraph" w:customStyle="1" w:styleId="CharCharCharCharCharCharCharCharChar1CharCharCharCharCharChar3">
    <w:name w:val="Char Char Char Char Char Char Char Char Char1 Char Char Char Char Char Char3"/>
    <w:basedOn w:val="a2"/>
    <w:qFormat/>
    <w:rPr>
      <w:sz w:val="24"/>
    </w:rPr>
  </w:style>
  <w:style w:type="paragraph" w:customStyle="1" w:styleId="107">
    <w:name w:val="表题10"/>
    <w:basedOn w:val="a2"/>
    <w:uiPriority w:val="99"/>
    <w:qFormat/>
    <w:pPr>
      <w:snapToGrid w:val="0"/>
      <w:spacing w:before="180" w:after="60"/>
      <w:jc w:val="center"/>
    </w:pPr>
    <w:rPr>
      <w:b/>
    </w:rPr>
  </w:style>
  <w:style w:type="paragraph" w:customStyle="1" w:styleId="4ff">
    <w:name w:val="目录4"/>
    <w:basedOn w:val="a2"/>
    <w:next w:val="a2"/>
    <w:qFormat/>
    <w:pPr>
      <w:tabs>
        <w:tab w:val="left" w:leader="dot" w:pos="8503"/>
      </w:tabs>
      <w:spacing w:line="317" w:lineRule="atLeast"/>
      <w:ind w:left="419" w:firstLine="629"/>
    </w:pPr>
    <w:rPr>
      <w:rFonts w:hAnsi="宋体"/>
    </w:rPr>
  </w:style>
  <w:style w:type="paragraph" w:customStyle="1" w:styleId="zg1">
    <w:name w:val="zg1"/>
    <w:basedOn w:val="a2"/>
    <w:qFormat/>
    <w:pPr>
      <w:spacing w:line="500" w:lineRule="exact"/>
      <w:ind w:firstLineChars="200" w:firstLine="200"/>
      <w:jc w:val="both"/>
    </w:pPr>
    <w:rPr>
      <w:sz w:val="24"/>
    </w:rPr>
  </w:style>
  <w:style w:type="paragraph" w:customStyle="1" w:styleId="21f7">
    <w:name w:val="样式 正文标准格式 + 左侧:  2 字符1"/>
    <w:basedOn w:val="afffffffffffffffffffff4"/>
    <w:uiPriority w:val="99"/>
    <w:qFormat/>
    <w:pPr>
      <w:ind w:leftChars="0" w:left="0"/>
    </w:pPr>
  </w:style>
  <w:style w:type="paragraph" w:customStyle="1" w:styleId="affffffffffffffffffffffffffffffffb">
    <w:name w:val="齐鲁报告"/>
    <w:basedOn w:val="a2"/>
    <w:uiPriority w:val="99"/>
    <w:qFormat/>
    <w:pPr>
      <w:spacing w:line="520" w:lineRule="exact"/>
      <w:ind w:firstLineChars="200" w:firstLine="560"/>
    </w:pPr>
    <w:rPr>
      <w:rFonts w:ascii="宋体"/>
      <w:szCs w:val="28"/>
    </w:rPr>
  </w:style>
  <w:style w:type="paragraph" w:customStyle="1" w:styleId="affffffffffffffffffffffffffffffffc">
    <w:name w:val="一级标题上"/>
    <w:basedOn w:val="a2"/>
    <w:semiHidden/>
    <w:qFormat/>
    <w:pPr>
      <w:spacing w:beforeLines="50" w:before="50" w:afterLines="50" w:after="50"/>
      <w:jc w:val="both"/>
    </w:pPr>
    <w:rPr>
      <w:rFonts w:ascii="Times New Roman" w:eastAsia="黑体"/>
    </w:rPr>
  </w:style>
  <w:style w:type="paragraph" w:customStyle="1" w:styleId="2ffffffb">
    <w:name w:val="样式 标题 2 + 宋体 四号"/>
    <w:basedOn w:val="22"/>
    <w:uiPriority w:val="99"/>
    <w:qFormat/>
    <w:pPr>
      <w:spacing w:line="416" w:lineRule="atLeast"/>
      <w:textAlignment w:val="baseline"/>
    </w:pPr>
    <w:rPr>
      <w:rFonts w:ascii="宋体" w:eastAsia="宋体" w:hAnsi="宋体" w:cs="Times New Roman"/>
      <w:sz w:val="30"/>
      <w:szCs w:val="20"/>
    </w:rPr>
  </w:style>
  <w:style w:type="paragraph" w:customStyle="1" w:styleId="0b">
    <w:name w:val="样式 左  0 字符"/>
    <w:basedOn w:val="a2"/>
    <w:qFormat/>
    <w:pPr>
      <w:spacing w:line="460" w:lineRule="exact"/>
      <w:ind w:firstLineChars="200" w:firstLine="200"/>
      <w:jc w:val="both"/>
    </w:pPr>
    <w:rPr>
      <w:rFonts w:cs="宋体"/>
      <w:sz w:val="24"/>
    </w:rPr>
  </w:style>
  <w:style w:type="table" w:customStyle="1" w:styleId="1fffffffff">
    <w:name w:val="典雅型1"/>
    <w:basedOn w:val="a5"/>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ff">
    <w:name w:val="三线表11"/>
    <w:basedOn w:val="affa"/>
    <w:pPr>
      <w:adjustRightInd w:val="0"/>
      <w:snapToGrid w:val="0"/>
      <w:spacing w:line="312" w:lineRule="auto"/>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style>
  <w:style w:type="table" w:customStyle="1" w:styleId="11ff0">
    <w:name w:val="表格主题11"/>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网格型 511"/>
    <w:basedOn w:val="a5"/>
    <w:pPr>
      <w:widowControl w:val="0"/>
      <w:jc w:val="both"/>
    </w:pPr>
    <w:rPr>
      <w:rFonts w:ascii="Times New Roman" w:eastAsia="宋体"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f1">
    <w:name w:val="环评11"/>
    <w:basedOn w:val="affa"/>
    <w:rPr>
      <w:sz w:val="21"/>
    </w:rPr>
    <w:tblPr>
      <w:jc w:val="center"/>
      <w:tblInd w:w="0" w:type="dxa"/>
      <w:tblBorders>
        <w:top w:val="single" w:sz="12" w:space="0" w:color="auto"/>
        <w:bottom w:val="single" w:sz="12" w:space="0" w:color="auto"/>
      </w:tblBorders>
      <w:tblCellMar>
        <w:top w:w="0" w:type="dxa"/>
        <w:left w:w="108" w:type="dxa"/>
        <w:bottom w:w="0" w:type="dxa"/>
        <w:right w:w="108" w:type="dxa"/>
      </w:tblCellMar>
    </w:tblPr>
    <w:trPr>
      <w:jc w:val="center"/>
    </w:trPr>
    <w:tcPr>
      <w:vAlign w:val="center"/>
    </w:tcPr>
  </w:style>
  <w:style w:type="table" w:customStyle="1" w:styleId="21f8">
    <w:name w:val="三线式21"/>
    <w:basedOn w:val="a5"/>
    <w:pPr>
      <w:jc w:val="center"/>
    </w:pPr>
    <w:rPr>
      <w:rFonts w:ascii="Times New Roman" w:eastAsia="宋体" w:hAnsi="Times New Roman" w:cs="Times New Roman"/>
    </w:rPr>
    <w:tblP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cantSplit/>
      <w:tblHeader/>
    </w:trPr>
  </w:style>
  <w:style w:type="table" w:customStyle="1" w:styleId="711">
    <w:name w:val="网格型 711"/>
    <w:basedOn w:val="a5"/>
    <w:pPr>
      <w:widowControl w:val="0"/>
      <w:jc w:val="both"/>
    </w:pPr>
    <w:rPr>
      <w:rFonts w:ascii="Times New Roman" w:eastAsia="宋体"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0">
    <w:name w:val="简明型 121"/>
    <w:basedOn w:val="a5"/>
    <w:pPr>
      <w:widowControl w:val="0"/>
      <w:jc w:val="both"/>
    </w:pPr>
    <w:rPr>
      <w:rFonts w:ascii="Times New Roman" w:eastAsia="宋体"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ffff8">
    <w:name w:val="专业型3"/>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21">
    <w:name w:val="网格型 521"/>
    <w:basedOn w:val="a5"/>
    <w:pPr>
      <w:widowControl w:val="0"/>
      <w:jc w:val="both"/>
    </w:pPr>
    <w:rPr>
      <w:rFonts w:ascii="Times New Roman" w:eastAsia="宋体"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ffff9">
    <w:name w:val="环评3"/>
    <w:basedOn w:val="affa"/>
    <w:rPr>
      <w:sz w:val="21"/>
    </w:rPr>
    <w:tblPr>
      <w:jc w:val="center"/>
      <w:tblInd w:w="0" w:type="dxa"/>
      <w:tblBorders>
        <w:top w:val="single" w:sz="12" w:space="0" w:color="auto"/>
        <w:bottom w:val="single" w:sz="12" w:space="0" w:color="auto"/>
      </w:tblBorders>
      <w:tblCellMar>
        <w:top w:w="0" w:type="dxa"/>
        <w:left w:w="108" w:type="dxa"/>
        <w:bottom w:w="0" w:type="dxa"/>
        <w:right w:w="108" w:type="dxa"/>
      </w:tblCellMar>
    </w:tblPr>
    <w:trPr>
      <w:jc w:val="center"/>
    </w:trPr>
    <w:tcPr>
      <w:vAlign w:val="center"/>
    </w:tcPr>
  </w:style>
  <w:style w:type="table" w:customStyle="1" w:styleId="2ffffffc">
    <w:name w:val="三线式2"/>
    <w:basedOn w:val="a5"/>
    <w:pPr>
      <w:jc w:val="center"/>
    </w:pPr>
    <w:rPr>
      <w:rFonts w:ascii="Times New Roman" w:eastAsia="宋体" w:hAnsi="Times New Roman" w:cs="Times New Roman"/>
    </w:rPr>
    <w:tblP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cantSplit/>
      <w:tblHeader/>
    </w:trPr>
  </w:style>
  <w:style w:type="table" w:customStyle="1" w:styleId="11ff2">
    <w:name w:val="专业型11"/>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621">
    <w:name w:val="列表型 621"/>
    <w:basedOn w:val="a5"/>
    <w:pPr>
      <w:widowControl w:val="0"/>
      <w:spacing w:line="360" w:lineRule="auto"/>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b01">
    <w:name w:val="wb01"/>
    <w:basedOn w:val="a5"/>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1211">
    <w:name w:val="网格型 121"/>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ffffa">
    <w:name w:val="网格型3"/>
    <w:basedOn w:val="a5"/>
    <w:uiPriority w:val="59"/>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fd">
    <w:name w:val="网格型2"/>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b012">
    <w:name w:val="wb012"/>
    <w:basedOn w:val="a5"/>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21f9">
    <w:name w:val="专业型21"/>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wb011">
    <w:name w:val="wb011"/>
    <w:basedOn w:val="a5"/>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12fd">
    <w:name w:val="网格型 12"/>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2">
    <w:name w:val="Table Normal2"/>
    <w:basedOn w:val="a5"/>
    <w:pPr>
      <w:widowControl w:val="0"/>
    </w:pPr>
    <w:rPr>
      <w:rFonts w:ascii="Times New Roman" w:eastAsia="Times New Roman" w:hAnsi="Times New Roman" w:cs="Times New Roman"/>
      <w:sz w:val="22"/>
      <w:lang w:eastAsia="en-US"/>
    </w:rPr>
    <w:tblPr>
      <w:tblInd w:w="0" w:type="dxa"/>
      <w:tblCellMar>
        <w:top w:w="0" w:type="dxa"/>
        <w:left w:w="0" w:type="dxa"/>
        <w:bottom w:w="0" w:type="dxa"/>
        <w:right w:w="0" w:type="dxa"/>
      </w:tblCellMar>
    </w:tblPr>
  </w:style>
  <w:style w:type="table" w:customStyle="1" w:styleId="1fffffffff0">
    <w:name w:val="三线表1"/>
    <w:basedOn w:val="affa"/>
    <w:pPr>
      <w:adjustRightInd w:val="0"/>
      <w:snapToGrid w:val="0"/>
      <w:spacing w:line="312" w:lineRule="auto"/>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style>
  <w:style w:type="table" w:customStyle="1" w:styleId="3ffffb">
    <w:name w:val="环评报告书表格3"/>
    <w:basedOn w:val="a5"/>
    <w:pPr>
      <w:spacing w:line="360" w:lineRule="exact"/>
    </w:pPr>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418">
    <w:name w:val="网格型41"/>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网格型421"/>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f1">
    <w:name w:val="表格主题1"/>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列表型 31"/>
    <w:basedOn w:val="a5"/>
    <w:pPr>
      <w:widowControl w:val="0"/>
      <w:jc w:val="both"/>
    </w:pPr>
    <w:rPr>
      <w:rFonts w:ascii="Times New Roman" w:eastAsia="宋体" w:hAnsi="Times New Roman" w:cs="Times New Roman"/>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fffffffff2">
    <w:name w:val="流行型1"/>
    <w:basedOn w:val="a5"/>
    <w:pPr>
      <w:widowControl w:val="0"/>
      <w:jc w:val="both"/>
    </w:pPr>
    <w:rPr>
      <w:rFonts w:ascii="Times New Roman" w:eastAsia="宋体" w:hAnsi="Times New Roman" w:cs="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ffffffe">
    <w:name w:val="典雅型2"/>
    <w:basedOn w:val="a5"/>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affffffffffffffffffffffffffffffffd">
    <w:name w:val="三线表"/>
    <w:basedOn w:val="affa"/>
    <w:pPr>
      <w:adjustRightInd w:val="0"/>
      <w:snapToGrid w:val="0"/>
      <w:spacing w:line="312" w:lineRule="auto"/>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style>
  <w:style w:type="table" w:customStyle="1" w:styleId="520">
    <w:name w:val="网格型 52"/>
    <w:basedOn w:val="a5"/>
    <w:pPr>
      <w:widowControl w:val="0"/>
      <w:jc w:val="both"/>
    </w:pPr>
    <w:rPr>
      <w:rFonts w:ascii="Times New Roman" w:eastAsia="宋体"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new11">
    <w:name w:val="new11"/>
    <w:basedOn w:val="a5"/>
    <w:rPr>
      <w:rFonts w:ascii="Times New Roman" w:eastAsia="宋体" w:hAnsi="Times New Roman" w:cs="Times New Roman"/>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style>
  <w:style w:type="table" w:customStyle="1" w:styleId="21fa">
    <w:name w:val="流行型21"/>
    <w:basedOn w:val="a5"/>
    <w:pPr>
      <w:widowControl w:val="0"/>
      <w:jc w:val="both"/>
    </w:pPr>
    <w:rPr>
      <w:rFonts w:ascii="Times New Roman" w:eastAsia="宋体" w:hAnsi="Times New Roman" w:cs="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811">
    <w:name w:val="网格型 811"/>
    <w:basedOn w:val="a5"/>
    <w:pPr>
      <w:widowControl w:val="0"/>
      <w:jc w:val="both"/>
    </w:pPr>
    <w:rPr>
      <w:rFonts w:ascii="Times New Roman" w:eastAsia="宋体"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610">
    <w:name w:val="列表型 61"/>
    <w:basedOn w:val="a5"/>
    <w:pPr>
      <w:widowControl w:val="0"/>
      <w:spacing w:line="360" w:lineRule="auto"/>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fb">
    <w:name w:val="环评21"/>
    <w:basedOn w:val="affa"/>
    <w:rPr>
      <w:sz w:val="21"/>
    </w:rPr>
    <w:tblPr>
      <w:jc w:val="center"/>
      <w:tblInd w:w="0" w:type="dxa"/>
      <w:tblBorders>
        <w:top w:val="single" w:sz="12" w:space="0" w:color="auto"/>
        <w:bottom w:val="single" w:sz="12" w:space="0" w:color="auto"/>
      </w:tblBorders>
      <w:tblCellMar>
        <w:top w:w="0" w:type="dxa"/>
        <w:left w:w="108" w:type="dxa"/>
        <w:bottom w:w="0" w:type="dxa"/>
        <w:right w:w="108" w:type="dxa"/>
      </w:tblCellMar>
    </w:tblPr>
    <w:trPr>
      <w:jc w:val="center"/>
    </w:trPr>
    <w:tcPr>
      <w:vAlign w:val="center"/>
    </w:tcPr>
  </w:style>
  <w:style w:type="table" w:customStyle="1" w:styleId="530">
    <w:name w:val="网格型 53"/>
    <w:basedOn w:val="a5"/>
    <w:pPr>
      <w:widowControl w:val="0"/>
      <w:jc w:val="both"/>
    </w:pPr>
    <w:rPr>
      <w:rFonts w:ascii="Times New Roman" w:eastAsia="宋体"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27">
    <w:name w:val="列表型 32"/>
    <w:basedOn w:val="a5"/>
    <w:pPr>
      <w:widowControl w:val="0"/>
      <w:jc w:val="both"/>
    </w:pPr>
    <w:rPr>
      <w:rFonts w:ascii="Times New Roman" w:eastAsia="宋体" w:hAnsi="Times New Roman" w:cs="Times New Roman"/>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721">
    <w:name w:val="网格型 721"/>
    <w:basedOn w:val="a5"/>
    <w:pPr>
      <w:widowControl w:val="0"/>
      <w:jc w:val="both"/>
    </w:pPr>
    <w:rPr>
      <w:rFonts w:ascii="Times New Roman" w:eastAsia="宋体"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fc">
    <w:name w:val="环评报告书表格21"/>
    <w:basedOn w:val="a5"/>
    <w:pPr>
      <w:spacing w:line="360" w:lineRule="exact"/>
    </w:pPr>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620">
    <w:name w:val="列表型 62"/>
    <w:basedOn w:val="a5"/>
    <w:pPr>
      <w:widowControl w:val="0"/>
      <w:spacing w:line="360" w:lineRule="auto"/>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ffff">
    <w:name w:val="环评报告书表格2"/>
    <w:basedOn w:val="a5"/>
    <w:pPr>
      <w:spacing w:line="360" w:lineRule="exact"/>
    </w:pPr>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710">
    <w:name w:val="网格型 71"/>
    <w:basedOn w:val="a5"/>
    <w:pPr>
      <w:widowControl w:val="0"/>
      <w:jc w:val="both"/>
    </w:pPr>
    <w:rPr>
      <w:rFonts w:ascii="Times New Roman" w:eastAsia="宋体"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10">
    <w:name w:val="网格型411"/>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列表型 321"/>
    <w:basedOn w:val="a5"/>
    <w:pPr>
      <w:widowControl w:val="0"/>
      <w:jc w:val="both"/>
    </w:pPr>
    <w:rPr>
      <w:rFonts w:ascii="Times New Roman" w:eastAsia="宋体" w:hAnsi="Times New Roman" w:cs="Times New Roman"/>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812">
    <w:name w:val="网格型 81"/>
    <w:basedOn w:val="a5"/>
    <w:pPr>
      <w:widowControl w:val="0"/>
      <w:jc w:val="both"/>
    </w:pPr>
    <w:rPr>
      <w:rFonts w:ascii="Times New Roman" w:eastAsia="宋体"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830">
    <w:name w:val="网格型 83"/>
    <w:basedOn w:val="a5"/>
    <w:pPr>
      <w:widowControl w:val="0"/>
      <w:jc w:val="both"/>
    </w:pPr>
    <w:rPr>
      <w:rFonts w:ascii="Times New Roman" w:eastAsia="宋体"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1fd">
    <w:name w:val="表格主题21"/>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1">
    <w:name w:val="简明型 13"/>
    <w:basedOn w:val="a5"/>
    <w:pPr>
      <w:widowControl w:val="0"/>
      <w:jc w:val="both"/>
    </w:pPr>
    <w:rPr>
      <w:rFonts w:ascii="Times New Roman" w:eastAsia="宋体"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2fe">
    <w:name w:val="古典型 12"/>
    <w:basedOn w:val="a5"/>
    <w:pPr>
      <w:widowControl w:val="0"/>
      <w:jc w:val="both"/>
    </w:pPr>
    <w:rPr>
      <w:rFonts w:ascii="Times New Roman" w:eastAsia="宋体"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ff3">
    <w:name w:val="古典型 11"/>
    <w:basedOn w:val="a5"/>
    <w:pPr>
      <w:widowControl w:val="0"/>
      <w:jc w:val="both"/>
    </w:pPr>
    <w:rPr>
      <w:rFonts w:ascii="Times New Roman" w:eastAsia="宋体"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e">
    <w:name w:val="三线表21"/>
    <w:basedOn w:val="affa"/>
    <w:pPr>
      <w:adjustRightInd w:val="0"/>
      <w:snapToGrid w:val="0"/>
      <w:spacing w:line="312" w:lineRule="auto"/>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style>
  <w:style w:type="table" w:customStyle="1" w:styleId="1fffffffff3">
    <w:name w:val="专业型1"/>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new3">
    <w:name w:val="new3"/>
    <w:basedOn w:val="a5"/>
    <w:rPr>
      <w:rFonts w:ascii="Times New Roman" w:eastAsia="宋体" w:hAnsi="Times New Roman" w:cs="Times New Roman"/>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style>
  <w:style w:type="table" w:customStyle="1" w:styleId="affffffffffffffffffffffffffffffffe">
    <w:name w:val="环评报告书表格"/>
    <w:basedOn w:val="a5"/>
    <w:pPr>
      <w:spacing w:line="360" w:lineRule="exact"/>
    </w:pPr>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12ff">
    <w:name w:val="简明型 12"/>
    <w:basedOn w:val="a5"/>
    <w:pPr>
      <w:widowControl w:val="0"/>
      <w:jc w:val="both"/>
    </w:pPr>
    <w:rPr>
      <w:rFonts w:ascii="Times New Roman" w:eastAsia="宋体"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new1">
    <w:name w:val="new1"/>
    <w:basedOn w:val="a5"/>
    <w:rPr>
      <w:rFonts w:ascii="Times New Roman" w:eastAsia="宋体" w:hAnsi="Times New Roman" w:cs="Times New Roman"/>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style>
  <w:style w:type="table" w:customStyle="1" w:styleId="720">
    <w:name w:val="网格型 72"/>
    <w:basedOn w:val="a5"/>
    <w:pPr>
      <w:widowControl w:val="0"/>
      <w:jc w:val="both"/>
    </w:pPr>
    <w:rPr>
      <w:rFonts w:ascii="Times New Roman" w:eastAsia="宋体"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afffffffffffffffffffffffffffffffff">
    <w:name w:val="环评"/>
    <w:basedOn w:val="affa"/>
    <w:rPr>
      <w:sz w:val="21"/>
    </w:rPr>
    <w:tblPr>
      <w:jc w:val="center"/>
      <w:tblInd w:w="0" w:type="dxa"/>
      <w:tblBorders>
        <w:top w:val="single" w:sz="12" w:space="0" w:color="auto"/>
        <w:bottom w:val="single" w:sz="12" w:space="0" w:color="auto"/>
      </w:tblBorders>
      <w:tblCellMar>
        <w:top w:w="0" w:type="dxa"/>
        <w:left w:w="108" w:type="dxa"/>
        <w:bottom w:w="0" w:type="dxa"/>
        <w:right w:w="108" w:type="dxa"/>
      </w:tblCellMar>
    </w:tblPr>
    <w:trPr>
      <w:jc w:val="center"/>
    </w:trPr>
    <w:tcPr>
      <w:vAlign w:val="center"/>
    </w:tcPr>
  </w:style>
  <w:style w:type="table" w:customStyle="1" w:styleId="3ffffc">
    <w:name w:val="三线表3"/>
    <w:basedOn w:val="affa"/>
    <w:pPr>
      <w:adjustRightInd w:val="0"/>
      <w:snapToGrid w:val="0"/>
      <w:spacing w:line="312" w:lineRule="auto"/>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style>
  <w:style w:type="table" w:customStyle="1" w:styleId="1116">
    <w:name w:val="古典型 111"/>
    <w:basedOn w:val="a5"/>
    <w:pPr>
      <w:widowControl w:val="0"/>
      <w:jc w:val="both"/>
    </w:pPr>
    <w:rPr>
      <w:rFonts w:ascii="Times New Roman" w:eastAsia="宋体"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ffffd">
    <w:name w:val="典雅型3"/>
    <w:basedOn w:val="a5"/>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ff4">
    <w:name w:val="网格型 11"/>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35">
    <w:name w:val="列表型 33"/>
    <w:basedOn w:val="a5"/>
    <w:pPr>
      <w:widowControl w:val="0"/>
      <w:jc w:val="both"/>
    </w:pPr>
    <w:rPr>
      <w:rFonts w:ascii="Times New Roman" w:eastAsia="宋体" w:hAnsi="Times New Roman" w:cs="Times New Roman"/>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3f2">
    <w:name w:val="网格型 13"/>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7">
    <w:name w:val="网格型 111"/>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ffff4">
    <w:name w:val="环评1"/>
    <w:basedOn w:val="affa"/>
    <w:rPr>
      <w:sz w:val="21"/>
    </w:rPr>
    <w:tblPr>
      <w:jc w:val="center"/>
      <w:tblInd w:w="0" w:type="dxa"/>
      <w:tblBorders>
        <w:top w:val="single" w:sz="12" w:space="0" w:color="auto"/>
        <w:bottom w:val="single" w:sz="12" w:space="0" w:color="auto"/>
      </w:tblBorders>
      <w:tblCellMar>
        <w:top w:w="0" w:type="dxa"/>
        <w:left w:w="108" w:type="dxa"/>
        <w:bottom w:w="0" w:type="dxa"/>
        <w:right w:w="108" w:type="dxa"/>
      </w:tblCellMar>
    </w:tblPr>
    <w:trPr>
      <w:jc w:val="center"/>
    </w:trPr>
    <w:tcPr>
      <w:vAlign w:val="center"/>
    </w:tcPr>
  </w:style>
  <w:style w:type="table" w:customStyle="1" w:styleId="wb013">
    <w:name w:val="wb013"/>
    <w:basedOn w:val="a5"/>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820">
    <w:name w:val="网格型 82"/>
    <w:basedOn w:val="a5"/>
    <w:pPr>
      <w:widowControl w:val="0"/>
      <w:jc w:val="both"/>
    </w:pPr>
    <w:rPr>
      <w:rFonts w:ascii="Times New Roman" w:eastAsia="宋体"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fffffff0">
    <w:name w:val="表格主题2"/>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f5">
    <w:name w:val="环评报告书表格1"/>
    <w:basedOn w:val="a5"/>
    <w:pPr>
      <w:spacing w:line="360" w:lineRule="exact"/>
    </w:pPr>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1fffffffff6">
    <w:name w:val="网格型1"/>
    <w:basedOn w:val="a5"/>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网格型 51"/>
    <w:basedOn w:val="a5"/>
    <w:pPr>
      <w:widowControl w:val="0"/>
      <w:jc w:val="both"/>
    </w:pPr>
    <w:rPr>
      <w:rFonts w:ascii="Times New Roman" w:eastAsia="宋体"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ff0">
    <w:name w:val="网格型4"/>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fe">
    <w:name w:val="流行型3"/>
    <w:basedOn w:val="a5"/>
    <w:pPr>
      <w:widowControl w:val="0"/>
      <w:jc w:val="both"/>
    </w:pPr>
    <w:rPr>
      <w:rFonts w:ascii="Times New Roman" w:eastAsia="宋体" w:hAnsi="Times New Roman" w:cs="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ff5">
    <w:name w:val="网格型11"/>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6">
    <w:name w:val="环评报告书表格11"/>
    <w:basedOn w:val="a5"/>
    <w:pPr>
      <w:spacing w:line="360" w:lineRule="exact"/>
    </w:pPr>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11ff7">
    <w:name w:val="三线式11"/>
    <w:basedOn w:val="a5"/>
    <w:pPr>
      <w:jc w:val="center"/>
    </w:pPr>
    <w:rPr>
      <w:rFonts w:ascii="Times New Roman" w:eastAsia="宋体" w:hAnsi="Times New Roman" w:cs="Times New Roman"/>
    </w:rPr>
    <w:tblP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cantSplit/>
      <w:tblHeader/>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nhideWhenUsed="1"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unhideWhenUsed="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nhideWhenUsed="1" w:qFormat="1"/>
    <w:lsdException w:name="header" w:uiPriority="99" w:unhideWhenUsed="1" w:qFormat="1"/>
    <w:lsdException w:name="footer" w:uiPriority="99" w:unhideWhenUsed="1" w:qFormat="1"/>
    <w:lsdException w:name="index heading" w:qFormat="1"/>
    <w:lsdException w:name="caption" w:qFormat="1"/>
    <w:lsdException w:name="table of figures" w:qFormat="1"/>
    <w:lsdException w:name="envelope address" w:qFormat="1"/>
    <w:lsdException w:name="envelope return" w:qFormat="1"/>
    <w:lsdException w:name="annotation reference" w:unhideWhenUsed="1"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unhideWhenUsed="1"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Strong" w:uiPriority="22" w:qFormat="1"/>
    <w:lsdException w:name="Emphasis" w:uiPriority="20" w:qFormat="1"/>
    <w:lsdException w:name="Document Map" w:uiPriority="99"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Preformatted"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2" w:semiHidden="1" w:uiPriority="99" w:unhideWhenUsed="1"/>
    <w:lsdException w:name="Table Simple 3"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6" w:semiHidden="1" w:uiPriority="99" w:unhideWhenUsed="1"/>
    <w:lsdException w:name="Table List 1" w:semiHidden="1" w:uiPriority="99" w:unhideWhenUsed="1"/>
    <w:lsdException w:name="Table List 2" w:semiHidden="1" w:uiPriority="99" w:unhideWhenUsed="1"/>
    <w:lsdException w:name="Table List 4" w:semiHidden="1" w:uiPriority="99" w:unhideWhenUsed="1"/>
    <w:lsdException w:name="Table List 5"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unhideWhenUsed="1" w:qFormat="1"/>
    <w:lsdException w:name="Table Grid"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next w:val="21"/>
    <w:qFormat/>
    <w:pPr>
      <w:widowControl w:val="0"/>
      <w:autoSpaceDE w:val="0"/>
      <w:autoSpaceDN w:val="0"/>
      <w:adjustRightInd w:val="0"/>
    </w:pPr>
    <w:rPr>
      <w:kern w:val="2"/>
      <w:sz w:val="21"/>
      <w:szCs w:val="21"/>
    </w:rPr>
  </w:style>
  <w:style w:type="paragraph" w:styleId="12">
    <w:name w:val="heading 1"/>
    <w:basedOn w:val="a2"/>
    <w:next w:val="a2"/>
    <w:link w:val="1Char"/>
    <w:uiPriority w:val="9"/>
    <w:qFormat/>
    <w:pPr>
      <w:keepNext/>
      <w:keepLines/>
      <w:spacing w:line="360" w:lineRule="auto"/>
      <w:textAlignment w:val="center"/>
      <w:outlineLvl w:val="0"/>
    </w:pPr>
    <w:rPr>
      <w:rFonts w:ascii="Calibri" w:eastAsia="黑体"/>
      <w:bCs/>
      <w:kern w:val="44"/>
      <w:sz w:val="48"/>
      <w:szCs w:val="48"/>
    </w:rPr>
  </w:style>
  <w:style w:type="paragraph" w:styleId="22">
    <w:name w:val="heading 2"/>
    <w:basedOn w:val="a2"/>
    <w:next w:val="a2"/>
    <w:link w:val="2Char1"/>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2">
    <w:name w:val="heading 3"/>
    <w:basedOn w:val="a2"/>
    <w:next w:val="a2"/>
    <w:link w:val="3Char"/>
    <w:unhideWhenUsed/>
    <w:qFormat/>
    <w:pPr>
      <w:keepNext/>
      <w:keepLines/>
      <w:spacing w:before="260" w:after="260" w:line="416" w:lineRule="auto"/>
      <w:outlineLvl w:val="2"/>
    </w:pPr>
    <w:rPr>
      <w:b/>
      <w:bCs/>
      <w:sz w:val="32"/>
      <w:szCs w:val="32"/>
    </w:rPr>
  </w:style>
  <w:style w:type="paragraph" w:styleId="41">
    <w:name w:val="heading 4"/>
    <w:basedOn w:val="a2"/>
    <w:next w:val="a2"/>
    <w:link w:val="4Char"/>
    <w:qFormat/>
    <w:pPr>
      <w:keepNext/>
      <w:keepLines/>
      <w:spacing w:beforeLines="50" w:before="156" w:line="360" w:lineRule="auto"/>
      <w:ind w:leftChars="50" w:left="105" w:rightChars="50" w:right="105"/>
      <w:outlineLvl w:val="3"/>
    </w:pPr>
    <w:rPr>
      <w:rFonts w:ascii="黑体" w:eastAsia="黑体"/>
      <w:bCs/>
      <w:szCs w:val="28"/>
    </w:rPr>
  </w:style>
  <w:style w:type="paragraph" w:styleId="50">
    <w:name w:val="heading 5"/>
    <w:basedOn w:val="a2"/>
    <w:next w:val="a2"/>
    <w:link w:val="5Char"/>
    <w:qFormat/>
    <w:pPr>
      <w:keepNext/>
      <w:keepLines/>
      <w:tabs>
        <w:tab w:val="left" w:pos="1008"/>
      </w:tabs>
      <w:spacing w:before="280" w:after="290" w:line="376" w:lineRule="auto"/>
      <w:ind w:left="1008" w:hanging="1008"/>
      <w:outlineLvl w:val="4"/>
    </w:pPr>
    <w:rPr>
      <w:rFonts w:ascii="Calibri" w:eastAsia="宋体"/>
      <w:b/>
      <w:bCs/>
      <w:szCs w:val="28"/>
    </w:rPr>
  </w:style>
  <w:style w:type="paragraph" w:styleId="6">
    <w:name w:val="heading 6"/>
    <w:basedOn w:val="a2"/>
    <w:next w:val="a2"/>
    <w:link w:val="6Char"/>
    <w:uiPriority w:val="9"/>
    <w:qFormat/>
    <w:pPr>
      <w:keepNext/>
      <w:keepLines/>
      <w:tabs>
        <w:tab w:val="left" w:pos="165"/>
      </w:tabs>
      <w:spacing w:before="240" w:after="64" w:line="320" w:lineRule="auto"/>
      <w:ind w:left="165" w:hanging="165"/>
      <w:outlineLvl w:val="5"/>
    </w:pPr>
    <w:rPr>
      <w:rFonts w:eastAsia="黑体" w:hAnsi="Arial"/>
      <w:b/>
      <w:sz w:val="24"/>
    </w:rPr>
  </w:style>
  <w:style w:type="paragraph" w:styleId="7">
    <w:name w:val="heading 7"/>
    <w:basedOn w:val="a2"/>
    <w:next w:val="a3"/>
    <w:link w:val="7Char"/>
    <w:uiPriority w:val="9"/>
    <w:qFormat/>
    <w:pPr>
      <w:keepNext/>
      <w:keepLines/>
      <w:tabs>
        <w:tab w:val="left" w:pos="165"/>
      </w:tabs>
      <w:spacing w:before="240" w:after="64" w:line="320" w:lineRule="auto"/>
      <w:ind w:left="165" w:hanging="165"/>
      <w:outlineLvl w:val="6"/>
    </w:pPr>
    <w:rPr>
      <w:rFonts w:ascii="Calibri" w:eastAsia="宋体"/>
      <w:b/>
      <w:sz w:val="24"/>
    </w:rPr>
  </w:style>
  <w:style w:type="paragraph" w:styleId="8">
    <w:name w:val="heading 8"/>
    <w:basedOn w:val="a2"/>
    <w:next w:val="a2"/>
    <w:link w:val="8Char"/>
    <w:uiPriority w:val="9"/>
    <w:qFormat/>
    <w:pPr>
      <w:keepNext/>
      <w:keepLines/>
      <w:tabs>
        <w:tab w:val="left" w:pos="165"/>
      </w:tabs>
      <w:spacing w:before="240" w:after="64" w:line="320" w:lineRule="auto"/>
      <w:ind w:left="165" w:hanging="165"/>
      <w:outlineLvl w:val="7"/>
    </w:pPr>
    <w:rPr>
      <w:rFonts w:eastAsia="黑体" w:hAnsi="Arial"/>
      <w:sz w:val="24"/>
    </w:rPr>
  </w:style>
  <w:style w:type="paragraph" w:styleId="9">
    <w:name w:val="heading 9"/>
    <w:basedOn w:val="a2"/>
    <w:next w:val="a3"/>
    <w:link w:val="9Char"/>
    <w:uiPriority w:val="9"/>
    <w:qFormat/>
    <w:pPr>
      <w:keepNext/>
      <w:keepLines/>
      <w:tabs>
        <w:tab w:val="left" w:pos="165"/>
      </w:tabs>
      <w:spacing w:before="240" w:after="64" w:line="320" w:lineRule="auto"/>
      <w:ind w:left="165" w:hanging="165"/>
      <w:outlineLvl w:val="8"/>
    </w:pPr>
    <w:rPr>
      <w:rFonts w:eastAsia="黑体" w:hAnsi="Aria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正文首行缩进2"/>
    <w:basedOn w:val="a2"/>
    <w:uiPriority w:val="99"/>
    <w:qFormat/>
    <w:pPr>
      <w:spacing w:line="500" w:lineRule="atLeast"/>
      <w:ind w:firstLine="560"/>
      <w:jc w:val="both"/>
    </w:pPr>
  </w:style>
  <w:style w:type="paragraph" w:styleId="a7">
    <w:name w:val="macro"/>
    <w:link w:val="Char"/>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Lines="50" w:before="60" w:afterLines="50" w:after="50" w:line="360" w:lineRule="auto"/>
      <w:ind w:firstLineChars="40" w:firstLine="482"/>
    </w:pPr>
    <w:rPr>
      <w:rFonts w:ascii="Courier New" w:hAnsi="Courier New"/>
      <w:kern w:val="2"/>
      <w:sz w:val="24"/>
      <w:szCs w:val="21"/>
    </w:rPr>
  </w:style>
  <w:style w:type="paragraph" w:styleId="a3">
    <w:name w:val="Normal Indent"/>
    <w:basedOn w:val="a2"/>
    <w:link w:val="Char0"/>
    <w:qFormat/>
    <w:pPr>
      <w:ind w:firstLineChars="200" w:firstLine="420"/>
    </w:pPr>
    <w:rPr>
      <w:rFonts w:eastAsia="宋体"/>
      <w:szCs w:val="24"/>
    </w:rPr>
  </w:style>
  <w:style w:type="paragraph" w:styleId="33">
    <w:name w:val="List 3"/>
    <w:basedOn w:val="a2"/>
    <w:qFormat/>
    <w:pPr>
      <w:ind w:leftChars="400" w:left="100" w:hangingChars="200" w:hanging="200"/>
      <w:jc w:val="both"/>
    </w:pPr>
  </w:style>
  <w:style w:type="paragraph" w:styleId="70">
    <w:name w:val="toc 7"/>
    <w:basedOn w:val="a2"/>
    <w:next w:val="a2"/>
    <w:uiPriority w:val="39"/>
    <w:qFormat/>
    <w:pPr>
      <w:ind w:left="1050"/>
    </w:pPr>
    <w:rPr>
      <w:rFonts w:eastAsiaTheme="minorHAnsi"/>
      <w:sz w:val="20"/>
      <w:szCs w:val="20"/>
    </w:rPr>
  </w:style>
  <w:style w:type="paragraph" w:styleId="23">
    <w:name w:val="List Number 2"/>
    <w:basedOn w:val="a2"/>
    <w:qFormat/>
    <w:pPr>
      <w:tabs>
        <w:tab w:val="left" w:pos="780"/>
        <w:tab w:val="left" w:pos="840"/>
      </w:tabs>
      <w:ind w:left="780" w:hanging="420"/>
    </w:pPr>
  </w:style>
  <w:style w:type="paragraph" w:styleId="a8">
    <w:name w:val="table of authorities"/>
    <w:basedOn w:val="a2"/>
    <w:next w:val="a2"/>
    <w:qFormat/>
    <w:pPr>
      <w:ind w:leftChars="200" w:left="420"/>
      <w:jc w:val="both"/>
    </w:pPr>
  </w:style>
  <w:style w:type="paragraph" w:styleId="a9">
    <w:name w:val="Note Heading"/>
    <w:basedOn w:val="a2"/>
    <w:next w:val="a2"/>
    <w:link w:val="Char2"/>
    <w:qFormat/>
    <w:pPr>
      <w:snapToGrid w:val="0"/>
      <w:spacing w:line="280" w:lineRule="atLeast"/>
      <w:jc w:val="center"/>
    </w:pPr>
    <w:rPr>
      <w:sz w:val="18"/>
      <w:szCs w:val="22"/>
    </w:rPr>
  </w:style>
  <w:style w:type="paragraph" w:styleId="42">
    <w:name w:val="List Bullet 4"/>
    <w:basedOn w:val="a2"/>
    <w:qFormat/>
    <w:pPr>
      <w:tabs>
        <w:tab w:val="left" w:pos="1620"/>
      </w:tabs>
      <w:spacing w:before="60"/>
      <w:ind w:leftChars="600" w:left="1620" w:hangingChars="200" w:hanging="360"/>
    </w:pPr>
    <w:rPr>
      <w:rFonts w:eastAsia="仿宋_GB2312" w:hAnsi="Arial"/>
      <w:sz w:val="24"/>
    </w:rPr>
  </w:style>
  <w:style w:type="paragraph" w:styleId="80">
    <w:name w:val="index 8"/>
    <w:basedOn w:val="a2"/>
    <w:next w:val="a2"/>
    <w:qFormat/>
    <w:pPr>
      <w:ind w:left="2940"/>
      <w:jc w:val="both"/>
    </w:pPr>
  </w:style>
  <w:style w:type="paragraph" w:styleId="aa">
    <w:name w:val="E-mail Signature"/>
    <w:basedOn w:val="a2"/>
    <w:link w:val="Char3"/>
    <w:qFormat/>
    <w:rPr>
      <w:szCs w:val="22"/>
    </w:rPr>
  </w:style>
  <w:style w:type="paragraph" w:styleId="ab">
    <w:name w:val="List Number"/>
    <w:basedOn w:val="a2"/>
    <w:qFormat/>
    <w:pPr>
      <w:tabs>
        <w:tab w:val="left" w:pos="855"/>
      </w:tabs>
      <w:snapToGrid w:val="0"/>
      <w:spacing w:line="500" w:lineRule="exact"/>
      <w:ind w:left="855" w:hanging="855"/>
    </w:pPr>
    <w:rPr>
      <w:rFonts w:ascii="仿宋_GB2312" w:eastAsia="仿宋_GB2312"/>
    </w:rPr>
  </w:style>
  <w:style w:type="paragraph" w:styleId="ac">
    <w:name w:val="caption"/>
    <w:basedOn w:val="a2"/>
    <w:next w:val="a2"/>
    <w:link w:val="Char4"/>
    <w:qFormat/>
    <w:rPr>
      <w:rFonts w:ascii="Cambria" w:eastAsia="黑体" w:hAnsi="Cambria"/>
      <w:szCs w:val="22"/>
    </w:rPr>
  </w:style>
  <w:style w:type="paragraph" w:styleId="51">
    <w:name w:val="index 5"/>
    <w:basedOn w:val="a2"/>
    <w:next w:val="a2"/>
    <w:qFormat/>
    <w:pPr>
      <w:ind w:left="1680"/>
      <w:jc w:val="both"/>
    </w:pPr>
  </w:style>
  <w:style w:type="paragraph" w:styleId="ad">
    <w:name w:val="List Bullet"/>
    <w:basedOn w:val="a2"/>
    <w:qFormat/>
    <w:pPr>
      <w:tabs>
        <w:tab w:val="left" w:pos="360"/>
        <w:tab w:val="left" w:pos="1140"/>
      </w:tabs>
      <w:ind w:left="360" w:hanging="600"/>
    </w:pPr>
  </w:style>
  <w:style w:type="paragraph" w:styleId="ae">
    <w:name w:val="envelope address"/>
    <w:basedOn w:val="a2"/>
    <w:qFormat/>
    <w:pPr>
      <w:snapToGrid w:val="0"/>
      <w:ind w:leftChars="1400" w:left="100"/>
      <w:jc w:val="both"/>
    </w:pPr>
    <w:rPr>
      <w:rFonts w:hAnsi="Arial" w:cs="Arial"/>
      <w:sz w:val="24"/>
    </w:rPr>
  </w:style>
  <w:style w:type="paragraph" w:styleId="af">
    <w:name w:val="Document Map"/>
    <w:basedOn w:val="a2"/>
    <w:link w:val="Char5"/>
    <w:uiPriority w:val="99"/>
    <w:qFormat/>
    <w:rPr>
      <w:rFonts w:ascii="宋体" w:eastAsia="仿宋"/>
      <w:sz w:val="24"/>
      <w:szCs w:val="18"/>
    </w:rPr>
  </w:style>
  <w:style w:type="paragraph" w:styleId="af0">
    <w:name w:val="toa heading"/>
    <w:basedOn w:val="a2"/>
    <w:next w:val="a2"/>
    <w:qFormat/>
    <w:pPr>
      <w:spacing w:before="120"/>
      <w:jc w:val="both"/>
    </w:pPr>
    <w:rPr>
      <w:rFonts w:hAnsi="Arial" w:cs="Arial"/>
      <w:sz w:val="24"/>
    </w:rPr>
  </w:style>
  <w:style w:type="paragraph" w:styleId="af1">
    <w:name w:val="annotation text"/>
    <w:basedOn w:val="a2"/>
    <w:link w:val="Char6"/>
    <w:unhideWhenUsed/>
    <w:qFormat/>
  </w:style>
  <w:style w:type="paragraph" w:styleId="60">
    <w:name w:val="index 6"/>
    <w:basedOn w:val="a2"/>
    <w:next w:val="a2"/>
    <w:qFormat/>
    <w:pPr>
      <w:ind w:left="2100"/>
      <w:jc w:val="both"/>
    </w:pPr>
  </w:style>
  <w:style w:type="paragraph" w:styleId="af2">
    <w:name w:val="Salutation"/>
    <w:basedOn w:val="a2"/>
    <w:next w:val="a2"/>
    <w:link w:val="Char7"/>
    <w:qFormat/>
    <w:rPr>
      <w:sz w:val="32"/>
      <w:szCs w:val="22"/>
    </w:rPr>
  </w:style>
  <w:style w:type="paragraph" w:styleId="34">
    <w:name w:val="Body Text 3"/>
    <w:basedOn w:val="a2"/>
    <w:link w:val="3Char0"/>
    <w:qFormat/>
    <w:pPr>
      <w:spacing w:after="120"/>
    </w:pPr>
    <w:rPr>
      <w:sz w:val="16"/>
      <w:szCs w:val="16"/>
    </w:rPr>
  </w:style>
  <w:style w:type="paragraph" w:styleId="af3">
    <w:name w:val="Closing"/>
    <w:basedOn w:val="a2"/>
    <w:next w:val="a2"/>
    <w:link w:val="Char8"/>
    <w:qFormat/>
    <w:pPr>
      <w:ind w:left="4320"/>
    </w:pPr>
    <w:rPr>
      <w:sz w:val="32"/>
      <w:szCs w:val="22"/>
    </w:rPr>
  </w:style>
  <w:style w:type="paragraph" w:styleId="35">
    <w:name w:val="List Bullet 3"/>
    <w:basedOn w:val="a2"/>
    <w:qFormat/>
    <w:pPr>
      <w:tabs>
        <w:tab w:val="left" w:pos="1200"/>
      </w:tabs>
      <w:spacing w:before="60"/>
      <w:ind w:left="1200" w:hanging="360"/>
    </w:pPr>
    <w:rPr>
      <w:rFonts w:eastAsia="仿宋_GB2312" w:hAnsi="Arial"/>
      <w:sz w:val="24"/>
    </w:rPr>
  </w:style>
  <w:style w:type="paragraph" w:styleId="af4">
    <w:name w:val="Body Text"/>
    <w:basedOn w:val="a2"/>
    <w:link w:val="Char9"/>
    <w:qFormat/>
    <w:pPr>
      <w:spacing w:after="120"/>
    </w:pPr>
    <w:rPr>
      <w:szCs w:val="22"/>
    </w:rPr>
  </w:style>
  <w:style w:type="paragraph" w:styleId="af5">
    <w:name w:val="Body Text Indent"/>
    <w:basedOn w:val="a2"/>
    <w:link w:val="Chara"/>
    <w:qFormat/>
    <w:pPr>
      <w:spacing w:after="120"/>
      <w:ind w:leftChars="200" w:left="420"/>
    </w:pPr>
    <w:rPr>
      <w:szCs w:val="24"/>
    </w:rPr>
  </w:style>
  <w:style w:type="paragraph" w:styleId="36">
    <w:name w:val="List Number 3"/>
    <w:basedOn w:val="a2"/>
    <w:qFormat/>
    <w:pPr>
      <w:tabs>
        <w:tab w:val="left" w:pos="1200"/>
      </w:tabs>
      <w:spacing w:before="60"/>
      <w:ind w:left="1200" w:hanging="360"/>
    </w:pPr>
    <w:rPr>
      <w:rFonts w:eastAsia="仿宋_GB2312" w:hAnsi="Arial"/>
      <w:sz w:val="24"/>
    </w:rPr>
  </w:style>
  <w:style w:type="paragraph" w:styleId="24">
    <w:name w:val="List 2"/>
    <w:basedOn w:val="a2"/>
    <w:qFormat/>
    <w:pPr>
      <w:ind w:leftChars="200" w:left="100" w:hangingChars="200" w:hanging="200"/>
    </w:pPr>
  </w:style>
  <w:style w:type="paragraph" w:styleId="af6">
    <w:name w:val="List Continue"/>
    <w:basedOn w:val="a2"/>
    <w:link w:val="Charb"/>
    <w:qFormat/>
    <w:pPr>
      <w:spacing w:before="60" w:after="120"/>
      <w:ind w:left="420" w:firstLine="482"/>
    </w:pPr>
    <w:rPr>
      <w:rFonts w:eastAsia="仿宋_GB2312" w:hAnsi="Arial"/>
      <w:sz w:val="24"/>
      <w:szCs w:val="22"/>
    </w:rPr>
  </w:style>
  <w:style w:type="paragraph" w:styleId="af7">
    <w:name w:val="Block Text"/>
    <w:basedOn w:val="a2"/>
    <w:qFormat/>
    <w:pPr>
      <w:ind w:leftChars="-1" w:left="-2" w:rightChars="-37" w:right="-78" w:firstLineChars="225" w:firstLine="630"/>
    </w:pPr>
    <w:rPr>
      <w:rFonts w:ascii="宋体" w:hAnsi="宋体"/>
    </w:rPr>
  </w:style>
  <w:style w:type="paragraph" w:styleId="2">
    <w:name w:val="List Bullet 2"/>
    <w:basedOn w:val="a2"/>
    <w:qFormat/>
    <w:pPr>
      <w:numPr>
        <w:numId w:val="1"/>
      </w:numPr>
      <w:tabs>
        <w:tab w:val="clear" w:pos="780"/>
        <w:tab w:val="left" w:pos="1200"/>
      </w:tabs>
      <w:spacing w:line="500" w:lineRule="exact"/>
      <w:ind w:left="1200" w:firstLine="0"/>
    </w:pPr>
    <w:rPr>
      <w:rFonts w:hAnsi="宋体"/>
      <w:spacing w:val="6"/>
      <w:sz w:val="24"/>
    </w:rPr>
  </w:style>
  <w:style w:type="paragraph" w:styleId="HTML">
    <w:name w:val="HTML Address"/>
    <w:basedOn w:val="a2"/>
    <w:link w:val="HTMLChar"/>
    <w:pPr>
      <w:spacing w:line="360" w:lineRule="auto"/>
      <w:jc w:val="both"/>
    </w:pPr>
    <w:rPr>
      <w:sz w:val="18"/>
      <w:szCs w:val="18"/>
    </w:rPr>
  </w:style>
  <w:style w:type="paragraph" w:styleId="43">
    <w:name w:val="index 4"/>
    <w:basedOn w:val="a2"/>
    <w:next w:val="a2"/>
    <w:qFormat/>
    <w:pPr>
      <w:ind w:left="1260"/>
      <w:jc w:val="both"/>
    </w:pPr>
  </w:style>
  <w:style w:type="paragraph" w:styleId="52">
    <w:name w:val="toc 5"/>
    <w:basedOn w:val="a2"/>
    <w:next w:val="a2"/>
    <w:uiPriority w:val="39"/>
    <w:qFormat/>
    <w:pPr>
      <w:ind w:left="630"/>
    </w:pPr>
    <w:rPr>
      <w:rFonts w:eastAsiaTheme="minorHAnsi"/>
      <w:sz w:val="20"/>
      <w:szCs w:val="20"/>
    </w:rPr>
  </w:style>
  <w:style w:type="paragraph" w:styleId="37">
    <w:name w:val="toc 3"/>
    <w:basedOn w:val="a2"/>
    <w:next w:val="a2"/>
    <w:uiPriority w:val="39"/>
    <w:qFormat/>
    <w:pPr>
      <w:ind w:left="210"/>
    </w:pPr>
    <w:rPr>
      <w:rFonts w:eastAsiaTheme="minorHAnsi"/>
      <w:sz w:val="20"/>
      <w:szCs w:val="20"/>
    </w:rPr>
  </w:style>
  <w:style w:type="paragraph" w:styleId="af8">
    <w:name w:val="Plain Text"/>
    <w:basedOn w:val="a2"/>
    <w:link w:val="Charc"/>
    <w:qFormat/>
    <w:rPr>
      <w:rFonts w:ascii="宋体" w:eastAsia="宋体" w:hAnsi="Courier New"/>
      <w:kern w:val="24"/>
      <w:sz w:val="24"/>
    </w:rPr>
  </w:style>
  <w:style w:type="paragraph" w:styleId="53">
    <w:name w:val="List Bullet 5"/>
    <w:basedOn w:val="a2"/>
    <w:qFormat/>
    <w:pPr>
      <w:tabs>
        <w:tab w:val="left" w:pos="2040"/>
      </w:tabs>
      <w:spacing w:before="60"/>
      <w:ind w:left="2040" w:hanging="360"/>
    </w:pPr>
    <w:rPr>
      <w:rFonts w:eastAsia="仿宋_GB2312" w:hAnsi="Arial"/>
      <w:sz w:val="24"/>
    </w:rPr>
  </w:style>
  <w:style w:type="paragraph" w:styleId="44">
    <w:name w:val="List Number 4"/>
    <w:basedOn w:val="a2"/>
    <w:qFormat/>
    <w:pPr>
      <w:tabs>
        <w:tab w:val="left" w:pos="1620"/>
      </w:tabs>
      <w:spacing w:before="60"/>
      <w:ind w:left="1620" w:hanging="360"/>
    </w:pPr>
    <w:rPr>
      <w:rFonts w:eastAsia="仿宋_GB2312" w:hAnsi="Arial"/>
      <w:sz w:val="24"/>
    </w:rPr>
  </w:style>
  <w:style w:type="paragraph" w:styleId="81">
    <w:name w:val="toc 8"/>
    <w:basedOn w:val="a2"/>
    <w:next w:val="a2"/>
    <w:uiPriority w:val="39"/>
    <w:qFormat/>
    <w:pPr>
      <w:ind w:left="1260"/>
    </w:pPr>
    <w:rPr>
      <w:rFonts w:eastAsiaTheme="minorHAnsi"/>
      <w:sz w:val="20"/>
      <w:szCs w:val="20"/>
    </w:rPr>
  </w:style>
  <w:style w:type="paragraph" w:styleId="38">
    <w:name w:val="index 3"/>
    <w:basedOn w:val="a2"/>
    <w:next w:val="a2"/>
    <w:qFormat/>
    <w:pPr>
      <w:ind w:left="840"/>
      <w:jc w:val="both"/>
    </w:pPr>
  </w:style>
  <w:style w:type="paragraph" w:styleId="af9">
    <w:name w:val="Date"/>
    <w:basedOn w:val="a2"/>
    <w:next w:val="a2"/>
    <w:link w:val="Chard"/>
    <w:unhideWhenUsed/>
    <w:qFormat/>
    <w:pPr>
      <w:ind w:leftChars="2500" w:left="100"/>
    </w:pPr>
  </w:style>
  <w:style w:type="paragraph" w:styleId="25">
    <w:name w:val="Body Text Indent 2"/>
    <w:basedOn w:val="a2"/>
    <w:link w:val="2Char"/>
    <w:qFormat/>
    <w:pPr>
      <w:spacing w:after="120" w:line="480" w:lineRule="auto"/>
      <w:ind w:leftChars="200" w:left="420"/>
    </w:pPr>
    <w:rPr>
      <w:szCs w:val="24"/>
    </w:rPr>
  </w:style>
  <w:style w:type="paragraph" w:styleId="afa">
    <w:name w:val="endnote text"/>
    <w:basedOn w:val="a2"/>
    <w:link w:val="Chare"/>
    <w:qFormat/>
    <w:pPr>
      <w:snapToGrid w:val="0"/>
      <w:spacing w:line="360" w:lineRule="auto"/>
    </w:pPr>
    <w:rPr>
      <w:sz w:val="24"/>
      <w:szCs w:val="24"/>
    </w:rPr>
  </w:style>
  <w:style w:type="paragraph" w:styleId="54">
    <w:name w:val="List Continue 5"/>
    <w:basedOn w:val="a2"/>
    <w:qFormat/>
    <w:pPr>
      <w:spacing w:after="120" w:line="440" w:lineRule="exact"/>
      <w:ind w:leftChars="1000" w:left="2100"/>
      <w:jc w:val="both"/>
    </w:pPr>
    <w:rPr>
      <w:sz w:val="24"/>
    </w:rPr>
  </w:style>
  <w:style w:type="paragraph" w:styleId="afb">
    <w:name w:val="Balloon Text"/>
    <w:basedOn w:val="a2"/>
    <w:link w:val="Charf"/>
    <w:uiPriority w:val="99"/>
    <w:unhideWhenUsed/>
    <w:qFormat/>
    <w:rPr>
      <w:sz w:val="18"/>
      <w:szCs w:val="18"/>
    </w:rPr>
  </w:style>
  <w:style w:type="paragraph" w:styleId="afc">
    <w:name w:val="footer"/>
    <w:basedOn w:val="a2"/>
    <w:link w:val="Charf0"/>
    <w:uiPriority w:val="99"/>
    <w:unhideWhenUsed/>
    <w:qFormat/>
    <w:pPr>
      <w:tabs>
        <w:tab w:val="center" w:pos="4153"/>
        <w:tab w:val="right" w:pos="8306"/>
      </w:tabs>
      <w:autoSpaceDE/>
      <w:autoSpaceDN/>
      <w:adjustRightInd/>
      <w:snapToGrid w:val="0"/>
    </w:pPr>
    <w:rPr>
      <w:sz w:val="18"/>
      <w:szCs w:val="18"/>
    </w:rPr>
  </w:style>
  <w:style w:type="paragraph" w:styleId="afd">
    <w:name w:val="envelope return"/>
    <w:basedOn w:val="a2"/>
    <w:qFormat/>
    <w:pPr>
      <w:snapToGrid w:val="0"/>
    </w:pPr>
    <w:rPr>
      <w:rFonts w:hAnsi="Arial"/>
    </w:rPr>
  </w:style>
  <w:style w:type="paragraph" w:styleId="afe">
    <w:name w:val="header"/>
    <w:basedOn w:val="a2"/>
    <w:link w:val="Charf1"/>
    <w:uiPriority w:val="99"/>
    <w:unhideWhenUsed/>
    <w:qFormat/>
    <w:pPr>
      <w:pBdr>
        <w:bottom w:val="single" w:sz="6" w:space="1" w:color="auto"/>
      </w:pBdr>
      <w:tabs>
        <w:tab w:val="center" w:pos="4153"/>
        <w:tab w:val="right" w:pos="8306"/>
      </w:tabs>
      <w:autoSpaceDE/>
      <w:autoSpaceDN/>
      <w:adjustRightInd/>
      <w:snapToGrid w:val="0"/>
      <w:jc w:val="center"/>
    </w:pPr>
    <w:rPr>
      <w:sz w:val="18"/>
      <w:szCs w:val="18"/>
    </w:rPr>
  </w:style>
  <w:style w:type="paragraph" w:styleId="aff">
    <w:name w:val="Signature"/>
    <w:basedOn w:val="a2"/>
    <w:link w:val="Charf2"/>
    <w:qFormat/>
    <w:pPr>
      <w:spacing w:before="60"/>
      <w:ind w:left="4320" w:firstLine="482"/>
    </w:pPr>
    <w:rPr>
      <w:rFonts w:eastAsia="仿宋_GB2312" w:hAnsi="Arial"/>
      <w:sz w:val="24"/>
      <w:szCs w:val="22"/>
    </w:rPr>
  </w:style>
  <w:style w:type="paragraph" w:styleId="13">
    <w:name w:val="toc 1"/>
    <w:basedOn w:val="a2"/>
    <w:next w:val="a2"/>
    <w:uiPriority w:val="39"/>
    <w:qFormat/>
    <w:pPr>
      <w:spacing w:before="360"/>
    </w:pPr>
    <w:rPr>
      <w:rFonts w:asciiTheme="majorHAnsi" w:eastAsiaTheme="majorHAnsi"/>
      <w:b/>
      <w:bCs/>
      <w:caps/>
      <w:sz w:val="24"/>
      <w:szCs w:val="24"/>
    </w:rPr>
  </w:style>
  <w:style w:type="paragraph" w:styleId="45">
    <w:name w:val="List Continue 4"/>
    <w:basedOn w:val="a2"/>
    <w:qFormat/>
    <w:pPr>
      <w:spacing w:after="120"/>
      <w:ind w:left="1680"/>
      <w:jc w:val="both"/>
    </w:pPr>
  </w:style>
  <w:style w:type="paragraph" w:styleId="46">
    <w:name w:val="toc 4"/>
    <w:basedOn w:val="a2"/>
    <w:next w:val="a2"/>
    <w:uiPriority w:val="39"/>
    <w:qFormat/>
    <w:pPr>
      <w:ind w:left="420"/>
    </w:pPr>
    <w:rPr>
      <w:rFonts w:eastAsiaTheme="minorHAnsi"/>
      <w:sz w:val="20"/>
      <w:szCs w:val="20"/>
    </w:rPr>
  </w:style>
  <w:style w:type="paragraph" w:styleId="aff0">
    <w:name w:val="index heading"/>
    <w:basedOn w:val="a2"/>
    <w:next w:val="14"/>
    <w:qFormat/>
    <w:pPr>
      <w:spacing w:line="500" w:lineRule="exact"/>
    </w:pPr>
    <w:rPr>
      <w:rFonts w:ascii="仿宋_GB2312" w:eastAsia="仿宋_GB2312"/>
    </w:rPr>
  </w:style>
  <w:style w:type="paragraph" w:styleId="14">
    <w:name w:val="index 1"/>
    <w:basedOn w:val="a2"/>
    <w:next w:val="a2"/>
    <w:unhideWhenUsed/>
    <w:qFormat/>
  </w:style>
  <w:style w:type="paragraph" w:styleId="aff1">
    <w:name w:val="Subtitle"/>
    <w:basedOn w:val="a2"/>
    <w:link w:val="Charf3"/>
    <w:qFormat/>
    <w:pPr>
      <w:spacing w:before="240" w:after="60" w:line="312" w:lineRule="auto"/>
      <w:jc w:val="center"/>
      <w:outlineLvl w:val="1"/>
    </w:pPr>
    <w:rPr>
      <w:rFonts w:hAnsi="Arial" w:cs="Arial"/>
      <w:b/>
      <w:bCs/>
      <w:kern w:val="28"/>
      <w:sz w:val="32"/>
      <w:szCs w:val="32"/>
    </w:rPr>
  </w:style>
  <w:style w:type="paragraph" w:styleId="5">
    <w:name w:val="List Number 5"/>
    <w:basedOn w:val="a2"/>
    <w:qFormat/>
    <w:pPr>
      <w:numPr>
        <w:numId w:val="2"/>
      </w:numPr>
      <w:ind w:left="0" w:firstLine="0"/>
    </w:pPr>
    <w:rPr>
      <w:rFonts w:hAnsi="宋体"/>
    </w:rPr>
  </w:style>
  <w:style w:type="paragraph" w:styleId="aff2">
    <w:name w:val="List"/>
    <w:basedOn w:val="a2"/>
    <w:link w:val="Charf4"/>
    <w:qFormat/>
    <w:pPr>
      <w:spacing w:line="360" w:lineRule="exact"/>
      <w:jc w:val="center"/>
    </w:pPr>
    <w:rPr>
      <w:rFonts w:ascii="仿宋_GB2312" w:eastAsia="仿宋_GB2312"/>
      <w:sz w:val="24"/>
      <w:szCs w:val="22"/>
    </w:rPr>
  </w:style>
  <w:style w:type="paragraph" w:styleId="aff3">
    <w:name w:val="footnote text"/>
    <w:basedOn w:val="a2"/>
    <w:link w:val="Char10"/>
    <w:qFormat/>
    <w:pPr>
      <w:snapToGrid w:val="0"/>
      <w:spacing w:beforeLines="50" w:before="50" w:afterLines="50" w:after="50" w:line="300" w:lineRule="auto"/>
      <w:ind w:firstLineChars="200" w:firstLine="200"/>
    </w:pPr>
    <w:rPr>
      <w:rFonts w:hAnsi="Arial"/>
      <w:bCs/>
      <w:sz w:val="18"/>
      <w:szCs w:val="18"/>
    </w:rPr>
  </w:style>
  <w:style w:type="paragraph" w:styleId="61">
    <w:name w:val="toc 6"/>
    <w:basedOn w:val="a2"/>
    <w:next w:val="a2"/>
    <w:uiPriority w:val="39"/>
    <w:qFormat/>
    <w:pPr>
      <w:ind w:left="840"/>
    </w:pPr>
    <w:rPr>
      <w:rFonts w:eastAsiaTheme="minorHAnsi"/>
      <w:sz w:val="20"/>
      <w:szCs w:val="20"/>
    </w:rPr>
  </w:style>
  <w:style w:type="paragraph" w:styleId="56">
    <w:name w:val="List 5"/>
    <w:basedOn w:val="a2"/>
    <w:qFormat/>
    <w:pPr>
      <w:tabs>
        <w:tab w:val="left" w:pos="780"/>
      </w:tabs>
      <w:spacing w:before="50" w:line="500" w:lineRule="exact"/>
      <w:ind w:left="780" w:hanging="360"/>
    </w:pPr>
    <w:rPr>
      <w:rFonts w:hAnsi="宋体"/>
      <w:spacing w:val="6"/>
      <w:sz w:val="24"/>
    </w:rPr>
  </w:style>
  <w:style w:type="paragraph" w:styleId="39">
    <w:name w:val="Body Text Indent 3"/>
    <w:basedOn w:val="a2"/>
    <w:link w:val="3Char1"/>
    <w:qFormat/>
    <w:pPr>
      <w:spacing w:line="540" w:lineRule="atLeast"/>
      <w:ind w:firstLine="570"/>
    </w:pPr>
    <w:rPr>
      <w:szCs w:val="22"/>
    </w:rPr>
  </w:style>
  <w:style w:type="paragraph" w:styleId="71">
    <w:name w:val="index 7"/>
    <w:basedOn w:val="a2"/>
    <w:next w:val="a2"/>
    <w:qFormat/>
    <w:pPr>
      <w:ind w:left="2520"/>
      <w:jc w:val="both"/>
    </w:pPr>
  </w:style>
  <w:style w:type="paragraph" w:styleId="90">
    <w:name w:val="index 9"/>
    <w:basedOn w:val="a2"/>
    <w:next w:val="a2"/>
    <w:qFormat/>
    <w:pPr>
      <w:snapToGrid w:val="0"/>
      <w:spacing w:before="120" w:after="120" w:line="360" w:lineRule="auto"/>
      <w:ind w:leftChars="1600" w:left="1600" w:firstLineChars="200" w:firstLine="200"/>
      <w:jc w:val="both"/>
    </w:pPr>
    <w:rPr>
      <w:sz w:val="24"/>
    </w:rPr>
  </w:style>
  <w:style w:type="paragraph" w:styleId="aff4">
    <w:name w:val="table of figures"/>
    <w:basedOn w:val="a2"/>
    <w:next w:val="a2"/>
    <w:qFormat/>
    <w:pPr>
      <w:spacing w:line="500" w:lineRule="atLeast"/>
      <w:jc w:val="center"/>
    </w:pPr>
    <w:rPr>
      <w:rFonts w:ascii="仿宋_GB2312" w:eastAsia="仿宋_GB2312" w:hint="eastAsia"/>
    </w:rPr>
  </w:style>
  <w:style w:type="paragraph" w:styleId="26">
    <w:name w:val="toc 2"/>
    <w:basedOn w:val="a2"/>
    <w:next w:val="a2"/>
    <w:uiPriority w:val="39"/>
    <w:qFormat/>
    <w:pPr>
      <w:spacing w:before="240"/>
    </w:pPr>
    <w:rPr>
      <w:rFonts w:eastAsiaTheme="minorHAnsi"/>
      <w:b/>
      <w:bCs/>
      <w:sz w:val="20"/>
      <w:szCs w:val="20"/>
    </w:rPr>
  </w:style>
  <w:style w:type="paragraph" w:styleId="91">
    <w:name w:val="toc 9"/>
    <w:basedOn w:val="a2"/>
    <w:next w:val="a2"/>
    <w:uiPriority w:val="39"/>
    <w:qFormat/>
    <w:pPr>
      <w:ind w:left="1470"/>
    </w:pPr>
    <w:rPr>
      <w:rFonts w:eastAsiaTheme="minorHAnsi"/>
      <w:sz w:val="20"/>
      <w:szCs w:val="20"/>
    </w:rPr>
  </w:style>
  <w:style w:type="paragraph" w:styleId="27">
    <w:name w:val="Body Text 2"/>
    <w:basedOn w:val="a2"/>
    <w:link w:val="2Char0"/>
    <w:qFormat/>
    <w:pPr>
      <w:jc w:val="center"/>
    </w:pPr>
    <w:rPr>
      <w:rFonts w:eastAsia="仿宋_GB2312"/>
      <w:szCs w:val="24"/>
    </w:rPr>
  </w:style>
  <w:style w:type="paragraph" w:styleId="47">
    <w:name w:val="List 4"/>
    <w:basedOn w:val="a2"/>
    <w:qFormat/>
    <w:pPr>
      <w:ind w:leftChars="600" w:left="100" w:hangingChars="200" w:hanging="200"/>
      <w:jc w:val="both"/>
    </w:pPr>
  </w:style>
  <w:style w:type="paragraph" w:styleId="28">
    <w:name w:val="List Continue 2"/>
    <w:basedOn w:val="a2"/>
    <w:qFormat/>
    <w:pPr>
      <w:spacing w:before="60" w:after="120"/>
      <w:ind w:left="840" w:firstLine="482"/>
    </w:pPr>
    <w:rPr>
      <w:rFonts w:eastAsia="仿宋_GB2312" w:hAnsi="Arial"/>
      <w:sz w:val="24"/>
    </w:rPr>
  </w:style>
  <w:style w:type="paragraph" w:styleId="aff5">
    <w:name w:val="Message Header"/>
    <w:basedOn w:val="a2"/>
    <w:link w:val="Charf5"/>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both"/>
    </w:pPr>
    <w:rPr>
      <w:rFonts w:hAnsi="Arial"/>
      <w:sz w:val="24"/>
      <w:szCs w:val="24"/>
    </w:rPr>
  </w:style>
  <w:style w:type="paragraph" w:styleId="HTML0">
    <w:name w:val="HTML Preformatted"/>
    <w:basedOn w:val="a2"/>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 w:val="24"/>
      <w:szCs w:val="24"/>
    </w:rPr>
  </w:style>
  <w:style w:type="paragraph" w:styleId="aff6">
    <w:name w:val="Normal (Web)"/>
    <w:basedOn w:val="a2"/>
    <w:uiPriority w:val="99"/>
    <w:qFormat/>
    <w:rPr>
      <w:rFonts w:eastAsia="仿宋_GB2312"/>
      <w:sz w:val="24"/>
    </w:rPr>
  </w:style>
  <w:style w:type="paragraph" w:styleId="3a">
    <w:name w:val="List Continue 3"/>
    <w:basedOn w:val="a2"/>
    <w:qFormat/>
    <w:pPr>
      <w:spacing w:after="120"/>
      <w:ind w:leftChars="600" w:left="1260"/>
      <w:jc w:val="both"/>
    </w:pPr>
  </w:style>
  <w:style w:type="paragraph" w:styleId="29">
    <w:name w:val="index 2"/>
    <w:basedOn w:val="a2"/>
    <w:next w:val="a2"/>
    <w:qFormat/>
    <w:pPr>
      <w:snapToGrid w:val="0"/>
      <w:ind w:leftChars="200" w:left="200"/>
    </w:pPr>
    <w:rPr>
      <w:rFonts w:ascii="宋体" w:hAnsi="宋体"/>
      <w:sz w:val="24"/>
    </w:rPr>
  </w:style>
  <w:style w:type="paragraph" w:styleId="aff7">
    <w:name w:val="Title"/>
    <w:basedOn w:val="a2"/>
    <w:next w:val="a2"/>
    <w:link w:val="Charf6"/>
    <w:qFormat/>
    <w:pPr>
      <w:spacing w:before="240" w:after="60"/>
      <w:jc w:val="center"/>
      <w:outlineLvl w:val="0"/>
    </w:pPr>
    <w:rPr>
      <w:rFonts w:hAnsi="Arial" w:cs="Arial"/>
      <w:b/>
      <w:bCs/>
      <w:sz w:val="32"/>
      <w:szCs w:val="32"/>
    </w:rPr>
  </w:style>
  <w:style w:type="paragraph" w:styleId="aff8">
    <w:name w:val="annotation subject"/>
    <w:basedOn w:val="af1"/>
    <w:next w:val="af1"/>
    <w:link w:val="Charf7"/>
    <w:uiPriority w:val="99"/>
    <w:unhideWhenUsed/>
    <w:qFormat/>
    <w:rPr>
      <w:b/>
      <w:bCs/>
    </w:rPr>
  </w:style>
  <w:style w:type="paragraph" w:styleId="aff9">
    <w:name w:val="Body Text First Indent"/>
    <w:basedOn w:val="af4"/>
    <w:link w:val="Charf8"/>
    <w:qFormat/>
    <w:pPr>
      <w:ind w:firstLineChars="100" w:firstLine="420"/>
    </w:pPr>
    <w:rPr>
      <w:rFonts w:eastAsia="宋体"/>
      <w:szCs w:val="24"/>
    </w:rPr>
  </w:style>
  <w:style w:type="paragraph" w:styleId="2a">
    <w:name w:val="Body Text First Indent 2"/>
    <w:basedOn w:val="af5"/>
    <w:link w:val="2Char2"/>
    <w:qFormat/>
    <w:pPr>
      <w:ind w:firstLineChars="200" w:firstLine="420"/>
    </w:pPr>
  </w:style>
  <w:style w:type="table" w:styleId="affa">
    <w:name w:val="Table Grid"/>
    <w:basedOn w:val="a5"/>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b">
    <w:name w:val="Table Theme"/>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c">
    <w:name w:val="Table Elegant"/>
    <w:basedOn w:val="a5"/>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5">
    <w:name w:val="Table Classic 1"/>
    <w:basedOn w:val="a5"/>
    <w:pPr>
      <w:widowControl w:val="0"/>
      <w:jc w:val="both"/>
    </w:pPr>
    <w:rPr>
      <w:rFonts w:ascii="Times New Roman" w:eastAsia="宋体"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6">
    <w:name w:val="Table Simple 1"/>
    <w:basedOn w:val="a5"/>
    <w:pPr>
      <w:widowControl w:val="0"/>
      <w:jc w:val="both"/>
    </w:pPr>
    <w:rPr>
      <w:rFonts w:ascii="Times New Roman" w:eastAsia="宋体"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3b">
    <w:name w:val="Table List 3"/>
    <w:basedOn w:val="a5"/>
    <w:pPr>
      <w:widowControl w:val="0"/>
      <w:jc w:val="both"/>
    </w:pPr>
    <w:rPr>
      <w:rFonts w:ascii="Times New Roman" w:eastAsia="宋体" w:hAnsi="Times New Roman" w:cs="Times New Roman"/>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62">
    <w:name w:val="Table List 6"/>
    <w:basedOn w:val="a5"/>
    <w:pPr>
      <w:widowControl w:val="0"/>
      <w:spacing w:line="360" w:lineRule="auto"/>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fd">
    <w:name w:val="Table Contemporary"/>
    <w:basedOn w:val="a5"/>
    <w:pPr>
      <w:widowControl w:val="0"/>
      <w:jc w:val="both"/>
    </w:pPr>
    <w:rPr>
      <w:rFonts w:ascii="Times New Roman" w:eastAsia="宋体" w:hAnsi="Times New Roman" w:cs="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7">
    <w:name w:val="Table Grid 1"/>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7">
    <w:name w:val="Table Grid 5"/>
    <w:basedOn w:val="a5"/>
    <w:pPr>
      <w:widowControl w:val="0"/>
      <w:jc w:val="both"/>
    </w:pPr>
    <w:rPr>
      <w:rFonts w:ascii="Times New Roman" w:eastAsia="宋体"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Grid 7"/>
    <w:basedOn w:val="a5"/>
    <w:pPr>
      <w:widowControl w:val="0"/>
      <w:jc w:val="both"/>
    </w:pPr>
    <w:rPr>
      <w:rFonts w:ascii="Times New Roman" w:eastAsia="宋体"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5"/>
    <w:pPr>
      <w:widowControl w:val="0"/>
      <w:jc w:val="both"/>
    </w:pPr>
    <w:rPr>
      <w:rFonts w:ascii="Times New Roman" w:eastAsia="宋体"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e">
    <w:name w:val="Table Professional"/>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
    <w:name w:val="Strong"/>
    <w:uiPriority w:val="22"/>
    <w:qFormat/>
    <w:rPr>
      <w:b/>
      <w:bCs/>
    </w:rPr>
  </w:style>
  <w:style w:type="character" w:styleId="afff0">
    <w:name w:val="endnote reference"/>
    <w:rPr>
      <w:vertAlign w:val="superscript"/>
    </w:rPr>
  </w:style>
  <w:style w:type="character" w:styleId="afff1">
    <w:name w:val="page number"/>
    <w:basedOn w:val="a4"/>
  </w:style>
  <w:style w:type="character" w:styleId="afff2">
    <w:name w:val="FollowedHyperlink"/>
    <w:rPr>
      <w:color w:val="800080"/>
      <w:u w:val="single"/>
    </w:rPr>
  </w:style>
  <w:style w:type="character" w:styleId="afff3">
    <w:name w:val="Emphasis"/>
    <w:uiPriority w:val="20"/>
    <w:qFormat/>
    <w:rPr>
      <w:color w:val="CC0000"/>
    </w:rPr>
  </w:style>
  <w:style w:type="character" w:styleId="afff4">
    <w:name w:val="line number"/>
    <w:basedOn w:val="a4"/>
  </w:style>
  <w:style w:type="character" w:styleId="HTML1">
    <w:name w:val="HTML Definition"/>
    <w:rPr>
      <w:i/>
      <w:iCs/>
    </w:rPr>
  </w:style>
  <w:style w:type="character" w:styleId="HTML2">
    <w:name w:val="HTML Typewriter"/>
    <w:rPr>
      <w:rFonts w:ascii="黑体" w:eastAsia="黑体" w:hAnsi="Courier New" w:cs="Courier New"/>
      <w:sz w:val="20"/>
      <w:szCs w:val="20"/>
    </w:rPr>
  </w:style>
  <w:style w:type="character" w:styleId="HTML3">
    <w:name w:val="HTML Acronym"/>
    <w:basedOn w:val="a4"/>
  </w:style>
  <w:style w:type="character" w:styleId="HTML4">
    <w:name w:val="HTML Variable"/>
    <w:rPr>
      <w:i/>
      <w:iCs/>
    </w:rPr>
  </w:style>
  <w:style w:type="character" w:styleId="afff5">
    <w:name w:val="Hyperlink"/>
    <w:uiPriority w:val="99"/>
    <w:rPr>
      <w:color w:val="0000FF"/>
      <w:u w:val="single"/>
    </w:rPr>
  </w:style>
  <w:style w:type="character" w:styleId="HTML5">
    <w:name w:val="HTML Code"/>
    <w:rPr>
      <w:rFonts w:ascii="黑体" w:eastAsia="黑体" w:hAnsi="Courier New" w:cs="Courier New"/>
      <w:sz w:val="24"/>
      <w:szCs w:val="24"/>
    </w:rPr>
  </w:style>
  <w:style w:type="character" w:styleId="afff6">
    <w:name w:val="annotation reference"/>
    <w:basedOn w:val="a4"/>
    <w:unhideWhenUsed/>
    <w:qFormat/>
    <w:rPr>
      <w:sz w:val="21"/>
      <w:szCs w:val="21"/>
    </w:rPr>
  </w:style>
  <w:style w:type="character" w:styleId="HTML6">
    <w:name w:val="HTML Cite"/>
    <w:rPr>
      <w:i/>
      <w:iCs/>
    </w:rPr>
  </w:style>
  <w:style w:type="character" w:styleId="afff7">
    <w:name w:val="footnote reference"/>
    <w:rPr>
      <w:vertAlign w:val="superscript"/>
    </w:rPr>
  </w:style>
  <w:style w:type="character" w:styleId="HTML7">
    <w:name w:val="HTML Keyboard"/>
    <w:rPr>
      <w:rFonts w:ascii="Courier New" w:hAnsi="Courier New" w:cs="Courier New"/>
      <w:sz w:val="20"/>
      <w:szCs w:val="20"/>
    </w:rPr>
  </w:style>
  <w:style w:type="character" w:styleId="HTML8">
    <w:name w:val="HTML Sample"/>
    <w:rPr>
      <w:rFonts w:ascii="Courier New" w:hAnsi="Courier New" w:cs="Courier New"/>
    </w:rPr>
  </w:style>
  <w:style w:type="character" w:customStyle="1" w:styleId="Charf1">
    <w:name w:val="页眉 Char"/>
    <w:basedOn w:val="a4"/>
    <w:link w:val="afe"/>
    <w:uiPriority w:val="99"/>
    <w:qFormat/>
    <w:rPr>
      <w:sz w:val="18"/>
      <w:szCs w:val="18"/>
    </w:rPr>
  </w:style>
  <w:style w:type="character" w:customStyle="1" w:styleId="Charf0">
    <w:name w:val="页脚 Char"/>
    <w:basedOn w:val="a4"/>
    <w:link w:val="afc"/>
    <w:uiPriority w:val="99"/>
    <w:qFormat/>
    <w:rPr>
      <w:sz w:val="18"/>
      <w:szCs w:val="18"/>
    </w:rPr>
  </w:style>
  <w:style w:type="paragraph" w:customStyle="1" w:styleId="5Char0">
    <w:name w:val="5 Char"/>
    <w:basedOn w:val="a2"/>
    <w:qFormat/>
    <w:rPr>
      <w:sz w:val="24"/>
    </w:rPr>
  </w:style>
  <w:style w:type="paragraph" w:styleId="afff8">
    <w:name w:val="No Spacing"/>
    <w:basedOn w:val="a2"/>
    <w:qFormat/>
    <w:rPr>
      <w:sz w:val="22"/>
      <w:szCs w:val="22"/>
    </w:rPr>
  </w:style>
  <w:style w:type="character" w:customStyle="1" w:styleId="Chard">
    <w:name w:val="日期 Char"/>
    <w:basedOn w:val="a4"/>
    <w:link w:val="af9"/>
    <w:rPr>
      <w:rFonts w:ascii="Arial" w:eastAsia="楷体_GB2312" w:hAnsi="Times New Roman" w:cs="Times New Roman"/>
      <w:spacing w:val="-6"/>
      <w:kern w:val="0"/>
      <w:sz w:val="28"/>
      <w:szCs w:val="20"/>
    </w:rPr>
  </w:style>
  <w:style w:type="character" w:customStyle="1" w:styleId="1Char">
    <w:name w:val="标题 1 Char"/>
    <w:basedOn w:val="a4"/>
    <w:link w:val="12"/>
    <w:uiPriority w:val="9"/>
    <w:qFormat/>
    <w:rPr>
      <w:rFonts w:ascii="Calibri" w:eastAsia="黑体" w:hAnsi="Times New Roman" w:cs="Times New Roman"/>
      <w:bCs/>
      <w:kern w:val="44"/>
      <w:sz w:val="48"/>
      <w:szCs w:val="48"/>
    </w:rPr>
  </w:style>
  <w:style w:type="paragraph" w:customStyle="1" w:styleId="afff9">
    <w:name w:val="样式 四号"/>
    <w:basedOn w:val="a2"/>
    <w:qFormat/>
    <w:pPr>
      <w:spacing w:beforeLines="50" w:before="156" w:afterLines="50" w:after="156" w:line="360" w:lineRule="auto"/>
      <w:ind w:firstLineChars="192" w:firstLine="461"/>
    </w:pPr>
    <w:rPr>
      <w:rFonts w:cs="宋体"/>
      <w:sz w:val="24"/>
    </w:rPr>
  </w:style>
  <w:style w:type="character" w:customStyle="1" w:styleId="Char6">
    <w:name w:val="批注文字 Char"/>
    <w:basedOn w:val="a4"/>
    <w:link w:val="af1"/>
    <w:qFormat/>
    <w:rPr>
      <w:rFonts w:ascii="Arial" w:eastAsia="楷体_GB2312" w:hAnsi="Times New Roman" w:cs="Times New Roman"/>
      <w:spacing w:val="-6"/>
      <w:kern w:val="0"/>
      <w:sz w:val="28"/>
      <w:szCs w:val="20"/>
    </w:rPr>
  </w:style>
  <w:style w:type="character" w:customStyle="1" w:styleId="Charf7">
    <w:name w:val="批注主题 Char"/>
    <w:basedOn w:val="Char6"/>
    <w:link w:val="aff8"/>
    <w:uiPriority w:val="99"/>
    <w:semiHidden/>
    <w:qFormat/>
    <w:rPr>
      <w:rFonts w:ascii="Arial" w:eastAsia="楷体_GB2312" w:hAnsi="Times New Roman" w:cs="Times New Roman"/>
      <w:b/>
      <w:bCs/>
      <w:spacing w:val="-6"/>
      <w:kern w:val="0"/>
      <w:sz w:val="28"/>
      <w:szCs w:val="20"/>
    </w:rPr>
  </w:style>
  <w:style w:type="character" w:customStyle="1" w:styleId="Charf">
    <w:name w:val="批注框文本 Char"/>
    <w:basedOn w:val="a4"/>
    <w:link w:val="afb"/>
    <w:uiPriority w:val="99"/>
    <w:qFormat/>
    <w:rPr>
      <w:rFonts w:ascii="Arial" w:eastAsia="楷体_GB2312" w:hAnsi="Times New Roman" w:cs="Times New Roman"/>
      <w:spacing w:val="-6"/>
      <w:kern w:val="0"/>
      <w:sz w:val="18"/>
      <w:szCs w:val="18"/>
    </w:rPr>
  </w:style>
  <w:style w:type="character" w:customStyle="1" w:styleId="Char4">
    <w:name w:val="题注 Char"/>
    <w:link w:val="ac"/>
    <w:rPr>
      <w:rFonts w:ascii="Cambria" w:eastAsia="黑体" w:hAnsi="Cambria"/>
    </w:rPr>
  </w:style>
  <w:style w:type="character" w:customStyle="1" w:styleId="18">
    <w:name w:val="页脚 字符1"/>
    <w:uiPriority w:val="99"/>
    <w:qFormat/>
    <w:rPr>
      <w:kern w:val="2"/>
      <w:sz w:val="18"/>
      <w:szCs w:val="18"/>
    </w:rPr>
  </w:style>
  <w:style w:type="character" w:customStyle="1" w:styleId="2Char1">
    <w:name w:val="标题 2 Char1"/>
    <w:basedOn w:val="a4"/>
    <w:link w:val="22"/>
    <w:uiPriority w:val="9"/>
    <w:qFormat/>
    <w:rPr>
      <w:rFonts w:asciiTheme="majorHAnsi" w:eastAsiaTheme="majorEastAsia" w:hAnsiTheme="majorHAnsi" w:cstheme="majorBidi"/>
      <w:b/>
      <w:bCs/>
      <w:spacing w:val="-6"/>
      <w:kern w:val="0"/>
      <w:sz w:val="32"/>
      <w:szCs w:val="32"/>
    </w:rPr>
  </w:style>
  <w:style w:type="character" w:customStyle="1" w:styleId="3Char">
    <w:name w:val="标题 3 Char"/>
    <w:basedOn w:val="a4"/>
    <w:link w:val="32"/>
    <w:qFormat/>
    <w:rPr>
      <w:rFonts w:ascii="Arial" w:eastAsia="楷体_GB2312" w:hAnsi="Times New Roman" w:cs="Times New Roman"/>
      <w:b/>
      <w:bCs/>
      <w:spacing w:val="-6"/>
      <w:kern w:val="0"/>
      <w:sz w:val="32"/>
      <w:szCs w:val="32"/>
    </w:rPr>
  </w:style>
  <w:style w:type="character" w:customStyle="1" w:styleId="4Char">
    <w:name w:val="标题 4 Char"/>
    <w:basedOn w:val="a4"/>
    <w:link w:val="41"/>
    <w:rPr>
      <w:rFonts w:ascii="黑体" w:eastAsia="黑体" w:hAnsi="Times New Roman" w:cs="Times New Roman"/>
      <w:bCs/>
      <w:kern w:val="0"/>
      <w:sz w:val="28"/>
      <w:szCs w:val="28"/>
    </w:rPr>
  </w:style>
  <w:style w:type="character" w:customStyle="1" w:styleId="5Char">
    <w:name w:val="标题 5 Char"/>
    <w:basedOn w:val="a4"/>
    <w:link w:val="50"/>
    <w:rPr>
      <w:rFonts w:ascii="Calibri" w:eastAsia="宋体" w:hAnsi="Times New Roman" w:cs="Times New Roman"/>
      <w:b/>
      <w:bCs/>
      <w:sz w:val="28"/>
      <w:szCs w:val="28"/>
    </w:rPr>
  </w:style>
  <w:style w:type="character" w:customStyle="1" w:styleId="6Char">
    <w:name w:val="标题 6 Char"/>
    <w:basedOn w:val="a4"/>
    <w:link w:val="6"/>
    <w:uiPriority w:val="9"/>
    <w:rPr>
      <w:rFonts w:ascii="Arial" w:eastAsia="黑体" w:hAnsi="Arial" w:cs="Times New Roman"/>
      <w:b/>
      <w:sz w:val="24"/>
      <w:szCs w:val="20"/>
    </w:rPr>
  </w:style>
  <w:style w:type="character" w:customStyle="1" w:styleId="7Char">
    <w:name w:val="标题 7 Char"/>
    <w:basedOn w:val="a4"/>
    <w:link w:val="7"/>
    <w:uiPriority w:val="9"/>
    <w:rPr>
      <w:rFonts w:ascii="Calibri" w:eastAsia="宋体" w:hAnsi="Times New Roman" w:cs="Times New Roman"/>
      <w:b/>
      <w:sz w:val="24"/>
      <w:szCs w:val="20"/>
    </w:rPr>
  </w:style>
  <w:style w:type="character" w:customStyle="1" w:styleId="8Char">
    <w:name w:val="标题 8 Char"/>
    <w:basedOn w:val="a4"/>
    <w:link w:val="8"/>
    <w:uiPriority w:val="9"/>
    <w:rPr>
      <w:rFonts w:ascii="Arial" w:eastAsia="黑体" w:hAnsi="Arial" w:cs="Times New Roman"/>
      <w:sz w:val="24"/>
      <w:szCs w:val="20"/>
    </w:rPr>
  </w:style>
  <w:style w:type="character" w:customStyle="1" w:styleId="9Char">
    <w:name w:val="标题 9 Char"/>
    <w:basedOn w:val="a4"/>
    <w:link w:val="9"/>
    <w:uiPriority w:val="9"/>
    <w:rPr>
      <w:rFonts w:ascii="Arial" w:eastAsia="黑体" w:hAnsi="Arial" w:cs="Times New Roman"/>
      <w:szCs w:val="20"/>
    </w:rPr>
  </w:style>
  <w:style w:type="character" w:customStyle="1" w:styleId="Charf9">
    <w:name w:val="表格图名 Char"/>
    <w:link w:val="afffa"/>
    <w:rPr>
      <w:rFonts w:cs="宋体"/>
    </w:rPr>
  </w:style>
  <w:style w:type="paragraph" w:customStyle="1" w:styleId="afffa">
    <w:name w:val="表格图名"/>
    <w:basedOn w:val="a2"/>
    <w:link w:val="Charf9"/>
    <w:qFormat/>
    <w:pPr>
      <w:snapToGrid w:val="0"/>
      <w:jc w:val="center"/>
    </w:pPr>
    <w:rPr>
      <w:rFonts w:cs="宋体"/>
      <w:szCs w:val="22"/>
    </w:rPr>
  </w:style>
  <w:style w:type="character" w:customStyle="1" w:styleId="Charfa">
    <w:name w:val="表 头 Char"/>
    <w:link w:val="afffb"/>
    <w:locked/>
    <w:rPr>
      <w:rFonts w:ascii="宋体" w:eastAsia="黑体" w:hAnsi="宋体" w:cs="宋体"/>
      <w:spacing w:val="10"/>
      <w:sz w:val="24"/>
    </w:rPr>
  </w:style>
  <w:style w:type="paragraph" w:customStyle="1" w:styleId="afffb">
    <w:name w:val="表 头"/>
    <w:basedOn w:val="a2"/>
    <w:link w:val="Charfa"/>
    <w:qFormat/>
    <w:pPr>
      <w:spacing w:before="120" w:after="120" w:line="360" w:lineRule="atLeast"/>
      <w:jc w:val="center"/>
    </w:pPr>
    <w:rPr>
      <w:rFonts w:ascii="宋体" w:eastAsia="黑体" w:hAnsi="宋体" w:cs="宋体"/>
      <w:spacing w:val="10"/>
      <w:sz w:val="24"/>
      <w:szCs w:val="22"/>
    </w:rPr>
  </w:style>
  <w:style w:type="character" w:customStyle="1" w:styleId="nr1">
    <w:name w:val="nr1"/>
    <w:rPr>
      <w:rFonts w:ascii="宋体" w:eastAsia="宋体" w:hAnsi="宋体" w:hint="eastAsia"/>
      <w:color w:val="000000"/>
      <w:sz w:val="22"/>
    </w:rPr>
  </w:style>
  <w:style w:type="character" w:customStyle="1" w:styleId="CharChar2">
    <w:name w:val="Char Char2"/>
    <w:rPr>
      <w:rFonts w:eastAsia="宋体"/>
      <w:kern w:val="24"/>
      <w:sz w:val="24"/>
      <w:szCs w:val="18"/>
      <w:lang w:val="en-US" w:eastAsia="zh-CN" w:bidi="ar-SA"/>
    </w:rPr>
  </w:style>
  <w:style w:type="character" w:customStyle="1" w:styleId="2pt5">
    <w:name w:val="正文文本 + 间距 2 pt5"/>
    <w:rPr>
      <w:rFonts w:ascii="Arial Unicode MS" w:eastAsia="Arial Unicode MS" w:cs="Arial Unicode MS"/>
      <w:spacing w:val="40"/>
      <w:sz w:val="27"/>
      <w:szCs w:val="27"/>
      <w:u w:val="none"/>
    </w:rPr>
  </w:style>
  <w:style w:type="character" w:customStyle="1" w:styleId="CharChar">
    <w:name w:val="节标题 Char Char"/>
    <w:rPr>
      <w:rFonts w:eastAsia="宋体"/>
      <w:b/>
      <w:bCs/>
      <w:color w:val="000000"/>
      <w:kern w:val="2"/>
      <w:sz w:val="28"/>
      <w:szCs w:val="24"/>
      <w:lang w:val="en-US" w:eastAsia="zh-CN" w:bidi="ar-SA"/>
    </w:rPr>
  </w:style>
  <w:style w:type="character" w:customStyle="1" w:styleId="keyword1">
    <w:name w:val="keyword1"/>
    <w:rPr>
      <w:color w:val="FF0000"/>
    </w:rPr>
  </w:style>
  <w:style w:type="character" w:customStyle="1" w:styleId="Char20">
    <w:name w:val="页眉 Char2"/>
    <w:rPr>
      <w:rFonts w:ascii="Times New Roman" w:eastAsia="宋体" w:hAnsi="Times New Roman" w:cs="Times New Roman"/>
      <w:sz w:val="18"/>
      <w:szCs w:val="18"/>
    </w:rPr>
  </w:style>
  <w:style w:type="character" w:customStyle="1" w:styleId="CharCharCharCharCharCharChar">
    <w:name w:val="燕山正文 Char Char Char Char Char Char Char"/>
    <w:link w:val="CharCharCharChar"/>
    <w:rPr>
      <w:rFonts w:ascii="宋体"/>
      <w:sz w:val="24"/>
      <w:szCs w:val="24"/>
    </w:rPr>
  </w:style>
  <w:style w:type="paragraph" w:customStyle="1" w:styleId="CharCharCharChar">
    <w:name w:val="燕山正文 Char Char Char Char"/>
    <w:basedOn w:val="a2"/>
    <w:link w:val="CharCharCharCharCharCharChar"/>
    <w:qFormat/>
    <w:pPr>
      <w:snapToGrid w:val="0"/>
      <w:spacing w:line="440" w:lineRule="exact"/>
      <w:ind w:firstLine="454"/>
      <w:jc w:val="both"/>
    </w:pPr>
    <w:rPr>
      <w:rFonts w:ascii="宋体"/>
      <w:sz w:val="24"/>
      <w:szCs w:val="24"/>
    </w:rPr>
  </w:style>
  <w:style w:type="character" w:customStyle="1" w:styleId="CharChar0">
    <w:name w:val="样式 报告书表格 + Char Char"/>
    <w:basedOn w:val="CharChar1"/>
    <w:link w:val="afffc"/>
    <w:rPr>
      <w:rFonts w:ascii="Times New Roman" w:hAnsi="Times New Roman"/>
      <w:sz w:val="21"/>
    </w:rPr>
  </w:style>
  <w:style w:type="character" w:customStyle="1" w:styleId="CharChar1">
    <w:name w:val="报告书表格 Char Char"/>
    <w:rPr>
      <w:rFonts w:ascii="Times New Roman" w:hAnsi="Times New Roman"/>
      <w:sz w:val="21"/>
    </w:rPr>
  </w:style>
  <w:style w:type="paragraph" w:customStyle="1" w:styleId="afffc">
    <w:name w:val="样式 报告书表格 +"/>
    <w:basedOn w:val="afffd"/>
    <w:link w:val="CharChar0"/>
    <w:qFormat/>
    <w:pPr>
      <w:tabs>
        <w:tab w:val="center" w:pos="4540"/>
        <w:tab w:val="right" w:pos="8505"/>
      </w:tabs>
      <w:snapToGrid w:val="0"/>
      <w:spacing w:line="240" w:lineRule="auto"/>
    </w:pPr>
    <w:rPr>
      <w:rFonts w:ascii="Times New Roman" w:eastAsiaTheme="minorEastAsia"/>
      <w:sz w:val="21"/>
    </w:rPr>
  </w:style>
  <w:style w:type="paragraph" w:customStyle="1" w:styleId="afffd">
    <w:name w:val="报告书表格"/>
    <w:basedOn w:val="a2"/>
    <w:link w:val="Charfb"/>
    <w:qFormat/>
    <w:pPr>
      <w:spacing w:line="400" w:lineRule="exact"/>
      <w:jc w:val="center"/>
      <w:textAlignment w:val="baseline"/>
    </w:pPr>
    <w:rPr>
      <w:rFonts w:eastAsia="仿宋_GB2312"/>
      <w:sz w:val="24"/>
      <w:szCs w:val="22"/>
    </w:rPr>
  </w:style>
  <w:style w:type="character" w:customStyle="1" w:styleId="2C">
    <w:name w:val="标题 2 C"/>
    <w:rPr>
      <w:rFonts w:ascii="宋体" w:eastAsia="宋体" w:hAnsi="Arial"/>
      <w:b/>
      <w:bCs/>
      <w:kern w:val="2"/>
      <w:sz w:val="32"/>
      <w:szCs w:val="32"/>
      <w:lang w:val="en-US" w:eastAsia="zh-CN"/>
    </w:rPr>
  </w:style>
  <w:style w:type="character" w:customStyle="1" w:styleId="m361">
    <w:name w:val="m_361"/>
  </w:style>
  <w:style w:type="character" w:customStyle="1" w:styleId="CharChar3">
    <w:name w:val="新正文 Char Char"/>
    <w:link w:val="afffe"/>
    <w:rPr>
      <w:rFonts w:ascii="宋体" w:eastAsia="宋体"/>
      <w:sz w:val="24"/>
    </w:rPr>
  </w:style>
  <w:style w:type="paragraph" w:customStyle="1" w:styleId="afffe">
    <w:name w:val="新正文"/>
    <w:basedOn w:val="a2"/>
    <w:link w:val="CharChar3"/>
    <w:qFormat/>
    <w:pPr>
      <w:spacing w:line="460" w:lineRule="exact"/>
      <w:ind w:firstLine="454"/>
    </w:pPr>
    <w:rPr>
      <w:rFonts w:ascii="宋体" w:eastAsia="宋体"/>
      <w:sz w:val="24"/>
      <w:szCs w:val="22"/>
    </w:rPr>
  </w:style>
  <w:style w:type="character" w:customStyle="1" w:styleId="1CharChar">
    <w:name w:val="样式1 Char Char"/>
    <w:link w:val="19"/>
    <w:rPr>
      <w:rFonts w:ascii="黑体" w:eastAsia="黑体"/>
      <w:bCs/>
      <w:sz w:val="30"/>
      <w:szCs w:val="28"/>
    </w:rPr>
  </w:style>
  <w:style w:type="paragraph" w:customStyle="1" w:styleId="19">
    <w:name w:val="样式1"/>
    <w:basedOn w:val="41"/>
    <w:link w:val="1CharChar"/>
    <w:qFormat/>
    <w:rPr>
      <w:sz w:val="30"/>
    </w:rPr>
  </w:style>
  <w:style w:type="character" w:customStyle="1" w:styleId="CharCharCharCharCharCharChar1">
    <w:name w:val="Char Char Char Char Char Char Char1"/>
    <w:link w:val="CharCharCharCharCharChar14"/>
    <w:rPr>
      <w:rFonts w:hAnsi="宋体"/>
      <w:sz w:val="24"/>
    </w:rPr>
  </w:style>
  <w:style w:type="paragraph" w:customStyle="1" w:styleId="CharCharCharCharCharChar14">
    <w:name w:val="Char Char Char Char Char Char14"/>
    <w:basedOn w:val="a2"/>
    <w:link w:val="CharCharCharCharCharCharChar1"/>
    <w:qFormat/>
    <w:rPr>
      <w:rFonts w:hAnsi="宋体"/>
      <w:sz w:val="24"/>
      <w:szCs w:val="22"/>
    </w:rPr>
  </w:style>
  <w:style w:type="character" w:customStyle="1" w:styleId="TableTitleChar5">
    <w:name w:val="Table Title Char5"/>
    <w:rPr>
      <w:rFonts w:eastAsia="宋体"/>
      <w:kern w:val="2"/>
      <w:sz w:val="24"/>
      <w:szCs w:val="24"/>
      <w:lang w:val="en-US" w:eastAsia="zh-CN" w:bidi="ar-SA"/>
    </w:rPr>
  </w:style>
  <w:style w:type="character" w:customStyle="1" w:styleId="f14b1">
    <w:name w:val="f14b1"/>
    <w:rPr>
      <w:b/>
      <w:bCs/>
      <w:sz w:val="23"/>
      <w:szCs w:val="23"/>
    </w:rPr>
  </w:style>
  <w:style w:type="character" w:customStyle="1" w:styleId="HTMLChar3">
    <w:name w:val="HTML 预设格式 Char3"/>
    <w:uiPriority w:val="99"/>
    <w:semiHidden/>
    <w:rPr>
      <w:rFonts w:ascii="Courier New" w:hAnsi="Courier New" w:cs="Courier New"/>
      <w:kern w:val="2"/>
    </w:rPr>
  </w:style>
  <w:style w:type="character" w:customStyle="1" w:styleId="Charfc">
    <w:name w:val="报告书正文 Char"/>
    <w:rPr>
      <w:rFonts w:eastAsia="宋体"/>
      <w:sz w:val="24"/>
      <w:szCs w:val="24"/>
      <w:lang w:val="en-US" w:eastAsia="zh-CN" w:bidi="ar-SA"/>
    </w:rPr>
  </w:style>
  <w:style w:type="character" w:customStyle="1" w:styleId="1012CharChar">
    <w:name w:val="样式 样式 首行缩进:  1.01 厘米 + 首行缩进:  2 字符 Char Char"/>
    <w:basedOn w:val="101CharChar"/>
    <w:rPr>
      <w:rFonts w:ascii="宋体" w:eastAsia="宋体" w:hAnsi="宋体"/>
      <w:b/>
      <w:color w:val="000000"/>
      <w:kern w:val="2"/>
      <w:sz w:val="21"/>
      <w:szCs w:val="21"/>
      <w:lang w:val="en-US" w:eastAsia="zh-CN" w:bidi="ar-SA"/>
    </w:rPr>
  </w:style>
  <w:style w:type="character" w:customStyle="1" w:styleId="101CharChar">
    <w:name w:val="样式 首行缩进:  1.01 厘米 Char Char"/>
    <w:rPr>
      <w:rFonts w:ascii="宋体" w:eastAsia="宋体" w:hAnsi="宋体"/>
      <w:b/>
      <w:color w:val="000000"/>
      <w:kern w:val="2"/>
      <w:sz w:val="21"/>
      <w:szCs w:val="21"/>
      <w:lang w:val="en-US" w:eastAsia="zh-CN" w:bidi="ar-SA"/>
    </w:rPr>
  </w:style>
  <w:style w:type="character" w:customStyle="1" w:styleId="bigtitle1">
    <w:name w:val="bigtitle1"/>
    <w:rPr>
      <w:b/>
      <w:bCs/>
      <w:color w:val="0000FF"/>
      <w:sz w:val="24"/>
      <w:szCs w:val="24"/>
    </w:rPr>
  </w:style>
  <w:style w:type="character" w:customStyle="1" w:styleId="CharChar211">
    <w:name w:val="Char Char211"/>
    <w:rPr>
      <w:rFonts w:ascii="Calibri" w:eastAsia="宋体" w:hAnsi="Calibri"/>
      <w:b/>
      <w:kern w:val="2"/>
      <w:sz w:val="24"/>
      <w:lang w:val="en-US" w:eastAsia="zh-CN" w:bidi="ar-SA"/>
    </w:rPr>
  </w:style>
  <w:style w:type="character" w:customStyle="1" w:styleId="edit-number">
    <w:name w:val="edit-number"/>
    <w:basedOn w:val="a4"/>
  </w:style>
  <w:style w:type="character" w:customStyle="1" w:styleId="215CharChar">
    <w:name w:val="标准文本 首行缩进:2 字符 行距1.5倍 Char Char"/>
    <w:link w:val="215"/>
    <w:rPr>
      <w:rFonts w:eastAsia="宋体" w:cs="宋体"/>
      <w:sz w:val="24"/>
      <w:szCs w:val="24"/>
    </w:rPr>
  </w:style>
  <w:style w:type="paragraph" w:customStyle="1" w:styleId="215">
    <w:name w:val="标准文本 首行缩进:2 字符 行距1.5倍"/>
    <w:basedOn w:val="a2"/>
    <w:link w:val="215CharChar"/>
    <w:qFormat/>
    <w:pPr>
      <w:snapToGrid w:val="0"/>
      <w:spacing w:line="360" w:lineRule="auto"/>
      <w:ind w:firstLineChars="200" w:firstLine="200"/>
      <w:textAlignment w:val="center"/>
    </w:pPr>
    <w:rPr>
      <w:rFonts w:eastAsia="宋体" w:cs="宋体"/>
      <w:sz w:val="24"/>
      <w:szCs w:val="24"/>
    </w:rPr>
  </w:style>
  <w:style w:type="character" w:customStyle="1" w:styleId="Charfd">
    <w:name w:val="正文小四 标准 Char"/>
    <w:rPr>
      <w:rFonts w:eastAsia="宋体" w:cs="宋体"/>
      <w:kern w:val="2"/>
      <w:sz w:val="24"/>
      <w:lang w:val="en-US" w:eastAsia="zh-CN" w:bidi="ar-SA"/>
    </w:rPr>
  </w:style>
  <w:style w:type="character" w:customStyle="1" w:styleId="trans">
    <w:name w:val="trans"/>
    <w:basedOn w:val="a4"/>
  </w:style>
  <w:style w:type="character" w:customStyle="1" w:styleId="CharChar103">
    <w:name w:val="Char Char103"/>
    <w:rPr>
      <w:rFonts w:eastAsia="仿宋_GB2312"/>
      <w:kern w:val="2"/>
      <w:sz w:val="24"/>
      <w:szCs w:val="24"/>
      <w:lang w:val="en-US" w:eastAsia="zh-CN" w:bidi="ar-SA"/>
    </w:rPr>
  </w:style>
  <w:style w:type="character" w:customStyle="1" w:styleId="HTMLChar">
    <w:name w:val="HTML 地址 Char"/>
    <w:link w:val="HTML"/>
    <w:rPr>
      <w:sz w:val="18"/>
      <w:szCs w:val="18"/>
    </w:rPr>
  </w:style>
  <w:style w:type="character" w:customStyle="1" w:styleId="101Char">
    <w:name w:val="样式 首行缩进:  1.01 厘米 Char"/>
    <w:link w:val="101"/>
    <w:rPr>
      <w:rFonts w:ascii="黑体" w:eastAsia="黑体" w:hAnsi="宋体"/>
      <w:color w:val="000000"/>
      <w:szCs w:val="21"/>
    </w:rPr>
  </w:style>
  <w:style w:type="paragraph" w:customStyle="1" w:styleId="101">
    <w:name w:val="样式 首行缩进:  1.01 厘米"/>
    <w:basedOn w:val="a2"/>
    <w:link w:val="101Char"/>
    <w:qFormat/>
    <w:pPr>
      <w:spacing w:line="360" w:lineRule="auto"/>
      <w:ind w:firstLineChars="353" w:firstLine="741"/>
      <w:jc w:val="both"/>
    </w:pPr>
    <w:rPr>
      <w:rFonts w:ascii="黑体" w:eastAsia="黑体" w:hAnsi="宋体"/>
      <w:color w:val="000000"/>
    </w:rPr>
  </w:style>
  <w:style w:type="character" w:customStyle="1" w:styleId="1Char0">
    <w:name w:val="标题1宋体黑色 Char"/>
    <w:link w:val="1a"/>
    <w:locked/>
    <w:rPr>
      <w:rFonts w:eastAsia="黑体"/>
      <w:b/>
      <w:bCs/>
      <w:kern w:val="44"/>
      <w:sz w:val="36"/>
      <w:szCs w:val="44"/>
    </w:rPr>
  </w:style>
  <w:style w:type="paragraph" w:customStyle="1" w:styleId="1a">
    <w:name w:val="标题1宋体黑色"/>
    <w:basedOn w:val="12"/>
    <w:link w:val="1Char0"/>
    <w:qFormat/>
    <w:pPr>
      <w:spacing w:before="360" w:after="120" w:line="240" w:lineRule="auto"/>
      <w:textAlignment w:val="auto"/>
    </w:pPr>
    <w:rPr>
      <w:rFonts w:asciiTheme="minorHAnsi"/>
      <w:b/>
      <w:sz w:val="36"/>
      <w:szCs w:val="44"/>
    </w:rPr>
  </w:style>
  <w:style w:type="character" w:customStyle="1" w:styleId="font71">
    <w:name w:val="font71"/>
    <w:qFormat/>
    <w:rPr>
      <w:rFonts w:ascii="Times New Roman" w:hAnsi="Times New Roman" w:cs="Times New Roman" w:hint="default"/>
      <w:color w:val="000000"/>
      <w:sz w:val="18"/>
      <w:szCs w:val="18"/>
      <w:u w:val="none"/>
      <w:vertAlign w:val="subscript"/>
    </w:rPr>
  </w:style>
  <w:style w:type="character" w:customStyle="1" w:styleId="tt1">
    <w:name w:val="tt1"/>
    <w:rPr>
      <w:b/>
      <w:bCs/>
      <w:color w:val="FF0000"/>
    </w:rPr>
  </w:style>
  <w:style w:type="character" w:customStyle="1" w:styleId="FooterChar">
    <w:name w:val="Footer Char"/>
    <w:locked/>
    <w:rPr>
      <w:rFonts w:eastAsia="宋体"/>
      <w:sz w:val="18"/>
      <w:szCs w:val="18"/>
      <w:lang w:bidi="ar-SA"/>
    </w:rPr>
  </w:style>
  <w:style w:type="character" w:customStyle="1" w:styleId="Char11">
    <w:name w:val="正文首行缩进 Char1"/>
    <w:locked/>
    <w:rPr>
      <w:kern w:val="2"/>
      <w:sz w:val="24"/>
    </w:rPr>
  </w:style>
  <w:style w:type="character" w:customStyle="1" w:styleId="m461">
    <w:name w:val="m_461"/>
  </w:style>
  <w:style w:type="character" w:customStyle="1" w:styleId="9Char1">
    <w:name w:val="标题 9 Char1"/>
    <w:uiPriority w:val="9"/>
    <w:rPr>
      <w:rFonts w:ascii="Cambria" w:eastAsia="宋体" w:hAnsi="Cambria" w:cs="Times New Roman"/>
      <w:sz w:val="21"/>
      <w:szCs w:val="21"/>
    </w:rPr>
  </w:style>
  <w:style w:type="character" w:customStyle="1" w:styleId="zw1">
    <w:name w:val="zw1"/>
    <w:rPr>
      <w:rFonts w:ascii="宋体" w:eastAsia="宋体" w:hAnsi="宋体"/>
      <w:sz w:val="22"/>
    </w:rPr>
  </w:style>
  <w:style w:type="character" w:customStyle="1" w:styleId="CCharChar">
    <w:name w:val="C Char Char"/>
    <w:basedOn w:val="BCharChar"/>
    <w:rPr>
      <w:b/>
    </w:rPr>
  </w:style>
  <w:style w:type="character" w:customStyle="1" w:styleId="BCharChar">
    <w:name w:val="B Char Char"/>
    <w:link w:val="B"/>
    <w:rPr>
      <w:b/>
    </w:rPr>
  </w:style>
  <w:style w:type="paragraph" w:customStyle="1" w:styleId="B">
    <w:name w:val="B"/>
    <w:basedOn w:val="aff2"/>
    <w:link w:val="BCharChar"/>
    <w:qFormat/>
    <w:pPr>
      <w:spacing w:beforeLines="20" w:before="62" w:afterLines="20" w:after="62" w:line="240" w:lineRule="auto"/>
    </w:pPr>
    <w:rPr>
      <w:rFonts w:asciiTheme="minorHAnsi" w:eastAsiaTheme="minorEastAsia"/>
      <w:b/>
      <w:sz w:val="21"/>
    </w:rPr>
  </w:style>
  <w:style w:type="character" w:customStyle="1" w:styleId="CharCharCharCharCharChar">
    <w:name w:val="燕山正文 Char Char Char Char Char Char"/>
    <w:link w:val="affff"/>
    <w:rPr>
      <w:rFonts w:ascii="宋体" w:hAnsi="宋体"/>
      <w:color w:val="000000"/>
      <w:sz w:val="24"/>
      <w:szCs w:val="28"/>
    </w:rPr>
  </w:style>
  <w:style w:type="paragraph" w:customStyle="1" w:styleId="affff">
    <w:name w:val="燕山正文"/>
    <w:basedOn w:val="a2"/>
    <w:link w:val="CharCharCharCharCharChar"/>
    <w:qFormat/>
    <w:pPr>
      <w:tabs>
        <w:tab w:val="left" w:pos="4680"/>
      </w:tabs>
      <w:snapToGrid w:val="0"/>
      <w:spacing w:line="360" w:lineRule="auto"/>
      <w:ind w:firstLineChars="200" w:firstLine="560"/>
    </w:pPr>
    <w:rPr>
      <w:rFonts w:ascii="宋体" w:hAnsi="宋体"/>
      <w:color w:val="000000"/>
      <w:sz w:val="24"/>
      <w:szCs w:val="28"/>
    </w:rPr>
  </w:style>
  <w:style w:type="character" w:customStyle="1" w:styleId="2Char3">
    <w:name w:val="正文首行缩进 2 Char3"/>
    <w:uiPriority w:val="99"/>
    <w:semiHidden/>
  </w:style>
  <w:style w:type="character" w:customStyle="1" w:styleId="CharChar143">
    <w:name w:val="Char Char143"/>
    <w:rPr>
      <w:rFonts w:eastAsia="宋体"/>
      <w:kern w:val="2"/>
      <w:sz w:val="21"/>
      <w:szCs w:val="24"/>
      <w:lang w:val="en-US" w:eastAsia="zh-CN" w:bidi="ar-SA"/>
    </w:rPr>
  </w:style>
  <w:style w:type="character" w:customStyle="1" w:styleId="z-Char4">
    <w:name w:val="z-窗体底端 Char4"/>
    <w:uiPriority w:val="99"/>
    <w:semiHidden/>
    <w:rPr>
      <w:rFonts w:ascii="Arial" w:hAnsi="Arial" w:cs="Arial"/>
      <w:vanish/>
      <w:kern w:val="2"/>
      <w:sz w:val="16"/>
      <w:szCs w:val="16"/>
    </w:rPr>
  </w:style>
  <w:style w:type="character" w:customStyle="1" w:styleId="company-content">
    <w:name w:val="company-content"/>
  </w:style>
  <w:style w:type="character" w:customStyle="1" w:styleId="CharChar20">
    <w:name w:val="Char Char20"/>
    <w:rPr>
      <w:rFonts w:ascii="Arial" w:eastAsia="黑体" w:hAnsi="Arial"/>
      <w:kern w:val="2"/>
      <w:sz w:val="24"/>
      <w:lang w:val="en-US" w:eastAsia="zh-CN" w:bidi="ar-SA"/>
    </w:rPr>
  </w:style>
  <w:style w:type="character" w:customStyle="1" w:styleId="bt21">
    <w:name w:val="bt21"/>
    <w:rPr>
      <w:rFonts w:ascii="黑体" w:eastAsia="黑体"/>
      <w:sz w:val="24"/>
    </w:rPr>
  </w:style>
  <w:style w:type="character" w:customStyle="1" w:styleId="biaowenChar">
    <w:name w:val="biaowen Char"/>
    <w:link w:val="biaowen"/>
    <w:rPr>
      <w:sz w:val="24"/>
      <w:szCs w:val="24"/>
    </w:rPr>
  </w:style>
  <w:style w:type="paragraph" w:customStyle="1" w:styleId="biaowen">
    <w:name w:val="biaowen"/>
    <w:basedOn w:val="a2"/>
    <w:link w:val="biaowenChar"/>
    <w:qFormat/>
    <w:pPr>
      <w:jc w:val="both"/>
    </w:pPr>
    <w:rPr>
      <w:sz w:val="24"/>
      <w:szCs w:val="24"/>
    </w:rPr>
  </w:style>
  <w:style w:type="character" w:customStyle="1" w:styleId="wjChar">
    <w:name w:val="wj样式 Char"/>
    <w:link w:val="wj"/>
    <w:rPr>
      <w:spacing w:val="14"/>
      <w:sz w:val="24"/>
      <w:szCs w:val="24"/>
    </w:rPr>
  </w:style>
  <w:style w:type="paragraph" w:customStyle="1" w:styleId="wj">
    <w:name w:val="wj样式"/>
    <w:basedOn w:val="a2"/>
    <w:next w:val="a2"/>
    <w:link w:val="wjChar"/>
    <w:pPr>
      <w:autoSpaceDE/>
      <w:autoSpaceDN/>
      <w:adjustRightInd/>
      <w:spacing w:line="360" w:lineRule="auto"/>
      <w:ind w:firstLineChars="200" w:firstLine="200"/>
      <w:jc w:val="both"/>
    </w:pPr>
    <w:rPr>
      <w:spacing w:val="14"/>
      <w:sz w:val="24"/>
      <w:szCs w:val="24"/>
    </w:rPr>
  </w:style>
  <w:style w:type="character" w:customStyle="1" w:styleId="1b">
    <w:name w:val="标题1"/>
  </w:style>
  <w:style w:type="character" w:customStyle="1" w:styleId="fs1">
    <w:name w:val="fs1"/>
    <w:rPr>
      <w:color w:val="093F7C"/>
      <w:sz w:val="18"/>
      <w:u w:val="none"/>
    </w:rPr>
  </w:style>
  <w:style w:type="character" w:customStyle="1" w:styleId="CharChar4">
    <w:name w:val="正文文本 Char Char"/>
    <w:rPr>
      <w:rFonts w:eastAsia="宋体"/>
      <w:kern w:val="2"/>
      <w:sz w:val="24"/>
      <w:lang w:val="en-US" w:eastAsia="zh-CN"/>
    </w:rPr>
  </w:style>
  <w:style w:type="character" w:customStyle="1" w:styleId="3Char2">
    <w:name w:val="黄桥标题3 Char"/>
    <w:rPr>
      <w:rFonts w:eastAsia="宋体" w:cs="宋体"/>
      <w:b/>
      <w:sz w:val="24"/>
      <w:szCs w:val="24"/>
      <w:lang w:val="en-US" w:eastAsia="zh-CN" w:bidi="ar-SA"/>
    </w:rPr>
  </w:style>
  <w:style w:type="character" w:customStyle="1" w:styleId="Char12">
    <w:name w:val="纯文本 Char1"/>
    <w:locked/>
    <w:rPr>
      <w:rFonts w:ascii="宋体" w:hAnsi="Courier New"/>
      <w:kern w:val="24"/>
      <w:sz w:val="21"/>
    </w:rPr>
  </w:style>
  <w:style w:type="character" w:customStyle="1" w:styleId="4Char0">
    <w:name w:val="4标题(治) Char"/>
    <w:link w:val="48"/>
    <w:rPr>
      <w:rFonts w:eastAsia="黑体"/>
      <w:sz w:val="28"/>
    </w:rPr>
  </w:style>
  <w:style w:type="paragraph" w:customStyle="1" w:styleId="48">
    <w:name w:val="4标题(治)"/>
    <w:basedOn w:val="a2"/>
    <w:next w:val="a2"/>
    <w:link w:val="4Char0"/>
    <w:qFormat/>
    <w:pPr>
      <w:snapToGrid w:val="0"/>
      <w:spacing w:line="360" w:lineRule="auto"/>
      <w:jc w:val="both"/>
      <w:textAlignment w:val="baseline"/>
      <w:outlineLvl w:val="3"/>
    </w:pPr>
    <w:rPr>
      <w:rFonts w:eastAsia="黑体"/>
      <w:szCs w:val="22"/>
    </w:rPr>
  </w:style>
  <w:style w:type="character" w:customStyle="1" w:styleId="Char21">
    <w:name w:val="称呼 Char2"/>
    <w:uiPriority w:val="99"/>
    <w:semiHidden/>
    <w:rPr>
      <w:kern w:val="2"/>
      <w:sz w:val="21"/>
      <w:szCs w:val="22"/>
    </w:rPr>
  </w:style>
  <w:style w:type="character" w:customStyle="1" w:styleId="CharChar5">
    <w:name w:val="带括号的正文 Char Char"/>
    <w:link w:val="affff0"/>
    <w:rPr>
      <w:sz w:val="24"/>
      <w:szCs w:val="28"/>
    </w:rPr>
  </w:style>
  <w:style w:type="paragraph" w:customStyle="1" w:styleId="affff0">
    <w:name w:val="带括号的正文"/>
    <w:basedOn w:val="a2"/>
    <w:next w:val="a2"/>
    <w:link w:val="CharChar5"/>
    <w:qFormat/>
    <w:pPr>
      <w:snapToGrid w:val="0"/>
      <w:spacing w:line="360" w:lineRule="auto"/>
      <w:ind w:firstLineChars="200" w:firstLine="200"/>
      <w:jc w:val="both"/>
    </w:pPr>
    <w:rPr>
      <w:sz w:val="24"/>
      <w:szCs w:val="28"/>
    </w:rPr>
  </w:style>
  <w:style w:type="character" w:customStyle="1" w:styleId="Char22">
    <w:name w:val="正文首行缩进 Char2"/>
    <w:basedOn w:val="Char23"/>
    <w:rPr>
      <w:rFonts w:ascii="Times New Roman" w:eastAsia="宋体" w:hAnsi="Times New Roman" w:cs="Times New Roman"/>
      <w:szCs w:val="24"/>
    </w:rPr>
  </w:style>
  <w:style w:type="character" w:customStyle="1" w:styleId="Char23">
    <w:name w:val="正文文本 Char2"/>
    <w:rPr>
      <w:rFonts w:ascii="Times New Roman" w:eastAsia="宋体" w:hAnsi="Times New Roman" w:cs="Times New Roman"/>
      <w:szCs w:val="24"/>
    </w:rPr>
  </w:style>
  <w:style w:type="character" w:styleId="affff1">
    <w:name w:val="Placeholder Text"/>
    <w:rPr>
      <w:color w:val="808080"/>
    </w:rPr>
  </w:style>
  <w:style w:type="character" w:customStyle="1" w:styleId="BodyText21Char">
    <w:name w:val="Body Text 21 Char"/>
    <w:rPr>
      <w:rFonts w:eastAsia="仿宋体"/>
      <w:kern w:val="2"/>
      <w:sz w:val="24"/>
      <w:lang w:val="en-US" w:eastAsia="zh-CN" w:bidi="ar-SA"/>
    </w:rPr>
  </w:style>
  <w:style w:type="character" w:customStyle="1" w:styleId="NormalCharChar">
    <w:name w:val="Normal Char Char"/>
    <w:link w:val="NormalChar"/>
    <w:rPr>
      <w:sz w:val="34"/>
      <w:szCs w:val="24"/>
    </w:rPr>
  </w:style>
  <w:style w:type="paragraph" w:customStyle="1" w:styleId="NormalChar">
    <w:name w:val="Normal Char"/>
    <w:link w:val="NormalCharChar"/>
    <w:qFormat/>
    <w:pPr>
      <w:widowControl w:val="0"/>
      <w:adjustRightInd w:val="0"/>
      <w:spacing w:line="360" w:lineRule="atLeast"/>
      <w:jc w:val="center"/>
      <w:textAlignment w:val="baseline"/>
    </w:pPr>
    <w:rPr>
      <w:kern w:val="2"/>
      <w:sz w:val="34"/>
      <w:szCs w:val="24"/>
    </w:rPr>
  </w:style>
  <w:style w:type="character" w:customStyle="1" w:styleId="2Char30">
    <w:name w:val="正文文本 2 Char3"/>
    <w:uiPriority w:val="99"/>
    <w:semiHidden/>
    <w:rPr>
      <w:kern w:val="2"/>
      <w:sz w:val="21"/>
      <w:szCs w:val="22"/>
    </w:rPr>
  </w:style>
  <w:style w:type="character" w:customStyle="1" w:styleId="MytabletailerChar">
    <w:name w:val="My table tailer Char"/>
    <w:rPr>
      <w:rFonts w:ascii="宋体" w:eastAsia="宋体" w:hAnsi="宋体"/>
      <w:spacing w:val="-1"/>
      <w:sz w:val="21"/>
      <w:szCs w:val="21"/>
      <w:lang w:val="en-US" w:bidi="ar-SA"/>
    </w:rPr>
  </w:style>
  <w:style w:type="character" w:customStyle="1" w:styleId="CharChar6">
    <w:name w:val="条名 Char Char"/>
    <w:link w:val="a"/>
    <w:rPr>
      <w:rFonts w:hAnsi="Arial"/>
      <w:bCs/>
      <w:color w:val="000000"/>
      <w:szCs w:val="32"/>
    </w:rPr>
  </w:style>
  <w:style w:type="paragraph" w:customStyle="1" w:styleId="a">
    <w:name w:val="条名"/>
    <w:basedOn w:val="affff2"/>
    <w:link w:val="CharChar6"/>
    <w:qFormat/>
    <w:pPr>
      <w:keepNext/>
      <w:keepLines/>
      <w:numPr>
        <w:numId w:val="3"/>
      </w:numPr>
      <w:jc w:val="left"/>
      <w:textAlignment w:val="baseline"/>
      <w:outlineLvl w:val="3"/>
    </w:pPr>
    <w:rPr>
      <w:rFonts w:hAnsi="Arial"/>
      <w:bCs/>
      <w:color w:val="000000"/>
      <w:szCs w:val="32"/>
    </w:rPr>
  </w:style>
  <w:style w:type="paragraph" w:customStyle="1" w:styleId="affff2">
    <w:name w:val="条"/>
    <w:basedOn w:val="a2"/>
    <w:uiPriority w:val="99"/>
    <w:qFormat/>
    <w:pPr>
      <w:spacing w:line="360" w:lineRule="auto"/>
      <w:jc w:val="both"/>
    </w:pPr>
  </w:style>
  <w:style w:type="character" w:customStyle="1" w:styleId="title141">
    <w:name w:val="title141"/>
    <w:rPr>
      <w:spacing w:val="408"/>
      <w:sz w:val="18"/>
      <w:szCs w:val="18"/>
      <w:u w:val="none"/>
    </w:rPr>
  </w:style>
  <w:style w:type="character" w:customStyle="1" w:styleId="CharChar7">
    <w:name w:val="图文框 Char Char"/>
    <w:rPr>
      <w:rFonts w:ascii="仿宋_GB2312" w:eastAsia="仿宋_GB2312"/>
      <w:kern w:val="28"/>
      <w:sz w:val="21"/>
      <w:lang w:val="en-US" w:eastAsia="zh-CN" w:bidi="ar-SA"/>
    </w:rPr>
  </w:style>
  <w:style w:type="character" w:customStyle="1" w:styleId="CharChar50">
    <w:name w:val="Char Char5"/>
    <w:rPr>
      <w:rFonts w:eastAsia="宋体"/>
      <w:b/>
      <w:bCs/>
      <w:color w:val="000000"/>
      <w:kern w:val="2"/>
      <w:sz w:val="28"/>
      <w:szCs w:val="24"/>
      <w:lang w:val="en-US" w:eastAsia="zh-CN" w:bidi="ar-SA"/>
    </w:rPr>
  </w:style>
  <w:style w:type="character" w:customStyle="1" w:styleId="Char40">
    <w:name w:val="页脚 Char4"/>
    <w:uiPriority w:val="99"/>
    <w:semiHidden/>
    <w:rPr>
      <w:sz w:val="18"/>
      <w:szCs w:val="18"/>
    </w:rPr>
  </w:style>
  <w:style w:type="character" w:customStyle="1" w:styleId="textblack15style18">
    <w:name w:val="text_black15 style18"/>
  </w:style>
  <w:style w:type="character" w:customStyle="1" w:styleId="110">
    <w:name w:val="超链接11"/>
    <w:rPr>
      <w:color w:val="0000FF"/>
      <w:u w:val="single"/>
    </w:rPr>
  </w:style>
  <w:style w:type="character" w:customStyle="1" w:styleId="Char13">
    <w:name w:val="称呼 Char1"/>
    <w:locked/>
    <w:rPr>
      <w:rFonts w:eastAsia="楷体_GB2312"/>
      <w:kern w:val="2"/>
      <w:sz w:val="32"/>
    </w:rPr>
  </w:style>
  <w:style w:type="character" w:customStyle="1" w:styleId="2Char4">
    <w:name w:val="样式 首行缩进:  2 字符 Char"/>
    <w:rPr>
      <w:rFonts w:ascii="Times New Roman" w:eastAsia="宋体" w:hAnsi="Times New Roman" w:cs="宋体"/>
      <w:kern w:val="0"/>
      <w:sz w:val="24"/>
      <w:szCs w:val="20"/>
    </w:rPr>
  </w:style>
  <w:style w:type="character" w:customStyle="1" w:styleId="CharChar173">
    <w:name w:val="Char Char173"/>
    <w:rPr>
      <w:sz w:val="18"/>
      <w:szCs w:val="18"/>
    </w:rPr>
  </w:style>
  <w:style w:type="character" w:customStyle="1" w:styleId="1CharChar0">
    <w:name w:val="1正文段落 Char Char"/>
    <w:rPr>
      <w:rFonts w:eastAsia="宋体"/>
      <w:snapToGrid w:val="0"/>
      <w:sz w:val="24"/>
      <w:szCs w:val="24"/>
    </w:rPr>
  </w:style>
  <w:style w:type="character" w:customStyle="1" w:styleId="Char14">
    <w:name w:val="尾注文本 Char1"/>
    <w:locked/>
    <w:rPr>
      <w:kern w:val="2"/>
      <w:sz w:val="24"/>
    </w:rPr>
  </w:style>
  <w:style w:type="character" w:customStyle="1" w:styleId="Charfe">
    <w:name w:val="正文标准样式 Char"/>
    <w:rPr>
      <w:rFonts w:ascii="Times New Roman" w:hAnsi="Times New Roman"/>
      <w:sz w:val="24"/>
    </w:rPr>
  </w:style>
  <w:style w:type="character" w:customStyle="1" w:styleId="CharChar151">
    <w:name w:val="Char Char151"/>
    <w:rPr>
      <w:rFonts w:ascii="Times New Roman" w:eastAsia="宋体" w:hAnsi="Times New Roman" w:cs="Times New Roman" w:hint="default"/>
      <w:b/>
      <w:bCs/>
      <w:sz w:val="32"/>
      <w:szCs w:val="32"/>
    </w:rPr>
  </w:style>
  <w:style w:type="character" w:customStyle="1" w:styleId="CharChar82">
    <w:name w:val="Char Char82"/>
    <w:rPr>
      <w:rFonts w:eastAsia="仿宋_GB2312"/>
      <w:kern w:val="2"/>
      <w:sz w:val="18"/>
      <w:szCs w:val="18"/>
      <w:lang w:val="en-US" w:eastAsia="zh-CN" w:bidi="ar-SA"/>
    </w:rPr>
  </w:style>
  <w:style w:type="character" w:customStyle="1" w:styleId="z1">
    <w:name w:val="z1"/>
    <w:rPr>
      <w:spacing w:val="400"/>
      <w:sz w:val="18"/>
      <w:szCs w:val="18"/>
    </w:rPr>
  </w:style>
  <w:style w:type="character" w:customStyle="1" w:styleId="Charff">
    <w:name w:val="可研正文 Char"/>
    <w:rPr>
      <w:rFonts w:ascii="仿宋_GB2312" w:eastAsia="仿宋_GB2312"/>
      <w:snapToGrid w:val="0"/>
      <w:color w:val="000000"/>
      <w:spacing w:val="-14"/>
      <w:sz w:val="28"/>
      <w:szCs w:val="28"/>
      <w:lang w:val="en-US" w:eastAsia="zh-CN" w:bidi="ar-SA"/>
    </w:rPr>
  </w:style>
  <w:style w:type="character" w:customStyle="1" w:styleId="HTMLChar0">
    <w:name w:val="HTML 预设格式 Char"/>
    <w:link w:val="HTML0"/>
    <w:rPr>
      <w:rFonts w:ascii="宋体" w:eastAsia="宋体" w:hAnsi="宋体" w:cs="宋体"/>
      <w:sz w:val="24"/>
      <w:szCs w:val="24"/>
    </w:rPr>
  </w:style>
  <w:style w:type="character" w:customStyle="1" w:styleId="dectext1">
    <w:name w:val="dectext1"/>
    <w:rPr>
      <w:rFonts w:ascii="宋体" w:eastAsia="宋体" w:hAnsi="宋体"/>
      <w:color w:val="auto"/>
      <w:sz w:val="21"/>
      <w:u w:val="none"/>
    </w:rPr>
  </w:style>
  <w:style w:type="character" w:customStyle="1" w:styleId="12161">
    <w:name w:val="12161"/>
    <w:rPr>
      <w:sz w:val="18"/>
      <w:szCs w:val="18"/>
    </w:rPr>
  </w:style>
  <w:style w:type="character" w:customStyle="1" w:styleId="infodetail1">
    <w:name w:val="infodetail1"/>
    <w:rPr>
      <w:rFonts w:hint="default"/>
      <w:sz w:val="22"/>
      <w:szCs w:val="22"/>
    </w:rPr>
  </w:style>
  <w:style w:type="character" w:customStyle="1" w:styleId="CharChar8">
    <w:name w:val="正文 + 首行缩进 Char Char"/>
    <w:link w:val="affff3"/>
    <w:locked/>
    <w:rPr>
      <w:rFonts w:ascii="Arial" w:hAnsi="Arial"/>
      <w:color w:val="000000"/>
      <w:sz w:val="28"/>
      <w:szCs w:val="28"/>
      <w:lang w:val="zh-CN"/>
    </w:rPr>
  </w:style>
  <w:style w:type="paragraph" w:customStyle="1" w:styleId="affff3">
    <w:name w:val="正文 + 首行缩进"/>
    <w:basedOn w:val="a2"/>
    <w:link w:val="CharChar8"/>
    <w:qFormat/>
    <w:pPr>
      <w:spacing w:line="360" w:lineRule="auto"/>
      <w:ind w:firstLine="560"/>
      <w:jc w:val="both"/>
    </w:pPr>
    <w:rPr>
      <w:rFonts w:hAnsi="Arial"/>
      <w:color w:val="000000"/>
      <w:szCs w:val="28"/>
      <w:lang w:val="zh-CN"/>
    </w:rPr>
  </w:style>
  <w:style w:type="character" w:customStyle="1" w:styleId="CharChar9">
    <w:name w:val="表名 Char Char"/>
    <w:link w:val="Charff0"/>
    <w:rPr>
      <w:rFonts w:ascii="Arial" w:hAnsi="Arial"/>
      <w:b/>
      <w:sz w:val="24"/>
      <w:szCs w:val="18"/>
    </w:rPr>
  </w:style>
  <w:style w:type="paragraph" w:customStyle="1" w:styleId="Charff0">
    <w:name w:val="表名 Char"/>
    <w:basedOn w:val="a2"/>
    <w:link w:val="CharChar9"/>
    <w:qFormat/>
    <w:pPr>
      <w:keepNext/>
      <w:spacing w:line="360" w:lineRule="auto"/>
      <w:ind w:firstLineChars="200" w:firstLine="200"/>
      <w:jc w:val="center"/>
      <w:outlineLvl w:val="3"/>
    </w:pPr>
    <w:rPr>
      <w:rFonts w:hAnsi="Arial"/>
      <w:b/>
      <w:sz w:val="24"/>
      <w:szCs w:val="18"/>
    </w:rPr>
  </w:style>
  <w:style w:type="character" w:customStyle="1" w:styleId="Char15">
    <w:name w:val="表蕊 Char1"/>
    <w:link w:val="affff4"/>
    <w:rPr>
      <w:rFonts w:eastAsia="楷体_GB2312"/>
      <w:spacing w:val="-10"/>
    </w:rPr>
  </w:style>
  <w:style w:type="paragraph" w:customStyle="1" w:styleId="affff4">
    <w:name w:val="表蕊"/>
    <w:basedOn w:val="a2"/>
    <w:link w:val="Char15"/>
    <w:qFormat/>
    <w:pPr>
      <w:spacing w:line="320" w:lineRule="atLeast"/>
      <w:textAlignment w:val="baseline"/>
    </w:pPr>
    <w:rPr>
      <w:spacing w:val="-10"/>
      <w:szCs w:val="22"/>
    </w:rPr>
  </w:style>
  <w:style w:type="character" w:customStyle="1" w:styleId="1c">
    <w:name w:val="批注文字 字符1"/>
    <w:rPr>
      <w:kern w:val="2"/>
      <w:sz w:val="21"/>
      <w:szCs w:val="24"/>
    </w:rPr>
  </w:style>
  <w:style w:type="character" w:customStyle="1" w:styleId="241CharChar">
    <w:name w:val="正文（241） Char Char"/>
    <w:rPr>
      <w:rFonts w:eastAsia="宋体"/>
      <w:snapToGrid w:val="0"/>
      <w:color w:val="000000"/>
      <w:sz w:val="24"/>
      <w:szCs w:val="24"/>
    </w:rPr>
  </w:style>
  <w:style w:type="character" w:customStyle="1" w:styleId="2b">
    <w:name w:val="标题2"/>
  </w:style>
  <w:style w:type="character" w:customStyle="1" w:styleId="green">
    <w:name w:val="green"/>
  </w:style>
  <w:style w:type="character" w:customStyle="1" w:styleId="emailstyle407">
    <w:name w:val="emailstyle407"/>
    <w:rPr>
      <w:rFonts w:ascii="Arial" w:eastAsia="宋体" w:hAnsi="Arial" w:cs="Arial" w:hint="default"/>
      <w:color w:val="000080"/>
      <w:sz w:val="18"/>
      <w:szCs w:val="20"/>
    </w:rPr>
  </w:style>
  <w:style w:type="character" w:customStyle="1" w:styleId="d1">
    <w:name w:val="d1"/>
    <w:rPr>
      <w:color w:val="333333"/>
      <w:spacing w:val="31680"/>
    </w:rPr>
  </w:style>
  <w:style w:type="character" w:customStyle="1" w:styleId="Charff1">
    <w:name w:val="宋体正文小四蓝色 Char"/>
    <w:link w:val="affff5"/>
    <w:qFormat/>
    <w:rPr>
      <w:color w:val="0000FF"/>
      <w:sz w:val="24"/>
      <w:szCs w:val="24"/>
    </w:rPr>
  </w:style>
  <w:style w:type="paragraph" w:customStyle="1" w:styleId="affff5">
    <w:name w:val="宋体正文小四蓝色"/>
    <w:link w:val="Charff1"/>
    <w:qFormat/>
    <w:pPr>
      <w:spacing w:line="500" w:lineRule="exact"/>
      <w:ind w:firstLineChars="200" w:firstLine="480"/>
    </w:pPr>
    <w:rPr>
      <w:color w:val="0000FF"/>
      <w:kern w:val="2"/>
      <w:sz w:val="24"/>
      <w:szCs w:val="24"/>
    </w:rPr>
  </w:style>
  <w:style w:type="character" w:customStyle="1" w:styleId="Charff2">
    <w:name w:val="表格标题 Char"/>
    <w:link w:val="affff6"/>
    <w:rPr>
      <w:rFonts w:eastAsia="文鼎CS中宋"/>
      <w:spacing w:val="8"/>
      <w:sz w:val="24"/>
    </w:rPr>
  </w:style>
  <w:style w:type="paragraph" w:customStyle="1" w:styleId="affff6">
    <w:name w:val="表格标题"/>
    <w:basedOn w:val="a2"/>
    <w:link w:val="Charff2"/>
    <w:qFormat/>
    <w:pPr>
      <w:spacing w:before="120" w:line="480" w:lineRule="exact"/>
      <w:jc w:val="center"/>
      <w:textAlignment w:val="baseline"/>
    </w:pPr>
    <w:rPr>
      <w:rFonts w:eastAsia="文鼎CS中宋"/>
      <w:spacing w:val="8"/>
      <w:sz w:val="24"/>
      <w:szCs w:val="22"/>
    </w:rPr>
  </w:style>
  <w:style w:type="character" w:customStyle="1" w:styleId="1Char1">
    <w:name w:val="正文1 Char1"/>
    <w:rPr>
      <w:rFonts w:ascii="宋体" w:hAnsi="Times New Roman"/>
    </w:rPr>
  </w:style>
  <w:style w:type="character" w:customStyle="1" w:styleId="bj1">
    <w:name w:val="bj1"/>
    <w:rPr>
      <w:rFonts w:ascii="宋体" w:eastAsia="宋体" w:hAnsi="宋体" w:hint="eastAsia"/>
      <w:sz w:val="18"/>
      <w:szCs w:val="18"/>
    </w:rPr>
  </w:style>
  <w:style w:type="character" w:customStyle="1" w:styleId="m441">
    <w:name w:val="m_441"/>
  </w:style>
  <w:style w:type="character" w:customStyle="1" w:styleId="1H1SectionHeadHeader1h11stlevell1Heading0Fab-1Char">
    <w:name w:val="样式 标题 1H1Section HeadHeader1h11st levell1Heading 0Fab-1... Char"/>
    <w:link w:val="1H1SectionHeadHeader1h11stlevell1Heading0Fab-1"/>
    <w:qFormat/>
    <w:rPr>
      <w:rFonts w:hAnsi="宋体"/>
      <w:b/>
      <w:bCs/>
      <w:kern w:val="44"/>
      <w:sz w:val="44"/>
      <w:szCs w:val="44"/>
    </w:rPr>
  </w:style>
  <w:style w:type="paragraph" w:customStyle="1" w:styleId="1H1SectionHeadHeader1h11stlevell1Heading0Fab-1">
    <w:name w:val="样式 标题 1H1Section HeadHeader1h11st levell1Heading 0Fab-1..."/>
    <w:basedOn w:val="12"/>
    <w:link w:val="1H1SectionHeadHeader1h11stlevell1Heading0Fab-1Char"/>
    <w:qFormat/>
    <w:pPr>
      <w:spacing w:before="340" w:after="330" w:line="498" w:lineRule="exact"/>
      <w:jc w:val="both"/>
      <w:textAlignment w:val="auto"/>
    </w:pPr>
    <w:rPr>
      <w:rFonts w:asciiTheme="minorHAnsi" w:eastAsiaTheme="minorEastAsia" w:hAnsi="宋体"/>
      <w:b/>
      <w:sz w:val="44"/>
      <w:szCs w:val="44"/>
    </w:rPr>
  </w:style>
  <w:style w:type="character" w:customStyle="1" w:styleId="font121">
    <w:name w:val="font121"/>
    <w:qFormat/>
    <w:rPr>
      <w:rFonts w:ascii="宋体" w:eastAsia="宋体" w:hAnsi="宋体" w:cs="宋体" w:hint="eastAsia"/>
      <w:color w:val="000000"/>
      <w:sz w:val="21"/>
      <w:szCs w:val="21"/>
      <w:u w:val="none"/>
    </w:rPr>
  </w:style>
  <w:style w:type="character" w:customStyle="1" w:styleId="Char16">
    <w:name w:val="注释标题 Char1"/>
    <w:locked/>
    <w:rPr>
      <w:kern w:val="2"/>
      <w:sz w:val="18"/>
    </w:rPr>
  </w:style>
  <w:style w:type="character" w:customStyle="1" w:styleId="CharChar153">
    <w:name w:val="Char Char153"/>
    <w:rPr>
      <w:rFonts w:eastAsia="宋体"/>
      <w:kern w:val="2"/>
      <w:sz w:val="24"/>
      <w:lang w:val="en-US" w:eastAsia="zh-CN" w:bidi="ar-SA"/>
    </w:rPr>
  </w:style>
  <w:style w:type="character" w:customStyle="1" w:styleId="mainarttxt1">
    <w:name w:val="mainarttxt1"/>
    <w:rPr>
      <w:rFonts w:ascii="Arial" w:hAnsi="Arial" w:cs="Arial" w:hint="default"/>
      <w:color w:val="000000"/>
      <w:sz w:val="20"/>
      <w:szCs w:val="20"/>
    </w:rPr>
  </w:style>
  <w:style w:type="character" w:customStyle="1" w:styleId="wz1">
    <w:name w:val="wz1"/>
    <w:rPr>
      <w:rFonts w:ascii="ˎ̥" w:hAnsi="ˎ̥" w:hint="default"/>
      <w:color w:val="000000"/>
      <w:sz w:val="22"/>
      <w:szCs w:val="22"/>
    </w:rPr>
  </w:style>
  <w:style w:type="character" w:customStyle="1" w:styleId="4CharChar">
    <w:name w:val="样式4 Char Char"/>
    <w:link w:val="49"/>
    <w:rPr>
      <w:rFonts w:ascii="黑体" w:eastAsia="黑体" w:cs="宋体"/>
      <w:sz w:val="28"/>
      <w:szCs w:val="28"/>
    </w:rPr>
  </w:style>
  <w:style w:type="paragraph" w:customStyle="1" w:styleId="49">
    <w:name w:val="样式4"/>
    <w:basedOn w:val="a2"/>
    <w:link w:val="4CharChar"/>
    <w:qFormat/>
    <w:rPr>
      <w:rFonts w:ascii="黑体" w:eastAsia="黑体" w:cs="宋体"/>
      <w:szCs w:val="28"/>
    </w:rPr>
  </w:style>
  <w:style w:type="character" w:customStyle="1" w:styleId="6Char0">
    <w:name w:val="6表(图)头(治) Char"/>
    <w:rPr>
      <w:rFonts w:eastAsia="黑体"/>
      <w:b/>
      <w:sz w:val="28"/>
      <w:szCs w:val="28"/>
      <w:lang w:val="en-US" w:eastAsia="zh-CN" w:bidi="ar-SA"/>
    </w:rPr>
  </w:style>
  <w:style w:type="character" w:customStyle="1" w:styleId="Char24">
    <w:name w:val="副标题 Char2"/>
    <w:uiPriority w:val="11"/>
    <w:rPr>
      <w:rFonts w:ascii="Calibri Light" w:hAnsi="Calibri Light" w:cs="Times New Roman"/>
      <w:b/>
      <w:bCs/>
      <w:kern w:val="28"/>
      <w:sz w:val="32"/>
      <w:szCs w:val="32"/>
    </w:rPr>
  </w:style>
  <w:style w:type="character" w:customStyle="1" w:styleId="Charf4">
    <w:name w:val="列表 Char"/>
    <w:link w:val="aff2"/>
    <w:rPr>
      <w:rFonts w:ascii="仿宋_GB2312" w:eastAsia="仿宋_GB2312"/>
      <w:sz w:val="24"/>
    </w:rPr>
  </w:style>
  <w:style w:type="character" w:customStyle="1" w:styleId="SimSun67">
    <w:name w:val="正文文本 + SimSun67"/>
    <w:rPr>
      <w:rFonts w:ascii="宋体" w:eastAsia="宋体" w:cs="宋体"/>
      <w:sz w:val="21"/>
      <w:szCs w:val="21"/>
      <w:u w:val="none"/>
    </w:rPr>
  </w:style>
  <w:style w:type="character" w:customStyle="1" w:styleId="2TextChar">
    <w:name w:val="2Text Char"/>
    <w:link w:val="2Text"/>
    <w:rPr>
      <w:sz w:val="24"/>
      <w:szCs w:val="24"/>
    </w:rPr>
  </w:style>
  <w:style w:type="paragraph" w:customStyle="1" w:styleId="2Text">
    <w:name w:val="2Text"/>
    <w:link w:val="2TextChar"/>
    <w:qFormat/>
    <w:pPr>
      <w:widowControl w:val="0"/>
      <w:spacing w:line="360" w:lineRule="auto"/>
      <w:ind w:firstLineChars="200" w:firstLine="200"/>
      <w:jc w:val="both"/>
    </w:pPr>
    <w:rPr>
      <w:kern w:val="2"/>
      <w:sz w:val="24"/>
      <w:szCs w:val="24"/>
    </w:rPr>
  </w:style>
  <w:style w:type="character" w:customStyle="1" w:styleId="Charf2">
    <w:name w:val="签名 Char"/>
    <w:link w:val="aff"/>
    <w:rPr>
      <w:rFonts w:ascii="Arial" w:eastAsia="仿宋_GB2312" w:hAnsi="Arial"/>
      <w:sz w:val="24"/>
    </w:rPr>
  </w:style>
  <w:style w:type="character" w:customStyle="1" w:styleId="CharChar201">
    <w:name w:val="Char Char201"/>
    <w:rPr>
      <w:rFonts w:ascii="Arial" w:eastAsia="黑体" w:hAnsi="Arial" w:cs="Arial" w:hint="default"/>
      <w:kern w:val="2"/>
      <w:sz w:val="24"/>
      <w:lang w:val="en-US" w:eastAsia="zh-CN" w:bidi="ar-SA"/>
    </w:rPr>
  </w:style>
  <w:style w:type="character" w:customStyle="1" w:styleId="BChar">
    <w:name w:val="样式 B + 宋体 Char"/>
    <w:rPr>
      <w:rFonts w:ascii="宋体" w:hAnsi="宋体"/>
      <w:b/>
      <w:bCs/>
    </w:rPr>
  </w:style>
  <w:style w:type="character" w:customStyle="1" w:styleId="z-Char40">
    <w:name w:val="z-窗体顶端 Char4"/>
    <w:uiPriority w:val="99"/>
    <w:semiHidden/>
    <w:rPr>
      <w:rFonts w:ascii="Arial" w:hAnsi="Arial" w:cs="Arial"/>
      <w:vanish/>
      <w:kern w:val="2"/>
      <w:sz w:val="16"/>
      <w:szCs w:val="16"/>
    </w:rPr>
  </w:style>
  <w:style w:type="character" w:customStyle="1" w:styleId="1Char2">
    <w:name w:val="标题样式1 Char"/>
    <w:rPr>
      <w:rFonts w:ascii="黑体" w:eastAsia="黑体"/>
      <w:b/>
      <w:bCs/>
      <w:kern w:val="44"/>
      <w:sz w:val="28"/>
      <w:szCs w:val="28"/>
      <w:lang w:val="en-US" w:eastAsia="zh-CN" w:bidi="ar-SA"/>
    </w:rPr>
  </w:style>
  <w:style w:type="character" w:customStyle="1" w:styleId="Char50">
    <w:name w:val="签名 Char5"/>
    <w:rPr>
      <w:kern w:val="2"/>
      <w:sz w:val="24"/>
      <w:szCs w:val="24"/>
    </w:rPr>
  </w:style>
  <w:style w:type="character" w:customStyle="1" w:styleId="z-">
    <w:name w:val="z-窗体顶端 字符"/>
    <w:link w:val="z-1"/>
    <w:rPr>
      <w:rFonts w:ascii="Arial" w:hAnsi="Arial"/>
      <w:vanish/>
      <w:sz w:val="16"/>
      <w:szCs w:val="16"/>
    </w:rPr>
  </w:style>
  <w:style w:type="paragraph" w:customStyle="1" w:styleId="z-1">
    <w:name w:val="z-窗体顶端1"/>
    <w:basedOn w:val="a2"/>
    <w:next w:val="a2"/>
    <w:link w:val="z-"/>
    <w:pPr>
      <w:pBdr>
        <w:bottom w:val="single" w:sz="6" w:space="1" w:color="auto"/>
      </w:pBdr>
      <w:snapToGrid w:val="0"/>
      <w:spacing w:line="300" w:lineRule="auto"/>
      <w:jc w:val="center"/>
    </w:pPr>
    <w:rPr>
      <w:rFonts w:hAnsi="Arial"/>
      <w:vanish/>
      <w:sz w:val="16"/>
      <w:szCs w:val="16"/>
    </w:rPr>
  </w:style>
  <w:style w:type="character" w:customStyle="1" w:styleId="GB231210125CharChar">
    <w:name w:val="样式 普通(网站) + 仿宋_GB2312 四号 两端对齐 首行缩进:  1.01 厘米 行距: 固定值 25 磅 Char Char"/>
    <w:link w:val="GB231210125"/>
    <w:rPr>
      <w:rFonts w:ascii="仿宋_GB2312" w:eastAsia="仿宋_GB2312" w:hAnsi="宋体" w:cs="宋体"/>
      <w:sz w:val="28"/>
    </w:rPr>
  </w:style>
  <w:style w:type="paragraph" w:customStyle="1" w:styleId="GB231210125">
    <w:name w:val="样式 普通(网站) + 仿宋_GB2312 四号 两端对齐 首行缩进:  1.01 厘米 行距: 固定值 25 磅"/>
    <w:basedOn w:val="aff6"/>
    <w:link w:val="GB231210125CharChar"/>
    <w:qFormat/>
    <w:pPr>
      <w:spacing w:line="500" w:lineRule="exact"/>
      <w:ind w:firstLine="570"/>
      <w:jc w:val="both"/>
    </w:pPr>
    <w:rPr>
      <w:rFonts w:ascii="仿宋_GB2312" w:hAnsi="宋体" w:cs="宋体"/>
      <w:sz w:val="28"/>
      <w:szCs w:val="22"/>
    </w:rPr>
  </w:style>
  <w:style w:type="character" w:customStyle="1" w:styleId="2Char5">
    <w:name w:val="样式 正文 + 首行缩进:  2 字符 + 宋体 四号 Char"/>
    <w:qFormat/>
    <w:rPr>
      <w:rFonts w:ascii="宋体" w:eastAsia="宋体" w:hAnsi="宋体" w:cs="宋体"/>
      <w:kern w:val="2"/>
      <w:sz w:val="28"/>
      <w:lang w:val="en-US" w:eastAsia="zh-CN" w:bidi="ar-SA"/>
    </w:rPr>
  </w:style>
  <w:style w:type="character" w:customStyle="1" w:styleId="chenCharChar">
    <w:name w:val="chen 正文字体 Char Char"/>
    <w:link w:val="chen"/>
    <w:qFormat/>
    <w:rPr>
      <w:rFonts w:ascii="宋体" w:eastAsia="宋体" w:hAnsi="宋体" w:cs="宋体"/>
      <w:color w:val="000000"/>
      <w:sz w:val="24"/>
    </w:rPr>
  </w:style>
  <w:style w:type="paragraph" w:customStyle="1" w:styleId="chen">
    <w:name w:val="chen 正文字体"/>
    <w:basedOn w:val="a2"/>
    <w:link w:val="chenCharChar"/>
    <w:qFormat/>
    <w:pPr>
      <w:spacing w:line="360" w:lineRule="auto"/>
      <w:ind w:firstLineChars="200" w:firstLine="200"/>
    </w:pPr>
    <w:rPr>
      <w:rFonts w:ascii="宋体" w:eastAsia="宋体" w:hAnsi="宋体" w:cs="宋体"/>
      <w:color w:val="000000"/>
      <w:sz w:val="24"/>
      <w:szCs w:val="22"/>
    </w:rPr>
  </w:style>
  <w:style w:type="character" w:customStyle="1" w:styleId="63">
    <w:name w:val="表格标题6"/>
    <w:rPr>
      <w:rFonts w:ascii="宋体" w:eastAsia="宋体" w:cs="宋体"/>
      <w:sz w:val="21"/>
      <w:szCs w:val="21"/>
      <w:u w:val="none"/>
    </w:rPr>
  </w:style>
  <w:style w:type="character" w:customStyle="1" w:styleId="CharChara">
    <w:name w:val="编号下正文 Char Char"/>
    <w:rPr>
      <w:rFonts w:eastAsia="宋体"/>
      <w:bCs/>
      <w:kern w:val="2"/>
      <w:sz w:val="24"/>
      <w:szCs w:val="24"/>
      <w:lang w:val="en-US" w:eastAsia="zh-CN" w:bidi="ar-SA"/>
    </w:rPr>
  </w:style>
  <w:style w:type="character" w:customStyle="1" w:styleId="Char25">
    <w:name w:val="脚注文本 Char2"/>
    <w:uiPriority w:val="99"/>
    <w:semiHidden/>
    <w:rPr>
      <w:kern w:val="2"/>
      <w:sz w:val="18"/>
      <w:szCs w:val="18"/>
    </w:rPr>
  </w:style>
  <w:style w:type="character" w:customStyle="1" w:styleId="08515CharChar">
    <w:name w:val="样式 宋体 小四 首行缩进:  0.85 厘米 行距: 1.5 倍行距 Char Char"/>
    <w:rPr>
      <w:rFonts w:ascii="宋体" w:hAnsi="Times New Roman"/>
      <w:sz w:val="24"/>
    </w:rPr>
  </w:style>
  <w:style w:type="character" w:customStyle="1" w:styleId="3Char3">
    <w:name w:val="正文文本缩进 3 Char3"/>
    <w:uiPriority w:val="99"/>
    <w:semiHidden/>
    <w:rPr>
      <w:kern w:val="2"/>
      <w:sz w:val="16"/>
      <w:szCs w:val="16"/>
    </w:rPr>
  </w:style>
  <w:style w:type="character" w:customStyle="1" w:styleId="6CharChar">
    <w:name w:val="样式6 Char Char"/>
    <w:link w:val="64"/>
    <w:rPr>
      <w:sz w:val="24"/>
      <w:szCs w:val="24"/>
    </w:rPr>
  </w:style>
  <w:style w:type="paragraph" w:customStyle="1" w:styleId="64">
    <w:name w:val="样式6"/>
    <w:basedOn w:val="af4"/>
    <w:next w:val="af5"/>
    <w:link w:val="6CharChar"/>
    <w:qFormat/>
    <w:pPr>
      <w:snapToGrid w:val="0"/>
      <w:spacing w:beforeLines="50" w:before="156" w:afterLines="50" w:after="156" w:line="400" w:lineRule="exact"/>
      <w:ind w:firstLineChars="200" w:firstLine="480"/>
    </w:pPr>
    <w:rPr>
      <w:sz w:val="24"/>
      <w:szCs w:val="24"/>
    </w:rPr>
  </w:style>
  <w:style w:type="character" w:customStyle="1" w:styleId="Batang9">
    <w:name w:val="表格标题 + Batang9"/>
    <w:rPr>
      <w:rFonts w:ascii="Batang" w:eastAsia="Batang" w:cs="Batang"/>
      <w:sz w:val="18"/>
      <w:szCs w:val="18"/>
      <w:u w:val="none"/>
      <w:lang w:val="en-US" w:eastAsia="en-US"/>
    </w:rPr>
  </w:style>
  <w:style w:type="character" w:customStyle="1" w:styleId="1CharChar1">
    <w:name w:val="正文样式1 Char Char1"/>
    <w:link w:val="1Char3"/>
    <w:rPr>
      <w:position w:val="-12"/>
      <w:sz w:val="24"/>
      <w:szCs w:val="24"/>
    </w:rPr>
  </w:style>
  <w:style w:type="paragraph" w:customStyle="1" w:styleId="1Char3">
    <w:name w:val="正文样式1 Char"/>
    <w:basedOn w:val="a2"/>
    <w:link w:val="1CharChar1"/>
    <w:qFormat/>
    <w:pPr>
      <w:spacing w:beforeLines="10" w:afterLines="10" w:line="312" w:lineRule="auto"/>
      <w:ind w:firstLineChars="200" w:firstLine="200"/>
      <w:jc w:val="both"/>
      <w:textAlignment w:val="baseline"/>
    </w:pPr>
    <w:rPr>
      <w:position w:val="-12"/>
      <w:sz w:val="24"/>
      <w:szCs w:val="24"/>
    </w:rPr>
  </w:style>
  <w:style w:type="character" w:customStyle="1" w:styleId="CharChar104">
    <w:name w:val="Char Char104"/>
    <w:rPr>
      <w:rFonts w:eastAsia="仿宋_GB2312"/>
      <w:kern w:val="2"/>
      <w:sz w:val="24"/>
      <w:szCs w:val="24"/>
      <w:lang w:val="en-US" w:eastAsia="zh-CN" w:bidi="ar-SA"/>
    </w:rPr>
  </w:style>
  <w:style w:type="character" w:customStyle="1" w:styleId="1Char4">
    <w:name w:val="正缩1 Char"/>
    <w:link w:val="1d"/>
    <w:rPr>
      <w:rFonts w:eastAsia="仿宋_GB2312"/>
      <w:color w:val="000000"/>
      <w:sz w:val="28"/>
    </w:rPr>
  </w:style>
  <w:style w:type="paragraph" w:customStyle="1" w:styleId="1d">
    <w:name w:val="正缩1"/>
    <w:basedOn w:val="a2"/>
    <w:link w:val="1Char4"/>
    <w:pPr>
      <w:autoSpaceDE/>
      <w:autoSpaceDN/>
      <w:snapToGrid w:val="0"/>
      <w:spacing w:line="500" w:lineRule="exact"/>
      <w:ind w:firstLineChars="200" w:firstLine="567"/>
      <w:jc w:val="both"/>
    </w:pPr>
    <w:rPr>
      <w:rFonts w:eastAsia="仿宋_GB2312"/>
      <w:color w:val="000000"/>
      <w:szCs w:val="22"/>
    </w:rPr>
  </w:style>
  <w:style w:type="character" w:customStyle="1" w:styleId="CharCharb">
    <w:name w:val="公表序 Char Char"/>
    <w:link w:val="affff7"/>
    <w:rPr>
      <w:rFonts w:ascii="黑体" w:eastAsia="黑体" w:hAnsi="Swis721 Lt BT"/>
      <w:sz w:val="24"/>
    </w:rPr>
  </w:style>
  <w:style w:type="paragraph" w:customStyle="1" w:styleId="affff7">
    <w:name w:val="公表序"/>
    <w:basedOn w:val="a2"/>
    <w:link w:val="CharCharb"/>
    <w:qFormat/>
    <w:pPr>
      <w:snapToGrid w:val="0"/>
      <w:spacing w:after="60" w:line="560" w:lineRule="exact"/>
      <w:ind w:firstLineChars="100" w:firstLine="100"/>
    </w:pPr>
    <w:rPr>
      <w:rFonts w:ascii="黑体" w:eastAsia="黑体" w:hAnsi="Swis721 Lt BT"/>
      <w:sz w:val="24"/>
      <w:szCs w:val="22"/>
    </w:rPr>
  </w:style>
  <w:style w:type="character" w:customStyle="1" w:styleId="Charff3">
    <w:name w:val="表格文本 Char"/>
    <w:link w:val="affff8"/>
    <w:rPr>
      <w:rFonts w:eastAsia="仿宋_GB2312" w:hAnsi="宋体" w:cs="宋体"/>
      <w:color w:val="000000"/>
      <w:sz w:val="24"/>
      <w:szCs w:val="21"/>
    </w:rPr>
  </w:style>
  <w:style w:type="paragraph" w:customStyle="1" w:styleId="affff8">
    <w:name w:val="表格文本"/>
    <w:basedOn w:val="a2"/>
    <w:next w:val="a2"/>
    <w:link w:val="Charff3"/>
    <w:qFormat/>
    <w:pPr>
      <w:spacing w:line="240" w:lineRule="atLeast"/>
      <w:jc w:val="center"/>
      <w:textAlignment w:val="center"/>
    </w:pPr>
    <w:rPr>
      <w:rFonts w:eastAsia="仿宋_GB2312" w:hAnsi="宋体" w:cs="宋体"/>
      <w:color w:val="000000"/>
      <w:sz w:val="24"/>
    </w:rPr>
  </w:style>
  <w:style w:type="character" w:customStyle="1" w:styleId="CharCharCharCharCharCharCharCharCharCharCharCharCharCharChar">
    <w:name w:val="正文格式 Char Char Char Char Char Char Char Char Char Char Char Char Char Char Char"/>
    <w:rPr>
      <w:rFonts w:eastAsia="宋体"/>
      <w:kern w:val="2"/>
      <w:sz w:val="28"/>
      <w:szCs w:val="28"/>
      <w:lang w:val="en-US" w:eastAsia="zh-CN" w:bidi="ar-SA"/>
    </w:rPr>
  </w:style>
  <w:style w:type="character" w:customStyle="1" w:styleId="CharChar12">
    <w:name w:val="Char Char12"/>
    <w:link w:val="Char60"/>
    <w:locked/>
  </w:style>
  <w:style w:type="paragraph" w:customStyle="1" w:styleId="Char60">
    <w:name w:val="Char6"/>
    <w:basedOn w:val="a2"/>
    <w:link w:val="CharChar12"/>
    <w:qFormat/>
    <w:rPr>
      <w:szCs w:val="22"/>
    </w:rPr>
  </w:style>
  <w:style w:type="character" w:customStyle="1" w:styleId="unnamed31">
    <w:name w:val="unnamed31"/>
    <w:rPr>
      <w:sz w:val="20"/>
      <w:szCs w:val="20"/>
    </w:rPr>
  </w:style>
  <w:style w:type="character" w:customStyle="1" w:styleId="Charff4">
    <w:name w:val="我的表格 Char"/>
    <w:link w:val="affff9"/>
    <w:uiPriority w:val="99"/>
    <w:locked/>
    <w:rPr>
      <w:szCs w:val="21"/>
    </w:rPr>
  </w:style>
  <w:style w:type="paragraph" w:customStyle="1" w:styleId="affff9">
    <w:name w:val="我的表格"/>
    <w:basedOn w:val="a2"/>
    <w:link w:val="Charff4"/>
    <w:uiPriority w:val="99"/>
    <w:pPr>
      <w:jc w:val="center"/>
    </w:pPr>
  </w:style>
  <w:style w:type="character" w:customStyle="1" w:styleId="Char30">
    <w:name w:val="标题 Char3"/>
    <w:uiPriority w:val="10"/>
    <w:rPr>
      <w:rFonts w:ascii="Calibri Light" w:hAnsi="Calibri Light" w:cs="Times New Roman"/>
      <w:b/>
      <w:bCs/>
      <w:kern w:val="2"/>
      <w:sz w:val="32"/>
      <w:szCs w:val="32"/>
    </w:rPr>
  </w:style>
  <w:style w:type="character" w:customStyle="1" w:styleId="83">
    <w:name w:val="表格标题 (8)_"/>
    <w:link w:val="810"/>
    <w:qFormat/>
    <w:rPr>
      <w:rFonts w:ascii="Batang" w:eastAsia="Batang"/>
      <w:sz w:val="26"/>
      <w:szCs w:val="26"/>
      <w:shd w:val="clear" w:color="auto" w:fill="FFFFFF"/>
      <w:lang w:eastAsia="en-US"/>
    </w:rPr>
  </w:style>
  <w:style w:type="paragraph" w:customStyle="1" w:styleId="810">
    <w:name w:val="表格标题 (8)1"/>
    <w:basedOn w:val="a2"/>
    <w:link w:val="83"/>
    <w:qFormat/>
    <w:pPr>
      <w:shd w:val="clear" w:color="auto" w:fill="FFFFFF"/>
      <w:spacing w:line="240" w:lineRule="atLeast"/>
    </w:pPr>
    <w:rPr>
      <w:rFonts w:ascii="Batang" w:eastAsia="Batang"/>
      <w:sz w:val="26"/>
      <w:szCs w:val="26"/>
      <w:lang w:eastAsia="en-US"/>
    </w:rPr>
  </w:style>
  <w:style w:type="character" w:customStyle="1" w:styleId="TimesNewRoman1">
    <w:name w:val="样式 Times New Roman1"/>
    <w:rPr>
      <w:rFonts w:ascii="Times New Roman" w:hAnsi="Times New Roman" w:cs="Times New Roman" w:hint="default"/>
    </w:rPr>
  </w:style>
  <w:style w:type="character" w:customStyle="1" w:styleId="m491">
    <w:name w:val="m_491"/>
  </w:style>
  <w:style w:type="character" w:customStyle="1" w:styleId="CharCharCharCharCharCharChar2">
    <w:name w:val="Char Char Char Char Char Char Char2"/>
    <w:link w:val="CharCharCharCharCharChar2"/>
  </w:style>
  <w:style w:type="paragraph" w:customStyle="1" w:styleId="CharCharCharCharCharChar2">
    <w:name w:val="Char Char Char Char Char Char2"/>
    <w:basedOn w:val="a2"/>
    <w:link w:val="CharCharCharCharCharCharChar2"/>
    <w:qFormat/>
    <w:rPr>
      <w:szCs w:val="22"/>
    </w:rPr>
  </w:style>
  <w:style w:type="character" w:customStyle="1" w:styleId="CharCharc">
    <w:name w:val="无页眉 Char Char"/>
    <w:rPr>
      <w:rFonts w:eastAsia="宋体"/>
      <w:kern w:val="2"/>
      <w:sz w:val="18"/>
      <w:szCs w:val="18"/>
      <w:lang w:val="en-US" w:eastAsia="zh-CN" w:bidi="ar-SA"/>
    </w:rPr>
  </w:style>
  <w:style w:type="character" w:customStyle="1" w:styleId="1e">
    <w:name w:val="标题字符1"/>
    <w:rPr>
      <w:rFonts w:ascii="Calibri" w:hAnsi="Calibri" w:cs="Times New Roman"/>
      <w:b/>
      <w:bCs/>
      <w:kern w:val="2"/>
      <w:sz w:val="32"/>
      <w:szCs w:val="32"/>
    </w:rPr>
  </w:style>
  <w:style w:type="character" w:customStyle="1" w:styleId="list1">
    <w:name w:val="list1"/>
    <w:rPr>
      <w:rFonts w:ascii="ˎ̥" w:hAnsi="ˎ̥" w:hint="default"/>
      <w:b/>
      <w:bCs/>
      <w:color w:val="003366"/>
      <w:sz w:val="18"/>
      <w:szCs w:val="18"/>
    </w:rPr>
  </w:style>
  <w:style w:type="character" w:customStyle="1" w:styleId="op-map-singlepoint-info-right1">
    <w:name w:val="op-map-singlepoint-info-right1"/>
  </w:style>
  <w:style w:type="character" w:customStyle="1" w:styleId="001CharChar">
    <w:name w:val="正文001 Char Char"/>
    <w:rPr>
      <w:sz w:val="24"/>
    </w:rPr>
  </w:style>
  <w:style w:type="character" w:customStyle="1" w:styleId="CharChar241">
    <w:name w:val="Char Char241"/>
    <w:rPr>
      <w:rFonts w:eastAsia="宋体"/>
      <w:b/>
      <w:kern w:val="44"/>
      <w:sz w:val="32"/>
      <w:lang w:val="en-US" w:eastAsia="zh-CN" w:bidi="ar-SA"/>
    </w:rPr>
  </w:style>
  <w:style w:type="character" w:customStyle="1" w:styleId="Char26">
    <w:name w:val="题注 Char2"/>
    <w:rPr>
      <w:rFonts w:ascii="Cambria" w:eastAsia="黑体" w:hAnsi="Cambria"/>
      <w:kern w:val="2"/>
    </w:rPr>
  </w:style>
  <w:style w:type="character" w:customStyle="1" w:styleId="topbt1">
    <w:name w:val="top_bt1"/>
    <w:rPr>
      <w:b/>
      <w:bCs/>
      <w:color w:val="000000"/>
      <w:sz w:val="21"/>
      <w:szCs w:val="21"/>
    </w:rPr>
  </w:style>
  <w:style w:type="character" w:customStyle="1" w:styleId="zhenwen141">
    <w:name w:val="zhenwen141"/>
    <w:rPr>
      <w:rFonts w:ascii="ˎ̥" w:hAnsi="ˎ̥" w:hint="default"/>
      <w:sz w:val="21"/>
      <w:szCs w:val="21"/>
    </w:rPr>
  </w:style>
  <w:style w:type="character" w:customStyle="1" w:styleId="1Char10">
    <w:name w:val="正文（1） Char1"/>
    <w:rPr>
      <w:rFonts w:eastAsia="宋体"/>
      <w:kern w:val="2"/>
      <w:sz w:val="28"/>
      <w:lang w:val="en-US" w:eastAsia="zh-CN"/>
    </w:rPr>
  </w:style>
  <w:style w:type="character" w:customStyle="1" w:styleId="T4Char">
    <w:name w:val="T4 Char"/>
    <w:rPr>
      <w:rFonts w:ascii="Times New Roman" w:hAnsi="Times New Roman"/>
      <w:b/>
      <w:bCs/>
      <w:sz w:val="24"/>
      <w:szCs w:val="28"/>
    </w:rPr>
  </w:style>
  <w:style w:type="character" w:customStyle="1" w:styleId="fs121">
    <w:name w:val="fs121"/>
    <w:rPr>
      <w:sz w:val="18"/>
      <w:szCs w:val="18"/>
    </w:rPr>
  </w:style>
  <w:style w:type="character" w:customStyle="1" w:styleId="CharChar51">
    <w:name w:val="Char Char51"/>
    <w:rPr>
      <w:rFonts w:eastAsia="宋体"/>
      <w:b/>
      <w:bCs/>
      <w:color w:val="000000"/>
      <w:kern w:val="2"/>
      <w:sz w:val="28"/>
      <w:szCs w:val="24"/>
      <w:lang w:val="en-US" w:eastAsia="zh-CN" w:bidi="ar-SA"/>
    </w:rPr>
  </w:style>
  <w:style w:type="character" w:customStyle="1" w:styleId="1f">
    <w:name w:val="明显强调1"/>
    <w:qFormat/>
    <w:rPr>
      <w:b/>
      <w:i/>
      <w:sz w:val="24"/>
      <w:szCs w:val="24"/>
      <w:u w:val="single"/>
    </w:rPr>
  </w:style>
  <w:style w:type="character" w:customStyle="1" w:styleId="Char27">
    <w:name w:val="正文文字 Char2"/>
    <w:rPr>
      <w:rFonts w:eastAsia="仿宋_GB2312"/>
      <w:kern w:val="2"/>
      <w:sz w:val="24"/>
      <w:szCs w:val="24"/>
      <w:lang w:val="en-US" w:eastAsia="zh-CN" w:bidi="ar-SA"/>
    </w:rPr>
  </w:style>
  <w:style w:type="character" w:customStyle="1" w:styleId="AChar">
    <w:name w:val="自动A Char"/>
    <w:link w:val="Affffa"/>
    <w:rPr>
      <w:color w:val="000000"/>
      <w:sz w:val="24"/>
    </w:rPr>
  </w:style>
  <w:style w:type="paragraph" w:customStyle="1" w:styleId="Affffa">
    <w:name w:val="自动A"/>
    <w:basedOn w:val="a2"/>
    <w:link w:val="AChar"/>
    <w:qFormat/>
    <w:pPr>
      <w:spacing w:before="120" w:after="120" w:line="360" w:lineRule="auto"/>
      <w:ind w:firstLineChars="200" w:firstLine="480"/>
      <w:jc w:val="both"/>
    </w:pPr>
    <w:rPr>
      <w:color w:val="000000"/>
      <w:sz w:val="24"/>
      <w:szCs w:val="22"/>
    </w:rPr>
  </w:style>
  <w:style w:type="character" w:customStyle="1" w:styleId="CharChard">
    <w:name w:val="表 Char Char"/>
    <w:rPr>
      <w:rFonts w:eastAsia="宋体"/>
      <w:spacing w:val="2"/>
      <w:kern w:val="2"/>
      <w:sz w:val="24"/>
      <w:lang w:val="en-US" w:eastAsia="zh-CN" w:bidi="ar-SA"/>
    </w:rPr>
  </w:style>
  <w:style w:type="character" w:customStyle="1" w:styleId="Char41">
    <w:name w:val="文档结构图 Char4"/>
    <w:uiPriority w:val="99"/>
    <w:semiHidden/>
    <w:rPr>
      <w:rFonts w:ascii="宋体" w:eastAsia="宋体"/>
      <w:sz w:val="18"/>
      <w:szCs w:val="18"/>
    </w:rPr>
  </w:style>
  <w:style w:type="character" w:customStyle="1" w:styleId="BodyText21CharChar">
    <w:name w:val="Body Text 21 Char Char"/>
    <w:link w:val="BodyText21"/>
    <w:rPr>
      <w:rFonts w:eastAsia="仿宋体"/>
      <w:sz w:val="24"/>
    </w:rPr>
  </w:style>
  <w:style w:type="paragraph" w:customStyle="1" w:styleId="BodyText21">
    <w:name w:val="Body Text 21"/>
    <w:basedOn w:val="a2"/>
    <w:link w:val="BodyText21CharChar"/>
    <w:qFormat/>
    <w:rPr>
      <w:rFonts w:eastAsia="仿宋体"/>
      <w:sz w:val="24"/>
      <w:szCs w:val="22"/>
    </w:rPr>
  </w:style>
  <w:style w:type="character" w:customStyle="1" w:styleId="CharChare">
    <w:name w:val="条款 Char Char"/>
    <w:link w:val="affffb"/>
  </w:style>
  <w:style w:type="paragraph" w:customStyle="1" w:styleId="affffb">
    <w:name w:val="条款"/>
    <w:basedOn w:val="a2"/>
    <w:link w:val="CharChare"/>
    <w:qFormat/>
    <w:rPr>
      <w:szCs w:val="22"/>
    </w:rPr>
  </w:style>
  <w:style w:type="character" w:customStyle="1" w:styleId="CharChar17">
    <w:name w:val="Char Char17"/>
    <w:rPr>
      <w:snapToGrid/>
      <w:spacing w:val="10"/>
      <w:sz w:val="24"/>
    </w:rPr>
  </w:style>
  <w:style w:type="character" w:customStyle="1" w:styleId="Char31">
    <w:name w:val="文档结构图 Char3"/>
    <w:uiPriority w:val="99"/>
    <w:semiHidden/>
    <w:rPr>
      <w:rFonts w:ascii="Microsoft YaHei UI" w:eastAsia="Microsoft YaHei UI"/>
      <w:kern w:val="2"/>
      <w:sz w:val="18"/>
      <w:szCs w:val="18"/>
    </w:rPr>
  </w:style>
  <w:style w:type="character" w:customStyle="1" w:styleId="3CharChar">
    <w:name w:val="环标3 Char Char"/>
    <w:link w:val="3c"/>
    <w:rPr>
      <w:rFonts w:ascii="宋体" w:hAnsi="宋体"/>
      <w:sz w:val="24"/>
    </w:rPr>
  </w:style>
  <w:style w:type="paragraph" w:customStyle="1" w:styleId="3c">
    <w:name w:val="环标3"/>
    <w:basedOn w:val="32"/>
    <w:link w:val="3CharChar"/>
    <w:qFormat/>
    <w:pPr>
      <w:keepNext w:val="0"/>
      <w:keepLines w:val="0"/>
      <w:spacing w:before="0" w:after="0" w:line="312" w:lineRule="atLeast"/>
      <w:textAlignment w:val="baseline"/>
    </w:pPr>
    <w:rPr>
      <w:rFonts w:ascii="宋体" w:hAnsi="宋体"/>
      <w:b w:val="0"/>
      <w:bCs w:val="0"/>
      <w:sz w:val="24"/>
      <w:szCs w:val="22"/>
    </w:rPr>
  </w:style>
  <w:style w:type="character" w:customStyle="1" w:styleId="A70">
    <w:name w:val="A7"/>
    <w:rPr>
      <w:rFonts w:cs="H Ya 6gj"/>
      <w:color w:val="000000"/>
      <w:sz w:val="20"/>
      <w:szCs w:val="20"/>
    </w:rPr>
  </w:style>
  <w:style w:type="character" w:customStyle="1" w:styleId="CharCharf">
    <w:name w:val="图目录 Char Char"/>
    <w:rPr>
      <w:rFonts w:ascii="宋体" w:eastAsia="宋体"/>
      <w:kern w:val="2"/>
      <w:sz w:val="21"/>
      <w:szCs w:val="24"/>
      <w:lang w:val="en-US" w:eastAsia="zh-CN" w:bidi="ar-SA"/>
    </w:rPr>
  </w:style>
  <w:style w:type="character" w:customStyle="1" w:styleId="CharCharCharCharCharCharCharChar">
    <w:name w:val="燕山正文 Char Char Char Char Char Char Char Char"/>
    <w:link w:val="CharCharf0"/>
    <w:rPr>
      <w:color w:val="000000"/>
      <w:sz w:val="24"/>
      <w:szCs w:val="24"/>
    </w:rPr>
  </w:style>
  <w:style w:type="paragraph" w:customStyle="1" w:styleId="CharCharf0">
    <w:name w:val="燕山正文 Char Char"/>
    <w:basedOn w:val="a2"/>
    <w:link w:val="CharCharCharCharCharCharCharChar"/>
    <w:qFormat/>
    <w:pPr>
      <w:tabs>
        <w:tab w:val="left" w:pos="4680"/>
      </w:tabs>
      <w:snapToGrid w:val="0"/>
      <w:spacing w:line="360" w:lineRule="auto"/>
      <w:ind w:firstLineChars="200" w:firstLine="480"/>
      <w:jc w:val="both"/>
    </w:pPr>
    <w:rPr>
      <w:color w:val="000000"/>
      <w:sz w:val="24"/>
      <w:szCs w:val="24"/>
    </w:rPr>
  </w:style>
  <w:style w:type="character" w:customStyle="1" w:styleId="3CharChar0">
    <w:name w:val="公标题3 Char Char"/>
    <w:link w:val="3d"/>
    <w:rPr>
      <w:rFonts w:ascii="Swis721 BT" w:eastAsia="黑体" w:hAnsi="Swis721 BT"/>
      <w:sz w:val="24"/>
    </w:rPr>
  </w:style>
  <w:style w:type="paragraph" w:customStyle="1" w:styleId="3d">
    <w:name w:val="公标题3"/>
    <w:basedOn w:val="a2"/>
    <w:link w:val="3CharChar0"/>
    <w:qFormat/>
    <w:pPr>
      <w:snapToGrid w:val="0"/>
      <w:spacing w:beforeLines="30" w:before="93" w:afterLines="30" w:after="93" w:line="353" w:lineRule="auto"/>
      <w:outlineLvl w:val="2"/>
    </w:pPr>
    <w:rPr>
      <w:rFonts w:ascii="Swis721 BT" w:eastAsia="黑体" w:hAnsi="Swis721 BT"/>
      <w:sz w:val="24"/>
      <w:szCs w:val="22"/>
    </w:rPr>
  </w:style>
  <w:style w:type="character" w:customStyle="1" w:styleId="CharCharCharCharCharCharCharCharChar">
    <w:name w:val="正文样式 Char Char Char Char Char Char Char Char Char"/>
    <w:link w:val="Charff5"/>
    <w:rPr>
      <w:rFonts w:ascii="宋体" w:eastAsia="宋体" w:hAnsi="宋体"/>
      <w:color w:val="000000"/>
      <w:sz w:val="24"/>
      <w:szCs w:val="24"/>
    </w:rPr>
  </w:style>
  <w:style w:type="paragraph" w:customStyle="1" w:styleId="Charff5">
    <w:name w:val="正文样式 Char"/>
    <w:basedOn w:val="a2"/>
    <w:link w:val="CharCharCharCharCharCharCharCharChar"/>
    <w:qFormat/>
    <w:pPr>
      <w:spacing w:line="360" w:lineRule="auto"/>
      <w:ind w:firstLineChars="200" w:firstLine="480"/>
    </w:pPr>
    <w:rPr>
      <w:rFonts w:ascii="宋体" w:eastAsia="宋体" w:hAnsi="宋体"/>
      <w:color w:val="000000"/>
      <w:sz w:val="24"/>
      <w:szCs w:val="24"/>
    </w:rPr>
  </w:style>
  <w:style w:type="character" w:customStyle="1" w:styleId="98Char">
    <w:name w:val="样式98 Char"/>
    <w:rPr>
      <w:rFonts w:ascii="Times New Roman" w:eastAsia="仿宋_GB2312" w:hAnsi="Times New Roman" w:cs="Times New Roman"/>
      <w:bCs/>
      <w:color w:val="000000"/>
      <w:kern w:val="0"/>
      <w:szCs w:val="21"/>
    </w:rPr>
  </w:style>
  <w:style w:type="character" w:customStyle="1" w:styleId="5Char1">
    <w:name w:val="5文章(治) Char"/>
    <w:link w:val="58"/>
    <w:rPr>
      <w:rFonts w:ascii="仿宋_GB2312" w:eastAsia="仿宋_GB2312" w:hAnsi="宋体"/>
      <w:color w:val="0000FF"/>
      <w:kern w:val="28"/>
      <w:sz w:val="28"/>
    </w:rPr>
  </w:style>
  <w:style w:type="paragraph" w:customStyle="1" w:styleId="58">
    <w:name w:val="5文章(治)"/>
    <w:basedOn w:val="a2"/>
    <w:link w:val="5Char1"/>
    <w:qFormat/>
    <w:pPr>
      <w:spacing w:line="500" w:lineRule="exact"/>
      <w:ind w:firstLineChars="200" w:firstLine="560"/>
    </w:pPr>
    <w:rPr>
      <w:rFonts w:ascii="仿宋_GB2312" w:eastAsia="仿宋_GB2312" w:hAnsi="宋体"/>
      <w:color w:val="0000FF"/>
      <w:kern w:val="28"/>
      <w:szCs w:val="22"/>
    </w:rPr>
  </w:style>
  <w:style w:type="character" w:customStyle="1" w:styleId="111CharChar">
    <w:name w:val="1.1.1  标题/文字 Char Char"/>
    <w:link w:val="111"/>
    <w:qFormat/>
    <w:rPr>
      <w:rFonts w:ascii="宋体" w:hAnsi="宋体"/>
      <w:sz w:val="24"/>
      <w:szCs w:val="21"/>
    </w:rPr>
  </w:style>
  <w:style w:type="paragraph" w:customStyle="1" w:styleId="111">
    <w:name w:val="1.1.1  标题/文字"/>
    <w:basedOn w:val="a2"/>
    <w:link w:val="111CharChar"/>
    <w:qFormat/>
    <w:pPr>
      <w:spacing w:after="50" w:line="460" w:lineRule="exact"/>
      <w:jc w:val="both"/>
    </w:pPr>
    <w:rPr>
      <w:rFonts w:ascii="宋体" w:hAnsi="宋体"/>
      <w:sz w:val="24"/>
    </w:rPr>
  </w:style>
  <w:style w:type="character" w:customStyle="1" w:styleId="11Char">
    <w:name w:val="1.1　标题/文字 Char"/>
    <w:link w:val="112"/>
    <w:rPr>
      <w:rFonts w:ascii="宋体"/>
      <w:sz w:val="24"/>
      <w:szCs w:val="24"/>
      <w:lang w:val="zh-CN"/>
    </w:rPr>
  </w:style>
  <w:style w:type="paragraph" w:customStyle="1" w:styleId="112">
    <w:name w:val="1.1　标题/文字"/>
    <w:basedOn w:val="a2"/>
    <w:link w:val="11Char"/>
    <w:qFormat/>
    <w:pPr>
      <w:spacing w:line="440" w:lineRule="exact"/>
      <w:jc w:val="both"/>
    </w:pPr>
    <w:rPr>
      <w:rFonts w:ascii="宋体"/>
      <w:sz w:val="24"/>
      <w:szCs w:val="24"/>
      <w:lang w:val="zh-CN"/>
    </w:rPr>
  </w:style>
  <w:style w:type="character" w:customStyle="1" w:styleId="font14px1">
    <w:name w:val="font14px1"/>
    <w:rPr>
      <w:rFonts w:ascii="ˎ̥" w:hAnsi="ˎ̥" w:hint="default"/>
      <w:color w:val="0A0A0A"/>
      <w:sz w:val="21"/>
      <w:szCs w:val="21"/>
    </w:rPr>
  </w:style>
  <w:style w:type="character" w:customStyle="1" w:styleId="6Char1">
    <w:name w:val="项目6 Char"/>
    <w:rPr>
      <w:rFonts w:eastAsia="宋体"/>
      <w:color w:val="000000"/>
      <w:kern w:val="2"/>
      <w:sz w:val="24"/>
      <w:szCs w:val="24"/>
      <w:lang w:val="en-US" w:eastAsia="zh-CN" w:bidi="ar-SA"/>
    </w:rPr>
  </w:style>
  <w:style w:type="character" w:customStyle="1" w:styleId="91CharChar">
    <w:name w:val="样式91 Char Char"/>
    <w:link w:val="910"/>
    <w:rPr>
      <w:rFonts w:eastAsia="黑体"/>
      <w:bCs/>
      <w:color w:val="000000"/>
      <w:szCs w:val="21"/>
    </w:rPr>
  </w:style>
  <w:style w:type="paragraph" w:customStyle="1" w:styleId="910">
    <w:name w:val="样式91"/>
    <w:basedOn w:val="a2"/>
    <w:link w:val="91CharChar"/>
    <w:qFormat/>
    <w:pPr>
      <w:spacing w:before="60" w:line="500" w:lineRule="exact"/>
      <w:jc w:val="center"/>
      <w:textAlignment w:val="baseline"/>
    </w:pPr>
    <w:rPr>
      <w:rFonts w:eastAsia="黑体"/>
      <w:bCs/>
      <w:color w:val="000000"/>
    </w:rPr>
  </w:style>
  <w:style w:type="character" w:customStyle="1" w:styleId="affffc">
    <w:name w:val="正文文本缩进字符"/>
    <w:rPr>
      <w:kern w:val="2"/>
      <w:sz w:val="24"/>
    </w:rPr>
  </w:style>
  <w:style w:type="character" w:customStyle="1" w:styleId="5Char2">
    <w:name w:val="样式5 Char"/>
    <w:rPr>
      <w:rFonts w:ascii="仿宋_GB2312" w:eastAsia="仿宋_GB2312" w:hAnsi="Times New Roman" w:cs="Times New Roman"/>
      <w:kern w:val="0"/>
      <w:sz w:val="28"/>
      <w:szCs w:val="20"/>
      <w:lang w:val="en-AU"/>
    </w:rPr>
  </w:style>
  <w:style w:type="character" w:customStyle="1" w:styleId="hhcwtCharChar">
    <w:name w:val="hhcwt表格内文字 Char Char"/>
    <w:link w:val="hhcwt"/>
    <w:rPr>
      <w:rFonts w:eastAsia="仿宋_GB2312" w:cs="宋体"/>
      <w:szCs w:val="21"/>
    </w:rPr>
  </w:style>
  <w:style w:type="paragraph" w:customStyle="1" w:styleId="hhcwt">
    <w:name w:val="hhcwt表格内文字"/>
    <w:basedOn w:val="a2"/>
    <w:link w:val="hhcwtCharChar"/>
    <w:qFormat/>
    <w:pPr>
      <w:jc w:val="center"/>
    </w:pPr>
    <w:rPr>
      <w:rFonts w:eastAsia="仿宋_GB2312" w:cs="宋体"/>
    </w:rPr>
  </w:style>
  <w:style w:type="character" w:customStyle="1" w:styleId="z-Char2">
    <w:name w:val="z-窗体底端 Char2"/>
    <w:uiPriority w:val="99"/>
    <w:semiHidden/>
    <w:rPr>
      <w:rFonts w:ascii="Arial" w:hAnsi="Arial" w:cs="Arial"/>
      <w:vanish/>
      <w:kern w:val="2"/>
      <w:sz w:val="16"/>
      <w:szCs w:val="16"/>
    </w:rPr>
  </w:style>
  <w:style w:type="character" w:customStyle="1" w:styleId="3CharChar1">
    <w:name w:val="标题 3 Char Char1"/>
    <w:rPr>
      <w:rFonts w:eastAsia="宋体"/>
      <w:b/>
      <w:bCs/>
      <w:kern w:val="2"/>
      <w:sz w:val="32"/>
      <w:szCs w:val="32"/>
      <w:lang w:val="en-US" w:eastAsia="zh-CN" w:bidi="ar-SA"/>
    </w:rPr>
  </w:style>
  <w:style w:type="character" w:customStyle="1" w:styleId="CharChar111">
    <w:name w:val="Char Char111"/>
    <w:rPr>
      <w:rFonts w:eastAsia="宋体"/>
      <w:kern w:val="2"/>
      <w:sz w:val="21"/>
      <w:szCs w:val="24"/>
      <w:lang w:val="en-US" w:eastAsia="zh-CN" w:bidi="ar-SA"/>
    </w:rPr>
  </w:style>
  <w:style w:type="character" w:customStyle="1" w:styleId="style9">
    <w:name w:val="style9"/>
    <w:basedOn w:val="a4"/>
  </w:style>
  <w:style w:type="character" w:customStyle="1" w:styleId="Char42">
    <w:name w:val="正文首行缩进 Char4"/>
    <w:uiPriority w:val="99"/>
    <w:semiHidden/>
  </w:style>
  <w:style w:type="character" w:customStyle="1" w:styleId="3CharChar2">
    <w:name w:val="标题样式3 Char Char"/>
    <w:link w:val="3e"/>
    <w:rPr>
      <w:rFonts w:ascii="黑体" w:eastAsia="黑体" w:cs="黑体"/>
      <w:bCs/>
      <w:color w:val="000000"/>
      <w:sz w:val="24"/>
      <w:szCs w:val="24"/>
      <w:lang w:val="zh-CN"/>
    </w:rPr>
  </w:style>
  <w:style w:type="paragraph" w:customStyle="1" w:styleId="3e">
    <w:name w:val="标题样式3"/>
    <w:basedOn w:val="32"/>
    <w:link w:val="3CharChar2"/>
    <w:qFormat/>
    <w:pPr>
      <w:keepNext w:val="0"/>
      <w:tabs>
        <w:tab w:val="left" w:pos="5040"/>
      </w:tabs>
      <w:spacing w:before="0" w:after="0" w:line="360" w:lineRule="auto"/>
      <w:jc w:val="both"/>
    </w:pPr>
    <w:rPr>
      <w:rFonts w:ascii="黑体" w:eastAsia="黑体" w:cs="黑体"/>
      <w:b w:val="0"/>
      <w:color w:val="000000"/>
      <w:sz w:val="24"/>
      <w:szCs w:val="24"/>
      <w:lang w:val="zh-CN"/>
    </w:rPr>
  </w:style>
  <w:style w:type="character" w:customStyle="1" w:styleId="30303CharChar">
    <w:name w:val="公标题3 + 段前: 0.3 行 段后: 0.3 行 Char Char"/>
    <w:link w:val="30303"/>
    <w:rPr>
      <w:rFonts w:ascii="Arial" w:eastAsia="方正小标宋_GBK" w:hAnsi="Arial"/>
      <w:sz w:val="28"/>
    </w:rPr>
  </w:style>
  <w:style w:type="paragraph" w:customStyle="1" w:styleId="30303">
    <w:name w:val="公标题3 + 段前: 0.3 行 段后: 0.3 行"/>
    <w:basedOn w:val="a2"/>
    <w:link w:val="30303CharChar"/>
    <w:qFormat/>
    <w:pPr>
      <w:snapToGrid w:val="0"/>
      <w:spacing w:line="560" w:lineRule="exact"/>
      <w:outlineLvl w:val="2"/>
    </w:pPr>
    <w:rPr>
      <w:rFonts w:eastAsia="方正小标宋_GBK" w:hAnsi="Arial"/>
      <w:szCs w:val="22"/>
    </w:rPr>
  </w:style>
  <w:style w:type="character" w:customStyle="1" w:styleId="Char90">
    <w:name w:val="Char9"/>
    <w:rPr>
      <w:rFonts w:eastAsia="仿宋_GB2312"/>
      <w:b/>
      <w:kern w:val="44"/>
      <w:sz w:val="32"/>
      <w:szCs w:val="44"/>
      <w:lang w:val="en-US" w:eastAsia="zh-CN" w:bidi="ar-SA"/>
    </w:rPr>
  </w:style>
  <w:style w:type="character" w:customStyle="1" w:styleId="TimesNewRomanCharChar">
    <w:name w:val="样式 题注 + (西文) Times New Roman (中文) 宋体 四号 Char Char"/>
    <w:rPr>
      <w:rFonts w:ascii="Times New Roman" w:eastAsia="宋体" w:hAnsi="Times New Roman" w:cs="Arial"/>
      <w:kern w:val="2"/>
      <w:sz w:val="28"/>
      <w:lang w:val="en-US" w:eastAsia="zh-CN" w:bidi="ar-SA"/>
    </w:rPr>
  </w:style>
  <w:style w:type="character" w:customStyle="1" w:styleId="isellp">
    <w:name w:val="isellp"/>
  </w:style>
  <w:style w:type="character" w:customStyle="1" w:styleId="1Char5">
    <w:name w:val="表格文本1 Char"/>
    <w:link w:val="1f0"/>
    <w:rPr>
      <w:rFonts w:ascii="Arial" w:hAnsi="Arial"/>
      <w:color w:val="FF0000"/>
      <w:spacing w:val="-5"/>
      <w:szCs w:val="18"/>
      <w:lang w:bidi="en-US"/>
    </w:rPr>
  </w:style>
  <w:style w:type="paragraph" w:customStyle="1" w:styleId="1f0">
    <w:name w:val="表格文本1"/>
    <w:basedOn w:val="a2"/>
    <w:link w:val="1Char5"/>
    <w:qFormat/>
    <w:pPr>
      <w:widowControl/>
      <w:autoSpaceDE/>
      <w:autoSpaceDN/>
      <w:adjustRightInd/>
      <w:spacing w:line="240" w:lineRule="exact"/>
      <w:jc w:val="center"/>
    </w:pPr>
    <w:rPr>
      <w:rFonts w:hAnsi="Arial"/>
      <w:color w:val="FF0000"/>
      <w:spacing w:val="-5"/>
      <w:szCs w:val="18"/>
      <w:lang w:bidi="en-US"/>
    </w:rPr>
  </w:style>
  <w:style w:type="character" w:customStyle="1" w:styleId="Char5">
    <w:name w:val="文档结构图 Char"/>
    <w:link w:val="af"/>
    <w:uiPriority w:val="99"/>
    <w:rPr>
      <w:rFonts w:ascii="宋体" w:eastAsia="仿宋"/>
      <w:sz w:val="24"/>
      <w:szCs w:val="18"/>
    </w:rPr>
  </w:style>
  <w:style w:type="character" w:customStyle="1" w:styleId="CharCharCharRGB00160Char">
    <w:name w:val="样式 首行缩进 Char Char Char + 自定义颜色(RGB(00160)) Char"/>
    <w:link w:val="CharCharCharRGB00160"/>
    <w:rPr>
      <w:rFonts w:ascii="宋体" w:hAnsi="宋体"/>
      <w:sz w:val="24"/>
      <w:szCs w:val="24"/>
    </w:rPr>
  </w:style>
  <w:style w:type="paragraph" w:customStyle="1" w:styleId="CharCharCharRGB00160">
    <w:name w:val="样式 首行缩进 Char Char Char + 自定义颜色(RGB(00160))"/>
    <w:basedOn w:val="a2"/>
    <w:link w:val="CharCharCharRGB00160Char"/>
    <w:qFormat/>
    <w:pPr>
      <w:snapToGrid w:val="0"/>
      <w:spacing w:line="440" w:lineRule="exact"/>
      <w:ind w:firstLineChars="225" w:firstLine="540"/>
      <w:jc w:val="both"/>
    </w:pPr>
    <w:rPr>
      <w:rFonts w:ascii="宋体" w:hAnsi="宋体"/>
      <w:sz w:val="24"/>
      <w:szCs w:val="24"/>
    </w:rPr>
  </w:style>
  <w:style w:type="character" w:customStyle="1" w:styleId="Char17">
    <w:name w:val="页眉 Char1"/>
    <w:locked/>
    <w:rPr>
      <w:kern w:val="2"/>
      <w:sz w:val="18"/>
    </w:rPr>
  </w:style>
  <w:style w:type="character" w:customStyle="1" w:styleId="ww">
    <w:name w:val="ww"/>
    <w:basedOn w:val="a4"/>
  </w:style>
  <w:style w:type="character" w:customStyle="1" w:styleId="chenCharChar0">
    <w:name w:val="谏壁chen表格内文字 Char Char"/>
    <w:link w:val="chen0"/>
    <w:rPr>
      <w:rFonts w:eastAsia="宋体"/>
      <w:szCs w:val="21"/>
    </w:rPr>
  </w:style>
  <w:style w:type="paragraph" w:customStyle="1" w:styleId="chen0">
    <w:name w:val="谏壁chen表格内文字"/>
    <w:basedOn w:val="a2"/>
    <w:link w:val="chenCharChar0"/>
    <w:qFormat/>
    <w:pPr>
      <w:spacing w:line="0" w:lineRule="atLeast"/>
      <w:jc w:val="center"/>
    </w:pPr>
    <w:rPr>
      <w:rFonts w:eastAsia="宋体"/>
    </w:rPr>
  </w:style>
  <w:style w:type="character" w:customStyle="1" w:styleId="1Char6">
    <w:name w:val="1正文段落 Char"/>
    <w:link w:val="1f1"/>
    <w:rPr>
      <w:sz w:val="24"/>
      <w:szCs w:val="24"/>
    </w:rPr>
  </w:style>
  <w:style w:type="paragraph" w:customStyle="1" w:styleId="1f1">
    <w:name w:val="1正文段落"/>
    <w:basedOn w:val="a2"/>
    <w:link w:val="1Char6"/>
    <w:qFormat/>
    <w:pPr>
      <w:spacing w:line="360" w:lineRule="auto"/>
      <w:ind w:firstLineChars="200" w:firstLine="480"/>
    </w:pPr>
    <w:rPr>
      <w:sz w:val="24"/>
      <w:szCs w:val="24"/>
    </w:rPr>
  </w:style>
  <w:style w:type="character" w:customStyle="1" w:styleId="A3Char">
    <w:name w:val="样式 A标题3 + 自动设置 Char"/>
    <w:rPr>
      <w:rFonts w:ascii="Times New Roman" w:eastAsia="黑体" w:hAnsi="Times New Roman"/>
      <w:b/>
      <w:bCs/>
      <w:spacing w:val="20"/>
      <w:sz w:val="28"/>
      <w:lang w:val="en-US" w:eastAsia="zh-CN"/>
    </w:rPr>
  </w:style>
  <w:style w:type="character" w:customStyle="1" w:styleId="font21">
    <w:name w:val="font21"/>
    <w:rPr>
      <w:rFonts w:ascii="宋体" w:eastAsia="宋体" w:hAnsi="宋体" w:hint="eastAsia"/>
      <w:color w:val="000000"/>
      <w:sz w:val="21"/>
      <w:szCs w:val="21"/>
    </w:rPr>
  </w:style>
  <w:style w:type="character" w:customStyle="1" w:styleId="m61">
    <w:name w:val="m_61"/>
  </w:style>
  <w:style w:type="character" w:customStyle="1" w:styleId="Ch">
    <w:name w:val="图标题 Ch"/>
    <w:rPr>
      <w:rFonts w:eastAsia="宋体"/>
      <w:kern w:val="2"/>
      <w:sz w:val="21"/>
      <w:szCs w:val="24"/>
      <w:lang w:val="en-US" w:eastAsia="zh-CN" w:bidi="ar-SA"/>
    </w:rPr>
  </w:style>
  <w:style w:type="character" w:customStyle="1" w:styleId="CharChar83">
    <w:name w:val="Char Char83"/>
    <w:rPr>
      <w:rFonts w:eastAsia="仿宋_GB2312"/>
      <w:kern w:val="2"/>
      <w:sz w:val="18"/>
      <w:szCs w:val="18"/>
      <w:lang w:val="en-US" w:eastAsia="zh-CN" w:bidi="ar-SA"/>
    </w:rPr>
  </w:style>
  <w:style w:type="character" w:customStyle="1" w:styleId="subtablealtbg2tmsg">
    <w:name w:val="subtable altbg2 t_msg"/>
  </w:style>
  <w:style w:type="character" w:customStyle="1" w:styleId="z-Char1">
    <w:name w:val="z-窗体顶端 Char1"/>
    <w:locked/>
    <w:rPr>
      <w:rFonts w:ascii="Arial" w:hAnsi="Arial"/>
      <w:vanish/>
      <w:kern w:val="2"/>
      <w:sz w:val="16"/>
    </w:rPr>
  </w:style>
  <w:style w:type="character" w:customStyle="1" w:styleId="font16">
    <w:name w:val="font16"/>
    <w:basedOn w:val="a4"/>
  </w:style>
  <w:style w:type="character" w:customStyle="1" w:styleId="2Char6">
    <w:name w:val="表格2 Char"/>
    <w:link w:val="2d"/>
  </w:style>
  <w:style w:type="paragraph" w:customStyle="1" w:styleId="2d">
    <w:name w:val="表格2"/>
    <w:basedOn w:val="affffd"/>
    <w:link w:val="2Char6"/>
    <w:qFormat/>
    <w:pPr>
      <w:widowControl w:val="0"/>
      <w:snapToGrid/>
      <w:spacing w:line="240" w:lineRule="auto"/>
      <w:jc w:val="both"/>
      <w:textAlignment w:val="auto"/>
      <w:outlineLvl w:val="0"/>
    </w:pPr>
    <w:rPr>
      <w:rFonts w:asciiTheme="minorHAnsi" w:hAnsiTheme="minorHAnsi"/>
      <w:szCs w:val="22"/>
    </w:rPr>
  </w:style>
  <w:style w:type="paragraph" w:customStyle="1" w:styleId="affffd">
    <w:name w:val="表格"/>
    <w:basedOn w:val="a2"/>
    <w:link w:val="CharCharf1"/>
    <w:qFormat/>
    <w:pPr>
      <w:widowControl/>
      <w:snapToGrid w:val="0"/>
      <w:spacing w:line="280" w:lineRule="atLeast"/>
      <w:jc w:val="center"/>
      <w:textAlignment w:val="center"/>
    </w:pPr>
    <w:rPr>
      <w:rFonts w:ascii="宋体" w:hAnsi="宋体"/>
      <w:szCs w:val="24"/>
    </w:rPr>
  </w:style>
  <w:style w:type="character" w:customStyle="1" w:styleId="font61">
    <w:name w:val="font61"/>
    <w:rPr>
      <w:rFonts w:ascii="Times New Roman" w:hAnsi="Times New Roman" w:cs="Times New Roman" w:hint="default"/>
      <w:color w:val="000000"/>
      <w:sz w:val="20"/>
      <w:szCs w:val="20"/>
      <w:u w:val="none"/>
    </w:rPr>
  </w:style>
  <w:style w:type="character" w:customStyle="1" w:styleId="6CharChar0">
    <w:name w:val="标题6 Char Char"/>
    <w:link w:val="65"/>
    <w:rPr>
      <w:rFonts w:ascii="Arial" w:eastAsia="楷体_GB2312" w:hAnsi="Arial"/>
    </w:rPr>
  </w:style>
  <w:style w:type="paragraph" w:customStyle="1" w:styleId="65">
    <w:name w:val="标题6"/>
    <w:basedOn w:val="a2"/>
    <w:link w:val="6CharChar0"/>
    <w:qFormat/>
    <w:pPr>
      <w:keepNext/>
      <w:jc w:val="center"/>
    </w:pPr>
    <w:rPr>
      <w:rFonts w:hAnsi="Arial"/>
      <w:szCs w:val="22"/>
    </w:rPr>
  </w:style>
  <w:style w:type="character" w:customStyle="1" w:styleId="Charff6">
    <w:name w:val="表图 Char"/>
    <w:link w:val="affffe"/>
  </w:style>
  <w:style w:type="paragraph" w:customStyle="1" w:styleId="affffe">
    <w:name w:val="表图"/>
    <w:basedOn w:val="a2"/>
    <w:link w:val="Charff6"/>
    <w:pPr>
      <w:widowControl/>
      <w:autoSpaceDE/>
      <w:autoSpaceDN/>
      <w:snapToGrid w:val="0"/>
      <w:spacing w:line="320" w:lineRule="atLeast"/>
      <w:ind w:firstLineChars="200" w:firstLine="200"/>
      <w:jc w:val="center"/>
    </w:pPr>
    <w:rPr>
      <w:szCs w:val="22"/>
    </w:rPr>
  </w:style>
  <w:style w:type="character" w:customStyle="1" w:styleId="12Char3">
    <w:name w:val="样式 正文1 + 首行缩进:  2 字符 Char3"/>
    <w:link w:val="120"/>
    <w:rPr>
      <w:rFonts w:ascii="宋体" w:cs="宋体"/>
      <w:sz w:val="24"/>
      <w:szCs w:val="24"/>
    </w:rPr>
  </w:style>
  <w:style w:type="paragraph" w:customStyle="1" w:styleId="120">
    <w:name w:val="样式 正文1 + 首行缩进:  2 字符"/>
    <w:basedOn w:val="a2"/>
    <w:link w:val="12Char3"/>
    <w:qFormat/>
    <w:pPr>
      <w:autoSpaceDE/>
      <w:autoSpaceDN/>
      <w:adjustRightInd/>
      <w:spacing w:line="360" w:lineRule="auto"/>
      <w:ind w:firstLineChars="200" w:firstLine="200"/>
      <w:jc w:val="both"/>
    </w:pPr>
    <w:rPr>
      <w:rFonts w:ascii="宋体" w:cs="宋体"/>
      <w:sz w:val="24"/>
      <w:szCs w:val="24"/>
    </w:rPr>
  </w:style>
  <w:style w:type="character" w:customStyle="1" w:styleId="10115CharChar">
    <w:name w:val="样式 小四 首行缩进:  1.01 厘米 行距: 1.5 倍行距 Char Char"/>
    <w:rPr>
      <w:rFonts w:eastAsia="宋体" w:cs="宋体"/>
      <w:kern w:val="2"/>
      <w:sz w:val="24"/>
      <w:lang w:val="en-US" w:eastAsia="zh-CN" w:bidi="ar-SA"/>
    </w:rPr>
  </w:style>
  <w:style w:type="character" w:customStyle="1" w:styleId="scc">
    <w:name w:val="s c c"/>
  </w:style>
  <w:style w:type="character" w:customStyle="1" w:styleId="Char18">
    <w:name w:val="文本 Char1"/>
    <w:link w:val="afffff"/>
    <w:rPr>
      <w:rFonts w:eastAsia="宋体"/>
      <w:sz w:val="24"/>
      <w:szCs w:val="24"/>
    </w:rPr>
  </w:style>
  <w:style w:type="paragraph" w:customStyle="1" w:styleId="afffff">
    <w:name w:val="文本"/>
    <w:basedOn w:val="a2"/>
    <w:link w:val="Char18"/>
    <w:qFormat/>
    <w:pPr>
      <w:snapToGrid w:val="0"/>
      <w:spacing w:line="360" w:lineRule="auto"/>
      <w:ind w:firstLineChars="200" w:firstLine="200"/>
    </w:pPr>
    <w:rPr>
      <w:rFonts w:eastAsia="宋体"/>
      <w:sz w:val="24"/>
      <w:szCs w:val="24"/>
    </w:rPr>
  </w:style>
  <w:style w:type="character" w:customStyle="1" w:styleId="Charff7">
    <w:name w:val="图题 Char"/>
    <w:link w:val="afffff0"/>
    <w:rPr>
      <w:rFonts w:eastAsia="新宋体"/>
      <w:szCs w:val="21"/>
    </w:rPr>
  </w:style>
  <w:style w:type="paragraph" w:customStyle="1" w:styleId="afffff0">
    <w:name w:val="图题"/>
    <w:next w:val="a2"/>
    <w:link w:val="Charff7"/>
    <w:qFormat/>
    <w:pPr>
      <w:spacing w:beforeLines="50" w:before="156" w:afterLines="150" w:after="468"/>
    </w:pPr>
    <w:rPr>
      <w:rFonts w:eastAsia="新宋体"/>
      <w:kern w:val="2"/>
      <w:sz w:val="21"/>
      <w:szCs w:val="21"/>
    </w:rPr>
  </w:style>
  <w:style w:type="character" w:customStyle="1" w:styleId="1f2">
    <w:name w:val="不明显强调1"/>
    <w:qFormat/>
    <w:rPr>
      <w:i/>
      <w:iCs/>
      <w:color w:val="404040"/>
    </w:rPr>
  </w:style>
  <w:style w:type="character" w:customStyle="1" w:styleId="15Char">
    <w:name w:val="标准文本 居中 行距1.5倍 Char"/>
    <w:rPr>
      <w:rFonts w:eastAsia="宋体" w:cs="宋体"/>
      <w:kern w:val="2"/>
      <w:sz w:val="24"/>
      <w:szCs w:val="24"/>
      <w:lang w:val="en-US" w:eastAsia="zh-CN" w:bidi="ar-SA"/>
    </w:rPr>
  </w:style>
  <w:style w:type="character" w:customStyle="1" w:styleId="Charff8">
    <w:name w:val="样式 宋体 四号 Char"/>
    <w:link w:val="afffff1"/>
    <w:rPr>
      <w:rFonts w:ascii="宋体" w:hAnsi="宋体"/>
      <w:sz w:val="28"/>
    </w:rPr>
  </w:style>
  <w:style w:type="paragraph" w:customStyle="1" w:styleId="afffff1">
    <w:name w:val="样式 宋体 四号"/>
    <w:basedOn w:val="a2"/>
    <w:link w:val="Charff8"/>
    <w:qFormat/>
    <w:pPr>
      <w:ind w:firstLineChars="200" w:firstLine="560"/>
      <w:jc w:val="both"/>
    </w:pPr>
    <w:rPr>
      <w:rFonts w:ascii="宋体" w:hAnsi="宋体"/>
      <w:szCs w:val="22"/>
    </w:rPr>
  </w:style>
  <w:style w:type="character" w:customStyle="1" w:styleId="CharChar27">
    <w:name w:val="Char Char27"/>
    <w:rPr>
      <w:rFonts w:eastAsia="黑体"/>
      <w:b/>
      <w:bCs/>
      <w:kern w:val="44"/>
      <w:sz w:val="36"/>
      <w:szCs w:val="44"/>
      <w:lang w:bidi="ar-SA"/>
    </w:rPr>
  </w:style>
  <w:style w:type="character" w:customStyle="1" w:styleId="Char43">
    <w:name w:val="注释标题 Char4"/>
    <w:rPr>
      <w:kern w:val="2"/>
      <w:sz w:val="24"/>
      <w:szCs w:val="24"/>
    </w:rPr>
  </w:style>
  <w:style w:type="character" w:customStyle="1" w:styleId="1Char7">
    <w:name w:val="样1 Char"/>
    <w:link w:val="1f3"/>
    <w:rPr>
      <w:b/>
      <w:sz w:val="24"/>
      <w:szCs w:val="24"/>
    </w:rPr>
  </w:style>
  <w:style w:type="paragraph" w:customStyle="1" w:styleId="1f3">
    <w:name w:val="样1"/>
    <w:basedOn w:val="a2"/>
    <w:link w:val="1Char7"/>
    <w:pPr>
      <w:spacing w:line="360" w:lineRule="auto"/>
      <w:ind w:right="232" w:firstLineChars="200" w:firstLine="200"/>
      <w:jc w:val="center"/>
      <w:textAlignment w:val="bottom"/>
    </w:pPr>
    <w:rPr>
      <w:b/>
      <w:sz w:val="24"/>
      <w:szCs w:val="24"/>
    </w:rPr>
  </w:style>
  <w:style w:type="character" w:customStyle="1" w:styleId="Charff9">
    <w:name w:val="环保表内字（小五） Char"/>
    <w:rPr>
      <w:rFonts w:ascii="Times New Roman" w:hAnsi="Times New Roman"/>
      <w:snapToGrid w:val="0"/>
      <w:color w:val="000000"/>
      <w:sz w:val="18"/>
      <w:szCs w:val="18"/>
    </w:rPr>
  </w:style>
  <w:style w:type="character" w:customStyle="1" w:styleId="CharCharf2">
    <w:name w:val="文本框 Char Char"/>
    <w:link w:val="afffff2"/>
    <w:rPr>
      <w:rFonts w:ascii="仿宋_GB2312" w:eastAsia="仿宋_GB2312"/>
      <w:sz w:val="24"/>
      <w:szCs w:val="24"/>
    </w:rPr>
  </w:style>
  <w:style w:type="paragraph" w:customStyle="1" w:styleId="afffff2">
    <w:name w:val="文本框"/>
    <w:basedOn w:val="a2"/>
    <w:next w:val="a2"/>
    <w:link w:val="CharCharf2"/>
    <w:qFormat/>
    <w:pPr>
      <w:widowControl/>
      <w:spacing w:line="320" w:lineRule="exact"/>
      <w:ind w:firstLineChars="200" w:firstLine="200"/>
      <w:jc w:val="center"/>
    </w:pPr>
    <w:rPr>
      <w:rFonts w:ascii="仿宋_GB2312" w:eastAsia="仿宋_GB2312"/>
      <w:sz w:val="24"/>
      <w:szCs w:val="24"/>
    </w:rPr>
  </w:style>
  <w:style w:type="character" w:customStyle="1" w:styleId="CharCharChar">
    <w:name w:val="表格文本 五号 居中 单倍行距 Char Char Char"/>
    <w:rPr>
      <w:rFonts w:eastAsia="宋体" w:cs="宋体"/>
      <w:kern w:val="2"/>
      <w:sz w:val="21"/>
      <w:szCs w:val="21"/>
      <w:lang w:val="en-US" w:eastAsia="zh-CN" w:bidi="ar-SA"/>
    </w:rPr>
  </w:style>
  <w:style w:type="character" w:customStyle="1" w:styleId="Batang72">
    <w:name w:val="正文文本 + Batang72"/>
    <w:rPr>
      <w:rFonts w:ascii="Batang" w:eastAsia="Batang" w:cs="Batang"/>
      <w:sz w:val="19"/>
      <w:szCs w:val="19"/>
      <w:u w:val="none"/>
    </w:rPr>
  </w:style>
  <w:style w:type="character" w:customStyle="1" w:styleId="z-0">
    <w:name w:val="z-窗体底端 字符"/>
    <w:link w:val="z-10"/>
    <w:rPr>
      <w:rFonts w:ascii="Arial" w:eastAsia="仿宋_GB2312" w:hAnsi="Arial" w:cs="Arial"/>
      <w:vanish/>
      <w:sz w:val="16"/>
      <w:szCs w:val="16"/>
    </w:rPr>
  </w:style>
  <w:style w:type="paragraph" w:customStyle="1" w:styleId="z-10">
    <w:name w:val="z-窗体底端1"/>
    <w:basedOn w:val="a2"/>
    <w:next w:val="a2"/>
    <w:link w:val="z-0"/>
    <w:pPr>
      <w:pBdr>
        <w:top w:val="single" w:sz="6" w:space="1" w:color="auto"/>
      </w:pBdr>
      <w:snapToGrid w:val="0"/>
      <w:spacing w:line="300" w:lineRule="auto"/>
      <w:jc w:val="center"/>
    </w:pPr>
    <w:rPr>
      <w:rFonts w:eastAsia="仿宋_GB2312" w:hAnsi="Arial" w:cs="Arial"/>
      <w:vanish/>
      <w:sz w:val="16"/>
      <w:szCs w:val="16"/>
    </w:rPr>
  </w:style>
  <w:style w:type="character" w:customStyle="1" w:styleId="CharCharf3">
    <w:name w:val="环保表头 Char Char"/>
    <w:link w:val="afffff3"/>
    <w:rPr>
      <w:rFonts w:ascii="黑体" w:eastAsia="黑体"/>
      <w:sz w:val="24"/>
      <w:szCs w:val="24"/>
    </w:rPr>
  </w:style>
  <w:style w:type="paragraph" w:customStyle="1" w:styleId="afffff3">
    <w:name w:val="环保表头"/>
    <w:link w:val="CharCharf3"/>
    <w:qFormat/>
    <w:pPr>
      <w:snapToGrid w:val="0"/>
      <w:spacing w:before="60"/>
      <w:jc w:val="center"/>
    </w:pPr>
    <w:rPr>
      <w:rFonts w:ascii="黑体" w:eastAsia="黑体"/>
      <w:kern w:val="2"/>
      <w:sz w:val="24"/>
      <w:szCs w:val="24"/>
    </w:rPr>
  </w:style>
  <w:style w:type="character" w:customStyle="1" w:styleId="afffff4">
    <w:name w:val="样式 四"/>
    <w:rPr>
      <w:rFonts w:eastAsia="宋体"/>
      <w:kern w:val="2"/>
      <w:sz w:val="28"/>
      <w:szCs w:val="28"/>
      <w:lang w:val="en-US" w:eastAsia="zh-CN" w:bidi="ar-SA"/>
    </w:rPr>
  </w:style>
  <w:style w:type="character" w:customStyle="1" w:styleId="3Char4">
    <w:name w:val="标题样式3 Char"/>
    <w:rPr>
      <w:rFonts w:ascii="黑体" w:eastAsia="黑体" w:cs="黑体"/>
      <w:bCs/>
      <w:color w:val="000000"/>
      <w:kern w:val="2"/>
      <w:sz w:val="24"/>
      <w:szCs w:val="24"/>
      <w:lang w:val="zh-CN" w:eastAsia="zh-CN" w:bidi="ar-SA"/>
    </w:rPr>
  </w:style>
  <w:style w:type="character" w:customStyle="1" w:styleId="1CharChar2">
    <w:name w:val="题1 Char Char"/>
    <w:link w:val="1f4"/>
    <w:rPr>
      <w:rFonts w:eastAsia="仿宋_GB2312"/>
      <w:b/>
      <w:bCs/>
      <w:kern w:val="44"/>
      <w:sz w:val="32"/>
      <w:szCs w:val="32"/>
    </w:rPr>
  </w:style>
  <w:style w:type="paragraph" w:customStyle="1" w:styleId="1f4">
    <w:name w:val="题1"/>
    <w:basedOn w:val="12"/>
    <w:link w:val="1CharChar2"/>
    <w:qFormat/>
    <w:pPr>
      <w:tabs>
        <w:tab w:val="left" w:pos="1155"/>
      </w:tabs>
      <w:snapToGrid w:val="0"/>
      <w:spacing w:beforeLines="50" w:before="156" w:afterLines="50" w:after="156"/>
      <w:jc w:val="center"/>
      <w:textAlignment w:val="auto"/>
    </w:pPr>
    <w:rPr>
      <w:rFonts w:asciiTheme="minorHAnsi" w:eastAsia="仿宋_GB2312"/>
      <w:b/>
      <w:sz w:val="32"/>
      <w:szCs w:val="32"/>
    </w:rPr>
  </w:style>
  <w:style w:type="character" w:customStyle="1" w:styleId="CharChar121">
    <w:name w:val="Char Char121"/>
  </w:style>
  <w:style w:type="character" w:customStyle="1" w:styleId="Char19">
    <w:name w:val="批注文字 Char1"/>
    <w:locked/>
    <w:rPr>
      <w:kern w:val="2"/>
      <w:sz w:val="24"/>
    </w:rPr>
  </w:style>
  <w:style w:type="character" w:customStyle="1" w:styleId="3f">
    <w:name w:val="页码3"/>
  </w:style>
  <w:style w:type="character" w:customStyle="1" w:styleId="Char28">
    <w:name w:val="文档结构图 Char2"/>
    <w:rPr>
      <w:rFonts w:ascii="宋体" w:eastAsia="宋体" w:hAnsi="Times New Roman" w:cs="Times New Roman"/>
      <w:sz w:val="18"/>
      <w:szCs w:val="18"/>
    </w:rPr>
  </w:style>
  <w:style w:type="character" w:customStyle="1" w:styleId="Char1a">
    <w:name w:val="副标题 Char1"/>
    <w:rPr>
      <w:rFonts w:ascii="Cambria" w:hAnsi="Cambria" w:cs="Times New Roman"/>
      <w:b/>
      <w:bCs/>
      <w:kern w:val="28"/>
      <w:sz w:val="32"/>
      <w:szCs w:val="32"/>
    </w:rPr>
  </w:style>
  <w:style w:type="character" w:customStyle="1" w:styleId="Char1b">
    <w:name w:val="日期 Char1"/>
    <w:locked/>
    <w:rPr>
      <w:kern w:val="2"/>
      <w:sz w:val="24"/>
    </w:rPr>
  </w:style>
  <w:style w:type="character" w:customStyle="1" w:styleId="142Char">
    <w:name w:val="样式 样式 宋体 小四 行距: 多倍行距 1.4 字行2 + 黑色 Char"/>
    <w:qFormat/>
    <w:rPr>
      <w:rFonts w:ascii="宋体" w:eastAsia="宋体" w:hAnsi="宋体" w:cs="宋体"/>
      <w:color w:val="000000"/>
      <w:kern w:val="2"/>
      <w:sz w:val="24"/>
      <w:lang w:val="en-US" w:eastAsia="zh-CN" w:bidi="ar-SA"/>
    </w:rPr>
  </w:style>
  <w:style w:type="character" w:customStyle="1" w:styleId="px14">
    <w:name w:val="px14"/>
    <w:qFormat/>
    <w:rPr>
      <w:rFonts w:eastAsia="宋体"/>
      <w:kern w:val="2"/>
      <w:sz w:val="28"/>
      <w:szCs w:val="28"/>
      <w:lang w:val="en-US" w:eastAsia="zh-CN" w:bidi="ar-SA"/>
    </w:rPr>
  </w:style>
  <w:style w:type="character" w:customStyle="1" w:styleId="101TimesNewRomanChar">
    <w:name w:val="样式 样式 首行缩进:  1.01 厘米 + Times New Roman Char"/>
    <w:link w:val="101TimesNewRoman"/>
    <w:rPr>
      <w:color w:val="000000"/>
      <w:sz w:val="24"/>
      <w:szCs w:val="24"/>
    </w:rPr>
  </w:style>
  <w:style w:type="paragraph" w:customStyle="1" w:styleId="101TimesNewRoman">
    <w:name w:val="样式 样式 首行缩进:  1.01 厘米 + Times New Roman"/>
    <w:basedOn w:val="101"/>
    <w:link w:val="101TimesNewRomanChar"/>
    <w:qFormat/>
    <w:pPr>
      <w:spacing w:line="240" w:lineRule="auto"/>
      <w:ind w:firstLineChars="0" w:firstLine="0"/>
    </w:pPr>
    <w:rPr>
      <w:rFonts w:asciiTheme="minorHAnsi" w:eastAsiaTheme="minorEastAsia" w:hAnsiTheme="minorHAnsi"/>
      <w:sz w:val="24"/>
      <w:szCs w:val="24"/>
    </w:rPr>
  </w:style>
  <w:style w:type="character" w:customStyle="1" w:styleId="Charffa">
    <w:name w:val="正文(首行缩进) Char"/>
    <w:qFormat/>
    <w:rPr>
      <w:rFonts w:ascii="宋体" w:hAnsi="宋体"/>
      <w:color w:val="000000"/>
      <w:kern w:val="2"/>
      <w:sz w:val="21"/>
    </w:rPr>
  </w:style>
  <w:style w:type="character" w:customStyle="1" w:styleId="CharChar152">
    <w:name w:val="Char Char152"/>
    <w:qFormat/>
    <w:rPr>
      <w:rFonts w:ascii="Times New Roman" w:eastAsia="宋体" w:hAnsi="Times New Roman" w:cs="Times New Roman"/>
      <w:b/>
      <w:bCs/>
      <w:sz w:val="32"/>
      <w:szCs w:val="32"/>
    </w:rPr>
  </w:style>
  <w:style w:type="character" w:customStyle="1" w:styleId="CharChar174">
    <w:name w:val="Char Char174"/>
    <w:qFormat/>
    <w:rPr>
      <w:sz w:val="18"/>
      <w:szCs w:val="18"/>
    </w:rPr>
  </w:style>
  <w:style w:type="character" w:customStyle="1" w:styleId="5Char20">
    <w:name w:val="5文章(治) Char2"/>
    <w:qFormat/>
    <w:rPr>
      <w:rFonts w:eastAsia="宋体"/>
      <w:kern w:val="2"/>
      <w:sz w:val="24"/>
      <w:lang w:val="en-US" w:eastAsia="zh-CN" w:bidi="ar-SA"/>
    </w:rPr>
  </w:style>
  <w:style w:type="character" w:customStyle="1" w:styleId="CharCharf4">
    <w:name w:val="正文小四 Char Char"/>
    <w:rPr>
      <w:rFonts w:ascii="宋体" w:eastAsia="宋体" w:hAnsi="宋体" w:cs="宋体"/>
      <w:kern w:val="2"/>
      <w:sz w:val="24"/>
      <w:szCs w:val="24"/>
      <w:lang w:val="en-US" w:eastAsia="zh-CN" w:bidi="ar-SA"/>
    </w:rPr>
  </w:style>
  <w:style w:type="character" w:customStyle="1" w:styleId="CharChar213">
    <w:name w:val="Char Char213"/>
    <w:rPr>
      <w:rFonts w:eastAsia="宋体"/>
      <w:kern w:val="24"/>
      <w:sz w:val="24"/>
      <w:szCs w:val="18"/>
      <w:lang w:val="en-US" w:eastAsia="zh-CN" w:bidi="ar-SA"/>
    </w:rPr>
  </w:style>
  <w:style w:type="character" w:customStyle="1" w:styleId="keyword">
    <w:name w:val="keyword"/>
    <w:basedOn w:val="a4"/>
  </w:style>
  <w:style w:type="character" w:customStyle="1" w:styleId="Char32">
    <w:name w:val="正文缩进 Char3"/>
    <w:rPr>
      <w:rFonts w:eastAsia="宋体"/>
      <w:kern w:val="2"/>
      <w:sz w:val="21"/>
      <w:szCs w:val="24"/>
      <w:lang w:val="en-US" w:eastAsia="zh-CN" w:bidi="ar-SA"/>
    </w:rPr>
  </w:style>
  <w:style w:type="character" w:customStyle="1" w:styleId="CharCharf5">
    <w:name w:val="图表名称 Char Char"/>
    <w:rPr>
      <w:rFonts w:ascii="宋体" w:eastAsia="宋体" w:hAnsi="宋体"/>
      <w:b/>
      <w:bCs/>
      <w:snapToGrid w:val="0"/>
      <w:sz w:val="24"/>
      <w:szCs w:val="24"/>
      <w:lang w:val="en-US" w:eastAsia="zh-CN" w:bidi="ar-SA"/>
    </w:rPr>
  </w:style>
  <w:style w:type="character" w:customStyle="1" w:styleId="Charffb">
    <w:name w:val="表格内文字 Char"/>
    <w:rPr>
      <w:rFonts w:ascii="仿宋_GB2312" w:eastAsia="仿宋_GB2312" w:hAnsi="宋体"/>
      <w:kern w:val="2"/>
      <w:sz w:val="21"/>
      <w:szCs w:val="24"/>
      <w:lang w:val="en-US" w:eastAsia="zh-CN" w:bidi="ar-SA"/>
    </w:rPr>
  </w:style>
  <w:style w:type="character" w:customStyle="1" w:styleId="Charffc">
    <w:name w:val="表 Char"/>
    <w:link w:val="afffff5"/>
    <w:rPr>
      <w:rFonts w:ascii="宋体" w:eastAsia="黑体" w:hAnsi="宋体"/>
      <w:b/>
      <w:sz w:val="24"/>
    </w:rPr>
  </w:style>
  <w:style w:type="paragraph" w:customStyle="1" w:styleId="afffff5">
    <w:name w:val="表"/>
    <w:basedOn w:val="a2"/>
    <w:link w:val="Charffc"/>
    <w:qFormat/>
    <w:pPr>
      <w:keepLines/>
      <w:widowControl/>
      <w:tabs>
        <w:tab w:val="left" w:pos="1123"/>
      </w:tabs>
      <w:spacing w:beforeLines="50" w:before="156" w:line="400" w:lineRule="exact"/>
      <w:ind w:firstLine="403"/>
      <w:jc w:val="center"/>
    </w:pPr>
    <w:rPr>
      <w:rFonts w:ascii="宋体" w:eastAsia="黑体" w:hAnsi="宋体"/>
      <w:b/>
      <w:sz w:val="24"/>
      <w:szCs w:val="22"/>
    </w:rPr>
  </w:style>
  <w:style w:type="character" w:customStyle="1" w:styleId="z-Char20">
    <w:name w:val="z-窗体顶端 Char2"/>
    <w:uiPriority w:val="99"/>
    <w:semiHidden/>
    <w:rPr>
      <w:rFonts w:ascii="Arial" w:hAnsi="Arial" w:cs="Arial"/>
      <w:vanish/>
      <w:kern w:val="2"/>
      <w:sz w:val="16"/>
      <w:szCs w:val="16"/>
    </w:rPr>
  </w:style>
  <w:style w:type="character" w:customStyle="1" w:styleId="CharCharf6">
    <w:name w:val="正文标准样式 Char Char"/>
    <w:link w:val="afffff6"/>
    <w:rPr>
      <w:sz w:val="24"/>
    </w:rPr>
  </w:style>
  <w:style w:type="paragraph" w:customStyle="1" w:styleId="afffff6">
    <w:name w:val="正文标准样式"/>
    <w:basedOn w:val="a2"/>
    <w:link w:val="CharCharf6"/>
    <w:qFormat/>
    <w:pPr>
      <w:spacing w:line="300" w:lineRule="auto"/>
      <w:ind w:firstLine="482"/>
      <w:jc w:val="both"/>
      <w:textAlignment w:val="baseline"/>
    </w:pPr>
    <w:rPr>
      <w:sz w:val="24"/>
      <w:szCs w:val="22"/>
    </w:rPr>
  </w:style>
  <w:style w:type="character" w:customStyle="1" w:styleId="1Char8">
    <w:name w:val="标题1 Char"/>
    <w:rPr>
      <w:rFonts w:eastAsia="宋体" w:cs="Times New Roman"/>
      <w:b/>
      <w:bCs/>
      <w:kern w:val="44"/>
      <w:sz w:val="44"/>
      <w:szCs w:val="44"/>
      <w:lang w:val="en-US" w:eastAsia="zh-CN"/>
    </w:rPr>
  </w:style>
  <w:style w:type="character" w:customStyle="1" w:styleId="Charffd">
    <w:name w:val="表、图名 Char"/>
    <w:rPr>
      <w:rFonts w:ascii="黑体" w:eastAsia="黑体"/>
      <w:sz w:val="24"/>
      <w:lang w:val="en-US" w:eastAsia="zh-CN" w:bidi="ar-SA"/>
    </w:rPr>
  </w:style>
  <w:style w:type="character" w:customStyle="1" w:styleId="BCharChar1">
    <w:name w:val="B Char Char1"/>
    <w:rPr>
      <w:rFonts w:eastAsia="宋体"/>
      <w:b/>
      <w:bCs/>
      <w:kern w:val="44"/>
      <w:sz w:val="24"/>
      <w:szCs w:val="24"/>
      <w:lang w:val="en-US" w:eastAsia="zh-CN" w:bidi="ar-SA"/>
    </w:rPr>
  </w:style>
  <w:style w:type="character" w:customStyle="1" w:styleId="Char1c">
    <w:name w:val="电子邮件签名 Char1"/>
    <w:locked/>
    <w:rPr>
      <w:kern w:val="2"/>
      <w:sz w:val="21"/>
    </w:rPr>
  </w:style>
  <w:style w:type="character" w:customStyle="1" w:styleId="contentsize131">
    <w:name w:val="content_size_131"/>
    <w:rPr>
      <w:sz w:val="20"/>
    </w:rPr>
  </w:style>
  <w:style w:type="character" w:customStyle="1" w:styleId="textchinese1">
    <w:name w:val="text_chinese1"/>
    <w:rPr>
      <w:rFonts w:ascii="??" w:hAnsi="??" w:hint="default"/>
      <w:sz w:val="18"/>
      <w:szCs w:val="18"/>
      <w:u w:val="none"/>
    </w:rPr>
  </w:style>
  <w:style w:type="character" w:customStyle="1" w:styleId="javascript1">
    <w:name w:val="javascript1"/>
    <w:rPr>
      <w:rFonts w:ascii="Tahoma" w:hAnsi="Tahoma" w:hint="default"/>
      <w:sz w:val="14"/>
    </w:rPr>
  </w:style>
  <w:style w:type="character" w:customStyle="1" w:styleId="CharCharCharCharChar">
    <w:name w:val="日期 Char Char Char Char Char"/>
    <w:rPr>
      <w:rFonts w:ascii="Times New Roman" w:hAnsi="Times New Roman"/>
      <w:sz w:val="24"/>
    </w:rPr>
  </w:style>
  <w:style w:type="character" w:customStyle="1" w:styleId="Charffe">
    <w:name w:val="Char"/>
    <w:rPr>
      <w:rFonts w:eastAsia="仿宋_GB2312"/>
      <w:b/>
      <w:kern w:val="44"/>
      <w:sz w:val="32"/>
      <w:szCs w:val="44"/>
      <w:lang w:val="en-US" w:eastAsia="zh-CN" w:bidi="ar-SA"/>
    </w:rPr>
  </w:style>
  <w:style w:type="character" w:customStyle="1" w:styleId="1Char9">
    <w:name w:val="表题1 Char"/>
    <w:qFormat/>
    <w:rPr>
      <w:rFonts w:ascii="黑体" w:eastAsia="黑体" w:hAnsi="宋体"/>
      <w:color w:val="000000"/>
      <w:kern w:val="2"/>
      <w:sz w:val="24"/>
      <w:szCs w:val="24"/>
      <w:lang w:val="en-US" w:eastAsia="zh-CN" w:bidi="ar-SA"/>
    </w:rPr>
  </w:style>
  <w:style w:type="character" w:customStyle="1" w:styleId="CharCharf7">
    <w:name w:val="文档结构图 Char Char"/>
    <w:link w:val="1f5"/>
    <w:qFormat/>
    <w:rPr>
      <w:rFonts w:ascii="宋体"/>
      <w:sz w:val="18"/>
      <w:szCs w:val="18"/>
    </w:rPr>
  </w:style>
  <w:style w:type="paragraph" w:customStyle="1" w:styleId="1f5">
    <w:name w:val="文档结构图1"/>
    <w:basedOn w:val="a2"/>
    <w:link w:val="CharCharf7"/>
    <w:qFormat/>
    <w:pPr>
      <w:spacing w:line="360" w:lineRule="auto"/>
      <w:jc w:val="both"/>
    </w:pPr>
    <w:rPr>
      <w:rFonts w:ascii="宋体"/>
      <w:sz w:val="18"/>
      <w:szCs w:val="18"/>
    </w:rPr>
  </w:style>
  <w:style w:type="character" w:customStyle="1" w:styleId="ljx1Char">
    <w:name w:val="ljx正文1 Char"/>
    <w:qFormat/>
    <w:rPr>
      <w:rFonts w:ascii="Times New Roman" w:eastAsia="宋体" w:hAnsi="Times New Roman" w:cs="Times New Roman"/>
      <w:sz w:val="28"/>
      <w:szCs w:val="20"/>
    </w:rPr>
  </w:style>
  <w:style w:type="character" w:customStyle="1" w:styleId="CharChar124">
    <w:name w:val="Char Char124"/>
    <w:basedOn w:val="a4"/>
  </w:style>
  <w:style w:type="character" w:customStyle="1" w:styleId="8ArialUnicodeMS">
    <w:name w:val="表格标题 (8) + Arial Unicode MS"/>
    <w:rPr>
      <w:rFonts w:ascii="Arial Unicode MS" w:eastAsia="Arial Unicode MS" w:cs="Arial Unicode MS"/>
      <w:sz w:val="27"/>
      <w:szCs w:val="27"/>
      <w:u w:val="none"/>
      <w:lang w:val="en-US" w:eastAsia="en-US"/>
    </w:rPr>
  </w:style>
  <w:style w:type="character" w:customStyle="1" w:styleId="text01">
    <w:name w:val="text01"/>
  </w:style>
  <w:style w:type="character" w:customStyle="1" w:styleId="fontsz">
    <w:name w:val="fontsz"/>
  </w:style>
  <w:style w:type="character" w:customStyle="1" w:styleId="font31">
    <w:name w:val="font31"/>
    <w:rPr>
      <w:color w:val="660099"/>
      <w:sz w:val="18"/>
      <w:szCs w:val="18"/>
    </w:rPr>
  </w:style>
  <w:style w:type="character" w:customStyle="1" w:styleId="b21">
    <w:name w:val="b21"/>
    <w:rPr>
      <w:rFonts w:hint="default"/>
      <w:color w:val="000000"/>
      <w:sz w:val="20"/>
      <w:szCs w:val="20"/>
    </w:rPr>
  </w:style>
  <w:style w:type="character" w:customStyle="1" w:styleId="TimesNewRomanChar">
    <w:name w:val="样式 三级标题 + Times New Roman 自动设置 Char"/>
    <w:rPr>
      <w:rFonts w:ascii="Times New Roman" w:eastAsia="仿宋_GB2312" w:hAnsi="Times New Roman"/>
      <w:b/>
      <w:bCs/>
      <w:spacing w:val="1"/>
      <w:sz w:val="28"/>
    </w:rPr>
  </w:style>
  <w:style w:type="character" w:customStyle="1" w:styleId="Char1d">
    <w:name w:val="结束语 Char1"/>
    <w:locked/>
    <w:rPr>
      <w:rFonts w:eastAsia="楷体_GB2312"/>
      <w:kern w:val="2"/>
      <w:sz w:val="32"/>
    </w:rPr>
  </w:style>
  <w:style w:type="character" w:customStyle="1" w:styleId="wangCharChar">
    <w:name w:val="正文wang Char Char"/>
    <w:link w:val="wang"/>
    <w:rPr>
      <w:sz w:val="24"/>
      <w:szCs w:val="24"/>
    </w:rPr>
  </w:style>
  <w:style w:type="paragraph" w:customStyle="1" w:styleId="wang">
    <w:name w:val="正文wang"/>
    <w:basedOn w:val="a2"/>
    <w:link w:val="wangCharChar"/>
    <w:qFormat/>
    <w:pPr>
      <w:spacing w:line="360" w:lineRule="auto"/>
      <w:ind w:firstLineChars="200" w:firstLine="480"/>
      <w:jc w:val="both"/>
    </w:pPr>
    <w:rPr>
      <w:sz w:val="24"/>
      <w:szCs w:val="24"/>
    </w:rPr>
  </w:style>
  <w:style w:type="character" w:customStyle="1" w:styleId="Char1e">
    <w:name w:val="新正文 Char1"/>
    <w:rPr>
      <w:rFonts w:ascii="仿宋_GB2312" w:eastAsia="仿宋_GB2312"/>
      <w:bCs/>
      <w:sz w:val="28"/>
      <w:lang w:val="en-US" w:eastAsia="zh-CN" w:bidi="ar-SA"/>
    </w:rPr>
  </w:style>
  <w:style w:type="character" w:customStyle="1" w:styleId="CharChar30">
    <w:name w:val="Char Char3"/>
    <w:rPr>
      <w:rFonts w:ascii="Arial" w:eastAsia="黑体" w:hAnsi="Arial"/>
      <w:b/>
      <w:bCs/>
      <w:kern w:val="2"/>
      <w:sz w:val="32"/>
      <w:szCs w:val="32"/>
      <w:lang w:val="en-US" w:eastAsia="zh-CN" w:bidi="ar-SA"/>
    </w:rPr>
  </w:style>
  <w:style w:type="character" w:customStyle="1" w:styleId="2Char7">
    <w:name w:val="公式 首行缩进:  2 字符 Char"/>
    <w:rPr>
      <w:rFonts w:eastAsia="宋体" w:cs="宋体"/>
      <w:kern w:val="2"/>
      <w:sz w:val="24"/>
      <w:szCs w:val="24"/>
      <w:lang w:val="en-US" w:eastAsia="zh-CN" w:bidi="ar-SA"/>
    </w:rPr>
  </w:style>
  <w:style w:type="character" w:customStyle="1" w:styleId="Charfb">
    <w:name w:val="报告书表格 Char"/>
    <w:link w:val="afffd"/>
    <w:rPr>
      <w:rFonts w:eastAsia="仿宋_GB2312"/>
      <w:sz w:val="24"/>
    </w:rPr>
  </w:style>
  <w:style w:type="character" w:customStyle="1" w:styleId="CharChar38">
    <w:name w:val="Char Char38"/>
    <w:rPr>
      <w:rFonts w:ascii="Arial" w:eastAsia="黑体" w:hAnsi="Arial"/>
      <w:b/>
      <w:bCs/>
      <w:kern w:val="2"/>
      <w:sz w:val="32"/>
      <w:szCs w:val="32"/>
      <w:lang w:val="en-US" w:eastAsia="zh-CN" w:bidi="ar-SA"/>
    </w:rPr>
  </w:style>
  <w:style w:type="character" w:customStyle="1" w:styleId="Char33">
    <w:name w:val="信息标题 Char3"/>
    <w:uiPriority w:val="99"/>
    <w:semiHidden/>
    <w:rPr>
      <w:rFonts w:ascii="Cambria" w:eastAsia="宋体" w:hAnsi="Cambria" w:cs="Times New Roman"/>
      <w:sz w:val="24"/>
      <w:szCs w:val="24"/>
      <w:shd w:val="pct20" w:color="auto" w:fill="auto"/>
    </w:rPr>
  </w:style>
  <w:style w:type="character" w:customStyle="1" w:styleId="changChar">
    <w:name w:val="chang正文 Char"/>
    <w:rPr>
      <w:rFonts w:eastAsia="宋体" w:cs="宋体"/>
      <w:kern w:val="2"/>
      <w:sz w:val="24"/>
      <w:szCs w:val="24"/>
      <w:lang w:val="en-US" w:eastAsia="zh-CN" w:bidi="ar-SA"/>
    </w:rPr>
  </w:style>
  <w:style w:type="character" w:customStyle="1" w:styleId="ACharChar">
    <w:name w:val="A Char Char"/>
    <w:link w:val="Afffff7"/>
    <w:rPr>
      <w:b/>
      <w:bCs/>
      <w:kern w:val="44"/>
      <w:sz w:val="24"/>
      <w:szCs w:val="24"/>
    </w:rPr>
  </w:style>
  <w:style w:type="paragraph" w:customStyle="1" w:styleId="Afffff7">
    <w:name w:val="A"/>
    <w:basedOn w:val="12"/>
    <w:next w:val="B"/>
    <w:link w:val="ACharChar"/>
    <w:qFormat/>
    <w:pPr>
      <w:spacing w:beforeLines="50" w:before="50"/>
      <w:textAlignment w:val="auto"/>
    </w:pPr>
    <w:rPr>
      <w:rFonts w:asciiTheme="minorHAnsi" w:eastAsiaTheme="minorEastAsia"/>
      <w:b/>
      <w:sz w:val="24"/>
      <w:szCs w:val="24"/>
    </w:rPr>
  </w:style>
  <w:style w:type="character" w:customStyle="1" w:styleId="textsy">
    <w:name w:val="textsy"/>
  </w:style>
  <w:style w:type="character" w:customStyle="1" w:styleId="style61">
    <w:name w:val="style61"/>
    <w:rPr>
      <w:sz w:val="21"/>
      <w:szCs w:val="21"/>
    </w:rPr>
  </w:style>
  <w:style w:type="character" w:customStyle="1" w:styleId="CharChar123">
    <w:name w:val="Char Char123"/>
  </w:style>
  <w:style w:type="character" w:customStyle="1" w:styleId="p31">
    <w:name w:val="p31"/>
    <w:rPr>
      <w:rFonts w:ascii="文鼎粗行楷简" w:eastAsia="文鼎粗行楷简" w:hint="eastAsia"/>
      <w:color w:val="FF0000"/>
      <w:kern w:val="2"/>
      <w:sz w:val="26"/>
      <w:szCs w:val="26"/>
      <w:lang w:val="en-US" w:eastAsia="zh-CN" w:bidi="ar-SA"/>
    </w:rPr>
  </w:style>
  <w:style w:type="character" w:customStyle="1" w:styleId="Charfff">
    <w:name w:val="文字段 Char"/>
    <w:link w:val="afffff8"/>
    <w:qFormat/>
    <w:rPr>
      <w:rFonts w:ascii="宋体"/>
      <w:sz w:val="24"/>
      <w:szCs w:val="24"/>
      <w:lang w:val="zh-CN"/>
    </w:rPr>
  </w:style>
  <w:style w:type="paragraph" w:customStyle="1" w:styleId="afffff8">
    <w:name w:val="文字段"/>
    <w:basedOn w:val="a2"/>
    <w:link w:val="Charfff"/>
    <w:qFormat/>
    <w:pPr>
      <w:spacing w:line="460" w:lineRule="exact"/>
      <w:ind w:firstLineChars="200" w:firstLine="480"/>
      <w:jc w:val="both"/>
    </w:pPr>
    <w:rPr>
      <w:rFonts w:ascii="宋体"/>
      <w:sz w:val="24"/>
      <w:szCs w:val="24"/>
      <w:lang w:val="zh-CN"/>
    </w:rPr>
  </w:style>
  <w:style w:type="character" w:customStyle="1" w:styleId="CharCharCharCharChar0">
    <w:name w:val="表后段落 Char Char Char Char Char"/>
    <w:link w:val="CharCharChar0"/>
    <w:rPr>
      <w:rFonts w:eastAsia="楷体_GB2312"/>
      <w:sz w:val="28"/>
      <w:szCs w:val="28"/>
    </w:rPr>
  </w:style>
  <w:style w:type="paragraph" w:customStyle="1" w:styleId="CharCharChar0">
    <w:name w:val="表后段落 Char Char Char"/>
    <w:basedOn w:val="a2"/>
    <w:link w:val="CharCharCharCharChar0"/>
    <w:qFormat/>
    <w:pPr>
      <w:spacing w:beforeLines="75" w:line="360" w:lineRule="auto"/>
      <w:ind w:firstLineChars="200" w:firstLine="200"/>
      <w:jc w:val="both"/>
    </w:pPr>
    <w:rPr>
      <w:szCs w:val="28"/>
    </w:rPr>
  </w:style>
  <w:style w:type="character" w:customStyle="1" w:styleId="text">
    <w:name w:val="text"/>
    <w:rPr>
      <w:rFonts w:cs="Times New Roman"/>
    </w:rPr>
  </w:style>
  <w:style w:type="character" w:customStyle="1" w:styleId="Charfff0">
    <w:name w:val="表格标题新 Char"/>
    <w:link w:val="afffff9"/>
    <w:rPr>
      <w:rFonts w:ascii="仿宋_GB2312" w:eastAsia="黑体"/>
      <w:b/>
      <w:spacing w:val="4"/>
      <w:sz w:val="24"/>
      <w:szCs w:val="24"/>
    </w:rPr>
  </w:style>
  <w:style w:type="paragraph" w:customStyle="1" w:styleId="afffff9">
    <w:name w:val="表格标题新"/>
    <w:basedOn w:val="afffffa"/>
    <w:link w:val="Charfff0"/>
    <w:qFormat/>
    <w:pPr>
      <w:tabs>
        <w:tab w:val="left" w:pos="0"/>
      </w:tabs>
      <w:snapToGrid w:val="0"/>
      <w:spacing w:beforeLines="50" w:before="100" w:line="240" w:lineRule="auto"/>
      <w:ind w:firstLine="562"/>
    </w:pPr>
    <w:rPr>
      <w:rFonts w:eastAsia="黑体" w:hAnsiTheme="minorHAnsi"/>
      <w:b/>
      <w:spacing w:val="4"/>
      <w:sz w:val="24"/>
    </w:rPr>
  </w:style>
  <w:style w:type="paragraph" w:customStyle="1" w:styleId="afffffa">
    <w:name w:val="表格内文字"/>
    <w:basedOn w:val="a2"/>
    <w:link w:val="CharCharf8"/>
    <w:qFormat/>
    <w:pPr>
      <w:spacing w:line="360" w:lineRule="auto"/>
      <w:jc w:val="center"/>
    </w:pPr>
    <w:rPr>
      <w:rFonts w:ascii="仿宋_GB2312" w:eastAsia="仿宋_GB2312" w:hAnsi="宋体"/>
      <w:szCs w:val="24"/>
    </w:rPr>
  </w:style>
  <w:style w:type="character" w:customStyle="1" w:styleId="CharChar18">
    <w:name w:val="Char Char18"/>
    <w:rPr>
      <w:rFonts w:ascii="Arial" w:eastAsia="黑体" w:hAnsi="Arial"/>
      <w:sz w:val="24"/>
      <w:lang w:val="en-US" w:eastAsia="zh-CN" w:bidi="ar-SA"/>
    </w:rPr>
  </w:style>
  <w:style w:type="character" w:customStyle="1" w:styleId="CharCharf9">
    <w:name w:val="表格表格 Char Char"/>
    <w:link w:val="afffffb"/>
    <w:rPr>
      <w:rFonts w:cs="宋体"/>
      <w:color w:val="000000"/>
      <w:szCs w:val="21"/>
    </w:rPr>
  </w:style>
  <w:style w:type="paragraph" w:customStyle="1" w:styleId="afffffb">
    <w:name w:val="表格表格"/>
    <w:basedOn w:val="a2"/>
    <w:link w:val="CharCharf9"/>
    <w:qFormat/>
    <w:rPr>
      <w:rFonts w:cs="宋体"/>
      <w:color w:val="000000"/>
    </w:rPr>
  </w:style>
  <w:style w:type="character" w:customStyle="1" w:styleId="CharChar11">
    <w:name w:val="Char Char11"/>
    <w:rPr>
      <w:rFonts w:ascii="仿宋_GB2312" w:eastAsia="仿宋_GB2312" w:hAnsi="Times New Roman" w:cs="Times New Roman"/>
      <w:sz w:val="28"/>
      <w:szCs w:val="52"/>
    </w:rPr>
  </w:style>
  <w:style w:type="character" w:customStyle="1" w:styleId="hhcwtCharChar0">
    <w:name w:val="hhcwt表格文字 Char Char"/>
    <w:link w:val="hhcwt0"/>
    <w:rPr>
      <w:rFonts w:eastAsia="仿宋_GB2312" w:cs="宋体"/>
    </w:rPr>
  </w:style>
  <w:style w:type="paragraph" w:customStyle="1" w:styleId="hhcwt0">
    <w:name w:val="hhcwt表格文字"/>
    <w:basedOn w:val="a2"/>
    <w:link w:val="hhcwtCharChar0"/>
    <w:qFormat/>
    <w:pPr>
      <w:jc w:val="center"/>
    </w:pPr>
    <w:rPr>
      <w:rFonts w:eastAsia="仿宋_GB2312" w:cs="宋体"/>
      <w:szCs w:val="22"/>
    </w:rPr>
  </w:style>
  <w:style w:type="character" w:customStyle="1" w:styleId="paragragh1">
    <w:name w:val="paragragh1"/>
    <w:rPr>
      <w:color w:val="004040"/>
      <w:sz w:val="21"/>
    </w:rPr>
  </w:style>
  <w:style w:type="character" w:customStyle="1" w:styleId="Char29">
    <w:name w:val="批注文字 Char2"/>
    <w:rPr>
      <w:rFonts w:ascii="Times New Roman" w:eastAsia="宋体" w:hAnsi="Times New Roman" w:cs="Times New Roman"/>
      <w:szCs w:val="24"/>
    </w:rPr>
  </w:style>
  <w:style w:type="character" w:customStyle="1" w:styleId="903032CharChar">
    <w:name w:val="样式 样式 样式9 + 段前: 0.3 行 段后: 0.3 行 + 首行缩进:  2 字符 Char Char"/>
    <w:link w:val="903032"/>
    <w:rPr>
      <w:rFonts w:ascii="Swis721 BT" w:eastAsia="黑体" w:hAnsi="Swis721 BT"/>
      <w:sz w:val="28"/>
    </w:rPr>
  </w:style>
  <w:style w:type="paragraph" w:customStyle="1" w:styleId="903032">
    <w:name w:val="样式 样式 样式9 + 段前: 0.3 行 段后: 0.3 行 + 首行缩进:  2 字符"/>
    <w:basedOn w:val="a2"/>
    <w:link w:val="903032CharChar"/>
    <w:qFormat/>
    <w:pPr>
      <w:keepNext/>
      <w:keepLines/>
      <w:snapToGrid w:val="0"/>
      <w:spacing w:beforeLines="30" w:before="93" w:afterLines="30" w:after="93" w:line="353" w:lineRule="auto"/>
      <w:outlineLvl w:val="2"/>
    </w:pPr>
    <w:rPr>
      <w:rFonts w:ascii="Swis721 BT" w:eastAsia="黑体" w:hAnsi="Swis721 BT"/>
      <w:szCs w:val="22"/>
    </w:rPr>
  </w:style>
  <w:style w:type="character" w:customStyle="1" w:styleId="Char1f">
    <w:name w:val="表 Char1"/>
    <w:rPr>
      <w:rFonts w:eastAsia="宋体"/>
      <w:spacing w:val="2"/>
      <w:kern w:val="2"/>
      <w:sz w:val="24"/>
      <w:lang w:val="en-US" w:eastAsia="zh-CN" w:bidi="ar-SA"/>
    </w:rPr>
  </w:style>
  <w:style w:type="character" w:customStyle="1" w:styleId="CharGB2312Char">
    <w:name w:val="样式 样式 正文文本缩进特点标题正文文本缩进 Char + 黑色 + (西文) 楷体_GB2312 Char"/>
    <w:rPr>
      <w:rFonts w:ascii="楷体_GB2312" w:eastAsia="宋体" w:hAnsi="楷体_GB2312" w:cs="Times New Roman"/>
      <w:b/>
      <w:color w:val="000000"/>
      <w:kern w:val="0"/>
      <w:szCs w:val="21"/>
    </w:rPr>
  </w:style>
  <w:style w:type="character" w:customStyle="1" w:styleId="CharChar15">
    <w:name w:val="Char Char15"/>
    <w:rPr>
      <w:rFonts w:eastAsia="宋体"/>
      <w:kern w:val="2"/>
      <w:sz w:val="24"/>
      <w:lang w:val="en-US" w:eastAsia="zh-CN" w:bidi="ar-SA"/>
    </w:rPr>
  </w:style>
  <w:style w:type="character" w:customStyle="1" w:styleId="Charfff1">
    <w:name w:val="图 Char"/>
    <w:rPr>
      <w:rFonts w:ascii="宋体" w:eastAsia="宋体"/>
      <w:kern w:val="2"/>
      <w:sz w:val="24"/>
      <w:szCs w:val="24"/>
      <w:lang w:val="en-US" w:eastAsia="zh-CN" w:bidi="ar-SA"/>
    </w:rPr>
  </w:style>
  <w:style w:type="character" w:customStyle="1" w:styleId="aaCharCharCharChar">
    <w:name w:val="正文aa Char Char Char Char"/>
    <w:link w:val="aaCharCharChar"/>
    <w:rPr>
      <w:sz w:val="24"/>
      <w:szCs w:val="24"/>
    </w:rPr>
  </w:style>
  <w:style w:type="paragraph" w:customStyle="1" w:styleId="aaCharCharChar">
    <w:name w:val="正文aa Char Char Char"/>
    <w:basedOn w:val="a2"/>
    <w:link w:val="aaCharCharCharChar"/>
    <w:qFormat/>
    <w:pPr>
      <w:spacing w:line="360" w:lineRule="auto"/>
      <w:ind w:firstLineChars="200" w:firstLine="200"/>
      <w:jc w:val="both"/>
    </w:pPr>
    <w:rPr>
      <w:sz w:val="24"/>
      <w:szCs w:val="24"/>
    </w:rPr>
  </w:style>
  <w:style w:type="character" w:customStyle="1" w:styleId="Char34">
    <w:name w:val="称呼 Char3"/>
    <w:uiPriority w:val="99"/>
    <w:semiHidden/>
  </w:style>
  <w:style w:type="character" w:customStyle="1" w:styleId="2CharChar">
    <w:name w:val="样式 首行缩进:  2 字符 Char Char"/>
    <w:link w:val="2e"/>
    <w:rPr>
      <w:rFonts w:ascii="仿宋_GB2312" w:eastAsia="仿宋_GB2312" w:cs="宋体"/>
      <w:sz w:val="28"/>
    </w:rPr>
  </w:style>
  <w:style w:type="paragraph" w:customStyle="1" w:styleId="2e">
    <w:name w:val="样式 首行缩进:  2 字符"/>
    <w:basedOn w:val="a2"/>
    <w:link w:val="2CharChar"/>
    <w:qFormat/>
    <w:pPr>
      <w:snapToGrid w:val="0"/>
      <w:spacing w:line="300" w:lineRule="auto"/>
      <w:ind w:firstLineChars="200" w:firstLine="560"/>
    </w:pPr>
    <w:rPr>
      <w:rFonts w:ascii="仿宋_GB2312" w:eastAsia="仿宋_GB2312" w:cs="宋体"/>
      <w:szCs w:val="22"/>
    </w:rPr>
  </w:style>
  <w:style w:type="character" w:customStyle="1" w:styleId="CharCharfa">
    <w:name w:val="报告正文 Char Char"/>
    <w:link w:val="afffffc"/>
    <w:rPr>
      <w:bCs/>
      <w:sz w:val="24"/>
      <w:szCs w:val="24"/>
    </w:rPr>
  </w:style>
  <w:style w:type="paragraph" w:customStyle="1" w:styleId="afffffc">
    <w:name w:val="报告正文"/>
    <w:basedOn w:val="a2"/>
    <w:link w:val="CharCharfa"/>
    <w:qFormat/>
    <w:pPr>
      <w:spacing w:line="360" w:lineRule="auto"/>
      <w:ind w:firstLineChars="200" w:firstLine="480"/>
    </w:pPr>
    <w:rPr>
      <w:bCs/>
      <w:sz w:val="24"/>
      <w:szCs w:val="24"/>
    </w:rPr>
  </w:style>
  <w:style w:type="character" w:customStyle="1" w:styleId="EmailStyle271">
    <w:name w:val="EmailStyle271"/>
    <w:rPr>
      <w:rFonts w:ascii="Arial" w:eastAsia="宋体" w:hAnsi="Arial" w:cs="Arial"/>
      <w:color w:val="000080"/>
      <w:sz w:val="18"/>
      <w:szCs w:val="20"/>
    </w:rPr>
  </w:style>
  <w:style w:type="character" w:customStyle="1" w:styleId="CharCharfb">
    <w:name w:val="样式 居中 Char Char"/>
    <w:link w:val="afffffd"/>
    <w:rPr>
      <w:rFonts w:cs="宋体"/>
      <w:kern w:val="10"/>
      <w:sz w:val="24"/>
      <w:szCs w:val="24"/>
    </w:rPr>
  </w:style>
  <w:style w:type="paragraph" w:customStyle="1" w:styleId="afffffd">
    <w:name w:val="样式 居中"/>
    <w:basedOn w:val="a2"/>
    <w:link w:val="CharCharfb"/>
    <w:qFormat/>
    <w:pPr>
      <w:ind w:leftChars="38" w:left="179" w:hanging="88"/>
      <w:jc w:val="center"/>
    </w:pPr>
    <w:rPr>
      <w:rFonts w:cs="宋体"/>
      <w:kern w:val="10"/>
      <w:sz w:val="24"/>
      <w:szCs w:val="24"/>
    </w:rPr>
  </w:style>
  <w:style w:type="character" w:customStyle="1" w:styleId="TitleChar">
    <w:name w:val="Title Char"/>
    <w:locked/>
    <w:rPr>
      <w:rFonts w:ascii="Arial" w:eastAsia="宋体" w:hAnsi="Arial" w:cs="Arial"/>
      <w:b/>
      <w:bCs/>
      <w:kern w:val="2"/>
      <w:sz w:val="32"/>
      <w:szCs w:val="32"/>
      <w:lang w:val="en-US" w:eastAsia="zh-CN" w:bidi="ar-SA"/>
    </w:rPr>
  </w:style>
  <w:style w:type="character" w:customStyle="1" w:styleId="jjgk1">
    <w:name w:val="jjgk1"/>
    <w:qFormat/>
    <w:rPr>
      <w:color w:val="009900"/>
      <w:sz w:val="9"/>
    </w:rPr>
  </w:style>
  <w:style w:type="character" w:customStyle="1" w:styleId="CharCharCharCharCharChar0">
    <w:name w:val="正文文字 Char Char Char Char Char Char"/>
    <w:qFormat/>
    <w:rPr>
      <w:rFonts w:eastAsia="宋体"/>
      <w:snapToGrid w:val="0"/>
      <w:sz w:val="24"/>
      <w:szCs w:val="24"/>
      <w:lang w:val="en-US" w:eastAsia="zh-CN" w:bidi="ar-SA"/>
    </w:rPr>
  </w:style>
  <w:style w:type="character" w:customStyle="1" w:styleId="CharCharCharCharChar1">
    <w:name w:val="燕山正文 Char Char Char Char Char"/>
    <w:locked/>
    <w:rPr>
      <w:rFonts w:ascii="宋体" w:hAnsi="Times New Roman"/>
      <w:snapToGrid w:val="0"/>
      <w:sz w:val="24"/>
      <w:szCs w:val="24"/>
    </w:rPr>
  </w:style>
  <w:style w:type="character" w:customStyle="1" w:styleId="CharCharfc">
    <w:name w:val="样式 自动设置 Char Char"/>
    <w:link w:val="afffffe"/>
    <w:rPr>
      <w:rFonts w:cs="宋体"/>
      <w:sz w:val="24"/>
      <w:szCs w:val="24"/>
    </w:rPr>
  </w:style>
  <w:style w:type="paragraph" w:customStyle="1" w:styleId="afffffe">
    <w:name w:val="样式 自动设置"/>
    <w:basedOn w:val="a2"/>
    <w:link w:val="CharCharfc"/>
    <w:qFormat/>
    <w:pPr>
      <w:snapToGrid w:val="0"/>
      <w:spacing w:beforeLines="50" w:line="288" w:lineRule="auto"/>
      <w:ind w:firstLineChars="200" w:firstLine="200"/>
      <w:jc w:val="both"/>
    </w:pPr>
    <w:rPr>
      <w:rFonts w:cs="宋体"/>
      <w:sz w:val="24"/>
      <w:szCs w:val="24"/>
    </w:rPr>
  </w:style>
  <w:style w:type="character" w:customStyle="1" w:styleId="CharCharfd">
    <w:name w:val="样式表头 Char Char"/>
    <w:link w:val="affffff"/>
    <w:rPr>
      <w:rFonts w:eastAsia="楷体_GB2312" w:cs="宋体"/>
      <w:b/>
      <w:sz w:val="24"/>
    </w:rPr>
  </w:style>
  <w:style w:type="paragraph" w:customStyle="1" w:styleId="affffff">
    <w:name w:val="样式表头"/>
    <w:basedOn w:val="a2"/>
    <w:next w:val="a2"/>
    <w:link w:val="CharCharfd"/>
    <w:qFormat/>
    <w:pPr>
      <w:spacing w:after="120" w:line="500" w:lineRule="exact"/>
      <w:jc w:val="center"/>
    </w:pPr>
    <w:rPr>
      <w:rFonts w:cs="宋体"/>
      <w:b/>
      <w:sz w:val="24"/>
      <w:szCs w:val="22"/>
    </w:rPr>
  </w:style>
  <w:style w:type="character" w:customStyle="1" w:styleId="CharCharfe">
    <w:name w:val="我的正文 Char Char"/>
    <w:rPr>
      <w:rFonts w:eastAsia="宋体"/>
      <w:kern w:val="2"/>
      <w:sz w:val="28"/>
      <w:szCs w:val="24"/>
      <w:lang w:val="en-US" w:eastAsia="zh-CN" w:bidi="ar-SA"/>
    </w:rPr>
  </w:style>
  <w:style w:type="character" w:customStyle="1" w:styleId="CharChar24">
    <w:name w:val="Char Char24"/>
    <w:rPr>
      <w:rFonts w:ascii="Arial" w:eastAsia="黑体" w:hAnsi="Arial"/>
      <w:b/>
      <w:bCs/>
      <w:kern w:val="2"/>
      <w:sz w:val="28"/>
      <w:szCs w:val="28"/>
      <w:lang w:val="en-US" w:eastAsia="zh-CN" w:bidi="ar-SA"/>
    </w:rPr>
  </w:style>
  <w:style w:type="character" w:customStyle="1" w:styleId="CharCharff">
    <w:name w:val="样式正文 Char Char"/>
    <w:link w:val="affffff0"/>
    <w:rPr>
      <w:rFonts w:eastAsia="宋体" w:cs="宋体"/>
      <w:sz w:val="24"/>
      <w:szCs w:val="24"/>
    </w:rPr>
  </w:style>
  <w:style w:type="paragraph" w:customStyle="1" w:styleId="affffff0">
    <w:name w:val="样式正文"/>
    <w:basedOn w:val="a2"/>
    <w:link w:val="CharCharff"/>
    <w:qFormat/>
    <w:pPr>
      <w:spacing w:line="400" w:lineRule="exact"/>
      <w:ind w:firstLineChars="200" w:firstLine="200"/>
    </w:pPr>
    <w:rPr>
      <w:rFonts w:eastAsia="宋体" w:cs="宋体"/>
      <w:sz w:val="24"/>
      <w:szCs w:val="24"/>
    </w:rPr>
  </w:style>
  <w:style w:type="character" w:customStyle="1" w:styleId="CharCharff0">
    <w:name w:val="图 Char Char"/>
    <w:rPr>
      <w:rFonts w:ascii="宋体" w:eastAsia="宋体"/>
      <w:kern w:val="2"/>
      <w:sz w:val="24"/>
      <w:szCs w:val="24"/>
      <w:lang w:val="en-US" w:eastAsia="zh-CN" w:bidi="ar-SA"/>
    </w:rPr>
  </w:style>
  <w:style w:type="character" w:customStyle="1" w:styleId="Charfff2">
    <w:name w:val="表头小四 Char"/>
    <w:rPr>
      <w:rFonts w:ascii="宋体" w:hAnsi="宋体"/>
      <w:sz w:val="24"/>
      <w:szCs w:val="24"/>
    </w:rPr>
  </w:style>
  <w:style w:type="character" w:customStyle="1" w:styleId="style21">
    <w:name w:val="style21"/>
    <w:rPr>
      <w:sz w:val="18"/>
      <w:szCs w:val="18"/>
    </w:rPr>
  </w:style>
  <w:style w:type="character" w:customStyle="1" w:styleId="-1pt1">
    <w:name w:val="正文文本 + 间距 -1 pt1"/>
    <w:rPr>
      <w:rFonts w:ascii="Arial Unicode MS" w:eastAsia="Arial Unicode MS" w:cs="Arial Unicode MS"/>
      <w:spacing w:val="-30"/>
      <w:sz w:val="27"/>
      <w:szCs w:val="27"/>
      <w:u w:val="none"/>
    </w:rPr>
  </w:style>
  <w:style w:type="character" w:customStyle="1" w:styleId="HTML9">
    <w:name w:val="HTML 预设格式 字符"/>
    <w:uiPriority w:val="99"/>
    <w:semiHidden/>
    <w:rPr>
      <w:rFonts w:ascii="Courier New" w:hAnsi="Courier New" w:cs="Courier New"/>
      <w:kern w:val="2"/>
    </w:rPr>
  </w:style>
  <w:style w:type="character" w:customStyle="1" w:styleId="Char2a">
    <w:name w:val="结束语 Char2"/>
    <w:uiPriority w:val="99"/>
    <w:semiHidden/>
    <w:rPr>
      <w:kern w:val="2"/>
      <w:sz w:val="21"/>
      <w:szCs w:val="22"/>
    </w:rPr>
  </w:style>
  <w:style w:type="character" w:customStyle="1" w:styleId="pt14">
    <w:name w:val="pt14"/>
    <w:basedOn w:val="a4"/>
  </w:style>
  <w:style w:type="character" w:customStyle="1" w:styleId="Charfff3">
    <w:name w:val="表标题 Char"/>
    <w:link w:val="affffff1"/>
    <w:locked/>
    <w:rPr>
      <w:b/>
    </w:rPr>
  </w:style>
  <w:style w:type="paragraph" w:customStyle="1" w:styleId="affffff1">
    <w:name w:val="表标题"/>
    <w:basedOn w:val="aff7"/>
    <w:next w:val="a2"/>
    <w:link w:val="Charfff3"/>
    <w:qFormat/>
    <w:pPr>
      <w:spacing w:line="480" w:lineRule="atLeast"/>
      <w:textAlignment w:val="baseline"/>
    </w:pPr>
    <w:rPr>
      <w:rFonts w:hAnsiTheme="minorHAnsi" w:cstheme="minorBidi"/>
      <w:bCs w:val="0"/>
      <w:sz w:val="21"/>
      <w:szCs w:val="22"/>
    </w:rPr>
  </w:style>
  <w:style w:type="character" w:customStyle="1" w:styleId="aChar0">
    <w:name w:val="a) Char"/>
    <w:link w:val="affffff2"/>
    <w:rPr>
      <w:rFonts w:ascii="宋体"/>
      <w:sz w:val="24"/>
      <w:szCs w:val="24"/>
      <w:lang w:val="zh-CN"/>
    </w:rPr>
  </w:style>
  <w:style w:type="paragraph" w:customStyle="1" w:styleId="affffff2">
    <w:name w:val="a)"/>
    <w:basedOn w:val="afffff8"/>
    <w:link w:val="aChar0"/>
    <w:qFormat/>
    <w:pPr>
      <w:ind w:leftChars="228" w:left="959" w:hangingChars="200" w:hanging="480"/>
    </w:pPr>
  </w:style>
  <w:style w:type="character" w:customStyle="1" w:styleId="CharChar102">
    <w:name w:val="Char Char102"/>
    <w:rPr>
      <w:rFonts w:eastAsia="宋体"/>
      <w:kern w:val="2"/>
      <w:sz w:val="18"/>
      <w:szCs w:val="18"/>
      <w:lang w:val="en-US" w:eastAsia="zh-CN" w:bidi="ar-SA"/>
    </w:rPr>
  </w:style>
  <w:style w:type="character" w:customStyle="1" w:styleId="Charfff4">
    <w:name w:val="正文* Char"/>
    <w:rPr>
      <w:rFonts w:ascii="Times New Roman" w:hAnsi="宋体"/>
      <w:sz w:val="24"/>
      <w:szCs w:val="24"/>
    </w:rPr>
  </w:style>
  <w:style w:type="character" w:customStyle="1" w:styleId="2Char8">
    <w:name w:val="黄桥标题2 Char"/>
    <w:rPr>
      <w:rFonts w:eastAsia="宋体" w:cs="宋体"/>
      <w:b/>
      <w:sz w:val="28"/>
      <w:szCs w:val="28"/>
      <w:lang w:val="en-US" w:eastAsia="zh-CN" w:bidi="ar-SA"/>
    </w:rPr>
  </w:style>
  <w:style w:type="character" w:customStyle="1" w:styleId="252Char">
    <w:name w:val="样式 (西文) 宋体 四号 行距: 固定值 25 磅 首行缩进:  2 字符 Char"/>
    <w:rPr>
      <w:rFonts w:ascii="宋体" w:eastAsia="宋体" w:hAnsi="宋体" w:cs="宋体"/>
      <w:sz w:val="28"/>
      <w:szCs w:val="28"/>
      <w:lang w:val="en-US" w:eastAsia="zh-CN" w:bidi="ar-SA"/>
    </w:rPr>
  </w:style>
  <w:style w:type="character" w:customStyle="1" w:styleId="Charfff5">
    <w:name w:val="样式 表头 + 黑色 Char"/>
    <w:rPr>
      <w:rFonts w:ascii="Times New Roman" w:hAnsi="Times New Roman"/>
      <w:b/>
      <w:bCs/>
      <w:snapToGrid w:val="0"/>
      <w:color w:val="000000"/>
      <w:spacing w:val="-4"/>
      <w:sz w:val="24"/>
      <w:szCs w:val="24"/>
    </w:rPr>
  </w:style>
  <w:style w:type="character" w:customStyle="1" w:styleId="Heading3Char">
    <w:name w:val="Heading 3 Char"/>
    <w:locked/>
    <w:rPr>
      <w:rFonts w:ascii="宋体" w:eastAsia="宋体" w:hAnsi="Arial Black"/>
      <w:color w:val="000000"/>
      <w:kern w:val="44"/>
      <w:sz w:val="28"/>
      <w:szCs w:val="24"/>
      <w:lang w:val="en-US" w:eastAsia="zh-CN" w:bidi="ar-SA"/>
    </w:rPr>
  </w:style>
  <w:style w:type="character" w:customStyle="1" w:styleId="AChar1">
    <w:name w:val="正文A Char"/>
    <w:link w:val="Affffff3"/>
    <w:rPr>
      <w:snapToGrid w:val="0"/>
      <w:sz w:val="24"/>
    </w:rPr>
  </w:style>
  <w:style w:type="paragraph" w:customStyle="1" w:styleId="Affffff3">
    <w:name w:val="正文A"/>
    <w:link w:val="AChar1"/>
    <w:qFormat/>
    <w:pPr>
      <w:tabs>
        <w:tab w:val="left" w:pos="0"/>
      </w:tabs>
      <w:adjustRightInd w:val="0"/>
      <w:spacing w:line="360" w:lineRule="auto"/>
      <w:ind w:firstLine="482"/>
      <w:jc w:val="both"/>
    </w:pPr>
    <w:rPr>
      <w:snapToGrid w:val="0"/>
      <w:kern w:val="2"/>
      <w:sz w:val="24"/>
      <w:szCs w:val="21"/>
    </w:rPr>
  </w:style>
  <w:style w:type="character" w:customStyle="1" w:styleId="2Char9">
    <w:name w:val="标题2宋体黑色 Char"/>
    <w:link w:val="2f"/>
    <w:qFormat/>
    <w:rPr>
      <w:rFonts w:ascii="仿宋_GB2312" w:eastAsia="黑体" w:hAnsi="仿宋_GB2312"/>
      <w:b/>
      <w:bCs/>
      <w:sz w:val="32"/>
      <w:szCs w:val="32"/>
    </w:rPr>
  </w:style>
  <w:style w:type="paragraph" w:customStyle="1" w:styleId="2f">
    <w:name w:val="标题2宋体黑色"/>
    <w:basedOn w:val="22"/>
    <w:link w:val="2Char9"/>
    <w:qFormat/>
    <w:pPr>
      <w:spacing w:before="240" w:after="0" w:line="240" w:lineRule="auto"/>
    </w:pPr>
    <w:rPr>
      <w:rFonts w:ascii="仿宋_GB2312" w:eastAsia="黑体" w:hAnsi="仿宋_GB2312" w:cstheme="minorBidi"/>
    </w:rPr>
  </w:style>
  <w:style w:type="character" w:customStyle="1" w:styleId="1Chara">
    <w:name w:val="1正文 Char"/>
    <w:link w:val="1f6"/>
    <w:rPr>
      <w:sz w:val="24"/>
      <w:szCs w:val="24"/>
    </w:rPr>
  </w:style>
  <w:style w:type="paragraph" w:customStyle="1" w:styleId="1f6">
    <w:name w:val="1正文"/>
    <w:basedOn w:val="a2"/>
    <w:link w:val="1Chara"/>
    <w:qFormat/>
    <w:pPr>
      <w:spacing w:line="360" w:lineRule="auto"/>
      <w:ind w:firstLineChars="200" w:firstLine="480"/>
      <w:jc w:val="both"/>
    </w:pPr>
    <w:rPr>
      <w:sz w:val="24"/>
      <w:szCs w:val="24"/>
    </w:rPr>
  </w:style>
  <w:style w:type="character" w:customStyle="1" w:styleId="140">
    <w:name w:val="标题14"/>
  </w:style>
  <w:style w:type="character" w:customStyle="1" w:styleId="CharChar271">
    <w:name w:val="Char Char271"/>
    <w:rPr>
      <w:rFonts w:eastAsia="黑体"/>
      <w:b/>
      <w:bCs/>
      <w:kern w:val="44"/>
      <w:sz w:val="36"/>
      <w:szCs w:val="44"/>
      <w:lang w:bidi="ar-SA"/>
    </w:rPr>
  </w:style>
  <w:style w:type="character" w:customStyle="1" w:styleId="CharChar22">
    <w:name w:val="Char Char22"/>
    <w:rPr>
      <w:rFonts w:ascii="Calibri" w:eastAsia="宋体" w:hAnsi="Calibri"/>
      <w:kern w:val="2"/>
      <w:sz w:val="24"/>
      <w:lang w:val="en-US" w:eastAsia="zh-CN" w:bidi="ar-SA"/>
    </w:rPr>
  </w:style>
  <w:style w:type="character" w:customStyle="1" w:styleId="CharChar115">
    <w:name w:val="Char Char115"/>
    <w:rPr>
      <w:rFonts w:ascii="仿宋_GB2312" w:eastAsia="仿宋_GB2312"/>
      <w:b/>
      <w:bCs/>
      <w:kern w:val="44"/>
      <w:sz w:val="32"/>
      <w:szCs w:val="44"/>
      <w:lang w:val="en-US" w:eastAsia="zh-CN" w:bidi="ar-SA"/>
    </w:rPr>
  </w:style>
  <w:style w:type="character" w:customStyle="1" w:styleId="111Char">
    <w:name w:val="☆1.1.1 Char"/>
    <w:link w:val="1110"/>
    <w:rPr>
      <w:b/>
      <w:bCs/>
      <w:sz w:val="28"/>
      <w:szCs w:val="28"/>
    </w:rPr>
  </w:style>
  <w:style w:type="paragraph" w:customStyle="1" w:styleId="1110">
    <w:name w:val="☆1.1.1"/>
    <w:basedOn w:val="32"/>
    <w:link w:val="111Char"/>
    <w:qFormat/>
    <w:pPr>
      <w:spacing w:before="0" w:after="0" w:line="360" w:lineRule="auto"/>
      <w:jc w:val="both"/>
    </w:pPr>
    <w:rPr>
      <w:sz w:val="28"/>
      <w:szCs w:val="28"/>
    </w:rPr>
  </w:style>
  <w:style w:type="character" w:customStyle="1" w:styleId="1-Char">
    <w:name w:val="1-正文 Char"/>
    <w:link w:val="1-"/>
    <w:rPr>
      <w:rFonts w:ascii="宋体" w:hAnsi="宋体"/>
      <w:sz w:val="24"/>
      <w:szCs w:val="24"/>
    </w:rPr>
  </w:style>
  <w:style w:type="paragraph" w:customStyle="1" w:styleId="1-">
    <w:name w:val="1-正文"/>
    <w:basedOn w:val="a2"/>
    <w:link w:val="1-Char"/>
    <w:qFormat/>
    <w:pPr>
      <w:spacing w:line="360" w:lineRule="auto"/>
      <w:ind w:firstLineChars="200" w:firstLine="480"/>
      <w:jc w:val="both"/>
    </w:pPr>
    <w:rPr>
      <w:rFonts w:ascii="宋体" w:hAnsi="宋体"/>
      <w:sz w:val="24"/>
      <w:szCs w:val="24"/>
    </w:rPr>
  </w:style>
  <w:style w:type="character" w:customStyle="1" w:styleId="tuCharChar">
    <w:name w:val="tu Char Char"/>
    <w:link w:val="tu"/>
    <w:rPr>
      <w:b/>
      <w:sz w:val="28"/>
      <w:szCs w:val="24"/>
    </w:rPr>
  </w:style>
  <w:style w:type="paragraph" w:customStyle="1" w:styleId="tu">
    <w:name w:val="tu"/>
    <w:basedOn w:val="aff4"/>
    <w:link w:val="tuCharChar"/>
    <w:qFormat/>
    <w:pPr>
      <w:spacing w:line="360" w:lineRule="auto"/>
    </w:pPr>
    <w:rPr>
      <w:rFonts w:asciiTheme="minorHAnsi" w:eastAsiaTheme="minorEastAsia" w:hint="default"/>
      <w:b/>
      <w:szCs w:val="24"/>
    </w:rPr>
  </w:style>
  <w:style w:type="character" w:customStyle="1" w:styleId="CharChar203">
    <w:name w:val="Char Char203"/>
    <w:rPr>
      <w:rFonts w:ascii="Arial" w:eastAsia="黑体" w:hAnsi="Arial"/>
      <w:kern w:val="2"/>
      <w:sz w:val="24"/>
      <w:lang w:val="en-US" w:eastAsia="zh-CN" w:bidi="ar-SA"/>
    </w:rPr>
  </w:style>
  <w:style w:type="character" w:customStyle="1" w:styleId="4H4H41026Char">
    <w:name w:val="样式 标题 4四H4H41 + 段前: 0 磅 行距: 固定值 26 磅 Char"/>
    <w:locked/>
    <w:rPr>
      <w:rFonts w:ascii="Arial" w:hAnsi="Arial"/>
      <w:b/>
      <w:bCs/>
      <w:snapToGrid w:val="0"/>
      <w:sz w:val="24"/>
      <w:szCs w:val="28"/>
    </w:rPr>
  </w:style>
  <w:style w:type="character" w:customStyle="1" w:styleId="3CharCharCharCharCharChar">
    <w:name w:val="样式 标题 3 + 黑色 Char Char Char Char Char Char"/>
    <w:link w:val="3CharCharCharCharChar"/>
    <w:rPr>
      <w:rFonts w:ascii="宋体" w:hAnsi="宋体"/>
      <w:sz w:val="28"/>
      <w:szCs w:val="28"/>
    </w:rPr>
  </w:style>
  <w:style w:type="paragraph" w:customStyle="1" w:styleId="3CharCharCharCharChar">
    <w:name w:val="样式 标题 3 + 黑色 Char Char Char Char Char"/>
    <w:basedOn w:val="32"/>
    <w:link w:val="3CharCharCharCharCharChar"/>
    <w:qFormat/>
    <w:pPr>
      <w:keepNext w:val="0"/>
      <w:keepLines w:val="0"/>
      <w:tabs>
        <w:tab w:val="left" w:pos="993"/>
        <w:tab w:val="left" w:pos="1260"/>
      </w:tabs>
      <w:snapToGrid w:val="0"/>
      <w:spacing w:before="0" w:after="0" w:line="500" w:lineRule="exact"/>
      <w:ind w:left="567" w:hanging="420"/>
      <w:jc w:val="both"/>
      <w:outlineLvl w:val="9"/>
    </w:pPr>
    <w:rPr>
      <w:rFonts w:ascii="宋体" w:hAnsi="宋体"/>
      <w:b w:val="0"/>
      <w:bCs w:val="0"/>
      <w:sz w:val="28"/>
      <w:szCs w:val="28"/>
    </w:rPr>
  </w:style>
  <w:style w:type="character" w:customStyle="1" w:styleId="CharChar70">
    <w:name w:val="Char Char7"/>
    <w:locked/>
    <w:rPr>
      <w:rFonts w:ascii="宋体" w:eastAsia="宋体" w:hAnsi="宋体"/>
      <w:sz w:val="24"/>
      <w:lang w:val="en-US" w:eastAsia="zh-CN" w:bidi="ar-SA"/>
    </w:rPr>
  </w:style>
  <w:style w:type="character" w:customStyle="1" w:styleId="z-Char3">
    <w:name w:val="z-窗体顶端 Char3"/>
    <w:uiPriority w:val="99"/>
    <w:semiHidden/>
    <w:rPr>
      <w:rFonts w:ascii="Arial" w:hAnsi="Arial" w:cs="Arial"/>
      <w:vanish/>
      <w:sz w:val="16"/>
      <w:szCs w:val="16"/>
    </w:rPr>
  </w:style>
  <w:style w:type="character" w:customStyle="1" w:styleId="CharjophyCharChar">
    <w:name w:val="正文（首行缩进） Charjophy Char Char"/>
    <w:link w:val="Charjophy"/>
    <w:rPr>
      <w:sz w:val="24"/>
      <w:szCs w:val="24"/>
    </w:rPr>
  </w:style>
  <w:style w:type="paragraph" w:customStyle="1" w:styleId="Charjophy">
    <w:name w:val="正文（首行缩进） Charjophy"/>
    <w:basedOn w:val="a2"/>
    <w:link w:val="CharjophyCharChar"/>
    <w:qFormat/>
    <w:pPr>
      <w:overflowPunct w:val="0"/>
      <w:topLinePunct/>
      <w:snapToGrid w:val="0"/>
      <w:spacing w:line="360" w:lineRule="auto"/>
      <w:ind w:firstLineChars="200" w:firstLine="480"/>
      <w:jc w:val="both"/>
      <w:textAlignment w:val="baseline"/>
    </w:pPr>
    <w:rPr>
      <w:sz w:val="24"/>
      <w:szCs w:val="24"/>
    </w:rPr>
  </w:style>
  <w:style w:type="character" w:customStyle="1" w:styleId="CharCharCharCharCharCharChar0">
    <w:name w:val="环评正文 Char Char Char Char Char Char Char"/>
    <w:rPr>
      <w:rFonts w:eastAsia="宋体"/>
      <w:color w:val="000000"/>
      <w:kern w:val="21"/>
      <w:sz w:val="24"/>
      <w:szCs w:val="24"/>
      <w:lang w:val="en-US" w:eastAsia="zh-CN" w:bidi="ar-SA"/>
    </w:rPr>
  </w:style>
  <w:style w:type="character" w:customStyle="1" w:styleId="evcontent1">
    <w:name w:val="ev_content1"/>
    <w:rPr>
      <w:color w:val="495766"/>
      <w:sz w:val="21"/>
      <w:szCs w:val="21"/>
    </w:rPr>
  </w:style>
  <w:style w:type="character" w:customStyle="1" w:styleId="2CharChar0">
    <w:name w:val="样式 正文文本 + 首行缩进:  2 字符 Char Char"/>
    <w:link w:val="2f0"/>
    <w:rPr>
      <w:rFonts w:eastAsia="仿宋_GB2312" w:cs="宋体"/>
      <w:sz w:val="24"/>
    </w:rPr>
  </w:style>
  <w:style w:type="paragraph" w:customStyle="1" w:styleId="2f0">
    <w:name w:val="样式 正文文本 + 首行缩进:  2 字符"/>
    <w:basedOn w:val="af4"/>
    <w:link w:val="2CharChar0"/>
    <w:qFormat/>
    <w:pPr>
      <w:spacing w:after="60" w:line="264" w:lineRule="auto"/>
      <w:ind w:firstLineChars="200" w:firstLine="480"/>
      <w:jc w:val="both"/>
      <w:textAlignment w:val="baseline"/>
    </w:pPr>
    <w:rPr>
      <w:rFonts w:eastAsia="仿宋_GB2312" w:cs="宋体"/>
      <w:sz w:val="24"/>
    </w:rPr>
  </w:style>
  <w:style w:type="character" w:customStyle="1" w:styleId="article1">
    <w:name w:val="article1"/>
    <w:rPr>
      <w:sz w:val="21"/>
      <w:szCs w:val="21"/>
    </w:rPr>
  </w:style>
  <w:style w:type="character" w:customStyle="1" w:styleId="3xi">
    <w:name w:val="3xi"/>
    <w:basedOn w:val="a4"/>
  </w:style>
  <w:style w:type="character" w:customStyle="1" w:styleId="Char1f0">
    <w:name w:val="正文文本 Char1"/>
  </w:style>
  <w:style w:type="character" w:customStyle="1" w:styleId="font141">
    <w:name w:val="font_141"/>
    <w:rPr>
      <w:rFonts w:ascii="ˎ̥" w:hAnsi="ˎ̥" w:hint="default"/>
      <w:sz w:val="21"/>
      <w:szCs w:val="21"/>
    </w:rPr>
  </w:style>
  <w:style w:type="character" w:customStyle="1" w:styleId="red1">
    <w:name w:val="red1"/>
    <w:rPr>
      <w:color w:val="FF0000"/>
    </w:rPr>
  </w:style>
  <w:style w:type="character" w:customStyle="1" w:styleId="CharCharChar1CharCharChar">
    <w:name w:val="正文（首行缩进两字） Char Char Char1 Char Char Char"/>
    <w:rPr>
      <w:rFonts w:eastAsia="宋体"/>
      <w:kern w:val="2"/>
      <w:sz w:val="21"/>
      <w:szCs w:val="24"/>
      <w:lang w:val="en-US" w:eastAsia="zh-CN" w:bidi="ar-SA"/>
    </w:rPr>
  </w:style>
  <w:style w:type="character" w:customStyle="1" w:styleId="CharChar262">
    <w:name w:val="Char Char262"/>
    <w:rPr>
      <w:rFonts w:eastAsia="宋体"/>
      <w:b/>
      <w:kern w:val="44"/>
      <w:sz w:val="30"/>
      <w:szCs w:val="28"/>
      <w:lang w:bidi="ar-SA"/>
    </w:rPr>
  </w:style>
  <w:style w:type="character" w:customStyle="1" w:styleId="cucd-2Char">
    <w:name w:val="cucd-2 Char"/>
    <w:link w:val="cucd-2"/>
    <w:rPr>
      <w:rFonts w:eastAsia="黑体"/>
      <w:b/>
      <w:sz w:val="30"/>
      <w:szCs w:val="24"/>
    </w:rPr>
  </w:style>
  <w:style w:type="paragraph" w:customStyle="1" w:styleId="cucd-2">
    <w:name w:val="cucd-2"/>
    <w:next w:val="cucd-3"/>
    <w:link w:val="cucd-2Char"/>
    <w:pPr>
      <w:tabs>
        <w:tab w:val="left" w:pos="567"/>
      </w:tabs>
      <w:spacing w:line="360" w:lineRule="auto"/>
      <w:ind w:left="567" w:hanging="567"/>
      <w:jc w:val="both"/>
      <w:outlineLvl w:val="1"/>
    </w:pPr>
    <w:rPr>
      <w:rFonts w:eastAsia="黑体"/>
      <w:b/>
      <w:kern w:val="2"/>
      <w:sz w:val="30"/>
      <w:szCs w:val="24"/>
    </w:rPr>
  </w:style>
  <w:style w:type="paragraph" w:customStyle="1" w:styleId="cucd-3">
    <w:name w:val="cucd-3"/>
    <w:next w:val="a2"/>
    <w:pPr>
      <w:tabs>
        <w:tab w:val="left" w:pos="709"/>
      </w:tabs>
      <w:spacing w:line="360" w:lineRule="auto"/>
      <w:jc w:val="both"/>
      <w:outlineLvl w:val="2"/>
    </w:pPr>
    <w:rPr>
      <w:rFonts w:ascii="Times New Roman" w:eastAsia="宋体" w:hAnsi="Times New Roman" w:cs="Times New Roman"/>
      <w:bCs/>
      <w:kern w:val="2"/>
      <w:sz w:val="24"/>
      <w:szCs w:val="24"/>
    </w:rPr>
  </w:style>
  <w:style w:type="character" w:customStyle="1" w:styleId="a11">
    <w:name w:val="a11"/>
    <w:rPr>
      <w:color w:val="000000"/>
      <w:sz w:val="18"/>
      <w:szCs w:val="18"/>
    </w:rPr>
  </w:style>
  <w:style w:type="character" w:customStyle="1" w:styleId="Charc">
    <w:name w:val="纯文本 Char"/>
    <w:link w:val="af8"/>
    <w:rPr>
      <w:rFonts w:ascii="宋体" w:eastAsia="宋体" w:hAnsi="Courier New"/>
      <w:kern w:val="24"/>
      <w:sz w:val="24"/>
      <w:szCs w:val="21"/>
    </w:rPr>
  </w:style>
  <w:style w:type="character" w:customStyle="1" w:styleId="CharChar60">
    <w:name w:val="Char Char6"/>
    <w:locked/>
    <w:rPr>
      <w:rFonts w:ascii="宋体" w:eastAsia="宋体" w:hAnsi="宋体"/>
      <w:snapToGrid w:val="0"/>
      <w:sz w:val="18"/>
      <w:szCs w:val="18"/>
      <w:lang w:val="en-US" w:eastAsia="zh-CN" w:bidi="ar-SA"/>
    </w:rPr>
  </w:style>
  <w:style w:type="character" w:customStyle="1" w:styleId="Charfff6">
    <w:name w:val="明显引用 Char"/>
    <w:link w:val="affffff4"/>
    <w:rPr>
      <w:rFonts w:ascii="Calibri" w:eastAsia="仿宋" w:hAnsi="Calibri"/>
      <w:b/>
      <w:i/>
      <w:spacing w:val="-5"/>
      <w:sz w:val="28"/>
      <w:lang w:bidi="he-IL"/>
    </w:rPr>
  </w:style>
  <w:style w:type="paragraph" w:styleId="affffff4">
    <w:name w:val="Intense Quote"/>
    <w:basedOn w:val="a2"/>
    <w:next w:val="a2"/>
    <w:link w:val="Charfff6"/>
    <w:qFormat/>
    <w:pPr>
      <w:widowControl/>
      <w:autoSpaceDE/>
      <w:autoSpaceDN/>
      <w:adjustRightInd/>
      <w:spacing w:line="440" w:lineRule="exact"/>
      <w:ind w:left="720" w:right="720" w:firstLineChars="200" w:firstLine="200"/>
      <w:jc w:val="both"/>
    </w:pPr>
    <w:rPr>
      <w:rFonts w:ascii="Calibri" w:eastAsia="仿宋" w:hAnsi="Calibri"/>
      <w:b/>
      <w:i/>
      <w:spacing w:val="-5"/>
      <w:szCs w:val="22"/>
      <w:lang w:bidi="he-IL"/>
    </w:rPr>
  </w:style>
  <w:style w:type="character" w:customStyle="1" w:styleId="Charfff7">
    <w:name w:val="正文（首行缩进两字） Char"/>
    <w:rPr>
      <w:rFonts w:eastAsia="宋体"/>
      <w:kern w:val="2"/>
      <w:sz w:val="24"/>
      <w:lang w:val="en-US" w:eastAsia="zh-CN"/>
    </w:rPr>
  </w:style>
  <w:style w:type="character" w:customStyle="1" w:styleId="1f7">
    <w:name w:val="未命名1"/>
    <w:basedOn w:val="a4"/>
  </w:style>
  <w:style w:type="character" w:customStyle="1" w:styleId="215Char">
    <w:name w:val="标准文本 首行缩进:2 字符 行距1.5倍 Char"/>
    <w:rPr>
      <w:rFonts w:eastAsia="宋体" w:cs="宋体"/>
      <w:kern w:val="2"/>
      <w:sz w:val="24"/>
      <w:szCs w:val="24"/>
      <w:lang w:val="en-US" w:eastAsia="zh-CN" w:bidi="ar-SA"/>
    </w:rPr>
  </w:style>
  <w:style w:type="character" w:customStyle="1" w:styleId="CharChar244">
    <w:name w:val="Char Char244"/>
    <w:rPr>
      <w:rFonts w:ascii="Arial" w:eastAsia="黑体" w:hAnsi="Arial"/>
      <w:b/>
      <w:bCs/>
      <w:kern w:val="2"/>
      <w:sz w:val="28"/>
      <w:szCs w:val="28"/>
      <w:lang w:val="en-US" w:eastAsia="zh-CN" w:bidi="ar-SA"/>
    </w:rPr>
  </w:style>
  <w:style w:type="character" w:customStyle="1" w:styleId="CharChar10">
    <w:name w:val="正文文字缩进 Char Char1"/>
    <w:rPr>
      <w:rFonts w:eastAsia="宋体"/>
      <w:kern w:val="2"/>
      <w:sz w:val="28"/>
      <w:szCs w:val="24"/>
      <w:lang w:val="en-US" w:eastAsia="zh-CN" w:bidi="ar-SA"/>
    </w:rPr>
  </w:style>
  <w:style w:type="character" w:customStyle="1" w:styleId="black0001">
    <w:name w:val="black0001"/>
    <w:rPr>
      <w:b/>
      <w:bCs/>
      <w:color w:val="000000"/>
      <w:sz w:val="24"/>
      <w:szCs w:val="24"/>
    </w:rPr>
  </w:style>
  <w:style w:type="character" w:customStyle="1" w:styleId="3Char40">
    <w:name w:val="正文文本缩进 3 Char4"/>
    <w:uiPriority w:val="99"/>
    <w:semiHidden/>
    <w:rPr>
      <w:sz w:val="16"/>
      <w:szCs w:val="16"/>
    </w:rPr>
  </w:style>
  <w:style w:type="character" w:customStyle="1" w:styleId="1h1H1PIM1111SectionHeadHeader11stlevell11Char">
    <w:name w:val="样式 标题 1h1H1PIM 1标书11.标题 1Section HeadHeader11st levell1...1 Char"/>
    <w:rPr>
      <w:rFonts w:ascii="楷体_GB2312" w:eastAsia="黑体"/>
      <w:b/>
      <w:bCs/>
      <w:kern w:val="44"/>
      <w:sz w:val="30"/>
      <w:szCs w:val="44"/>
      <w:lang w:val="en-US" w:eastAsia="zh-CN" w:bidi="ar-SA"/>
    </w:rPr>
  </w:style>
  <w:style w:type="character" w:customStyle="1" w:styleId="CharCharff1">
    <w:name w:val="样式 正文格式 Char Char"/>
    <w:rPr>
      <w:rFonts w:ascii="宋体" w:eastAsia="宋体" w:hAnsi="宋体"/>
      <w:sz w:val="28"/>
      <w:szCs w:val="28"/>
      <w:lang w:val="en-US" w:eastAsia="zh-CN" w:bidi="ar-SA"/>
    </w:rPr>
  </w:style>
  <w:style w:type="character" w:customStyle="1" w:styleId="Hyperlink1">
    <w:name w:val="Hyperlink1"/>
    <w:rPr>
      <w:rFonts w:hint="default"/>
      <w:color w:val="0000FF"/>
      <w:u w:val="single"/>
    </w:rPr>
  </w:style>
  <w:style w:type="character" w:customStyle="1" w:styleId="myfont">
    <w:name w:val="myfont"/>
    <w:basedOn w:val="a4"/>
  </w:style>
  <w:style w:type="character" w:customStyle="1" w:styleId="3CharChar11">
    <w:name w:val="标题 3 Char Char11"/>
    <w:rPr>
      <w:rFonts w:ascii="宋体" w:eastAsia="宋体" w:hAnsi="宋体" w:hint="eastAsia"/>
      <w:b/>
      <w:bCs/>
      <w:kern w:val="2"/>
      <w:sz w:val="32"/>
      <w:szCs w:val="32"/>
      <w:lang w:val="en-US" w:eastAsia="zh-CN" w:bidi="ar-SA"/>
    </w:rPr>
  </w:style>
  <w:style w:type="character" w:customStyle="1" w:styleId="2f1">
    <w:name w:val="页码2"/>
    <w:basedOn w:val="a4"/>
  </w:style>
  <w:style w:type="character" w:customStyle="1" w:styleId="21521Char">
    <w:name w:val="样式 标准文本 首行缩进:2 字符 行距1.5倍 + 首行缩进:  2 字符1 Char"/>
  </w:style>
  <w:style w:type="character" w:customStyle="1" w:styleId="-">
    <w:name w:val="表格-小号字 字符"/>
    <w:link w:val="-0"/>
    <w:rPr>
      <w:spacing w:val="-5"/>
      <w:lang w:bidi="en-US"/>
    </w:rPr>
  </w:style>
  <w:style w:type="paragraph" w:customStyle="1" w:styleId="-0">
    <w:name w:val="表格-小号字"/>
    <w:basedOn w:val="affff8"/>
    <w:link w:val="-"/>
    <w:qFormat/>
    <w:pPr>
      <w:widowControl/>
      <w:autoSpaceDE/>
      <w:autoSpaceDN/>
      <w:adjustRightInd/>
      <w:spacing w:line="240" w:lineRule="exact"/>
      <w:jc w:val="left"/>
      <w:textAlignment w:val="auto"/>
    </w:pPr>
    <w:rPr>
      <w:rFonts w:eastAsiaTheme="minorEastAsia" w:hAnsiTheme="minorHAnsi" w:cstheme="minorBidi"/>
      <w:color w:val="auto"/>
      <w:spacing w:val="-5"/>
      <w:sz w:val="21"/>
      <w:szCs w:val="22"/>
      <w:lang w:bidi="en-US"/>
    </w:rPr>
  </w:style>
  <w:style w:type="character" w:customStyle="1" w:styleId="Charfff8">
    <w:name w:val="插图标题 Char"/>
    <w:rPr>
      <w:rFonts w:ascii="Times New Roman" w:eastAsia="黑体" w:hAnsi="Times New Roman" w:cs="Times New Roman"/>
      <w:b/>
      <w:snapToGrid w:val="0"/>
      <w:kern w:val="0"/>
      <w:sz w:val="24"/>
      <w:szCs w:val="24"/>
    </w:rPr>
  </w:style>
  <w:style w:type="character" w:customStyle="1" w:styleId="CharCharff2">
    <w:name w:val="文字 Char Char"/>
    <w:link w:val="affffff5"/>
    <w:rPr>
      <w:rFonts w:eastAsia="宋体"/>
      <w:sz w:val="24"/>
      <w:szCs w:val="24"/>
    </w:rPr>
  </w:style>
  <w:style w:type="paragraph" w:customStyle="1" w:styleId="affffff5">
    <w:name w:val="文字"/>
    <w:basedOn w:val="a2"/>
    <w:link w:val="CharCharff2"/>
    <w:qFormat/>
    <w:pPr>
      <w:spacing w:line="360" w:lineRule="auto"/>
      <w:ind w:firstLineChars="200" w:firstLine="200"/>
    </w:pPr>
    <w:rPr>
      <w:rFonts w:eastAsia="宋体"/>
      <w:sz w:val="24"/>
      <w:szCs w:val="24"/>
    </w:rPr>
  </w:style>
  <w:style w:type="character" w:customStyle="1" w:styleId="1CharChar3">
    <w:name w:val="表头1 Char Char"/>
    <w:link w:val="1f8"/>
    <w:rPr>
      <w:b/>
      <w:color w:val="000000"/>
      <w:sz w:val="24"/>
    </w:rPr>
  </w:style>
  <w:style w:type="paragraph" w:customStyle="1" w:styleId="1f8">
    <w:name w:val="表头1"/>
    <w:basedOn w:val="af8"/>
    <w:link w:val="1CharChar3"/>
    <w:qFormat/>
    <w:pPr>
      <w:spacing w:beforeLines="50" w:before="156"/>
      <w:jc w:val="center"/>
      <w:textAlignment w:val="baseline"/>
    </w:pPr>
    <w:rPr>
      <w:rFonts w:asciiTheme="minorHAnsi" w:eastAsiaTheme="minorEastAsia" w:hAnsiTheme="minorHAnsi"/>
      <w:b/>
      <w:color w:val="000000"/>
      <w:kern w:val="2"/>
      <w:szCs w:val="22"/>
    </w:rPr>
  </w:style>
  <w:style w:type="character" w:customStyle="1" w:styleId="2CharCharCharCharCharChar">
    <w:name w:val="正文文本 2 Char Char Char Char Char Char"/>
    <w:rPr>
      <w:rFonts w:eastAsia="仿宋_GB2312"/>
      <w:kern w:val="2"/>
      <w:sz w:val="21"/>
      <w:szCs w:val="24"/>
      <w:lang w:val="en-US" w:eastAsia="zh-CN" w:bidi="ar-SA"/>
    </w:rPr>
  </w:style>
  <w:style w:type="character" w:customStyle="1" w:styleId="CharCharChar1">
    <w:name w:val="环评正文 Char Char Char"/>
    <w:rPr>
      <w:rFonts w:eastAsia="宋体"/>
      <w:snapToGrid w:val="0"/>
      <w:color w:val="000000"/>
      <w:kern w:val="21"/>
      <w:sz w:val="24"/>
      <w:szCs w:val="24"/>
      <w:lang w:val="en-US" w:eastAsia="zh-CN" w:bidi="ar-SA"/>
    </w:rPr>
  </w:style>
  <w:style w:type="character" w:customStyle="1" w:styleId="textonly">
    <w:name w:val="textonly"/>
    <w:basedOn w:val="a4"/>
  </w:style>
  <w:style w:type="character" w:customStyle="1" w:styleId="Char44">
    <w:name w:val="纯文本 Char4"/>
    <w:uiPriority w:val="99"/>
    <w:semiHidden/>
    <w:rPr>
      <w:rFonts w:ascii="宋体" w:eastAsia="宋体" w:hAnsi="Courier New" w:cs="Courier New"/>
      <w:szCs w:val="21"/>
    </w:rPr>
  </w:style>
  <w:style w:type="character" w:customStyle="1" w:styleId="4CharChar0">
    <w:name w:val="小4正文 Char Char"/>
    <w:link w:val="4a"/>
    <w:rPr>
      <w:rFonts w:ascii="宋体" w:hAnsi="宋体"/>
      <w:color w:val="000000"/>
      <w:sz w:val="24"/>
      <w:szCs w:val="24"/>
    </w:rPr>
  </w:style>
  <w:style w:type="paragraph" w:customStyle="1" w:styleId="4a">
    <w:name w:val="小4正文"/>
    <w:basedOn w:val="a2"/>
    <w:link w:val="4CharChar0"/>
    <w:qFormat/>
    <w:pPr>
      <w:spacing w:line="360" w:lineRule="auto"/>
      <w:ind w:firstLineChars="200" w:firstLine="480"/>
    </w:pPr>
    <w:rPr>
      <w:rFonts w:ascii="宋体" w:hAnsi="宋体"/>
      <w:color w:val="000000"/>
      <w:sz w:val="24"/>
      <w:szCs w:val="24"/>
    </w:rPr>
  </w:style>
  <w:style w:type="character" w:customStyle="1" w:styleId="Char35">
    <w:name w:val="脚注文本 Char3"/>
    <w:uiPriority w:val="99"/>
    <w:semiHidden/>
    <w:rPr>
      <w:sz w:val="18"/>
      <w:szCs w:val="18"/>
    </w:rPr>
  </w:style>
  <w:style w:type="character" w:customStyle="1" w:styleId="m01">
    <w:name w:val="m_01"/>
  </w:style>
  <w:style w:type="character" w:customStyle="1" w:styleId="head121">
    <w:name w:val="head121"/>
    <w:rPr>
      <w:sz w:val="22"/>
    </w:rPr>
  </w:style>
  <w:style w:type="character" w:customStyle="1" w:styleId="1f9">
    <w:name w:val="批注主题 字符1"/>
    <w:rPr>
      <w:b/>
      <w:bCs/>
      <w:kern w:val="2"/>
      <w:sz w:val="21"/>
      <w:szCs w:val="24"/>
    </w:rPr>
  </w:style>
  <w:style w:type="character" w:customStyle="1" w:styleId="HTMLChar4">
    <w:name w:val="HTML 预设格式 Char4"/>
    <w:uiPriority w:val="99"/>
    <w:semiHidden/>
    <w:rPr>
      <w:rFonts w:ascii="Courier New" w:hAnsi="Courier New" w:cs="Courier New"/>
      <w:sz w:val="20"/>
      <w:szCs w:val="20"/>
    </w:rPr>
  </w:style>
  <w:style w:type="character" w:customStyle="1" w:styleId="HeaderChar">
    <w:name w:val="Header Char"/>
    <w:locked/>
    <w:rPr>
      <w:rFonts w:eastAsia="宋体"/>
      <w:sz w:val="18"/>
      <w:szCs w:val="18"/>
      <w:lang w:bidi="ar-SA"/>
    </w:rPr>
  </w:style>
  <w:style w:type="character" w:customStyle="1" w:styleId="Charf5">
    <w:name w:val="信息标题 Char"/>
    <w:link w:val="aff5"/>
    <w:rPr>
      <w:rFonts w:ascii="Arial" w:hAnsi="Arial"/>
      <w:sz w:val="24"/>
      <w:szCs w:val="24"/>
      <w:shd w:val="pct20" w:color="auto" w:fill="auto"/>
    </w:rPr>
  </w:style>
  <w:style w:type="character" w:customStyle="1" w:styleId="jj1">
    <w:name w:val="jj1"/>
    <w:rPr>
      <w:u w:val="none"/>
    </w:rPr>
  </w:style>
  <w:style w:type="character" w:customStyle="1" w:styleId="text1">
    <w:name w:val="text1"/>
    <w:rPr>
      <w:color w:val="257198"/>
      <w:sz w:val="20"/>
      <w:szCs w:val="20"/>
    </w:rPr>
  </w:style>
  <w:style w:type="character" w:customStyle="1" w:styleId="headline-content2">
    <w:name w:val="headline-content2"/>
  </w:style>
  <w:style w:type="character" w:customStyle="1" w:styleId="Charfff9">
    <w:name w:val="章 Char"/>
    <w:rPr>
      <w:b/>
      <w:kern w:val="44"/>
      <w:sz w:val="44"/>
    </w:rPr>
  </w:style>
  <w:style w:type="character" w:customStyle="1" w:styleId="4-25Char">
    <w:name w:val="4-25正 Char"/>
    <w:rPr>
      <w:rFonts w:ascii="Times New Roman" w:hAnsi="Times New Roman"/>
      <w:sz w:val="24"/>
    </w:rPr>
  </w:style>
  <w:style w:type="character" w:customStyle="1" w:styleId="a41">
    <w:name w:val="a41"/>
    <w:rPr>
      <w:sz w:val="21"/>
    </w:rPr>
  </w:style>
  <w:style w:type="character" w:customStyle="1" w:styleId="EmailStyle1371">
    <w:name w:val="EmailStyle1371"/>
    <w:qFormat/>
    <w:rPr>
      <w:rFonts w:ascii="Arial" w:eastAsia="宋体" w:hAnsi="Arial" w:cs="Arial"/>
      <w:color w:val="000080"/>
      <w:sz w:val="18"/>
      <w:szCs w:val="20"/>
    </w:rPr>
  </w:style>
  <w:style w:type="character" w:customStyle="1" w:styleId="CharChar142">
    <w:name w:val="Char Char142"/>
    <w:qFormat/>
    <w:rPr>
      <w:rFonts w:eastAsia="宋体"/>
      <w:kern w:val="2"/>
      <w:sz w:val="21"/>
      <w:szCs w:val="24"/>
      <w:lang w:val="en-US" w:eastAsia="zh-CN" w:bidi="ar-SA"/>
    </w:rPr>
  </w:style>
  <w:style w:type="character" w:customStyle="1" w:styleId="emailstyle402">
    <w:name w:val="emailstyle402"/>
    <w:rPr>
      <w:rFonts w:ascii="Arial" w:eastAsia="宋体" w:hAnsi="Arial" w:cs="Arial" w:hint="default"/>
      <w:color w:val="000080"/>
      <w:sz w:val="18"/>
      <w:szCs w:val="20"/>
    </w:rPr>
  </w:style>
  <w:style w:type="character" w:customStyle="1" w:styleId="CharCharff3">
    <w:name w:val="表题 Char Char"/>
    <w:rPr>
      <w:rFonts w:eastAsia="宋体"/>
      <w:b/>
      <w:snapToGrid w:val="0"/>
      <w:sz w:val="21"/>
      <w:lang w:val="en-US" w:eastAsia="zh-CN" w:bidi="ar-SA"/>
    </w:rPr>
  </w:style>
  <w:style w:type="character" w:customStyle="1" w:styleId="CharChar116">
    <w:name w:val="Char Char116"/>
    <w:rPr>
      <w:rFonts w:ascii="仿宋_GB2312" w:eastAsia="仿宋_GB2312"/>
      <w:b/>
      <w:kern w:val="44"/>
      <w:sz w:val="44"/>
      <w:lang w:val="en-US" w:eastAsia="zh-CN"/>
    </w:rPr>
  </w:style>
  <w:style w:type="character" w:customStyle="1" w:styleId="Charfffa">
    <w:name w:val="沁漠表头 Char"/>
    <w:link w:val="affffff6"/>
    <w:rPr>
      <w:rFonts w:hAnsi="宋体"/>
      <w:b/>
      <w:bCs/>
      <w:sz w:val="24"/>
      <w:szCs w:val="24"/>
    </w:rPr>
  </w:style>
  <w:style w:type="paragraph" w:customStyle="1" w:styleId="affffff6">
    <w:name w:val="沁漠表头"/>
    <w:basedOn w:val="a2"/>
    <w:link w:val="Charfffa"/>
    <w:qFormat/>
    <w:pPr>
      <w:snapToGrid w:val="0"/>
      <w:spacing w:beforeLines="50" w:before="120" w:line="240" w:lineRule="atLeast"/>
      <w:jc w:val="center"/>
    </w:pPr>
    <w:rPr>
      <w:rFonts w:hAnsi="宋体"/>
      <w:b/>
      <w:bCs/>
      <w:sz w:val="24"/>
      <w:szCs w:val="24"/>
    </w:rPr>
  </w:style>
  <w:style w:type="character" w:customStyle="1" w:styleId="Charfffb">
    <w:name w:val="无间隔 Char"/>
    <w:uiPriority w:val="1"/>
    <w:rPr>
      <w:rFonts w:ascii="Calibri" w:eastAsia="宋体" w:hAnsi="Calibri"/>
      <w:sz w:val="22"/>
      <w:szCs w:val="22"/>
      <w:lang w:val="en-US" w:eastAsia="zh-CN" w:bidi="ar-SA"/>
    </w:rPr>
  </w:style>
  <w:style w:type="character" w:customStyle="1" w:styleId="CharCharCharCharCharChar1">
    <w:name w:val="环评正文 Char Char Char Char Char Char"/>
    <w:link w:val="affffff7"/>
    <w:rPr>
      <w:rFonts w:ascii="仿宋_GB2312" w:eastAsia="仿宋_GB2312"/>
      <w:sz w:val="28"/>
    </w:rPr>
  </w:style>
  <w:style w:type="paragraph" w:customStyle="1" w:styleId="affffff7">
    <w:name w:val="环评正文"/>
    <w:basedOn w:val="af9"/>
    <w:link w:val="CharCharCharCharCharChar1"/>
    <w:qFormat/>
    <w:pPr>
      <w:spacing w:line="500" w:lineRule="exact"/>
      <w:ind w:leftChars="0" w:left="0" w:firstLineChars="200" w:firstLine="560"/>
      <w:jc w:val="both"/>
    </w:pPr>
    <w:rPr>
      <w:rFonts w:ascii="仿宋_GB2312" w:eastAsia="仿宋_GB2312"/>
      <w:szCs w:val="22"/>
    </w:rPr>
  </w:style>
  <w:style w:type="character" w:customStyle="1" w:styleId="Char2b">
    <w:name w:val="尾注文本 Char2"/>
    <w:uiPriority w:val="99"/>
    <w:semiHidden/>
    <w:rPr>
      <w:kern w:val="2"/>
      <w:sz w:val="21"/>
      <w:szCs w:val="22"/>
    </w:rPr>
  </w:style>
  <w:style w:type="character" w:customStyle="1" w:styleId="Heading2Char">
    <w:name w:val="Heading 2 Char"/>
    <w:locked/>
    <w:rPr>
      <w:rFonts w:ascii="宋体" w:eastAsia="宋体" w:hAnsi="Arial"/>
      <w:b/>
      <w:color w:val="000000"/>
      <w:kern w:val="44"/>
      <w:sz w:val="28"/>
      <w:szCs w:val="24"/>
      <w:lang w:val="en-US" w:eastAsia="zh-CN" w:bidi="ar-SA"/>
    </w:rPr>
  </w:style>
  <w:style w:type="character" w:customStyle="1" w:styleId="-2pt2">
    <w:name w:val="正文文本 + 间距 -2 pt2"/>
    <w:rPr>
      <w:rFonts w:ascii="Arial Unicode MS" w:eastAsia="Arial Unicode MS" w:cs="Arial Unicode MS"/>
      <w:spacing w:val="-50"/>
      <w:sz w:val="27"/>
      <w:szCs w:val="27"/>
      <w:u w:val="none"/>
    </w:rPr>
  </w:style>
  <w:style w:type="character" w:customStyle="1" w:styleId="GB2312093CharChar">
    <w:name w:val="样式 正文文字 + 楷体_GB2312 四号 首行缩进:  0.93 厘米 Char Char"/>
    <w:rPr>
      <w:rFonts w:eastAsia="楷体_GB2312"/>
      <w:spacing w:val="-4"/>
      <w:kern w:val="2"/>
      <w:sz w:val="28"/>
      <w:szCs w:val="28"/>
      <w:lang w:val="en-US" w:eastAsia="zh-CN" w:bidi="ar-SA"/>
    </w:rPr>
  </w:style>
  <w:style w:type="character" w:customStyle="1" w:styleId="un14b1">
    <w:name w:val="un14b1"/>
    <w:rPr>
      <w:color w:val="000000"/>
      <w:sz w:val="21"/>
      <w:szCs w:val="21"/>
      <w:u w:val="none"/>
    </w:rPr>
  </w:style>
  <w:style w:type="character" w:customStyle="1" w:styleId="3f0">
    <w:name w:val="标题3"/>
  </w:style>
  <w:style w:type="character" w:customStyle="1" w:styleId="CharCharf1">
    <w:name w:val="表格 Char Char"/>
    <w:link w:val="affffd"/>
    <w:rPr>
      <w:rFonts w:ascii="宋体" w:hAnsi="宋体"/>
      <w:szCs w:val="24"/>
    </w:rPr>
  </w:style>
  <w:style w:type="character" w:customStyle="1" w:styleId="Charfffc">
    <w:name w:val="样式 正文（首行缩进两字） + (符号) 宋体 Char"/>
    <w:rPr>
      <w:rFonts w:ascii="宋体" w:eastAsia="宋体"/>
      <w:kern w:val="2"/>
      <w:sz w:val="24"/>
      <w:szCs w:val="24"/>
      <w:lang w:val="en-US" w:eastAsia="zh-CN" w:bidi="ar-SA"/>
    </w:rPr>
  </w:style>
  <w:style w:type="character" w:customStyle="1" w:styleId="2Char10">
    <w:name w:val="正文文本缩进 2 Char1"/>
    <w:locked/>
    <w:rPr>
      <w:kern w:val="2"/>
      <w:sz w:val="24"/>
    </w:rPr>
  </w:style>
  <w:style w:type="character" w:customStyle="1" w:styleId="font51">
    <w:name w:val="font51"/>
    <w:rPr>
      <w:rFonts w:ascii="宋体" w:eastAsia="宋体" w:hAnsi="宋体" w:hint="eastAsia"/>
      <w:color w:val="000000"/>
      <w:sz w:val="21"/>
      <w:szCs w:val="21"/>
    </w:rPr>
  </w:style>
  <w:style w:type="character" w:customStyle="1" w:styleId="Char2c">
    <w:name w:val="宏文本 Char2"/>
    <w:uiPriority w:val="99"/>
    <w:semiHidden/>
    <w:rPr>
      <w:rFonts w:ascii="Courier New" w:hAnsi="Courier New" w:cs="Courier New"/>
      <w:kern w:val="2"/>
      <w:sz w:val="24"/>
      <w:szCs w:val="24"/>
    </w:rPr>
  </w:style>
  <w:style w:type="character" w:customStyle="1" w:styleId="Charfffd">
    <w:name w:val="表格文字 Char"/>
    <w:rPr>
      <w:rFonts w:ascii="Times New Roman" w:eastAsia="宋体" w:hAnsi="Times New Roman" w:cs="Times New Roman"/>
      <w:sz w:val="24"/>
      <w:szCs w:val="20"/>
    </w:rPr>
  </w:style>
  <w:style w:type="character" w:customStyle="1" w:styleId="2Chara">
    <w:name w:val="标题样式2 Char"/>
    <w:rPr>
      <w:rFonts w:ascii="黑体" w:eastAsia="黑体" w:hAnsi="Arial"/>
      <w:b/>
      <w:bCs/>
      <w:kern w:val="2"/>
      <w:sz w:val="28"/>
      <w:szCs w:val="28"/>
      <w:lang w:val="en-US" w:eastAsia="zh-CN" w:bidi="ar-SA"/>
    </w:rPr>
  </w:style>
  <w:style w:type="character" w:customStyle="1" w:styleId="CharCharff4">
    <w:name w:val="样式 表格 + 黑色 Char Char"/>
    <w:link w:val="affffff8"/>
    <w:rPr>
      <w:rFonts w:ascii="宋体" w:hAnsi="宋体"/>
      <w:color w:val="000000"/>
      <w:spacing w:val="-4"/>
      <w:szCs w:val="21"/>
    </w:rPr>
  </w:style>
  <w:style w:type="paragraph" w:customStyle="1" w:styleId="affffff8">
    <w:name w:val="样式 表格 + 黑色"/>
    <w:basedOn w:val="affffd"/>
    <w:link w:val="CharCharff4"/>
    <w:qFormat/>
    <w:pPr>
      <w:widowControl w:val="0"/>
      <w:spacing w:line="240" w:lineRule="auto"/>
      <w:textAlignment w:val="auto"/>
    </w:pPr>
    <w:rPr>
      <w:color w:val="000000"/>
      <w:spacing w:val="-4"/>
      <w:szCs w:val="21"/>
    </w:rPr>
  </w:style>
  <w:style w:type="character" w:customStyle="1" w:styleId="Char2d">
    <w:name w:val="正文文本缩进 Char2"/>
    <w:uiPriority w:val="99"/>
    <w:semiHidden/>
  </w:style>
  <w:style w:type="character" w:customStyle="1" w:styleId="zhengChar">
    <w:name w:val="zheng Char"/>
    <w:link w:val="zheng"/>
    <w:rPr>
      <w:sz w:val="24"/>
      <w:szCs w:val="24"/>
    </w:rPr>
  </w:style>
  <w:style w:type="paragraph" w:customStyle="1" w:styleId="zheng">
    <w:name w:val="zheng"/>
    <w:basedOn w:val="a2"/>
    <w:link w:val="zhengChar"/>
    <w:qFormat/>
    <w:pPr>
      <w:spacing w:line="440" w:lineRule="exact"/>
      <w:ind w:firstLineChars="200" w:firstLine="480"/>
      <w:jc w:val="both"/>
    </w:pPr>
    <w:rPr>
      <w:sz w:val="24"/>
      <w:szCs w:val="24"/>
    </w:rPr>
  </w:style>
  <w:style w:type="character" w:customStyle="1" w:styleId="6CharChar1">
    <w:name w:val="项目6 Char Char"/>
    <w:link w:val="66"/>
    <w:qFormat/>
    <w:rPr>
      <w:color w:val="000000"/>
      <w:sz w:val="24"/>
      <w:szCs w:val="24"/>
    </w:rPr>
  </w:style>
  <w:style w:type="paragraph" w:customStyle="1" w:styleId="66">
    <w:name w:val="项目6"/>
    <w:basedOn w:val="a2"/>
    <w:link w:val="6CharChar1"/>
    <w:qFormat/>
    <w:pPr>
      <w:spacing w:line="360" w:lineRule="auto"/>
      <w:ind w:firstLineChars="200" w:firstLine="480"/>
      <w:jc w:val="both"/>
    </w:pPr>
    <w:rPr>
      <w:color w:val="000000"/>
      <w:sz w:val="24"/>
      <w:szCs w:val="24"/>
    </w:rPr>
  </w:style>
  <w:style w:type="character" w:customStyle="1" w:styleId="CharCharChar13">
    <w:name w:val="Char Char Char13"/>
    <w:qFormat/>
  </w:style>
  <w:style w:type="character" w:customStyle="1" w:styleId="Charfffe">
    <w:name w:val="样式 表格 + 黑色 Char"/>
    <w:qFormat/>
    <w:rPr>
      <w:rFonts w:ascii="宋体" w:eastAsia="宋体" w:hAnsi="宋体"/>
      <w:snapToGrid w:val="0"/>
      <w:color w:val="000000"/>
      <w:spacing w:val="-4"/>
      <w:kern w:val="44"/>
      <w:sz w:val="21"/>
      <w:szCs w:val="21"/>
      <w:lang w:val="en-US" w:eastAsia="zh-CN" w:bidi="ar-SA"/>
    </w:rPr>
  </w:style>
  <w:style w:type="character" w:customStyle="1" w:styleId="Char36">
    <w:name w:val="纯文本 Char3"/>
    <w:uiPriority w:val="99"/>
    <w:semiHidden/>
    <w:rPr>
      <w:rFonts w:ascii="宋体" w:hAnsi="Courier New" w:cs="Courier New"/>
      <w:kern w:val="2"/>
      <w:sz w:val="21"/>
      <w:szCs w:val="21"/>
    </w:rPr>
  </w:style>
  <w:style w:type="character" w:customStyle="1" w:styleId="style91">
    <w:name w:val="style91"/>
    <w:rPr>
      <w:color w:val="000000"/>
      <w:sz w:val="14"/>
      <w:szCs w:val="14"/>
      <w:u w:val="none"/>
    </w:rPr>
  </w:style>
  <w:style w:type="character" w:customStyle="1" w:styleId="CharGB2312CharChar">
    <w:name w:val="样式 样式 正文文本缩进特点标题正文文本缩进 Char + 黑色 + (西文) 楷体_GB2312 Char Char"/>
    <w:link w:val="CharGB2312"/>
    <w:rPr>
      <w:rFonts w:ascii="楷体_GB2312" w:hAnsi="楷体_GB2312"/>
      <w:b/>
      <w:color w:val="000000"/>
      <w:szCs w:val="21"/>
    </w:rPr>
  </w:style>
  <w:style w:type="paragraph" w:customStyle="1" w:styleId="CharGB2312">
    <w:name w:val="样式 样式 正文文本缩进特点标题正文文本缩进 Char + 黑色 + (西文) 楷体_GB2312"/>
    <w:basedOn w:val="a2"/>
    <w:link w:val="CharGB2312CharChar"/>
    <w:qFormat/>
    <w:pPr>
      <w:spacing w:line="360" w:lineRule="exact"/>
      <w:jc w:val="center"/>
    </w:pPr>
    <w:rPr>
      <w:rFonts w:ascii="楷体_GB2312" w:hAnsi="楷体_GB2312"/>
      <w:b/>
      <w:color w:val="000000"/>
    </w:rPr>
  </w:style>
  <w:style w:type="character" w:customStyle="1" w:styleId="Batang110">
    <w:name w:val="正文文本 + Batang110"/>
    <w:rPr>
      <w:rFonts w:ascii="Batang" w:eastAsia="Batang" w:cs="Batang"/>
      <w:spacing w:val="20"/>
      <w:sz w:val="26"/>
      <w:szCs w:val="26"/>
      <w:u w:val="none"/>
      <w:lang w:val="en-US" w:eastAsia="en-US"/>
    </w:rPr>
  </w:style>
  <w:style w:type="character" w:customStyle="1" w:styleId="Char45">
    <w:name w:val="批注文字 Char4"/>
    <w:uiPriority w:val="99"/>
    <w:semiHidden/>
  </w:style>
  <w:style w:type="character" w:customStyle="1" w:styleId="CharChar13">
    <w:name w:val="Char Char13"/>
    <w:link w:val="Char80"/>
    <w:rPr>
      <w:rFonts w:eastAsia="宋体"/>
      <w:sz w:val="18"/>
    </w:rPr>
  </w:style>
  <w:style w:type="paragraph" w:customStyle="1" w:styleId="Char80">
    <w:name w:val="Char8"/>
    <w:basedOn w:val="a2"/>
    <w:link w:val="CharChar13"/>
    <w:qFormat/>
    <w:rPr>
      <w:rFonts w:eastAsia="宋体"/>
      <w:sz w:val="18"/>
      <w:szCs w:val="22"/>
    </w:rPr>
  </w:style>
  <w:style w:type="character" w:customStyle="1" w:styleId="-02-021CharChar">
    <w:name w:val="样式 表 + 左侧:  -0.2 字符 右侧:  -0.2 字符1 Char Char"/>
    <w:link w:val="-02-021"/>
    <w:rPr>
      <w:rFonts w:ascii="Arial" w:eastAsia="仿宋_GB2312" w:hAnsi="Arial" w:cs="宋体"/>
      <w:szCs w:val="21"/>
    </w:rPr>
  </w:style>
  <w:style w:type="paragraph" w:customStyle="1" w:styleId="-02-021">
    <w:name w:val="样式 表 + 左侧:  -0.2 字符 右侧:  -0.2 字符1"/>
    <w:basedOn w:val="9"/>
    <w:link w:val="-02-021CharChar"/>
    <w:qFormat/>
    <w:pPr>
      <w:keepNext w:val="0"/>
      <w:keepLines w:val="0"/>
      <w:tabs>
        <w:tab w:val="clear" w:pos="165"/>
      </w:tabs>
      <w:spacing w:before="0" w:after="0" w:line="240" w:lineRule="auto"/>
      <w:ind w:leftChars="-20" w:left="-20" w:rightChars="-20" w:right="-20" w:firstLine="19"/>
      <w:jc w:val="center"/>
      <w:textAlignment w:val="baseline"/>
      <w:outlineLvl w:val="9"/>
    </w:pPr>
    <w:rPr>
      <w:rFonts w:eastAsia="仿宋_GB2312" w:cs="宋体"/>
    </w:rPr>
  </w:style>
  <w:style w:type="character" w:customStyle="1" w:styleId="header11">
    <w:name w:val="header11"/>
    <w:rPr>
      <w:rFonts w:ascii="Verdana" w:hAnsi="Verdana"/>
      <w:b/>
      <w:bCs/>
      <w:color w:val="000000"/>
      <w:sz w:val="24"/>
      <w:szCs w:val="24"/>
    </w:rPr>
  </w:style>
  <w:style w:type="character" w:customStyle="1" w:styleId="-02-021CharChar0">
    <w:name w:val="样式 样式 表 + 左侧:  -0.2 字符 右侧:  -0.2 字符1 + 宋体 Char Char"/>
    <w:basedOn w:val="-02-021CharChar"/>
    <w:link w:val="-02-0210"/>
    <w:rPr>
      <w:rFonts w:ascii="Arial" w:eastAsia="仿宋_GB2312" w:hAnsi="Arial" w:cs="宋体"/>
      <w:szCs w:val="21"/>
    </w:rPr>
  </w:style>
  <w:style w:type="paragraph" w:customStyle="1" w:styleId="-02-0210">
    <w:name w:val="样式 样式 表 + 左侧:  -0.2 字符 右侧:  -0.2 字符1 + 宋体"/>
    <w:basedOn w:val="-02-021"/>
    <w:link w:val="-02-021CharChar0"/>
    <w:qFormat/>
  </w:style>
  <w:style w:type="character" w:customStyle="1" w:styleId="CharCharff5">
    <w:name w:val="表格五号 Char Char"/>
    <w:link w:val="affffff9"/>
    <w:rPr>
      <w:rFonts w:ascii="宋体" w:hAnsi="宋体"/>
      <w:szCs w:val="21"/>
    </w:rPr>
  </w:style>
  <w:style w:type="paragraph" w:customStyle="1" w:styleId="affffff9">
    <w:name w:val="表格五号"/>
    <w:basedOn w:val="a2"/>
    <w:link w:val="CharCharff5"/>
    <w:qFormat/>
    <w:pPr>
      <w:snapToGrid w:val="0"/>
      <w:jc w:val="center"/>
    </w:pPr>
    <w:rPr>
      <w:rFonts w:ascii="宋体" w:hAnsi="宋体"/>
    </w:rPr>
  </w:style>
  <w:style w:type="character" w:customStyle="1" w:styleId="2f2">
    <w:name w:val="访问过的超链接2"/>
    <w:rPr>
      <w:rFonts w:hint="default"/>
      <w:color w:val="800080"/>
      <w:u w:val="single"/>
    </w:rPr>
  </w:style>
  <w:style w:type="character" w:customStyle="1" w:styleId="bz-content1">
    <w:name w:val="bz-content1"/>
    <w:rPr>
      <w:sz w:val="20"/>
      <w:szCs w:val="20"/>
      <w:u w:val="none"/>
    </w:rPr>
  </w:style>
  <w:style w:type="character" w:customStyle="1" w:styleId="Charffff">
    <w:name w:val="表的标题 Char"/>
    <w:link w:val="affffffa"/>
    <w:rPr>
      <w:b/>
      <w:sz w:val="24"/>
      <w:szCs w:val="24"/>
    </w:rPr>
  </w:style>
  <w:style w:type="paragraph" w:customStyle="1" w:styleId="affffffa">
    <w:name w:val="表的标题"/>
    <w:basedOn w:val="a2"/>
    <w:link w:val="Charffff"/>
    <w:pPr>
      <w:autoSpaceDE/>
      <w:autoSpaceDN/>
      <w:adjustRightInd/>
      <w:spacing w:beforeLines="50" w:line="360" w:lineRule="auto"/>
      <w:ind w:firstLineChars="147" w:firstLine="354"/>
      <w:jc w:val="center"/>
    </w:pPr>
    <w:rPr>
      <w:b/>
      <w:sz w:val="24"/>
      <w:szCs w:val="24"/>
    </w:rPr>
  </w:style>
  <w:style w:type="character" w:customStyle="1" w:styleId="1fa">
    <w:name w:val="不明显参考1"/>
    <w:qFormat/>
    <w:rPr>
      <w:sz w:val="24"/>
      <w:szCs w:val="24"/>
      <w:u w:val="single"/>
    </w:rPr>
  </w:style>
  <w:style w:type="character" w:customStyle="1" w:styleId="5Char3">
    <w:name w:val="标5 Char"/>
    <w:link w:val="59"/>
    <w:rPr>
      <w:rFonts w:eastAsia="黑体"/>
      <w:b/>
      <w:bCs/>
      <w:sz w:val="28"/>
      <w:szCs w:val="24"/>
    </w:rPr>
  </w:style>
  <w:style w:type="paragraph" w:customStyle="1" w:styleId="59">
    <w:name w:val="标5"/>
    <w:basedOn w:val="41"/>
    <w:link w:val="5Char3"/>
    <w:qFormat/>
    <w:pPr>
      <w:tabs>
        <w:tab w:val="left" w:pos="360"/>
      </w:tabs>
      <w:snapToGrid w:val="0"/>
      <w:spacing w:beforeLines="0" w:before="240" w:after="120"/>
      <w:ind w:leftChars="0" w:left="360" w:rightChars="0" w:right="0" w:hangingChars="200" w:hanging="360"/>
      <w:jc w:val="both"/>
      <w:outlineLvl w:val="9"/>
    </w:pPr>
    <w:rPr>
      <w:rFonts w:asciiTheme="minorHAnsi"/>
      <w:b/>
      <w:szCs w:val="24"/>
    </w:rPr>
  </w:style>
  <w:style w:type="character" w:customStyle="1" w:styleId="4Char1">
    <w:name w:val="黄桥标题4 Char"/>
  </w:style>
  <w:style w:type="character" w:customStyle="1" w:styleId="CharCharff6">
    <w:name w:val="插图标题 Char Char"/>
    <w:link w:val="affffffb"/>
    <w:rPr>
      <w:rFonts w:eastAsia="黑体"/>
      <w:color w:val="0000FF"/>
      <w:spacing w:val="8"/>
      <w:sz w:val="24"/>
    </w:rPr>
  </w:style>
  <w:style w:type="paragraph" w:customStyle="1" w:styleId="affffffb">
    <w:name w:val="插图标题"/>
    <w:basedOn w:val="a2"/>
    <w:link w:val="CharCharff6"/>
    <w:qFormat/>
    <w:pPr>
      <w:spacing w:before="120" w:line="400" w:lineRule="exact"/>
      <w:jc w:val="center"/>
      <w:textAlignment w:val="baseline"/>
    </w:pPr>
    <w:rPr>
      <w:rFonts w:eastAsia="黑体"/>
      <w:color w:val="0000FF"/>
      <w:spacing w:val="8"/>
      <w:sz w:val="24"/>
      <w:szCs w:val="22"/>
    </w:rPr>
  </w:style>
  <w:style w:type="character" w:customStyle="1" w:styleId="small14">
    <w:name w:val="small14"/>
  </w:style>
  <w:style w:type="character" w:customStyle="1" w:styleId="Charffff0">
    <w:name w:val="条名 Char"/>
    <w:rPr>
      <w:rFonts w:ascii="Arial" w:hAnsi="Arial"/>
      <w:bCs/>
      <w:color w:val="000000"/>
      <w:sz w:val="28"/>
      <w:szCs w:val="32"/>
    </w:rPr>
  </w:style>
  <w:style w:type="character" w:customStyle="1" w:styleId="hs1">
    <w:name w:val="hs1"/>
    <w:rPr>
      <w:rFonts w:eastAsia="宋体"/>
      <w:color w:val="000000"/>
      <w:kern w:val="2"/>
      <w:sz w:val="18"/>
      <w:szCs w:val="18"/>
      <w:u w:val="none"/>
      <w:lang w:val="en-US" w:eastAsia="zh-CN" w:bidi="ar-SA"/>
    </w:rPr>
  </w:style>
  <w:style w:type="character" w:customStyle="1" w:styleId="Charffff1">
    <w:name w:val="小四表文 Char"/>
    <w:link w:val="affffffc"/>
    <w:rPr>
      <w:snapToGrid w:val="0"/>
      <w:sz w:val="24"/>
      <w:szCs w:val="24"/>
    </w:rPr>
  </w:style>
  <w:style w:type="paragraph" w:customStyle="1" w:styleId="affffffc">
    <w:name w:val="小四表文"/>
    <w:link w:val="Charffff1"/>
    <w:qFormat/>
    <w:pPr>
      <w:adjustRightInd w:val="0"/>
      <w:snapToGrid w:val="0"/>
      <w:jc w:val="center"/>
    </w:pPr>
    <w:rPr>
      <w:snapToGrid w:val="0"/>
      <w:kern w:val="2"/>
      <w:sz w:val="24"/>
      <w:szCs w:val="24"/>
    </w:rPr>
  </w:style>
  <w:style w:type="character" w:customStyle="1" w:styleId="1fb">
    <w:name w:val="要点1"/>
    <w:qFormat/>
    <w:rPr>
      <w:b/>
    </w:rPr>
  </w:style>
  <w:style w:type="character" w:customStyle="1" w:styleId="bold1">
    <w:name w:val="bold1"/>
    <w:qFormat/>
    <w:rPr>
      <w:rFonts w:ascii="Tahoma" w:hAnsi="Tahoma" w:cs="Tahoma" w:hint="default"/>
      <w:b/>
      <w:bCs/>
      <w:sz w:val="18"/>
      <w:szCs w:val="18"/>
      <w:bdr w:val="single" w:sz="6" w:space="0" w:color="BBE9FF"/>
      <w:shd w:val="clear" w:color="auto" w:fill="FFFFFF"/>
    </w:rPr>
  </w:style>
  <w:style w:type="character" w:customStyle="1" w:styleId="14fz1">
    <w:name w:val="14fz1"/>
    <w:rPr>
      <w:rFonts w:hint="default"/>
      <w:color w:val="000000"/>
      <w:sz w:val="32"/>
      <w:szCs w:val="32"/>
    </w:rPr>
  </w:style>
  <w:style w:type="character" w:customStyle="1" w:styleId="136Char">
    <w:name w:val="样式136 Char"/>
    <w:rPr>
      <w:rFonts w:ascii="宋体" w:eastAsia="宋体" w:hAnsi="宋体" w:cs="Times New Roman"/>
      <w:snapToGrid w:val="0"/>
      <w:color w:val="FF0000"/>
      <w:kern w:val="0"/>
      <w:sz w:val="24"/>
      <w:szCs w:val="24"/>
    </w:rPr>
  </w:style>
  <w:style w:type="character" w:customStyle="1" w:styleId="1fc">
    <w:name w:val="纯文本 字符1"/>
    <w:uiPriority w:val="99"/>
    <w:semiHidden/>
    <w:qFormat/>
    <w:rPr>
      <w:rFonts w:ascii="宋体" w:hAnsi="Courier New" w:cs="Courier New"/>
      <w:kern w:val="2"/>
      <w:sz w:val="21"/>
      <w:szCs w:val="21"/>
    </w:rPr>
  </w:style>
  <w:style w:type="character" w:customStyle="1" w:styleId="Charffff2">
    <w:name w:val="周正 Char"/>
    <w:qFormat/>
    <w:rPr>
      <w:rFonts w:ascii="Tahoma" w:eastAsia="Tahoma" w:hAnsi="Tahoma"/>
      <w:kern w:val="2"/>
      <w:sz w:val="21"/>
      <w:lang w:val="en-US"/>
    </w:rPr>
  </w:style>
  <w:style w:type="character" w:customStyle="1" w:styleId="nikey1">
    <w:name w:val="nikey1"/>
    <w:qFormat/>
    <w:rPr>
      <w:rFonts w:ascii="Verdana" w:hAnsi="Verdana" w:hint="default"/>
      <w:color w:val="000000"/>
      <w:sz w:val="18"/>
    </w:rPr>
  </w:style>
  <w:style w:type="character" w:customStyle="1" w:styleId="bfont">
    <w:name w:val="bfont"/>
    <w:qFormat/>
  </w:style>
  <w:style w:type="character" w:customStyle="1" w:styleId="A3CharChar">
    <w:name w:val="A3 Char Char"/>
    <w:link w:val="A30"/>
    <w:qFormat/>
    <w:rPr>
      <w:bCs/>
      <w:sz w:val="28"/>
      <w:szCs w:val="28"/>
    </w:rPr>
  </w:style>
  <w:style w:type="paragraph" w:customStyle="1" w:styleId="A30">
    <w:name w:val="A3"/>
    <w:basedOn w:val="32"/>
    <w:link w:val="A3CharChar"/>
    <w:qFormat/>
    <w:pPr>
      <w:tabs>
        <w:tab w:val="left" w:pos="652"/>
      </w:tabs>
      <w:jc w:val="both"/>
    </w:pPr>
    <w:rPr>
      <w:b w:val="0"/>
      <w:sz w:val="28"/>
      <w:szCs w:val="28"/>
    </w:rPr>
  </w:style>
  <w:style w:type="character" w:customStyle="1" w:styleId="2Charb">
    <w:name w:val="标题2级 Char"/>
    <w:rPr>
      <w:rFonts w:ascii="Times New Roman" w:eastAsia="宋体" w:hAnsi="Times New Roman"/>
      <w:b/>
      <w:sz w:val="28"/>
    </w:rPr>
  </w:style>
  <w:style w:type="character" w:customStyle="1" w:styleId="136CharChar">
    <w:name w:val="样式136 Char Char"/>
    <w:link w:val="136"/>
    <w:rPr>
      <w:rFonts w:ascii="宋体" w:hAnsi="宋体"/>
      <w:color w:val="FF0000"/>
      <w:sz w:val="24"/>
      <w:szCs w:val="24"/>
    </w:rPr>
  </w:style>
  <w:style w:type="paragraph" w:customStyle="1" w:styleId="136">
    <w:name w:val="样式136"/>
    <w:basedOn w:val="a2"/>
    <w:link w:val="136CharChar"/>
    <w:qFormat/>
    <w:pPr>
      <w:spacing w:beforeLines="50" w:afterLines="50" w:line="360" w:lineRule="auto"/>
      <w:ind w:firstLineChars="200" w:firstLine="480"/>
      <w:jc w:val="both"/>
    </w:pPr>
    <w:rPr>
      <w:rFonts w:ascii="宋体" w:hAnsi="宋体"/>
      <w:color w:val="FF0000"/>
      <w:sz w:val="24"/>
      <w:szCs w:val="24"/>
    </w:rPr>
  </w:style>
  <w:style w:type="character" w:customStyle="1" w:styleId="hg1">
    <w:name w:val="hg1"/>
  </w:style>
  <w:style w:type="character" w:customStyle="1" w:styleId="CharCharCharChar13">
    <w:name w:val="Char Char Char Char13"/>
    <w:rPr>
      <w:rFonts w:eastAsia="宋体"/>
      <w:kern w:val="2"/>
      <w:sz w:val="24"/>
      <w:szCs w:val="24"/>
      <w:lang w:val="en-US" w:eastAsia="zh-CN" w:bidi="ar-SA"/>
    </w:rPr>
  </w:style>
  <w:style w:type="character" w:customStyle="1" w:styleId="CharChar63">
    <w:name w:val="Char Char63"/>
    <w:rPr>
      <w:rFonts w:ascii="楷体_GB2312" w:eastAsia="楷体_GB2312"/>
      <w:b/>
      <w:bCs/>
      <w:kern w:val="44"/>
      <w:sz w:val="32"/>
      <w:szCs w:val="44"/>
      <w:lang w:val="en-US" w:eastAsia="zh-CN" w:bidi="ar-SA"/>
    </w:rPr>
  </w:style>
  <w:style w:type="character" w:customStyle="1" w:styleId="text12black31">
    <w:name w:val="text_12_black31"/>
    <w:rPr>
      <w:color w:val="000000"/>
      <w:sz w:val="16"/>
      <w:szCs w:val="16"/>
    </w:rPr>
  </w:style>
  <w:style w:type="character" w:customStyle="1" w:styleId="bl91">
    <w:name w:val="bl91"/>
    <w:rPr>
      <w:color w:val="000000"/>
      <w:sz w:val="18"/>
      <w:szCs w:val="18"/>
    </w:rPr>
  </w:style>
  <w:style w:type="character" w:customStyle="1" w:styleId="CharChar52">
    <w:name w:val="Char Char52"/>
    <w:locked/>
    <w:rPr>
      <w:rFonts w:ascii="宋体" w:eastAsia="宋体" w:hAnsi="宋体"/>
      <w:kern w:val="2"/>
      <w:sz w:val="21"/>
      <w:szCs w:val="24"/>
      <w:lang w:val="en-US" w:eastAsia="zh-CN" w:bidi="ar-SA"/>
    </w:rPr>
  </w:style>
  <w:style w:type="character" w:customStyle="1" w:styleId="Char1f1">
    <w:name w:val="题注 Char1"/>
    <w:rPr>
      <w:rFonts w:ascii="黑体" w:eastAsia="黑体" w:cs="Times New Roman"/>
      <w:kern w:val="2"/>
      <w:sz w:val="21"/>
      <w:szCs w:val="21"/>
      <w:lang w:val="en-US" w:eastAsia="zh-CN"/>
    </w:rPr>
  </w:style>
  <w:style w:type="character" w:customStyle="1" w:styleId="text11">
    <w:name w:val="text11"/>
    <w:rPr>
      <w:rFonts w:ascii="宋" w:eastAsia="宋" w:hint="eastAsia"/>
      <w:color w:val="000000"/>
      <w:sz w:val="18"/>
      <w:u w:val="none"/>
    </w:rPr>
  </w:style>
  <w:style w:type="character" w:customStyle="1" w:styleId="telephone">
    <w:name w:val="telephone"/>
    <w:basedOn w:val="a4"/>
  </w:style>
  <w:style w:type="character" w:customStyle="1" w:styleId="CharChar114">
    <w:name w:val="Char Char114"/>
    <w:rPr>
      <w:rFonts w:ascii="仿宋_GB2312" w:eastAsia="仿宋_GB2312"/>
      <w:b/>
      <w:bCs/>
      <w:kern w:val="44"/>
      <w:sz w:val="32"/>
      <w:szCs w:val="44"/>
      <w:lang w:val="en-US" w:eastAsia="zh-CN" w:bidi="ar-SA"/>
    </w:rPr>
  </w:style>
  <w:style w:type="character" w:customStyle="1" w:styleId="142TimesNewRoman1Char">
    <w:name w:val="样式 样式 样式 宋体 小四 行距: 多倍行距 1.4 字行2 + 黑色 + Times New Roman1 Char"/>
    <w:rPr>
      <w:rFonts w:eastAsia="宋体" w:cs="宋体"/>
      <w:color w:val="000000"/>
      <w:kern w:val="2"/>
      <w:sz w:val="24"/>
      <w:lang w:val="en-US" w:eastAsia="zh-CN" w:bidi="ar-SA"/>
    </w:rPr>
  </w:style>
  <w:style w:type="character" w:customStyle="1" w:styleId="Char1f2">
    <w:name w:val="标题 Char1"/>
    <w:locked/>
    <w:rPr>
      <w:rFonts w:ascii="Arial" w:hAnsi="Arial"/>
      <w:b/>
      <w:kern w:val="2"/>
      <w:sz w:val="32"/>
    </w:rPr>
  </w:style>
  <w:style w:type="character" w:customStyle="1" w:styleId="mChar">
    <w:name w:val="正文（首行缩进两字）m Char"/>
    <w:link w:val="m"/>
    <w:rPr>
      <w:color w:val="339966"/>
      <w:sz w:val="24"/>
    </w:rPr>
  </w:style>
  <w:style w:type="paragraph" w:customStyle="1" w:styleId="m">
    <w:name w:val="正文（首行缩进两字）m"/>
    <w:basedOn w:val="a3"/>
    <w:link w:val="mChar"/>
    <w:pPr>
      <w:tabs>
        <w:tab w:val="left" w:pos="1848"/>
        <w:tab w:val="left" w:pos="6061"/>
        <w:tab w:val="left" w:pos="8665"/>
      </w:tabs>
      <w:autoSpaceDE/>
      <w:autoSpaceDN/>
      <w:snapToGrid w:val="0"/>
      <w:spacing w:beforeLines="50" w:before="163" w:line="460" w:lineRule="exact"/>
      <w:ind w:firstLine="480"/>
      <w:jc w:val="both"/>
    </w:pPr>
    <w:rPr>
      <w:rFonts w:eastAsiaTheme="minorEastAsia"/>
      <w:color w:val="339966"/>
      <w:sz w:val="24"/>
      <w:szCs w:val="22"/>
    </w:rPr>
  </w:style>
  <w:style w:type="character" w:customStyle="1" w:styleId="style181">
    <w:name w:val="style181"/>
    <w:rPr>
      <w:color w:val="666666"/>
      <w:sz w:val="18"/>
      <w:szCs w:val="18"/>
    </w:rPr>
  </w:style>
  <w:style w:type="character" w:customStyle="1" w:styleId="CharCharff7">
    <w:name w:val="报告书正文 Char Char"/>
    <w:link w:val="affffffd"/>
    <w:rPr>
      <w:color w:val="000000"/>
      <w:sz w:val="24"/>
    </w:rPr>
  </w:style>
  <w:style w:type="paragraph" w:customStyle="1" w:styleId="affffffd">
    <w:name w:val="报告书正文"/>
    <w:basedOn w:val="affffffe"/>
    <w:link w:val="CharCharff7"/>
    <w:qFormat/>
    <w:pPr>
      <w:autoSpaceDE/>
      <w:autoSpaceDN/>
      <w:adjustRightInd/>
      <w:spacing w:line="520" w:lineRule="exact"/>
      <w:ind w:firstLine="514"/>
      <w:textAlignment w:val="auto"/>
    </w:pPr>
    <w:rPr>
      <w:rFonts w:asciiTheme="minorHAnsi" w:hAnsiTheme="minorHAnsi"/>
      <w:color w:val="000000"/>
      <w:szCs w:val="22"/>
    </w:rPr>
  </w:style>
  <w:style w:type="paragraph" w:customStyle="1" w:styleId="affffffe">
    <w:name w:val="正文段落"/>
    <w:basedOn w:val="a2"/>
    <w:qFormat/>
    <w:pPr>
      <w:spacing w:line="500" w:lineRule="exact"/>
      <w:ind w:firstLineChars="200" w:firstLine="200"/>
      <w:textAlignment w:val="baseline"/>
    </w:pPr>
    <w:rPr>
      <w:rFonts w:ascii="宋体" w:hAnsi="Tms Rmn"/>
      <w:sz w:val="24"/>
    </w:rPr>
  </w:style>
  <w:style w:type="character" w:customStyle="1" w:styleId="210">
    <w:name w:val="页码21"/>
  </w:style>
  <w:style w:type="character" w:customStyle="1" w:styleId="zhong1">
    <w:name w:val="zhong1"/>
    <w:rPr>
      <w:color w:val="000000"/>
      <w:sz w:val="18"/>
      <w:szCs w:val="18"/>
    </w:rPr>
  </w:style>
  <w:style w:type="character" w:customStyle="1" w:styleId="CharCharff8">
    <w:name w:val="表注 Char Char"/>
    <w:link w:val="afffffff"/>
    <w:rPr>
      <w:rFonts w:eastAsia="楷体_GB2312"/>
    </w:rPr>
  </w:style>
  <w:style w:type="paragraph" w:customStyle="1" w:styleId="afffffff">
    <w:name w:val="表注"/>
    <w:next w:val="a2"/>
    <w:link w:val="CharCharff8"/>
    <w:qFormat/>
    <w:pPr>
      <w:spacing w:beforeLines="50" w:before="50" w:afterLines="50" w:after="50" w:line="360" w:lineRule="auto"/>
      <w:ind w:firstLineChars="200" w:firstLine="200"/>
    </w:pPr>
    <w:rPr>
      <w:rFonts w:eastAsia="楷体_GB2312"/>
      <w:kern w:val="2"/>
      <w:sz w:val="21"/>
      <w:szCs w:val="21"/>
    </w:rPr>
  </w:style>
  <w:style w:type="character" w:customStyle="1" w:styleId="Char450">
    <w:name w:val="Char45"/>
    <w:rPr>
      <w:rFonts w:ascii="仿宋_GB2312" w:eastAsia="仿宋_GB2312" w:hint="eastAsia"/>
      <w:kern w:val="2"/>
      <w:sz w:val="28"/>
      <w:lang w:val="en-US" w:eastAsia="zh-CN"/>
    </w:rPr>
  </w:style>
  <w:style w:type="character" w:customStyle="1" w:styleId="074GB2312CharChar">
    <w:name w:val="样式 样式 首行缩进:  0.74 厘米 + 仿宋_GB2312 Char Char"/>
    <w:basedOn w:val="074CharChar"/>
    <w:link w:val="074GB2312"/>
    <w:rPr>
      <w:rFonts w:eastAsia="仿宋_GB2312" w:cs="宋体"/>
      <w:sz w:val="24"/>
      <w:szCs w:val="24"/>
    </w:rPr>
  </w:style>
  <w:style w:type="character" w:customStyle="1" w:styleId="074CharChar">
    <w:name w:val="样式 首行缩进:  0.74 厘米 Char Char"/>
    <w:link w:val="074"/>
    <w:rPr>
      <w:rFonts w:eastAsia="仿宋_GB2312" w:cs="宋体"/>
      <w:sz w:val="24"/>
      <w:szCs w:val="24"/>
    </w:rPr>
  </w:style>
  <w:style w:type="paragraph" w:customStyle="1" w:styleId="074">
    <w:name w:val="样式 首行缩进:  0.74 厘米"/>
    <w:basedOn w:val="a2"/>
    <w:link w:val="074CharChar"/>
    <w:qFormat/>
    <w:pPr>
      <w:spacing w:before="60"/>
      <w:ind w:firstLine="420"/>
      <w:jc w:val="both"/>
      <w:textAlignment w:val="baseline"/>
    </w:pPr>
    <w:rPr>
      <w:rFonts w:eastAsia="仿宋_GB2312" w:cs="宋体"/>
      <w:sz w:val="24"/>
      <w:szCs w:val="24"/>
    </w:rPr>
  </w:style>
  <w:style w:type="paragraph" w:customStyle="1" w:styleId="074GB2312">
    <w:name w:val="样式 样式 首行缩进:  0.74 厘米 + 仿宋_GB2312"/>
    <w:basedOn w:val="074"/>
    <w:link w:val="074GB2312CharChar"/>
    <w:qFormat/>
    <w:pPr>
      <w:spacing w:before="0"/>
      <w:ind w:firstLine="0"/>
      <w:jc w:val="center"/>
    </w:pPr>
  </w:style>
  <w:style w:type="character" w:customStyle="1" w:styleId="Char1f3">
    <w:name w:val="标准样式 Char1"/>
    <w:link w:val="afffffff0"/>
    <w:rPr>
      <w:sz w:val="28"/>
    </w:rPr>
  </w:style>
  <w:style w:type="paragraph" w:customStyle="1" w:styleId="afffffff0">
    <w:name w:val="标准样式"/>
    <w:basedOn w:val="a2"/>
    <w:link w:val="Char1f3"/>
    <w:pPr>
      <w:autoSpaceDE/>
      <w:autoSpaceDN/>
      <w:adjustRightInd/>
      <w:spacing w:line="600" w:lineRule="exact"/>
      <w:ind w:firstLine="567"/>
      <w:jc w:val="both"/>
    </w:pPr>
    <w:rPr>
      <w:szCs w:val="22"/>
    </w:rPr>
  </w:style>
  <w:style w:type="character" w:customStyle="1" w:styleId="Charffff3">
    <w:name w:val="表头或表尾 Char"/>
    <w:link w:val="afffffff1"/>
    <w:rPr>
      <w:b/>
      <w:sz w:val="24"/>
      <w:szCs w:val="24"/>
    </w:rPr>
  </w:style>
  <w:style w:type="paragraph" w:customStyle="1" w:styleId="afffffff1">
    <w:name w:val="表头或表尾"/>
    <w:basedOn w:val="a2"/>
    <w:next w:val="a2"/>
    <w:link w:val="Charffff3"/>
    <w:qFormat/>
    <w:pPr>
      <w:autoSpaceDE/>
      <w:autoSpaceDN/>
      <w:adjustRightInd/>
      <w:spacing w:beforeLines="20" w:afterLines="20"/>
      <w:jc w:val="center"/>
    </w:pPr>
    <w:rPr>
      <w:b/>
      <w:sz w:val="24"/>
      <w:szCs w:val="24"/>
    </w:rPr>
  </w:style>
  <w:style w:type="character" w:customStyle="1" w:styleId="CharjophyChar">
    <w:name w:val="正文（首行缩进） Charjophy Char"/>
    <w:rPr>
      <w:rFonts w:ascii="Times New Roman" w:eastAsia="宋体" w:hAnsi="Times New Roman" w:cs="Times New Roman"/>
      <w:snapToGrid w:val="0"/>
      <w:sz w:val="24"/>
      <w:szCs w:val="24"/>
    </w:rPr>
  </w:style>
  <w:style w:type="character" w:customStyle="1" w:styleId="listcontents1">
    <w:name w:val="listcontents1"/>
    <w:rPr>
      <w:color w:val="000000"/>
      <w:spacing w:val="480"/>
      <w:sz w:val="14"/>
      <w:szCs w:val="14"/>
    </w:rPr>
  </w:style>
  <w:style w:type="character" w:customStyle="1" w:styleId="CharCharCharChar0">
    <w:name w:val="四 Char Char Char Char"/>
    <w:rPr>
      <w:rFonts w:ascii="Arial" w:eastAsia="黑体" w:hAnsi="Arial"/>
      <w:b/>
      <w:bCs/>
      <w:kern w:val="2"/>
      <w:sz w:val="28"/>
      <w:szCs w:val="28"/>
      <w:lang w:val="en-US" w:eastAsia="zh-CN" w:bidi="ar-SA"/>
    </w:rPr>
  </w:style>
  <w:style w:type="character" w:customStyle="1" w:styleId="142TimesNewRoman1CharChar">
    <w:name w:val="样式 样式 样式 宋体 小四 行距: 多倍行距 1.4 字行2 + 黑色 + Times New Roman1 Char Char"/>
    <w:link w:val="142TimesNewRoman1"/>
    <w:rPr>
      <w:rFonts w:eastAsia="宋体" w:cs="宋体"/>
      <w:color w:val="000000"/>
      <w:sz w:val="24"/>
    </w:rPr>
  </w:style>
  <w:style w:type="paragraph" w:customStyle="1" w:styleId="142TimesNewRoman1">
    <w:name w:val="样式 样式 样式 宋体 小四 行距: 多倍行距 1.4 字行2 + 黑色 + Times New Roman1"/>
    <w:basedOn w:val="a2"/>
    <w:link w:val="142TimesNewRoman1CharChar"/>
    <w:qFormat/>
    <w:pPr>
      <w:spacing w:line="360" w:lineRule="auto"/>
      <w:ind w:firstLineChars="200" w:firstLine="200"/>
    </w:pPr>
    <w:rPr>
      <w:rFonts w:eastAsia="宋体" w:cs="宋体"/>
      <w:color w:val="000000"/>
      <w:sz w:val="24"/>
      <w:szCs w:val="22"/>
    </w:rPr>
  </w:style>
  <w:style w:type="character" w:customStyle="1" w:styleId="Char2e">
    <w:name w:val="注释标题 Char2"/>
    <w:uiPriority w:val="99"/>
    <w:semiHidden/>
    <w:rPr>
      <w:kern w:val="2"/>
      <w:sz w:val="21"/>
      <w:szCs w:val="22"/>
    </w:rPr>
  </w:style>
  <w:style w:type="character" w:customStyle="1" w:styleId="Charffff4">
    <w:name w:val="表项 Char"/>
    <w:rPr>
      <w:rFonts w:eastAsia="宋体"/>
      <w:kern w:val="2"/>
      <w:sz w:val="28"/>
      <w:szCs w:val="28"/>
      <w:lang w:val="en-US" w:eastAsia="zh-CN" w:bidi="ar-SA"/>
    </w:rPr>
  </w:style>
  <w:style w:type="character" w:customStyle="1" w:styleId="Charffff5">
    <w:name w:val="样式 小四 Char"/>
    <w:rPr>
      <w:rFonts w:ascii="Times New Roman" w:hAnsi="Times New Roman"/>
      <w:sz w:val="24"/>
    </w:rPr>
  </w:style>
  <w:style w:type="character" w:customStyle="1" w:styleId="27CharChar">
    <w:name w:val="样式27 Char Char"/>
    <w:link w:val="270"/>
    <w:rPr>
      <w:rFonts w:ascii="宋体" w:eastAsia="仿宋_GB2312" w:hAnsi="宋体"/>
      <w:sz w:val="28"/>
    </w:rPr>
  </w:style>
  <w:style w:type="paragraph" w:customStyle="1" w:styleId="270">
    <w:name w:val="样式27"/>
    <w:basedOn w:val="a2"/>
    <w:link w:val="27CharChar"/>
    <w:qFormat/>
    <w:pPr>
      <w:snapToGrid w:val="0"/>
      <w:spacing w:line="353" w:lineRule="auto"/>
      <w:ind w:firstLineChars="200" w:firstLine="200"/>
    </w:pPr>
    <w:rPr>
      <w:rFonts w:ascii="宋体" w:eastAsia="仿宋_GB2312" w:hAnsi="宋体"/>
      <w:szCs w:val="22"/>
    </w:rPr>
  </w:style>
  <w:style w:type="character" w:customStyle="1" w:styleId="3CharCharCharCharCharChar1">
    <w:name w:val="标题 3 Char Char Char Char Char Char1"/>
    <w:rPr>
      <w:rFonts w:eastAsia="宋体"/>
      <w:b/>
      <w:bCs/>
      <w:sz w:val="32"/>
      <w:szCs w:val="32"/>
      <w:lang w:val="en-US" w:eastAsia="zh-CN" w:bidi="ar-SA"/>
    </w:rPr>
  </w:style>
  <w:style w:type="character" w:customStyle="1" w:styleId="Charffff6">
    <w:name w:val="正文标准格式 Char"/>
    <w:rPr>
      <w:rFonts w:eastAsia="仿宋_GB2312"/>
      <w:color w:val="000000"/>
      <w:kern w:val="2"/>
      <w:sz w:val="28"/>
      <w:szCs w:val="28"/>
      <w:lang w:val="en-US" w:eastAsia="zh-CN"/>
    </w:rPr>
  </w:style>
  <w:style w:type="character" w:customStyle="1" w:styleId="41Char">
    <w:name w:val="样式 标题 4 + 图案: 清除 (白色)1 Char"/>
    <w:rPr>
      <w:rFonts w:ascii="Arial Narrow" w:eastAsia="仿宋_GB2312" w:hAnsi="Arial Narrow"/>
      <w:sz w:val="24"/>
      <w:shd w:val="clear" w:color="auto" w:fill="FFFFFF"/>
      <w:lang w:val="en-US" w:eastAsia="zh-CN" w:bidi="ar-SA"/>
    </w:rPr>
  </w:style>
  <w:style w:type="character" w:customStyle="1" w:styleId="3Char5">
    <w:name w:val="样式 标题 3 + 黑体 四号 Char"/>
    <w:rPr>
      <w:rFonts w:ascii="黑体" w:eastAsia="黑体"/>
      <w:bCs/>
      <w:kern w:val="2"/>
      <w:sz w:val="32"/>
      <w:szCs w:val="30"/>
      <w:lang w:val="en-US" w:eastAsia="zh-CN" w:bidi="ar-SA"/>
    </w:rPr>
  </w:style>
  <w:style w:type="character" w:customStyle="1" w:styleId="CharCharChar2">
    <w:name w:val="燕山正文 Char Char Char"/>
    <w:rPr>
      <w:rFonts w:ascii="Times New Roman" w:hAnsi="Times New Roman"/>
      <w:snapToGrid w:val="0"/>
      <w:color w:val="000000"/>
      <w:sz w:val="24"/>
      <w:szCs w:val="24"/>
    </w:rPr>
  </w:style>
  <w:style w:type="character" w:customStyle="1" w:styleId="Charffff7">
    <w:name w:val="【正文】 Char"/>
    <w:link w:val="afffffff2"/>
    <w:rPr>
      <w:spacing w:val="16"/>
      <w:sz w:val="24"/>
    </w:rPr>
  </w:style>
  <w:style w:type="paragraph" w:customStyle="1" w:styleId="afffffff2">
    <w:name w:val="【正文】"/>
    <w:basedOn w:val="a2"/>
    <w:link w:val="Charffff7"/>
    <w:qFormat/>
    <w:pPr>
      <w:spacing w:line="440" w:lineRule="exact"/>
      <w:ind w:firstLineChars="200" w:firstLine="544"/>
      <w:jc w:val="both"/>
    </w:pPr>
    <w:rPr>
      <w:spacing w:val="16"/>
      <w:sz w:val="24"/>
      <w:szCs w:val="22"/>
    </w:rPr>
  </w:style>
  <w:style w:type="character" w:customStyle="1" w:styleId="style11">
    <w:name w:val="style11"/>
    <w:rPr>
      <w:rFonts w:eastAsia="宋体"/>
      <w:kern w:val="2"/>
      <w:sz w:val="18"/>
      <w:szCs w:val="18"/>
      <w:lang w:val="en-US" w:eastAsia="zh-CN" w:bidi="ar-SA"/>
    </w:rPr>
  </w:style>
  <w:style w:type="character" w:customStyle="1" w:styleId="01Char">
    <w:name w:val="目录01 Char"/>
    <w:link w:val="01"/>
    <w:rPr>
      <w:rFonts w:ascii="宋体"/>
      <w:b/>
      <w:bCs/>
      <w:sz w:val="24"/>
    </w:rPr>
  </w:style>
  <w:style w:type="paragraph" w:customStyle="1" w:styleId="01">
    <w:name w:val="目录01"/>
    <w:basedOn w:val="a2"/>
    <w:link w:val="01Char"/>
    <w:qFormat/>
    <w:pPr>
      <w:spacing w:line="460" w:lineRule="exact"/>
      <w:jc w:val="both"/>
    </w:pPr>
    <w:rPr>
      <w:rFonts w:ascii="宋体"/>
      <w:b/>
      <w:bCs/>
      <w:sz w:val="24"/>
      <w:szCs w:val="22"/>
    </w:rPr>
  </w:style>
  <w:style w:type="character" w:customStyle="1" w:styleId="chenChar">
    <w:name w:val="谏壁chen表格内文字 Char"/>
    <w:rPr>
      <w:rFonts w:eastAsia="宋体"/>
      <w:kern w:val="2"/>
      <w:sz w:val="21"/>
      <w:szCs w:val="21"/>
      <w:lang w:val="en-US" w:eastAsia="zh-CN" w:bidi="ar-SA"/>
    </w:rPr>
  </w:style>
  <w:style w:type="character" w:customStyle="1" w:styleId="Charffff8">
    <w:name w:val="要点 Char"/>
    <w:rPr>
      <w:rFonts w:ascii="Times New Roman" w:eastAsia="宋体"/>
      <w:b/>
      <w:color w:val="000000"/>
      <w:spacing w:val="0"/>
      <w:w w:val="100"/>
      <w:sz w:val="21"/>
      <w:u w:val="none" w:color="000000"/>
      <w:vertAlign w:val="baseline"/>
      <w:lang w:val="en-US" w:eastAsia="zh-CN"/>
    </w:rPr>
  </w:style>
  <w:style w:type="character" w:customStyle="1" w:styleId="Char1f4">
    <w:name w:val="节 Char1"/>
    <w:rPr>
      <w:rFonts w:ascii="Arial" w:eastAsia="黑体" w:hAnsi="Arial"/>
      <w:b/>
      <w:bCs/>
      <w:kern w:val="2"/>
      <w:sz w:val="32"/>
      <w:szCs w:val="32"/>
      <w:lang w:val="en-US" w:eastAsia="zh-CN" w:bidi="ar-SA"/>
    </w:rPr>
  </w:style>
  <w:style w:type="character" w:customStyle="1" w:styleId="CharChar31">
    <w:name w:val="Char Char31"/>
    <w:locked/>
    <w:rPr>
      <w:rFonts w:ascii="宋体" w:eastAsia="宋体" w:hAnsi="宋体"/>
      <w:kern w:val="2"/>
      <w:sz w:val="21"/>
      <w:lang w:val="en-US" w:eastAsia="zh-CN" w:bidi="ar-SA"/>
    </w:rPr>
  </w:style>
  <w:style w:type="character" w:customStyle="1" w:styleId="aaCharCharChar1">
    <w:name w:val="正文aa Char Char Char1"/>
    <w:rPr>
      <w:rFonts w:eastAsia="宋体"/>
      <w:kern w:val="2"/>
      <w:sz w:val="24"/>
      <w:szCs w:val="24"/>
      <w:lang w:val="en-US" w:eastAsia="zh-CN" w:bidi="ar-SA"/>
    </w:rPr>
  </w:style>
  <w:style w:type="character" w:customStyle="1" w:styleId="Char46">
    <w:name w:val="正文文本 Char4"/>
    <w:uiPriority w:val="99"/>
    <w:semiHidden/>
  </w:style>
  <w:style w:type="character" w:customStyle="1" w:styleId="yyy1">
    <w:name w:val="yyy1"/>
    <w:rPr>
      <w:rFonts w:hint="default"/>
      <w:color w:val="FFFFFF"/>
      <w:sz w:val="21"/>
      <w:szCs w:val="21"/>
    </w:rPr>
  </w:style>
  <w:style w:type="character" w:customStyle="1" w:styleId="7Char0">
    <w:name w:val="7表格(治) Char"/>
    <w:link w:val="73"/>
    <w:rPr>
      <w:rFonts w:eastAsia="楷体_GB2312"/>
    </w:rPr>
  </w:style>
  <w:style w:type="paragraph" w:customStyle="1" w:styleId="73">
    <w:name w:val="7表格(治)"/>
    <w:link w:val="7Char0"/>
    <w:qFormat/>
    <w:pPr>
      <w:spacing w:beforeLines="50" w:before="50" w:afterLines="50" w:after="50" w:line="360" w:lineRule="auto"/>
      <w:ind w:firstLineChars="40" w:firstLine="40"/>
      <w:jc w:val="center"/>
    </w:pPr>
    <w:rPr>
      <w:rFonts w:eastAsia="楷体_GB2312"/>
      <w:kern w:val="2"/>
      <w:sz w:val="21"/>
      <w:szCs w:val="21"/>
    </w:rPr>
  </w:style>
  <w:style w:type="character" w:customStyle="1" w:styleId="flname">
    <w:name w:val="flname"/>
    <w:basedOn w:val="a4"/>
  </w:style>
  <w:style w:type="character" w:customStyle="1" w:styleId="1Charb">
    <w:name w:val="正文1 Char"/>
    <w:rPr>
      <w:rFonts w:eastAsia="宋体"/>
      <w:kern w:val="1"/>
      <w:sz w:val="28"/>
      <w:szCs w:val="28"/>
      <w:lang w:val="en-US" w:eastAsia="ar-SA" w:bidi="ar-SA"/>
    </w:rPr>
  </w:style>
  <w:style w:type="character" w:customStyle="1" w:styleId="indetail1">
    <w:name w:val="indetail1"/>
    <w:rPr>
      <w:sz w:val="18"/>
      <w:szCs w:val="18"/>
      <w:bdr w:val="single" w:sz="6" w:space="0" w:color="E2E2E2"/>
    </w:rPr>
  </w:style>
  <w:style w:type="character" w:customStyle="1" w:styleId="Char2f">
    <w:name w:val="信息标题 Char2"/>
    <w:uiPriority w:val="99"/>
    <w:semiHidden/>
    <w:rPr>
      <w:rFonts w:ascii="Calibri Light" w:eastAsia="宋体" w:hAnsi="Calibri Light" w:cs="Times New Roman"/>
      <w:kern w:val="2"/>
      <w:sz w:val="24"/>
      <w:szCs w:val="24"/>
      <w:shd w:val="pct20" w:color="auto" w:fill="auto"/>
    </w:rPr>
  </w:style>
  <w:style w:type="character" w:customStyle="1" w:styleId="CharChar14">
    <w:name w:val="Char Char14"/>
    <w:rPr>
      <w:rFonts w:ascii="幼圆" w:eastAsia="宋体" w:hAnsi="幼圆"/>
      <w:color w:val="000000"/>
      <w:kern w:val="2"/>
      <w:sz w:val="18"/>
      <w:szCs w:val="18"/>
      <w:lang w:val="en-US" w:eastAsia="zh-CN" w:bidi="ar-SA"/>
    </w:rPr>
  </w:style>
  <w:style w:type="character" w:customStyle="1" w:styleId="Char37">
    <w:name w:val="题注 Char3"/>
    <w:rPr>
      <w:rFonts w:ascii="Arial" w:eastAsia="黑体" w:hAnsi="Arial" w:cs="Times New Roman"/>
      <w:kern w:val="0"/>
      <w:sz w:val="24"/>
      <w:szCs w:val="20"/>
    </w:rPr>
  </w:style>
  <w:style w:type="character" w:customStyle="1" w:styleId="CharChar252">
    <w:name w:val="Char Char252"/>
    <w:rPr>
      <w:rFonts w:eastAsia="宋体"/>
      <w:b/>
      <w:bCs/>
      <w:iCs/>
      <w:kern w:val="2"/>
      <w:sz w:val="28"/>
      <w:szCs w:val="24"/>
      <w:lang w:bidi="ar-SA"/>
    </w:rPr>
  </w:style>
  <w:style w:type="character" w:customStyle="1" w:styleId="Charffff9">
    <w:name w:val="表格中文字 Char"/>
    <w:link w:val="afffffff3"/>
    <w:rPr>
      <w:kern w:val="18"/>
      <w:szCs w:val="21"/>
    </w:rPr>
  </w:style>
  <w:style w:type="paragraph" w:customStyle="1" w:styleId="afffffff3">
    <w:name w:val="表格中文字"/>
    <w:basedOn w:val="a2"/>
    <w:link w:val="Charffff9"/>
    <w:qFormat/>
    <w:pPr>
      <w:snapToGrid w:val="0"/>
      <w:jc w:val="center"/>
    </w:pPr>
    <w:rPr>
      <w:kern w:val="18"/>
    </w:rPr>
  </w:style>
  <w:style w:type="character" w:customStyle="1" w:styleId="afffffff4">
    <w:name w:val="纯文本 字符"/>
    <w:qFormat/>
    <w:locked/>
    <w:rPr>
      <w:rFonts w:ascii="宋体" w:hAnsi="Courier New" w:cs="Courier New"/>
      <w:kern w:val="2"/>
      <w:sz w:val="21"/>
      <w:szCs w:val="21"/>
    </w:rPr>
  </w:style>
  <w:style w:type="character" w:customStyle="1" w:styleId="3CharChar3">
    <w:name w:val="黄桥标题3 Char Char"/>
    <w:link w:val="3f1"/>
    <w:qFormat/>
    <w:rPr>
      <w:rFonts w:eastAsia="宋体" w:cs="宋体"/>
      <w:b/>
      <w:sz w:val="24"/>
      <w:szCs w:val="24"/>
    </w:rPr>
  </w:style>
  <w:style w:type="paragraph" w:customStyle="1" w:styleId="3f1">
    <w:name w:val="黄桥标题3"/>
    <w:basedOn w:val="a2"/>
    <w:next w:val="a2"/>
    <w:link w:val="3CharChar3"/>
    <w:qFormat/>
    <w:pPr>
      <w:keepNext/>
      <w:keepLines/>
      <w:widowControl/>
      <w:spacing w:line="360" w:lineRule="auto"/>
      <w:outlineLvl w:val="2"/>
    </w:pPr>
    <w:rPr>
      <w:rFonts w:eastAsia="宋体" w:cs="宋体"/>
      <w:b/>
      <w:sz w:val="24"/>
      <w:szCs w:val="24"/>
    </w:rPr>
  </w:style>
  <w:style w:type="character" w:customStyle="1" w:styleId="220">
    <w:name w:val="原文22"/>
    <w:qFormat/>
    <w:rPr>
      <w:rFonts w:ascii="Times New Roman" w:hAnsi="Times New Roman"/>
      <w:color w:val="0000FF"/>
      <w:kern w:val="22"/>
      <w:sz w:val="22"/>
    </w:rPr>
  </w:style>
  <w:style w:type="character" w:customStyle="1" w:styleId="3Char6">
    <w:name w:val="标题3宋体黑色 Char"/>
    <w:link w:val="3f2"/>
    <w:locked/>
    <w:rPr>
      <w:b/>
      <w:bCs/>
      <w:sz w:val="28"/>
      <w:szCs w:val="32"/>
    </w:rPr>
  </w:style>
  <w:style w:type="paragraph" w:customStyle="1" w:styleId="3f2">
    <w:name w:val="标题3宋体黑色"/>
    <w:basedOn w:val="32"/>
    <w:link w:val="3Char6"/>
    <w:qFormat/>
    <w:pPr>
      <w:spacing w:before="120" w:after="0" w:line="240" w:lineRule="auto"/>
    </w:pPr>
    <w:rPr>
      <w:sz w:val="28"/>
    </w:rPr>
  </w:style>
  <w:style w:type="character" w:customStyle="1" w:styleId="Footer-EvenChar1">
    <w:name w:val="Footer-Even Char1"/>
    <w:rPr>
      <w:rFonts w:eastAsia="宋体"/>
      <w:kern w:val="2"/>
      <w:sz w:val="18"/>
      <w:lang w:val="en-US" w:eastAsia="zh-CN"/>
    </w:rPr>
  </w:style>
  <w:style w:type="character" w:customStyle="1" w:styleId="ourfont3">
    <w:name w:val="ourfont3"/>
  </w:style>
  <w:style w:type="character" w:customStyle="1" w:styleId="Char38">
    <w:name w:val="宏文本 Char3"/>
    <w:uiPriority w:val="99"/>
    <w:semiHidden/>
    <w:rPr>
      <w:rFonts w:ascii="Courier New" w:eastAsia="宋体" w:hAnsi="Courier New" w:cs="Courier New"/>
      <w:sz w:val="24"/>
      <w:szCs w:val="24"/>
    </w:rPr>
  </w:style>
  <w:style w:type="character" w:customStyle="1" w:styleId="CharCharff9">
    <w:name w:val="环保表内字（小五） Char Char"/>
    <w:link w:val="afffffff5"/>
    <w:rPr>
      <w:color w:val="000000"/>
      <w:sz w:val="18"/>
      <w:szCs w:val="18"/>
    </w:rPr>
  </w:style>
  <w:style w:type="paragraph" w:customStyle="1" w:styleId="afffffff5">
    <w:name w:val="环保表内字（小五）"/>
    <w:basedOn w:val="a2"/>
    <w:link w:val="CharCharff9"/>
    <w:qFormat/>
    <w:pPr>
      <w:snapToGrid w:val="0"/>
      <w:spacing w:line="0" w:lineRule="atLeast"/>
      <w:jc w:val="both"/>
    </w:pPr>
    <w:rPr>
      <w:color w:val="000000"/>
      <w:sz w:val="18"/>
      <w:szCs w:val="18"/>
    </w:rPr>
  </w:style>
  <w:style w:type="character" w:customStyle="1" w:styleId="113">
    <w:name w:val="未命名11"/>
    <w:rPr>
      <w:rFonts w:ascii="宋体" w:eastAsia="宋体" w:hAnsi="宋体"/>
      <w:sz w:val="18"/>
    </w:rPr>
  </w:style>
  <w:style w:type="character" w:customStyle="1" w:styleId="CharChar73">
    <w:name w:val="Char Char73"/>
    <w:rPr>
      <w:rFonts w:ascii="Arial" w:eastAsia="黑体" w:hAnsi="Arial"/>
      <w:sz w:val="44"/>
      <w:lang w:val="en-US" w:eastAsia="zh-CN" w:bidi="ar-SA"/>
    </w:rPr>
  </w:style>
  <w:style w:type="character" w:customStyle="1" w:styleId="Charffffa">
    <w:name w:val="样式 报告书表格 + Char"/>
    <w:rPr>
      <w:rFonts w:ascii="Times New Roman" w:eastAsia="宋体" w:hAnsi="Times New Roman" w:cs="Times New Roman"/>
      <w:kern w:val="0"/>
      <w:szCs w:val="21"/>
    </w:rPr>
  </w:style>
  <w:style w:type="character" w:customStyle="1" w:styleId="TCharChar">
    <w:name w:val="T正文 Char Char"/>
    <w:link w:val="T"/>
    <w:rPr>
      <w:sz w:val="24"/>
      <w:szCs w:val="24"/>
    </w:rPr>
  </w:style>
  <w:style w:type="paragraph" w:customStyle="1" w:styleId="T">
    <w:name w:val="T正文"/>
    <w:link w:val="TCharChar"/>
    <w:qFormat/>
    <w:pPr>
      <w:widowControl w:val="0"/>
      <w:snapToGrid w:val="0"/>
      <w:spacing w:beforeLines="50" w:before="156" w:afterLines="50" w:after="50" w:line="360" w:lineRule="auto"/>
      <w:ind w:firstLineChars="200" w:firstLine="480"/>
      <w:jc w:val="both"/>
    </w:pPr>
    <w:rPr>
      <w:kern w:val="2"/>
      <w:sz w:val="24"/>
      <w:szCs w:val="24"/>
    </w:rPr>
  </w:style>
  <w:style w:type="character" w:customStyle="1" w:styleId="Charffffb">
    <w:name w:val="普通(网站) Char"/>
    <w:rPr>
      <w:rFonts w:ascii="Times New Roman" w:hAnsi="Times New Roman"/>
      <w:kern w:val="2"/>
      <w:sz w:val="18"/>
      <w:szCs w:val="18"/>
    </w:rPr>
  </w:style>
  <w:style w:type="character" w:customStyle="1" w:styleId="CharChar80">
    <w:name w:val="Char Char8"/>
    <w:rPr>
      <w:rFonts w:ascii="Times New Roman" w:eastAsia="仿宋_GB2312" w:hAnsi="Times New Roman" w:cs="Arial"/>
      <w:b/>
      <w:sz w:val="24"/>
      <w:szCs w:val="21"/>
      <w:lang w:val="en-US" w:eastAsia="zh-CN" w:bidi="ar-SA"/>
    </w:rPr>
  </w:style>
  <w:style w:type="character" w:customStyle="1" w:styleId="aaChar">
    <w:name w:val="正文aa Char"/>
    <w:link w:val="aa0"/>
    <w:rPr>
      <w:sz w:val="24"/>
      <w:szCs w:val="24"/>
    </w:rPr>
  </w:style>
  <w:style w:type="paragraph" w:customStyle="1" w:styleId="aa0">
    <w:name w:val="正文aa"/>
    <w:basedOn w:val="a2"/>
    <w:link w:val="aaChar"/>
    <w:qFormat/>
    <w:pPr>
      <w:spacing w:line="360" w:lineRule="auto"/>
      <w:ind w:firstLineChars="200" w:firstLine="200"/>
      <w:jc w:val="both"/>
    </w:pPr>
    <w:rPr>
      <w:sz w:val="24"/>
      <w:szCs w:val="24"/>
    </w:rPr>
  </w:style>
  <w:style w:type="character" w:customStyle="1" w:styleId="EmailStyle363">
    <w:name w:val="EmailStyle363"/>
    <w:rPr>
      <w:rFonts w:ascii="Arial" w:eastAsia="宋体" w:hAnsi="Arial" w:cs="Arial"/>
      <w:color w:val="000080"/>
      <w:sz w:val="18"/>
      <w:szCs w:val="20"/>
    </w:rPr>
  </w:style>
  <w:style w:type="character" w:customStyle="1" w:styleId="Charffffc">
    <w:name w:val="文字 Char"/>
    <w:rPr>
      <w:rFonts w:eastAsia="宋体"/>
      <w:kern w:val="2"/>
      <w:sz w:val="24"/>
      <w:szCs w:val="24"/>
      <w:lang w:val="en-US" w:eastAsia="zh-CN" w:bidi="ar-SA"/>
    </w:rPr>
  </w:style>
  <w:style w:type="character" w:customStyle="1" w:styleId="Charffffd">
    <w:name w:val="文本 Char"/>
    <w:rPr>
      <w:rFonts w:eastAsia="宋体"/>
      <w:kern w:val="2"/>
      <w:sz w:val="24"/>
      <w:szCs w:val="24"/>
      <w:lang w:val="en-US" w:eastAsia="zh-CN" w:bidi="ar-SA"/>
    </w:rPr>
  </w:style>
  <w:style w:type="character" w:customStyle="1" w:styleId="Batang71">
    <w:name w:val="正文文本 + Batang71"/>
    <w:rPr>
      <w:rFonts w:ascii="Batang" w:eastAsia="Batang" w:cs="Batang"/>
      <w:sz w:val="18"/>
      <w:szCs w:val="18"/>
      <w:u w:val="none"/>
      <w:lang w:val="en-US" w:eastAsia="en-US"/>
    </w:rPr>
  </w:style>
  <w:style w:type="character" w:customStyle="1" w:styleId="CharCharCharChar1">
    <w:name w:val="正文首行缩进 Char Char Char Char1"/>
    <w:rPr>
      <w:rFonts w:eastAsia="宋体"/>
      <w:snapToGrid w:val="0"/>
      <w:kern w:val="2"/>
      <w:sz w:val="24"/>
      <w:szCs w:val="24"/>
      <w:lang w:val="en-US" w:eastAsia="zh-CN" w:bidi="ar-SA"/>
    </w:rPr>
  </w:style>
  <w:style w:type="character" w:customStyle="1" w:styleId="CharCharffa">
    <w:name w:val="公正文 Char Char"/>
    <w:link w:val="afffffff6"/>
    <w:rPr>
      <w:rFonts w:ascii="仿宋_GB2312" w:eastAsia="仿宋_GB2312" w:hAnsi="宋体"/>
      <w:sz w:val="28"/>
    </w:rPr>
  </w:style>
  <w:style w:type="paragraph" w:customStyle="1" w:styleId="afffffff6">
    <w:name w:val="公正文"/>
    <w:basedOn w:val="a3"/>
    <w:link w:val="CharCharffa"/>
    <w:qFormat/>
    <w:pPr>
      <w:snapToGrid w:val="0"/>
      <w:spacing w:line="560" w:lineRule="exact"/>
      <w:ind w:firstLine="200"/>
    </w:pPr>
    <w:rPr>
      <w:rFonts w:ascii="仿宋_GB2312" w:eastAsia="仿宋_GB2312" w:hAnsi="宋体"/>
      <w:sz w:val="28"/>
      <w:szCs w:val="22"/>
    </w:rPr>
  </w:style>
  <w:style w:type="character" w:customStyle="1" w:styleId="Charffffe">
    <w:name w:val="默认段落字体 Char"/>
    <w:rPr>
      <w:color w:val="000000"/>
      <w:sz w:val="21"/>
      <w:u w:color="000000"/>
      <w:lang w:val="en-US" w:eastAsia="zh-CN"/>
    </w:rPr>
  </w:style>
  <w:style w:type="character" w:customStyle="1" w:styleId="3CharChar4">
    <w:name w:val="样式 标题 3 + 黑体 四号 Char Char"/>
    <w:link w:val="3f3"/>
    <w:rPr>
      <w:rFonts w:ascii="黑体" w:eastAsia="黑体"/>
      <w:bCs/>
      <w:sz w:val="32"/>
      <w:szCs w:val="30"/>
    </w:rPr>
  </w:style>
  <w:style w:type="paragraph" w:customStyle="1" w:styleId="3f3">
    <w:name w:val="样式 标题 3 + 黑体 四号"/>
    <w:basedOn w:val="32"/>
    <w:link w:val="3CharChar4"/>
    <w:qFormat/>
    <w:pPr>
      <w:tabs>
        <w:tab w:val="left" w:pos="5040"/>
      </w:tabs>
      <w:spacing w:before="40" w:after="40" w:line="360" w:lineRule="auto"/>
      <w:ind w:leftChars="50" w:left="105" w:rightChars="50" w:right="105"/>
      <w:jc w:val="both"/>
    </w:pPr>
    <w:rPr>
      <w:rFonts w:ascii="黑体" w:eastAsia="黑体"/>
      <w:b w:val="0"/>
      <w:szCs w:val="30"/>
    </w:rPr>
  </w:style>
  <w:style w:type="character" w:customStyle="1" w:styleId="CharChar29">
    <w:name w:val="Char Char29"/>
    <w:locked/>
    <w:rPr>
      <w:rFonts w:ascii="宋体" w:eastAsia="宋体" w:hAnsi="宋体"/>
      <w:b/>
      <w:bCs/>
      <w:kern w:val="2"/>
      <w:sz w:val="21"/>
      <w:szCs w:val="24"/>
      <w:lang w:val="en-US" w:eastAsia="zh-CN" w:bidi="ar-SA"/>
    </w:rPr>
  </w:style>
  <w:style w:type="character" w:customStyle="1" w:styleId="btCharChar">
    <w:name w:val="bt Char Char"/>
    <w:rPr>
      <w:rFonts w:eastAsia="宋体"/>
      <w:kern w:val="2"/>
      <w:sz w:val="24"/>
      <w:lang w:val="en-US" w:eastAsia="zh-CN" w:bidi="ar-SA"/>
    </w:rPr>
  </w:style>
  <w:style w:type="character" w:customStyle="1" w:styleId="Char2f0">
    <w:name w:val="报告书正文 Char2"/>
    <w:rPr>
      <w:kern w:val="2"/>
      <w:sz w:val="24"/>
      <w:szCs w:val="21"/>
    </w:rPr>
  </w:style>
  <w:style w:type="character" w:customStyle="1" w:styleId="Char">
    <w:name w:val="宏文本 Char"/>
    <w:link w:val="a7"/>
    <w:rPr>
      <w:rFonts w:ascii="Courier New" w:hAnsi="Courier New"/>
      <w:sz w:val="24"/>
    </w:rPr>
  </w:style>
  <w:style w:type="character" w:customStyle="1" w:styleId="A10">
    <w:name w:val="A10"/>
    <w:rPr>
      <w:rFonts w:cs="H Ya 6gj"/>
      <w:color w:val="000000"/>
      <w:sz w:val="11"/>
      <w:szCs w:val="11"/>
    </w:rPr>
  </w:style>
  <w:style w:type="character" w:customStyle="1" w:styleId="3Char7">
    <w:name w:val="陈标题3 Char"/>
    <w:link w:val="31"/>
    <w:uiPriority w:val="99"/>
    <w:rPr>
      <w:rFonts w:ascii="宋体" w:hAnsi="宋体"/>
      <w:b/>
      <w:color w:val="000000"/>
      <w:szCs w:val="28"/>
    </w:rPr>
  </w:style>
  <w:style w:type="paragraph" w:customStyle="1" w:styleId="31">
    <w:name w:val="陈标题3"/>
    <w:basedOn w:val="a2"/>
    <w:next w:val="a2"/>
    <w:link w:val="3Char7"/>
    <w:uiPriority w:val="99"/>
    <w:qFormat/>
    <w:pPr>
      <w:keepNext/>
      <w:keepLines/>
      <w:numPr>
        <w:ilvl w:val="2"/>
        <w:numId w:val="4"/>
      </w:numPr>
      <w:spacing w:line="360" w:lineRule="auto"/>
      <w:ind w:left="0"/>
      <w:jc w:val="both"/>
      <w:outlineLvl w:val="2"/>
    </w:pPr>
    <w:rPr>
      <w:rFonts w:ascii="宋体" w:hAnsi="宋体"/>
      <w:b/>
      <w:color w:val="000000"/>
      <w:szCs w:val="28"/>
    </w:rPr>
  </w:style>
  <w:style w:type="character" w:customStyle="1" w:styleId="2Char11">
    <w:name w:val="正文文本 2 Char1"/>
    <w:locked/>
    <w:rPr>
      <w:rFonts w:eastAsia="仿宋_GB2312"/>
      <w:kern w:val="2"/>
      <w:sz w:val="24"/>
    </w:rPr>
  </w:style>
  <w:style w:type="character" w:customStyle="1" w:styleId="Charfffff">
    <w:name w:val="表格五号 Char"/>
    <w:rPr>
      <w:rFonts w:ascii="宋体" w:hAnsi="宋体"/>
      <w:szCs w:val="21"/>
    </w:rPr>
  </w:style>
  <w:style w:type="character" w:customStyle="1" w:styleId="Charfffff0">
    <w:name w:val="黄桥表头 Char"/>
    <w:rPr>
      <w:rFonts w:eastAsia="宋体" w:cs="宋体"/>
      <w:b/>
      <w:bCs/>
      <w:sz w:val="24"/>
      <w:szCs w:val="24"/>
      <w:lang w:val="en-US" w:eastAsia="zh-CN" w:bidi="ar-SA"/>
    </w:rPr>
  </w:style>
  <w:style w:type="character" w:customStyle="1" w:styleId="tpccontent1">
    <w:name w:val="tpc_content1"/>
    <w:rPr>
      <w:rFonts w:hint="default"/>
      <w:sz w:val="18"/>
    </w:rPr>
  </w:style>
  <w:style w:type="character" w:customStyle="1" w:styleId="CharChar273">
    <w:name w:val="Char Char273"/>
    <w:rPr>
      <w:rFonts w:eastAsia="黑体"/>
      <w:b/>
      <w:bCs/>
      <w:kern w:val="44"/>
      <w:sz w:val="36"/>
      <w:szCs w:val="44"/>
      <w:lang w:bidi="ar-SA"/>
    </w:rPr>
  </w:style>
  <w:style w:type="character" w:customStyle="1" w:styleId="3CharChar5">
    <w:name w:val="正文文本 3 Char Char"/>
    <w:link w:val="310"/>
    <w:rPr>
      <w:rFonts w:ascii="宋体"/>
      <w:sz w:val="30"/>
    </w:rPr>
  </w:style>
  <w:style w:type="paragraph" w:customStyle="1" w:styleId="310">
    <w:name w:val="正文文本 31"/>
    <w:basedOn w:val="a2"/>
    <w:link w:val="3CharChar5"/>
    <w:qFormat/>
    <w:pPr>
      <w:spacing w:line="360" w:lineRule="auto"/>
      <w:jc w:val="both"/>
      <w:textAlignment w:val="baseline"/>
    </w:pPr>
    <w:rPr>
      <w:rFonts w:ascii="宋体"/>
      <w:sz w:val="30"/>
      <w:szCs w:val="22"/>
    </w:rPr>
  </w:style>
  <w:style w:type="character" w:customStyle="1" w:styleId="TimesNewRoman">
    <w:name w:val="样式 Times New Roman"/>
    <w:rPr>
      <w:rFonts w:ascii="Times New Roman" w:eastAsia="仿宋_GB2312" w:hAnsi="Times New Roman" w:cs="Times New Roman" w:hint="default"/>
      <w:sz w:val="28"/>
      <w:szCs w:val="28"/>
    </w:rPr>
  </w:style>
  <w:style w:type="character" w:customStyle="1" w:styleId="CharCharffb">
    <w:name w:val="文字缩进 Char Char"/>
    <w:rPr>
      <w:rFonts w:ascii="宋体" w:eastAsia="宋体" w:hAnsi="Courier New"/>
      <w:kern w:val="2"/>
      <w:sz w:val="21"/>
      <w:lang w:val="en-US" w:eastAsia="zh-CN" w:bidi="ar-SA"/>
    </w:rPr>
  </w:style>
  <w:style w:type="character" w:customStyle="1" w:styleId="TableTitleChar6">
    <w:name w:val="Table Title Char6"/>
    <w:rPr>
      <w:rFonts w:eastAsia="宋体"/>
      <w:kern w:val="2"/>
      <w:sz w:val="24"/>
      <w:szCs w:val="24"/>
      <w:lang w:val="en-US" w:eastAsia="zh-CN" w:bidi="ar-SA"/>
    </w:rPr>
  </w:style>
  <w:style w:type="character" w:customStyle="1" w:styleId="CharCharffc">
    <w:name w:val="正文内容 Char Char"/>
    <w:link w:val="afffffff7"/>
    <w:rPr>
      <w:sz w:val="24"/>
      <w:szCs w:val="24"/>
    </w:rPr>
  </w:style>
  <w:style w:type="paragraph" w:customStyle="1" w:styleId="afffffff7">
    <w:name w:val="正文内容"/>
    <w:basedOn w:val="a2"/>
    <w:next w:val="a2"/>
    <w:link w:val="CharCharffc"/>
    <w:qFormat/>
    <w:pPr>
      <w:snapToGrid w:val="0"/>
      <w:spacing w:beforeLines="25" w:before="78" w:afterLines="25" w:after="78" w:line="440" w:lineRule="exact"/>
      <w:ind w:firstLineChars="200" w:firstLine="200"/>
      <w:jc w:val="both"/>
    </w:pPr>
    <w:rPr>
      <w:sz w:val="24"/>
      <w:szCs w:val="24"/>
    </w:rPr>
  </w:style>
  <w:style w:type="character" w:customStyle="1" w:styleId="H5Char2">
    <w:name w:val="H5 Char2"/>
    <w:rPr>
      <w:rFonts w:eastAsia="宋体"/>
      <w:b/>
      <w:bCs/>
      <w:sz w:val="28"/>
      <w:szCs w:val="28"/>
      <w:lang w:val="en-US" w:eastAsia="zh-CN" w:bidi="ar-SA"/>
    </w:rPr>
  </w:style>
  <w:style w:type="character" w:customStyle="1" w:styleId="CharCharCharChar2">
    <w:name w:val="表格内容 Char Char Char Char"/>
    <w:rPr>
      <w:rFonts w:ascii="Arial" w:eastAsia="华文细黑" w:hAnsi="Arial"/>
      <w:kern w:val="2"/>
      <w:sz w:val="21"/>
      <w:szCs w:val="21"/>
      <w:lang w:val="en-US" w:eastAsia="zh-CN" w:bidi="ar-SA"/>
    </w:rPr>
  </w:style>
  <w:style w:type="character" w:customStyle="1" w:styleId="fblack1">
    <w:name w:val="fblack1"/>
    <w:rPr>
      <w:color w:val="000000"/>
    </w:rPr>
  </w:style>
  <w:style w:type="character" w:customStyle="1" w:styleId="emailstyle354">
    <w:name w:val="emailstyle354"/>
    <w:rPr>
      <w:rFonts w:ascii="Arial" w:eastAsia="宋体" w:hAnsi="Arial" w:cs="Arial" w:hint="default"/>
      <w:color w:val="000080"/>
      <w:sz w:val="18"/>
      <w:szCs w:val="20"/>
    </w:rPr>
  </w:style>
  <w:style w:type="character" w:customStyle="1" w:styleId="Char39">
    <w:name w:val="注释标题 Char3"/>
    <w:uiPriority w:val="99"/>
    <w:semiHidden/>
  </w:style>
  <w:style w:type="character" w:customStyle="1" w:styleId="2CharChar1">
    <w:name w:val="正文 + 首行缩进2 厘米 Char Char"/>
    <w:link w:val="2f3"/>
    <w:rPr>
      <w:rFonts w:eastAsia="仿宋_GB2312" w:hAnsi="仿宋_GB2312"/>
      <w:sz w:val="28"/>
    </w:rPr>
  </w:style>
  <w:style w:type="paragraph" w:customStyle="1" w:styleId="2f3">
    <w:name w:val="正文 + 首行缩进2 厘米"/>
    <w:basedOn w:val="a2"/>
    <w:link w:val="2CharChar1"/>
    <w:qFormat/>
    <w:pPr>
      <w:spacing w:line="360" w:lineRule="auto"/>
      <w:ind w:firstLine="360"/>
      <w:jc w:val="center"/>
    </w:pPr>
    <w:rPr>
      <w:rFonts w:eastAsia="仿宋_GB2312" w:hAnsi="仿宋_GB2312"/>
      <w:szCs w:val="22"/>
    </w:rPr>
  </w:style>
  <w:style w:type="character" w:customStyle="1" w:styleId="CharCharffd">
    <w:name w:val="我的样式（正文） Char Char"/>
    <w:link w:val="afffffff8"/>
    <w:rPr>
      <w:rFonts w:ascii="宋体"/>
      <w:sz w:val="28"/>
    </w:rPr>
  </w:style>
  <w:style w:type="paragraph" w:customStyle="1" w:styleId="afffffff8">
    <w:name w:val="我的样式（正文）"/>
    <w:basedOn w:val="a2"/>
    <w:link w:val="CharCharffd"/>
    <w:qFormat/>
    <w:pPr>
      <w:spacing w:line="440" w:lineRule="exact"/>
    </w:pPr>
    <w:rPr>
      <w:rFonts w:ascii="宋体"/>
      <w:szCs w:val="22"/>
    </w:rPr>
  </w:style>
  <w:style w:type="character" w:customStyle="1" w:styleId="hottext1">
    <w:name w:val="hottext1"/>
    <w:rPr>
      <w:rFonts w:ascii="宋体" w:eastAsia="宋体" w:hAnsi="宋体"/>
      <w:strike/>
      <w:sz w:val="22"/>
      <w:u w:val="none"/>
    </w:rPr>
  </w:style>
  <w:style w:type="character" w:customStyle="1" w:styleId="GB231209813Char">
    <w:name w:val="样式 仿宋_GB2312 四号 黑色 首行缩进:  0.98 厘米 行距: 多倍行距 1.3 字行 Char"/>
    <w:link w:val="GB231209813"/>
    <w:rPr>
      <w:rFonts w:ascii="仿宋_GB2312" w:eastAsia="仿宋_GB2312" w:hAnsi="宋体"/>
      <w:color w:val="000000"/>
      <w:sz w:val="28"/>
    </w:rPr>
  </w:style>
  <w:style w:type="paragraph" w:customStyle="1" w:styleId="GB231209813">
    <w:name w:val="样式 仿宋_GB2312 四号 黑色 首行缩进:  0.98 厘米 行距: 多倍行距 1.3 字行"/>
    <w:basedOn w:val="a2"/>
    <w:link w:val="GB231209813Char"/>
    <w:qFormat/>
    <w:pPr>
      <w:spacing w:line="520" w:lineRule="exact"/>
      <w:ind w:firstLine="556"/>
      <w:jc w:val="center"/>
    </w:pPr>
    <w:rPr>
      <w:rFonts w:ascii="仿宋_GB2312" w:eastAsia="仿宋_GB2312" w:hAnsi="宋体"/>
      <w:color w:val="000000"/>
      <w:szCs w:val="22"/>
    </w:rPr>
  </w:style>
  <w:style w:type="character" w:customStyle="1" w:styleId="Char1f5">
    <w:name w:val="表中文字 Char1"/>
    <w:link w:val="afffffff9"/>
    <w:rPr>
      <w:rFonts w:ascii="Arial" w:hAnsi="Arial"/>
      <w:lang w:eastAsia="zh-TW"/>
    </w:rPr>
  </w:style>
  <w:style w:type="paragraph" w:customStyle="1" w:styleId="afffffff9">
    <w:name w:val="表中文字"/>
    <w:basedOn w:val="a2"/>
    <w:link w:val="Char1f5"/>
    <w:qFormat/>
    <w:pPr>
      <w:snapToGrid w:val="0"/>
      <w:spacing w:line="340" w:lineRule="exact"/>
      <w:jc w:val="center"/>
    </w:pPr>
    <w:rPr>
      <w:rFonts w:hAnsi="Arial"/>
      <w:szCs w:val="22"/>
      <w:lang w:eastAsia="zh-TW"/>
    </w:rPr>
  </w:style>
  <w:style w:type="character" w:customStyle="1" w:styleId="CharCharffe">
    <w:name w:val="批注主题 Char Char"/>
    <w:link w:val="2f4"/>
    <w:rPr>
      <w:rFonts w:ascii="Courier New" w:hAnsi="Courier New"/>
      <w:b/>
    </w:rPr>
  </w:style>
  <w:style w:type="paragraph" w:customStyle="1" w:styleId="2f4">
    <w:name w:val="批注主题2"/>
    <w:basedOn w:val="af1"/>
    <w:next w:val="af1"/>
    <w:link w:val="CharCharffe"/>
    <w:qFormat/>
    <w:rPr>
      <w:rFonts w:ascii="Courier New" w:hAnsi="Courier New"/>
      <w:b/>
      <w:szCs w:val="22"/>
    </w:rPr>
  </w:style>
  <w:style w:type="character" w:customStyle="1" w:styleId="zhengwen1">
    <w:name w:val="zhengwen1"/>
    <w:rPr>
      <w:color w:val="000000"/>
      <w:sz w:val="20"/>
      <w:szCs w:val="20"/>
      <w:u w:val="none"/>
    </w:rPr>
  </w:style>
  <w:style w:type="character" w:customStyle="1" w:styleId="CharCharfff">
    <w:name w:val="普通文字 Char Char"/>
    <w:rPr>
      <w:rFonts w:ascii="宋体" w:eastAsia="宋体" w:hAnsi="Courier New"/>
      <w:kern w:val="2"/>
      <w:sz w:val="21"/>
      <w:lang w:val="en-US" w:eastAsia="zh-CN" w:bidi="ar-SA"/>
    </w:rPr>
  </w:style>
  <w:style w:type="character" w:customStyle="1" w:styleId="Char1f6">
    <w:name w:val="批注框文本 Char1"/>
    <w:locked/>
    <w:rPr>
      <w:kern w:val="2"/>
      <w:sz w:val="18"/>
    </w:rPr>
  </w:style>
  <w:style w:type="character" w:customStyle="1" w:styleId="CharCharfff0">
    <w:name w:val="二级项 Char Char"/>
    <w:rPr>
      <w:rFonts w:ascii="Cambria" w:eastAsia="宋体" w:hAnsi="Cambria" w:cs="Times New Roman"/>
      <w:b/>
      <w:bCs/>
      <w:sz w:val="24"/>
      <w:szCs w:val="24"/>
    </w:rPr>
  </w:style>
  <w:style w:type="character" w:customStyle="1" w:styleId="Char1f7">
    <w:name w:val="环评正文 Char1"/>
    <w:rPr>
      <w:rFonts w:eastAsia="宋体"/>
      <w:bCs/>
      <w:kern w:val="2"/>
      <w:sz w:val="24"/>
      <w:szCs w:val="24"/>
      <w:lang w:val="en-US" w:eastAsia="zh-CN" w:bidi="ar-SA"/>
    </w:rPr>
  </w:style>
  <w:style w:type="character" w:customStyle="1" w:styleId="CharChar32">
    <w:name w:val="Char Char32"/>
    <w:locked/>
    <w:rPr>
      <w:rFonts w:ascii="宋体" w:eastAsia="宋体" w:hAnsi="宋体"/>
      <w:kern w:val="2"/>
      <w:sz w:val="24"/>
      <w:lang w:val="en-US" w:eastAsia="zh-CN" w:bidi="ar-SA"/>
    </w:rPr>
  </w:style>
  <w:style w:type="character" w:customStyle="1" w:styleId="WJChar0">
    <w:name w:val="WJ正文 Char"/>
    <w:link w:val="WJ0"/>
    <w:rPr>
      <w:rFonts w:ascii="宋体" w:hAnsi="宋体"/>
      <w:color w:val="000000"/>
      <w:sz w:val="24"/>
      <w:szCs w:val="24"/>
    </w:rPr>
  </w:style>
  <w:style w:type="paragraph" w:customStyle="1" w:styleId="WJ0">
    <w:name w:val="WJ正文"/>
    <w:basedOn w:val="a2"/>
    <w:next w:val="a2"/>
    <w:link w:val="WJChar0"/>
    <w:qFormat/>
    <w:pPr>
      <w:tabs>
        <w:tab w:val="left" w:pos="600"/>
      </w:tabs>
      <w:spacing w:line="360" w:lineRule="auto"/>
      <w:ind w:firstLineChars="200" w:firstLine="200"/>
      <w:jc w:val="both"/>
    </w:pPr>
    <w:rPr>
      <w:rFonts w:ascii="宋体" w:hAnsi="宋体"/>
      <w:color w:val="000000"/>
      <w:sz w:val="24"/>
      <w:szCs w:val="24"/>
    </w:rPr>
  </w:style>
  <w:style w:type="character" w:customStyle="1" w:styleId="3Char50">
    <w:name w:val="正文文本 3 Char5"/>
    <w:rPr>
      <w:kern w:val="2"/>
      <w:sz w:val="16"/>
      <w:szCs w:val="16"/>
    </w:rPr>
  </w:style>
  <w:style w:type="character" w:customStyle="1" w:styleId="chen11Char">
    <w:name w:val="chen正文字体11 Char"/>
    <w:rPr>
      <w:rFonts w:eastAsia="宋体" w:cs="宋体"/>
      <w:color w:val="000000"/>
      <w:kern w:val="2"/>
      <w:sz w:val="24"/>
      <w:lang w:val="en-US" w:eastAsia="zh-CN" w:bidi="ar-SA"/>
    </w:rPr>
  </w:style>
  <w:style w:type="character" w:customStyle="1" w:styleId="style111">
    <w:name w:val="style111"/>
    <w:rPr>
      <w:sz w:val="18"/>
      <w:szCs w:val="18"/>
    </w:rPr>
  </w:style>
  <w:style w:type="character" w:customStyle="1" w:styleId="8Char1">
    <w:name w:val="标题 8 Char1"/>
    <w:uiPriority w:val="9"/>
    <w:rPr>
      <w:rFonts w:ascii="Cambria" w:eastAsia="宋体" w:hAnsi="Cambria" w:cs="Times New Roman"/>
      <w:sz w:val="24"/>
      <w:szCs w:val="24"/>
    </w:rPr>
  </w:style>
  <w:style w:type="character" w:customStyle="1" w:styleId="5Char10">
    <w:name w:val="标题 5 Char1"/>
    <w:rPr>
      <w:rFonts w:ascii="Arial" w:eastAsia="宋体" w:hAnsi="Arial" w:cs="Times New Roman"/>
      <w:b/>
      <w:bCs/>
      <w:spacing w:val="-5"/>
      <w:kern w:val="0"/>
      <w:sz w:val="28"/>
      <w:szCs w:val="28"/>
      <w:lang w:bidi="he-IL"/>
    </w:rPr>
  </w:style>
  <w:style w:type="character" w:customStyle="1" w:styleId="Char3a">
    <w:name w:val="批注框文本 Char3"/>
    <w:uiPriority w:val="99"/>
    <w:semiHidden/>
    <w:rPr>
      <w:kern w:val="2"/>
      <w:sz w:val="18"/>
      <w:szCs w:val="18"/>
    </w:rPr>
  </w:style>
  <w:style w:type="character" w:customStyle="1" w:styleId="BChar0">
    <w:name w:val="正文B Char"/>
    <w:locked/>
    <w:rPr>
      <w:rFonts w:ascii="楷体_GB2312" w:eastAsia="楷体_GB2312"/>
      <w:spacing w:val="8"/>
      <w:sz w:val="28"/>
    </w:rPr>
  </w:style>
  <w:style w:type="character" w:customStyle="1" w:styleId="Char1f8">
    <w:name w:val="页脚 Char1"/>
    <w:locked/>
    <w:rPr>
      <w:kern w:val="2"/>
      <w:sz w:val="18"/>
    </w:rPr>
  </w:style>
  <w:style w:type="character" w:customStyle="1" w:styleId="aaaChar">
    <w:name w:val="aaa Char"/>
    <w:link w:val="aaa"/>
    <w:rPr>
      <w:rFonts w:hAnsi="宋体"/>
      <w:sz w:val="24"/>
      <w:szCs w:val="24"/>
    </w:rPr>
  </w:style>
  <w:style w:type="paragraph" w:customStyle="1" w:styleId="aaa">
    <w:name w:val="aaa"/>
    <w:basedOn w:val="a2"/>
    <w:link w:val="aaaChar"/>
    <w:qFormat/>
    <w:pPr>
      <w:spacing w:line="360" w:lineRule="auto"/>
      <w:ind w:firstLineChars="200" w:firstLine="200"/>
    </w:pPr>
    <w:rPr>
      <w:rFonts w:hAnsi="宋体"/>
      <w:sz w:val="24"/>
      <w:szCs w:val="24"/>
    </w:rPr>
  </w:style>
  <w:style w:type="character" w:customStyle="1" w:styleId="htd01">
    <w:name w:val="htd01"/>
  </w:style>
  <w:style w:type="character" w:customStyle="1" w:styleId="aboutus1">
    <w:name w:val="aboutus1"/>
    <w:rPr>
      <w:rFonts w:ascii="ˎ̥" w:hAnsi="ˎ̥" w:hint="default"/>
      <w:color w:val="000000"/>
      <w:sz w:val="18"/>
      <w:szCs w:val="18"/>
      <w:u w:val="none"/>
    </w:rPr>
  </w:style>
  <w:style w:type="character" w:customStyle="1" w:styleId="changCharChar">
    <w:name w:val="chang正文 Char Char"/>
    <w:link w:val="chang"/>
    <w:rPr>
      <w:rFonts w:eastAsia="宋体" w:cs="宋体"/>
      <w:sz w:val="24"/>
      <w:szCs w:val="24"/>
    </w:rPr>
  </w:style>
  <w:style w:type="paragraph" w:customStyle="1" w:styleId="chang">
    <w:name w:val="chang正文"/>
    <w:basedOn w:val="a2"/>
    <w:link w:val="changCharChar"/>
    <w:qFormat/>
    <w:pPr>
      <w:spacing w:line="360" w:lineRule="auto"/>
      <w:ind w:firstLineChars="200" w:firstLine="200"/>
    </w:pPr>
    <w:rPr>
      <w:rFonts w:eastAsia="宋体" w:cs="宋体"/>
      <w:sz w:val="24"/>
      <w:szCs w:val="24"/>
    </w:rPr>
  </w:style>
  <w:style w:type="character" w:customStyle="1" w:styleId="ChapterHeadCharChar">
    <w:name w:val="Chapter Head Char Char"/>
    <w:rPr>
      <w:rFonts w:ascii="Arial" w:eastAsia="宋体" w:hAnsi="Arial" w:cs="Arial"/>
      <w:color w:val="5F5F5F"/>
      <w:kern w:val="32"/>
      <w:sz w:val="36"/>
      <w:szCs w:val="48"/>
      <w:lang w:val="de-DE" w:eastAsia="de-DE" w:bidi="ar-SA"/>
    </w:rPr>
  </w:style>
  <w:style w:type="character" w:customStyle="1" w:styleId="T4CharChar">
    <w:name w:val="T4 Char Char"/>
    <w:link w:val="T4"/>
    <w:rPr>
      <w:b/>
      <w:bCs/>
      <w:sz w:val="24"/>
      <w:szCs w:val="28"/>
    </w:rPr>
  </w:style>
  <w:style w:type="paragraph" w:customStyle="1" w:styleId="T4">
    <w:name w:val="T4"/>
    <w:basedOn w:val="41"/>
    <w:link w:val="T4CharChar"/>
    <w:qFormat/>
    <w:pPr>
      <w:tabs>
        <w:tab w:val="left" w:pos="2115"/>
      </w:tabs>
      <w:ind w:leftChars="0" w:left="0" w:rightChars="0" w:right="0"/>
    </w:pPr>
    <w:rPr>
      <w:rFonts w:asciiTheme="minorHAnsi" w:eastAsiaTheme="minorEastAsia"/>
      <w:b/>
      <w:sz w:val="24"/>
    </w:rPr>
  </w:style>
  <w:style w:type="character" w:customStyle="1" w:styleId="Charfffff1">
    <w:name w:val="热电厂正文 Char"/>
    <w:link w:val="afffffffa"/>
    <w:rPr>
      <w:sz w:val="24"/>
      <w:szCs w:val="24"/>
    </w:rPr>
  </w:style>
  <w:style w:type="paragraph" w:customStyle="1" w:styleId="afffffffa">
    <w:name w:val="热电厂正文"/>
    <w:basedOn w:val="a2"/>
    <w:link w:val="Charfffff1"/>
    <w:qFormat/>
    <w:pPr>
      <w:spacing w:line="440" w:lineRule="exact"/>
      <w:ind w:firstLineChars="200" w:firstLine="480"/>
      <w:jc w:val="both"/>
    </w:pPr>
    <w:rPr>
      <w:sz w:val="24"/>
      <w:szCs w:val="24"/>
    </w:rPr>
  </w:style>
  <w:style w:type="character" w:customStyle="1" w:styleId="Charfffff2">
    <w:name w:val="表内容 Char"/>
    <w:link w:val="afffffffb"/>
    <w:qFormat/>
    <w:rPr>
      <w:rFonts w:ascii="Arial" w:eastAsia="楷体_GB2312" w:hAnsi="Arial"/>
      <w:sz w:val="24"/>
    </w:rPr>
  </w:style>
  <w:style w:type="paragraph" w:customStyle="1" w:styleId="afffffffb">
    <w:name w:val="表内容"/>
    <w:basedOn w:val="a2"/>
    <w:link w:val="Charfffff2"/>
    <w:qFormat/>
    <w:pPr>
      <w:snapToGrid w:val="0"/>
      <w:spacing w:after="120"/>
      <w:textAlignment w:val="bottom"/>
    </w:pPr>
    <w:rPr>
      <w:rFonts w:hAnsi="Arial"/>
      <w:sz w:val="24"/>
      <w:szCs w:val="22"/>
    </w:rPr>
  </w:style>
  <w:style w:type="character" w:customStyle="1" w:styleId="zjgblk1">
    <w:name w:val="zjgblk1"/>
    <w:qFormat/>
    <w:rPr>
      <w:rFonts w:hint="default"/>
      <w:color w:val="000000"/>
      <w:sz w:val="18"/>
      <w:u w:val="none"/>
    </w:rPr>
  </w:style>
  <w:style w:type="character" w:customStyle="1" w:styleId="CharCharCharCharCharCharCharCharCharChar">
    <w:name w:val="正文（首行缩进两字） Char Char Char Char Char Char Char Char Char Char"/>
    <w:qFormat/>
    <w:rPr>
      <w:rFonts w:ascii="仿宋_GB2312" w:eastAsia="仿宋_GB2312"/>
      <w:kern w:val="2"/>
      <w:sz w:val="28"/>
      <w:lang w:val="en-US" w:eastAsia="zh-CN"/>
    </w:rPr>
  </w:style>
  <w:style w:type="character" w:customStyle="1" w:styleId="afffffffc">
    <w:name w:val="正文文本字符"/>
    <w:rPr>
      <w:kern w:val="2"/>
      <w:sz w:val="21"/>
    </w:rPr>
  </w:style>
  <w:style w:type="character" w:customStyle="1" w:styleId="Char1f9">
    <w:name w:val="文档结构图 Char1"/>
    <w:uiPriority w:val="99"/>
    <w:locked/>
    <w:rPr>
      <w:rFonts w:eastAsia="宋体"/>
      <w:color w:val="auto"/>
      <w:kern w:val="2"/>
      <w:sz w:val="24"/>
      <w:shd w:val="clear" w:color="auto" w:fill="000080"/>
    </w:rPr>
  </w:style>
  <w:style w:type="character" w:customStyle="1" w:styleId="Char3">
    <w:name w:val="电子邮件签名 Char"/>
    <w:link w:val="aa"/>
  </w:style>
  <w:style w:type="character" w:customStyle="1" w:styleId="2Char40">
    <w:name w:val="正文文本 2 Char4"/>
    <w:uiPriority w:val="99"/>
    <w:semiHidden/>
  </w:style>
  <w:style w:type="character" w:customStyle="1" w:styleId="Charfffff3">
    <w:name w:val="三 Char"/>
    <w:rPr>
      <w:rFonts w:ascii="Times New Roman" w:eastAsia="宋体" w:hAnsi="Times New Roman" w:cs="Times New Roman"/>
      <w:b/>
      <w:bCs/>
      <w:iCs/>
      <w:kern w:val="2"/>
      <w:sz w:val="28"/>
      <w:szCs w:val="24"/>
      <w:lang w:val="en-US" w:eastAsia="zh-CN" w:bidi="ar-SA"/>
    </w:rPr>
  </w:style>
  <w:style w:type="character" w:customStyle="1" w:styleId="3CharCharCharChar">
    <w:name w:val="标题 3 Char Char Char Char"/>
    <w:rPr>
      <w:rFonts w:ascii="黑体" w:eastAsia="黑体"/>
      <w:b/>
      <w:bCs/>
      <w:sz w:val="28"/>
      <w:szCs w:val="32"/>
    </w:rPr>
  </w:style>
  <w:style w:type="character" w:customStyle="1" w:styleId="font91">
    <w:name w:val="font91"/>
    <w:rPr>
      <w:rFonts w:ascii="Times New Roman" w:hAnsi="Times New Roman" w:cs="Times New Roman" w:hint="default"/>
      <w:color w:val="000000"/>
      <w:sz w:val="18"/>
      <w:szCs w:val="18"/>
      <w:u w:val="none"/>
    </w:rPr>
  </w:style>
  <w:style w:type="character" w:customStyle="1" w:styleId="1CharChar4">
    <w:name w:val="标题样式1 Char Char"/>
    <w:link w:val="1fd"/>
    <w:rPr>
      <w:rFonts w:ascii="黑体" w:eastAsia="黑体"/>
      <w:b/>
      <w:bCs/>
      <w:kern w:val="44"/>
      <w:sz w:val="28"/>
      <w:szCs w:val="28"/>
    </w:rPr>
  </w:style>
  <w:style w:type="paragraph" w:customStyle="1" w:styleId="1fd">
    <w:name w:val="标题样式1"/>
    <w:basedOn w:val="12"/>
    <w:link w:val="1CharChar4"/>
    <w:qFormat/>
    <w:pPr>
      <w:textAlignment w:val="auto"/>
    </w:pPr>
    <w:rPr>
      <w:rFonts w:ascii="黑体"/>
      <w:b/>
      <w:sz w:val="28"/>
      <w:szCs w:val="28"/>
    </w:rPr>
  </w:style>
  <w:style w:type="character" w:customStyle="1" w:styleId="Charfffff4">
    <w:name w:val="报告 Char"/>
    <w:link w:val="afffffffd"/>
    <w:rPr>
      <w:rFonts w:ascii="TimesNewRoman" w:hAnsi="TimesNewRoman" w:cs="宋体"/>
      <w:sz w:val="24"/>
    </w:rPr>
  </w:style>
  <w:style w:type="paragraph" w:customStyle="1" w:styleId="afffffffd">
    <w:name w:val="报告"/>
    <w:basedOn w:val="a2"/>
    <w:link w:val="Charfffff4"/>
    <w:qFormat/>
    <w:pPr>
      <w:spacing w:line="360" w:lineRule="auto"/>
      <w:ind w:firstLine="505"/>
      <w:jc w:val="both"/>
      <w:textAlignment w:val="center"/>
    </w:pPr>
    <w:rPr>
      <w:rFonts w:ascii="TimesNewRoman" w:hAnsi="TimesNewRoman" w:cs="宋体"/>
      <w:sz w:val="24"/>
      <w:szCs w:val="22"/>
    </w:rPr>
  </w:style>
  <w:style w:type="character" w:customStyle="1" w:styleId="CharCharfff1">
    <w:name w:val="文本 Char Char"/>
    <w:rPr>
      <w:rFonts w:eastAsia="宋体"/>
      <w:kern w:val="2"/>
      <w:sz w:val="24"/>
      <w:lang w:val="en-US" w:eastAsia="zh-CN"/>
    </w:rPr>
  </w:style>
  <w:style w:type="character" w:customStyle="1" w:styleId="5CharChar">
    <w:name w:val="样式5 Char Char"/>
    <w:link w:val="5a"/>
    <w:rPr>
      <w:rFonts w:ascii="黑体" w:cs="宋体"/>
      <w:sz w:val="28"/>
      <w:szCs w:val="28"/>
    </w:rPr>
  </w:style>
  <w:style w:type="paragraph" w:customStyle="1" w:styleId="5a">
    <w:name w:val="样式5"/>
    <w:basedOn w:val="49"/>
    <w:link w:val="5CharChar"/>
    <w:qFormat/>
    <w:rPr>
      <w:rFonts w:eastAsiaTheme="minorEastAsia"/>
    </w:rPr>
  </w:style>
  <w:style w:type="character" w:customStyle="1" w:styleId="Charfffff5">
    <w:name w:val="表格格式 Char"/>
    <w:link w:val="afffffffe"/>
    <w:rPr>
      <w:rFonts w:ascii="宋体" w:eastAsia="宋体" w:hAnsi="宋体"/>
      <w:kern w:val="44"/>
      <w:szCs w:val="21"/>
    </w:rPr>
  </w:style>
  <w:style w:type="paragraph" w:customStyle="1" w:styleId="afffffffe">
    <w:name w:val="表格格式"/>
    <w:basedOn w:val="a2"/>
    <w:link w:val="Charfffff5"/>
    <w:qFormat/>
    <w:pPr>
      <w:snapToGrid w:val="0"/>
      <w:ind w:left="200" w:hangingChars="200" w:hanging="200"/>
      <w:jc w:val="center"/>
      <w:textAlignment w:val="baseline"/>
    </w:pPr>
    <w:rPr>
      <w:rFonts w:ascii="宋体" w:eastAsia="宋体" w:hAnsi="宋体"/>
      <w:kern w:val="44"/>
    </w:rPr>
  </w:style>
  <w:style w:type="character" w:customStyle="1" w:styleId="242Char">
    <w:name w:val="样式 四号 行距: 固定值 24 磅 首行缩进:  2 字符 Char"/>
    <w:rPr>
      <w:rFonts w:eastAsia="宋体" w:cs="宋体"/>
      <w:kern w:val="2"/>
      <w:sz w:val="28"/>
      <w:lang w:val="en-US" w:eastAsia="zh-CN" w:bidi="ar-SA"/>
    </w:rPr>
  </w:style>
  <w:style w:type="character" w:customStyle="1" w:styleId="Char2f1">
    <w:name w:val="电子邮件签名 Char2"/>
    <w:uiPriority w:val="99"/>
    <w:semiHidden/>
    <w:rPr>
      <w:kern w:val="2"/>
      <w:sz w:val="21"/>
      <w:szCs w:val="22"/>
    </w:rPr>
  </w:style>
  <w:style w:type="character" w:customStyle="1" w:styleId="CharChar16">
    <w:name w:val="Char Char1"/>
    <w:rPr>
      <w:rFonts w:ascii="仿宋_GB2312" w:eastAsia="仿宋_GB2312"/>
      <w:b/>
      <w:bCs/>
      <w:kern w:val="44"/>
      <w:sz w:val="32"/>
      <w:szCs w:val="44"/>
      <w:lang w:val="en-US" w:eastAsia="zh-CN" w:bidi="ar-SA"/>
    </w:rPr>
  </w:style>
  <w:style w:type="character" w:customStyle="1" w:styleId="CharChar40">
    <w:name w:val="Char Char4"/>
    <w:rPr>
      <w:rFonts w:eastAsia="微软简老宋"/>
      <w:bCs/>
      <w:spacing w:val="8"/>
      <w:sz w:val="28"/>
      <w:szCs w:val="32"/>
      <w:lang w:val="en-US" w:eastAsia="zh-CN" w:bidi="ar-SA"/>
    </w:rPr>
  </w:style>
  <w:style w:type="character" w:customStyle="1" w:styleId="1CharChar5">
    <w:name w:val="目标题 1) Char Char"/>
    <w:rPr>
      <w:rFonts w:ascii="Arial" w:eastAsia="黑体" w:hAnsi="Arial"/>
      <w:sz w:val="24"/>
    </w:rPr>
  </w:style>
  <w:style w:type="character" w:customStyle="1" w:styleId="2TimesNewRomanCharChar">
    <w:name w:val="正文首行缩进 2 + Times New Roman Char Char"/>
    <w:link w:val="2TimesNewRoman"/>
    <w:rPr>
      <w:rFonts w:hAnsi="宋体"/>
      <w:sz w:val="24"/>
      <w:szCs w:val="24"/>
    </w:rPr>
  </w:style>
  <w:style w:type="paragraph" w:customStyle="1" w:styleId="2TimesNewRoman">
    <w:name w:val="正文首行缩进 2 + Times New Roman"/>
    <w:basedOn w:val="a2"/>
    <w:link w:val="2TimesNewRomanCharChar"/>
    <w:qFormat/>
    <w:pPr>
      <w:tabs>
        <w:tab w:val="left" w:pos="0"/>
        <w:tab w:val="left" w:pos="870"/>
        <w:tab w:val="left" w:pos="3150"/>
      </w:tabs>
      <w:spacing w:line="360" w:lineRule="auto"/>
      <w:ind w:firstLineChars="200" w:firstLine="480"/>
      <w:jc w:val="both"/>
    </w:pPr>
    <w:rPr>
      <w:rFonts w:hAnsi="宋体"/>
      <w:sz w:val="24"/>
      <w:szCs w:val="24"/>
    </w:rPr>
  </w:style>
  <w:style w:type="character" w:customStyle="1" w:styleId="large1">
    <w:name w:val="large1"/>
    <w:rPr>
      <w:rFonts w:ascii="宋体" w:eastAsia="宋体" w:hAnsi="宋体" w:hint="eastAsia"/>
      <w:spacing w:val="336"/>
      <w:sz w:val="22"/>
      <w:szCs w:val="22"/>
    </w:rPr>
  </w:style>
  <w:style w:type="character" w:customStyle="1" w:styleId="08Char">
    <w:name w:val="样式 正文文本 + 首行缩进:  0.8 厘米 Char"/>
    <w:link w:val="08"/>
    <w:rPr>
      <w:rFonts w:ascii="仿宋_GB2312" w:eastAsia="仿宋_GB2312" w:hAnsi="宋体"/>
      <w:spacing w:val="-8"/>
      <w:sz w:val="28"/>
      <w:szCs w:val="28"/>
    </w:rPr>
  </w:style>
  <w:style w:type="paragraph" w:customStyle="1" w:styleId="08">
    <w:name w:val="样式 正文文本 + 首行缩进:  0.8 厘米"/>
    <w:basedOn w:val="af4"/>
    <w:link w:val="08Char"/>
    <w:pPr>
      <w:autoSpaceDE/>
      <w:autoSpaceDN/>
      <w:adjustRightInd/>
      <w:spacing w:after="0" w:line="360" w:lineRule="auto"/>
      <w:ind w:firstLineChars="200" w:firstLine="200"/>
      <w:jc w:val="both"/>
    </w:pPr>
    <w:rPr>
      <w:rFonts w:ascii="仿宋_GB2312" w:eastAsia="仿宋_GB2312" w:hAnsi="宋体"/>
      <w:spacing w:val="-8"/>
      <w:sz w:val="28"/>
      <w:szCs w:val="28"/>
    </w:rPr>
  </w:style>
  <w:style w:type="character" w:customStyle="1" w:styleId="question-title">
    <w:name w:val="question-title"/>
    <w:basedOn w:val="a4"/>
  </w:style>
  <w:style w:type="character" w:customStyle="1" w:styleId="CharCharfff2">
    <w:name w:val="正文格式 Char Char"/>
    <w:rPr>
      <w:rFonts w:ascii="宋体" w:eastAsia="宋体" w:cs="宋体"/>
      <w:kern w:val="2"/>
      <w:sz w:val="24"/>
      <w:szCs w:val="24"/>
      <w:lang w:val="en-US" w:eastAsia="zh-CN" w:bidi="ar-SA"/>
    </w:rPr>
  </w:style>
  <w:style w:type="character" w:customStyle="1" w:styleId="5CharChar0">
    <w:name w:val="标5 Char Char"/>
    <w:rPr>
      <w:bCs/>
      <w:snapToGrid w:val="0"/>
      <w:sz w:val="24"/>
      <w:szCs w:val="24"/>
    </w:rPr>
  </w:style>
  <w:style w:type="character" w:customStyle="1" w:styleId="tit021">
    <w:name w:val="tit021"/>
    <w:rPr>
      <w:sz w:val="21"/>
      <w:szCs w:val="21"/>
      <w:u w:val="none"/>
    </w:rPr>
  </w:style>
  <w:style w:type="character" w:customStyle="1" w:styleId="2Char41">
    <w:name w:val="正文文本缩进 2 Char4"/>
    <w:uiPriority w:val="99"/>
    <w:semiHidden/>
  </w:style>
  <w:style w:type="character" w:customStyle="1" w:styleId="title-blue1">
    <w:name w:val="title-blue1"/>
    <w:rPr>
      <w:rFonts w:ascii="幼圆" w:eastAsia="幼圆" w:hint="eastAsia"/>
      <w:b/>
      <w:bCs/>
      <w:color w:val="009FFF"/>
      <w:spacing w:val="75"/>
      <w:sz w:val="24"/>
      <w:szCs w:val="24"/>
    </w:rPr>
  </w:style>
  <w:style w:type="character" w:customStyle="1" w:styleId="richtextmngstyle1">
    <w:name w:val="richtextmngstyle1"/>
    <w:rPr>
      <w:color w:val="000000"/>
      <w:spacing w:val="15"/>
      <w:sz w:val="21"/>
      <w:szCs w:val="21"/>
      <w:u w:val="none"/>
    </w:rPr>
  </w:style>
  <w:style w:type="character" w:customStyle="1" w:styleId="CharCharCharCharCharCharCharChar0">
    <w:name w:val="正文样式 Char Char Char Char Char Char Char Char"/>
    <w:link w:val="CharCharChar3"/>
    <w:rPr>
      <w:rFonts w:ascii="宋体" w:eastAsia="宋体" w:hAnsi="宋体"/>
      <w:color w:val="000000"/>
      <w:sz w:val="24"/>
      <w:szCs w:val="24"/>
    </w:rPr>
  </w:style>
  <w:style w:type="paragraph" w:customStyle="1" w:styleId="CharCharChar3">
    <w:name w:val="正文样式 Char Char Char"/>
    <w:basedOn w:val="a2"/>
    <w:link w:val="CharCharCharCharCharCharCharChar0"/>
    <w:qFormat/>
    <w:pPr>
      <w:spacing w:line="360" w:lineRule="auto"/>
      <w:ind w:firstLineChars="200" w:firstLine="480"/>
    </w:pPr>
    <w:rPr>
      <w:rFonts w:ascii="宋体" w:eastAsia="宋体" w:hAnsi="宋体"/>
      <w:color w:val="000000"/>
      <w:sz w:val="24"/>
      <w:szCs w:val="24"/>
    </w:rPr>
  </w:style>
  <w:style w:type="character" w:customStyle="1" w:styleId="1Char11">
    <w:name w:val="标题 1 Char1"/>
    <w:rPr>
      <w:rFonts w:ascii="黑体" w:eastAsia="黑体" w:hAnsi="黑体"/>
      <w:bCs/>
      <w:kern w:val="44"/>
      <w:sz w:val="36"/>
      <w:szCs w:val="36"/>
    </w:rPr>
  </w:style>
  <w:style w:type="character" w:customStyle="1" w:styleId="12Char">
    <w:name w:val="样式12 Char"/>
    <w:rPr>
      <w:rFonts w:ascii="宋体" w:hAnsi="宋体"/>
      <w:sz w:val="28"/>
      <w:szCs w:val="28"/>
    </w:rPr>
  </w:style>
  <w:style w:type="character" w:customStyle="1" w:styleId="1CharChar6">
    <w:name w:val="正文(1) Char Char"/>
    <w:link w:val="1fe"/>
    <w:rPr>
      <w:rFonts w:ascii="Arial" w:eastAsia="仿宋_GB2312" w:hAnsi="Arial"/>
      <w:sz w:val="24"/>
      <w:szCs w:val="21"/>
    </w:rPr>
  </w:style>
  <w:style w:type="paragraph" w:customStyle="1" w:styleId="1fe">
    <w:name w:val="正文(1)"/>
    <w:basedOn w:val="a2"/>
    <w:link w:val="1CharChar6"/>
    <w:qFormat/>
    <w:pPr>
      <w:snapToGrid w:val="0"/>
      <w:spacing w:beforeLines="50" w:before="156" w:line="312" w:lineRule="auto"/>
      <w:ind w:firstLineChars="200" w:firstLine="200"/>
    </w:pPr>
    <w:rPr>
      <w:rFonts w:eastAsia="仿宋_GB2312" w:hAnsi="Arial"/>
      <w:sz w:val="24"/>
    </w:rPr>
  </w:style>
  <w:style w:type="character" w:customStyle="1" w:styleId="1012Char">
    <w:name w:val="样式 样式 首行缩进:  1.01 厘米 + 首行缩进:  2 字符 Char"/>
    <w:link w:val="1012"/>
    <w:rPr>
      <w:rFonts w:ascii="黑体" w:eastAsia="黑体" w:hAnsi="宋体"/>
      <w:color w:val="000000"/>
    </w:rPr>
  </w:style>
  <w:style w:type="paragraph" w:customStyle="1" w:styleId="1012">
    <w:name w:val="样式 样式 首行缩进:  1.01 厘米 + 首行缩进:  2 字符"/>
    <w:basedOn w:val="101"/>
    <w:link w:val="1012Char"/>
    <w:qFormat/>
    <w:pPr>
      <w:ind w:firstLine="200"/>
    </w:pPr>
    <w:rPr>
      <w:szCs w:val="22"/>
    </w:rPr>
  </w:style>
  <w:style w:type="character" w:customStyle="1" w:styleId="CharCharChar4">
    <w:name w:val="正文首行缩进 Char Char Char"/>
    <w:rPr>
      <w:rFonts w:ascii="Times New Roman" w:eastAsia="宋体" w:hAnsi="Times New Roman" w:cs="Times New Roman"/>
      <w:sz w:val="24"/>
      <w:szCs w:val="24"/>
    </w:rPr>
  </w:style>
  <w:style w:type="character" w:customStyle="1" w:styleId="CharChar92">
    <w:name w:val="Char Char92"/>
    <w:rPr>
      <w:rFonts w:ascii="宋体" w:eastAsia="宋体" w:hAnsi="Courier New"/>
      <w:sz w:val="21"/>
      <w:lang w:val="en-US" w:eastAsia="zh-CN" w:bidi="ar-SA"/>
    </w:rPr>
  </w:style>
  <w:style w:type="character" w:customStyle="1" w:styleId="CharCharfff3">
    <w:name w:val="正文(缩进) Char Char"/>
    <w:link w:val="affffffff"/>
    <w:locked/>
    <w:rPr>
      <w:sz w:val="24"/>
      <w:szCs w:val="24"/>
    </w:rPr>
  </w:style>
  <w:style w:type="paragraph" w:customStyle="1" w:styleId="affffffff">
    <w:name w:val="正文(缩进)"/>
    <w:basedOn w:val="a2"/>
    <w:link w:val="CharCharfff3"/>
    <w:qFormat/>
    <w:pPr>
      <w:spacing w:line="360" w:lineRule="auto"/>
      <w:ind w:firstLineChars="200" w:firstLine="200"/>
      <w:jc w:val="both"/>
    </w:pPr>
    <w:rPr>
      <w:sz w:val="24"/>
      <w:szCs w:val="24"/>
    </w:rPr>
  </w:style>
  <w:style w:type="character" w:customStyle="1" w:styleId="CharChar84">
    <w:name w:val="Char Char84"/>
    <w:rPr>
      <w:rFonts w:eastAsia="仿宋_GB2312"/>
      <w:kern w:val="2"/>
      <w:sz w:val="18"/>
      <w:szCs w:val="18"/>
      <w:lang w:val="en-US" w:eastAsia="zh-CN" w:bidi="ar-SA"/>
    </w:rPr>
  </w:style>
  <w:style w:type="character" w:customStyle="1" w:styleId="haogao1">
    <w:name w:val="haogao1"/>
  </w:style>
  <w:style w:type="character" w:customStyle="1" w:styleId="2f5">
    <w:name w:val="超链接2"/>
    <w:rPr>
      <w:color w:val="0000FF"/>
      <w:u w:val="single"/>
    </w:rPr>
  </w:style>
  <w:style w:type="character" w:customStyle="1" w:styleId="CharCharCharChar3">
    <w:name w:val="日期 Char Char Char Char"/>
    <w:link w:val="3f4"/>
    <w:rPr>
      <w:rFonts w:ascii="宋体"/>
      <w:sz w:val="24"/>
    </w:rPr>
  </w:style>
  <w:style w:type="paragraph" w:customStyle="1" w:styleId="3f4">
    <w:name w:val="日期3"/>
    <w:basedOn w:val="a2"/>
    <w:next w:val="a2"/>
    <w:link w:val="CharCharCharChar3"/>
    <w:qFormat/>
    <w:pPr>
      <w:textAlignment w:val="baseline"/>
    </w:pPr>
    <w:rPr>
      <w:rFonts w:ascii="宋体"/>
      <w:sz w:val="24"/>
      <w:szCs w:val="22"/>
    </w:rPr>
  </w:style>
  <w:style w:type="character" w:customStyle="1" w:styleId="CharChar172">
    <w:name w:val="Char Char172"/>
    <w:rPr>
      <w:sz w:val="18"/>
      <w:szCs w:val="18"/>
    </w:rPr>
  </w:style>
  <w:style w:type="character" w:customStyle="1" w:styleId="CharChar36">
    <w:name w:val="Char Char36"/>
    <w:rPr>
      <w:rFonts w:ascii="Arial" w:eastAsia="MS Mincho" w:hAnsi="Arial"/>
      <w:b/>
      <w:kern w:val="2"/>
      <w:sz w:val="28"/>
      <w:u w:val="single"/>
      <w:lang w:val="en-US" w:eastAsia="ja-JP" w:bidi="ar-SA"/>
    </w:rPr>
  </w:style>
  <w:style w:type="character" w:customStyle="1" w:styleId="chenChar0">
    <w:name w:val="chen 正文字体 Char"/>
  </w:style>
  <w:style w:type="character" w:customStyle="1" w:styleId="CharCharCharCharCharChar3">
    <w:name w:val="表号 Char Char Char Char Char Char"/>
    <w:link w:val="CharCharCharCharChar2"/>
    <w:rPr>
      <w:sz w:val="24"/>
    </w:rPr>
  </w:style>
  <w:style w:type="paragraph" w:customStyle="1" w:styleId="CharCharCharCharChar2">
    <w:name w:val="表号 Char Char Char Char Char"/>
    <w:basedOn w:val="a2"/>
    <w:link w:val="CharCharCharCharCharChar3"/>
    <w:qFormat/>
    <w:pPr>
      <w:spacing w:line="360" w:lineRule="auto"/>
      <w:jc w:val="both"/>
      <w:textAlignment w:val="baseline"/>
    </w:pPr>
    <w:rPr>
      <w:sz w:val="24"/>
      <w:szCs w:val="22"/>
    </w:rPr>
  </w:style>
  <w:style w:type="character" w:customStyle="1" w:styleId="articlebody21">
    <w:name w:val="articlebody21"/>
    <w:rPr>
      <w:sz w:val="21"/>
      <w:szCs w:val="21"/>
    </w:rPr>
  </w:style>
  <w:style w:type="character" w:customStyle="1" w:styleId="2CharChar2">
    <w:name w:val="正文 + 首行缩进:  2 字符 Char Char"/>
    <w:rPr>
      <w:rFonts w:eastAsia="宋体" w:cs="宋体"/>
      <w:kern w:val="2"/>
      <w:sz w:val="24"/>
      <w:lang w:val="en-US" w:eastAsia="zh-CN" w:bidi="ar-SA"/>
    </w:rPr>
  </w:style>
  <w:style w:type="character" w:customStyle="1" w:styleId="1ff">
    <w:name w:val="批注框文本 字符1"/>
    <w:uiPriority w:val="99"/>
    <w:rPr>
      <w:kern w:val="2"/>
      <w:sz w:val="18"/>
      <w:szCs w:val="18"/>
    </w:rPr>
  </w:style>
  <w:style w:type="character" w:customStyle="1" w:styleId="content">
    <w:name w:val="content"/>
  </w:style>
  <w:style w:type="character" w:customStyle="1" w:styleId="6Char10">
    <w:name w:val="标题 6 Char1"/>
    <w:rPr>
      <w:rFonts w:ascii="Cambria" w:eastAsia="宋体" w:hAnsi="Cambria" w:cs="Times New Roman"/>
      <w:b/>
      <w:bCs/>
      <w:spacing w:val="-5"/>
      <w:kern w:val="0"/>
      <w:sz w:val="28"/>
      <w:szCs w:val="20"/>
      <w:lang w:bidi="he-IL"/>
    </w:rPr>
  </w:style>
  <w:style w:type="character" w:customStyle="1" w:styleId="CharChar233">
    <w:name w:val="Char Char233"/>
    <w:rPr>
      <w:rFonts w:eastAsia="宋体"/>
      <w:b/>
      <w:bCs/>
      <w:kern w:val="2"/>
      <w:sz w:val="28"/>
      <w:szCs w:val="28"/>
      <w:lang w:val="en-US" w:eastAsia="zh-CN" w:bidi="ar-SA"/>
    </w:rPr>
  </w:style>
  <w:style w:type="character" w:customStyle="1" w:styleId="hilite12">
    <w:name w:val="hilite12"/>
    <w:rPr>
      <w:color w:val="000000"/>
      <w:shd w:val="clear" w:color="auto" w:fill="FFFF66"/>
    </w:rPr>
  </w:style>
  <w:style w:type="character" w:customStyle="1" w:styleId="2CharChar3">
    <w:name w:val="2级标题 Char Char"/>
    <w:link w:val="2f6"/>
    <w:rPr>
      <w:rFonts w:ascii="黑体" w:hAnsi="宋体"/>
      <w:sz w:val="28"/>
      <w:szCs w:val="28"/>
    </w:rPr>
  </w:style>
  <w:style w:type="paragraph" w:customStyle="1" w:styleId="2f6">
    <w:name w:val="2级标题"/>
    <w:basedOn w:val="22"/>
    <w:link w:val="2CharChar3"/>
    <w:qFormat/>
    <w:pPr>
      <w:keepNext w:val="0"/>
      <w:keepLines w:val="0"/>
      <w:tabs>
        <w:tab w:val="left" w:pos="3564"/>
      </w:tabs>
      <w:spacing w:before="0" w:after="0" w:line="360" w:lineRule="auto"/>
      <w:jc w:val="both"/>
    </w:pPr>
    <w:rPr>
      <w:rFonts w:ascii="黑体" w:eastAsiaTheme="minorEastAsia" w:hAnsi="宋体" w:cstheme="minorBidi"/>
      <w:b w:val="0"/>
      <w:bCs w:val="0"/>
      <w:sz w:val="28"/>
      <w:szCs w:val="28"/>
    </w:rPr>
  </w:style>
  <w:style w:type="character" w:customStyle="1" w:styleId="Char7">
    <w:name w:val="称呼 Char"/>
    <w:link w:val="af2"/>
    <w:rPr>
      <w:rFonts w:eastAsia="楷体_GB2312"/>
      <w:sz w:val="32"/>
    </w:rPr>
  </w:style>
  <w:style w:type="character" w:customStyle="1" w:styleId="Charfffff6">
    <w:name w:val="表格内字体 Char"/>
    <w:link w:val="affffffff0"/>
    <w:rPr>
      <w:rFonts w:ascii="宋体"/>
      <w:szCs w:val="21"/>
    </w:rPr>
  </w:style>
  <w:style w:type="paragraph" w:customStyle="1" w:styleId="affffffff0">
    <w:name w:val="表格内字体"/>
    <w:basedOn w:val="a2"/>
    <w:next w:val="27"/>
    <w:link w:val="Charfffff6"/>
    <w:qFormat/>
    <w:pPr>
      <w:jc w:val="center"/>
    </w:pPr>
    <w:rPr>
      <w:rFonts w:ascii="宋体"/>
    </w:rPr>
  </w:style>
  <w:style w:type="character" w:customStyle="1" w:styleId="Char1fa">
    <w:name w:val="信息标题 Char1"/>
    <w:rPr>
      <w:rFonts w:ascii="Cambria" w:eastAsia="宋体" w:hAnsi="Cambria" w:cs="Times New Roman"/>
      <w:kern w:val="2"/>
      <w:sz w:val="24"/>
      <w:szCs w:val="24"/>
      <w:shd w:val="pct20" w:color="auto" w:fill="auto"/>
    </w:rPr>
  </w:style>
  <w:style w:type="character" w:customStyle="1" w:styleId="2CharChar4">
    <w:name w:val="正文文字 2 Char Char"/>
    <w:rPr>
      <w:rFonts w:ascii="宋体" w:eastAsia="宋体"/>
      <w:kern w:val="2"/>
      <w:sz w:val="30"/>
      <w:lang w:val="en-US" w:eastAsia="zh-CN" w:bidi="ar-SA"/>
    </w:rPr>
  </w:style>
  <w:style w:type="character" w:customStyle="1" w:styleId="hhcwtChar">
    <w:name w:val="hhcwt正文 Char"/>
    <w:rPr>
      <w:rFonts w:eastAsia="宋体" w:cs="宋体"/>
      <w:kern w:val="2"/>
      <w:sz w:val="24"/>
      <w:lang w:val="en-US" w:eastAsia="zh-CN" w:bidi="ar-SA"/>
    </w:rPr>
  </w:style>
  <w:style w:type="character" w:customStyle="1" w:styleId="style51">
    <w:name w:val="style51"/>
    <w:rPr>
      <w:b/>
      <w:bCs/>
      <w:sz w:val="27"/>
      <w:szCs w:val="27"/>
    </w:rPr>
  </w:style>
  <w:style w:type="character" w:customStyle="1" w:styleId="Char3b">
    <w:name w:val="正文文本 Char3"/>
    <w:uiPriority w:val="99"/>
    <w:semiHidden/>
    <w:rPr>
      <w:kern w:val="2"/>
      <w:sz w:val="21"/>
      <w:szCs w:val="22"/>
    </w:rPr>
  </w:style>
  <w:style w:type="character" w:customStyle="1" w:styleId="CharChar204">
    <w:name w:val="Char Char204"/>
    <w:rPr>
      <w:rFonts w:ascii="Arial" w:eastAsia="黑体" w:hAnsi="Arial"/>
      <w:kern w:val="2"/>
      <w:sz w:val="24"/>
      <w:lang w:val="en-US" w:eastAsia="zh-CN" w:bidi="ar-SA"/>
    </w:rPr>
  </w:style>
  <w:style w:type="character" w:customStyle="1" w:styleId="Char1Char">
    <w:name w:val="题注 Char1 Char"/>
    <w:rPr>
      <w:rFonts w:ascii="Arial" w:eastAsia="黑体" w:hAnsi="Arial" w:cs="Arial"/>
      <w:kern w:val="2"/>
      <w:lang w:val="en-US" w:eastAsia="zh-CN" w:bidi="ar-SA"/>
    </w:rPr>
  </w:style>
  <w:style w:type="character" w:customStyle="1" w:styleId="affffffff1">
    <w:name w:val="样式 小四"/>
    <w:rPr>
      <w:rFonts w:eastAsia="宋体"/>
      <w:kern w:val="0"/>
      <w:sz w:val="28"/>
    </w:rPr>
  </w:style>
  <w:style w:type="character" w:customStyle="1" w:styleId="CharChar100">
    <w:name w:val="Char Char10"/>
    <w:rPr>
      <w:rFonts w:ascii="宋体" w:eastAsia="宋体" w:hAnsi="宋体" w:cs="Times New Roman"/>
      <w:snapToGrid w:val="0"/>
      <w:color w:val="000000"/>
      <w:kern w:val="0"/>
      <w:sz w:val="24"/>
      <w:szCs w:val="24"/>
    </w:rPr>
  </w:style>
  <w:style w:type="character" w:customStyle="1" w:styleId="CharChar242">
    <w:name w:val="Char Char242"/>
    <w:rPr>
      <w:rFonts w:eastAsia="宋体"/>
      <w:b/>
      <w:kern w:val="44"/>
      <w:sz w:val="32"/>
      <w:lang w:val="en-US" w:eastAsia="zh-CN" w:bidi="ar-SA"/>
    </w:rPr>
  </w:style>
  <w:style w:type="character" w:customStyle="1" w:styleId="ttag">
    <w:name w:val="t_tag"/>
    <w:rPr>
      <w:rFonts w:cs="Times New Roman"/>
    </w:rPr>
  </w:style>
  <w:style w:type="character" w:customStyle="1" w:styleId="130">
    <w:name w:val="正文文本 (13)_"/>
    <w:link w:val="131"/>
    <w:qFormat/>
    <w:rPr>
      <w:rFonts w:ascii="Batang" w:eastAsia="Batang"/>
      <w:sz w:val="26"/>
      <w:szCs w:val="26"/>
      <w:shd w:val="clear" w:color="auto" w:fill="FFFFFF"/>
      <w:lang w:eastAsia="en-US"/>
    </w:rPr>
  </w:style>
  <w:style w:type="paragraph" w:customStyle="1" w:styleId="131">
    <w:name w:val="正文文本 (13)1"/>
    <w:basedOn w:val="a2"/>
    <w:link w:val="130"/>
    <w:qFormat/>
    <w:pPr>
      <w:shd w:val="clear" w:color="auto" w:fill="FFFFFF"/>
      <w:spacing w:line="240" w:lineRule="atLeast"/>
    </w:pPr>
    <w:rPr>
      <w:rFonts w:ascii="Batang" w:eastAsia="Batang"/>
      <w:sz w:val="26"/>
      <w:szCs w:val="26"/>
      <w:lang w:eastAsia="en-US"/>
    </w:rPr>
  </w:style>
  <w:style w:type="character" w:customStyle="1" w:styleId="Char47">
    <w:name w:val="电子邮件签名 Char4"/>
    <w:qFormat/>
    <w:rPr>
      <w:kern w:val="2"/>
      <w:sz w:val="24"/>
      <w:szCs w:val="24"/>
    </w:rPr>
  </w:style>
  <w:style w:type="character" w:customStyle="1" w:styleId="Charfffff7">
    <w:name w:val="表格中的内容 Char"/>
    <w:link w:val="affffffff2"/>
    <w:qFormat/>
    <w:rPr>
      <w:szCs w:val="21"/>
    </w:rPr>
  </w:style>
  <w:style w:type="paragraph" w:customStyle="1" w:styleId="affffffff2">
    <w:name w:val="表格中的内容"/>
    <w:basedOn w:val="a2"/>
    <w:link w:val="Charfffff7"/>
    <w:pPr>
      <w:autoSpaceDE/>
      <w:autoSpaceDN/>
      <w:adjustRightInd/>
      <w:jc w:val="center"/>
    </w:pPr>
  </w:style>
  <w:style w:type="character" w:customStyle="1" w:styleId="4-25CharChar">
    <w:name w:val="4-25正 Char Char"/>
    <w:link w:val="4-25"/>
    <w:qFormat/>
    <w:rPr>
      <w:rFonts w:cs="宋体"/>
      <w:sz w:val="24"/>
    </w:rPr>
  </w:style>
  <w:style w:type="paragraph" w:customStyle="1" w:styleId="4-25">
    <w:name w:val="4-25正"/>
    <w:basedOn w:val="a2"/>
    <w:link w:val="4-25CharChar"/>
    <w:qFormat/>
    <w:pPr>
      <w:spacing w:before="40" w:after="40" w:line="360" w:lineRule="auto"/>
      <w:ind w:firstLineChars="200" w:firstLine="480"/>
      <w:jc w:val="both"/>
    </w:pPr>
    <w:rPr>
      <w:rFonts w:cs="宋体"/>
      <w:sz w:val="24"/>
      <w:szCs w:val="22"/>
    </w:rPr>
  </w:style>
  <w:style w:type="character" w:customStyle="1" w:styleId="javascript">
    <w:name w:val="javascript"/>
    <w:basedOn w:val="a4"/>
    <w:qFormat/>
  </w:style>
  <w:style w:type="character" w:customStyle="1" w:styleId="2H2Underrubrik1prop2Heading2HiddenHeading2CCBChar">
    <w:name w:val="样式 样式 标题 2H2（一）Underrubrik1prop2Heading 2 HiddenHeading 2 CCB...... Char"/>
    <w:link w:val="2H2Underrubrik1prop2Heading2HiddenHeading2CCB"/>
    <w:rPr>
      <w:rFonts w:ascii="仿宋_GB2312" w:eastAsia="仿宋_GB2312" w:hAnsi="仿宋_GB2312"/>
      <w:b/>
      <w:bCs/>
      <w:sz w:val="28"/>
      <w:szCs w:val="32"/>
    </w:rPr>
  </w:style>
  <w:style w:type="paragraph" w:customStyle="1" w:styleId="2H2Underrubrik1prop2Heading2HiddenHeading2CCB">
    <w:name w:val="样式 样式 标题 2H2（一）Underrubrik1prop2Heading 2 HiddenHeading 2 CCB......"/>
    <w:basedOn w:val="2H2Underrubrik1prop2Heading2HiddenHeading2CCB0"/>
    <w:link w:val="2H2Underrubrik1prop2Heading2HiddenHeading2CCBChar"/>
    <w:pPr>
      <w:spacing w:before="120" w:after="120" w:line="500" w:lineRule="exact"/>
    </w:pPr>
    <w:rPr>
      <w:rFonts w:ascii="仿宋_GB2312" w:eastAsia="仿宋_GB2312" w:hAnsi="仿宋_GB2312"/>
      <w:sz w:val="28"/>
      <w:szCs w:val="32"/>
    </w:rPr>
  </w:style>
  <w:style w:type="paragraph" w:customStyle="1" w:styleId="2H2Underrubrik1prop2Heading2HiddenHeading2CCB0">
    <w:name w:val="样式 标题 2H2（一）Underrubrik1prop2Heading 2 HiddenHeading 2 CCB..."/>
    <w:basedOn w:val="22"/>
    <w:link w:val="2H2Underrubrik1prop2Heading2HiddenHeading2CCBChar0"/>
    <w:qFormat/>
    <w:pPr>
      <w:spacing w:before="200" w:after="200" w:line="498" w:lineRule="exact"/>
      <w:jc w:val="both"/>
    </w:pPr>
    <w:rPr>
      <w:rFonts w:asciiTheme="minorHAnsi" w:eastAsiaTheme="minorEastAsia" w:hAnsiTheme="minorHAnsi" w:cstheme="minorBidi"/>
      <w:sz w:val="30"/>
      <w:szCs w:val="22"/>
    </w:rPr>
  </w:style>
  <w:style w:type="character" w:customStyle="1" w:styleId="Charfffff8">
    <w:name w:val="大纲正文 Char"/>
    <w:link w:val="affffffff3"/>
    <w:rPr>
      <w:rFonts w:cs="宋体"/>
      <w:sz w:val="24"/>
    </w:rPr>
  </w:style>
  <w:style w:type="paragraph" w:customStyle="1" w:styleId="affffffff3">
    <w:name w:val="大纲正文"/>
    <w:basedOn w:val="a2"/>
    <w:link w:val="Charfffff8"/>
    <w:qFormat/>
    <w:pPr>
      <w:snapToGrid w:val="0"/>
      <w:spacing w:afterLines="50" w:after="156" w:line="300" w:lineRule="auto"/>
      <w:ind w:firstLineChars="200" w:firstLine="480"/>
      <w:jc w:val="both"/>
    </w:pPr>
    <w:rPr>
      <w:rFonts w:cs="宋体"/>
      <w:sz w:val="24"/>
      <w:szCs w:val="22"/>
    </w:rPr>
  </w:style>
  <w:style w:type="character" w:customStyle="1" w:styleId="Batang">
    <w:name w:val="表格标题 + Batang"/>
    <w:qFormat/>
    <w:rPr>
      <w:rFonts w:ascii="Batang" w:eastAsia="Batang" w:cs="Batang"/>
      <w:sz w:val="19"/>
      <w:szCs w:val="19"/>
      <w:u w:val="none"/>
      <w:lang w:val="en-US" w:eastAsia="en-US"/>
    </w:rPr>
  </w:style>
  <w:style w:type="character" w:customStyle="1" w:styleId="1CharChar7">
    <w:name w:val="表题1 Char Char"/>
    <w:link w:val="1ff0"/>
    <w:qFormat/>
    <w:rPr>
      <w:rFonts w:ascii="黑体" w:eastAsia="黑体" w:hAnsi="宋体"/>
      <w:color w:val="000000"/>
      <w:sz w:val="24"/>
      <w:szCs w:val="24"/>
    </w:rPr>
  </w:style>
  <w:style w:type="paragraph" w:customStyle="1" w:styleId="1ff0">
    <w:name w:val="表题1"/>
    <w:basedOn w:val="66"/>
    <w:link w:val="1CharChar7"/>
    <w:qFormat/>
    <w:pPr>
      <w:jc w:val="center"/>
    </w:pPr>
    <w:rPr>
      <w:rFonts w:ascii="黑体" w:eastAsia="黑体" w:hAnsi="宋体"/>
    </w:rPr>
  </w:style>
  <w:style w:type="character" w:customStyle="1" w:styleId="17131171Char">
    <w:name w:val="样式 样式 首行缩进:  1.71 字符31 + 左 首行缩进:  1.71 字符 Char"/>
    <w:link w:val="17131171"/>
    <w:qFormat/>
    <w:rPr>
      <w:sz w:val="24"/>
    </w:rPr>
  </w:style>
  <w:style w:type="paragraph" w:customStyle="1" w:styleId="17131171">
    <w:name w:val="样式 样式 首行缩进:  1.71 字符31 + 左 首行缩进:  1.71 字符"/>
    <w:basedOn w:val="a2"/>
    <w:next w:val="a2"/>
    <w:link w:val="17131171Char"/>
    <w:qFormat/>
    <w:pPr>
      <w:spacing w:line="360" w:lineRule="auto"/>
      <w:ind w:firstLine="410"/>
    </w:pPr>
    <w:rPr>
      <w:sz w:val="24"/>
      <w:szCs w:val="22"/>
    </w:rPr>
  </w:style>
  <w:style w:type="character" w:customStyle="1" w:styleId="a14">
    <w:name w:val="a14"/>
    <w:qFormat/>
  </w:style>
  <w:style w:type="character" w:customStyle="1" w:styleId="CharChar181">
    <w:name w:val="Char Char181"/>
    <w:rPr>
      <w:rFonts w:ascii="Arial" w:eastAsia="黑体" w:hAnsi="Arial"/>
      <w:sz w:val="24"/>
      <w:lang w:val="en-US" w:eastAsia="zh-CN" w:bidi="ar-SA"/>
    </w:rPr>
  </w:style>
  <w:style w:type="character" w:customStyle="1" w:styleId="001Char">
    <w:name w:val="正文001 Char"/>
    <w:link w:val="001"/>
    <w:locked/>
    <w:rPr>
      <w:sz w:val="24"/>
    </w:rPr>
  </w:style>
  <w:style w:type="paragraph" w:customStyle="1" w:styleId="001">
    <w:name w:val="正文001"/>
    <w:basedOn w:val="a2"/>
    <w:link w:val="001Char"/>
    <w:qFormat/>
    <w:pPr>
      <w:spacing w:before="60" w:line="420" w:lineRule="exact"/>
      <w:ind w:firstLine="482"/>
      <w:jc w:val="both"/>
    </w:pPr>
    <w:rPr>
      <w:sz w:val="24"/>
      <w:szCs w:val="22"/>
    </w:rPr>
  </w:style>
  <w:style w:type="character" w:customStyle="1" w:styleId="TimesNewRomanCharChar0">
    <w:name w:val="样式 报告 + Times New Roman Char Char"/>
    <w:link w:val="TimesNewRomanChar0"/>
    <w:rPr>
      <w:sz w:val="28"/>
      <w:szCs w:val="28"/>
    </w:rPr>
  </w:style>
  <w:style w:type="paragraph" w:customStyle="1" w:styleId="TimesNewRomanChar0">
    <w:name w:val="样式 报告 + Times New Roman Char"/>
    <w:basedOn w:val="a2"/>
    <w:link w:val="TimesNewRomanCharChar0"/>
    <w:qFormat/>
    <w:pPr>
      <w:spacing w:line="500" w:lineRule="exact"/>
      <w:ind w:firstLine="505"/>
      <w:jc w:val="both"/>
      <w:textAlignment w:val="center"/>
    </w:pPr>
    <w:rPr>
      <w:szCs w:val="28"/>
    </w:rPr>
  </w:style>
  <w:style w:type="character" w:customStyle="1" w:styleId="2Char20">
    <w:name w:val="正文文本 2 Char2"/>
    <w:rPr>
      <w:rFonts w:ascii="Times New Roman" w:eastAsia="宋体" w:hAnsi="Times New Roman" w:cs="Times New Roman"/>
      <w:szCs w:val="24"/>
    </w:rPr>
  </w:style>
  <w:style w:type="character" w:customStyle="1" w:styleId="DChar">
    <w:name w:val="D Char"/>
    <w:link w:val="D"/>
    <w:rPr>
      <w:bCs/>
      <w:kern w:val="44"/>
      <w:sz w:val="24"/>
      <w:szCs w:val="24"/>
    </w:rPr>
  </w:style>
  <w:style w:type="paragraph" w:customStyle="1" w:styleId="D">
    <w:name w:val="D"/>
    <w:basedOn w:val="12"/>
    <w:next w:val="a2"/>
    <w:link w:val="DChar"/>
    <w:qFormat/>
    <w:pPr>
      <w:textAlignment w:val="auto"/>
      <w:outlineLvl w:val="3"/>
    </w:pPr>
    <w:rPr>
      <w:rFonts w:asciiTheme="minorHAnsi" w:eastAsiaTheme="minorEastAsia"/>
      <w:sz w:val="24"/>
      <w:szCs w:val="24"/>
    </w:rPr>
  </w:style>
  <w:style w:type="character" w:customStyle="1" w:styleId="CharCharfff4">
    <w:name w:val="样式 表头 + 黑色 Char Char"/>
    <w:link w:val="affffffff4"/>
    <w:rPr>
      <w:b/>
      <w:bCs/>
      <w:color w:val="000000"/>
      <w:spacing w:val="-4"/>
      <w:sz w:val="24"/>
      <w:szCs w:val="24"/>
    </w:rPr>
  </w:style>
  <w:style w:type="paragraph" w:customStyle="1" w:styleId="affffffff4">
    <w:name w:val="样式 表头 + 黑色"/>
    <w:basedOn w:val="affffffff5"/>
    <w:link w:val="CharCharfff4"/>
    <w:qFormat/>
    <w:pPr>
      <w:snapToGrid w:val="0"/>
      <w:spacing w:before="0" w:line="360" w:lineRule="auto"/>
    </w:pPr>
    <w:rPr>
      <w:rFonts w:eastAsiaTheme="minorEastAsia"/>
      <w:b/>
      <w:bCs/>
      <w:color w:val="000000"/>
      <w:spacing w:val="-4"/>
    </w:rPr>
  </w:style>
  <w:style w:type="paragraph" w:customStyle="1" w:styleId="affffffff5">
    <w:name w:val="表头"/>
    <w:basedOn w:val="a2"/>
    <w:next w:val="a3"/>
    <w:link w:val="CharCharfff5"/>
    <w:qFormat/>
    <w:pPr>
      <w:spacing w:before="120"/>
      <w:jc w:val="center"/>
    </w:pPr>
    <w:rPr>
      <w:rFonts w:eastAsia="黑体"/>
      <w:sz w:val="24"/>
      <w:szCs w:val="24"/>
    </w:rPr>
  </w:style>
  <w:style w:type="character" w:customStyle="1" w:styleId="3Char20">
    <w:name w:val="正文文本缩进 3 Char2"/>
    <w:rPr>
      <w:rFonts w:ascii="Times New Roman" w:eastAsia="宋体" w:hAnsi="Times New Roman" w:cs="Times New Roman"/>
      <w:sz w:val="16"/>
      <w:szCs w:val="16"/>
    </w:rPr>
  </w:style>
  <w:style w:type="character" w:customStyle="1" w:styleId="Charfffff9">
    <w:name w:val="正文格式 Char"/>
    <w:link w:val="affffffff6"/>
    <w:rPr>
      <w:rFonts w:ascii="宋体" w:cs="宋体"/>
      <w:sz w:val="24"/>
      <w:szCs w:val="24"/>
    </w:rPr>
  </w:style>
  <w:style w:type="paragraph" w:customStyle="1" w:styleId="affffffff6">
    <w:name w:val="正文格式"/>
    <w:basedOn w:val="a2"/>
    <w:link w:val="Charfffff9"/>
    <w:qFormat/>
    <w:pPr>
      <w:spacing w:line="360" w:lineRule="auto"/>
      <w:ind w:firstLine="482"/>
      <w:jc w:val="both"/>
    </w:pPr>
    <w:rPr>
      <w:rFonts w:ascii="宋体" w:cs="宋体"/>
      <w:sz w:val="24"/>
      <w:szCs w:val="24"/>
    </w:rPr>
  </w:style>
  <w:style w:type="character" w:customStyle="1" w:styleId="jtpsoft1">
    <w:name w:val="jtpsoft1"/>
  </w:style>
  <w:style w:type="character" w:customStyle="1" w:styleId="Char3c">
    <w:name w:val="页脚 Char3"/>
    <w:uiPriority w:val="99"/>
    <w:semiHidden/>
    <w:rPr>
      <w:kern w:val="2"/>
      <w:sz w:val="18"/>
      <w:szCs w:val="18"/>
    </w:rPr>
  </w:style>
  <w:style w:type="character" w:customStyle="1" w:styleId="1ff1">
    <w:name w:val="超链接1"/>
    <w:rPr>
      <w:color w:val="0000FF"/>
      <w:u w:val="single"/>
    </w:rPr>
  </w:style>
  <w:style w:type="character" w:customStyle="1" w:styleId="Char1fb">
    <w:name w:val="四号 正文 Char1"/>
    <w:link w:val="affffffff7"/>
    <w:rPr>
      <w:spacing w:val="6"/>
      <w:sz w:val="28"/>
    </w:rPr>
  </w:style>
  <w:style w:type="paragraph" w:customStyle="1" w:styleId="affffffff7">
    <w:name w:val="四号 正文"/>
    <w:basedOn w:val="a2"/>
    <w:link w:val="Char1fb"/>
    <w:qFormat/>
    <w:pPr>
      <w:ind w:firstLineChars="200" w:firstLine="573"/>
      <w:jc w:val="both"/>
    </w:pPr>
    <w:rPr>
      <w:spacing w:val="6"/>
      <w:szCs w:val="22"/>
    </w:rPr>
  </w:style>
  <w:style w:type="character" w:customStyle="1" w:styleId="2Charc">
    <w:name w:val="样式 正文文本 + 首行缩进:  2 字符 Char"/>
    <w:rPr>
      <w:rFonts w:ascii="宋体" w:hAnsi="Times New Roman" w:cs="宋体"/>
      <w:kern w:val="2"/>
      <w:sz w:val="28"/>
    </w:rPr>
  </w:style>
  <w:style w:type="character" w:customStyle="1" w:styleId="Char430">
    <w:name w:val="Char43"/>
    <w:rPr>
      <w:rFonts w:ascii="仿宋_GB2312" w:eastAsia="仿宋_GB2312" w:hint="eastAsia"/>
      <w:kern w:val="2"/>
      <w:sz w:val="28"/>
      <w:lang w:val="en-US" w:eastAsia="zh-CN"/>
    </w:rPr>
  </w:style>
  <w:style w:type="character" w:customStyle="1" w:styleId="CharChar21">
    <w:name w:val="Char Char21"/>
    <w:rPr>
      <w:rFonts w:eastAsia="宋体"/>
      <w:kern w:val="2"/>
      <w:sz w:val="21"/>
      <w:szCs w:val="24"/>
      <w:lang w:val="en-US" w:eastAsia="zh-CN" w:bidi="ar-SA"/>
    </w:rPr>
  </w:style>
  <w:style w:type="character" w:customStyle="1" w:styleId="ziti21">
    <w:name w:val="ziti21"/>
    <w:rPr>
      <w:rFonts w:ascii="ˎ̥" w:hAnsi="ˎ̥" w:hint="default"/>
      <w:color w:val="000000"/>
      <w:sz w:val="21"/>
      <w:szCs w:val="21"/>
      <w:u w:val="none"/>
    </w:rPr>
  </w:style>
  <w:style w:type="character" w:customStyle="1" w:styleId="Char2f2">
    <w:name w:val="小四+首行缩进 Char2"/>
    <w:link w:val="affffffff8"/>
    <w:rPr>
      <w:rFonts w:ascii="宋体" w:hAnsi="宋体" w:cs="宋体"/>
      <w:sz w:val="24"/>
    </w:rPr>
  </w:style>
  <w:style w:type="paragraph" w:customStyle="1" w:styleId="affffffff8">
    <w:name w:val="小四+首行缩进"/>
    <w:basedOn w:val="a2"/>
    <w:link w:val="Char2f2"/>
    <w:qFormat/>
    <w:pPr>
      <w:spacing w:line="360" w:lineRule="auto"/>
      <w:ind w:firstLine="482"/>
    </w:pPr>
    <w:rPr>
      <w:rFonts w:ascii="宋体" w:hAnsi="宋体" w:cs="宋体"/>
      <w:sz w:val="24"/>
      <w:szCs w:val="22"/>
    </w:rPr>
  </w:style>
  <w:style w:type="character" w:customStyle="1" w:styleId="31113CharChar3CharCharCharCharChar">
    <w:name w:val="我的 标题 3条标题1.1.1标题 3 Char Char小标题头小节标题标题 3 Char Char Char标... Char Char"/>
    <w:rPr>
      <w:rFonts w:eastAsia="黑体"/>
      <w:snapToGrid w:val="0"/>
      <w:kern w:val="2"/>
      <w:sz w:val="28"/>
      <w:lang w:val="en-US" w:eastAsia="zh-CN"/>
    </w:rPr>
  </w:style>
  <w:style w:type="character" w:customStyle="1" w:styleId="Char3d">
    <w:name w:val="签名 Char3"/>
    <w:uiPriority w:val="99"/>
    <w:semiHidden/>
    <w:rPr>
      <w:kern w:val="2"/>
      <w:sz w:val="21"/>
      <w:szCs w:val="22"/>
    </w:rPr>
  </w:style>
  <w:style w:type="character" w:customStyle="1" w:styleId="h31">
    <w:name w:val="h31"/>
    <w:rPr>
      <w:sz w:val="23"/>
      <w:szCs w:val="23"/>
    </w:rPr>
  </w:style>
  <w:style w:type="character" w:customStyle="1" w:styleId="aCharChar0">
    <w:name w:val="干标题(a) Char Char"/>
    <w:rPr>
      <w:rFonts w:ascii="Arial" w:eastAsia="黑体" w:hAnsi="Arial"/>
      <w:sz w:val="28"/>
    </w:rPr>
  </w:style>
  <w:style w:type="character" w:customStyle="1" w:styleId="artcontent">
    <w:name w:val="artcontent"/>
  </w:style>
  <w:style w:type="character" w:customStyle="1" w:styleId="kbz2">
    <w:name w:val="kbz2"/>
    <w:rPr>
      <w:color w:val="333333"/>
    </w:rPr>
  </w:style>
  <w:style w:type="character" w:customStyle="1" w:styleId="hhcwt3CharChar">
    <w:name w:val="hhcwt标题3 Char Char"/>
    <w:link w:val="hhcwt3"/>
    <w:rPr>
      <w:rFonts w:eastAsia="楷体_GB2312" w:cs="宋体"/>
      <w:bCs/>
      <w:sz w:val="28"/>
    </w:rPr>
  </w:style>
  <w:style w:type="paragraph" w:customStyle="1" w:styleId="hhcwt3">
    <w:name w:val="hhcwt标题3"/>
    <w:basedOn w:val="a2"/>
    <w:link w:val="hhcwt3CharChar"/>
    <w:qFormat/>
    <w:pPr>
      <w:keepNext/>
      <w:keepLines/>
      <w:spacing w:line="336" w:lineRule="auto"/>
      <w:outlineLvl w:val="2"/>
    </w:pPr>
    <w:rPr>
      <w:rFonts w:cs="宋体"/>
      <w:bCs/>
      <w:szCs w:val="22"/>
    </w:rPr>
  </w:style>
  <w:style w:type="character" w:customStyle="1" w:styleId="Charfffffa">
    <w:name w:val="页码 Char"/>
    <w:rPr>
      <w:rFonts w:cs="Times New Roman"/>
      <w:color w:val="000000"/>
      <w:sz w:val="21"/>
      <w:u w:color="000000"/>
      <w:lang w:val="en-US" w:eastAsia="zh-CN"/>
    </w:rPr>
  </w:style>
  <w:style w:type="character" w:customStyle="1" w:styleId="CharCharCharCharChar3">
    <w:name w:val="表头文字 Char Char Char Char Char"/>
    <w:link w:val="CharCharChar5"/>
    <w:rPr>
      <w:rFonts w:eastAsia="华文中宋"/>
      <w:b/>
      <w:sz w:val="24"/>
      <w:szCs w:val="24"/>
    </w:rPr>
  </w:style>
  <w:style w:type="paragraph" w:customStyle="1" w:styleId="CharCharChar5">
    <w:name w:val="表头文字 Char Char Char"/>
    <w:basedOn w:val="a2"/>
    <w:link w:val="CharCharCharCharChar3"/>
    <w:qFormat/>
    <w:pPr>
      <w:spacing w:line="360" w:lineRule="auto"/>
      <w:jc w:val="center"/>
    </w:pPr>
    <w:rPr>
      <w:rFonts w:eastAsia="华文中宋"/>
      <w:b/>
      <w:sz w:val="24"/>
      <w:szCs w:val="24"/>
    </w:rPr>
  </w:style>
  <w:style w:type="character" w:customStyle="1" w:styleId="Char48">
    <w:name w:val="批注主题 Char4"/>
    <w:uiPriority w:val="99"/>
    <w:semiHidden/>
    <w:rPr>
      <w:b/>
      <w:bCs/>
    </w:rPr>
  </w:style>
  <w:style w:type="character" w:customStyle="1" w:styleId="1ff2">
    <w:name w:val="页码1"/>
  </w:style>
  <w:style w:type="character" w:customStyle="1" w:styleId="e91">
    <w:name w:val="e91"/>
    <w:rPr>
      <w:rFonts w:ascii="Arial" w:hAnsi="Arial"/>
      <w:sz w:val="21"/>
    </w:rPr>
  </w:style>
  <w:style w:type="character" w:customStyle="1" w:styleId="Char49">
    <w:name w:val="Char4"/>
    <w:rPr>
      <w:rFonts w:ascii="仿宋_GB2312" w:eastAsia="仿宋_GB2312"/>
      <w:kern w:val="2"/>
      <w:sz w:val="28"/>
      <w:lang w:val="en-US" w:eastAsia="zh-CN"/>
    </w:rPr>
  </w:style>
  <w:style w:type="character" w:customStyle="1" w:styleId="Charfffffb">
    <w:name w:val="表注 Char"/>
    <w:rPr>
      <w:rFonts w:ascii="Times New Roman" w:eastAsia="楷体_GB2312" w:hAnsi="Times New Roman"/>
      <w:kern w:val="2"/>
      <w:sz w:val="21"/>
      <w:szCs w:val="22"/>
      <w:lang w:bidi="ar-SA"/>
    </w:rPr>
  </w:style>
  <w:style w:type="character" w:customStyle="1" w:styleId="Charfffffc">
    <w:name w:val="初设正文 Char"/>
    <w:link w:val="affffffff9"/>
    <w:rPr>
      <w:rFonts w:ascii="Arial" w:hAnsi="Arial"/>
      <w:sz w:val="24"/>
    </w:rPr>
  </w:style>
  <w:style w:type="paragraph" w:customStyle="1" w:styleId="affffffff9">
    <w:name w:val="初设正文"/>
    <w:basedOn w:val="a2"/>
    <w:link w:val="Charfffffc"/>
    <w:qFormat/>
    <w:pPr>
      <w:spacing w:after="120" w:line="440" w:lineRule="exact"/>
      <w:ind w:left="425" w:firstLine="425"/>
      <w:jc w:val="both"/>
    </w:pPr>
    <w:rPr>
      <w:rFonts w:hAnsi="Arial"/>
      <w:sz w:val="24"/>
      <w:szCs w:val="22"/>
    </w:rPr>
  </w:style>
  <w:style w:type="character" w:customStyle="1" w:styleId="2Char12">
    <w:name w:val="正文首行缩进 2 Char1"/>
    <w:locked/>
    <w:rPr>
      <w:kern w:val="2"/>
      <w:sz w:val="24"/>
    </w:rPr>
  </w:style>
  <w:style w:type="character" w:customStyle="1" w:styleId="1Charc">
    <w:name w:val="可研标题1 Char"/>
    <w:link w:val="1ff3"/>
    <w:rPr>
      <w:rFonts w:ascii="黑体" w:eastAsia="黑体"/>
      <w:bCs/>
      <w:kern w:val="44"/>
      <w:sz w:val="32"/>
      <w:szCs w:val="30"/>
    </w:rPr>
  </w:style>
  <w:style w:type="paragraph" w:customStyle="1" w:styleId="1ff3">
    <w:name w:val="可研标题1"/>
    <w:basedOn w:val="12"/>
    <w:link w:val="1Charc"/>
    <w:qFormat/>
    <w:pPr>
      <w:spacing w:before="340" w:after="330" w:line="240" w:lineRule="auto"/>
      <w:textAlignment w:val="auto"/>
    </w:pPr>
    <w:rPr>
      <w:rFonts w:ascii="黑体"/>
      <w:sz w:val="32"/>
      <w:szCs w:val="30"/>
    </w:rPr>
  </w:style>
  <w:style w:type="character" w:customStyle="1" w:styleId="CommentTextChar">
    <w:name w:val="Comment Text Char"/>
    <w:locked/>
    <w:rPr>
      <w:rFonts w:eastAsia="宋体"/>
      <w:kern w:val="2"/>
      <w:sz w:val="21"/>
      <w:szCs w:val="24"/>
      <w:lang w:val="en-US" w:eastAsia="zh-CN" w:bidi="ar-SA"/>
    </w:rPr>
  </w:style>
  <w:style w:type="character" w:customStyle="1" w:styleId="CharCharfff6">
    <w:name w:val="表题格式 Char Char"/>
    <w:link w:val="affffffffa"/>
    <w:rPr>
      <w:rFonts w:eastAsia="仿宋_GB2312"/>
      <w:sz w:val="24"/>
    </w:rPr>
  </w:style>
  <w:style w:type="paragraph" w:customStyle="1" w:styleId="affffffffa">
    <w:name w:val="表题格式"/>
    <w:basedOn w:val="a2"/>
    <w:link w:val="CharCharfff6"/>
    <w:qFormat/>
    <w:pPr>
      <w:spacing w:line="400" w:lineRule="exact"/>
    </w:pPr>
    <w:rPr>
      <w:rFonts w:eastAsia="仿宋_GB2312"/>
      <w:sz w:val="24"/>
      <w:szCs w:val="22"/>
    </w:rPr>
  </w:style>
  <w:style w:type="character" w:customStyle="1" w:styleId="2Char31">
    <w:name w:val="正文文本缩进 2 Char3"/>
    <w:uiPriority w:val="99"/>
    <w:semiHidden/>
    <w:rPr>
      <w:kern w:val="2"/>
      <w:sz w:val="21"/>
      <w:szCs w:val="22"/>
    </w:rPr>
  </w:style>
  <w:style w:type="character" w:customStyle="1" w:styleId="style241">
    <w:name w:val="style241"/>
    <w:rPr>
      <w:sz w:val="18"/>
      <w:szCs w:val="18"/>
    </w:rPr>
  </w:style>
  <w:style w:type="character" w:customStyle="1" w:styleId="Charfffffd">
    <w:name w:val="缩进正文 Char"/>
    <w:link w:val="affffffffb"/>
    <w:rPr>
      <w:sz w:val="24"/>
    </w:rPr>
  </w:style>
  <w:style w:type="paragraph" w:customStyle="1" w:styleId="affffffffb">
    <w:name w:val="缩进正文"/>
    <w:basedOn w:val="a2"/>
    <w:link w:val="Charfffffd"/>
    <w:qFormat/>
    <w:pPr>
      <w:autoSpaceDE/>
      <w:autoSpaceDN/>
      <w:snapToGrid w:val="0"/>
      <w:spacing w:line="360" w:lineRule="auto"/>
      <w:ind w:firstLineChars="200" w:firstLine="200"/>
      <w:jc w:val="both"/>
    </w:pPr>
    <w:rPr>
      <w:sz w:val="24"/>
      <w:szCs w:val="22"/>
    </w:rPr>
  </w:style>
  <w:style w:type="character" w:customStyle="1" w:styleId="21CharChar">
    <w:name w:val="样式 公正文 + 首行缩进:  2 字符1 Char Char"/>
    <w:link w:val="211"/>
    <w:rPr>
      <w:rFonts w:ascii="宋体" w:eastAsia="仿宋_GB2312" w:hAnsi="宋体"/>
      <w:sz w:val="28"/>
    </w:rPr>
  </w:style>
  <w:style w:type="paragraph" w:customStyle="1" w:styleId="211">
    <w:name w:val="样式 公正文 + 首行缩进:  2 字符1"/>
    <w:basedOn w:val="a2"/>
    <w:link w:val="21CharChar"/>
    <w:qFormat/>
    <w:pPr>
      <w:snapToGrid w:val="0"/>
      <w:spacing w:line="353" w:lineRule="auto"/>
      <w:ind w:firstLineChars="200" w:firstLine="200"/>
    </w:pPr>
    <w:rPr>
      <w:rFonts w:ascii="宋体" w:eastAsia="仿宋_GB2312" w:hAnsi="宋体"/>
      <w:szCs w:val="22"/>
    </w:rPr>
  </w:style>
  <w:style w:type="character" w:customStyle="1" w:styleId="CharCharCharChar10">
    <w:name w:val="Char Char Char Char1"/>
    <w:rPr>
      <w:rFonts w:eastAsia="宋体"/>
      <w:kern w:val="2"/>
      <w:sz w:val="24"/>
      <w:szCs w:val="24"/>
      <w:lang w:val="en-US" w:eastAsia="zh-CN" w:bidi="ar-SA"/>
    </w:rPr>
  </w:style>
  <w:style w:type="character" w:customStyle="1" w:styleId="1Chard">
    <w:name w:val="题1 Char"/>
    <w:rPr>
      <w:rFonts w:ascii="宋体" w:eastAsia="宋体" w:hAnsi="宋体"/>
      <w:b/>
      <w:kern w:val="44"/>
      <w:sz w:val="32"/>
      <w:szCs w:val="32"/>
      <w:lang w:val="en-US" w:eastAsia="zh-CN" w:bidi="ar-SA"/>
    </w:rPr>
  </w:style>
  <w:style w:type="character" w:customStyle="1" w:styleId="1ff4">
    <w:name w:val="书籍标题1"/>
    <w:qFormat/>
    <w:rPr>
      <w:rFonts w:ascii="Cambria" w:eastAsia="宋体" w:hAnsi="Cambria"/>
      <w:b/>
      <w:i/>
      <w:sz w:val="24"/>
      <w:szCs w:val="24"/>
    </w:rPr>
  </w:style>
  <w:style w:type="character" w:customStyle="1" w:styleId="2CharChar5">
    <w:name w:val="报告 两端对齐 首行缩进:  2 字符 Char Char"/>
    <w:link w:val="2f7"/>
    <w:rPr>
      <w:rFonts w:cs="宋体"/>
      <w:sz w:val="24"/>
      <w:szCs w:val="24"/>
    </w:rPr>
  </w:style>
  <w:style w:type="paragraph" w:customStyle="1" w:styleId="2f7">
    <w:name w:val="报告 两端对齐 首行缩进:  2 字符"/>
    <w:link w:val="2CharChar5"/>
    <w:qFormat/>
    <w:pPr>
      <w:spacing w:line="360" w:lineRule="auto"/>
      <w:ind w:firstLineChars="200" w:firstLine="200"/>
      <w:jc w:val="both"/>
    </w:pPr>
    <w:rPr>
      <w:rFonts w:cs="宋体"/>
      <w:kern w:val="2"/>
      <w:sz w:val="24"/>
      <w:szCs w:val="24"/>
    </w:rPr>
  </w:style>
  <w:style w:type="character" w:customStyle="1" w:styleId="Ordos125CharChar">
    <w:name w:val="样式 Ordos正文 + 华文细黑 行距: 多倍行距 1.25 字行 Char Char"/>
    <w:link w:val="Ordos125"/>
    <w:rPr>
      <w:rFonts w:ascii="华文细黑" w:eastAsia="华文细黑" w:hAnsi="华文细黑"/>
    </w:rPr>
  </w:style>
  <w:style w:type="paragraph" w:customStyle="1" w:styleId="Ordos125">
    <w:name w:val="样式 Ordos正文 + 华文细黑 行距: 多倍行距 1.25 字行"/>
    <w:basedOn w:val="a2"/>
    <w:link w:val="Ordos125CharChar"/>
    <w:qFormat/>
    <w:pPr>
      <w:spacing w:line="300" w:lineRule="auto"/>
      <w:ind w:firstLineChars="200" w:firstLine="420"/>
      <w:jc w:val="both"/>
    </w:pPr>
    <w:rPr>
      <w:rFonts w:ascii="华文细黑" w:eastAsia="华文细黑" w:hAnsi="华文细黑"/>
      <w:szCs w:val="22"/>
    </w:rPr>
  </w:style>
  <w:style w:type="character" w:customStyle="1" w:styleId="4Char10">
    <w:name w:val="标题（4） Char1"/>
    <w:rPr>
      <w:rFonts w:eastAsia="黑体"/>
      <w:bCs/>
      <w:sz w:val="28"/>
      <w:szCs w:val="28"/>
      <w:lang w:val="en-US" w:eastAsia="zh-CN" w:bidi="ar-SA"/>
    </w:rPr>
  </w:style>
  <w:style w:type="character" w:customStyle="1" w:styleId="zhengwei1">
    <w:name w:val="zhengwei1"/>
    <w:rPr>
      <w:sz w:val="23"/>
      <w:szCs w:val="23"/>
    </w:rPr>
  </w:style>
  <w:style w:type="character" w:customStyle="1" w:styleId="2CharCharCharChar">
    <w:name w:val="正文 + 首行缩进:  2 字符 Char Char Char Char"/>
    <w:rPr>
      <w:rFonts w:eastAsia="宋体" w:cs="宋体"/>
      <w:kern w:val="2"/>
      <w:sz w:val="24"/>
      <w:lang w:val="en-US" w:eastAsia="zh-CN" w:bidi="ar-SA"/>
    </w:rPr>
  </w:style>
  <w:style w:type="character" w:customStyle="1" w:styleId="21521CharChar">
    <w:name w:val="样式 标准文本 首行缩进:2 字符 行距1.5倍 + 首行缩进:  2 字符1 Char Char"/>
    <w:link w:val="21521"/>
    <w:rPr>
      <w:rFonts w:eastAsia="宋体" w:cs="宋体"/>
      <w:sz w:val="24"/>
      <w:szCs w:val="24"/>
    </w:rPr>
  </w:style>
  <w:style w:type="paragraph" w:customStyle="1" w:styleId="21521">
    <w:name w:val="样式 标准文本 首行缩进:2 字符 行距1.5倍 + 首行缩进:  2 字符1"/>
    <w:basedOn w:val="215"/>
    <w:link w:val="21521CharChar"/>
    <w:qFormat/>
    <w:pPr>
      <w:spacing w:line="240" w:lineRule="auto"/>
    </w:pPr>
  </w:style>
  <w:style w:type="character" w:customStyle="1" w:styleId="08515CharCharChar">
    <w:name w:val="样式 宋体 小四 首行缩进:  0.85 厘米 行距: 1.5 倍行距 Char Char Char"/>
    <w:link w:val="08515Char"/>
    <w:rPr>
      <w:rFonts w:ascii="宋体"/>
      <w:sz w:val="24"/>
    </w:rPr>
  </w:style>
  <w:style w:type="paragraph" w:customStyle="1" w:styleId="08515Char">
    <w:name w:val="样式 宋体 小四 首行缩进:  0.85 厘米 行距: 1.5 倍行距 Char"/>
    <w:basedOn w:val="a2"/>
    <w:link w:val="08515CharCharChar"/>
    <w:qFormat/>
    <w:pPr>
      <w:snapToGrid w:val="0"/>
      <w:spacing w:beforeLines="50" w:before="156" w:afterLines="50" w:after="156" w:line="360" w:lineRule="auto"/>
      <w:ind w:firstLineChars="200" w:firstLine="482"/>
      <w:jc w:val="both"/>
    </w:pPr>
    <w:rPr>
      <w:rFonts w:ascii="宋体"/>
      <w:sz w:val="24"/>
      <w:szCs w:val="22"/>
    </w:rPr>
  </w:style>
  <w:style w:type="character" w:customStyle="1" w:styleId="Char3e">
    <w:name w:val="日期 Char3"/>
    <w:uiPriority w:val="99"/>
    <w:semiHidden/>
    <w:rPr>
      <w:kern w:val="2"/>
      <w:sz w:val="21"/>
      <w:szCs w:val="22"/>
    </w:rPr>
  </w:style>
  <w:style w:type="character" w:customStyle="1" w:styleId="12322CharChar">
    <w:name w:val="样式 样式 样式 样式 样式 样式 样式 123 + 自动设置 首行缩进:  2 字符 + 首行缩进:  2 字符 + 黑色 首... Char Char"/>
    <w:rPr>
      <w:rFonts w:eastAsia="宋体" w:cs="宋体"/>
      <w:kern w:val="2"/>
      <w:sz w:val="28"/>
      <w:szCs w:val="28"/>
      <w:lang w:val="en-US" w:eastAsia="zh-CN" w:bidi="ar-SA"/>
    </w:rPr>
  </w:style>
  <w:style w:type="character" w:customStyle="1" w:styleId="z-Char10">
    <w:name w:val="z-窗体底端 Char1"/>
    <w:locked/>
    <w:rPr>
      <w:rFonts w:ascii="Arial" w:eastAsia="仿宋_GB2312" w:hAnsi="Arial"/>
      <w:vanish/>
      <w:kern w:val="2"/>
      <w:sz w:val="16"/>
    </w:rPr>
  </w:style>
  <w:style w:type="character" w:customStyle="1" w:styleId="aCharChar1">
    <w:name w:val="a页脚 Char Char"/>
    <w:rPr>
      <w:rFonts w:eastAsia="宋体"/>
      <w:kern w:val="2"/>
      <w:sz w:val="18"/>
      <w:szCs w:val="18"/>
      <w:lang w:val="en-US" w:eastAsia="zh-CN" w:bidi="ar-SA"/>
    </w:rPr>
  </w:style>
  <w:style w:type="character" w:customStyle="1" w:styleId="Char4a">
    <w:name w:val="批注框文本 Char4"/>
    <w:uiPriority w:val="99"/>
    <w:semiHidden/>
    <w:rPr>
      <w:sz w:val="18"/>
      <w:szCs w:val="18"/>
    </w:rPr>
  </w:style>
  <w:style w:type="character" w:customStyle="1" w:styleId="3CharChar6">
    <w:name w:val="表头（铸造）3 Char Char"/>
    <w:link w:val="3f5"/>
    <w:rPr>
      <w:rFonts w:eastAsia="方正宋黑简体"/>
      <w:b/>
      <w:sz w:val="24"/>
      <w:szCs w:val="24"/>
    </w:rPr>
  </w:style>
  <w:style w:type="paragraph" w:customStyle="1" w:styleId="3f5">
    <w:name w:val="表头（铸造）3"/>
    <w:basedOn w:val="a2"/>
    <w:link w:val="3CharChar6"/>
    <w:qFormat/>
    <w:pPr>
      <w:spacing w:line="360" w:lineRule="auto"/>
      <w:jc w:val="center"/>
    </w:pPr>
    <w:rPr>
      <w:rFonts w:eastAsia="方正宋黑简体"/>
      <w:b/>
      <w:sz w:val="24"/>
      <w:szCs w:val="24"/>
    </w:rPr>
  </w:style>
  <w:style w:type="character" w:customStyle="1" w:styleId="Charb">
    <w:name w:val="列表接续 Char"/>
    <w:link w:val="af6"/>
    <w:rPr>
      <w:rFonts w:ascii="Arial" w:eastAsia="仿宋_GB2312" w:hAnsi="Arial"/>
      <w:sz w:val="24"/>
    </w:rPr>
  </w:style>
  <w:style w:type="character" w:customStyle="1" w:styleId="CharChar132">
    <w:name w:val="Char Char132"/>
    <w:rPr>
      <w:rFonts w:eastAsia="宋体"/>
      <w:sz w:val="18"/>
      <w:lang w:val="en-US" w:eastAsia="zh-CN" w:bidi="ar-SA"/>
    </w:rPr>
  </w:style>
  <w:style w:type="character" w:customStyle="1" w:styleId="word21">
    <w:name w:val="word21"/>
    <w:rPr>
      <w:b/>
      <w:bCs/>
      <w:color w:val="0040A6"/>
      <w:spacing w:val="315"/>
      <w:sz w:val="20"/>
      <w:szCs w:val="20"/>
    </w:rPr>
  </w:style>
  <w:style w:type="character" w:customStyle="1" w:styleId="3Char30">
    <w:name w:val="正文文本 3 Char3"/>
    <w:uiPriority w:val="99"/>
    <w:semiHidden/>
    <w:rPr>
      <w:kern w:val="2"/>
      <w:sz w:val="16"/>
      <w:szCs w:val="16"/>
    </w:rPr>
  </w:style>
  <w:style w:type="character" w:customStyle="1" w:styleId="s1">
    <w:name w:val="s1"/>
    <w:rPr>
      <w:sz w:val="18"/>
      <w:szCs w:val="18"/>
    </w:rPr>
  </w:style>
  <w:style w:type="character" w:customStyle="1" w:styleId="apple-style-span">
    <w:name w:val="apple-style-span"/>
  </w:style>
  <w:style w:type="character" w:customStyle="1" w:styleId="f41">
    <w:name w:val="f41"/>
    <w:rPr>
      <w:color w:val="333333"/>
      <w:sz w:val="21"/>
      <w:szCs w:val="21"/>
    </w:rPr>
  </w:style>
  <w:style w:type="character" w:customStyle="1" w:styleId="Chare">
    <w:name w:val="尾注文本 Char"/>
    <w:link w:val="afa"/>
    <w:rPr>
      <w:sz w:val="24"/>
      <w:szCs w:val="24"/>
    </w:rPr>
  </w:style>
  <w:style w:type="character" w:customStyle="1" w:styleId="38CharChar">
    <w:name w:val="样式38 Char Char"/>
    <w:link w:val="380"/>
    <w:qFormat/>
    <w:rPr>
      <w:rFonts w:ascii="宋体" w:eastAsia="仿宋_GB2312" w:hAnsi="宋体"/>
      <w:sz w:val="28"/>
    </w:rPr>
  </w:style>
  <w:style w:type="paragraph" w:customStyle="1" w:styleId="380">
    <w:name w:val="样式38"/>
    <w:basedOn w:val="a2"/>
    <w:link w:val="38CharChar"/>
    <w:qFormat/>
    <w:pPr>
      <w:snapToGrid w:val="0"/>
      <w:spacing w:line="353" w:lineRule="auto"/>
      <w:ind w:firstLineChars="200" w:firstLine="200"/>
    </w:pPr>
    <w:rPr>
      <w:rFonts w:ascii="宋体" w:eastAsia="仿宋_GB2312" w:hAnsi="宋体"/>
      <w:szCs w:val="22"/>
    </w:rPr>
  </w:style>
  <w:style w:type="character" w:customStyle="1" w:styleId="a20">
    <w:name w:val="a2"/>
    <w:basedOn w:val="a4"/>
    <w:qFormat/>
  </w:style>
  <w:style w:type="character" w:customStyle="1" w:styleId="CharCharfff7">
    <w:name w:val="样式 正文文字 + Char Char"/>
    <w:qFormat/>
    <w:rPr>
      <w:rFonts w:eastAsia="宋体"/>
      <w:kern w:val="2"/>
      <w:sz w:val="24"/>
      <w:szCs w:val="24"/>
      <w:lang w:val="en-US" w:eastAsia="zh-CN" w:bidi="ar-SA"/>
    </w:rPr>
  </w:style>
  <w:style w:type="character" w:customStyle="1" w:styleId="2Chard">
    <w:name w:val="正文  首行缩进: 2 字符 Char"/>
    <w:link w:val="2f8"/>
    <w:qFormat/>
    <w:rPr>
      <w:rFonts w:ascii="Arial" w:hAnsi="Arial" w:cs="Arial"/>
      <w:sz w:val="24"/>
      <w:szCs w:val="24"/>
    </w:rPr>
  </w:style>
  <w:style w:type="paragraph" w:customStyle="1" w:styleId="2f8">
    <w:name w:val="正文  首行缩进: 2 字符"/>
    <w:basedOn w:val="a2"/>
    <w:link w:val="2Chard"/>
    <w:qFormat/>
    <w:pPr>
      <w:snapToGrid w:val="0"/>
      <w:spacing w:line="360" w:lineRule="auto"/>
      <w:ind w:firstLineChars="200" w:firstLine="480"/>
      <w:jc w:val="both"/>
    </w:pPr>
    <w:rPr>
      <w:rFonts w:hAnsi="Arial" w:cs="Arial"/>
      <w:sz w:val="24"/>
      <w:szCs w:val="24"/>
    </w:rPr>
  </w:style>
  <w:style w:type="character" w:customStyle="1" w:styleId="news1">
    <w:name w:val="news1"/>
    <w:rPr>
      <w:rFonts w:ascii="ˎ̥" w:hAnsi="ˎ̥" w:hint="default"/>
      <w:color w:val="000000"/>
      <w:sz w:val="21"/>
      <w:szCs w:val="21"/>
    </w:rPr>
  </w:style>
  <w:style w:type="character" w:customStyle="1" w:styleId="Char2f3">
    <w:name w:val="节标题 Char2"/>
    <w:rPr>
      <w:rFonts w:ascii="Arial" w:eastAsia="黑体" w:hAnsi="Arial"/>
      <w:b/>
      <w:bCs/>
      <w:kern w:val="2"/>
      <w:sz w:val="32"/>
      <w:szCs w:val="32"/>
      <w:lang w:val="en-US" w:eastAsia="zh-CN" w:bidi="ar-SA"/>
    </w:rPr>
  </w:style>
  <w:style w:type="character" w:customStyle="1" w:styleId="chen1Char">
    <w:name w:val="chen表头1 Char"/>
    <w:rPr>
      <w:rFonts w:eastAsia="楷体_GB2312" w:cs="宋体"/>
      <w:b/>
      <w:sz w:val="24"/>
      <w:lang w:val="en-US" w:eastAsia="zh-CN" w:bidi="ar-SA"/>
    </w:rPr>
  </w:style>
  <w:style w:type="character" w:customStyle="1" w:styleId="CharChar141">
    <w:name w:val="Char Char141"/>
    <w:rPr>
      <w:rFonts w:ascii="宋体" w:eastAsia="宋体" w:hAnsi="宋体" w:hint="eastAsia"/>
      <w:kern w:val="2"/>
      <w:sz w:val="21"/>
      <w:szCs w:val="24"/>
      <w:lang w:val="en-US" w:eastAsia="zh-CN" w:bidi="ar-SA"/>
    </w:rPr>
  </w:style>
  <w:style w:type="character" w:customStyle="1" w:styleId="m471">
    <w:name w:val="m_471"/>
  </w:style>
  <w:style w:type="character" w:customStyle="1" w:styleId="pv110title1">
    <w:name w:val="pv110title1"/>
  </w:style>
  <w:style w:type="character" w:customStyle="1" w:styleId="contenttext11">
    <w:name w:val="contenttext11"/>
    <w:rPr>
      <w:rFonts w:ascii="宋体" w:eastAsia="宋体" w:hAnsi="宋体" w:hint="eastAsia"/>
      <w:sz w:val="20"/>
      <w:szCs w:val="20"/>
    </w:rPr>
  </w:style>
  <w:style w:type="character" w:customStyle="1" w:styleId="affffffffc">
    <w:name w:val="表格标题_"/>
    <w:link w:val="1ff5"/>
    <w:rPr>
      <w:rFonts w:ascii="黑体" w:eastAsia="黑体"/>
      <w:sz w:val="24"/>
      <w:szCs w:val="24"/>
    </w:rPr>
  </w:style>
  <w:style w:type="paragraph" w:customStyle="1" w:styleId="1ff5">
    <w:name w:val="表格标题1"/>
    <w:basedOn w:val="aff2"/>
    <w:link w:val="affffffffc"/>
    <w:qFormat/>
    <w:pPr>
      <w:spacing w:beforeLines="50" w:before="50" w:line="400" w:lineRule="exact"/>
    </w:pPr>
    <w:rPr>
      <w:rFonts w:ascii="黑体" w:eastAsia="黑体"/>
      <w:szCs w:val="24"/>
    </w:rPr>
  </w:style>
  <w:style w:type="character" w:customStyle="1" w:styleId="CharCharfff8">
    <w:name w:val="表、图名 Char Char"/>
    <w:link w:val="affffffffd"/>
    <w:rPr>
      <w:rFonts w:ascii="黑体" w:eastAsia="黑体"/>
      <w:sz w:val="24"/>
    </w:rPr>
  </w:style>
  <w:style w:type="paragraph" w:customStyle="1" w:styleId="affffffffd">
    <w:name w:val="表、图名"/>
    <w:basedOn w:val="8"/>
    <w:link w:val="CharCharfff8"/>
    <w:qFormat/>
    <w:pPr>
      <w:keepNext w:val="0"/>
      <w:keepLines w:val="0"/>
      <w:tabs>
        <w:tab w:val="clear" w:pos="165"/>
        <w:tab w:val="left" w:pos="1440"/>
      </w:tabs>
      <w:snapToGrid w:val="0"/>
      <w:spacing w:before="120" w:after="0" w:line="460" w:lineRule="exact"/>
      <w:ind w:left="0" w:firstLine="0"/>
      <w:jc w:val="center"/>
      <w:outlineLvl w:val="9"/>
    </w:pPr>
    <w:rPr>
      <w:rFonts w:ascii="黑体" w:hAnsiTheme="minorHAnsi"/>
      <w:szCs w:val="22"/>
    </w:rPr>
  </w:style>
  <w:style w:type="character" w:customStyle="1" w:styleId="mytableheaderChar">
    <w:name w:val="my table header Char"/>
    <w:rPr>
      <w:rFonts w:ascii="黑体" w:eastAsia="黑体" w:hAnsi="黑体"/>
      <w:b/>
      <w:bCs/>
      <w:sz w:val="24"/>
      <w:lang w:val="en-US" w:eastAsia="zh-CN" w:bidi="ar-SA"/>
    </w:rPr>
  </w:style>
  <w:style w:type="character" w:customStyle="1" w:styleId="CharCharCharCharCharChar4">
    <w:name w:val="正文样式 Char Char Char Char Char Char"/>
    <w:rPr>
      <w:rFonts w:ascii="宋体" w:eastAsia="宋体" w:hAnsi="宋体"/>
      <w:color w:val="000000"/>
      <w:kern w:val="2"/>
      <w:sz w:val="24"/>
      <w:szCs w:val="24"/>
      <w:lang w:val="en-US" w:eastAsia="zh-CN" w:bidi="ar-SA"/>
    </w:rPr>
  </w:style>
  <w:style w:type="character" w:customStyle="1" w:styleId="Charfffffe">
    <w:name w:val="表格头头 Char"/>
    <w:link w:val="affffffffe"/>
    <w:rPr>
      <w:rFonts w:ascii="Arial" w:eastAsia="仿宋" w:hAnsi="Arial"/>
      <w:b/>
      <w:spacing w:val="-5"/>
      <w:sz w:val="28"/>
      <w:lang w:bidi="he-IL"/>
    </w:rPr>
  </w:style>
  <w:style w:type="paragraph" w:customStyle="1" w:styleId="affffffffe">
    <w:name w:val="表格头头"/>
    <w:basedOn w:val="a2"/>
    <w:link w:val="Charfffffe"/>
    <w:qFormat/>
    <w:pPr>
      <w:widowControl/>
      <w:tabs>
        <w:tab w:val="left" w:pos="2340"/>
      </w:tabs>
      <w:autoSpaceDE/>
      <w:autoSpaceDN/>
      <w:adjustRightInd/>
      <w:jc w:val="center"/>
    </w:pPr>
    <w:rPr>
      <w:rFonts w:eastAsia="仿宋" w:hAnsi="Arial"/>
      <w:b/>
      <w:spacing w:val="-5"/>
      <w:szCs w:val="22"/>
      <w:lang w:bidi="he-IL"/>
    </w:rPr>
  </w:style>
  <w:style w:type="character" w:customStyle="1" w:styleId="CharChar224">
    <w:name w:val="Char Char224"/>
    <w:rPr>
      <w:rFonts w:ascii="Calibri" w:eastAsia="宋体" w:hAnsi="Calibri"/>
      <w:kern w:val="2"/>
      <w:sz w:val="24"/>
      <w:lang w:val="en-US" w:eastAsia="zh-CN" w:bidi="ar-SA"/>
    </w:rPr>
  </w:style>
  <w:style w:type="character" w:customStyle="1" w:styleId="afffffffff">
    <w:name w:val="样式 (中文) 宋体 五号"/>
    <w:rPr>
      <w:rFonts w:eastAsia="仿宋_GB2312" w:cs="Times New Roman"/>
      <w:sz w:val="28"/>
    </w:rPr>
  </w:style>
  <w:style w:type="character" w:customStyle="1" w:styleId="Char3f">
    <w:name w:val="结束语 Char3"/>
    <w:uiPriority w:val="99"/>
    <w:semiHidden/>
  </w:style>
  <w:style w:type="character" w:customStyle="1" w:styleId="CharCharCharChar4">
    <w:name w:val="正文首行缩进 Char Char Char Char"/>
    <w:rPr>
      <w:rFonts w:eastAsia="宋体"/>
      <w:snapToGrid w:val="0"/>
      <w:sz w:val="24"/>
      <w:szCs w:val="24"/>
      <w:lang w:val="en-US" w:eastAsia="zh-CN" w:bidi="ar-SA"/>
    </w:rPr>
  </w:style>
  <w:style w:type="character" w:customStyle="1" w:styleId="3Char41">
    <w:name w:val="正文文本 3 Char4"/>
    <w:uiPriority w:val="99"/>
    <w:semiHidden/>
    <w:rPr>
      <w:sz w:val="16"/>
      <w:szCs w:val="16"/>
    </w:rPr>
  </w:style>
  <w:style w:type="character" w:customStyle="1" w:styleId="duanluo2">
    <w:name w:val="duanluo2"/>
    <w:rPr>
      <w:rFonts w:ascii="??" w:hAnsi="??"/>
      <w:color w:val="000000"/>
      <w:sz w:val="21"/>
    </w:rPr>
  </w:style>
  <w:style w:type="character" w:customStyle="1" w:styleId="unnamed91">
    <w:name w:val="unnamed91"/>
    <w:rPr>
      <w:rFonts w:ascii="宋体" w:eastAsia="宋体" w:hAnsi="宋体" w:hint="eastAsia"/>
      <w:color w:val="000000"/>
      <w:sz w:val="18"/>
      <w:u w:val="none"/>
    </w:rPr>
  </w:style>
  <w:style w:type="character" w:customStyle="1" w:styleId="z-Char30">
    <w:name w:val="z-窗体底端 Char3"/>
    <w:uiPriority w:val="99"/>
    <w:semiHidden/>
    <w:rPr>
      <w:rFonts w:ascii="Arial" w:hAnsi="Arial" w:cs="Arial"/>
      <w:vanish/>
      <w:sz w:val="16"/>
      <w:szCs w:val="16"/>
    </w:rPr>
  </w:style>
  <w:style w:type="character" w:customStyle="1" w:styleId="CharChar44">
    <w:name w:val="Char Char44"/>
    <w:rPr>
      <w:rFonts w:eastAsia="宋体"/>
      <w:b/>
      <w:bCs/>
      <w:kern w:val="2"/>
      <w:sz w:val="32"/>
      <w:szCs w:val="32"/>
      <w:lang w:val="en-US" w:eastAsia="zh-CN" w:bidi="ar-SA"/>
    </w:rPr>
  </w:style>
  <w:style w:type="character" w:customStyle="1" w:styleId="CharChar25">
    <w:name w:val="Char Char25"/>
    <w:rPr>
      <w:rFonts w:eastAsia="宋体"/>
      <w:b/>
      <w:bCs/>
      <w:snapToGrid w:val="0"/>
      <w:sz w:val="28"/>
      <w:szCs w:val="32"/>
      <w:lang w:val="en-US" w:eastAsia="zh-CN" w:bidi="ar-SA"/>
    </w:rPr>
  </w:style>
  <w:style w:type="character" w:customStyle="1" w:styleId="A3CharChar0">
    <w:name w:val="样式 A标题3 + 自动设置 Char Char"/>
    <w:link w:val="A31"/>
    <w:rPr>
      <w:rFonts w:eastAsia="黑体" w:cs="宋体"/>
      <w:b/>
      <w:bCs/>
      <w:spacing w:val="20"/>
      <w:sz w:val="28"/>
    </w:rPr>
  </w:style>
  <w:style w:type="paragraph" w:customStyle="1" w:styleId="A31">
    <w:name w:val="样式 A标题3 + 自动设置"/>
    <w:basedOn w:val="a2"/>
    <w:link w:val="A3CharChar0"/>
    <w:qFormat/>
    <w:pPr>
      <w:spacing w:beforeLines="100" w:before="312" w:afterLines="100" w:after="312" w:line="360" w:lineRule="auto"/>
      <w:outlineLvl w:val="2"/>
    </w:pPr>
    <w:rPr>
      <w:rFonts w:eastAsia="黑体" w:cs="宋体"/>
      <w:b/>
      <w:bCs/>
      <w:spacing w:val="20"/>
      <w:szCs w:val="22"/>
    </w:rPr>
  </w:style>
  <w:style w:type="character" w:customStyle="1" w:styleId="Charffffff">
    <w:name w:val="列出段落 Char"/>
    <w:link w:val="afffffffff0"/>
    <w:rPr>
      <w:rFonts w:ascii="Calibri" w:hAnsi="Calibri"/>
      <w:sz w:val="24"/>
    </w:rPr>
  </w:style>
  <w:style w:type="paragraph" w:styleId="afffffffff0">
    <w:name w:val="List Paragraph"/>
    <w:basedOn w:val="a2"/>
    <w:link w:val="Charffffff"/>
    <w:qFormat/>
    <w:pPr>
      <w:ind w:firstLineChars="200" w:firstLine="420"/>
    </w:pPr>
    <w:rPr>
      <w:rFonts w:ascii="Calibri" w:hAnsi="Calibri"/>
      <w:sz w:val="24"/>
      <w:szCs w:val="22"/>
    </w:rPr>
  </w:style>
  <w:style w:type="character" w:customStyle="1" w:styleId="Charffffff0">
    <w:name w:val="表头宋体黑色 Char"/>
    <w:qFormat/>
    <w:rPr>
      <w:rFonts w:ascii="仿宋_GB2312" w:hAnsi="宋体"/>
      <w:color w:val="000000"/>
      <w:sz w:val="24"/>
    </w:rPr>
  </w:style>
  <w:style w:type="character" w:customStyle="1" w:styleId="Char2">
    <w:name w:val="注释标题 Char"/>
    <w:link w:val="a9"/>
    <w:qFormat/>
    <w:rPr>
      <w:sz w:val="18"/>
    </w:rPr>
  </w:style>
  <w:style w:type="character" w:customStyle="1" w:styleId="21CharChar0">
    <w:name w:val="样式 首行缩进:  2 字符1 Char Char"/>
    <w:link w:val="212"/>
    <w:qFormat/>
    <w:rPr>
      <w:rFonts w:ascii="宋体" w:hAnsi="宋体" w:cs="宋体"/>
      <w:sz w:val="24"/>
    </w:rPr>
  </w:style>
  <w:style w:type="paragraph" w:customStyle="1" w:styleId="212">
    <w:name w:val="样式 首行缩进:  2 字符1"/>
    <w:basedOn w:val="a2"/>
    <w:link w:val="21CharChar0"/>
    <w:qFormat/>
    <w:pPr>
      <w:spacing w:line="460" w:lineRule="exact"/>
      <w:ind w:firstLineChars="200" w:firstLine="200"/>
    </w:pPr>
    <w:rPr>
      <w:rFonts w:ascii="宋体" w:hAnsi="宋体" w:cs="宋体"/>
      <w:sz w:val="24"/>
      <w:szCs w:val="22"/>
    </w:rPr>
  </w:style>
  <w:style w:type="character" w:customStyle="1" w:styleId="style1">
    <w:name w:val="style1"/>
    <w:qFormat/>
  </w:style>
  <w:style w:type="character" w:customStyle="1" w:styleId="CharChar215">
    <w:name w:val="Char Char215"/>
    <w:qFormat/>
    <w:rPr>
      <w:rFonts w:ascii="Calibri" w:eastAsia="宋体" w:hAnsi="Calibri"/>
      <w:b/>
      <w:kern w:val="2"/>
      <w:sz w:val="24"/>
      <w:lang w:val="en-US" w:eastAsia="zh-CN" w:bidi="ar-SA"/>
    </w:rPr>
  </w:style>
  <w:style w:type="character" w:customStyle="1" w:styleId="ftitle1">
    <w:name w:val="ftitle1"/>
    <w:rPr>
      <w:b/>
      <w:bCs/>
      <w:color w:val="000000"/>
      <w:sz w:val="35"/>
      <w:szCs w:val="35"/>
    </w:rPr>
  </w:style>
  <w:style w:type="character" w:customStyle="1" w:styleId="Charffffff1">
    <w:name w:val="款名 Char"/>
    <w:rPr>
      <w:rFonts w:ascii="Times New Roman" w:hAnsi="宋体"/>
      <w:b/>
      <w:sz w:val="24"/>
      <w:szCs w:val="24"/>
    </w:rPr>
  </w:style>
  <w:style w:type="character" w:customStyle="1" w:styleId="CharChar81">
    <w:name w:val="Char Char81"/>
    <w:rPr>
      <w:rFonts w:ascii="Times New Roman" w:eastAsia="仿宋_GB2312" w:hAnsi="Times New Roman" w:cs="Arial"/>
      <w:b/>
      <w:sz w:val="24"/>
      <w:szCs w:val="21"/>
      <w:lang w:val="en-US" w:eastAsia="zh-CN" w:bidi="ar-SA"/>
    </w:rPr>
  </w:style>
  <w:style w:type="character" w:customStyle="1" w:styleId="Charffffff2">
    <w:name w:val="头 Char"/>
    <w:rPr>
      <w:rFonts w:eastAsia="Tahoma"/>
      <w:b/>
      <w:bCs/>
      <w:kern w:val="2"/>
      <w:sz w:val="24"/>
      <w:szCs w:val="32"/>
      <w:lang w:val="en-US" w:eastAsia="zh-CN" w:bidi="ar-SA"/>
    </w:rPr>
  </w:style>
  <w:style w:type="character" w:customStyle="1" w:styleId="Charffffff3">
    <w:name w:val="环评正文 Char"/>
    <w:rPr>
      <w:rFonts w:ascii="仿宋_GB2312" w:eastAsia="仿宋_GB2312"/>
      <w:kern w:val="2"/>
      <w:sz w:val="28"/>
      <w:lang w:val="en-US" w:eastAsia="zh-CN" w:bidi="ar-SA"/>
    </w:rPr>
  </w:style>
  <w:style w:type="character" w:customStyle="1" w:styleId="CharChar19">
    <w:name w:val="Char Char19"/>
    <w:rPr>
      <w:rFonts w:ascii="Arial" w:eastAsia="黑体" w:hAnsi="Arial"/>
      <w:sz w:val="24"/>
      <w:lang w:val="en-US" w:eastAsia="zh-CN" w:bidi="ar-SA"/>
    </w:rPr>
  </w:style>
  <w:style w:type="character" w:customStyle="1" w:styleId="style31">
    <w:name w:val="style31"/>
    <w:rPr>
      <w:color w:val="000000"/>
    </w:rPr>
  </w:style>
  <w:style w:type="character" w:customStyle="1" w:styleId="newcontent1">
    <w:name w:val="new_content1"/>
    <w:rPr>
      <w:rFonts w:ascii="ˎ̥" w:hAnsi="ˎ̥" w:hint="default"/>
      <w:color w:val="000000"/>
      <w:sz w:val="21"/>
      <w:szCs w:val="21"/>
    </w:rPr>
  </w:style>
  <w:style w:type="character" w:customStyle="1" w:styleId="CharChar112">
    <w:name w:val="Char Char112"/>
    <w:rPr>
      <w:rFonts w:eastAsia="黑体" w:cs="Arial"/>
      <w:b/>
      <w:bCs/>
      <w:snapToGrid w:val="0"/>
      <w:sz w:val="24"/>
      <w:szCs w:val="32"/>
      <w:lang w:val="en-US" w:eastAsia="zh-CN" w:bidi="ar-SA"/>
    </w:rPr>
  </w:style>
  <w:style w:type="character" w:customStyle="1" w:styleId="chen1CharChar">
    <w:name w:val="chen表头1 Char Char"/>
    <w:link w:val="chen1"/>
    <w:rPr>
      <w:rFonts w:eastAsia="楷体_GB2312" w:cs="宋体"/>
      <w:b/>
      <w:sz w:val="24"/>
    </w:rPr>
  </w:style>
  <w:style w:type="paragraph" w:customStyle="1" w:styleId="chen1">
    <w:name w:val="chen表头1"/>
    <w:basedOn w:val="a2"/>
    <w:link w:val="chen1CharChar"/>
    <w:qFormat/>
    <w:pPr>
      <w:spacing w:after="120" w:line="500" w:lineRule="exact"/>
      <w:jc w:val="center"/>
    </w:pPr>
    <w:rPr>
      <w:rFonts w:cs="宋体"/>
      <w:b/>
      <w:sz w:val="24"/>
      <w:szCs w:val="22"/>
    </w:rPr>
  </w:style>
  <w:style w:type="character" w:customStyle="1" w:styleId="2f9">
    <w:name w:val="要点2"/>
    <w:rPr>
      <w:b/>
    </w:rPr>
  </w:style>
  <w:style w:type="character" w:customStyle="1" w:styleId="m451">
    <w:name w:val="m_451"/>
  </w:style>
  <w:style w:type="character" w:customStyle="1" w:styleId="Ordos125Char">
    <w:name w:val="样式 Ordos正文 + 华文细黑 行距: 多倍行距 1.25 字行 Char"/>
    <w:rPr>
      <w:rFonts w:ascii="华文细黑" w:eastAsia="华文细黑" w:hAnsi="华文细黑"/>
      <w:kern w:val="2"/>
      <w:sz w:val="21"/>
    </w:rPr>
  </w:style>
  <w:style w:type="character" w:customStyle="1" w:styleId="CharCharCharCharCharChar5">
    <w:name w:val="表中文字 Char Char Char Char Char Char"/>
    <w:rPr>
      <w:rFonts w:eastAsia="宋体"/>
      <w:kern w:val="2"/>
      <w:sz w:val="21"/>
      <w:lang w:val="en-US" w:eastAsia="zh-CN" w:bidi="ar-SA"/>
    </w:rPr>
  </w:style>
  <w:style w:type="character" w:customStyle="1" w:styleId="info">
    <w:name w:val="info"/>
    <w:basedOn w:val="a4"/>
  </w:style>
  <w:style w:type="character" w:customStyle="1" w:styleId="description">
    <w:name w:val="description"/>
  </w:style>
  <w:style w:type="character" w:customStyle="1" w:styleId="Charffffff4">
    <w:name w:val="缩进 Char"/>
    <w:link w:val="afffffffff1"/>
    <w:rPr>
      <w:sz w:val="24"/>
      <w:szCs w:val="21"/>
    </w:rPr>
  </w:style>
  <w:style w:type="paragraph" w:customStyle="1" w:styleId="afffffffff1">
    <w:name w:val="缩进"/>
    <w:basedOn w:val="a2"/>
    <w:link w:val="Charffffff4"/>
    <w:qFormat/>
    <w:pPr>
      <w:snapToGrid w:val="0"/>
      <w:spacing w:line="360" w:lineRule="auto"/>
      <w:ind w:firstLineChars="200" w:firstLine="200"/>
      <w:jc w:val="both"/>
    </w:pPr>
    <w:rPr>
      <w:sz w:val="24"/>
    </w:rPr>
  </w:style>
  <w:style w:type="character" w:customStyle="1" w:styleId="2Chare">
    <w:name w:val="正文 + 首行缩进:  2 字符 Char"/>
    <w:rPr>
      <w:rFonts w:eastAsia="宋体" w:cs="宋体"/>
      <w:kern w:val="2"/>
      <w:sz w:val="24"/>
      <w:lang w:val="en-US" w:eastAsia="zh-CN" w:bidi="ar-SA"/>
    </w:rPr>
  </w:style>
  <w:style w:type="character" w:customStyle="1" w:styleId="3Char8">
    <w:name w:val="标题3 Char"/>
    <w:rPr>
      <w:rFonts w:ascii="黑体" w:eastAsia="仿宋_GB2312"/>
      <w:b/>
      <w:bCs/>
      <w:kern w:val="2"/>
      <w:sz w:val="28"/>
      <w:szCs w:val="32"/>
      <w:lang w:val="en-US" w:eastAsia="zh-CN" w:bidi="ar-SA"/>
    </w:rPr>
  </w:style>
  <w:style w:type="character" w:customStyle="1" w:styleId="2CharChar6">
    <w:name w:val="正文文本缩进 2 Char Char"/>
    <w:link w:val="221"/>
    <w:rPr>
      <w:sz w:val="24"/>
    </w:rPr>
  </w:style>
  <w:style w:type="paragraph" w:customStyle="1" w:styleId="221">
    <w:name w:val="正文文本缩进 22"/>
    <w:basedOn w:val="a2"/>
    <w:link w:val="2CharChar6"/>
    <w:qFormat/>
    <w:pPr>
      <w:tabs>
        <w:tab w:val="left" w:pos="3465"/>
      </w:tabs>
      <w:spacing w:after="120" w:line="440" w:lineRule="exact"/>
      <w:ind w:firstLine="482"/>
      <w:jc w:val="both"/>
      <w:textAlignment w:val="baseline"/>
    </w:pPr>
    <w:rPr>
      <w:sz w:val="24"/>
      <w:szCs w:val="22"/>
    </w:rPr>
  </w:style>
  <w:style w:type="character" w:customStyle="1" w:styleId="Charffffff5">
    <w:name w:val="表格表格 Char"/>
    <w:rPr>
      <w:rFonts w:ascii="Times New Roman" w:eastAsia="宋体" w:hAnsi="Times New Roman" w:cs="宋体"/>
      <w:color w:val="000000"/>
      <w:kern w:val="0"/>
      <w:szCs w:val="21"/>
    </w:rPr>
  </w:style>
  <w:style w:type="character" w:customStyle="1" w:styleId="31113CharChar3CharCharCharCharCharChar">
    <w:name w:val="我的 标题 3条标题1.1.1标题 3 Char Char小标题头小节标题标题 3 Char Char Char标... Char Char Char"/>
    <w:rPr>
      <w:rFonts w:eastAsia="黑体"/>
      <w:snapToGrid w:val="0"/>
      <w:kern w:val="2"/>
      <w:sz w:val="28"/>
      <w:lang w:val="en-US" w:eastAsia="zh-CN"/>
    </w:rPr>
  </w:style>
  <w:style w:type="character" w:customStyle="1" w:styleId="CharCharCharCharCharCharCharChar1">
    <w:name w:val="环评正文 Char Char Char Char Char Char Char Char"/>
    <w:rPr>
      <w:rFonts w:eastAsia="宋体"/>
      <w:snapToGrid w:val="0"/>
      <w:color w:val="000000"/>
      <w:kern w:val="21"/>
      <w:sz w:val="24"/>
      <w:szCs w:val="24"/>
      <w:lang w:val="en-US" w:eastAsia="zh-CN" w:bidi="ar-SA"/>
    </w:rPr>
  </w:style>
  <w:style w:type="character" w:customStyle="1" w:styleId="1Chare">
    <w:name w:val="正文文本（使用1） Char"/>
    <w:link w:val="1ff6"/>
    <w:rPr>
      <w:rFonts w:ascii="宋体"/>
      <w:color w:val="0000FF"/>
      <w:sz w:val="24"/>
    </w:rPr>
  </w:style>
  <w:style w:type="paragraph" w:customStyle="1" w:styleId="1ff6">
    <w:name w:val="正文文本（使用1）"/>
    <w:basedOn w:val="a2"/>
    <w:link w:val="1Chare"/>
    <w:pPr>
      <w:autoSpaceDE/>
      <w:autoSpaceDN/>
      <w:adjustRightInd/>
      <w:spacing w:line="360" w:lineRule="auto"/>
      <w:ind w:firstLineChars="200" w:firstLine="200"/>
      <w:jc w:val="both"/>
    </w:pPr>
    <w:rPr>
      <w:rFonts w:ascii="宋体"/>
      <w:color w:val="0000FF"/>
      <w:sz w:val="24"/>
      <w:szCs w:val="22"/>
    </w:rPr>
  </w:style>
  <w:style w:type="character" w:customStyle="1" w:styleId="htmlmodep">
    <w:name w:val="htmlmode_p"/>
    <w:basedOn w:val="a4"/>
  </w:style>
  <w:style w:type="character" w:customStyle="1" w:styleId="Charffffff6">
    <w:name w:val="中远正文 Char"/>
    <w:rPr>
      <w:rFonts w:eastAsia="宋体" w:cs="宋体"/>
      <w:snapToGrid w:val="0"/>
      <w:color w:val="000000"/>
      <w:kern w:val="24"/>
      <w:sz w:val="24"/>
      <w:lang w:val="en-US" w:eastAsia="zh-CN" w:bidi="ar-SA"/>
    </w:rPr>
  </w:style>
  <w:style w:type="character" w:customStyle="1" w:styleId="CharCharChar6">
    <w:name w:val="正文小四 Char Char Char"/>
    <w:rPr>
      <w:rFonts w:eastAsia="宋体"/>
      <w:kern w:val="2"/>
      <w:sz w:val="24"/>
      <w:lang w:val="en-US" w:eastAsia="zh-CN" w:bidi="ar-SA"/>
    </w:rPr>
  </w:style>
  <w:style w:type="character" w:customStyle="1" w:styleId="hang1">
    <w:name w:val="hang1"/>
    <w:rPr>
      <w:rFonts w:ascii="宋体" w:eastAsia="宋体" w:hAnsi="宋体" w:hint="eastAsia"/>
      <w:color w:val="000000"/>
      <w:sz w:val="19"/>
      <w:szCs w:val="19"/>
      <w:u w:val="none"/>
    </w:rPr>
  </w:style>
  <w:style w:type="character" w:customStyle="1" w:styleId="textediteditable-title">
    <w:name w:val="text_edit editable-title"/>
  </w:style>
  <w:style w:type="character" w:customStyle="1" w:styleId="Char1fc">
    <w:name w:val="批注主题 Char1"/>
    <w:locked/>
    <w:rPr>
      <w:b/>
      <w:kern w:val="2"/>
      <w:sz w:val="24"/>
    </w:rPr>
  </w:style>
  <w:style w:type="character" w:customStyle="1" w:styleId="Char1fd">
    <w:name w:val="表内字 Char1"/>
    <w:link w:val="afffffffff2"/>
    <w:rPr>
      <w:color w:val="000000"/>
    </w:rPr>
  </w:style>
  <w:style w:type="paragraph" w:customStyle="1" w:styleId="afffffffff2">
    <w:name w:val="表内字"/>
    <w:link w:val="Char1fd"/>
    <w:qFormat/>
    <w:pPr>
      <w:widowControl w:val="0"/>
      <w:adjustRightInd w:val="0"/>
      <w:snapToGrid w:val="0"/>
      <w:jc w:val="center"/>
    </w:pPr>
    <w:rPr>
      <w:color w:val="000000"/>
      <w:kern w:val="2"/>
      <w:sz w:val="21"/>
      <w:szCs w:val="21"/>
    </w:rPr>
  </w:style>
  <w:style w:type="character" w:customStyle="1" w:styleId="afffffffff3">
    <w:name w:val="上标样式"/>
    <w:rPr>
      <w:rFonts w:ascii="宋体" w:eastAsia="宋体"/>
      <w:b/>
      <w:sz w:val="21"/>
      <w:szCs w:val="21"/>
      <w:vertAlign w:val="superscript"/>
    </w:rPr>
  </w:style>
  <w:style w:type="character" w:customStyle="1" w:styleId="HTMLChar1">
    <w:name w:val="HTML 地址 Char1"/>
    <w:uiPriority w:val="99"/>
    <w:semiHidden/>
    <w:rPr>
      <w:i/>
      <w:iCs/>
      <w:kern w:val="2"/>
      <w:sz w:val="21"/>
      <w:szCs w:val="24"/>
    </w:rPr>
  </w:style>
  <w:style w:type="character" w:customStyle="1" w:styleId="Charffffff7">
    <w:name w:val="表蕊居中 Char"/>
    <w:rPr>
      <w:rFonts w:eastAsia="宋体"/>
      <w:spacing w:val="8"/>
      <w:sz w:val="21"/>
      <w:szCs w:val="28"/>
      <w:lang w:val="en-US" w:eastAsia="zh-CN" w:bidi="ar-SA"/>
    </w:rPr>
  </w:style>
  <w:style w:type="character" w:customStyle="1" w:styleId="CharCharfff9">
    <w:name w:val="表头小四 Char Char"/>
    <w:link w:val="afffffffff4"/>
    <w:rPr>
      <w:rFonts w:ascii="宋体" w:hAnsi="宋体"/>
      <w:sz w:val="24"/>
      <w:szCs w:val="24"/>
    </w:rPr>
  </w:style>
  <w:style w:type="paragraph" w:customStyle="1" w:styleId="afffffffff4">
    <w:name w:val="表头小四"/>
    <w:basedOn w:val="a2"/>
    <w:link w:val="CharCharfff9"/>
    <w:qFormat/>
    <w:pPr>
      <w:tabs>
        <w:tab w:val="left" w:pos="8360"/>
      </w:tabs>
      <w:snapToGrid w:val="0"/>
      <w:spacing w:before="120" w:after="72" w:line="360" w:lineRule="auto"/>
      <w:jc w:val="center"/>
    </w:pPr>
    <w:rPr>
      <w:rFonts w:ascii="宋体" w:hAnsi="宋体"/>
      <w:sz w:val="24"/>
      <w:szCs w:val="24"/>
    </w:rPr>
  </w:style>
  <w:style w:type="character" w:customStyle="1" w:styleId="CharChar26">
    <w:name w:val="Char Char26"/>
    <w:rPr>
      <w:rFonts w:eastAsia="宋体"/>
      <w:b/>
      <w:kern w:val="44"/>
      <w:sz w:val="30"/>
      <w:szCs w:val="28"/>
      <w:lang w:bidi="ar-SA"/>
    </w:rPr>
  </w:style>
  <w:style w:type="character" w:customStyle="1" w:styleId="CharCharCharCharCharCharCharCharCharCharCharCharCharChar">
    <w:name w:val="正文格式 Char Char Char Char Char Char Char Char Char Char Char Char Char Char"/>
    <w:rPr>
      <w:rFonts w:eastAsia="宋体"/>
      <w:sz w:val="28"/>
      <w:szCs w:val="28"/>
      <w:lang w:val="en-US" w:eastAsia="zh-CN" w:bidi="ar-SA"/>
    </w:rPr>
  </w:style>
  <w:style w:type="character" w:customStyle="1" w:styleId="Char9">
    <w:name w:val="正文文本 Char"/>
    <w:link w:val="af4"/>
  </w:style>
  <w:style w:type="character" w:customStyle="1" w:styleId="wangChar">
    <w:name w:val="正文wang Char"/>
    <w:rPr>
      <w:rFonts w:ascii="Times New Roman" w:hAnsi="Times New Roman"/>
      <w:sz w:val="24"/>
      <w:szCs w:val="24"/>
    </w:rPr>
  </w:style>
  <w:style w:type="character" w:customStyle="1" w:styleId="2113Char">
    <w:name w:val="样式 标题 2 + 首行缩进:  1.13 厘米 Char"/>
    <w:link w:val="2113"/>
    <w:rPr>
      <w:rFonts w:ascii="仿宋_GB2312" w:eastAsia="仿宋_GB2312" w:hAnsi="仿宋_GB2312"/>
      <w:b/>
      <w:bCs/>
      <w:color w:val="000000"/>
      <w:sz w:val="28"/>
      <w:szCs w:val="24"/>
    </w:rPr>
  </w:style>
  <w:style w:type="paragraph" w:customStyle="1" w:styleId="2113">
    <w:name w:val="样式 标题 2 + 首行缩进:  1.13 厘米"/>
    <w:basedOn w:val="22"/>
    <w:link w:val="2113Char"/>
    <w:qFormat/>
    <w:pPr>
      <w:snapToGrid w:val="0"/>
      <w:spacing w:beforeLines="50" w:before="120" w:afterLines="50" w:after="120" w:line="240" w:lineRule="auto"/>
    </w:pPr>
    <w:rPr>
      <w:rFonts w:ascii="仿宋_GB2312" w:eastAsia="仿宋_GB2312" w:hAnsi="仿宋_GB2312" w:cstheme="minorBidi"/>
      <w:color w:val="000000"/>
      <w:sz w:val="28"/>
      <w:szCs w:val="24"/>
    </w:rPr>
  </w:style>
  <w:style w:type="character" w:customStyle="1" w:styleId="eee">
    <w:name w:val="eee"/>
    <w:basedOn w:val="a4"/>
  </w:style>
  <w:style w:type="character" w:customStyle="1" w:styleId="CharChar160">
    <w:name w:val="Char Char16"/>
    <w:rPr>
      <w:rFonts w:ascii="宋体" w:eastAsia="宋体" w:hAnsi="Courier New"/>
      <w:sz w:val="21"/>
      <w:lang w:val="en-US" w:eastAsia="zh-CN" w:bidi="ar-SA"/>
    </w:rPr>
  </w:style>
  <w:style w:type="character" w:customStyle="1" w:styleId="2CharChar7">
    <w:name w:val="正文（行首缩进2字） Char Char"/>
    <w:link w:val="2fa"/>
    <w:rPr>
      <w:sz w:val="24"/>
      <w:szCs w:val="24"/>
    </w:rPr>
  </w:style>
  <w:style w:type="paragraph" w:customStyle="1" w:styleId="2fa">
    <w:name w:val="正文（行首缩进2字）"/>
    <w:basedOn w:val="a2"/>
    <w:link w:val="2CharChar7"/>
    <w:qFormat/>
    <w:pPr>
      <w:spacing w:line="500" w:lineRule="exact"/>
      <w:ind w:firstLineChars="200" w:firstLine="200"/>
      <w:jc w:val="both"/>
    </w:pPr>
    <w:rPr>
      <w:sz w:val="24"/>
      <w:szCs w:val="24"/>
    </w:rPr>
  </w:style>
  <w:style w:type="character" w:customStyle="1" w:styleId="2Char0">
    <w:name w:val="正文文本 2 Char"/>
    <w:link w:val="27"/>
    <w:rPr>
      <w:rFonts w:eastAsia="仿宋_GB2312"/>
      <w:szCs w:val="24"/>
    </w:rPr>
  </w:style>
  <w:style w:type="character" w:customStyle="1" w:styleId="hhcwtChar0">
    <w:name w:val="hhcwt表格文字 Char"/>
    <w:rPr>
      <w:rFonts w:eastAsia="仿宋_GB2312" w:cs="宋体"/>
      <w:kern w:val="2"/>
      <w:sz w:val="21"/>
      <w:lang w:val="en-US" w:eastAsia="zh-CN" w:bidi="ar-SA"/>
    </w:rPr>
  </w:style>
  <w:style w:type="character" w:customStyle="1" w:styleId="chenCharChar1">
    <w:name w:val="谏壁正文chen Char Char"/>
    <w:link w:val="chen2"/>
    <w:rPr>
      <w:rFonts w:eastAsia="宋体"/>
      <w:sz w:val="24"/>
      <w:szCs w:val="24"/>
    </w:rPr>
  </w:style>
  <w:style w:type="paragraph" w:customStyle="1" w:styleId="chen2">
    <w:name w:val="谏壁正文chen"/>
    <w:basedOn w:val="a2"/>
    <w:link w:val="chenCharChar1"/>
    <w:qFormat/>
    <w:pPr>
      <w:spacing w:line="360" w:lineRule="auto"/>
      <w:ind w:firstLineChars="200" w:firstLine="200"/>
    </w:pPr>
    <w:rPr>
      <w:rFonts w:eastAsia="宋体"/>
      <w:sz w:val="24"/>
      <w:szCs w:val="24"/>
    </w:rPr>
  </w:style>
  <w:style w:type="character" w:customStyle="1" w:styleId="122Char">
    <w:name w:val="样式 样式 正文1 + 首行缩进:  2 字符 + 首行缩进:  2 字符 Char"/>
    <w:link w:val="122"/>
    <w:rPr>
      <w:rFonts w:ascii="宋体" w:cs="宋体"/>
      <w:sz w:val="24"/>
    </w:rPr>
  </w:style>
  <w:style w:type="paragraph" w:customStyle="1" w:styleId="122">
    <w:name w:val="样式 样式 正文1 + 首行缩进:  2 字符 + 首行缩进:  2 字符"/>
    <w:basedOn w:val="a2"/>
    <w:link w:val="122Char"/>
    <w:pPr>
      <w:autoSpaceDE/>
      <w:autoSpaceDN/>
      <w:adjustRightInd/>
      <w:spacing w:line="360" w:lineRule="auto"/>
      <w:ind w:firstLineChars="200" w:firstLine="480"/>
      <w:jc w:val="both"/>
    </w:pPr>
    <w:rPr>
      <w:rFonts w:ascii="宋体" w:cs="宋体"/>
      <w:sz w:val="24"/>
      <w:szCs w:val="22"/>
    </w:rPr>
  </w:style>
  <w:style w:type="character" w:customStyle="1" w:styleId="CharCharCharCharCharChar6">
    <w:name w:val="表后段落 Char Char Char Char Char Char"/>
    <w:link w:val="Charffffff8"/>
    <w:rPr>
      <w:rFonts w:eastAsia="楷体_GB2312"/>
      <w:sz w:val="28"/>
      <w:szCs w:val="28"/>
    </w:rPr>
  </w:style>
  <w:style w:type="paragraph" w:customStyle="1" w:styleId="Charffffff8">
    <w:name w:val="表后段落 Char"/>
    <w:basedOn w:val="a2"/>
    <w:link w:val="CharCharCharCharCharChar6"/>
    <w:qFormat/>
    <w:pPr>
      <w:spacing w:beforeLines="75" w:line="360" w:lineRule="auto"/>
      <w:ind w:firstLineChars="200" w:firstLine="200"/>
      <w:jc w:val="both"/>
    </w:pPr>
    <w:rPr>
      <w:szCs w:val="28"/>
    </w:rPr>
  </w:style>
  <w:style w:type="character" w:customStyle="1" w:styleId="Char2f4">
    <w:name w:val="批注框文本 Char2"/>
    <w:uiPriority w:val="99"/>
    <w:rPr>
      <w:rFonts w:ascii="Times New Roman" w:eastAsia="宋体" w:hAnsi="Times New Roman" w:cs="Times New Roman"/>
      <w:sz w:val="18"/>
      <w:szCs w:val="18"/>
    </w:rPr>
  </w:style>
  <w:style w:type="character" w:customStyle="1" w:styleId="CharCharCharCharCharCharChar10">
    <w:name w:val="正文（首行缩进两字） Char Char Char Char Char Char Char1"/>
    <w:rPr>
      <w:rFonts w:ascii="仿宋_GB2312" w:eastAsia="仿宋_GB2312"/>
      <w:color w:val="000000"/>
      <w:kern w:val="2"/>
      <w:sz w:val="28"/>
      <w:szCs w:val="24"/>
      <w:lang w:val="en-US" w:eastAsia="zh-CN" w:bidi="ar-SA"/>
    </w:rPr>
  </w:style>
  <w:style w:type="character" w:customStyle="1" w:styleId="GB2312">
    <w:name w:val="样式 (中文) 仿宋_GB2312 小三"/>
    <w:rPr>
      <w:rFonts w:eastAsia="仿宋_GB2312"/>
      <w:sz w:val="28"/>
    </w:rPr>
  </w:style>
  <w:style w:type="character" w:customStyle="1" w:styleId="WW8Num607z0">
    <w:name w:val="WW8Num607z0"/>
    <w:rPr>
      <w:rFonts w:ascii="Wingdings" w:hAnsi="Wingdings"/>
    </w:rPr>
  </w:style>
  <w:style w:type="character" w:customStyle="1" w:styleId="CharChar105">
    <w:name w:val="Char Char105"/>
    <w:rPr>
      <w:rFonts w:eastAsia="仿宋_GB2312"/>
      <w:kern w:val="2"/>
      <w:sz w:val="24"/>
      <w:szCs w:val="24"/>
      <w:lang w:val="en-US" w:eastAsia="zh-CN" w:bidi="ar-SA"/>
    </w:rPr>
  </w:style>
  <w:style w:type="character" w:customStyle="1" w:styleId="1ff7">
    <w:name w:val="已访问的超链接1"/>
    <w:rPr>
      <w:color w:val="800080"/>
      <w:u w:val="single"/>
    </w:rPr>
  </w:style>
  <w:style w:type="character" w:customStyle="1" w:styleId="Char2f5">
    <w:name w:val="日期 Char2"/>
    <w:rPr>
      <w:rFonts w:ascii="Times New Roman" w:eastAsia="宋体" w:hAnsi="Times New Roman" w:cs="Times New Roman"/>
      <w:szCs w:val="24"/>
    </w:rPr>
  </w:style>
  <w:style w:type="character" w:customStyle="1" w:styleId="CharChar131">
    <w:name w:val="Char Char131"/>
    <w:rPr>
      <w:rFonts w:eastAsia="宋体"/>
      <w:kern w:val="2"/>
      <w:sz w:val="18"/>
      <w:szCs w:val="18"/>
      <w:lang w:val="en-US" w:eastAsia="zh-CN" w:bidi="ar-SA"/>
    </w:rPr>
  </w:style>
  <w:style w:type="character" w:customStyle="1" w:styleId="MB2Char">
    <w:name w:val="MB2 Char"/>
    <w:rPr>
      <w:rFonts w:ascii="黑体" w:eastAsia="黑体" w:hAnsi="宋体"/>
      <w:b/>
      <w:color w:val="0000FF"/>
      <w:kern w:val="2"/>
      <w:sz w:val="28"/>
      <w:lang w:val="en-US" w:eastAsia="zh-CN" w:bidi="ar-SA"/>
    </w:rPr>
  </w:style>
  <w:style w:type="character" w:customStyle="1" w:styleId="CharCharCharCharChar10">
    <w:name w:val="Char Char Char Char Char1"/>
    <w:rPr>
      <w:rFonts w:eastAsia="宋体"/>
      <w:snapToGrid w:val="0"/>
      <w:sz w:val="18"/>
      <w:szCs w:val="24"/>
      <w:lang w:val="en-US" w:eastAsia="zh-CN" w:bidi="ar-SA"/>
    </w:rPr>
  </w:style>
  <w:style w:type="character" w:customStyle="1" w:styleId="CharChar164">
    <w:name w:val="Char Char164"/>
    <w:rPr>
      <w:snapToGrid/>
      <w:spacing w:val="10"/>
      <w:sz w:val="24"/>
    </w:rPr>
  </w:style>
  <w:style w:type="character" w:customStyle="1" w:styleId="defaultfont">
    <w:name w:val="defaultfont"/>
  </w:style>
  <w:style w:type="character" w:customStyle="1" w:styleId="Charffffff9">
    <w:name w:val="图表文字 Char"/>
    <w:link w:val="afffffffff5"/>
    <w:rPr>
      <w:rFonts w:ascii="仿宋_GB2312" w:eastAsia="仿宋_GB2312"/>
    </w:rPr>
  </w:style>
  <w:style w:type="paragraph" w:customStyle="1" w:styleId="afffffffff5">
    <w:name w:val="图表文字"/>
    <w:basedOn w:val="a2"/>
    <w:link w:val="Charffffff9"/>
    <w:qFormat/>
    <w:pPr>
      <w:spacing w:line="300" w:lineRule="exact"/>
      <w:jc w:val="center"/>
    </w:pPr>
    <w:rPr>
      <w:rFonts w:ascii="仿宋_GB2312" w:eastAsia="仿宋_GB2312"/>
      <w:szCs w:val="22"/>
    </w:rPr>
  </w:style>
  <w:style w:type="character" w:customStyle="1" w:styleId="CharChar154">
    <w:name w:val="Char Char154"/>
    <w:rPr>
      <w:rFonts w:ascii="Times New Roman" w:eastAsia="宋体" w:hAnsi="Times New Roman" w:cs="Times New Roman"/>
      <w:b/>
      <w:bCs/>
      <w:sz w:val="32"/>
      <w:szCs w:val="32"/>
    </w:rPr>
  </w:style>
  <w:style w:type="character" w:customStyle="1" w:styleId="3Char9">
    <w:name w:val="样式 标题 3 + 加粗 Char"/>
    <w:rPr>
      <w:rFonts w:eastAsia="宋体"/>
      <w:b/>
      <w:bCs/>
      <w:snapToGrid w:val="0"/>
      <w:spacing w:val="20"/>
      <w:sz w:val="24"/>
      <w:szCs w:val="24"/>
      <w:lang w:val="en-US" w:eastAsia="zh-CN" w:bidi="ar-SA"/>
    </w:rPr>
  </w:style>
  <w:style w:type="character" w:customStyle="1" w:styleId="HTMLChar2">
    <w:name w:val="HTML 预设格式 Char2"/>
    <w:rPr>
      <w:rFonts w:ascii="Courier New" w:hAnsi="Courier New" w:cs="Courier New"/>
      <w:kern w:val="2"/>
    </w:rPr>
  </w:style>
  <w:style w:type="character" w:customStyle="1" w:styleId="CharChar191">
    <w:name w:val="Char Char191"/>
    <w:rPr>
      <w:rFonts w:ascii="Arial" w:eastAsia="黑体" w:hAnsi="Arial"/>
      <w:sz w:val="24"/>
      <w:lang w:val="en-US" w:eastAsia="zh-CN" w:bidi="ar-SA"/>
    </w:rPr>
  </w:style>
  <w:style w:type="character" w:customStyle="1" w:styleId="Charffffffa">
    <w:name w:val="丁辛醇表格 Char"/>
    <w:link w:val="afffffffff6"/>
    <w:rPr>
      <w:rFonts w:ascii="宋体" w:hAnsi="宋体"/>
      <w:color w:val="000000"/>
      <w:szCs w:val="21"/>
    </w:rPr>
  </w:style>
  <w:style w:type="paragraph" w:customStyle="1" w:styleId="afffffffff6">
    <w:name w:val="丁辛醇表格"/>
    <w:basedOn w:val="a2"/>
    <w:link w:val="Charffffffa"/>
    <w:qFormat/>
    <w:pPr>
      <w:snapToGrid w:val="0"/>
      <w:jc w:val="center"/>
    </w:pPr>
    <w:rPr>
      <w:rFonts w:ascii="宋体" w:hAnsi="宋体"/>
      <w:color w:val="000000"/>
    </w:rPr>
  </w:style>
  <w:style w:type="character" w:customStyle="1" w:styleId="1ff8">
    <w:name w:val="访问过的超链接1"/>
    <w:rPr>
      <w:rFonts w:hint="default"/>
      <w:color w:val="800080"/>
      <w:u w:val="single"/>
    </w:rPr>
  </w:style>
  <w:style w:type="character" w:customStyle="1" w:styleId="Char8">
    <w:name w:val="结束语 Char"/>
    <w:link w:val="af3"/>
    <w:qFormat/>
    <w:rPr>
      <w:rFonts w:eastAsia="楷体_GB2312"/>
      <w:sz w:val="32"/>
    </w:rPr>
  </w:style>
  <w:style w:type="character" w:customStyle="1" w:styleId="text25">
    <w:name w:val="text25"/>
    <w:basedOn w:val="a4"/>
    <w:qFormat/>
  </w:style>
  <w:style w:type="character" w:customStyle="1" w:styleId="GB23120">
    <w:name w:val="样式 (中文) 仿宋_GB2312"/>
    <w:qFormat/>
    <w:rPr>
      <w:rFonts w:ascii="楷体_GB2312" w:eastAsia="楷体_GB2312" w:hint="eastAsia"/>
    </w:rPr>
  </w:style>
  <w:style w:type="character" w:customStyle="1" w:styleId="font81">
    <w:name w:val="font81"/>
    <w:qFormat/>
    <w:rPr>
      <w:rFonts w:ascii="宋体" w:eastAsia="宋体" w:hAnsi="宋体" w:hint="eastAsia"/>
      <w:color w:val="000000"/>
      <w:sz w:val="18"/>
      <w:szCs w:val="18"/>
      <w:u w:val="none"/>
    </w:rPr>
  </w:style>
  <w:style w:type="character" w:customStyle="1" w:styleId="Charffffffb">
    <w:name w:val="小五居左 Char"/>
    <w:link w:val="afffffffff7"/>
    <w:qFormat/>
    <w:rPr>
      <w:rFonts w:ascii="宋体" w:hAnsi="宋体"/>
      <w:bCs/>
      <w:szCs w:val="21"/>
      <w:lang w:val="zh-CN"/>
    </w:rPr>
  </w:style>
  <w:style w:type="paragraph" w:customStyle="1" w:styleId="afffffffff7">
    <w:name w:val="小五居左"/>
    <w:basedOn w:val="a2"/>
    <w:link w:val="Charffffffb"/>
    <w:qFormat/>
    <w:pPr>
      <w:snapToGrid w:val="0"/>
      <w:jc w:val="both"/>
    </w:pPr>
    <w:rPr>
      <w:rFonts w:ascii="宋体" w:hAnsi="宋体"/>
      <w:bCs/>
      <w:lang w:val="zh-CN"/>
    </w:rPr>
  </w:style>
  <w:style w:type="character" w:customStyle="1" w:styleId="postbody">
    <w:name w:val="postbody"/>
    <w:basedOn w:val="a4"/>
    <w:qFormat/>
  </w:style>
  <w:style w:type="character" w:customStyle="1" w:styleId="CharCharChar7">
    <w:name w:val="表中文字 Char Char Char"/>
    <w:rPr>
      <w:rFonts w:eastAsia="宋体"/>
      <w:sz w:val="21"/>
      <w:lang w:val="en-US" w:eastAsia="zh-CN" w:bidi="ar-SA"/>
    </w:rPr>
  </w:style>
  <w:style w:type="character" w:customStyle="1" w:styleId="CharCharCharCharCharCharChar3">
    <w:name w:val="正文样式 Char Char Char Char Char Char Char"/>
    <w:link w:val="CharCharCharCharChar4"/>
    <w:rPr>
      <w:rFonts w:ascii="宋体" w:eastAsia="宋体" w:hAnsi="宋体"/>
      <w:color w:val="000000"/>
      <w:sz w:val="24"/>
      <w:szCs w:val="24"/>
    </w:rPr>
  </w:style>
  <w:style w:type="paragraph" w:customStyle="1" w:styleId="CharCharCharCharChar4">
    <w:name w:val="正文样式 Char Char Char Char Char"/>
    <w:basedOn w:val="a2"/>
    <w:link w:val="CharCharCharCharCharCharChar3"/>
    <w:qFormat/>
    <w:pPr>
      <w:spacing w:line="360" w:lineRule="auto"/>
      <w:ind w:firstLineChars="200" w:firstLine="480"/>
    </w:pPr>
    <w:rPr>
      <w:rFonts w:ascii="宋体" w:eastAsia="宋体" w:hAnsi="宋体"/>
      <w:color w:val="000000"/>
      <w:sz w:val="24"/>
      <w:szCs w:val="24"/>
    </w:rPr>
  </w:style>
  <w:style w:type="character" w:customStyle="1" w:styleId="22CharChar">
    <w:name w:val="样式 公正文 + 首行缩进:  2 字符2 Char Char"/>
    <w:link w:val="222"/>
    <w:rPr>
      <w:rFonts w:ascii="宋体" w:eastAsia="仿宋_GB2312" w:hAnsi="宋体"/>
      <w:sz w:val="28"/>
    </w:rPr>
  </w:style>
  <w:style w:type="paragraph" w:customStyle="1" w:styleId="222">
    <w:name w:val="样式 公正文 + 首行缩进:  2 字符2"/>
    <w:basedOn w:val="afffffff6"/>
    <w:link w:val="22CharChar"/>
    <w:qFormat/>
    <w:pPr>
      <w:spacing w:line="353" w:lineRule="auto"/>
      <w:ind w:firstLine="560"/>
    </w:pPr>
    <w:rPr>
      <w:rFonts w:ascii="宋体"/>
    </w:rPr>
  </w:style>
  <w:style w:type="character" w:customStyle="1" w:styleId="CharCharCharCharCharCharCharCharCharCharCharCharCharCharCharChar">
    <w:name w:val="Char Char Char Char Char Char Char Char Char Char Char Char Char Char Char Char"/>
    <w:rPr>
      <w:rFonts w:eastAsia="宋体"/>
      <w:snapToGrid w:val="0"/>
      <w:sz w:val="18"/>
      <w:szCs w:val="24"/>
      <w:lang w:val="en-US" w:eastAsia="zh-CN" w:bidi="ar-SA"/>
    </w:rPr>
  </w:style>
  <w:style w:type="character" w:customStyle="1" w:styleId="1Charf">
    <w:name w:val="1  标题 Char"/>
    <w:link w:val="1ff9"/>
    <w:locked/>
    <w:rPr>
      <w:rFonts w:ascii="宋体"/>
      <w:b/>
      <w:bCs/>
      <w:sz w:val="24"/>
    </w:rPr>
  </w:style>
  <w:style w:type="paragraph" w:customStyle="1" w:styleId="1ff9">
    <w:name w:val="1  标题"/>
    <w:basedOn w:val="a2"/>
    <w:link w:val="1Charf"/>
    <w:qFormat/>
    <w:pPr>
      <w:spacing w:before="156" w:after="156" w:line="460" w:lineRule="exact"/>
      <w:jc w:val="both"/>
    </w:pPr>
    <w:rPr>
      <w:rFonts w:ascii="宋体"/>
      <w:b/>
      <w:bCs/>
      <w:sz w:val="24"/>
      <w:szCs w:val="22"/>
    </w:rPr>
  </w:style>
  <w:style w:type="character" w:customStyle="1" w:styleId="2CharCharCharChar0">
    <w:name w:val="样式2 Char Char Char Char"/>
    <w:link w:val="2CharChar8"/>
    <w:rPr>
      <w:rFonts w:ascii="宋体" w:eastAsia="仿宋_GB2312" w:hAnsi="Arial"/>
      <w:sz w:val="28"/>
    </w:rPr>
  </w:style>
  <w:style w:type="paragraph" w:customStyle="1" w:styleId="2CharChar8">
    <w:name w:val="样式2 Char Char"/>
    <w:basedOn w:val="a2"/>
    <w:link w:val="2CharCharCharChar0"/>
    <w:qFormat/>
    <w:pPr>
      <w:spacing w:beforeLines="50" w:before="156" w:line="360" w:lineRule="auto"/>
      <w:ind w:firstLineChars="200" w:firstLine="200"/>
      <w:jc w:val="both"/>
    </w:pPr>
    <w:rPr>
      <w:rFonts w:ascii="宋体" w:eastAsia="仿宋_GB2312" w:hAnsi="Arial"/>
      <w:szCs w:val="22"/>
    </w:rPr>
  </w:style>
  <w:style w:type="character" w:customStyle="1" w:styleId="CharChar182">
    <w:name w:val="Char Char182"/>
    <w:rPr>
      <w:snapToGrid w:val="0"/>
      <w:spacing w:val="10"/>
      <w:sz w:val="24"/>
    </w:rPr>
  </w:style>
  <w:style w:type="character" w:customStyle="1" w:styleId="2Charf">
    <w:name w:val="样式 正文样式 仿宋 四号 + 首行缩进:  2 字符 Char"/>
    <w:basedOn w:val="Charffffffc"/>
    <w:link w:val="2fb"/>
    <w:rPr>
      <w:rFonts w:ascii="仿宋_GB2312" w:eastAsia="仿宋_GB2312" w:hAnsi="宋体"/>
      <w:color w:val="000000"/>
      <w:sz w:val="28"/>
    </w:rPr>
  </w:style>
  <w:style w:type="character" w:customStyle="1" w:styleId="Charffffffc">
    <w:name w:val="正文样式 仿宋 四号 Char"/>
    <w:basedOn w:val="GB231209813Char"/>
    <w:link w:val="afffffffff8"/>
    <w:rPr>
      <w:rFonts w:ascii="仿宋_GB2312" w:eastAsia="仿宋_GB2312" w:hAnsi="宋体"/>
      <w:color w:val="000000"/>
      <w:sz w:val="28"/>
    </w:rPr>
  </w:style>
  <w:style w:type="paragraph" w:customStyle="1" w:styleId="afffffffff8">
    <w:name w:val="正文样式 仿宋 四号"/>
    <w:basedOn w:val="GB231209813"/>
    <w:link w:val="Charffffffc"/>
    <w:qFormat/>
    <w:pPr>
      <w:snapToGrid w:val="0"/>
      <w:ind w:firstLineChars="200" w:firstLine="200"/>
      <w:jc w:val="both"/>
    </w:pPr>
  </w:style>
  <w:style w:type="paragraph" w:customStyle="1" w:styleId="2fb">
    <w:name w:val="样式 正文样式 仿宋 四号 + 首行缩进:  2 字符"/>
    <w:basedOn w:val="afffffffff8"/>
    <w:link w:val="2Charf"/>
    <w:qFormat/>
    <w:pPr>
      <w:ind w:firstLine="560"/>
    </w:pPr>
  </w:style>
  <w:style w:type="character" w:customStyle="1" w:styleId="CharCharfffa">
    <w:name w:val="表头（仿宋 小四） Char Char"/>
    <w:link w:val="afffffffff9"/>
    <w:rPr>
      <w:rFonts w:ascii="仿宋_GB2312" w:eastAsia="仿宋_GB2312" w:hAnsi="宋体" w:cs="宋体"/>
      <w:color w:val="000000"/>
      <w:sz w:val="24"/>
    </w:rPr>
  </w:style>
  <w:style w:type="paragraph" w:customStyle="1" w:styleId="afffffffff9">
    <w:name w:val="表头（仿宋 小四）"/>
    <w:basedOn w:val="a2"/>
    <w:link w:val="CharCharfffa"/>
    <w:qFormat/>
    <w:pPr>
      <w:spacing w:line="520" w:lineRule="exact"/>
      <w:jc w:val="center"/>
    </w:pPr>
    <w:rPr>
      <w:rFonts w:ascii="仿宋_GB2312" w:eastAsia="仿宋_GB2312" w:hAnsi="宋体" w:cs="宋体"/>
      <w:color w:val="000000"/>
      <w:sz w:val="24"/>
      <w:szCs w:val="22"/>
    </w:rPr>
  </w:style>
  <w:style w:type="character" w:customStyle="1" w:styleId="CharChar119">
    <w:name w:val="Char Char119"/>
    <w:rPr>
      <w:rFonts w:ascii="仿宋_GB2312" w:eastAsia="仿宋_GB2312"/>
      <w:b/>
      <w:kern w:val="44"/>
      <w:sz w:val="44"/>
      <w:lang w:val="en-US" w:eastAsia="zh-CN"/>
    </w:rPr>
  </w:style>
  <w:style w:type="character" w:customStyle="1" w:styleId="Char2f6">
    <w:name w:val="表头 Char2"/>
    <w:rPr>
      <w:rFonts w:ascii="黑体" w:eastAsia="宋体" w:hAnsi="宋体"/>
      <w:bCs/>
      <w:sz w:val="24"/>
      <w:szCs w:val="24"/>
      <w:lang w:val="en-US" w:eastAsia="zh-CN" w:bidi="ar-SA"/>
    </w:rPr>
  </w:style>
  <w:style w:type="character" w:customStyle="1" w:styleId="2CharChar9">
    <w:name w:val="表格文字2 Char Char"/>
    <w:link w:val="2fc"/>
    <w:rPr>
      <w:szCs w:val="21"/>
    </w:rPr>
  </w:style>
  <w:style w:type="paragraph" w:customStyle="1" w:styleId="2fc">
    <w:name w:val="表格文字2"/>
    <w:basedOn w:val="a2"/>
    <w:link w:val="2CharChar9"/>
    <w:qFormat/>
    <w:pPr>
      <w:tabs>
        <w:tab w:val="left" w:pos="277"/>
        <w:tab w:val="left" w:pos="600"/>
        <w:tab w:val="left" w:pos="780"/>
        <w:tab w:val="left" w:pos="2517"/>
      </w:tabs>
      <w:spacing w:before="60"/>
      <w:jc w:val="center"/>
      <w:textAlignment w:val="baseline"/>
    </w:pPr>
  </w:style>
  <w:style w:type="character" w:customStyle="1" w:styleId="p9l1">
    <w:name w:val="p9l1"/>
    <w:rPr>
      <w:sz w:val="18"/>
      <w:szCs w:val="18"/>
      <w:u w:val="none"/>
    </w:rPr>
  </w:style>
  <w:style w:type="character" w:customStyle="1" w:styleId="2Charf0">
    <w:name w:val="题2 Char"/>
    <w:link w:val="2fd"/>
    <w:rPr>
      <w:rFonts w:eastAsia="仿宋_GB2312"/>
      <w:bCs/>
      <w:sz w:val="30"/>
      <w:szCs w:val="30"/>
    </w:rPr>
  </w:style>
  <w:style w:type="paragraph" w:customStyle="1" w:styleId="2fd">
    <w:name w:val="题2"/>
    <w:basedOn w:val="22"/>
    <w:link w:val="2Charf0"/>
    <w:qFormat/>
    <w:pPr>
      <w:tabs>
        <w:tab w:val="left" w:pos="1275"/>
      </w:tabs>
      <w:snapToGrid w:val="0"/>
      <w:spacing w:beforeLines="50" w:before="156" w:afterLines="50" w:after="156" w:line="360" w:lineRule="auto"/>
    </w:pPr>
    <w:rPr>
      <w:rFonts w:asciiTheme="minorHAnsi" w:eastAsia="仿宋_GB2312" w:hAnsiTheme="minorHAnsi" w:cstheme="minorBidi"/>
      <w:b w:val="0"/>
      <w:sz w:val="30"/>
      <w:szCs w:val="30"/>
    </w:rPr>
  </w:style>
  <w:style w:type="character" w:customStyle="1" w:styleId="CharCharfffb">
    <w:name w:val="表头宋体黑色 Char Char"/>
    <w:link w:val="afffffffffa"/>
    <w:rPr>
      <w:sz w:val="24"/>
      <w:szCs w:val="24"/>
    </w:rPr>
  </w:style>
  <w:style w:type="paragraph" w:customStyle="1" w:styleId="afffffffffa">
    <w:name w:val="表头宋体黑色"/>
    <w:basedOn w:val="a2"/>
    <w:link w:val="CharCharfffb"/>
    <w:qFormat/>
    <w:pPr>
      <w:spacing w:beforeLines="50" w:before="156"/>
      <w:jc w:val="center"/>
      <w:textAlignment w:val="baseline"/>
    </w:pPr>
    <w:rPr>
      <w:sz w:val="24"/>
      <w:szCs w:val="24"/>
    </w:rPr>
  </w:style>
  <w:style w:type="character" w:customStyle="1" w:styleId="3Chara">
    <w:name w:val="项目3 Char"/>
    <w:link w:val="3f6"/>
    <w:rPr>
      <w:rFonts w:ascii="宋体" w:hAnsi="宋体"/>
      <w:b/>
      <w:bCs/>
      <w:sz w:val="28"/>
      <w:szCs w:val="28"/>
    </w:rPr>
  </w:style>
  <w:style w:type="paragraph" w:customStyle="1" w:styleId="3f6">
    <w:name w:val="项目3"/>
    <w:basedOn w:val="2fe"/>
    <w:link w:val="3Chara"/>
    <w:qFormat/>
    <w:pPr>
      <w:keepNext/>
      <w:keepLines/>
      <w:tabs>
        <w:tab w:val="left" w:pos="720"/>
      </w:tabs>
      <w:spacing w:line="360" w:lineRule="auto"/>
      <w:outlineLvl w:val="1"/>
    </w:pPr>
    <w:rPr>
      <w:rFonts w:ascii="宋体" w:hAnsi="宋体"/>
      <w:b/>
      <w:bCs/>
    </w:rPr>
  </w:style>
  <w:style w:type="paragraph" w:customStyle="1" w:styleId="2fe">
    <w:name w:val="项目2"/>
    <w:basedOn w:val="a2"/>
    <w:uiPriority w:val="99"/>
    <w:qFormat/>
    <w:pPr>
      <w:tabs>
        <w:tab w:val="left" w:pos="360"/>
      </w:tabs>
      <w:snapToGrid w:val="0"/>
      <w:spacing w:line="240" w:lineRule="atLeast"/>
      <w:ind w:left="340" w:hanging="340"/>
      <w:jc w:val="both"/>
    </w:pPr>
    <w:rPr>
      <w:szCs w:val="28"/>
    </w:rPr>
  </w:style>
  <w:style w:type="character" w:customStyle="1" w:styleId="CharChar192">
    <w:name w:val="Char Char192"/>
    <w:rPr>
      <w:rFonts w:ascii="Arial" w:eastAsia="黑体" w:hAnsi="Arial"/>
      <w:sz w:val="24"/>
      <w:lang w:val="en-US" w:eastAsia="zh-CN" w:bidi="ar-SA"/>
    </w:rPr>
  </w:style>
  <w:style w:type="character" w:customStyle="1" w:styleId="Char2f7">
    <w:name w:val="签名 Char2"/>
    <w:rPr>
      <w:rFonts w:ascii="Times New Roman" w:eastAsia="宋体" w:hAnsi="Times New Roman" w:cs="Times New Roman"/>
      <w:szCs w:val="24"/>
    </w:rPr>
  </w:style>
  <w:style w:type="character" w:customStyle="1" w:styleId="CharChar61">
    <w:name w:val="Char Char61"/>
    <w:rPr>
      <w:rFonts w:ascii="楷体_GB2312" w:eastAsia="楷体_GB2312"/>
      <w:b/>
      <w:bCs/>
      <w:kern w:val="44"/>
      <w:sz w:val="32"/>
      <w:szCs w:val="44"/>
      <w:lang w:val="en-US" w:eastAsia="zh-CN" w:bidi="ar-SA"/>
    </w:rPr>
  </w:style>
  <w:style w:type="character" w:customStyle="1" w:styleId="Charffffffd">
    <w:name w:val="表题 Char"/>
    <w:rPr>
      <w:rFonts w:eastAsia="黑体"/>
      <w:kern w:val="2"/>
      <w:sz w:val="28"/>
      <w:szCs w:val="24"/>
      <w:lang w:val="en-US" w:eastAsia="zh-CN" w:bidi="ar-SA"/>
    </w:rPr>
  </w:style>
  <w:style w:type="character" w:customStyle="1" w:styleId="Char3f0">
    <w:name w:val="电子邮件签名 Char3"/>
    <w:uiPriority w:val="99"/>
    <w:semiHidden/>
  </w:style>
  <w:style w:type="character" w:customStyle="1" w:styleId="8Char2">
    <w:name w:val="标题 8 Char2"/>
    <w:rPr>
      <w:rFonts w:ascii="Cambria" w:eastAsia="宋体" w:hAnsi="Cambria" w:cs="Times New Roman"/>
      <w:kern w:val="2"/>
      <w:sz w:val="24"/>
      <w:szCs w:val="24"/>
    </w:rPr>
  </w:style>
  <w:style w:type="character" w:customStyle="1" w:styleId="font41">
    <w:name w:val="font41"/>
    <w:rPr>
      <w:rFonts w:ascii="仿宋_GB2312" w:eastAsia="仿宋_GB2312" w:hint="eastAsia"/>
      <w:color w:val="000000"/>
      <w:sz w:val="20"/>
      <w:szCs w:val="20"/>
      <w:u w:val="none"/>
    </w:rPr>
  </w:style>
  <w:style w:type="character" w:customStyle="1" w:styleId="126CharChar">
    <w:name w:val="样式 (中文) 宋体 首行缩进:  1 厘米 行距: 固定值 26 磅 Char Char"/>
    <w:link w:val="126"/>
    <w:rPr>
      <w:rFonts w:eastAsia="宋体" w:cs="宋体"/>
      <w:spacing w:val="8"/>
      <w:sz w:val="28"/>
    </w:rPr>
  </w:style>
  <w:style w:type="paragraph" w:customStyle="1" w:styleId="126">
    <w:name w:val="样式 (中文) 宋体 首行缩进:  1 厘米 行距: 固定值 26 磅"/>
    <w:basedOn w:val="a2"/>
    <w:link w:val="126CharChar"/>
    <w:qFormat/>
    <w:pPr>
      <w:spacing w:line="480" w:lineRule="exact"/>
      <w:ind w:firstLine="567"/>
      <w:textAlignment w:val="baseline"/>
    </w:pPr>
    <w:rPr>
      <w:rFonts w:eastAsia="宋体" w:cs="宋体"/>
      <w:spacing w:val="8"/>
      <w:szCs w:val="22"/>
    </w:rPr>
  </w:style>
  <w:style w:type="character" w:customStyle="1" w:styleId="Char2f8">
    <w:name w:val="页脚 Char2"/>
    <w:rPr>
      <w:rFonts w:ascii="Times New Roman" w:eastAsia="宋体" w:hAnsi="Times New Roman" w:cs="Times New Roman"/>
      <w:sz w:val="18"/>
      <w:szCs w:val="18"/>
    </w:rPr>
  </w:style>
  <w:style w:type="character" w:customStyle="1" w:styleId="contents1">
    <w:name w:val="contents1"/>
    <w:rPr>
      <w:rFonts w:ascii="Verdana" w:hAnsi="Verdana" w:hint="default"/>
      <w:color w:val="000000"/>
      <w:sz w:val="21"/>
      <w:szCs w:val="21"/>
    </w:rPr>
  </w:style>
  <w:style w:type="character" w:customStyle="1" w:styleId="Char2f9">
    <w:name w:val="正文小四 Char2"/>
    <w:rPr>
      <w:rFonts w:ascii="宋体" w:eastAsia="宋体" w:hAnsi="宋体" w:cs="宋体"/>
      <w:kern w:val="2"/>
      <w:sz w:val="24"/>
      <w:szCs w:val="24"/>
      <w:lang w:val="en-US" w:eastAsia="zh-CN" w:bidi="ar-SA"/>
    </w:rPr>
  </w:style>
  <w:style w:type="character" w:customStyle="1" w:styleId="Char4b">
    <w:name w:val="签名 Char4"/>
    <w:uiPriority w:val="99"/>
    <w:semiHidden/>
  </w:style>
  <w:style w:type="character" w:customStyle="1" w:styleId="4H4H41026CharChar">
    <w:name w:val="样式 标题 4四H4H41 + 段前: 0 磅 行距: 固定值 26 磅 Char Char"/>
    <w:link w:val="4H4H41026"/>
    <w:rPr>
      <w:rFonts w:ascii="Arial" w:hAnsi="Arial" w:cs="宋体"/>
      <w:b/>
      <w:bCs/>
      <w:sz w:val="24"/>
      <w:szCs w:val="28"/>
    </w:rPr>
  </w:style>
  <w:style w:type="paragraph" w:customStyle="1" w:styleId="4H4H41026">
    <w:name w:val="样式 标题 4四H4H41 + 段前: 0 磅 行距: 固定值 26 磅"/>
    <w:basedOn w:val="41"/>
    <w:link w:val="4H4H41026CharChar"/>
    <w:qFormat/>
    <w:pPr>
      <w:keepNext w:val="0"/>
      <w:keepLines w:val="0"/>
      <w:spacing w:afterLines="50" w:after="156" w:line="560" w:lineRule="exact"/>
      <w:ind w:leftChars="0" w:left="0" w:rightChars="0" w:right="0" w:firstLineChars="200" w:firstLine="200"/>
    </w:pPr>
    <w:rPr>
      <w:rFonts w:ascii="Arial" w:eastAsiaTheme="minorEastAsia" w:hAnsi="Arial" w:cs="宋体"/>
      <w:b/>
      <w:sz w:val="24"/>
    </w:rPr>
  </w:style>
  <w:style w:type="character" w:customStyle="1" w:styleId="TableTitleChar2">
    <w:name w:val="Table Title Char2"/>
    <w:rPr>
      <w:rFonts w:eastAsia="宋体"/>
      <w:kern w:val="2"/>
      <w:sz w:val="24"/>
      <w:szCs w:val="24"/>
      <w:lang w:val="en-US" w:eastAsia="zh-CN" w:bidi="ar-SA"/>
    </w:rPr>
  </w:style>
  <w:style w:type="character" w:customStyle="1" w:styleId="style161">
    <w:name w:val="style161"/>
    <w:rPr>
      <w:color w:val="FF9900"/>
      <w:sz w:val="21"/>
      <w:szCs w:val="21"/>
    </w:rPr>
  </w:style>
  <w:style w:type="character" w:customStyle="1" w:styleId="txt181">
    <w:name w:val="txt181"/>
    <w:rPr>
      <w:rFonts w:ascii="ˎ̥" w:hAnsi="ˎ̥" w:hint="default"/>
      <w:b/>
      <w:bCs/>
      <w:sz w:val="38"/>
      <w:szCs w:val="38"/>
      <w:u w:val="none"/>
    </w:rPr>
  </w:style>
  <w:style w:type="character" w:customStyle="1" w:styleId="3Char0">
    <w:name w:val="正文文本 3 Char"/>
    <w:link w:val="34"/>
    <w:rPr>
      <w:sz w:val="16"/>
      <w:szCs w:val="16"/>
    </w:rPr>
  </w:style>
  <w:style w:type="character" w:customStyle="1" w:styleId="font01">
    <w:name w:val="font01"/>
    <w:rPr>
      <w:rFonts w:ascii="Times New Roman" w:hAnsi="Times New Roman" w:cs="Times New Roman" w:hint="default"/>
      <w:color w:val="FF0000"/>
      <w:sz w:val="18"/>
      <w:szCs w:val="18"/>
      <w:u w:val="none"/>
    </w:rPr>
  </w:style>
  <w:style w:type="character" w:customStyle="1" w:styleId="Char1fe">
    <w:name w:val="签名 Char1"/>
    <w:locked/>
    <w:rPr>
      <w:rFonts w:ascii="Arial" w:eastAsia="仿宋_GB2312" w:hAnsi="Arial"/>
      <w:kern w:val="2"/>
      <w:sz w:val="24"/>
    </w:rPr>
  </w:style>
  <w:style w:type="character" w:customStyle="1" w:styleId="3CharCharCharCharCharCharCharCharCharCharCharCharCharCharCharCharCharCharCharCharCharCharCharCharCharCharCharCharCharCharCharCharCharCharCharCharCharCharCharChar">
    <w:name w:val="标题 3 Char Char Char Char Char Char Char Char Char Char Char Char Char Char Char Char Char Char Char Char Char Char Char Char Char Char Char Char Char Char Char Char Char Char Char Char Char Char Char Char"/>
    <w:rPr>
      <w:rFonts w:eastAsia="楷体_GB2312"/>
      <w:kern w:val="2"/>
      <w:sz w:val="28"/>
      <w:lang w:val="en-US" w:eastAsia="zh-CN" w:bidi="ar-SA"/>
    </w:rPr>
  </w:style>
  <w:style w:type="character" w:customStyle="1" w:styleId="p91">
    <w:name w:val="p91"/>
    <w:rPr>
      <w:rFonts w:ascii="ˎ̥" w:hAnsi="ˎ̥" w:hint="default"/>
      <w:sz w:val="21"/>
      <w:szCs w:val="21"/>
    </w:rPr>
  </w:style>
  <w:style w:type="character" w:customStyle="1" w:styleId="1b1XWH1H11H12CharCharChar">
    <w:name w:val="样式 标题 1式样b标题 1XWH1H11H12 + 黑色 字距调整五号 Char Char Char"/>
    <w:link w:val="1b1XWH1H11H12Char"/>
    <w:rPr>
      <w:rFonts w:eastAsia="黑体"/>
      <w:b/>
      <w:bCs/>
      <w:color w:val="000000"/>
      <w:kern w:val="21"/>
      <w:sz w:val="44"/>
      <w:szCs w:val="44"/>
    </w:rPr>
  </w:style>
  <w:style w:type="paragraph" w:customStyle="1" w:styleId="1b1XWH1H11H12Char">
    <w:name w:val="样式 标题 1式样b标题 1XWH1H11H12 + 黑色 字距调整五号 Char"/>
    <w:basedOn w:val="12"/>
    <w:link w:val="1b1XWH1H11H12CharCharChar"/>
    <w:qFormat/>
    <w:pPr>
      <w:keepNext w:val="0"/>
      <w:keepLines w:val="0"/>
      <w:spacing w:before="240" w:afterLines="100" w:after="312" w:line="560" w:lineRule="exact"/>
      <w:jc w:val="center"/>
      <w:textAlignment w:val="auto"/>
    </w:pPr>
    <w:rPr>
      <w:rFonts w:asciiTheme="minorHAnsi"/>
      <w:b/>
      <w:color w:val="000000"/>
      <w:kern w:val="21"/>
      <w:sz w:val="44"/>
      <w:szCs w:val="44"/>
    </w:rPr>
  </w:style>
  <w:style w:type="character" w:customStyle="1" w:styleId="20Char">
    <w:name w:val="样式20 Char"/>
    <w:link w:val="200"/>
    <w:rPr>
      <w:rFonts w:ascii="ˎ̥" w:hAnsi="ˎ̥"/>
      <w:bCs/>
      <w:color w:val="000000"/>
      <w:sz w:val="24"/>
    </w:rPr>
  </w:style>
  <w:style w:type="paragraph" w:customStyle="1" w:styleId="200">
    <w:name w:val="样式20"/>
    <w:basedOn w:val="a2"/>
    <w:link w:val="20Char"/>
    <w:qFormat/>
    <w:pPr>
      <w:snapToGrid w:val="0"/>
      <w:spacing w:beforeLines="50" w:before="210" w:afterLines="50" w:after="210" w:line="360" w:lineRule="auto"/>
      <w:ind w:firstLineChars="200" w:firstLine="480"/>
      <w:jc w:val="both"/>
    </w:pPr>
    <w:rPr>
      <w:rFonts w:ascii="ˎ̥" w:hAnsi="ˎ̥"/>
      <w:bCs/>
      <w:color w:val="000000"/>
      <w:sz w:val="24"/>
      <w:szCs w:val="22"/>
    </w:rPr>
  </w:style>
  <w:style w:type="character" w:customStyle="1" w:styleId="CharChar222">
    <w:name w:val="Char Char222"/>
    <w:rPr>
      <w:rFonts w:ascii="Calibri" w:eastAsia="宋体" w:hAnsi="Calibri"/>
      <w:kern w:val="2"/>
      <w:sz w:val="24"/>
      <w:lang w:val="en-US" w:eastAsia="zh-CN" w:bidi="ar-SA"/>
    </w:rPr>
  </w:style>
  <w:style w:type="character" w:customStyle="1" w:styleId="Charffffffe">
    <w:name w:val="表格式 Char"/>
    <w:link w:val="afffffffffb"/>
    <w:uiPriority w:val="99"/>
  </w:style>
  <w:style w:type="paragraph" w:customStyle="1" w:styleId="afffffffffb">
    <w:name w:val="表格式"/>
    <w:basedOn w:val="aff2"/>
    <w:link w:val="Charffffffe"/>
    <w:uiPriority w:val="99"/>
    <w:qFormat/>
    <w:pPr>
      <w:spacing w:beforeLines="50" w:before="156" w:afterLines="50" w:after="156" w:line="200" w:lineRule="exact"/>
    </w:pPr>
    <w:rPr>
      <w:rFonts w:asciiTheme="minorHAnsi" w:eastAsiaTheme="minorEastAsia"/>
      <w:sz w:val="21"/>
    </w:rPr>
  </w:style>
  <w:style w:type="character" w:customStyle="1" w:styleId="CharChar253">
    <w:name w:val="Char Char253"/>
    <w:rPr>
      <w:rFonts w:eastAsia="宋体"/>
      <w:b/>
      <w:bCs/>
      <w:iCs/>
      <w:kern w:val="2"/>
      <w:sz w:val="28"/>
      <w:szCs w:val="24"/>
      <w:lang w:bidi="ar-SA"/>
    </w:rPr>
  </w:style>
  <w:style w:type="character" w:customStyle="1" w:styleId="hhcwt1CharChar">
    <w:name w:val="hhcwt标题1 Char Char"/>
    <w:link w:val="hhcwt1"/>
    <w:rPr>
      <w:rFonts w:eastAsia="黑体" w:cs="宋体"/>
      <w:kern w:val="44"/>
      <w:sz w:val="36"/>
      <w:lang w:val="zh-CN"/>
    </w:rPr>
  </w:style>
  <w:style w:type="paragraph" w:customStyle="1" w:styleId="hhcwt1">
    <w:name w:val="hhcwt标题1"/>
    <w:basedOn w:val="a2"/>
    <w:link w:val="hhcwt1CharChar"/>
    <w:qFormat/>
    <w:pPr>
      <w:keepNext/>
      <w:keepLines/>
      <w:spacing w:before="120" w:after="120" w:line="336" w:lineRule="auto"/>
      <w:outlineLvl w:val="0"/>
    </w:pPr>
    <w:rPr>
      <w:rFonts w:eastAsia="黑体" w:cs="宋体"/>
      <w:kern w:val="44"/>
      <w:sz w:val="36"/>
      <w:szCs w:val="22"/>
      <w:lang w:val="zh-CN"/>
    </w:rPr>
  </w:style>
  <w:style w:type="character" w:customStyle="1" w:styleId="Charfffffff">
    <w:name w:val="表 标题 Char"/>
    <w:link w:val="afffffffffc"/>
    <w:rPr>
      <w:b/>
      <w:sz w:val="24"/>
    </w:rPr>
  </w:style>
  <w:style w:type="paragraph" w:customStyle="1" w:styleId="afffffffffc">
    <w:name w:val="表 标题"/>
    <w:basedOn w:val="aff4"/>
    <w:next w:val="a2"/>
    <w:link w:val="Charfffffff"/>
    <w:qFormat/>
    <w:pPr>
      <w:spacing w:beforeLines="50" w:before="50" w:line="240" w:lineRule="auto"/>
    </w:pPr>
    <w:rPr>
      <w:rFonts w:asciiTheme="minorHAnsi" w:eastAsiaTheme="minorEastAsia" w:hint="default"/>
      <w:b/>
      <w:sz w:val="24"/>
      <w:szCs w:val="22"/>
    </w:rPr>
  </w:style>
  <w:style w:type="character" w:customStyle="1" w:styleId="nine-11">
    <w:name w:val="nine-11"/>
    <w:rPr>
      <w:rFonts w:hint="default"/>
      <w:sz w:val="18"/>
    </w:rPr>
  </w:style>
  <w:style w:type="character" w:customStyle="1" w:styleId="Char1ff">
    <w:name w:val="表格文字 Char1"/>
    <w:link w:val="afffffffffd"/>
    <w:rPr>
      <w:rFonts w:ascii="仿宋_GB2312" w:eastAsia="仿宋_GB2312" w:hAnsi="Arial Black"/>
      <w:kern w:val="44"/>
      <w:sz w:val="24"/>
    </w:rPr>
  </w:style>
  <w:style w:type="paragraph" w:customStyle="1" w:styleId="afffffffffd">
    <w:name w:val="表格文字"/>
    <w:basedOn w:val="a2"/>
    <w:link w:val="Char1ff"/>
    <w:qFormat/>
    <w:pPr>
      <w:snapToGrid w:val="0"/>
      <w:jc w:val="center"/>
    </w:pPr>
    <w:rPr>
      <w:rFonts w:ascii="仿宋_GB2312" w:eastAsia="仿宋_GB2312" w:hAnsi="Arial Black"/>
      <w:kern w:val="44"/>
      <w:sz w:val="24"/>
      <w:szCs w:val="22"/>
    </w:rPr>
  </w:style>
  <w:style w:type="character" w:customStyle="1" w:styleId="size181">
    <w:name w:val="size181"/>
    <w:rPr>
      <w:sz w:val="27"/>
      <w:szCs w:val="27"/>
    </w:rPr>
  </w:style>
  <w:style w:type="character" w:customStyle="1" w:styleId="6Char2">
    <w:name w:val="样式6 Char"/>
    <w:rPr>
      <w:rFonts w:ascii="Arial" w:eastAsia="黑体" w:hAnsi="Arial"/>
      <w:b/>
      <w:bCs/>
      <w:kern w:val="2"/>
      <w:sz w:val="28"/>
      <w:szCs w:val="28"/>
      <w:lang w:bidi="ar-SA"/>
    </w:rPr>
  </w:style>
  <w:style w:type="character" w:customStyle="1" w:styleId="10115Char">
    <w:name w:val="样式 小四 首行缩进:  1.01 厘米 行距: 1.5 倍行距 Char"/>
    <w:rPr>
      <w:rFonts w:eastAsia="宋体" w:cs="宋体"/>
      <w:kern w:val="2"/>
      <w:sz w:val="24"/>
      <w:lang w:val="en-US" w:eastAsia="zh-CN" w:bidi="ar-SA"/>
    </w:rPr>
  </w:style>
  <w:style w:type="character" w:customStyle="1" w:styleId="aaCharChar">
    <w:name w:val="正文aa Char Char"/>
    <w:rPr>
      <w:rFonts w:eastAsia="宋体"/>
      <w:kern w:val="2"/>
      <w:sz w:val="24"/>
      <w:szCs w:val="24"/>
      <w:lang w:val="en-US" w:eastAsia="zh-CN" w:bidi="ar-SA"/>
    </w:rPr>
  </w:style>
  <w:style w:type="character" w:customStyle="1" w:styleId="hei121">
    <w:name w:val="hei121"/>
    <w:rPr>
      <w:color w:val="000000"/>
      <w:sz w:val="15"/>
      <w:szCs w:val="15"/>
      <w:u w:val="none"/>
    </w:rPr>
  </w:style>
  <w:style w:type="character" w:customStyle="1" w:styleId="A3Char0">
    <w:name w:val="A3 Char"/>
    <w:rPr>
      <w:rFonts w:ascii="Times New Roman" w:eastAsia="宋体" w:hAnsi="Times New Roman" w:cs="Times New Roman"/>
      <w:bCs/>
      <w:sz w:val="28"/>
      <w:szCs w:val="28"/>
    </w:rPr>
  </w:style>
  <w:style w:type="character" w:customStyle="1" w:styleId="EmailStyle4271">
    <w:name w:val="EmailStyle4271"/>
    <w:rPr>
      <w:rFonts w:ascii="Arial" w:eastAsia="宋体" w:hAnsi="Arial" w:cs="Arial"/>
      <w:color w:val="000080"/>
      <w:sz w:val="18"/>
      <w:szCs w:val="20"/>
    </w:rPr>
  </w:style>
  <w:style w:type="character" w:customStyle="1" w:styleId="CharChar42">
    <w:name w:val="Char Char42"/>
    <w:rPr>
      <w:rFonts w:eastAsia="宋体"/>
      <w:b/>
      <w:bCs/>
      <w:kern w:val="2"/>
      <w:sz w:val="32"/>
      <w:szCs w:val="32"/>
      <w:lang w:val="en-US" w:eastAsia="zh-CN" w:bidi="ar-SA"/>
    </w:rPr>
  </w:style>
  <w:style w:type="character" w:customStyle="1" w:styleId="23Char">
    <w:name w:val="样式 文字 + 首行缩进:  2 字符3 Char"/>
    <w:rPr>
      <w:rFonts w:eastAsia="仿宋_GB2312" w:cs="宋体"/>
      <w:kern w:val="2"/>
      <w:sz w:val="28"/>
      <w:szCs w:val="28"/>
    </w:rPr>
  </w:style>
  <w:style w:type="character" w:customStyle="1" w:styleId="biaowenCharChar">
    <w:name w:val="biaowen Char Char"/>
    <w:rPr>
      <w:rFonts w:eastAsia="宋体"/>
      <w:kern w:val="2"/>
      <w:sz w:val="24"/>
      <w:szCs w:val="24"/>
      <w:lang w:val="en-US" w:eastAsia="zh-CN" w:bidi="ar-SA"/>
    </w:rPr>
  </w:style>
  <w:style w:type="character" w:customStyle="1" w:styleId="CharChar28">
    <w:name w:val="Char Char28"/>
    <w:locked/>
    <w:rPr>
      <w:rFonts w:ascii="宋体" w:eastAsia="宋体" w:hAnsi="宋体"/>
      <w:kern w:val="2"/>
      <w:sz w:val="18"/>
      <w:szCs w:val="18"/>
      <w:lang w:bidi="ar-SA"/>
    </w:rPr>
  </w:style>
  <w:style w:type="character" w:customStyle="1" w:styleId="Batang21">
    <w:name w:val="正文文本 + Batang21"/>
    <w:rPr>
      <w:rFonts w:ascii="Batang" w:eastAsia="Batang" w:cs="Batang"/>
      <w:sz w:val="26"/>
      <w:szCs w:val="26"/>
      <w:u w:val="none"/>
      <w:lang w:val="en-US" w:eastAsia="en-US"/>
    </w:rPr>
  </w:style>
  <w:style w:type="character" w:customStyle="1" w:styleId="CharCharCharCharChar20">
    <w:name w:val="Char Char Char Char Char2"/>
    <w:rPr>
      <w:rFonts w:eastAsia="宋体"/>
      <w:kern w:val="2"/>
      <w:sz w:val="18"/>
      <w:lang w:val="en-US" w:eastAsia="zh-CN" w:bidi="ar-SA"/>
    </w:rPr>
  </w:style>
  <w:style w:type="character" w:customStyle="1" w:styleId="CharChar1a">
    <w:name w:val="环评正文 Char Char1"/>
    <w:rPr>
      <w:rFonts w:eastAsia="宋体"/>
      <w:bCs/>
      <w:kern w:val="2"/>
      <w:sz w:val="24"/>
      <w:szCs w:val="24"/>
      <w:lang w:val="en-US" w:eastAsia="zh-CN" w:bidi="ar-SA"/>
    </w:rPr>
  </w:style>
  <w:style w:type="character" w:customStyle="1" w:styleId="CharCharfffc">
    <w:name w:val="标准 Char Char"/>
    <w:link w:val="afffffffffe"/>
    <w:rPr>
      <w:rFonts w:ascii="宋体"/>
      <w:sz w:val="24"/>
      <w:szCs w:val="24"/>
    </w:rPr>
  </w:style>
  <w:style w:type="paragraph" w:customStyle="1" w:styleId="afffffffffe">
    <w:name w:val="标准"/>
    <w:basedOn w:val="a2"/>
    <w:link w:val="CharCharfffc"/>
    <w:qFormat/>
    <w:pPr>
      <w:spacing w:line="360" w:lineRule="auto"/>
      <w:textAlignment w:val="baseline"/>
    </w:pPr>
    <w:rPr>
      <w:rFonts w:ascii="宋体"/>
      <w:sz w:val="24"/>
      <w:szCs w:val="24"/>
    </w:rPr>
  </w:style>
  <w:style w:type="character" w:customStyle="1" w:styleId="Charfffffff0">
    <w:name w:val="① Char"/>
    <w:link w:val="affffffffff"/>
    <w:rPr>
      <w:rFonts w:ascii="宋体"/>
      <w:sz w:val="24"/>
      <w:szCs w:val="24"/>
      <w:lang w:val="zh-CN"/>
    </w:rPr>
  </w:style>
  <w:style w:type="paragraph" w:customStyle="1" w:styleId="affffffffff">
    <w:name w:val="①"/>
    <w:basedOn w:val="a2"/>
    <w:link w:val="Charfffffff0"/>
    <w:qFormat/>
    <w:pPr>
      <w:spacing w:line="460" w:lineRule="exact"/>
      <w:ind w:leftChars="800" w:left="2160" w:hangingChars="200" w:hanging="480"/>
    </w:pPr>
    <w:rPr>
      <w:rFonts w:ascii="宋体"/>
      <w:sz w:val="24"/>
      <w:szCs w:val="24"/>
      <w:lang w:val="zh-CN"/>
    </w:rPr>
  </w:style>
  <w:style w:type="character" w:customStyle="1" w:styleId="CharCharCharChar12">
    <w:name w:val="Char Char Char Char12"/>
    <w:rPr>
      <w:rFonts w:ascii="宋体" w:eastAsia="宋体" w:hAnsi="宋体" w:hint="eastAsia"/>
      <w:kern w:val="2"/>
      <w:sz w:val="24"/>
      <w:szCs w:val="24"/>
      <w:lang w:val="en-US" w:eastAsia="zh-CN" w:bidi="ar-SA"/>
    </w:rPr>
  </w:style>
  <w:style w:type="character" w:customStyle="1" w:styleId="Charfffffff1">
    <w:name w:val="图表 Char"/>
    <w:rPr>
      <w:rFonts w:ascii="Times New Roman" w:eastAsia="宋体" w:hAnsi="宋体" w:cs="Times New Roman"/>
      <w:sz w:val="26"/>
      <w:szCs w:val="28"/>
      <w:lang w:val="en-US" w:eastAsia="zh-CN"/>
    </w:rPr>
  </w:style>
  <w:style w:type="character" w:customStyle="1" w:styleId="style81">
    <w:name w:val="style81"/>
    <w:rPr>
      <w:b/>
      <w:bCs/>
      <w:color w:val="009900"/>
    </w:rPr>
  </w:style>
  <w:style w:type="character" w:customStyle="1" w:styleId="highlight1">
    <w:name w:val="highlight1"/>
    <w:rPr>
      <w:sz w:val="21"/>
      <w:szCs w:val="21"/>
    </w:rPr>
  </w:style>
  <w:style w:type="character" w:customStyle="1" w:styleId="2CharChara">
    <w:name w:val="样式 正文缩进 + 首行缩进:  2 字符 Char Char"/>
    <w:link w:val="2ff"/>
    <w:rPr>
      <w:sz w:val="28"/>
    </w:rPr>
  </w:style>
  <w:style w:type="paragraph" w:customStyle="1" w:styleId="2ff">
    <w:name w:val="样式 正文缩进 + 首行缩进:  2 字符"/>
    <w:basedOn w:val="a3"/>
    <w:link w:val="2CharChara"/>
    <w:qFormat/>
    <w:pPr>
      <w:snapToGrid w:val="0"/>
      <w:spacing w:line="520" w:lineRule="atLeast"/>
      <w:ind w:firstLine="200"/>
    </w:pPr>
    <w:rPr>
      <w:rFonts w:eastAsiaTheme="minorEastAsia"/>
      <w:sz w:val="28"/>
      <w:szCs w:val="22"/>
    </w:rPr>
  </w:style>
  <w:style w:type="character" w:customStyle="1" w:styleId="4CharChar1">
    <w:name w:val="题4 Char Char"/>
    <w:link w:val="4b"/>
    <w:rPr>
      <w:rFonts w:eastAsia="仿宋_GB2312"/>
      <w:b/>
      <w:sz w:val="28"/>
      <w:szCs w:val="28"/>
    </w:rPr>
  </w:style>
  <w:style w:type="paragraph" w:customStyle="1" w:styleId="4b">
    <w:name w:val="题4"/>
    <w:basedOn w:val="25"/>
    <w:link w:val="4CharChar1"/>
    <w:qFormat/>
    <w:pPr>
      <w:snapToGrid w:val="0"/>
      <w:spacing w:beforeLines="50" w:before="156" w:afterLines="50" w:after="156" w:line="300" w:lineRule="auto"/>
      <w:ind w:leftChars="0" w:left="0"/>
    </w:pPr>
    <w:rPr>
      <w:rFonts w:eastAsia="仿宋_GB2312"/>
      <w:b/>
      <w:sz w:val="28"/>
      <w:szCs w:val="28"/>
    </w:rPr>
  </w:style>
  <w:style w:type="character" w:customStyle="1" w:styleId="1CharChar8">
    <w:name w:val="段落1 Char Char"/>
    <w:rPr>
      <w:rFonts w:eastAsia="宋体"/>
      <w:spacing w:val="2"/>
      <w:sz w:val="24"/>
      <w:szCs w:val="24"/>
      <w:lang w:val="en-US" w:eastAsia="zh-CN" w:bidi="ar-SA"/>
    </w:rPr>
  </w:style>
  <w:style w:type="character" w:customStyle="1" w:styleId="11CharCharChar">
    <w:name w:val="标题 1.1 Char Char Char"/>
    <w:rPr>
      <w:rFonts w:ascii="黑体" w:eastAsia="黑体" w:hAnsi="宋体"/>
      <w:b/>
      <w:bCs/>
      <w:kern w:val="2"/>
      <w:sz w:val="32"/>
      <w:szCs w:val="32"/>
      <w:lang w:val="en-US" w:eastAsia="zh-CN" w:bidi="ar-SA"/>
    </w:rPr>
  </w:style>
  <w:style w:type="character" w:customStyle="1" w:styleId="f9-160-none1">
    <w:name w:val="f9-160-none1"/>
    <w:rPr>
      <w:sz w:val="18"/>
      <w:szCs w:val="18"/>
      <w:u w:val="none"/>
    </w:rPr>
  </w:style>
  <w:style w:type="character" w:customStyle="1" w:styleId="2CharCharb">
    <w:name w:val="正文文本 2 Char Char"/>
    <w:rPr>
      <w:rFonts w:ascii="宋体" w:eastAsia="宋体" w:hAnsi="Tms Rmn"/>
      <w:sz w:val="28"/>
      <w:lang w:val="en-US" w:eastAsia="zh-CN" w:bidi="ar-SA"/>
    </w:rPr>
  </w:style>
  <w:style w:type="character" w:customStyle="1" w:styleId="hb3CharChar">
    <w:name w:val="hb3 Char Char"/>
    <w:rPr>
      <w:rFonts w:ascii="宋体" w:eastAsia="宋体" w:hAnsi="宋体"/>
      <w:b/>
      <w:bCs/>
      <w:sz w:val="24"/>
      <w:szCs w:val="32"/>
      <w:lang w:val="en-US" w:eastAsia="zh-CN" w:bidi="ar-SA"/>
    </w:rPr>
  </w:style>
  <w:style w:type="character" w:customStyle="1" w:styleId="menu21">
    <w:name w:val="menu21"/>
    <w:rPr>
      <w:rFonts w:ascii="Arial" w:hAnsi="Arial"/>
      <w:sz w:val="24"/>
    </w:rPr>
  </w:style>
  <w:style w:type="character" w:customStyle="1" w:styleId="Charfffffff2">
    <w:name w:val="样式 报告书表格 + 五号 Char"/>
    <w:rPr>
      <w:rFonts w:ascii="Times New Roman" w:eastAsia="宋体" w:hAnsi="Times New Roman" w:cs="Times New Roman"/>
      <w:kern w:val="0"/>
      <w:szCs w:val="21"/>
    </w:rPr>
  </w:style>
  <w:style w:type="character" w:customStyle="1" w:styleId="Charfffffff3">
    <w:name w:val="我的正文 Char"/>
    <w:uiPriority w:val="99"/>
    <w:rPr>
      <w:rFonts w:eastAsia="宋体"/>
      <w:kern w:val="2"/>
      <w:sz w:val="28"/>
      <w:szCs w:val="24"/>
      <w:lang w:val="en-US" w:eastAsia="zh-CN" w:bidi="ar-SA"/>
    </w:rPr>
  </w:style>
  <w:style w:type="character" w:customStyle="1" w:styleId="Charfffffff4">
    <w:name w:val="首行缩进两字 Char"/>
    <w:rPr>
      <w:rFonts w:eastAsia="宋体"/>
      <w:kern w:val="2"/>
      <w:sz w:val="24"/>
      <w:lang w:val="en-US" w:eastAsia="zh-CN" w:bidi="ar-SA"/>
    </w:rPr>
  </w:style>
  <w:style w:type="character" w:customStyle="1" w:styleId="1Charf0">
    <w:name w:val="表头1 Char"/>
    <w:rPr>
      <w:rFonts w:eastAsia="宋体"/>
      <w:color w:val="000000"/>
      <w:sz w:val="24"/>
      <w:lang w:val="en-US" w:eastAsia="zh-CN" w:bidi="ar-SA"/>
    </w:rPr>
  </w:style>
  <w:style w:type="character" w:customStyle="1" w:styleId="style71">
    <w:name w:val="style71"/>
    <w:rPr>
      <w:sz w:val="21"/>
      <w:szCs w:val="21"/>
    </w:rPr>
  </w:style>
  <w:style w:type="character" w:customStyle="1" w:styleId="Charfffffff5">
    <w:name w:val="陈表头文字 Char"/>
    <w:link w:val="a1"/>
    <w:uiPriority w:val="99"/>
    <w:rPr>
      <w:rFonts w:ascii="宋体" w:hAnsi="宋体"/>
      <w:b/>
      <w:sz w:val="24"/>
      <w:szCs w:val="24"/>
    </w:rPr>
  </w:style>
  <w:style w:type="paragraph" w:customStyle="1" w:styleId="a1">
    <w:name w:val="陈表头文字"/>
    <w:basedOn w:val="a2"/>
    <w:next w:val="a2"/>
    <w:link w:val="Charfffffff5"/>
    <w:uiPriority w:val="99"/>
    <w:qFormat/>
    <w:pPr>
      <w:keepNext/>
      <w:numPr>
        <w:ilvl w:val="5"/>
        <w:numId w:val="4"/>
      </w:numPr>
      <w:spacing w:line="288" w:lineRule="auto"/>
      <w:jc w:val="center"/>
    </w:pPr>
    <w:rPr>
      <w:rFonts w:ascii="宋体" w:hAnsi="宋体"/>
      <w:b/>
      <w:sz w:val="24"/>
      <w:szCs w:val="24"/>
    </w:rPr>
  </w:style>
  <w:style w:type="character" w:customStyle="1" w:styleId="chen11CharChar">
    <w:name w:val="chen正文字体11 Char Char"/>
    <w:link w:val="chen11"/>
    <w:rPr>
      <w:rFonts w:eastAsia="宋体" w:cs="宋体"/>
      <w:color w:val="000000"/>
      <w:sz w:val="24"/>
    </w:rPr>
  </w:style>
  <w:style w:type="paragraph" w:customStyle="1" w:styleId="chen11">
    <w:name w:val="chen正文字体11"/>
    <w:basedOn w:val="a2"/>
    <w:link w:val="chen11CharChar"/>
    <w:qFormat/>
    <w:pPr>
      <w:spacing w:line="360" w:lineRule="auto"/>
      <w:ind w:firstLineChars="200" w:firstLine="480"/>
    </w:pPr>
    <w:rPr>
      <w:rFonts w:eastAsia="宋体" w:cs="宋体"/>
      <w:color w:val="000000"/>
      <w:sz w:val="24"/>
      <w:szCs w:val="22"/>
    </w:rPr>
  </w:style>
  <w:style w:type="character" w:customStyle="1" w:styleId="CharCharfff5">
    <w:name w:val="表头 Char Char"/>
    <w:link w:val="affffffff5"/>
    <w:rPr>
      <w:rFonts w:eastAsia="黑体"/>
      <w:sz w:val="24"/>
      <w:szCs w:val="24"/>
    </w:rPr>
  </w:style>
  <w:style w:type="character" w:customStyle="1" w:styleId="Charfffffff6">
    <w:name w:val="燕山正文 Char"/>
    <w:rPr>
      <w:rFonts w:ascii="宋体" w:hAnsi="宋体"/>
      <w:color w:val="000000"/>
      <w:sz w:val="24"/>
      <w:szCs w:val="28"/>
    </w:rPr>
  </w:style>
  <w:style w:type="character" w:customStyle="1" w:styleId="HTMLCharChar">
    <w:name w:val="HTML 预设格式 Char Char"/>
    <w:link w:val="HTML10"/>
    <w:rPr>
      <w:rFonts w:ascii="Courier New" w:hAnsi="Courier New"/>
    </w:rPr>
  </w:style>
  <w:style w:type="paragraph" w:customStyle="1" w:styleId="HTML10">
    <w:name w:val="HTML 预设格式1"/>
    <w:basedOn w:val="a2"/>
    <w:link w:val="HTMLCharChar"/>
    <w:qFormat/>
    <w:pPr>
      <w:jc w:val="both"/>
    </w:pPr>
    <w:rPr>
      <w:rFonts w:ascii="Courier New" w:hAnsi="Courier New"/>
      <w:szCs w:val="22"/>
    </w:rPr>
  </w:style>
  <w:style w:type="character" w:customStyle="1" w:styleId="title11">
    <w:name w:val="title11"/>
    <w:rPr>
      <w:b/>
      <w:sz w:val="23"/>
    </w:rPr>
  </w:style>
  <w:style w:type="character" w:customStyle="1" w:styleId="1ffa">
    <w:name w:val="明显参考1"/>
    <w:qFormat/>
    <w:rPr>
      <w:b/>
      <w:color w:val="auto"/>
      <w:kern w:val="2"/>
      <w:sz w:val="30"/>
      <w:szCs w:val="30"/>
    </w:rPr>
  </w:style>
  <w:style w:type="character" w:customStyle="1" w:styleId="shangbiao2">
    <w:name w:val="shangbiao2"/>
    <w:rPr>
      <w:rFonts w:ascii="Verdana" w:hAnsi="Verdana"/>
      <w:sz w:val="19"/>
      <w:vertAlign w:val="superscript"/>
    </w:rPr>
  </w:style>
  <w:style w:type="character" w:customStyle="1" w:styleId="tuChar">
    <w:name w:val="tu Char"/>
    <w:rPr>
      <w:rFonts w:eastAsia="宋体"/>
      <w:b/>
      <w:kern w:val="2"/>
      <w:sz w:val="28"/>
      <w:szCs w:val="24"/>
      <w:lang w:val="en-US" w:eastAsia="zh-CN" w:bidi="ar-SA"/>
    </w:rPr>
  </w:style>
  <w:style w:type="character" w:customStyle="1" w:styleId="3Charb">
    <w:name w:val="题3 Char"/>
    <w:link w:val="3f7"/>
    <w:rPr>
      <w:rFonts w:eastAsia="仿宋_GB2312"/>
      <w:bCs/>
      <w:sz w:val="28"/>
      <w:szCs w:val="28"/>
    </w:rPr>
  </w:style>
  <w:style w:type="paragraph" w:customStyle="1" w:styleId="3f7">
    <w:name w:val="题3"/>
    <w:basedOn w:val="32"/>
    <w:link w:val="3Charb"/>
    <w:qFormat/>
    <w:pPr>
      <w:snapToGrid w:val="0"/>
      <w:spacing w:before="120" w:after="0" w:line="360" w:lineRule="auto"/>
      <w:jc w:val="both"/>
    </w:pPr>
    <w:rPr>
      <w:rFonts w:eastAsia="仿宋_GB2312"/>
      <w:b w:val="0"/>
      <w:sz w:val="28"/>
      <w:szCs w:val="28"/>
    </w:rPr>
  </w:style>
  <w:style w:type="character" w:customStyle="1" w:styleId="CharChar232">
    <w:name w:val="Char Char232"/>
    <w:rPr>
      <w:rFonts w:eastAsia="宋体"/>
      <w:b/>
      <w:bCs/>
      <w:kern w:val="2"/>
      <w:sz w:val="28"/>
      <w:szCs w:val="28"/>
      <w:lang w:val="en-US" w:eastAsia="zh-CN" w:bidi="ar-SA"/>
    </w:rPr>
  </w:style>
  <w:style w:type="character" w:customStyle="1" w:styleId="Char4c">
    <w:name w:val="信息标题 Char4"/>
    <w:rPr>
      <w:rFonts w:ascii="Cambria" w:eastAsia="宋体" w:hAnsi="Cambria" w:cs="Times New Roman"/>
      <w:kern w:val="2"/>
      <w:sz w:val="24"/>
      <w:szCs w:val="24"/>
      <w:shd w:val="pct20" w:color="auto" w:fill="auto"/>
    </w:rPr>
  </w:style>
  <w:style w:type="character" w:customStyle="1" w:styleId="CharCharf8">
    <w:name w:val="表格内文字 Char Char"/>
    <w:link w:val="afffffa"/>
    <w:rPr>
      <w:rFonts w:ascii="仿宋_GB2312" w:eastAsia="仿宋_GB2312" w:hAnsi="宋体"/>
      <w:szCs w:val="24"/>
    </w:rPr>
  </w:style>
  <w:style w:type="character" w:customStyle="1" w:styleId="CharCharCharChar5">
    <w:name w:val="表格文本 五号 居中 单倍行距 Char Char Char Char"/>
    <w:link w:val="CharCharfffd"/>
    <w:rPr>
      <w:rFonts w:eastAsia="宋体" w:cs="宋体"/>
      <w:szCs w:val="21"/>
    </w:rPr>
  </w:style>
  <w:style w:type="paragraph" w:customStyle="1" w:styleId="CharCharfffd">
    <w:name w:val="表格文本 五号 居中 单倍行距 Char Char"/>
    <w:basedOn w:val="a2"/>
    <w:link w:val="CharCharCharChar5"/>
    <w:qFormat/>
    <w:pPr>
      <w:keepNext/>
      <w:snapToGrid w:val="0"/>
      <w:jc w:val="center"/>
      <w:textAlignment w:val="baseline"/>
    </w:pPr>
    <w:rPr>
      <w:rFonts w:eastAsia="宋体" w:cs="宋体"/>
    </w:rPr>
  </w:style>
  <w:style w:type="character" w:customStyle="1" w:styleId="SimSun41">
    <w:name w:val="正文文本 + SimSun41"/>
    <w:rPr>
      <w:rFonts w:ascii="宋体" w:eastAsia="宋体" w:cs="宋体"/>
      <w:sz w:val="21"/>
      <w:szCs w:val="21"/>
      <w:u w:val="none"/>
    </w:rPr>
  </w:style>
  <w:style w:type="character" w:customStyle="1" w:styleId="hhcwtCharChar1">
    <w:name w:val="hhcwt正文 Char Char"/>
    <w:link w:val="hhcwt2"/>
    <w:rPr>
      <w:rFonts w:eastAsia="宋体" w:cs="宋体"/>
      <w:sz w:val="24"/>
    </w:rPr>
  </w:style>
  <w:style w:type="paragraph" w:customStyle="1" w:styleId="hhcwt2">
    <w:name w:val="hhcwt正文"/>
    <w:basedOn w:val="a2"/>
    <w:link w:val="hhcwtCharChar1"/>
    <w:qFormat/>
    <w:pPr>
      <w:spacing w:line="360" w:lineRule="auto"/>
      <w:ind w:firstLineChars="200" w:firstLine="480"/>
    </w:pPr>
    <w:rPr>
      <w:rFonts w:eastAsia="宋体" w:cs="宋体"/>
      <w:sz w:val="24"/>
      <w:szCs w:val="22"/>
    </w:rPr>
  </w:style>
  <w:style w:type="character" w:customStyle="1" w:styleId="TableTitleChar3">
    <w:name w:val="Table Title Char3"/>
    <w:rPr>
      <w:rFonts w:eastAsia="宋体"/>
      <w:kern w:val="2"/>
      <w:sz w:val="24"/>
      <w:szCs w:val="24"/>
      <w:lang w:val="en-US" w:eastAsia="en-US" w:bidi="ar-SA"/>
    </w:rPr>
  </w:style>
  <w:style w:type="character" w:customStyle="1" w:styleId="Charf8">
    <w:name w:val="正文首行缩进 Char"/>
    <w:link w:val="aff9"/>
    <w:qFormat/>
    <w:rPr>
      <w:rFonts w:eastAsia="宋体"/>
      <w:szCs w:val="24"/>
    </w:rPr>
  </w:style>
  <w:style w:type="character" w:customStyle="1" w:styleId="CharCharCharCharCharCharCharCharCharCharCharCharCharCharCharCharCharChar1">
    <w:name w:val="Char Char Char Char Char Char Char Char Char Char Char Char Char Char Char Char Char Char1"/>
    <w:rPr>
      <w:rFonts w:ascii="宋体" w:eastAsia="宋体" w:hAnsi="宋体" w:cs="宋体"/>
      <w:b/>
      <w:bCs/>
      <w:color w:val="000000"/>
      <w:sz w:val="28"/>
      <w:szCs w:val="28"/>
      <w:lang w:val="en-US" w:eastAsia="zh-CN" w:bidi="ar-SA"/>
    </w:rPr>
  </w:style>
  <w:style w:type="character" w:customStyle="1" w:styleId="2Char21">
    <w:name w:val="正文首行缩进 2 Char2"/>
    <w:uiPriority w:val="99"/>
    <w:semiHidden/>
  </w:style>
  <w:style w:type="character" w:customStyle="1" w:styleId="CharCharCharCharCharCharCharCharC1Char">
    <w:name w:val="样式 正文缩进文本条款文本条款 Char Char Char Char Char Char Char Char文本条款 C...1 Char"/>
    <w:rPr>
      <w:rFonts w:eastAsia="宋体" w:cs="宋体"/>
      <w:kern w:val="2"/>
      <w:sz w:val="28"/>
      <w:lang w:val="en-US" w:eastAsia="zh-CN" w:bidi="ar-SA"/>
    </w:rPr>
  </w:style>
  <w:style w:type="character" w:customStyle="1" w:styleId="CharChar117">
    <w:name w:val="Char Char117"/>
    <w:rPr>
      <w:rFonts w:ascii="仿宋_GB2312" w:eastAsia="仿宋_GB2312"/>
      <w:b/>
      <w:bCs/>
      <w:kern w:val="44"/>
      <w:sz w:val="32"/>
      <w:szCs w:val="44"/>
      <w:lang w:val="en-US" w:eastAsia="zh-CN" w:bidi="ar-SA"/>
    </w:rPr>
  </w:style>
  <w:style w:type="character" w:customStyle="1" w:styleId="Charfffffff7">
    <w:name w:val="表头文字 Char"/>
    <w:rPr>
      <w:rFonts w:ascii="宋体" w:eastAsia="宋体" w:hAnsi="宋体"/>
      <w:b/>
      <w:bCs/>
      <w:sz w:val="21"/>
      <w:szCs w:val="28"/>
      <w:lang w:val="en-US" w:eastAsia="zh-CN" w:bidi="ar-SA"/>
    </w:rPr>
  </w:style>
  <w:style w:type="character" w:customStyle="1" w:styleId="CharChar144">
    <w:name w:val="Char Char144"/>
    <w:rPr>
      <w:rFonts w:eastAsia="宋体"/>
      <w:kern w:val="2"/>
      <w:sz w:val="21"/>
      <w:szCs w:val="24"/>
      <w:lang w:val="en-US" w:eastAsia="zh-CN" w:bidi="ar-SA"/>
    </w:rPr>
  </w:style>
  <w:style w:type="character" w:customStyle="1" w:styleId="1Charf1">
    <w:name w:val="表格标题1 Char"/>
    <w:rPr>
      <w:rFonts w:ascii="Calibri" w:eastAsia="仿宋" w:hAnsi="Calibri" w:cs="Times New Roman"/>
      <w:b/>
      <w:spacing w:val="-5"/>
      <w:kern w:val="0"/>
      <w:sz w:val="28"/>
      <w:szCs w:val="18"/>
      <w:lang w:bidi="en-US"/>
    </w:rPr>
  </w:style>
  <w:style w:type="character" w:customStyle="1" w:styleId="affffffffff0">
    <w:name w:val="样式 加粗"/>
    <w:rPr>
      <w:b/>
      <w:bCs/>
    </w:rPr>
  </w:style>
  <w:style w:type="character" w:customStyle="1" w:styleId="htmldw10292">
    <w:name w:val="htmldw10292"/>
    <w:basedOn w:val="a4"/>
  </w:style>
  <w:style w:type="character" w:customStyle="1" w:styleId="f9">
    <w:name w:val="f9"/>
  </w:style>
  <w:style w:type="character" w:customStyle="1" w:styleId="CharCharfffe">
    <w:name w:val="表格正文 Char Char"/>
    <w:link w:val="affffffffff1"/>
    <w:rPr>
      <w:rFonts w:ascii="仿宋_GB2312" w:eastAsia="仿宋_GB2312"/>
      <w:sz w:val="24"/>
    </w:rPr>
  </w:style>
  <w:style w:type="paragraph" w:customStyle="1" w:styleId="affffffffff1">
    <w:name w:val="表格正文"/>
    <w:basedOn w:val="a2"/>
    <w:link w:val="CharCharfffe"/>
    <w:qFormat/>
    <w:rPr>
      <w:rFonts w:ascii="仿宋_GB2312" w:eastAsia="仿宋_GB2312"/>
      <w:sz w:val="24"/>
      <w:szCs w:val="22"/>
    </w:rPr>
  </w:style>
  <w:style w:type="character" w:customStyle="1" w:styleId="Charfffffff8">
    <w:name w:val="报告书正文段落 Char"/>
    <w:link w:val="affffffffff2"/>
    <w:rPr>
      <w:rFonts w:cs="宋体"/>
      <w:sz w:val="24"/>
      <w:szCs w:val="24"/>
      <w:lang w:val="zh-CN"/>
    </w:rPr>
  </w:style>
  <w:style w:type="paragraph" w:customStyle="1" w:styleId="affffffffff2">
    <w:name w:val="报告书正文段落"/>
    <w:basedOn w:val="a2"/>
    <w:link w:val="Charfffffff8"/>
    <w:qFormat/>
    <w:pPr>
      <w:spacing w:line="520" w:lineRule="exact"/>
      <w:ind w:firstLineChars="200" w:firstLine="480"/>
    </w:pPr>
    <w:rPr>
      <w:rFonts w:cs="宋体"/>
      <w:sz w:val="24"/>
      <w:szCs w:val="24"/>
      <w:lang w:val="zh-CN"/>
    </w:rPr>
  </w:style>
  <w:style w:type="character" w:customStyle="1" w:styleId="px121">
    <w:name w:val="px121"/>
    <w:rPr>
      <w:spacing w:val="312"/>
    </w:rPr>
  </w:style>
  <w:style w:type="character" w:customStyle="1" w:styleId="title1">
    <w:name w:val="title1"/>
    <w:basedOn w:val="a4"/>
  </w:style>
  <w:style w:type="character" w:customStyle="1" w:styleId="CharCharChar10">
    <w:name w:val="暂定图表名 Char Char Char1"/>
    <w:link w:val="CharCharffff"/>
    <w:rPr>
      <w:rFonts w:eastAsia="楷体_GB2312"/>
      <w:b/>
      <w:color w:val="008000"/>
      <w:sz w:val="28"/>
      <w:szCs w:val="28"/>
    </w:rPr>
  </w:style>
  <w:style w:type="paragraph" w:customStyle="1" w:styleId="CharCharffff">
    <w:name w:val="暂定图表名 Char Char"/>
    <w:basedOn w:val="a2"/>
    <w:link w:val="CharCharChar10"/>
    <w:qFormat/>
    <w:pPr>
      <w:spacing w:line="360" w:lineRule="auto"/>
      <w:ind w:firstLineChars="200" w:firstLine="560"/>
      <w:jc w:val="both"/>
    </w:pPr>
    <w:rPr>
      <w:b/>
      <w:color w:val="008000"/>
      <w:szCs w:val="28"/>
    </w:rPr>
  </w:style>
  <w:style w:type="character" w:customStyle="1" w:styleId="15CharChar">
    <w:name w:val="标准文本 居中 行距1.5倍 Char Char"/>
    <w:link w:val="150"/>
    <w:rPr>
      <w:rFonts w:eastAsia="宋体" w:cs="宋体"/>
      <w:sz w:val="24"/>
      <w:szCs w:val="24"/>
    </w:rPr>
  </w:style>
  <w:style w:type="paragraph" w:customStyle="1" w:styleId="150">
    <w:name w:val="标准文本 居中 行距1.5倍"/>
    <w:basedOn w:val="a2"/>
    <w:link w:val="15CharChar"/>
    <w:qFormat/>
    <w:pPr>
      <w:spacing w:line="360" w:lineRule="auto"/>
      <w:jc w:val="center"/>
      <w:textAlignment w:val="center"/>
    </w:pPr>
    <w:rPr>
      <w:rFonts w:eastAsia="宋体" w:cs="宋体"/>
      <w:sz w:val="24"/>
      <w:szCs w:val="24"/>
    </w:rPr>
  </w:style>
  <w:style w:type="character" w:customStyle="1" w:styleId="5Char11">
    <w:name w:val="5文章(治) Char1"/>
    <w:rPr>
      <w:rFonts w:eastAsia="宋体"/>
      <w:kern w:val="2"/>
      <w:sz w:val="24"/>
      <w:lang w:val="en-US" w:eastAsia="zh-CN" w:bidi="ar-SA"/>
    </w:rPr>
  </w:style>
  <w:style w:type="character" w:customStyle="1" w:styleId="CharChar101">
    <w:name w:val="Char Char101"/>
    <w:rPr>
      <w:rFonts w:ascii="宋体" w:eastAsia="宋体" w:hAnsi="宋体" w:cs="Times New Roman" w:hint="eastAsia"/>
      <w:snapToGrid w:val="0"/>
      <w:color w:val="000000"/>
      <w:kern w:val="0"/>
      <w:sz w:val="24"/>
      <w:szCs w:val="24"/>
    </w:rPr>
  </w:style>
  <w:style w:type="character" w:customStyle="1" w:styleId="newstxt2">
    <w:name w:val="news_txt2"/>
    <w:basedOn w:val="a4"/>
  </w:style>
  <w:style w:type="character" w:customStyle="1" w:styleId="CharCharffff0">
    <w:name w:val="正文* Char Char"/>
    <w:link w:val="affffffffff3"/>
    <w:rPr>
      <w:rFonts w:hAnsi="宋体"/>
      <w:sz w:val="24"/>
      <w:szCs w:val="24"/>
    </w:rPr>
  </w:style>
  <w:style w:type="paragraph" w:customStyle="1" w:styleId="affffffffff3">
    <w:name w:val="正文*"/>
    <w:basedOn w:val="a2"/>
    <w:link w:val="CharCharffff0"/>
    <w:qFormat/>
    <w:pPr>
      <w:snapToGrid w:val="0"/>
      <w:spacing w:beforeLines="30" w:before="93" w:after="120" w:line="420" w:lineRule="exact"/>
      <w:ind w:firstLineChars="200" w:firstLine="200"/>
      <w:jc w:val="both"/>
    </w:pPr>
    <w:rPr>
      <w:rFonts w:hAnsi="宋体"/>
      <w:sz w:val="24"/>
      <w:szCs w:val="24"/>
    </w:rPr>
  </w:style>
  <w:style w:type="character" w:customStyle="1" w:styleId="DefaultChar">
    <w:name w:val="Default Char"/>
    <w:link w:val="Default"/>
    <w:rPr>
      <w:rFonts w:ascii="Arial Unicode MS" w:eastAsia="Arial Unicode MS" w:cs="Arial Unicode MS"/>
      <w:color w:val="000000"/>
      <w:sz w:val="24"/>
      <w:szCs w:val="24"/>
    </w:rPr>
  </w:style>
  <w:style w:type="paragraph" w:customStyle="1" w:styleId="Default">
    <w:name w:val="Default"/>
    <w:link w:val="DefaultChar"/>
    <w:qFormat/>
    <w:pPr>
      <w:widowControl w:val="0"/>
      <w:autoSpaceDE w:val="0"/>
      <w:autoSpaceDN w:val="0"/>
      <w:adjustRightInd w:val="0"/>
      <w:spacing w:beforeLines="50" w:before="50" w:afterLines="50" w:after="50" w:line="360" w:lineRule="auto"/>
      <w:ind w:firstLineChars="40" w:firstLine="40"/>
    </w:pPr>
    <w:rPr>
      <w:rFonts w:ascii="Arial Unicode MS" w:eastAsia="Arial Unicode MS" w:cs="Arial Unicode MS"/>
      <w:color w:val="000000"/>
      <w:kern w:val="2"/>
      <w:sz w:val="24"/>
      <w:szCs w:val="24"/>
    </w:rPr>
  </w:style>
  <w:style w:type="character" w:customStyle="1" w:styleId="2Charf1">
    <w:name w:val="2标题(治) Char"/>
    <w:link w:val="2ff0"/>
    <w:locked/>
    <w:rPr>
      <w:rFonts w:eastAsia="黑体"/>
      <w:b/>
      <w:sz w:val="32"/>
      <w:szCs w:val="30"/>
    </w:rPr>
  </w:style>
  <w:style w:type="paragraph" w:customStyle="1" w:styleId="2ff0">
    <w:name w:val="2标题(治)"/>
    <w:basedOn w:val="22"/>
    <w:link w:val="2Charf1"/>
    <w:qFormat/>
    <w:pPr>
      <w:spacing w:before="0" w:after="0" w:line="360" w:lineRule="auto"/>
      <w:jc w:val="both"/>
    </w:pPr>
    <w:rPr>
      <w:rFonts w:asciiTheme="minorHAnsi" w:eastAsia="黑体" w:hAnsiTheme="minorHAnsi" w:cstheme="minorBidi"/>
      <w:bCs w:val="0"/>
      <w:szCs w:val="30"/>
    </w:rPr>
  </w:style>
  <w:style w:type="character" w:customStyle="1" w:styleId="91Char">
    <w:name w:val="样式91 Char"/>
    <w:rPr>
      <w:rFonts w:ascii="Times New Roman" w:eastAsia="黑体" w:hAnsi="Times New Roman" w:cs="Times New Roman"/>
      <w:bCs/>
      <w:color w:val="000000"/>
      <w:kern w:val="0"/>
      <w:szCs w:val="21"/>
    </w:rPr>
  </w:style>
  <w:style w:type="character" w:customStyle="1" w:styleId="CharChar71">
    <w:name w:val="Char Char71"/>
    <w:rPr>
      <w:rFonts w:ascii="Arial" w:eastAsia="黑体" w:hAnsi="Arial"/>
      <w:sz w:val="44"/>
      <w:lang w:val="en-US" w:eastAsia="zh-CN" w:bidi="ar-SA"/>
    </w:rPr>
  </w:style>
  <w:style w:type="character" w:customStyle="1" w:styleId="m481">
    <w:name w:val="m_481"/>
  </w:style>
  <w:style w:type="character" w:customStyle="1" w:styleId="Charfffffff9">
    <w:name w:val="新正文 Char"/>
    <w:rPr>
      <w:rFonts w:ascii="仿宋_GB2312" w:eastAsia="仿宋_GB2312"/>
      <w:bCs/>
      <w:sz w:val="28"/>
      <w:lang w:val="en-US" w:eastAsia="zh-CN" w:bidi="ar-SA"/>
    </w:rPr>
  </w:style>
  <w:style w:type="character" w:customStyle="1" w:styleId="3f8">
    <w:name w:val="超链接3"/>
    <w:rPr>
      <w:color w:val="0000FF"/>
      <w:u w:val="single"/>
    </w:rPr>
  </w:style>
  <w:style w:type="character" w:customStyle="1" w:styleId="Charfffffffa">
    <w:name w:val="沁漠正文 Char"/>
    <w:link w:val="affffffffff4"/>
    <w:rPr>
      <w:sz w:val="24"/>
      <w:szCs w:val="24"/>
    </w:rPr>
  </w:style>
  <w:style w:type="paragraph" w:customStyle="1" w:styleId="affffffffff4">
    <w:name w:val="沁漠正文"/>
    <w:basedOn w:val="a2"/>
    <w:link w:val="Charfffffffa"/>
    <w:qFormat/>
    <w:pPr>
      <w:spacing w:line="360" w:lineRule="auto"/>
      <w:ind w:firstLineChars="192" w:firstLine="461"/>
      <w:jc w:val="both"/>
    </w:pPr>
    <w:rPr>
      <w:sz w:val="24"/>
      <w:szCs w:val="24"/>
    </w:rPr>
  </w:style>
  <w:style w:type="character" w:customStyle="1" w:styleId="1CharCharChar">
    <w:name w:val="段落1 Char Char Char"/>
    <w:link w:val="1Charf2"/>
    <w:rPr>
      <w:rFonts w:eastAsia="宋体"/>
      <w:spacing w:val="2"/>
      <w:sz w:val="24"/>
      <w:szCs w:val="24"/>
    </w:rPr>
  </w:style>
  <w:style w:type="paragraph" w:customStyle="1" w:styleId="1Charf2">
    <w:name w:val="段落1 Char"/>
    <w:basedOn w:val="a3"/>
    <w:link w:val="1CharCharChar"/>
    <w:qFormat/>
    <w:pPr>
      <w:widowControl/>
      <w:tabs>
        <w:tab w:val="right" w:pos="360"/>
        <w:tab w:val="left" w:pos="3060"/>
      </w:tabs>
      <w:snapToGrid w:val="0"/>
      <w:spacing w:line="440" w:lineRule="exact"/>
      <w:ind w:firstLine="488"/>
      <w:textAlignment w:val="baseline"/>
    </w:pPr>
    <w:rPr>
      <w:spacing w:val="2"/>
      <w:sz w:val="24"/>
    </w:rPr>
  </w:style>
  <w:style w:type="character" w:customStyle="1" w:styleId="CharChar34">
    <w:name w:val="Char Char34"/>
    <w:rPr>
      <w:rFonts w:eastAsia="宋体"/>
      <w:sz w:val="24"/>
      <w:lang w:val="en-US" w:eastAsia="zh-CN" w:bidi="ar-SA"/>
    </w:rPr>
  </w:style>
  <w:style w:type="character" w:customStyle="1" w:styleId="GB23121">
    <w:name w:val="样式 (中文) 仿宋_GB2312 四号"/>
    <w:rPr>
      <w:rFonts w:ascii="仿宋_GB2312" w:eastAsia="仿宋_GB2312" w:hAnsi="仿宋_GB2312"/>
      <w:sz w:val="28"/>
    </w:rPr>
  </w:style>
  <w:style w:type="character" w:customStyle="1" w:styleId="Charfffffffb">
    <w:name w:val="正文 缩进 Char"/>
    <w:link w:val="affffffffff5"/>
    <w:rPr>
      <w:sz w:val="24"/>
    </w:rPr>
  </w:style>
  <w:style w:type="paragraph" w:customStyle="1" w:styleId="affffffffff5">
    <w:name w:val="正文 缩进"/>
    <w:basedOn w:val="a2"/>
    <w:link w:val="Charfffffffb"/>
    <w:qFormat/>
    <w:pPr>
      <w:snapToGrid w:val="0"/>
      <w:spacing w:line="360" w:lineRule="auto"/>
      <w:ind w:firstLineChars="200" w:firstLine="480"/>
      <w:jc w:val="both"/>
    </w:pPr>
    <w:rPr>
      <w:sz w:val="24"/>
      <w:szCs w:val="22"/>
    </w:rPr>
  </w:style>
  <w:style w:type="character" w:customStyle="1" w:styleId="style16">
    <w:name w:val="style16"/>
  </w:style>
  <w:style w:type="character" w:customStyle="1" w:styleId="1Charf3">
    <w:name w:val="正文（1） Char"/>
    <w:link w:val="1ffb"/>
    <w:rPr>
      <w:sz w:val="28"/>
      <w:szCs w:val="28"/>
    </w:rPr>
  </w:style>
  <w:style w:type="paragraph" w:customStyle="1" w:styleId="1ffb">
    <w:name w:val="正文（1）"/>
    <w:basedOn w:val="a2"/>
    <w:link w:val="1Charf3"/>
    <w:qFormat/>
    <w:pPr>
      <w:spacing w:line="360" w:lineRule="auto"/>
      <w:jc w:val="both"/>
    </w:pPr>
    <w:rPr>
      <w:szCs w:val="28"/>
    </w:rPr>
  </w:style>
  <w:style w:type="character" w:customStyle="1" w:styleId="BBBBBBBBBBChar">
    <w:name w:val="BBBBBBBBBB Char"/>
    <w:link w:val="BBBBBBBBBB"/>
    <w:rPr>
      <w:rFonts w:hAnsi="宋体"/>
      <w:b/>
      <w:bCs/>
      <w:szCs w:val="21"/>
    </w:rPr>
  </w:style>
  <w:style w:type="paragraph" w:customStyle="1" w:styleId="BBBBBBBBBB">
    <w:name w:val="BBBBBBBBBB"/>
    <w:basedOn w:val="a2"/>
    <w:link w:val="BBBBBBBBBBChar"/>
    <w:qFormat/>
    <w:pPr>
      <w:spacing w:line="324" w:lineRule="auto"/>
      <w:jc w:val="center"/>
    </w:pPr>
    <w:rPr>
      <w:rFonts w:hAnsi="宋体"/>
      <w:b/>
      <w:bCs/>
    </w:rPr>
  </w:style>
  <w:style w:type="character" w:customStyle="1" w:styleId="3Charc">
    <w:name w:val="样式 标题 3 + 宋体 小四 Char"/>
    <w:rPr>
      <w:rFonts w:ascii="宋体" w:eastAsia="黑体" w:hAnsi="宋体"/>
      <w:kern w:val="2"/>
      <w:sz w:val="32"/>
      <w:lang w:val="en-US" w:eastAsia="zh-CN"/>
    </w:rPr>
  </w:style>
  <w:style w:type="character" w:customStyle="1" w:styleId="CharChar72">
    <w:name w:val="Char Char72"/>
    <w:rPr>
      <w:rFonts w:ascii="Arial" w:eastAsia="黑体" w:hAnsi="Arial"/>
      <w:sz w:val="44"/>
      <w:lang w:val="en-US" w:eastAsia="zh-CN" w:bidi="ar-SA"/>
    </w:rPr>
  </w:style>
  <w:style w:type="character" w:customStyle="1" w:styleId="CharCharffff1">
    <w:name w:val="一级标题 Char Char"/>
    <w:rPr>
      <w:rFonts w:ascii="黑体" w:eastAsia="黑体"/>
      <w:b/>
      <w:bCs/>
      <w:kern w:val="44"/>
      <w:sz w:val="30"/>
      <w:szCs w:val="30"/>
      <w:lang w:val="en-US" w:eastAsia="zh-CN" w:bidi="ar-SA"/>
    </w:rPr>
  </w:style>
  <w:style w:type="character" w:customStyle="1" w:styleId="CharChar310">
    <w:name w:val="Char Char310"/>
    <w:rPr>
      <w:rFonts w:ascii="Arial" w:eastAsia="MS Mincho" w:hAnsi="Arial"/>
      <w:b/>
      <w:kern w:val="2"/>
      <w:sz w:val="28"/>
      <w:u w:val="single"/>
      <w:lang w:val="en-US" w:eastAsia="ja-JP" w:bidi="ar-SA"/>
    </w:rPr>
  </w:style>
  <w:style w:type="character" w:customStyle="1" w:styleId="CharCharffff2">
    <w:name w:val="表格内容 Char Char"/>
    <w:link w:val="affffffffff6"/>
    <w:rPr>
      <w:w w:val="90"/>
      <w:sz w:val="24"/>
      <w:szCs w:val="24"/>
    </w:rPr>
  </w:style>
  <w:style w:type="paragraph" w:customStyle="1" w:styleId="affffffffff6">
    <w:name w:val="表格内容"/>
    <w:basedOn w:val="a2"/>
    <w:link w:val="CharCharffff2"/>
    <w:qFormat/>
    <w:pPr>
      <w:jc w:val="center"/>
    </w:pPr>
    <w:rPr>
      <w:w w:val="90"/>
      <w:sz w:val="24"/>
      <w:szCs w:val="24"/>
    </w:rPr>
  </w:style>
  <w:style w:type="character" w:customStyle="1" w:styleId="Charfffffffc">
    <w:name w:val="小四左齐 Char"/>
    <w:link w:val="affffffffff7"/>
    <w:rPr>
      <w:rFonts w:ascii="宋体" w:hAnsi="宋体"/>
      <w:sz w:val="24"/>
      <w:szCs w:val="24"/>
      <w:lang w:val="zh-CN"/>
    </w:rPr>
  </w:style>
  <w:style w:type="paragraph" w:customStyle="1" w:styleId="affffffffff7">
    <w:name w:val="小四左齐"/>
    <w:basedOn w:val="a2"/>
    <w:link w:val="Charfffffffc"/>
    <w:qFormat/>
    <w:pPr>
      <w:tabs>
        <w:tab w:val="left" w:pos="1440"/>
      </w:tabs>
      <w:kinsoku w:val="0"/>
      <w:overflowPunct w:val="0"/>
      <w:snapToGrid w:val="0"/>
      <w:ind w:left="2"/>
    </w:pPr>
    <w:rPr>
      <w:rFonts w:ascii="宋体" w:hAnsi="宋体"/>
      <w:sz w:val="24"/>
      <w:szCs w:val="24"/>
      <w:lang w:val="zh-CN"/>
    </w:rPr>
  </w:style>
  <w:style w:type="character" w:customStyle="1" w:styleId="CharChar90">
    <w:name w:val="Char Char9"/>
    <w:rPr>
      <w:rFonts w:ascii="宋体" w:eastAsia="宋体" w:hAnsi="Courier New"/>
      <w:sz w:val="21"/>
      <w:lang w:val="en-US" w:eastAsia="zh-CN" w:bidi="ar-SA"/>
    </w:rPr>
  </w:style>
  <w:style w:type="character" w:customStyle="1" w:styleId="m351">
    <w:name w:val="m_351"/>
  </w:style>
  <w:style w:type="character" w:customStyle="1" w:styleId="textCharCharChar">
    <w:name w:val="text Char Char Char"/>
    <w:link w:val="textChar"/>
    <w:rPr>
      <w:sz w:val="24"/>
    </w:rPr>
  </w:style>
  <w:style w:type="paragraph" w:customStyle="1" w:styleId="textChar">
    <w:name w:val="text Char"/>
    <w:basedOn w:val="a2"/>
    <w:link w:val="textCharCharChar"/>
    <w:qFormat/>
    <w:pPr>
      <w:spacing w:line="520" w:lineRule="exact"/>
      <w:ind w:firstLineChars="200" w:firstLine="200"/>
    </w:pPr>
    <w:rPr>
      <w:sz w:val="24"/>
      <w:szCs w:val="22"/>
    </w:rPr>
  </w:style>
  <w:style w:type="character" w:customStyle="1" w:styleId="Char0">
    <w:name w:val="正文缩进 Char"/>
    <w:link w:val="a3"/>
    <w:qFormat/>
    <w:rPr>
      <w:rFonts w:eastAsia="宋体"/>
      <w:szCs w:val="24"/>
    </w:rPr>
  </w:style>
  <w:style w:type="character" w:customStyle="1" w:styleId="Charfffffffd">
    <w:name w:val="表格正文 Char"/>
    <w:qFormat/>
    <w:rPr>
      <w:rFonts w:eastAsia="宋体"/>
      <w:sz w:val="24"/>
      <w:lang w:val="en-US" w:eastAsia="zh-CN" w:bidi="ar-SA"/>
    </w:rPr>
  </w:style>
  <w:style w:type="character" w:customStyle="1" w:styleId="Char3f1">
    <w:name w:val="表格标题 Char3"/>
    <w:qFormat/>
    <w:rPr>
      <w:rFonts w:eastAsia="宋体"/>
      <w:kern w:val="2"/>
      <w:sz w:val="24"/>
      <w:lang w:val="en-US" w:eastAsia="zh-CN" w:bidi="ar-SA"/>
    </w:rPr>
  </w:style>
  <w:style w:type="character" w:customStyle="1" w:styleId="11dpi1">
    <w:name w:val="11dpi1"/>
    <w:qFormat/>
    <w:rPr>
      <w:sz w:val="22"/>
      <w:szCs w:val="22"/>
    </w:rPr>
  </w:style>
  <w:style w:type="character" w:customStyle="1" w:styleId="Char10">
    <w:name w:val="脚注文本 Char1"/>
    <w:link w:val="aff3"/>
    <w:qFormat/>
    <w:rPr>
      <w:rFonts w:ascii="Arial" w:eastAsia="楷体_GB2312" w:hAnsi="Arial"/>
      <w:bCs/>
      <w:sz w:val="18"/>
      <w:szCs w:val="18"/>
    </w:rPr>
  </w:style>
  <w:style w:type="character" w:customStyle="1" w:styleId="CharChar223">
    <w:name w:val="Char Char223"/>
    <w:qFormat/>
    <w:rPr>
      <w:rFonts w:ascii="Calibri" w:eastAsia="宋体" w:hAnsi="Calibri"/>
      <w:kern w:val="2"/>
      <w:sz w:val="24"/>
      <w:lang w:val="en-US" w:eastAsia="zh-CN" w:bidi="ar-SA"/>
    </w:rPr>
  </w:style>
  <w:style w:type="character" w:customStyle="1" w:styleId="CharChar231">
    <w:name w:val="Char Char231"/>
    <w:qFormat/>
    <w:rPr>
      <w:rFonts w:ascii="宋体" w:eastAsia="宋体" w:hAnsi="宋体" w:hint="eastAsia"/>
      <w:b/>
      <w:bCs/>
      <w:kern w:val="2"/>
      <w:sz w:val="28"/>
      <w:szCs w:val="28"/>
      <w:lang w:val="en-US" w:eastAsia="zh-CN" w:bidi="ar-SA"/>
    </w:rPr>
  </w:style>
  <w:style w:type="character" w:customStyle="1" w:styleId="tpccontent">
    <w:name w:val="tpc_content"/>
    <w:basedOn w:val="a4"/>
  </w:style>
  <w:style w:type="character" w:customStyle="1" w:styleId="Char2fa">
    <w:name w:val="环评正文文字缩进（江东模板） Char2"/>
    <w:rPr>
      <w:rFonts w:ascii="华文仿宋" w:eastAsia="华文仿宋" w:hAnsi="华文仿宋"/>
      <w:color w:val="000000"/>
      <w:kern w:val="2"/>
      <w:sz w:val="24"/>
      <w:szCs w:val="24"/>
      <w:lang w:val="en-US" w:eastAsia="zh-CN" w:bidi="ar-SA"/>
    </w:rPr>
  </w:style>
  <w:style w:type="character" w:customStyle="1" w:styleId="font4">
    <w:name w:val="font4"/>
  </w:style>
  <w:style w:type="character" w:customStyle="1" w:styleId="CharCharffff3">
    <w:name w:val="江波正文 Char Char"/>
    <w:link w:val="affffffffff8"/>
    <w:rPr>
      <w:rFonts w:eastAsia="仿宋_GB2312" w:hAnsi="仿宋_GB2312"/>
      <w:sz w:val="28"/>
      <w:szCs w:val="28"/>
    </w:rPr>
  </w:style>
  <w:style w:type="paragraph" w:customStyle="1" w:styleId="affffffffff8">
    <w:name w:val="江波正文"/>
    <w:link w:val="CharCharffff3"/>
    <w:qFormat/>
    <w:pPr>
      <w:spacing w:line="360" w:lineRule="auto"/>
      <w:ind w:firstLine="480"/>
      <w:jc w:val="both"/>
    </w:pPr>
    <w:rPr>
      <w:rFonts w:eastAsia="仿宋_GB2312" w:hAnsi="仿宋_GB2312"/>
      <w:kern w:val="2"/>
      <w:sz w:val="28"/>
      <w:szCs w:val="28"/>
    </w:rPr>
  </w:style>
  <w:style w:type="character" w:customStyle="1" w:styleId="CharChar23">
    <w:name w:val="Char Char23"/>
    <w:rPr>
      <w:rFonts w:eastAsia="宋体"/>
      <w:b/>
      <w:bCs/>
      <w:kern w:val="2"/>
      <w:sz w:val="28"/>
      <w:szCs w:val="28"/>
      <w:lang w:val="en-US" w:eastAsia="zh-CN" w:bidi="ar-SA"/>
    </w:rPr>
  </w:style>
  <w:style w:type="character" w:customStyle="1" w:styleId="text251">
    <w:name w:val="text251"/>
    <w:rPr>
      <w:sz w:val="20"/>
      <w:szCs w:val="20"/>
    </w:rPr>
  </w:style>
  <w:style w:type="character" w:customStyle="1" w:styleId="zi1">
    <w:name w:val="zi1"/>
    <w:rPr>
      <w:spacing w:val="288"/>
      <w:sz w:val="21"/>
      <w:szCs w:val="21"/>
    </w:rPr>
  </w:style>
  <w:style w:type="character" w:customStyle="1" w:styleId="2CharCharc">
    <w:name w:val="题2 Char Char"/>
    <w:rPr>
      <w:bCs/>
      <w:kern w:val="2"/>
      <w:sz w:val="30"/>
      <w:szCs w:val="28"/>
    </w:rPr>
  </w:style>
  <w:style w:type="character" w:customStyle="1" w:styleId="Char4d">
    <w:name w:val="称呼 Char4"/>
    <w:rPr>
      <w:kern w:val="2"/>
      <w:sz w:val="24"/>
      <w:szCs w:val="24"/>
    </w:rPr>
  </w:style>
  <w:style w:type="character" w:customStyle="1" w:styleId="3Char10">
    <w:name w:val="正文文本缩进 3 Char1"/>
    <w:locked/>
    <w:rPr>
      <w:kern w:val="2"/>
      <w:sz w:val="28"/>
    </w:rPr>
  </w:style>
  <w:style w:type="character" w:customStyle="1" w:styleId="CharChar261">
    <w:name w:val="Char Char261"/>
    <w:rPr>
      <w:rFonts w:eastAsia="宋体"/>
      <w:b/>
      <w:kern w:val="44"/>
      <w:sz w:val="30"/>
      <w:szCs w:val="28"/>
      <w:lang w:bidi="ar-SA"/>
    </w:rPr>
  </w:style>
  <w:style w:type="character" w:customStyle="1" w:styleId="CharCharffff4">
    <w:name w:val="表头文字 Char Char"/>
    <w:link w:val="affffffffff9"/>
    <w:rPr>
      <w:rFonts w:ascii="宋体" w:hAnsi="宋体" w:cs="Arial Unicode MS"/>
      <w:bCs/>
      <w:color w:val="000000"/>
      <w:sz w:val="24"/>
      <w:szCs w:val="24"/>
    </w:rPr>
  </w:style>
  <w:style w:type="paragraph" w:customStyle="1" w:styleId="affffffffff9">
    <w:name w:val="表头文字"/>
    <w:basedOn w:val="a2"/>
    <w:link w:val="CharCharffff4"/>
    <w:qFormat/>
    <w:pPr>
      <w:spacing w:line="240" w:lineRule="atLeast"/>
      <w:jc w:val="center"/>
      <w:textAlignment w:val="baseline"/>
    </w:pPr>
    <w:rPr>
      <w:rFonts w:ascii="宋体" w:hAnsi="宋体" w:cs="Arial Unicode MS"/>
      <w:bCs/>
      <w:color w:val="000000"/>
      <w:sz w:val="24"/>
      <w:szCs w:val="24"/>
    </w:rPr>
  </w:style>
  <w:style w:type="character" w:customStyle="1" w:styleId="101TimesNewRomanCharChar">
    <w:name w:val="样式 样式 首行缩进:  1.01 厘米 + Times New Roman Char Char"/>
    <w:rPr>
      <w:rFonts w:eastAsia="宋体"/>
      <w:color w:val="000000"/>
      <w:kern w:val="2"/>
      <w:sz w:val="24"/>
      <w:szCs w:val="24"/>
      <w:lang w:val="en-US" w:eastAsia="zh-CN" w:bidi="ar-SA"/>
    </w:rPr>
  </w:style>
  <w:style w:type="character" w:customStyle="1" w:styleId="CharChar113">
    <w:name w:val="Char Char113"/>
    <w:rPr>
      <w:rFonts w:ascii="仿宋_GB2312" w:eastAsia="仿宋_GB2312" w:hAnsi="Times New Roman" w:cs="Times New Roman"/>
      <w:sz w:val="28"/>
      <w:szCs w:val="52"/>
    </w:rPr>
  </w:style>
  <w:style w:type="character" w:customStyle="1" w:styleId="3CharChar7">
    <w:name w:val="样式3 Char Char"/>
    <w:link w:val="3f9"/>
    <w:rPr>
      <w:rFonts w:ascii="黑体" w:eastAsia="楷体_GB2312"/>
      <w:b/>
      <w:sz w:val="28"/>
      <w:szCs w:val="28"/>
    </w:rPr>
  </w:style>
  <w:style w:type="paragraph" w:customStyle="1" w:styleId="3f9">
    <w:name w:val="样式3"/>
    <w:basedOn w:val="41"/>
    <w:link w:val="3CharChar7"/>
    <w:qFormat/>
    <w:pPr>
      <w:spacing w:beforeLines="0" w:before="20" w:after="20"/>
    </w:pPr>
    <w:rPr>
      <w:rFonts w:eastAsia="楷体_GB2312"/>
      <w:b/>
      <w:bCs w:val="0"/>
    </w:rPr>
  </w:style>
  <w:style w:type="character" w:customStyle="1" w:styleId="Char3f2">
    <w:name w:val="尾注文本 Char3"/>
    <w:uiPriority w:val="99"/>
    <w:semiHidden/>
  </w:style>
  <w:style w:type="character" w:customStyle="1" w:styleId="gold1">
    <w:name w:val="gold1"/>
    <w:rPr>
      <w:rFonts w:ascii="??" w:eastAsia="??" w:hAnsi="??" w:hint="eastAsia"/>
      <w:color w:val="576B2C"/>
      <w:sz w:val="20"/>
      <w:szCs w:val="20"/>
      <w:u w:val="none"/>
    </w:rPr>
  </w:style>
  <w:style w:type="character" w:customStyle="1" w:styleId="linehei1">
    <w:name w:val="linehei1"/>
    <w:rPr>
      <w:color w:val="00519C"/>
      <w:sz w:val="18"/>
      <w:szCs w:val="18"/>
      <w:u w:val="none"/>
    </w:rPr>
  </w:style>
  <w:style w:type="character" w:customStyle="1" w:styleId="HTMLChar20">
    <w:name w:val="HTML 地址 Char2"/>
    <w:uiPriority w:val="99"/>
    <w:semiHidden/>
    <w:rPr>
      <w:i/>
      <w:iCs/>
      <w:kern w:val="2"/>
      <w:sz w:val="21"/>
      <w:szCs w:val="22"/>
    </w:rPr>
  </w:style>
  <w:style w:type="character" w:customStyle="1" w:styleId="CharChar62">
    <w:name w:val="Char Char62"/>
    <w:locked/>
    <w:rPr>
      <w:rFonts w:ascii="宋体" w:eastAsia="宋体" w:hAnsi="宋体"/>
      <w:snapToGrid/>
      <w:sz w:val="18"/>
      <w:szCs w:val="18"/>
      <w:lang w:val="en-US" w:eastAsia="zh-CN" w:bidi="ar-SA"/>
    </w:rPr>
  </w:style>
  <w:style w:type="character" w:customStyle="1" w:styleId="txt1">
    <w:name w:val="txt1"/>
    <w:basedOn w:val="a4"/>
  </w:style>
  <w:style w:type="character" w:customStyle="1" w:styleId="emailstyle246">
    <w:name w:val="emailstyle246"/>
    <w:rPr>
      <w:rFonts w:ascii="Arial" w:eastAsia="宋体" w:hAnsi="Arial" w:cs="Arial" w:hint="default"/>
      <w:color w:val="000080"/>
      <w:sz w:val="18"/>
      <w:szCs w:val="20"/>
    </w:rPr>
  </w:style>
  <w:style w:type="character" w:customStyle="1" w:styleId="a141">
    <w:name w:val="a141"/>
    <w:rPr>
      <w:rFonts w:hint="default"/>
      <w:color w:val="000000"/>
      <w:spacing w:val="0"/>
      <w:sz w:val="23"/>
      <w:szCs w:val="23"/>
      <w:bdr w:val="dashed" w:sz="24" w:space="0" w:color="auto"/>
    </w:rPr>
  </w:style>
  <w:style w:type="character" w:customStyle="1" w:styleId="Char4e">
    <w:name w:val="脚注文本 Char4"/>
    <w:rPr>
      <w:kern w:val="2"/>
      <w:sz w:val="18"/>
      <w:szCs w:val="18"/>
    </w:rPr>
  </w:style>
  <w:style w:type="character" w:customStyle="1" w:styleId="CharCharCharCharChar11">
    <w:name w:val="正文文字 Char Char Char Char Char1"/>
    <w:rPr>
      <w:rFonts w:eastAsia="宋体"/>
      <w:kern w:val="2"/>
      <w:sz w:val="28"/>
      <w:lang w:val="en-US" w:eastAsia="zh-CN" w:bidi="ar-SA"/>
    </w:rPr>
  </w:style>
  <w:style w:type="character" w:customStyle="1" w:styleId="B-Char">
    <w:name w:val="B-四号正文 Char"/>
    <w:rPr>
      <w:rFonts w:ascii="Times New Roman" w:eastAsia="宋体" w:hAnsi="Times New Roman" w:cs="Times New Roman"/>
      <w:sz w:val="28"/>
      <w:szCs w:val="28"/>
    </w:rPr>
  </w:style>
  <w:style w:type="character" w:customStyle="1" w:styleId="affffffffffa">
    <w:name w:val="样式 非加宽量 / 紧缩量"/>
    <w:rPr>
      <w:rFonts w:ascii="楷体_GB2312" w:eastAsia="楷体_GB2312" w:hint="eastAsia"/>
      <w:spacing w:val="0"/>
      <w:sz w:val="28"/>
    </w:rPr>
  </w:style>
  <w:style w:type="character" w:customStyle="1" w:styleId="affffffffffb">
    <w:name w:val="样式 宋体"/>
    <w:rPr>
      <w:rFonts w:ascii="Times New Roman" w:eastAsia="宋体" w:hAnsi="Times New Roman"/>
      <w:color w:val="000000"/>
      <w:sz w:val="28"/>
      <w:szCs w:val="28"/>
      <w:u w:val="none"/>
    </w:rPr>
  </w:style>
  <w:style w:type="character" w:customStyle="1" w:styleId="m101">
    <w:name w:val="m_101"/>
  </w:style>
  <w:style w:type="character" w:customStyle="1" w:styleId="Char170">
    <w:name w:val="Char17"/>
    <w:rPr>
      <w:rFonts w:ascii="仿宋_GB2312" w:eastAsia="仿宋_GB2312" w:hint="eastAsia"/>
      <w:b/>
      <w:kern w:val="44"/>
      <w:sz w:val="32"/>
      <w:szCs w:val="44"/>
      <w:lang w:val="en-US" w:eastAsia="zh-CN" w:bidi="ar-SA"/>
    </w:rPr>
  </w:style>
  <w:style w:type="character" w:customStyle="1" w:styleId="unnamed21">
    <w:name w:val="unnamed21"/>
    <w:rPr>
      <w:color w:val="000000"/>
      <w:sz w:val="18"/>
      <w:szCs w:val="18"/>
    </w:rPr>
  </w:style>
  <w:style w:type="character" w:customStyle="1" w:styleId="Charfffffffe">
    <w:name w:val="报告表格 Char"/>
    <w:link w:val="affffffffffc"/>
    <w:rPr>
      <w:rFonts w:eastAsia="仿宋_GB2312"/>
      <w:sz w:val="28"/>
      <w:szCs w:val="21"/>
    </w:rPr>
  </w:style>
  <w:style w:type="paragraph" w:customStyle="1" w:styleId="affffffffffc">
    <w:name w:val="报告表格"/>
    <w:basedOn w:val="a2"/>
    <w:link w:val="Charfffffffe"/>
    <w:qFormat/>
    <w:pPr>
      <w:spacing w:line="400" w:lineRule="exact"/>
      <w:jc w:val="center"/>
      <w:textAlignment w:val="bottom"/>
    </w:pPr>
    <w:rPr>
      <w:rFonts w:eastAsia="仿宋_GB2312"/>
    </w:rPr>
  </w:style>
  <w:style w:type="character" w:customStyle="1" w:styleId="3Char1">
    <w:name w:val="正文文本缩进 3 Char"/>
    <w:link w:val="39"/>
    <w:rPr>
      <w:sz w:val="28"/>
    </w:rPr>
  </w:style>
  <w:style w:type="character" w:customStyle="1" w:styleId="CharCharChar8">
    <w:name w:val="表格 Char Char Char"/>
    <w:rPr>
      <w:rFonts w:ascii="宋体" w:eastAsia="宋体" w:hAnsi="宋体"/>
      <w:sz w:val="21"/>
      <w:szCs w:val="21"/>
      <w:lang w:val="en-US" w:eastAsia="zh-CN" w:bidi="ar-SA"/>
    </w:rPr>
  </w:style>
  <w:style w:type="character" w:customStyle="1" w:styleId="CharCharffff5">
    <w:name w:val="正文(首行缩进)宋旭峰 Char Char"/>
    <w:link w:val="affffffffffd"/>
    <w:rPr>
      <w:rFonts w:ascii="楷体_GB2312" w:eastAsia="楷体_GB2312" w:hAnsi="宋体" w:cs="Arial"/>
      <w:b/>
      <w:sz w:val="24"/>
      <w:szCs w:val="24"/>
    </w:rPr>
  </w:style>
  <w:style w:type="paragraph" w:customStyle="1" w:styleId="affffffffffd">
    <w:name w:val="正文(首行缩进)宋旭峰"/>
    <w:basedOn w:val="a3"/>
    <w:link w:val="CharCharffff5"/>
    <w:qFormat/>
    <w:pPr>
      <w:spacing w:line="500" w:lineRule="exact"/>
      <w:ind w:firstLine="482"/>
      <w:jc w:val="center"/>
    </w:pPr>
    <w:rPr>
      <w:rFonts w:ascii="楷体_GB2312" w:eastAsia="楷体_GB2312" w:hAnsi="宋体" w:cs="Arial"/>
      <w:b/>
      <w:sz w:val="24"/>
    </w:rPr>
  </w:style>
  <w:style w:type="character" w:customStyle="1" w:styleId="grame">
    <w:name w:val="grame"/>
    <w:rPr>
      <w:rFonts w:eastAsia="宋体"/>
      <w:kern w:val="2"/>
      <w:sz w:val="28"/>
      <w:szCs w:val="28"/>
      <w:lang w:val="en-US" w:eastAsia="zh-CN" w:bidi="ar-SA"/>
    </w:rPr>
  </w:style>
  <w:style w:type="character" w:customStyle="1" w:styleId="affffffffffe">
    <w:name w:val="链接"/>
    <w:qFormat/>
    <w:rPr>
      <w:color w:val="0000FF"/>
      <w:sz w:val="21"/>
      <w:u w:val="single" w:color="0000FF"/>
      <w:lang w:val="en-US" w:eastAsia="zh-CN"/>
    </w:rPr>
  </w:style>
  <w:style w:type="character" w:customStyle="1" w:styleId="4CharChar2">
    <w:name w:val="黄桥标题4 Char Char"/>
    <w:link w:val="4c"/>
    <w:qFormat/>
    <w:rPr>
      <w:rFonts w:eastAsia="宋体" w:cs="宋体"/>
      <w:b/>
      <w:sz w:val="24"/>
      <w:szCs w:val="24"/>
    </w:rPr>
  </w:style>
  <w:style w:type="paragraph" w:customStyle="1" w:styleId="4c">
    <w:name w:val="黄桥标题4"/>
    <w:basedOn w:val="a2"/>
    <w:link w:val="4CharChar2"/>
    <w:qFormat/>
    <w:pPr>
      <w:keepNext/>
      <w:keepLines/>
      <w:widowControl/>
      <w:spacing w:line="360" w:lineRule="auto"/>
      <w:outlineLvl w:val="3"/>
    </w:pPr>
    <w:rPr>
      <w:rFonts w:eastAsia="宋体" w:cs="宋体"/>
      <w:b/>
      <w:sz w:val="24"/>
      <w:szCs w:val="24"/>
    </w:rPr>
  </w:style>
  <w:style w:type="character" w:customStyle="1" w:styleId="11p1">
    <w:name w:val="11p1"/>
    <w:qFormat/>
    <w:rPr>
      <w:sz w:val="30"/>
      <w:szCs w:val="30"/>
    </w:rPr>
  </w:style>
  <w:style w:type="character" w:customStyle="1" w:styleId="CharChar251">
    <w:name w:val="Char Char251"/>
    <w:qFormat/>
    <w:rPr>
      <w:rFonts w:eastAsia="宋体"/>
      <w:b/>
      <w:bCs/>
      <w:iCs/>
      <w:kern w:val="2"/>
      <w:sz w:val="28"/>
      <w:szCs w:val="24"/>
      <w:lang w:bidi="ar-SA"/>
    </w:rPr>
  </w:style>
  <w:style w:type="character" w:customStyle="1" w:styleId="CharCharffff6">
    <w:name w:val="正文样式 Char Char"/>
    <w:qFormat/>
    <w:rPr>
      <w:rFonts w:ascii="宋体" w:eastAsia="宋体" w:hAnsi="宋体"/>
      <w:color w:val="000000"/>
      <w:kern w:val="2"/>
      <w:sz w:val="24"/>
      <w:szCs w:val="24"/>
      <w:lang w:val="en-US" w:eastAsia="zh-CN" w:bidi="ar-SA"/>
    </w:rPr>
  </w:style>
  <w:style w:type="character" w:customStyle="1" w:styleId="Char3f3">
    <w:name w:val="正文首行缩进 Char3"/>
    <w:uiPriority w:val="99"/>
    <w:semiHidden/>
    <w:qFormat/>
  </w:style>
  <w:style w:type="character" w:customStyle="1" w:styleId="2CharCharChar">
    <w:name w:val="正文缩进 2字符 Char Char Char"/>
    <w:qFormat/>
    <w:rPr>
      <w:rFonts w:eastAsia="仿宋_GB2312"/>
      <w:kern w:val="2"/>
      <w:sz w:val="24"/>
      <w:szCs w:val="21"/>
      <w:lang w:val="en-US" w:eastAsia="zh-CN" w:bidi="ar-SA"/>
    </w:rPr>
  </w:style>
  <w:style w:type="character" w:customStyle="1" w:styleId="1Charf4">
    <w:name w:val="表1 Char"/>
    <w:rPr>
      <w:rFonts w:ascii="宋体" w:eastAsia="宋体" w:hAnsi="宋体"/>
      <w:color w:val="000000"/>
      <w:kern w:val="2"/>
      <w:sz w:val="21"/>
      <w:szCs w:val="24"/>
      <w:lang w:val="en-US" w:eastAsia="zh-CN" w:bidi="ar-SA"/>
    </w:rPr>
  </w:style>
  <w:style w:type="character" w:customStyle="1" w:styleId="CharCharffff7">
    <w:name w:val="样式 题注 Char Char"/>
    <w:link w:val="afffffffffff"/>
    <w:rPr>
      <w:rFonts w:ascii="仿宋_GB2312" w:eastAsia="仿宋_GB2312" w:hAnsi="仿宋_GB2312" w:cs="Arial"/>
      <w:color w:val="000000"/>
      <w:sz w:val="24"/>
      <w:szCs w:val="24"/>
    </w:rPr>
  </w:style>
  <w:style w:type="paragraph" w:customStyle="1" w:styleId="afffffffffff">
    <w:name w:val="样式 题注"/>
    <w:basedOn w:val="ac"/>
    <w:link w:val="CharCharffff7"/>
    <w:qFormat/>
    <w:pPr>
      <w:spacing w:line="240" w:lineRule="atLeast"/>
      <w:jc w:val="center"/>
    </w:pPr>
    <w:rPr>
      <w:rFonts w:ascii="仿宋_GB2312" w:eastAsia="仿宋_GB2312" w:hAnsi="仿宋_GB2312" w:cs="Arial"/>
      <w:color w:val="000000"/>
      <w:sz w:val="24"/>
      <w:szCs w:val="24"/>
    </w:rPr>
  </w:style>
  <w:style w:type="character" w:customStyle="1" w:styleId="Charffffffff">
    <w:name w:val="表头 Char"/>
    <w:qFormat/>
    <w:rPr>
      <w:rFonts w:eastAsia="黑体"/>
      <w:sz w:val="24"/>
      <w:szCs w:val="24"/>
      <w:lang w:val="en-US" w:eastAsia="zh-CN" w:bidi="ar-SA"/>
    </w:rPr>
  </w:style>
  <w:style w:type="character" w:customStyle="1" w:styleId="bb1">
    <w:name w:val="bb1"/>
    <w:rPr>
      <w:color w:val="000000"/>
      <w:sz w:val="18"/>
      <w:szCs w:val="18"/>
    </w:rPr>
  </w:style>
  <w:style w:type="character" w:customStyle="1" w:styleId="CharCharffff8">
    <w:name w:val="三 Char Char"/>
    <w:link w:val="afffffffffff0"/>
    <w:rPr>
      <w:b/>
      <w:bCs/>
      <w:iCs/>
      <w:sz w:val="28"/>
      <w:szCs w:val="24"/>
    </w:rPr>
  </w:style>
  <w:style w:type="paragraph" w:customStyle="1" w:styleId="afffffffffff0">
    <w:name w:val="三"/>
    <w:basedOn w:val="32"/>
    <w:link w:val="CharCharffff8"/>
    <w:qFormat/>
    <w:pPr>
      <w:keepLines w:val="0"/>
      <w:spacing w:before="0" w:after="0" w:line="360" w:lineRule="auto"/>
    </w:pPr>
    <w:rPr>
      <w:iCs/>
      <w:sz w:val="28"/>
      <w:szCs w:val="24"/>
    </w:rPr>
  </w:style>
  <w:style w:type="character" w:customStyle="1" w:styleId="CharChar163">
    <w:name w:val="Char Char163"/>
    <w:rPr>
      <w:rFonts w:ascii="宋体" w:eastAsia="宋体" w:hAnsi="Courier New"/>
      <w:sz w:val="21"/>
      <w:lang w:val="en-US" w:eastAsia="zh-CN" w:bidi="ar-SA"/>
    </w:rPr>
  </w:style>
  <w:style w:type="character" w:customStyle="1" w:styleId="Char2fb">
    <w:name w:val="标题 Char2"/>
    <w:rPr>
      <w:rFonts w:ascii="Cambria" w:eastAsia="宋体" w:hAnsi="Cambria" w:cs="Times New Roman"/>
      <w:b/>
      <w:bCs/>
      <w:sz w:val="32"/>
      <w:szCs w:val="32"/>
    </w:rPr>
  </w:style>
  <w:style w:type="character" w:customStyle="1" w:styleId="HTMLChar40">
    <w:name w:val="HTML 地址 Char4"/>
    <w:rPr>
      <w:i/>
      <w:iCs/>
      <w:kern w:val="2"/>
      <w:sz w:val="24"/>
      <w:szCs w:val="24"/>
    </w:rPr>
  </w:style>
  <w:style w:type="character" w:customStyle="1" w:styleId="14Char">
    <w:name w:val="样式14 Char"/>
    <w:link w:val="141"/>
    <w:rPr>
      <w:rFonts w:ascii="仿宋_GB2312" w:hAnsi="仿宋_GB2312"/>
      <w:sz w:val="24"/>
      <w:szCs w:val="28"/>
    </w:rPr>
  </w:style>
  <w:style w:type="paragraph" w:customStyle="1" w:styleId="141">
    <w:name w:val="样式14"/>
    <w:basedOn w:val="41"/>
    <w:link w:val="14Char"/>
    <w:qFormat/>
    <w:pPr>
      <w:tabs>
        <w:tab w:val="left" w:pos="1247"/>
      </w:tabs>
      <w:spacing w:beforeLines="0" w:before="280" w:after="290" w:line="312" w:lineRule="auto"/>
      <w:ind w:left="964" w:rightChars="0" w:right="0" w:hanging="964"/>
    </w:pPr>
    <w:rPr>
      <w:rFonts w:ascii="仿宋_GB2312" w:eastAsiaTheme="minorEastAsia" w:hAnsi="仿宋_GB2312"/>
      <w:bCs w:val="0"/>
      <w:sz w:val="24"/>
    </w:rPr>
  </w:style>
  <w:style w:type="character" w:customStyle="1" w:styleId="CharCharffff9">
    <w:name w:val="表内文字 Char Char"/>
    <w:rPr>
      <w:rFonts w:ascii="宋体" w:eastAsia="宋体" w:hAnsi="Courier New" w:cs="Courier New"/>
      <w:sz w:val="24"/>
      <w:szCs w:val="21"/>
    </w:rPr>
  </w:style>
  <w:style w:type="character" w:customStyle="1" w:styleId="Charffffffff0">
    <w:name w:val="图目录 Char"/>
    <w:rPr>
      <w:rFonts w:ascii="宋体" w:eastAsia="宋体"/>
      <w:kern w:val="2"/>
      <w:sz w:val="21"/>
      <w:szCs w:val="24"/>
      <w:lang w:val="en-US" w:eastAsia="zh-CN" w:bidi="ar-SA"/>
    </w:rPr>
  </w:style>
  <w:style w:type="character" w:customStyle="1" w:styleId="black111">
    <w:name w:val="black111"/>
    <w:rPr>
      <w:sz w:val="22"/>
      <w:szCs w:val="22"/>
    </w:rPr>
  </w:style>
  <w:style w:type="character" w:customStyle="1" w:styleId="CharCharCharChar6">
    <w:name w:val="头 Char Char Char Char"/>
    <w:rPr>
      <w:rFonts w:eastAsia="宋体"/>
      <w:b/>
      <w:kern w:val="2"/>
      <w:sz w:val="24"/>
      <w:lang w:val="en-US" w:eastAsia="zh-CN" w:bidi="ar-SA"/>
    </w:rPr>
  </w:style>
  <w:style w:type="character" w:customStyle="1" w:styleId="132">
    <w:name w:val="标题13"/>
  </w:style>
  <w:style w:type="character" w:customStyle="1" w:styleId="12CharChar">
    <w:name w:val="样式12 Char Char"/>
    <w:link w:val="121"/>
    <w:rPr>
      <w:bCs/>
      <w:sz w:val="30"/>
      <w:szCs w:val="30"/>
    </w:rPr>
  </w:style>
  <w:style w:type="paragraph" w:customStyle="1" w:styleId="121">
    <w:name w:val="样式12"/>
    <w:basedOn w:val="100"/>
    <w:link w:val="12CharChar"/>
    <w:qFormat/>
    <w:pPr>
      <w:spacing w:before="50" w:after="50"/>
    </w:pPr>
    <w:rPr>
      <w:rFonts w:asciiTheme="minorHAnsi" w:eastAsiaTheme="minorEastAsia"/>
    </w:rPr>
  </w:style>
  <w:style w:type="paragraph" w:customStyle="1" w:styleId="100">
    <w:name w:val="样式10"/>
    <w:basedOn w:val="32"/>
    <w:qFormat/>
    <w:pPr>
      <w:snapToGrid w:val="0"/>
      <w:spacing w:before="0" w:after="0" w:line="360" w:lineRule="auto"/>
      <w:jc w:val="both"/>
    </w:pPr>
    <w:rPr>
      <w:rFonts w:ascii="Times New Roman" w:eastAsia="宋体"/>
      <w:b w:val="0"/>
      <w:sz w:val="30"/>
      <w:szCs w:val="30"/>
    </w:rPr>
  </w:style>
  <w:style w:type="character" w:customStyle="1" w:styleId="2Charf2">
    <w:name w:val="标题 2 Char"/>
    <w:uiPriority w:val="9"/>
    <w:qFormat/>
    <w:rPr>
      <w:rFonts w:eastAsia="黑体"/>
      <w:kern w:val="2"/>
      <w:sz w:val="32"/>
      <w:szCs w:val="32"/>
      <w:lang w:val="en-US" w:eastAsia="zh-CN" w:bidi="ar-SA"/>
    </w:rPr>
  </w:style>
  <w:style w:type="character" w:customStyle="1" w:styleId="CharChar171">
    <w:name w:val="Char Char171"/>
    <w:rPr>
      <w:sz w:val="18"/>
      <w:szCs w:val="18"/>
    </w:rPr>
  </w:style>
  <w:style w:type="character" w:customStyle="1" w:styleId="CharCharffffa">
    <w:name w:val="章 Char Char"/>
    <w:rPr>
      <w:rFonts w:ascii="黑体" w:eastAsia="黑体"/>
      <w:b/>
      <w:bCs/>
      <w:kern w:val="44"/>
      <w:sz w:val="32"/>
      <w:szCs w:val="44"/>
      <w:lang w:val="en-US" w:eastAsia="zh-CN" w:bidi="ar-SA"/>
    </w:rPr>
  </w:style>
  <w:style w:type="character" w:customStyle="1" w:styleId="3Chard">
    <w:name w:val="样式3 Char"/>
    <w:rPr>
      <w:rFonts w:ascii="Arial" w:eastAsia="黑体" w:hAnsi="Arial" w:cs="Times New Roman"/>
      <w:color w:val="000000"/>
      <w:sz w:val="30"/>
      <w:szCs w:val="20"/>
    </w:rPr>
  </w:style>
  <w:style w:type="character" w:customStyle="1" w:styleId="textnew1">
    <w:name w:val="text_new1"/>
    <w:rPr>
      <w:color w:val="000000"/>
      <w:spacing w:val="15"/>
      <w:sz w:val="21"/>
      <w:szCs w:val="21"/>
      <w:u w:val="none"/>
    </w:rPr>
  </w:style>
  <w:style w:type="character" w:customStyle="1" w:styleId="bodyfont1">
    <w:name w:val="bodyfont1"/>
    <w:rPr>
      <w:sz w:val="17"/>
      <w:szCs w:val="17"/>
    </w:rPr>
  </w:style>
  <w:style w:type="character" w:customStyle="1" w:styleId="CharChar193">
    <w:name w:val="Char Char193"/>
    <w:rPr>
      <w:snapToGrid/>
      <w:sz w:val="24"/>
    </w:rPr>
  </w:style>
  <w:style w:type="character" w:customStyle="1" w:styleId="7878152CharChar1">
    <w:name w:val="样式 样式 小四 段前: 7.8 磅 段后: 7.8 磅 行距: 1.5 倍行距 + 首行缩进:  2 字符 Char Char1"/>
    <w:link w:val="7878152"/>
    <w:rPr>
      <w:rFonts w:cs="Arial"/>
      <w:sz w:val="24"/>
      <w:szCs w:val="24"/>
    </w:rPr>
  </w:style>
  <w:style w:type="paragraph" w:customStyle="1" w:styleId="7878152">
    <w:name w:val="样式 样式 小四 段前: 7.8 磅 段后: 7.8 磅 行距: 1.5 倍行距 + 首行缩进:  2 字符"/>
    <w:basedOn w:val="a2"/>
    <w:link w:val="7878152CharChar1"/>
    <w:pPr>
      <w:autoSpaceDE/>
      <w:autoSpaceDN/>
      <w:adjustRightInd/>
      <w:spacing w:line="360" w:lineRule="auto"/>
      <w:ind w:firstLineChars="200" w:firstLine="640"/>
    </w:pPr>
    <w:rPr>
      <w:rFonts w:cs="Arial"/>
      <w:sz w:val="24"/>
      <w:szCs w:val="24"/>
    </w:rPr>
  </w:style>
  <w:style w:type="character" w:customStyle="1" w:styleId="CharCharffffb">
    <w:name w:val="图标准 Char Char"/>
    <w:link w:val="afffffffffff1"/>
    <w:rPr>
      <w:rFonts w:ascii="仿宋_GB2312" w:eastAsia="黑体"/>
      <w:b/>
      <w:spacing w:val="4"/>
      <w:sz w:val="24"/>
      <w:szCs w:val="28"/>
    </w:rPr>
  </w:style>
  <w:style w:type="paragraph" w:customStyle="1" w:styleId="afffffffffff1">
    <w:name w:val="图标准"/>
    <w:basedOn w:val="a2"/>
    <w:link w:val="CharCharffffb"/>
    <w:qFormat/>
    <w:pPr>
      <w:tabs>
        <w:tab w:val="left" w:pos="0"/>
      </w:tabs>
      <w:snapToGrid w:val="0"/>
      <w:spacing w:beforeLines="100" w:before="312" w:line="360" w:lineRule="auto"/>
      <w:ind w:firstLine="562"/>
      <w:jc w:val="center"/>
    </w:pPr>
    <w:rPr>
      <w:rFonts w:ascii="仿宋_GB2312" w:eastAsia="黑体"/>
      <w:b/>
      <w:spacing w:val="4"/>
      <w:sz w:val="24"/>
      <w:szCs w:val="28"/>
    </w:rPr>
  </w:style>
  <w:style w:type="character" w:customStyle="1" w:styleId="123">
    <w:name w:val="超链接12"/>
    <w:rPr>
      <w:color w:val="0000FF"/>
      <w:u w:val="single"/>
    </w:rPr>
  </w:style>
  <w:style w:type="character" w:customStyle="1" w:styleId="style101">
    <w:name w:val="style101"/>
    <w:rPr>
      <w:sz w:val="16"/>
      <w:szCs w:val="16"/>
    </w:rPr>
  </w:style>
  <w:style w:type="character" w:customStyle="1" w:styleId="hj1">
    <w:name w:val="hj1"/>
    <w:rPr>
      <w:spacing w:val="375"/>
    </w:rPr>
  </w:style>
  <w:style w:type="character" w:customStyle="1" w:styleId="6Char11">
    <w:name w:val="6表(图)头(治) Char1"/>
    <w:link w:val="67"/>
    <w:rPr>
      <w:rFonts w:ascii="仿宋_GB2312" w:eastAsia="仿宋_GB2312"/>
      <w:b/>
      <w:sz w:val="24"/>
      <w:szCs w:val="24"/>
    </w:rPr>
  </w:style>
  <w:style w:type="paragraph" w:customStyle="1" w:styleId="67">
    <w:name w:val="6表(图)头(治)"/>
    <w:next w:val="a2"/>
    <w:link w:val="6Char11"/>
    <w:qFormat/>
    <w:pPr>
      <w:widowControl w:val="0"/>
      <w:spacing w:beforeLines="50" w:before="50" w:afterLines="50" w:after="50" w:line="360" w:lineRule="auto"/>
      <w:ind w:firstLineChars="40" w:firstLine="40"/>
      <w:jc w:val="center"/>
    </w:pPr>
    <w:rPr>
      <w:rFonts w:ascii="仿宋_GB2312" w:eastAsia="仿宋_GB2312"/>
      <w:b/>
      <w:kern w:val="2"/>
      <w:sz w:val="24"/>
      <w:szCs w:val="24"/>
    </w:rPr>
  </w:style>
  <w:style w:type="character" w:customStyle="1" w:styleId="1CharChar9">
    <w:name w:val="正文1 Char Char"/>
    <w:link w:val="1ffc"/>
    <w:qFormat/>
    <w:rPr>
      <w:rFonts w:ascii="仿宋_GB2312" w:eastAsia="仿宋_GB2312"/>
      <w:color w:val="000000"/>
      <w:sz w:val="28"/>
      <w:szCs w:val="28"/>
    </w:rPr>
  </w:style>
  <w:style w:type="paragraph" w:customStyle="1" w:styleId="1ffc">
    <w:name w:val="正文1"/>
    <w:basedOn w:val="a2"/>
    <w:link w:val="1CharChar9"/>
    <w:qFormat/>
    <w:rPr>
      <w:rFonts w:ascii="仿宋_GB2312" w:eastAsia="仿宋_GB2312"/>
      <w:color w:val="000000"/>
      <w:szCs w:val="28"/>
    </w:rPr>
  </w:style>
  <w:style w:type="character" w:customStyle="1" w:styleId="unnamed111">
    <w:name w:val="unnamed111"/>
    <w:qFormat/>
    <w:rPr>
      <w:sz w:val="18"/>
      <w:szCs w:val="18"/>
    </w:rPr>
  </w:style>
  <w:style w:type="character" w:customStyle="1" w:styleId="cucd-0Char">
    <w:name w:val="cucd-0 Char"/>
    <w:link w:val="cucd-0"/>
    <w:qFormat/>
    <w:rPr>
      <w:sz w:val="24"/>
      <w:szCs w:val="24"/>
    </w:rPr>
  </w:style>
  <w:style w:type="paragraph" w:customStyle="1" w:styleId="cucd-0">
    <w:name w:val="cucd-0"/>
    <w:link w:val="cucd-0Char"/>
    <w:pPr>
      <w:spacing w:line="360" w:lineRule="auto"/>
      <w:ind w:firstLineChars="200" w:firstLine="480"/>
      <w:jc w:val="both"/>
    </w:pPr>
    <w:rPr>
      <w:kern w:val="2"/>
      <w:sz w:val="24"/>
      <w:szCs w:val="24"/>
    </w:rPr>
  </w:style>
  <w:style w:type="character" w:customStyle="1" w:styleId="afffffffffff2">
    <w:name w:val="表（正文）"/>
    <w:qFormat/>
    <w:rPr>
      <w:rFonts w:eastAsia="宋体"/>
      <w:sz w:val="24"/>
      <w:szCs w:val="24"/>
    </w:rPr>
  </w:style>
  <w:style w:type="character" w:customStyle="1" w:styleId="217Char">
    <w:name w:val="样式 样式 样式 首行缩进:  2 字符 + 居中 + 行距: 固定值 17 磅 Char"/>
    <w:link w:val="217"/>
    <w:qFormat/>
    <w:rPr>
      <w:rFonts w:cs="宋体"/>
      <w:color w:val="000000"/>
    </w:rPr>
  </w:style>
  <w:style w:type="paragraph" w:customStyle="1" w:styleId="217">
    <w:name w:val="样式 样式 样式 首行缩进:  2 字符 + 居中 + 行距: 固定值 17 磅"/>
    <w:basedOn w:val="a2"/>
    <w:link w:val="217Char"/>
    <w:pPr>
      <w:snapToGrid w:val="0"/>
      <w:spacing w:line="340" w:lineRule="exact"/>
      <w:jc w:val="center"/>
    </w:pPr>
    <w:rPr>
      <w:rFonts w:cs="宋体"/>
      <w:color w:val="000000"/>
      <w:szCs w:val="22"/>
    </w:rPr>
  </w:style>
  <w:style w:type="character" w:customStyle="1" w:styleId="3Char21">
    <w:name w:val="正文文本 3 Char2"/>
    <w:qFormat/>
    <w:rPr>
      <w:rFonts w:ascii="Times New Roman" w:eastAsia="宋体" w:hAnsi="Times New Roman" w:cs="Times New Roman"/>
      <w:sz w:val="16"/>
      <w:szCs w:val="16"/>
    </w:rPr>
  </w:style>
  <w:style w:type="character" w:customStyle="1" w:styleId="2CharCharCharCharChar2">
    <w:name w:val="标题 2 Char Char Char Char Char2"/>
    <w:rPr>
      <w:rFonts w:ascii="宋体" w:eastAsia="宋体" w:hAnsi="宋体"/>
      <w:b/>
      <w:bCs/>
      <w:kern w:val="2"/>
      <w:sz w:val="32"/>
      <w:szCs w:val="32"/>
      <w:lang w:val="en-US" w:eastAsia="zh-CN" w:bidi="ar-SA"/>
    </w:rPr>
  </w:style>
  <w:style w:type="character" w:customStyle="1" w:styleId="CharChar234">
    <w:name w:val="Char Char234"/>
    <w:rPr>
      <w:rFonts w:eastAsia="宋体"/>
      <w:b/>
      <w:bCs/>
      <w:kern w:val="2"/>
      <w:sz w:val="28"/>
      <w:szCs w:val="28"/>
      <w:lang w:val="en-US" w:eastAsia="zh-CN" w:bidi="ar-SA"/>
    </w:rPr>
  </w:style>
  <w:style w:type="character" w:customStyle="1" w:styleId="1Charf5">
    <w:name w:val="页眉1 Char"/>
    <w:rPr>
      <w:rFonts w:eastAsia="宋体"/>
      <w:kern w:val="2"/>
      <w:sz w:val="18"/>
      <w:szCs w:val="18"/>
      <w:lang w:val="en-US" w:eastAsia="zh-CN" w:bidi="ar-SA"/>
    </w:rPr>
  </w:style>
  <w:style w:type="character" w:customStyle="1" w:styleId="1CharCharChar0">
    <w:name w:val="标题 1 Char Char Char"/>
    <w:rPr>
      <w:rFonts w:ascii="黑体" w:eastAsia="黑体"/>
      <w:kern w:val="2"/>
      <w:sz w:val="30"/>
      <w:lang w:val="en-US" w:eastAsia="zh-CN" w:bidi="ar-SA"/>
    </w:rPr>
  </w:style>
  <w:style w:type="character" w:customStyle="1" w:styleId="Charffffffff1">
    <w:name w:val="文章正文 Char"/>
    <w:link w:val="afffffffffff3"/>
    <w:rPr>
      <w:rFonts w:ascii="宋体" w:hAnsi="宋体"/>
      <w:sz w:val="24"/>
      <w:szCs w:val="24"/>
    </w:rPr>
  </w:style>
  <w:style w:type="paragraph" w:customStyle="1" w:styleId="afffffffffff3">
    <w:name w:val="文章正文"/>
    <w:basedOn w:val="a2"/>
    <w:link w:val="Charffffffff1"/>
    <w:qFormat/>
    <w:pPr>
      <w:spacing w:beforeLines="50" w:before="156" w:afterLines="50" w:after="156" w:line="360" w:lineRule="auto"/>
      <w:ind w:firstLineChars="200" w:firstLine="480"/>
      <w:jc w:val="both"/>
    </w:pPr>
    <w:rPr>
      <w:rFonts w:ascii="宋体" w:hAnsi="宋体"/>
      <w:sz w:val="24"/>
      <w:szCs w:val="24"/>
    </w:rPr>
  </w:style>
  <w:style w:type="character" w:customStyle="1" w:styleId="hhcwt4CharChar">
    <w:name w:val="hhcwt标题4 Char Char"/>
    <w:link w:val="hhcwt4"/>
    <w:rPr>
      <w:rFonts w:eastAsia="宋体" w:cs="宋体"/>
      <w:bCs/>
      <w:sz w:val="24"/>
    </w:rPr>
  </w:style>
  <w:style w:type="paragraph" w:customStyle="1" w:styleId="hhcwt4">
    <w:name w:val="hhcwt标题4"/>
    <w:basedOn w:val="41"/>
    <w:link w:val="hhcwt4CharChar"/>
    <w:qFormat/>
    <w:rPr>
      <w:rFonts w:asciiTheme="minorHAnsi" w:eastAsia="宋体" w:cs="宋体"/>
      <w:sz w:val="24"/>
      <w:szCs w:val="22"/>
    </w:rPr>
  </w:style>
  <w:style w:type="character" w:customStyle="1" w:styleId="CharCharffffc">
    <w:name w:val="宋体 四号 Char Char"/>
    <w:link w:val="afffffffffff4"/>
    <w:rPr>
      <w:rFonts w:cs="宋体"/>
      <w:sz w:val="28"/>
      <w:szCs w:val="28"/>
    </w:rPr>
  </w:style>
  <w:style w:type="paragraph" w:customStyle="1" w:styleId="afffffffffff4">
    <w:name w:val="宋体 四号"/>
    <w:basedOn w:val="a2"/>
    <w:link w:val="CharCharffffc"/>
    <w:qFormat/>
    <w:pPr>
      <w:spacing w:beforeLines="50" w:before="156" w:afterLines="50" w:after="156" w:line="300" w:lineRule="auto"/>
      <w:ind w:firstLineChars="200" w:firstLine="200"/>
    </w:pPr>
    <w:rPr>
      <w:rFonts w:cs="宋体"/>
      <w:szCs w:val="28"/>
    </w:rPr>
  </w:style>
  <w:style w:type="character" w:customStyle="1" w:styleId="m341">
    <w:name w:val="m_341"/>
  </w:style>
  <w:style w:type="character" w:customStyle="1" w:styleId="css-text3">
    <w:name w:val="css-text3"/>
  </w:style>
  <w:style w:type="character" w:customStyle="1" w:styleId="p14b1">
    <w:name w:val="p14b1"/>
    <w:rPr>
      <w:rFonts w:ascii="宋体" w:eastAsia="宋体" w:hAnsi="宋体" w:hint="eastAsia"/>
      <w:color w:val="000000"/>
      <w:sz w:val="28"/>
      <w:szCs w:val="28"/>
    </w:rPr>
  </w:style>
  <w:style w:type="character" w:customStyle="1" w:styleId="2ff1">
    <w:name w:val="已访问的超链接2"/>
    <w:rPr>
      <w:color w:val="800080"/>
      <w:u w:val="single"/>
    </w:rPr>
  </w:style>
  <w:style w:type="character" w:customStyle="1" w:styleId="00-Char">
    <w:name w:val="00-正文 Char"/>
    <w:link w:val="00-"/>
    <w:rPr>
      <w:sz w:val="24"/>
      <w:szCs w:val="24"/>
    </w:rPr>
  </w:style>
  <w:style w:type="paragraph" w:customStyle="1" w:styleId="00-">
    <w:name w:val="00-正文"/>
    <w:basedOn w:val="a2"/>
    <w:link w:val="00-Char"/>
    <w:qFormat/>
    <w:pPr>
      <w:autoSpaceDE/>
      <w:autoSpaceDN/>
      <w:spacing w:line="360" w:lineRule="auto"/>
      <w:ind w:firstLineChars="200" w:firstLine="480"/>
      <w:jc w:val="both"/>
      <w:textAlignment w:val="baseline"/>
    </w:pPr>
    <w:rPr>
      <w:sz w:val="24"/>
      <w:szCs w:val="24"/>
    </w:rPr>
  </w:style>
  <w:style w:type="character" w:customStyle="1" w:styleId="CharChar41">
    <w:name w:val="Char Char41"/>
    <w:rPr>
      <w:rFonts w:ascii="Arial" w:eastAsia="黑体" w:hAnsi="Arial" w:cs="Arial"/>
      <w:b/>
      <w:bCs/>
      <w:kern w:val="2"/>
      <w:sz w:val="32"/>
      <w:szCs w:val="32"/>
      <w:lang w:val="en-US" w:eastAsia="zh-CN"/>
    </w:rPr>
  </w:style>
  <w:style w:type="character" w:customStyle="1" w:styleId="13ArialUnicodeMS7">
    <w:name w:val="正文文本 (13) + Arial Unicode MS7"/>
    <w:rPr>
      <w:rFonts w:ascii="Arial Unicode MS" w:eastAsia="Arial Unicode MS" w:cs="Arial Unicode MS"/>
      <w:sz w:val="27"/>
      <w:szCs w:val="27"/>
      <w:u w:val="none"/>
      <w:lang w:val="en-US" w:eastAsia="en-US"/>
    </w:rPr>
  </w:style>
  <w:style w:type="character" w:customStyle="1" w:styleId="00-0">
    <w:name w:val="00-插图 字符"/>
    <w:link w:val="00-1"/>
    <w:rPr>
      <w:rFonts w:eastAsia="仿宋"/>
      <w:b/>
      <w:sz w:val="24"/>
      <w:szCs w:val="24"/>
    </w:rPr>
  </w:style>
  <w:style w:type="paragraph" w:customStyle="1" w:styleId="00-1">
    <w:name w:val="00-插图"/>
    <w:basedOn w:val="afffffffff0"/>
    <w:link w:val="00-0"/>
    <w:qFormat/>
    <w:pPr>
      <w:autoSpaceDE/>
      <w:autoSpaceDN/>
      <w:snapToGrid w:val="0"/>
      <w:ind w:firstLineChars="0" w:firstLine="0"/>
      <w:jc w:val="center"/>
      <w:textAlignment w:val="baseline"/>
    </w:pPr>
    <w:rPr>
      <w:rFonts w:asciiTheme="minorHAnsi" w:eastAsia="仿宋" w:hAnsiTheme="minorHAnsi"/>
      <w:b/>
      <w:szCs w:val="24"/>
    </w:rPr>
  </w:style>
  <w:style w:type="character" w:customStyle="1" w:styleId="114">
    <w:name w:val="页码11"/>
  </w:style>
  <w:style w:type="character" w:customStyle="1" w:styleId="Char3f4">
    <w:name w:val="批注主题 Char3"/>
    <w:uiPriority w:val="99"/>
    <w:semiHidden/>
    <w:rPr>
      <w:b/>
      <w:bCs/>
      <w:kern w:val="2"/>
      <w:sz w:val="21"/>
      <w:szCs w:val="22"/>
    </w:rPr>
  </w:style>
  <w:style w:type="character" w:customStyle="1" w:styleId="2Charf3">
    <w:name w:val="样式 报告正文 + 首行缩进:  2 字符 Char"/>
    <w:link w:val="2ff2"/>
    <w:rPr>
      <w:rFonts w:cs="宋体"/>
      <w:sz w:val="24"/>
    </w:rPr>
  </w:style>
  <w:style w:type="paragraph" w:customStyle="1" w:styleId="2ff2">
    <w:name w:val="样式 报告正文 + 首行缩进:  2 字符"/>
    <w:basedOn w:val="a2"/>
    <w:link w:val="2Charf3"/>
    <w:qFormat/>
    <w:pPr>
      <w:spacing w:line="360" w:lineRule="auto"/>
      <w:ind w:firstLineChars="200" w:firstLine="200"/>
      <w:jc w:val="both"/>
    </w:pPr>
    <w:rPr>
      <w:rFonts w:cs="宋体"/>
      <w:sz w:val="24"/>
      <w:szCs w:val="22"/>
    </w:rPr>
  </w:style>
  <w:style w:type="character" w:customStyle="1" w:styleId="3Char11">
    <w:name w:val="正文文本 3 Char1"/>
    <w:locked/>
    <w:rPr>
      <w:kern w:val="2"/>
      <w:sz w:val="16"/>
    </w:rPr>
  </w:style>
  <w:style w:type="character" w:customStyle="1" w:styleId="caption1Char">
    <w:name w:val="caption1 Char"/>
    <w:link w:val="caption1"/>
    <w:rPr>
      <w:rFonts w:ascii="宋体"/>
      <w:sz w:val="24"/>
    </w:rPr>
  </w:style>
  <w:style w:type="paragraph" w:customStyle="1" w:styleId="caption1">
    <w:name w:val="caption1"/>
    <w:basedOn w:val="a2"/>
    <w:next w:val="a2"/>
    <w:link w:val="caption1Char"/>
    <w:qFormat/>
    <w:pPr>
      <w:spacing w:line="360" w:lineRule="atLeast"/>
      <w:jc w:val="center"/>
      <w:textAlignment w:val="baseline"/>
    </w:pPr>
    <w:rPr>
      <w:rFonts w:ascii="宋体"/>
      <w:sz w:val="24"/>
      <w:szCs w:val="22"/>
    </w:rPr>
  </w:style>
  <w:style w:type="character" w:customStyle="1" w:styleId="CharChar221">
    <w:name w:val="Char Char221"/>
    <w:rPr>
      <w:rFonts w:ascii="Calibri" w:eastAsia="宋体" w:hAnsi="Calibri" w:hint="default"/>
      <w:kern w:val="2"/>
      <w:sz w:val="24"/>
      <w:lang w:val="en-US" w:eastAsia="zh-CN" w:bidi="ar-SA"/>
    </w:rPr>
  </w:style>
  <w:style w:type="character" w:customStyle="1" w:styleId="CharCharCharCharCharCharCharCharCharCharCharCharCharCharCharCharCharChar">
    <w:name w:val="Char Char Char Char Char Char Char Char Char Char Char Char Char Char Char Char Char Char"/>
    <w:rPr>
      <w:rFonts w:ascii="宋体" w:eastAsia="宋体" w:hAnsi="宋体" w:cs="宋体"/>
      <w:b/>
      <w:bCs/>
      <w:color w:val="000000"/>
      <w:sz w:val="28"/>
      <w:szCs w:val="28"/>
      <w:lang w:val="en-US" w:eastAsia="zh-CN" w:bidi="ar-SA"/>
    </w:rPr>
  </w:style>
  <w:style w:type="character" w:customStyle="1" w:styleId="apple-converted-space">
    <w:name w:val="apple-converted-space"/>
  </w:style>
  <w:style w:type="character" w:customStyle="1" w:styleId="1CharChar1Char">
    <w:name w:val="正文样式1 Char Char1 Char"/>
    <w:rPr>
      <w:snapToGrid w:val="0"/>
      <w:position w:val="-12"/>
      <w:sz w:val="24"/>
      <w:szCs w:val="24"/>
    </w:rPr>
  </w:style>
  <w:style w:type="character" w:customStyle="1" w:styleId="tcnt3">
    <w:name w:val="tcnt3"/>
    <w:basedOn w:val="a4"/>
  </w:style>
  <w:style w:type="character" w:customStyle="1" w:styleId="CharCharffffd">
    <w:name w:val="表文 Char Char"/>
    <w:link w:val="afffffffffff5"/>
    <w:rPr>
      <w:sz w:val="24"/>
    </w:rPr>
  </w:style>
  <w:style w:type="paragraph" w:customStyle="1" w:styleId="afffffffffff5">
    <w:name w:val="表文"/>
    <w:basedOn w:val="a2"/>
    <w:link w:val="CharCharffffd"/>
    <w:qFormat/>
    <w:pPr>
      <w:jc w:val="center"/>
      <w:textAlignment w:val="baseline"/>
    </w:pPr>
    <w:rPr>
      <w:sz w:val="24"/>
      <w:szCs w:val="22"/>
    </w:rPr>
  </w:style>
  <w:style w:type="character" w:customStyle="1" w:styleId="CharChar74">
    <w:name w:val="Char Char74"/>
    <w:rPr>
      <w:rFonts w:ascii="Arial" w:eastAsia="黑体" w:hAnsi="Arial"/>
      <w:sz w:val="44"/>
      <w:lang w:val="en-US" w:eastAsia="zh-CN" w:bidi="ar-SA"/>
    </w:rPr>
  </w:style>
  <w:style w:type="character" w:customStyle="1" w:styleId="CharCharffffe">
    <w:name w:val="标题三 Char Char"/>
    <w:link w:val="afffffffffff6"/>
    <w:rPr>
      <w:rFonts w:ascii="Arial" w:eastAsia="黑体" w:hAnsi="Arial"/>
      <w:b/>
      <w:sz w:val="28"/>
    </w:rPr>
  </w:style>
  <w:style w:type="paragraph" w:customStyle="1" w:styleId="afffffffffff6">
    <w:name w:val="标题三"/>
    <w:basedOn w:val="32"/>
    <w:link w:val="CharCharffffe"/>
    <w:qFormat/>
    <w:pPr>
      <w:spacing w:before="120" w:after="0" w:line="360" w:lineRule="auto"/>
      <w:contextualSpacing/>
      <w:jc w:val="both"/>
    </w:pPr>
    <w:rPr>
      <w:rFonts w:eastAsia="黑体" w:hAnsi="Arial"/>
      <w:bCs w:val="0"/>
      <w:sz w:val="28"/>
      <w:szCs w:val="22"/>
    </w:rPr>
  </w:style>
  <w:style w:type="character" w:customStyle="1" w:styleId="7Char1">
    <w:name w:val="标题 7 Char1"/>
    <w:rPr>
      <w:rFonts w:ascii="宋体" w:hAnsi="宋体" w:cs="宋体"/>
      <w:b/>
      <w:bCs/>
      <w:sz w:val="24"/>
      <w:szCs w:val="24"/>
    </w:rPr>
  </w:style>
  <w:style w:type="character" w:customStyle="1" w:styleId="3CharChar12">
    <w:name w:val="标题 3 Char Char12"/>
    <w:rPr>
      <w:rFonts w:ascii="宋体" w:eastAsia="宋体" w:hAnsi="宋体" w:hint="eastAsia"/>
      <w:b/>
      <w:bCs/>
      <w:kern w:val="2"/>
      <w:sz w:val="32"/>
      <w:szCs w:val="32"/>
      <w:lang w:val="en-US" w:eastAsia="zh-CN" w:bidi="ar-SA"/>
    </w:rPr>
  </w:style>
  <w:style w:type="character" w:customStyle="1" w:styleId="style41">
    <w:name w:val="style41"/>
    <w:rPr>
      <w:b/>
      <w:bCs/>
      <w:sz w:val="21"/>
      <w:szCs w:val="21"/>
    </w:rPr>
  </w:style>
  <w:style w:type="character" w:customStyle="1" w:styleId="3CharChar8">
    <w:name w:val="样式 标题 3 + 加粗 Char Char"/>
    <w:rPr>
      <w:rFonts w:eastAsia="宋体"/>
      <w:b/>
      <w:bCs/>
      <w:snapToGrid w:val="0"/>
      <w:spacing w:val="20"/>
      <w:sz w:val="24"/>
      <w:szCs w:val="24"/>
      <w:lang w:val="en-US" w:eastAsia="zh-CN" w:bidi="ar-SA"/>
    </w:rPr>
  </w:style>
  <w:style w:type="character" w:customStyle="1" w:styleId="CharChar118">
    <w:name w:val="Char Char118"/>
    <w:link w:val="Char190"/>
    <w:rPr>
      <w:rFonts w:eastAsia="宋体"/>
      <w:szCs w:val="21"/>
    </w:rPr>
  </w:style>
  <w:style w:type="paragraph" w:customStyle="1" w:styleId="Char190">
    <w:name w:val="Char19"/>
    <w:basedOn w:val="a2"/>
    <w:link w:val="CharChar118"/>
    <w:qFormat/>
    <w:rPr>
      <w:rFonts w:eastAsia="宋体"/>
    </w:rPr>
  </w:style>
  <w:style w:type="character" w:customStyle="1" w:styleId="APMingLiUCharChar">
    <w:name w:val="样式 正文A + (中文) PMingLiU Char Char"/>
    <w:rPr>
      <w:rFonts w:ascii="宋体" w:eastAsia="宋体" w:hAnsi="宋体" w:cs="宋体" w:hint="eastAsia"/>
      <w:kern w:val="2"/>
      <w:sz w:val="24"/>
      <w:szCs w:val="24"/>
      <w:lang w:val="en-US" w:eastAsia="zh-CN" w:bidi="ar-SA"/>
    </w:rPr>
  </w:style>
  <w:style w:type="character" w:customStyle="1" w:styleId="m321">
    <w:name w:val="m_321"/>
  </w:style>
  <w:style w:type="character" w:customStyle="1" w:styleId="Char3f5">
    <w:name w:val="副标题 Char3"/>
    <w:uiPriority w:val="11"/>
    <w:rPr>
      <w:rFonts w:ascii="Cambria" w:eastAsia="宋体" w:hAnsi="Cambria" w:cs="Times New Roman"/>
      <w:b/>
      <w:bCs/>
      <w:kern w:val="28"/>
      <w:sz w:val="32"/>
      <w:szCs w:val="32"/>
    </w:rPr>
  </w:style>
  <w:style w:type="character" w:customStyle="1" w:styleId="CharChar214">
    <w:name w:val="Char Char214"/>
    <w:rPr>
      <w:rFonts w:eastAsia="微软简魏碑"/>
      <w:bCs/>
      <w:spacing w:val="8"/>
      <w:kern w:val="44"/>
      <w:sz w:val="44"/>
      <w:szCs w:val="44"/>
      <w:lang w:val="en-US" w:eastAsia="zh-CN" w:bidi="ar-SA"/>
    </w:rPr>
  </w:style>
  <w:style w:type="character" w:customStyle="1" w:styleId="23CharChar">
    <w:name w:val="样式 文字 + 首行缩进:  2 字符3 Char Char"/>
    <w:link w:val="230"/>
    <w:rPr>
      <w:rFonts w:eastAsia="仿宋_GB2312"/>
      <w:sz w:val="28"/>
    </w:rPr>
  </w:style>
  <w:style w:type="paragraph" w:customStyle="1" w:styleId="230">
    <w:name w:val="样式 文字 + 首行缩进:  2 字符3"/>
    <w:basedOn w:val="affffff5"/>
    <w:link w:val="23CharChar"/>
    <w:qFormat/>
    <w:rPr>
      <w:rFonts w:eastAsia="仿宋_GB2312"/>
      <w:sz w:val="28"/>
      <w:szCs w:val="22"/>
    </w:rPr>
  </w:style>
  <w:style w:type="character" w:customStyle="1" w:styleId="CharChar245">
    <w:name w:val="Char Char245"/>
    <w:rPr>
      <w:rFonts w:ascii="Arial" w:eastAsia="黑体" w:hAnsi="Arial"/>
      <w:b/>
      <w:bCs/>
      <w:kern w:val="2"/>
      <w:sz w:val="28"/>
      <w:szCs w:val="28"/>
      <w:lang w:val="en-US" w:eastAsia="zh-CN" w:bidi="ar-SA"/>
    </w:rPr>
  </w:style>
  <w:style w:type="character" w:customStyle="1" w:styleId="2Char">
    <w:name w:val="正文文本缩进 2 Char"/>
    <w:link w:val="25"/>
    <w:rPr>
      <w:szCs w:val="24"/>
    </w:rPr>
  </w:style>
  <w:style w:type="character" w:customStyle="1" w:styleId="1Charf6">
    <w:name w:val="表格1 Char"/>
    <w:link w:val="1ffd"/>
    <w:rPr>
      <w:rFonts w:ascii="CG Times (WN)" w:hAnsi="宋体"/>
      <w:sz w:val="24"/>
    </w:rPr>
  </w:style>
  <w:style w:type="paragraph" w:customStyle="1" w:styleId="1ffd">
    <w:name w:val="表格1"/>
    <w:basedOn w:val="a2"/>
    <w:link w:val="1Charf6"/>
    <w:qFormat/>
    <w:pPr>
      <w:spacing w:line="360" w:lineRule="atLeast"/>
      <w:jc w:val="center"/>
      <w:textAlignment w:val="baseline"/>
    </w:pPr>
    <w:rPr>
      <w:rFonts w:ascii="CG Times (WN)" w:hAnsi="宋体"/>
      <w:sz w:val="24"/>
      <w:szCs w:val="22"/>
    </w:rPr>
  </w:style>
  <w:style w:type="character" w:customStyle="1" w:styleId="GB2312093Char">
    <w:name w:val="样式 正文文字 + 楷体_GB2312 四号 首行缩进:  0.93 厘米 Char"/>
    <w:rPr>
      <w:rFonts w:eastAsia="楷体_GB2312"/>
      <w:spacing w:val="-4"/>
      <w:kern w:val="2"/>
      <w:sz w:val="28"/>
      <w:szCs w:val="28"/>
      <w:lang w:val="en-US" w:eastAsia="zh-CN" w:bidi="ar-SA"/>
    </w:rPr>
  </w:style>
  <w:style w:type="character" w:customStyle="1" w:styleId="CharCharCharCharCharChar7">
    <w:name w:val="暂定图表名 Char Char Char Char Char Char"/>
    <w:rPr>
      <w:rFonts w:eastAsia="楷体_GB2312"/>
      <w:b/>
      <w:color w:val="008000"/>
      <w:kern w:val="2"/>
      <w:sz w:val="28"/>
      <w:szCs w:val="28"/>
      <w:lang w:val="en-US" w:eastAsia="zh-CN" w:bidi="ar-SA"/>
    </w:rPr>
  </w:style>
  <w:style w:type="character" w:customStyle="1" w:styleId="1ffe">
    <w:name w:val="注释文本字符1"/>
    <w:uiPriority w:val="99"/>
    <w:semiHidden/>
    <w:rPr>
      <w:rFonts w:cs="Times New Roman"/>
      <w:kern w:val="2"/>
      <w:sz w:val="24"/>
      <w:szCs w:val="24"/>
    </w:rPr>
  </w:style>
  <w:style w:type="character" w:customStyle="1" w:styleId="px141">
    <w:name w:val="px141"/>
    <w:rPr>
      <w:sz w:val="21"/>
      <w:szCs w:val="21"/>
    </w:rPr>
  </w:style>
  <w:style w:type="character" w:customStyle="1" w:styleId="2Char22">
    <w:name w:val="正文文本缩进 2 Char2"/>
    <w:rPr>
      <w:rFonts w:ascii="Times New Roman" w:eastAsia="宋体" w:hAnsi="Times New Roman" w:cs="Times New Roman"/>
      <w:szCs w:val="24"/>
    </w:rPr>
  </w:style>
  <w:style w:type="character" w:customStyle="1" w:styleId="222CharChar">
    <w:name w:val="样式 样式 首行缩进:  2 字符 + 首行缩进:  2 字符2 Char Char"/>
    <w:rPr>
      <w:rFonts w:eastAsia="楷体_GB2312"/>
      <w:spacing w:val="6"/>
      <w:sz w:val="28"/>
      <w:lang w:val="en-US" w:eastAsia="zh-CN" w:bidi="ar-SA"/>
    </w:rPr>
  </w:style>
  <w:style w:type="character" w:customStyle="1" w:styleId="B-CharChar">
    <w:name w:val="B-四号正文 Char Char"/>
    <w:link w:val="B-"/>
    <w:rPr>
      <w:sz w:val="28"/>
      <w:szCs w:val="28"/>
    </w:rPr>
  </w:style>
  <w:style w:type="paragraph" w:customStyle="1" w:styleId="B-">
    <w:name w:val="B-四号正文"/>
    <w:basedOn w:val="a2"/>
    <w:link w:val="B-CharChar"/>
    <w:qFormat/>
    <w:pPr>
      <w:spacing w:line="360" w:lineRule="auto"/>
      <w:ind w:firstLineChars="200" w:firstLine="560"/>
      <w:jc w:val="both"/>
    </w:pPr>
    <w:rPr>
      <w:szCs w:val="28"/>
    </w:rPr>
  </w:style>
  <w:style w:type="character" w:customStyle="1" w:styleId="2Charf4">
    <w:name w:val="陈标题2 Char"/>
    <w:link w:val="20"/>
    <w:uiPriority w:val="99"/>
    <w:rPr>
      <w:rFonts w:ascii="宋体" w:hAnsi="宋体"/>
      <w:b/>
      <w:sz w:val="32"/>
      <w:szCs w:val="32"/>
    </w:rPr>
  </w:style>
  <w:style w:type="paragraph" w:customStyle="1" w:styleId="20">
    <w:name w:val="陈标题2"/>
    <w:basedOn w:val="a2"/>
    <w:next w:val="a2"/>
    <w:link w:val="2Charf4"/>
    <w:uiPriority w:val="99"/>
    <w:qFormat/>
    <w:pPr>
      <w:keepNext/>
      <w:keepLines/>
      <w:numPr>
        <w:ilvl w:val="1"/>
        <w:numId w:val="4"/>
      </w:numPr>
      <w:spacing w:line="360" w:lineRule="auto"/>
      <w:ind w:left="0"/>
      <w:jc w:val="both"/>
      <w:outlineLvl w:val="1"/>
    </w:pPr>
    <w:rPr>
      <w:rFonts w:ascii="宋体" w:hAnsi="宋体"/>
      <w:b/>
      <w:sz w:val="32"/>
      <w:szCs w:val="32"/>
    </w:rPr>
  </w:style>
  <w:style w:type="character" w:customStyle="1" w:styleId="Charffffffff2">
    <w:name w:val="样式正文 Char"/>
    <w:rPr>
      <w:rFonts w:eastAsia="宋体" w:cs="宋体"/>
      <w:kern w:val="2"/>
      <w:sz w:val="24"/>
      <w:szCs w:val="24"/>
      <w:lang w:val="en-US" w:eastAsia="zh-CN" w:bidi="ar-SA"/>
    </w:rPr>
  </w:style>
  <w:style w:type="character" w:customStyle="1" w:styleId="infodetail">
    <w:name w:val="infodetail"/>
    <w:basedOn w:val="a4"/>
  </w:style>
  <w:style w:type="character" w:customStyle="1" w:styleId="sublist-span3">
    <w:name w:val="sublist-span3"/>
    <w:basedOn w:val="a4"/>
  </w:style>
  <w:style w:type="character" w:customStyle="1" w:styleId="Charffffffff3">
    <w:name w:val="表文 Char"/>
    <w:locked/>
    <w:rPr>
      <w:rFonts w:ascii="Times New Roman" w:eastAsia="宋体" w:hAnsi="宋体" w:cs="Times New Roman"/>
      <w:color w:val="000000"/>
      <w:kern w:val="0"/>
      <w:position w:val="-24"/>
      <w:szCs w:val="21"/>
      <w:lang w:val="en-US" w:eastAsia="zh-CN"/>
    </w:rPr>
  </w:style>
  <w:style w:type="character" w:customStyle="1" w:styleId="grays">
    <w:name w:val="gray s"/>
    <w:basedOn w:val="a4"/>
  </w:style>
  <w:style w:type="character" w:customStyle="1" w:styleId="ttk">
    <w:name w:val="ttk"/>
    <w:basedOn w:val="a4"/>
  </w:style>
  <w:style w:type="character" w:customStyle="1" w:styleId="style4">
    <w:name w:val="style4"/>
  </w:style>
  <w:style w:type="character" w:customStyle="1" w:styleId="Charffffffff4">
    <w:name w:val="报告正文 Char"/>
    <w:rPr>
      <w:rFonts w:eastAsia="宋体"/>
      <w:snapToGrid w:val="0"/>
      <w:kern w:val="24"/>
      <w:sz w:val="24"/>
      <w:szCs w:val="21"/>
      <w:lang w:val="en-US" w:eastAsia="zh-CN" w:bidi="ar-SA"/>
    </w:rPr>
  </w:style>
  <w:style w:type="character" w:customStyle="1" w:styleId="Char3f6">
    <w:name w:val="页眉 Char3"/>
    <w:uiPriority w:val="99"/>
    <w:semiHidden/>
    <w:rPr>
      <w:kern w:val="2"/>
      <w:sz w:val="18"/>
      <w:szCs w:val="18"/>
    </w:rPr>
  </w:style>
  <w:style w:type="character" w:customStyle="1" w:styleId="Charffffffff5">
    <w:name w:val="表格 Char"/>
    <w:rPr>
      <w:rFonts w:ascii="宋体" w:eastAsia="宋体" w:hAnsi="宋体"/>
      <w:kern w:val="44"/>
      <w:sz w:val="21"/>
      <w:szCs w:val="24"/>
      <w:lang w:val="en-US" w:eastAsia="zh-CN" w:bidi="ar-SA"/>
    </w:rPr>
  </w:style>
  <w:style w:type="character" w:customStyle="1" w:styleId="4d">
    <w:name w:val="超链接4"/>
    <w:rPr>
      <w:color w:val="0000FF"/>
      <w:u w:val="single"/>
    </w:rPr>
  </w:style>
  <w:style w:type="character" w:customStyle="1" w:styleId="test1">
    <w:name w:val="test1"/>
    <w:rPr>
      <w:color w:val="000000"/>
      <w:sz w:val="19"/>
      <w:szCs w:val="19"/>
      <w:u w:val="none"/>
    </w:rPr>
  </w:style>
  <w:style w:type="character" w:customStyle="1" w:styleId="1Charf7">
    <w:name w:val="样式1 Char"/>
    <w:rPr>
      <w:rFonts w:ascii="黑体" w:eastAsia="黑体"/>
      <w:bCs/>
      <w:sz w:val="30"/>
      <w:szCs w:val="28"/>
      <w:lang w:val="en-US" w:eastAsia="zh-CN" w:bidi="ar-SA"/>
    </w:rPr>
  </w:style>
  <w:style w:type="character" w:customStyle="1" w:styleId="A13">
    <w:name w:val="A13"/>
    <w:rPr>
      <w:rFonts w:ascii="H Ya 6gj" w:eastAsia="H Ya 6gj" w:cs="H Ya 6gj"/>
      <w:color w:val="000000"/>
      <w:sz w:val="11"/>
      <w:szCs w:val="11"/>
    </w:rPr>
  </w:style>
  <w:style w:type="character" w:customStyle="1" w:styleId="Charffffffff6">
    <w:name w:val="表头（仿宋 小四） Char"/>
    <w:rPr>
      <w:rFonts w:ascii="仿宋_GB2312" w:eastAsia="仿宋_GB2312" w:hAnsi="宋体"/>
      <w:color w:val="000000"/>
      <w:sz w:val="24"/>
    </w:rPr>
  </w:style>
  <w:style w:type="character" w:customStyle="1" w:styleId="2CharChard">
    <w:name w:val="标题样式2 Char Char"/>
    <w:link w:val="2ff3"/>
    <w:rPr>
      <w:rFonts w:ascii="黑体" w:eastAsia="黑体" w:hAnsi="Arial"/>
      <w:b/>
      <w:bCs/>
      <w:sz w:val="28"/>
      <w:szCs w:val="28"/>
    </w:rPr>
  </w:style>
  <w:style w:type="paragraph" w:customStyle="1" w:styleId="2ff3">
    <w:name w:val="标题样式2"/>
    <w:basedOn w:val="22"/>
    <w:link w:val="2CharChard"/>
    <w:qFormat/>
    <w:pPr>
      <w:spacing w:before="0" w:after="0" w:line="360" w:lineRule="auto"/>
    </w:pPr>
    <w:rPr>
      <w:rFonts w:ascii="黑体" w:eastAsia="黑体" w:hAnsi="Arial" w:cstheme="minorBidi"/>
      <w:sz w:val="28"/>
      <w:szCs w:val="28"/>
    </w:rPr>
  </w:style>
  <w:style w:type="character" w:customStyle="1" w:styleId="GB231225Char">
    <w:name w:val="样式 仿宋_GB2312 四号 黑色 两端对齐 行距: 固定值 25 磅 Char"/>
    <w:link w:val="GB231225"/>
    <w:rPr>
      <w:rFonts w:ascii="仿宋_GB2312" w:eastAsia="仿宋_GB2312"/>
      <w:color w:val="000000"/>
      <w:sz w:val="28"/>
    </w:rPr>
  </w:style>
  <w:style w:type="paragraph" w:customStyle="1" w:styleId="GB231225">
    <w:name w:val="样式 仿宋_GB2312 四号 黑色 两端对齐 行距: 固定值 25 磅"/>
    <w:basedOn w:val="a2"/>
    <w:link w:val="GB231225Char"/>
    <w:qFormat/>
    <w:pPr>
      <w:spacing w:line="500" w:lineRule="exact"/>
      <w:ind w:firstLineChars="200" w:firstLine="560"/>
      <w:jc w:val="both"/>
    </w:pPr>
    <w:rPr>
      <w:rFonts w:ascii="仿宋_GB2312" w:eastAsia="仿宋_GB2312"/>
      <w:color w:val="000000"/>
      <w:szCs w:val="22"/>
    </w:rPr>
  </w:style>
  <w:style w:type="character" w:customStyle="1" w:styleId="1b1XWH1H11H12CharChar">
    <w:name w:val="样式 标题 1式样b标题 1XWH1H11H12 + 黑色 字距调整五号 Char Char"/>
    <w:locked/>
    <w:rPr>
      <w:rFonts w:ascii="Arial" w:eastAsia="黑体" w:hAnsi="Arial"/>
      <w:b/>
      <w:bCs/>
      <w:snapToGrid w:val="0"/>
      <w:color w:val="000000"/>
      <w:kern w:val="21"/>
      <w:sz w:val="44"/>
      <w:szCs w:val="44"/>
    </w:rPr>
  </w:style>
  <w:style w:type="character" w:customStyle="1" w:styleId="GB23122">
    <w:name w:val="样式 楷体_GB2312 四号"/>
    <w:rPr>
      <w:rFonts w:ascii="Times New Roman" w:eastAsia="楷体_GB2312" w:hAnsi="Times New Roman"/>
      <w:sz w:val="28"/>
      <w:szCs w:val="28"/>
    </w:rPr>
  </w:style>
  <w:style w:type="character" w:customStyle="1" w:styleId="Chara">
    <w:name w:val="正文文本缩进 Char"/>
    <w:link w:val="af5"/>
    <w:rPr>
      <w:szCs w:val="24"/>
    </w:rPr>
  </w:style>
  <w:style w:type="character" w:customStyle="1" w:styleId="Charffffffff7">
    <w:name w:val="图表名称 Char"/>
    <w:rPr>
      <w:rFonts w:ascii="宋体" w:eastAsia="宋体" w:hAnsi="宋体"/>
      <w:b/>
      <w:bCs/>
      <w:snapToGrid w:val="0"/>
      <w:sz w:val="24"/>
      <w:szCs w:val="24"/>
      <w:lang w:val="en-US" w:eastAsia="zh-CN" w:bidi="ar-SA"/>
    </w:rPr>
  </w:style>
  <w:style w:type="character" w:customStyle="1" w:styleId="Charffffffff8">
    <w:name w:val="文本正文 Char"/>
    <w:link w:val="afffffffffff7"/>
    <w:locked/>
    <w:rPr>
      <w:sz w:val="24"/>
      <w:szCs w:val="24"/>
    </w:rPr>
  </w:style>
  <w:style w:type="paragraph" w:customStyle="1" w:styleId="afffffffffff7">
    <w:name w:val="文本正文"/>
    <w:link w:val="Charffffffff8"/>
    <w:qFormat/>
    <w:pPr>
      <w:spacing w:beforeLines="50" w:before="50" w:afterLines="50" w:after="50" w:line="360" w:lineRule="auto"/>
      <w:ind w:firstLineChars="40" w:firstLine="480"/>
    </w:pPr>
    <w:rPr>
      <w:kern w:val="2"/>
      <w:sz w:val="24"/>
      <w:szCs w:val="24"/>
    </w:rPr>
  </w:style>
  <w:style w:type="character" w:customStyle="1" w:styleId="1Char20">
    <w:name w:val="标题 1 Char2"/>
    <w:rPr>
      <w:rFonts w:eastAsia="宋体"/>
      <w:b/>
      <w:bCs/>
      <w:kern w:val="44"/>
      <w:sz w:val="44"/>
      <w:szCs w:val="44"/>
      <w:lang w:val="en-US" w:eastAsia="zh-CN" w:bidi="ar-SA"/>
    </w:rPr>
  </w:style>
  <w:style w:type="character" w:customStyle="1" w:styleId="CharCharCharCharCharCharCharCharCharCharCharCharCharCharCharChar2">
    <w:name w:val="Char Char Char Char Char Char Char Char Char Char Char Char Char Char Char Char2"/>
    <w:rPr>
      <w:rFonts w:ascii="宋体" w:eastAsia="宋体" w:hAnsi="宋体" w:hint="eastAsia"/>
      <w:snapToGrid w:val="0"/>
      <w:sz w:val="18"/>
      <w:szCs w:val="24"/>
      <w:lang w:val="en-US" w:eastAsia="zh-CN" w:bidi="ar-SA"/>
    </w:rPr>
  </w:style>
  <w:style w:type="character" w:customStyle="1" w:styleId="copyright1">
    <w:name w:val="copyright1"/>
    <w:rPr>
      <w:rFonts w:ascii="Arial" w:hAnsi="Arial" w:cs="Arial" w:hint="default"/>
    </w:rPr>
  </w:style>
  <w:style w:type="character" w:customStyle="1" w:styleId="3Chare">
    <w:name w:val="表头（铸造）3 Char"/>
    <w:rPr>
      <w:rFonts w:eastAsia="方正宋黑简体"/>
      <w:b/>
      <w:kern w:val="2"/>
      <w:sz w:val="24"/>
      <w:szCs w:val="24"/>
      <w:lang w:val="en-US" w:eastAsia="zh-CN" w:bidi="ar-SA"/>
    </w:rPr>
  </w:style>
  <w:style w:type="character" w:customStyle="1" w:styleId="Batang116">
    <w:name w:val="正文文本 + Batang116"/>
    <w:rPr>
      <w:rFonts w:ascii="Batang" w:eastAsia="Batang" w:cs="Batang"/>
      <w:sz w:val="26"/>
      <w:szCs w:val="26"/>
      <w:u w:val="none"/>
      <w:lang w:val="en-US" w:eastAsia="en-US"/>
    </w:rPr>
  </w:style>
  <w:style w:type="character" w:customStyle="1" w:styleId="newtitle1">
    <w:name w:val="newtitle1"/>
    <w:rPr>
      <w:b/>
      <w:bCs/>
      <w:color w:val="104264"/>
    </w:rPr>
  </w:style>
  <w:style w:type="character" w:customStyle="1" w:styleId="Char2fc">
    <w:name w:val="批注主题 Char2"/>
    <w:rPr>
      <w:rFonts w:ascii="Times New Roman" w:eastAsia="宋体" w:hAnsi="Times New Roman" w:cs="Times New Roman"/>
      <w:b/>
      <w:bCs/>
      <w:szCs w:val="24"/>
    </w:rPr>
  </w:style>
  <w:style w:type="character" w:customStyle="1" w:styleId="2Charf5">
    <w:name w:val="样式2 Char"/>
    <w:link w:val="2ff4"/>
    <w:rPr>
      <w:rFonts w:ascii="黑体" w:eastAsia="黑体"/>
      <w:bCs/>
      <w:sz w:val="32"/>
      <w:szCs w:val="32"/>
    </w:rPr>
  </w:style>
  <w:style w:type="paragraph" w:customStyle="1" w:styleId="2ff4">
    <w:name w:val="样式2"/>
    <w:basedOn w:val="32"/>
    <w:link w:val="2Charf5"/>
    <w:qFormat/>
    <w:pPr>
      <w:tabs>
        <w:tab w:val="left" w:pos="4860"/>
        <w:tab w:val="left" w:pos="5040"/>
      </w:tabs>
      <w:spacing w:beforeLines="50" w:before="156" w:afterLines="50" w:after="156" w:line="240" w:lineRule="auto"/>
    </w:pPr>
    <w:rPr>
      <w:rFonts w:ascii="黑体" w:eastAsia="黑体"/>
      <w:b w:val="0"/>
    </w:rPr>
  </w:style>
  <w:style w:type="character" w:customStyle="1" w:styleId="GB23123">
    <w:name w:val="样式 (中文) 楷体_GB2312 四号"/>
    <w:rPr>
      <w:rFonts w:ascii="Times New Roman" w:eastAsia="楷体_GB2312" w:hAnsi="Times New Roman"/>
      <w:sz w:val="28"/>
      <w:szCs w:val="28"/>
    </w:rPr>
  </w:style>
  <w:style w:type="character" w:customStyle="1" w:styleId="Georgia1">
    <w:name w:val="正文文本 + Georgia1"/>
    <w:rPr>
      <w:rFonts w:ascii="Georgia" w:eastAsia="Arial Unicode MS" w:hAnsi="Georgia" w:cs="Georgia"/>
      <w:spacing w:val="20"/>
      <w:sz w:val="20"/>
      <w:szCs w:val="20"/>
      <w:u w:val="none"/>
    </w:rPr>
  </w:style>
  <w:style w:type="character" w:customStyle="1" w:styleId="newscontent">
    <w:name w:val="newscontent"/>
  </w:style>
  <w:style w:type="character" w:customStyle="1" w:styleId="articlecontent">
    <w:name w:val="articlecontent"/>
    <w:basedOn w:val="a4"/>
  </w:style>
  <w:style w:type="character" w:customStyle="1" w:styleId="f241">
    <w:name w:val="f241"/>
    <w:rPr>
      <w:sz w:val="24"/>
      <w:szCs w:val="24"/>
    </w:rPr>
  </w:style>
  <w:style w:type="character" w:customStyle="1" w:styleId="CharChar300">
    <w:name w:val="Char Char30"/>
    <w:locked/>
    <w:rPr>
      <w:rFonts w:ascii="宋体" w:eastAsia="宋体" w:hAnsi="宋体"/>
      <w:kern w:val="2"/>
      <w:sz w:val="21"/>
      <w:szCs w:val="24"/>
      <w:lang w:val="en-US" w:eastAsia="zh-CN" w:bidi="ar-SA"/>
    </w:rPr>
  </w:style>
  <w:style w:type="character" w:customStyle="1" w:styleId="CharChar33">
    <w:name w:val="Char Char33"/>
    <w:locked/>
    <w:rPr>
      <w:rFonts w:ascii="Arial" w:eastAsia="宋体" w:hAnsi="Arial" w:cs="Arial"/>
      <w:kern w:val="2"/>
      <w:sz w:val="24"/>
      <w:szCs w:val="24"/>
      <w:lang w:val="en-US" w:eastAsia="zh-CN" w:bidi="ar-SA"/>
    </w:rPr>
  </w:style>
  <w:style w:type="character" w:customStyle="1" w:styleId="CharCharfffff">
    <w:name w:val="图表 Char Char"/>
    <w:link w:val="afffffffffff8"/>
    <w:rPr>
      <w:b/>
      <w:sz w:val="28"/>
      <w:szCs w:val="28"/>
    </w:rPr>
  </w:style>
  <w:style w:type="paragraph" w:customStyle="1" w:styleId="afffffffffff8">
    <w:name w:val="图表"/>
    <w:basedOn w:val="ac"/>
    <w:link w:val="CharCharfffff"/>
    <w:qFormat/>
    <w:pPr>
      <w:keepNext/>
      <w:jc w:val="center"/>
    </w:pPr>
    <w:rPr>
      <w:rFonts w:asciiTheme="minorHAnsi" w:eastAsiaTheme="minorEastAsia" w:hAnsiTheme="minorHAnsi"/>
      <w:b/>
      <w:sz w:val="28"/>
      <w:szCs w:val="28"/>
    </w:rPr>
  </w:style>
  <w:style w:type="character" w:customStyle="1" w:styleId="p51">
    <w:name w:val="p51"/>
    <w:rPr>
      <w:sz w:val="21"/>
      <w:szCs w:val="21"/>
    </w:rPr>
  </w:style>
  <w:style w:type="character" w:customStyle="1" w:styleId="menu1">
    <w:name w:val="menu1"/>
    <w:rPr>
      <w:sz w:val="21"/>
    </w:rPr>
  </w:style>
  <w:style w:type="character" w:customStyle="1" w:styleId="Charffffffff9">
    <w:name w:val="样式 居中 Char"/>
    <w:rPr>
      <w:rFonts w:ascii="Times New Roman" w:hAnsi="Times New Roman"/>
      <w:kern w:val="10"/>
      <w:sz w:val="24"/>
      <w:szCs w:val="24"/>
    </w:rPr>
  </w:style>
  <w:style w:type="character" w:customStyle="1" w:styleId="tablecon">
    <w:name w:val="tablecon"/>
    <w:basedOn w:val="a4"/>
  </w:style>
  <w:style w:type="character" w:customStyle="1" w:styleId="CharChar210">
    <w:name w:val="Char Char210"/>
    <w:rPr>
      <w:rFonts w:eastAsia="宋体"/>
      <w:kern w:val="2"/>
      <w:sz w:val="21"/>
      <w:szCs w:val="24"/>
      <w:lang w:val="en-US" w:eastAsia="zh-CN" w:bidi="ar-SA"/>
    </w:rPr>
  </w:style>
  <w:style w:type="character" w:customStyle="1" w:styleId="style731">
    <w:name w:val="style731"/>
    <w:rPr>
      <w:sz w:val="22"/>
      <w:szCs w:val="22"/>
    </w:rPr>
  </w:style>
  <w:style w:type="character" w:customStyle="1" w:styleId="Charffffffffa">
    <w:name w:val="中文报告书 Char"/>
    <w:link w:val="afffffffffff9"/>
    <w:rPr>
      <w:sz w:val="24"/>
    </w:rPr>
  </w:style>
  <w:style w:type="paragraph" w:customStyle="1" w:styleId="afffffffffff9">
    <w:name w:val="中文报告书"/>
    <w:basedOn w:val="a2"/>
    <w:link w:val="Charffffffffa"/>
    <w:pPr>
      <w:autoSpaceDE/>
      <w:autoSpaceDN/>
      <w:spacing w:after="80" w:line="420" w:lineRule="atLeast"/>
      <w:ind w:firstLineChars="200" w:firstLine="200"/>
      <w:textAlignment w:val="baseline"/>
    </w:pPr>
    <w:rPr>
      <w:sz w:val="24"/>
      <w:szCs w:val="22"/>
    </w:rPr>
  </w:style>
  <w:style w:type="character" w:customStyle="1" w:styleId="CharChar272">
    <w:name w:val="Char Char272"/>
    <w:rPr>
      <w:rFonts w:eastAsia="黑体"/>
      <w:b/>
      <w:bCs/>
      <w:kern w:val="44"/>
      <w:sz w:val="36"/>
      <w:szCs w:val="44"/>
      <w:lang w:bidi="ar-SA"/>
    </w:rPr>
  </w:style>
  <w:style w:type="character" w:customStyle="1" w:styleId="3zw1">
    <w:name w:val="3zw1"/>
    <w:rPr>
      <w:color w:val="000000"/>
      <w:sz w:val="21"/>
      <w:szCs w:val="21"/>
    </w:rPr>
  </w:style>
  <w:style w:type="character" w:customStyle="1" w:styleId="Char3f7">
    <w:name w:val="批注文字 Char3"/>
    <w:uiPriority w:val="99"/>
    <w:semiHidden/>
    <w:rPr>
      <w:kern w:val="2"/>
      <w:sz w:val="21"/>
      <w:szCs w:val="22"/>
    </w:rPr>
  </w:style>
  <w:style w:type="character" w:customStyle="1" w:styleId="2H2Underrubrik1prop2Heading2HiddenHeading2CCBChar0">
    <w:name w:val="样式 标题 2H2（一）Underrubrik1prop2Heading 2 HiddenHeading 2 CCB... Char"/>
    <w:link w:val="2H2Underrubrik1prop2Heading2HiddenHeading2CCB0"/>
    <w:rPr>
      <w:b/>
      <w:bCs/>
      <w:sz w:val="30"/>
    </w:rPr>
  </w:style>
  <w:style w:type="character" w:customStyle="1" w:styleId="11CharChar">
    <w:name w:val="1.标题 1 Char Char"/>
    <w:rPr>
      <w:rFonts w:eastAsia="黑体"/>
      <w:b/>
      <w:kern w:val="44"/>
      <w:sz w:val="28"/>
      <w:szCs w:val="24"/>
      <w:lang w:val="en-US" w:eastAsia="zh-CN" w:bidi="ar-SA"/>
    </w:rPr>
  </w:style>
  <w:style w:type="character" w:customStyle="1" w:styleId="productallmaintext">
    <w:name w:val="product_all_main_text"/>
  </w:style>
  <w:style w:type="character" w:customStyle="1" w:styleId="Char1ff0">
    <w:name w:val="宏文本 Char1"/>
    <w:locked/>
    <w:rPr>
      <w:rFonts w:ascii="Courier New" w:hAnsi="Courier New"/>
      <w:kern w:val="2"/>
      <w:sz w:val="24"/>
    </w:rPr>
  </w:style>
  <w:style w:type="character" w:customStyle="1" w:styleId="3CharChar9">
    <w:name w:val="正文文本缩进 3 Char Char"/>
    <w:link w:val="313"/>
    <w:rPr>
      <w:rFonts w:ascii="楷体_GB2312" w:eastAsia="楷体_GB2312"/>
      <w:sz w:val="28"/>
    </w:rPr>
  </w:style>
  <w:style w:type="paragraph" w:customStyle="1" w:styleId="313">
    <w:name w:val="正文文本缩进 313"/>
    <w:basedOn w:val="a2"/>
    <w:link w:val="3CharChar9"/>
    <w:qFormat/>
    <w:pPr>
      <w:spacing w:after="120" w:line="360" w:lineRule="auto"/>
      <w:ind w:firstLine="567"/>
      <w:jc w:val="both"/>
      <w:textAlignment w:val="baseline"/>
    </w:pPr>
    <w:rPr>
      <w:rFonts w:ascii="楷体_GB2312"/>
      <w:szCs w:val="22"/>
    </w:rPr>
  </w:style>
  <w:style w:type="character" w:customStyle="1" w:styleId="Char1ff1">
    <w:name w:val="我的正文 Char1"/>
    <w:link w:val="afffffffffffa"/>
    <w:rPr>
      <w:rFonts w:ascii="华文仿宋" w:hAnsi="华文仿宋"/>
      <w:sz w:val="24"/>
      <w:szCs w:val="24"/>
    </w:rPr>
  </w:style>
  <w:style w:type="paragraph" w:customStyle="1" w:styleId="afffffffffffa">
    <w:name w:val="我的正文"/>
    <w:basedOn w:val="a2"/>
    <w:link w:val="Char1ff1"/>
    <w:qFormat/>
    <w:pPr>
      <w:snapToGrid w:val="0"/>
      <w:spacing w:beforeLines="50" w:before="156" w:after="120" w:line="360" w:lineRule="auto"/>
      <w:ind w:firstLineChars="200" w:firstLine="200"/>
      <w:jc w:val="both"/>
    </w:pPr>
    <w:rPr>
      <w:rFonts w:ascii="华文仿宋" w:hAnsi="华文仿宋"/>
      <w:sz w:val="24"/>
      <w:szCs w:val="24"/>
    </w:rPr>
  </w:style>
  <w:style w:type="character" w:customStyle="1" w:styleId="32Char">
    <w:name w:val="表格 32 Char"/>
    <w:link w:val="320"/>
    <w:qFormat/>
    <w:rPr>
      <w:sz w:val="24"/>
    </w:rPr>
  </w:style>
  <w:style w:type="paragraph" w:customStyle="1" w:styleId="320">
    <w:name w:val="表格 32"/>
    <w:basedOn w:val="a2"/>
    <w:link w:val="32Char"/>
    <w:qFormat/>
    <w:pPr>
      <w:jc w:val="center"/>
      <w:textAlignment w:val="baseline"/>
    </w:pPr>
    <w:rPr>
      <w:sz w:val="24"/>
      <w:szCs w:val="22"/>
    </w:rPr>
  </w:style>
  <w:style w:type="character" w:customStyle="1" w:styleId="TimesNewRomanCharChar2">
    <w:name w:val="样式 报告 + Times New Roman Char Char2"/>
    <w:qFormat/>
    <w:rPr>
      <w:rFonts w:eastAsia="宋体"/>
      <w:kern w:val="2"/>
      <w:sz w:val="28"/>
      <w:szCs w:val="28"/>
      <w:lang w:val="en-US" w:eastAsia="zh-CN" w:bidi="ar-SA"/>
    </w:rPr>
  </w:style>
  <w:style w:type="character" w:customStyle="1" w:styleId="Char2fd">
    <w:name w:val="表中文字 Char2"/>
    <w:qFormat/>
    <w:rPr>
      <w:rFonts w:eastAsia="宋体"/>
      <w:snapToGrid w:val="0"/>
      <w:sz w:val="21"/>
      <w:szCs w:val="21"/>
      <w:lang w:val="en-US" w:eastAsia="zh-TW" w:bidi="ar-SA"/>
    </w:rPr>
  </w:style>
  <w:style w:type="character" w:customStyle="1" w:styleId="Charffffffffb">
    <w:name w:val="图表标题 Char"/>
    <w:qFormat/>
    <w:rPr>
      <w:rFonts w:eastAsia="宋体"/>
      <w:kern w:val="2"/>
      <w:sz w:val="21"/>
      <w:szCs w:val="24"/>
      <w:lang w:val="en-US" w:eastAsia="zh-CN" w:bidi="ar-SA"/>
    </w:rPr>
  </w:style>
  <w:style w:type="character" w:customStyle="1" w:styleId="chenChar1">
    <w:name w:val="谏壁正文chen Char"/>
    <w:qFormat/>
    <w:rPr>
      <w:rFonts w:eastAsia="宋体"/>
      <w:kern w:val="2"/>
      <w:sz w:val="24"/>
      <w:szCs w:val="24"/>
      <w:lang w:val="en-US" w:eastAsia="zh-CN" w:bidi="ar-SA"/>
    </w:rPr>
  </w:style>
  <w:style w:type="character" w:customStyle="1" w:styleId="CharCharCharChar7">
    <w:name w:val="正文样式 Char Char Char Char"/>
    <w:qFormat/>
    <w:rPr>
      <w:rFonts w:ascii="宋体" w:eastAsia="宋体" w:hAnsi="宋体"/>
      <w:color w:val="000000"/>
      <w:kern w:val="2"/>
      <w:sz w:val="24"/>
      <w:szCs w:val="24"/>
      <w:lang w:val="en-US" w:eastAsia="zh-CN" w:bidi="ar-SA"/>
    </w:rPr>
  </w:style>
  <w:style w:type="character" w:customStyle="1" w:styleId="newscontent1">
    <w:name w:val="newscontent1"/>
    <w:qFormat/>
    <w:rPr>
      <w:sz w:val="20"/>
      <w:szCs w:val="20"/>
      <w:u w:val="none"/>
    </w:rPr>
  </w:style>
  <w:style w:type="character" w:customStyle="1" w:styleId="Charffffffffc">
    <w:name w:val="表格题注 Char"/>
    <w:rPr>
      <w:rFonts w:ascii="宋体" w:eastAsia="宋体" w:hAnsi="宋体" w:cs="宋体"/>
      <w:snapToGrid w:val="0"/>
      <w:kern w:val="24"/>
      <w:sz w:val="24"/>
      <w:szCs w:val="24"/>
      <w:lang w:val="en-US" w:eastAsia="zh-CN" w:bidi="ar-SA"/>
    </w:rPr>
  </w:style>
  <w:style w:type="character" w:customStyle="1" w:styleId="f9wen">
    <w:name w:val="f9wen"/>
    <w:basedOn w:val="a4"/>
  </w:style>
  <w:style w:type="character" w:customStyle="1" w:styleId="ljx1CharChar">
    <w:name w:val="ljx正文1 Char Char"/>
    <w:link w:val="ljx1"/>
    <w:rPr>
      <w:sz w:val="28"/>
    </w:rPr>
  </w:style>
  <w:style w:type="paragraph" w:customStyle="1" w:styleId="ljx1">
    <w:name w:val="ljx正文1"/>
    <w:basedOn w:val="a2"/>
    <w:link w:val="ljx1CharChar"/>
    <w:qFormat/>
    <w:pPr>
      <w:jc w:val="both"/>
      <w:textAlignment w:val="baseline"/>
    </w:pPr>
    <w:rPr>
      <w:szCs w:val="22"/>
    </w:rPr>
  </w:style>
  <w:style w:type="character" w:customStyle="1" w:styleId="CharCharfffff0">
    <w:name w:val="注释标题 Char Char"/>
    <w:link w:val="1fff"/>
  </w:style>
  <w:style w:type="paragraph" w:customStyle="1" w:styleId="1fff">
    <w:name w:val="注释标题1"/>
    <w:basedOn w:val="a2"/>
    <w:next w:val="a2"/>
    <w:link w:val="CharCharfffff0"/>
    <w:qFormat/>
    <w:pPr>
      <w:jc w:val="center"/>
    </w:pPr>
    <w:rPr>
      <w:szCs w:val="22"/>
    </w:rPr>
  </w:style>
  <w:style w:type="character" w:customStyle="1" w:styleId="CharChar216">
    <w:name w:val="Char Char216"/>
    <w:rPr>
      <w:rFonts w:ascii="Calibri" w:eastAsia="宋体" w:hAnsi="Calibri"/>
      <w:b/>
      <w:kern w:val="2"/>
      <w:sz w:val="24"/>
      <w:lang w:val="en-US" w:eastAsia="zh-CN" w:bidi="ar-SA"/>
    </w:rPr>
  </w:style>
  <w:style w:type="character" w:customStyle="1" w:styleId="CharCharfffff1">
    <w:name w:val="表蕊居中 Char Char"/>
    <w:link w:val="afffffffffffb"/>
    <w:rPr>
      <w:spacing w:val="8"/>
      <w:szCs w:val="28"/>
    </w:rPr>
  </w:style>
  <w:style w:type="paragraph" w:customStyle="1" w:styleId="afffffffffffb">
    <w:name w:val="表蕊居中"/>
    <w:link w:val="CharCharfffff1"/>
    <w:qFormat/>
    <w:pPr>
      <w:spacing w:beforeLines="50" w:before="50" w:afterLines="50" w:after="50" w:line="320" w:lineRule="exact"/>
      <w:ind w:firstLineChars="40" w:firstLine="40"/>
      <w:jc w:val="center"/>
    </w:pPr>
    <w:rPr>
      <w:spacing w:val="8"/>
      <w:kern w:val="2"/>
      <w:sz w:val="21"/>
      <w:szCs w:val="28"/>
    </w:rPr>
  </w:style>
  <w:style w:type="character" w:customStyle="1" w:styleId="30Char">
    <w:name w:val="样式 四号 行距: 固定值 30 磅 Char"/>
    <w:link w:val="300"/>
    <w:rPr>
      <w:rFonts w:ascii="宋体" w:hAnsi="宋体" w:cs="宋体"/>
      <w:spacing w:val="14"/>
      <w:sz w:val="24"/>
      <w:szCs w:val="24"/>
    </w:rPr>
  </w:style>
  <w:style w:type="paragraph" w:customStyle="1" w:styleId="300">
    <w:name w:val="样式 四号 行距: 固定值 30 磅"/>
    <w:basedOn w:val="a2"/>
    <w:link w:val="30Char"/>
    <w:pPr>
      <w:autoSpaceDE/>
      <w:autoSpaceDN/>
      <w:adjustRightInd/>
      <w:spacing w:line="360" w:lineRule="auto"/>
      <w:ind w:firstLineChars="200" w:firstLine="536"/>
      <w:jc w:val="both"/>
    </w:pPr>
    <w:rPr>
      <w:rFonts w:ascii="宋体" w:hAnsi="宋体" w:cs="宋体"/>
      <w:spacing w:val="14"/>
      <w:sz w:val="24"/>
      <w:szCs w:val="24"/>
    </w:rPr>
  </w:style>
  <w:style w:type="character" w:customStyle="1" w:styleId="normal1">
    <w:name w:val="normal1"/>
    <w:rPr>
      <w:rFonts w:ascii="Verdana" w:hAnsi="Verdana" w:hint="default"/>
      <w:spacing w:val="15"/>
      <w:sz w:val="18"/>
      <w:szCs w:val="18"/>
    </w:rPr>
  </w:style>
  <w:style w:type="character" w:customStyle="1" w:styleId="Charffffffffd">
    <w:name w:val="标题五 Char"/>
    <w:link w:val="afffffffffffc"/>
    <w:rPr>
      <w:szCs w:val="24"/>
    </w:rPr>
  </w:style>
  <w:style w:type="paragraph" w:customStyle="1" w:styleId="afffffffffffc">
    <w:name w:val="标题五"/>
    <w:basedOn w:val="2ff4"/>
    <w:link w:val="Charffffffffd"/>
    <w:qFormat/>
    <w:pPr>
      <w:keepNext w:val="0"/>
      <w:keepLines w:val="0"/>
      <w:tabs>
        <w:tab w:val="clear" w:pos="4860"/>
        <w:tab w:val="clear" w:pos="5040"/>
        <w:tab w:val="left" w:pos="720"/>
      </w:tabs>
      <w:spacing w:beforeLines="0" w:before="0" w:afterLines="0" w:after="0" w:line="460" w:lineRule="exact"/>
      <w:ind w:left="720" w:hanging="720"/>
      <w:jc w:val="both"/>
      <w:outlineLvl w:val="9"/>
    </w:pPr>
    <w:rPr>
      <w:rFonts w:asciiTheme="minorHAnsi" w:eastAsiaTheme="minorEastAsia"/>
      <w:bCs w:val="0"/>
      <w:sz w:val="21"/>
      <w:szCs w:val="24"/>
    </w:rPr>
  </w:style>
  <w:style w:type="character" w:customStyle="1" w:styleId="Batang104">
    <w:name w:val="正文文本 + Batang104"/>
    <w:rPr>
      <w:rFonts w:ascii="Batang" w:eastAsia="Batang" w:cs="Batang"/>
      <w:sz w:val="19"/>
      <w:szCs w:val="19"/>
      <w:u w:val="none"/>
      <w:lang w:val="en-US" w:eastAsia="en-US"/>
    </w:rPr>
  </w:style>
  <w:style w:type="character" w:customStyle="1" w:styleId="13CharChar">
    <w:name w:val="标题 13 Char Char"/>
    <w:rPr>
      <w:rFonts w:ascii="Arial Unicode MS" w:eastAsia="Arial Unicode MS" w:hAnsi="Arial Unicode MS" w:cs="Arial Unicode MS"/>
      <w:b/>
      <w:bCs/>
      <w:color w:val="000000"/>
      <w:kern w:val="2"/>
      <w:sz w:val="27"/>
      <w:szCs w:val="27"/>
      <w:lang w:val="en-US" w:eastAsia="zh-CN" w:bidi="ar-SA"/>
    </w:rPr>
  </w:style>
  <w:style w:type="character" w:customStyle="1" w:styleId="33Char">
    <w:name w:val="正文文字缩进 33 Char"/>
    <w:rPr>
      <w:rFonts w:eastAsia="宋体"/>
      <w:kern w:val="2"/>
      <w:sz w:val="16"/>
      <w:szCs w:val="16"/>
      <w:lang w:val="en-US" w:eastAsia="zh-CN" w:bidi="ar-SA"/>
    </w:rPr>
  </w:style>
  <w:style w:type="character" w:customStyle="1" w:styleId="Charffffffffe">
    <w:name w:val="脚注文本 Char"/>
    <w:rPr>
      <w:kern w:val="2"/>
      <w:sz w:val="18"/>
      <w:szCs w:val="18"/>
    </w:rPr>
  </w:style>
  <w:style w:type="character" w:customStyle="1" w:styleId="Charfffffffff">
    <w:name w:val="条款 Char"/>
    <w:rPr>
      <w:rFonts w:ascii="Times New Roman" w:hAnsi="宋体"/>
      <w:sz w:val="24"/>
      <w:szCs w:val="24"/>
    </w:rPr>
  </w:style>
  <w:style w:type="character" w:customStyle="1" w:styleId="2CharChare">
    <w:name w:val="黄桥标题2 Char Char"/>
    <w:link w:val="2ff5"/>
    <w:rPr>
      <w:rFonts w:eastAsia="宋体" w:cs="宋体"/>
      <w:b/>
      <w:sz w:val="28"/>
      <w:szCs w:val="28"/>
    </w:rPr>
  </w:style>
  <w:style w:type="paragraph" w:customStyle="1" w:styleId="2ff5">
    <w:name w:val="黄桥标题2"/>
    <w:basedOn w:val="a2"/>
    <w:next w:val="a2"/>
    <w:link w:val="2CharChare"/>
    <w:qFormat/>
    <w:pPr>
      <w:keepNext/>
      <w:keepLines/>
      <w:widowControl/>
      <w:spacing w:line="360" w:lineRule="auto"/>
      <w:outlineLvl w:val="1"/>
    </w:pPr>
    <w:rPr>
      <w:rFonts w:eastAsia="宋体" w:cs="宋体"/>
      <w:b/>
      <w:szCs w:val="28"/>
    </w:rPr>
  </w:style>
  <w:style w:type="character" w:customStyle="1" w:styleId="2Charf6">
    <w:name w:val="样式 正文缩进 + 首行缩进:  2 字符 Char"/>
    <w:rPr>
      <w:rFonts w:ascii="宋体" w:hAnsi="宋体"/>
      <w:sz w:val="24"/>
      <w:szCs w:val="24"/>
    </w:rPr>
  </w:style>
  <w:style w:type="character" w:customStyle="1" w:styleId="51Char">
    <w:name w:val="（5）1 Char"/>
    <w:rPr>
      <w:rFonts w:ascii="宋体" w:eastAsia="宋体" w:hAnsi="Arial"/>
      <w:kern w:val="2"/>
      <w:sz w:val="24"/>
      <w:lang w:val="en-US" w:eastAsia="zh-CN" w:bidi="ar-SA"/>
    </w:rPr>
  </w:style>
  <w:style w:type="character" w:customStyle="1" w:styleId="CharCharfffff2">
    <w:name w:val="样式 正文文字 + (中文) 宋体 Char Char"/>
    <w:link w:val="afffffffffffd"/>
    <w:rPr>
      <w:sz w:val="28"/>
      <w:szCs w:val="28"/>
    </w:rPr>
  </w:style>
  <w:style w:type="paragraph" w:customStyle="1" w:styleId="afffffffffffd">
    <w:name w:val="样式 正文文字 + (中文) 宋体"/>
    <w:basedOn w:val="afffffffffffe"/>
    <w:link w:val="CharCharfffff2"/>
    <w:qFormat/>
    <w:pPr>
      <w:snapToGrid w:val="0"/>
      <w:ind w:firstLineChars="200" w:firstLine="200"/>
    </w:pPr>
    <w:rPr>
      <w:rFonts w:eastAsiaTheme="minorEastAsia"/>
    </w:rPr>
  </w:style>
  <w:style w:type="paragraph" w:customStyle="1" w:styleId="afffffffffffe">
    <w:name w:val="正文文字"/>
    <w:basedOn w:val="a2"/>
    <w:qFormat/>
    <w:pPr>
      <w:spacing w:line="360" w:lineRule="auto"/>
      <w:ind w:firstLine="567"/>
    </w:pPr>
    <w:rPr>
      <w:rFonts w:eastAsia="仿宋_GB2312"/>
      <w:szCs w:val="28"/>
    </w:rPr>
  </w:style>
  <w:style w:type="character" w:customStyle="1" w:styleId="hhcwtChar1">
    <w:name w:val="hhcwt表格内文字 Char"/>
    <w:rPr>
      <w:rFonts w:eastAsia="仿宋_GB2312" w:cs="宋体"/>
      <w:kern w:val="2"/>
      <w:sz w:val="21"/>
      <w:szCs w:val="21"/>
      <w:lang w:val="en-US" w:eastAsia="zh-CN" w:bidi="ar-SA"/>
    </w:rPr>
  </w:style>
  <w:style w:type="character" w:customStyle="1" w:styleId="CharCharfffff3">
    <w:name w:val="正文标准格式 Char Char"/>
    <w:rPr>
      <w:rFonts w:eastAsia="仿宋_GB2312"/>
      <w:color w:val="000000"/>
      <w:kern w:val="2"/>
      <w:sz w:val="28"/>
      <w:szCs w:val="28"/>
      <w:lang w:val="en-US" w:eastAsia="zh-CN"/>
    </w:rPr>
  </w:style>
  <w:style w:type="character" w:customStyle="1" w:styleId="yqlink">
    <w:name w:val="yqlink"/>
    <w:basedOn w:val="a4"/>
  </w:style>
  <w:style w:type="character" w:customStyle="1" w:styleId="Char4f">
    <w:name w:val="结束语 Char4"/>
    <w:rPr>
      <w:kern w:val="2"/>
      <w:sz w:val="24"/>
      <w:szCs w:val="24"/>
    </w:rPr>
  </w:style>
  <w:style w:type="character" w:customStyle="1" w:styleId="CharChar263">
    <w:name w:val="Char Char263"/>
    <w:rPr>
      <w:rFonts w:eastAsia="宋体"/>
      <w:b/>
      <w:kern w:val="44"/>
      <w:sz w:val="30"/>
      <w:szCs w:val="28"/>
      <w:lang w:bidi="ar-SA"/>
    </w:rPr>
  </w:style>
  <w:style w:type="character" w:customStyle="1" w:styleId="CharCharChar12">
    <w:name w:val="Char Char Char12"/>
  </w:style>
  <w:style w:type="character" w:customStyle="1" w:styleId="Char1ff2">
    <w:name w:val="正文(首行缩进) Char1"/>
    <w:link w:val="affffffffffff"/>
    <w:rPr>
      <w:rFonts w:ascii="宋体" w:hAnsi="宋体"/>
      <w:color w:val="000000"/>
    </w:rPr>
  </w:style>
  <w:style w:type="paragraph" w:customStyle="1" w:styleId="affffffffffff">
    <w:name w:val="正文(首行缩进)"/>
    <w:basedOn w:val="a2"/>
    <w:link w:val="Char1ff2"/>
    <w:qFormat/>
    <w:pPr>
      <w:snapToGrid w:val="0"/>
      <w:spacing w:line="360" w:lineRule="auto"/>
      <w:ind w:firstLineChars="200" w:firstLine="420"/>
      <w:jc w:val="both"/>
    </w:pPr>
    <w:rPr>
      <w:rFonts w:ascii="宋体" w:hAnsi="宋体"/>
      <w:color w:val="000000"/>
      <w:szCs w:val="22"/>
    </w:rPr>
  </w:style>
  <w:style w:type="character" w:customStyle="1" w:styleId="managename">
    <w:name w:val="manage_name"/>
  </w:style>
  <w:style w:type="character" w:customStyle="1" w:styleId="Char140">
    <w:name w:val="Char14"/>
    <w:rPr>
      <w:rFonts w:ascii="仿宋_GB2312" w:eastAsia="仿宋_GB2312" w:hint="eastAsia"/>
      <w:b/>
      <w:kern w:val="44"/>
      <w:sz w:val="32"/>
      <w:szCs w:val="44"/>
      <w:lang w:val="en-US" w:eastAsia="zh-CN" w:bidi="ar-SA"/>
    </w:rPr>
  </w:style>
  <w:style w:type="character" w:customStyle="1" w:styleId="CharChar43">
    <w:name w:val="Char Char43"/>
    <w:rPr>
      <w:rFonts w:eastAsia="微软简老宋"/>
      <w:bCs/>
      <w:spacing w:val="8"/>
      <w:sz w:val="28"/>
      <w:szCs w:val="32"/>
      <w:lang w:val="en-US" w:eastAsia="zh-CN" w:bidi="ar-SA"/>
    </w:rPr>
  </w:style>
  <w:style w:type="character" w:customStyle="1" w:styleId="11p">
    <w:name w:val="11p"/>
    <w:basedOn w:val="a4"/>
  </w:style>
  <w:style w:type="character" w:customStyle="1" w:styleId="CharChar202">
    <w:name w:val="Char Char202"/>
    <w:rPr>
      <w:rFonts w:ascii="Arial" w:eastAsia="黑体" w:hAnsi="Arial"/>
      <w:kern w:val="2"/>
      <w:sz w:val="24"/>
      <w:lang w:val="en-US" w:eastAsia="zh-CN" w:bidi="ar-SA"/>
    </w:rPr>
  </w:style>
  <w:style w:type="character" w:customStyle="1" w:styleId="name">
    <w:name w:val="name"/>
  </w:style>
  <w:style w:type="character" w:customStyle="1" w:styleId="p9">
    <w:name w:val="p9"/>
    <w:rPr>
      <w:rFonts w:cs="Times New Roman"/>
    </w:rPr>
  </w:style>
  <w:style w:type="character" w:customStyle="1" w:styleId="unnamed11">
    <w:name w:val="unnamed11"/>
    <w:rPr>
      <w:color w:val="000000"/>
      <w:sz w:val="18"/>
      <w:u w:val="none"/>
    </w:rPr>
  </w:style>
  <w:style w:type="character" w:customStyle="1" w:styleId="98CharChar">
    <w:name w:val="样式98 Char Char"/>
    <w:link w:val="98"/>
    <w:rPr>
      <w:rFonts w:eastAsia="仿宋_GB2312"/>
      <w:bCs/>
      <w:color w:val="000000"/>
      <w:szCs w:val="21"/>
    </w:rPr>
  </w:style>
  <w:style w:type="paragraph" w:customStyle="1" w:styleId="98">
    <w:name w:val="样式98"/>
    <w:basedOn w:val="910"/>
    <w:link w:val="98CharChar"/>
    <w:qFormat/>
    <w:pPr>
      <w:spacing w:before="0" w:line="300" w:lineRule="exact"/>
    </w:pPr>
    <w:rPr>
      <w:rFonts w:eastAsia="仿宋_GB2312"/>
    </w:rPr>
  </w:style>
  <w:style w:type="character" w:customStyle="1" w:styleId="CharCharfffff4">
    <w:name w:val="样式 报告书表格 + 五号 Char Char"/>
    <w:link w:val="affffffffffff0"/>
    <w:rPr>
      <w:szCs w:val="21"/>
    </w:rPr>
  </w:style>
  <w:style w:type="paragraph" w:customStyle="1" w:styleId="affffffffffff0">
    <w:name w:val="样式 报告书表格 + 五号"/>
    <w:basedOn w:val="afffd"/>
    <w:link w:val="CharCharfffff4"/>
    <w:qFormat/>
    <w:pPr>
      <w:tabs>
        <w:tab w:val="center" w:pos="4540"/>
        <w:tab w:val="right" w:pos="8505"/>
      </w:tabs>
      <w:snapToGrid w:val="0"/>
      <w:spacing w:line="240" w:lineRule="auto"/>
      <w:jc w:val="both"/>
    </w:pPr>
    <w:rPr>
      <w:rFonts w:eastAsiaTheme="minorEastAsia"/>
      <w:sz w:val="21"/>
      <w:szCs w:val="21"/>
    </w:rPr>
  </w:style>
  <w:style w:type="character" w:customStyle="1" w:styleId="btCharChar1">
    <w:name w:val="bt Char Char1"/>
    <w:rPr>
      <w:rFonts w:eastAsia="宋体"/>
      <w:kern w:val="2"/>
      <w:sz w:val="18"/>
      <w:szCs w:val="24"/>
      <w:lang w:val="en-US" w:eastAsia="zh-CN" w:bidi="ar-SA"/>
    </w:rPr>
  </w:style>
  <w:style w:type="character" w:customStyle="1" w:styleId="Char4f0">
    <w:name w:val="标题 Char4"/>
    <w:uiPriority w:val="10"/>
    <w:rPr>
      <w:rFonts w:ascii="Cambria" w:eastAsia="宋体" w:hAnsi="Cambria" w:cs="Times New Roman"/>
      <w:b/>
      <w:bCs/>
      <w:sz w:val="32"/>
      <w:szCs w:val="32"/>
    </w:rPr>
  </w:style>
  <w:style w:type="character" w:customStyle="1" w:styleId="m201">
    <w:name w:val="m_201"/>
    <w:qFormat/>
  </w:style>
  <w:style w:type="character" w:customStyle="1" w:styleId="CharChar212">
    <w:name w:val="Char Char212"/>
    <w:rPr>
      <w:rFonts w:ascii="Calibri" w:eastAsia="宋体" w:hAnsi="Calibri"/>
      <w:b/>
      <w:kern w:val="2"/>
      <w:sz w:val="24"/>
      <w:lang w:val="en-US" w:eastAsia="zh-CN" w:bidi="ar-SA"/>
    </w:rPr>
  </w:style>
  <w:style w:type="character" w:customStyle="1" w:styleId="Charf3">
    <w:name w:val="副标题 Char"/>
    <w:link w:val="aff1"/>
    <w:rPr>
      <w:rFonts w:ascii="Arial" w:hAnsi="Arial" w:cs="Arial"/>
      <w:b/>
      <w:bCs/>
      <w:kern w:val="28"/>
      <w:sz w:val="32"/>
      <w:szCs w:val="32"/>
    </w:rPr>
  </w:style>
  <w:style w:type="character" w:customStyle="1" w:styleId="CharCharCharCharChar30">
    <w:name w:val="Char Char Char Char Char3"/>
    <w:rPr>
      <w:rFonts w:eastAsia="宋体"/>
      <w:kern w:val="2"/>
      <w:sz w:val="24"/>
      <w:szCs w:val="24"/>
      <w:lang w:val="en-US" w:eastAsia="zh-CN" w:bidi="ar-SA"/>
    </w:rPr>
  </w:style>
  <w:style w:type="character" w:customStyle="1" w:styleId="CharCharfffff5">
    <w:name w:val="宁联正文 Char Char"/>
    <w:link w:val="affffffffffff1"/>
    <w:rPr>
      <w:rFonts w:eastAsia="仿宋_GB2312"/>
      <w:sz w:val="28"/>
      <w:szCs w:val="28"/>
    </w:rPr>
  </w:style>
  <w:style w:type="paragraph" w:customStyle="1" w:styleId="affffffffffff1">
    <w:name w:val="宁联正文"/>
    <w:basedOn w:val="a2"/>
    <w:link w:val="CharCharfffff5"/>
    <w:qFormat/>
    <w:pPr>
      <w:snapToGrid w:val="0"/>
      <w:spacing w:line="360" w:lineRule="auto"/>
      <w:ind w:firstLineChars="200" w:firstLine="200"/>
    </w:pPr>
    <w:rPr>
      <w:rFonts w:eastAsia="仿宋_GB2312"/>
      <w:szCs w:val="28"/>
    </w:rPr>
  </w:style>
  <w:style w:type="character" w:customStyle="1" w:styleId="style6">
    <w:name w:val="style6"/>
    <w:basedOn w:val="a4"/>
  </w:style>
  <w:style w:type="character" w:customStyle="1" w:styleId="HTMLChar10">
    <w:name w:val="HTML 预设格式 Char1"/>
    <w:locked/>
    <w:rPr>
      <w:rFonts w:ascii="宋体" w:eastAsia="宋体"/>
      <w:sz w:val="24"/>
    </w:rPr>
  </w:style>
  <w:style w:type="character" w:customStyle="1" w:styleId="Char2CharChar">
    <w:name w:val="Char2 Char Char"/>
    <w:link w:val="Char210"/>
    <w:rPr>
      <w:sz w:val="24"/>
      <w:szCs w:val="24"/>
    </w:rPr>
  </w:style>
  <w:style w:type="paragraph" w:customStyle="1" w:styleId="Char210">
    <w:name w:val="Char21"/>
    <w:basedOn w:val="a2"/>
    <w:link w:val="Char2CharChar"/>
    <w:qFormat/>
    <w:rPr>
      <w:sz w:val="24"/>
      <w:szCs w:val="24"/>
    </w:rPr>
  </w:style>
  <w:style w:type="character" w:customStyle="1" w:styleId="EmailStyle249">
    <w:name w:val="EmailStyle249"/>
    <w:rPr>
      <w:rFonts w:ascii="Arial" w:eastAsia="宋体" w:hAnsi="Arial" w:cs="Arial"/>
      <w:color w:val="000080"/>
      <w:sz w:val="18"/>
      <w:szCs w:val="20"/>
    </w:rPr>
  </w:style>
  <w:style w:type="character" w:customStyle="1" w:styleId="ParaCharCharChar1CharCharCharCharCharCharCharCharCharCharChar">
    <w:name w:val="默认段落字体 Para Char Char Char1 Char Char Char Char Char Char Char Char Char Char Char"/>
    <w:rPr>
      <w:rFonts w:eastAsia="宋体"/>
      <w:kern w:val="2"/>
      <w:sz w:val="24"/>
      <w:szCs w:val="24"/>
      <w:lang w:val="en-US" w:eastAsia="zh-CN" w:bidi="ar-SA"/>
    </w:rPr>
  </w:style>
  <w:style w:type="character" w:customStyle="1" w:styleId="englishfontChar1Char1">
    <w:name w:val="englishfont Char1 Char1"/>
    <w:link w:val="englishfontChar1"/>
    <w:rPr>
      <w:rFonts w:ascii="Arial" w:hAnsi="Arial"/>
      <w:bCs/>
      <w:sz w:val="18"/>
      <w:szCs w:val="24"/>
    </w:rPr>
  </w:style>
  <w:style w:type="paragraph" w:customStyle="1" w:styleId="englishfontChar1">
    <w:name w:val="englishfont Char1"/>
    <w:basedOn w:val="a2"/>
    <w:link w:val="englishfontChar1Char1"/>
    <w:qFormat/>
    <w:pPr>
      <w:jc w:val="both"/>
    </w:pPr>
    <w:rPr>
      <w:rFonts w:hAnsi="Arial"/>
      <w:bCs/>
      <w:sz w:val="18"/>
      <w:szCs w:val="24"/>
    </w:rPr>
  </w:style>
  <w:style w:type="character" w:customStyle="1" w:styleId="Charfffffffff0">
    <w:name w:val="海港表头 Char"/>
    <w:rPr>
      <w:rFonts w:eastAsia="仿宋_GB2312" w:cs="宋体"/>
      <w:kern w:val="21"/>
      <w:sz w:val="21"/>
      <w:szCs w:val="24"/>
      <w:lang w:val="en-US" w:eastAsia="zh-CN" w:bidi="ar-SA"/>
    </w:rPr>
  </w:style>
  <w:style w:type="character" w:customStyle="1" w:styleId="CharCharfffff6">
    <w:name w:val="黄桥表头 Char Char"/>
    <w:link w:val="affffffffffff2"/>
    <w:rPr>
      <w:rFonts w:eastAsia="宋体" w:cs="宋体"/>
      <w:b/>
      <w:bCs/>
      <w:sz w:val="24"/>
      <w:szCs w:val="24"/>
    </w:rPr>
  </w:style>
  <w:style w:type="paragraph" w:customStyle="1" w:styleId="affffffffffff2">
    <w:name w:val="黄桥表头"/>
    <w:basedOn w:val="a2"/>
    <w:link w:val="CharCharfffff6"/>
    <w:qFormat/>
    <w:pPr>
      <w:widowControl/>
      <w:spacing w:beforeLines="20" w:before="62" w:afterLines="30" w:after="93"/>
      <w:jc w:val="center"/>
    </w:pPr>
    <w:rPr>
      <w:rFonts w:eastAsia="宋体" w:cs="宋体"/>
      <w:b/>
      <w:bCs/>
      <w:sz w:val="24"/>
      <w:szCs w:val="24"/>
    </w:rPr>
  </w:style>
  <w:style w:type="character" w:customStyle="1" w:styleId="CharCharfffff7">
    <w:name w:val="款名 Char Char"/>
    <w:link w:val="affffffffffff3"/>
    <w:rPr>
      <w:rFonts w:hAnsi="宋体"/>
      <w:b/>
      <w:sz w:val="24"/>
      <w:szCs w:val="24"/>
    </w:rPr>
  </w:style>
  <w:style w:type="paragraph" w:customStyle="1" w:styleId="affffffffffff3">
    <w:name w:val="款名"/>
    <w:basedOn w:val="a2"/>
    <w:link w:val="CharCharfffff7"/>
    <w:qFormat/>
    <w:pPr>
      <w:spacing w:beforeLines="50" w:before="156" w:afterLines="50" w:after="156" w:line="360" w:lineRule="auto"/>
      <w:textAlignment w:val="baseline"/>
    </w:pPr>
    <w:rPr>
      <w:rFonts w:hAnsi="宋体"/>
      <w:b/>
      <w:sz w:val="24"/>
      <w:szCs w:val="24"/>
    </w:rPr>
  </w:style>
  <w:style w:type="character" w:customStyle="1" w:styleId="105v1">
    <w:name w:val="105v1"/>
    <w:rPr>
      <w:rFonts w:ascii="宋体" w:eastAsia="宋体" w:hAnsi="宋体"/>
      <w:sz w:val="21"/>
    </w:rPr>
  </w:style>
  <w:style w:type="character" w:customStyle="1" w:styleId="CharCharfffff8">
    <w:name w:val="王涵 表格 Char Char"/>
    <w:link w:val="affffffffffff4"/>
    <w:rPr>
      <w:rFonts w:eastAsia="Times New Roman" w:hAnsi="宋体"/>
      <w:szCs w:val="21"/>
    </w:rPr>
  </w:style>
  <w:style w:type="paragraph" w:customStyle="1" w:styleId="affffffffffff4">
    <w:name w:val="王涵 表格"/>
    <w:basedOn w:val="a2"/>
    <w:link w:val="CharCharfffff8"/>
    <w:qFormat/>
    <w:pPr>
      <w:jc w:val="center"/>
    </w:pPr>
    <w:rPr>
      <w:rFonts w:eastAsia="Times New Roman" w:hAnsi="宋体"/>
    </w:rPr>
  </w:style>
  <w:style w:type="character" w:customStyle="1" w:styleId="CharChar1b">
    <w:name w:val="无页眉 Char Char1"/>
    <w:qFormat/>
    <w:rPr>
      <w:rFonts w:eastAsia="宋体"/>
      <w:kern w:val="2"/>
      <w:sz w:val="18"/>
      <w:szCs w:val="18"/>
      <w:lang w:val="en-US" w:eastAsia="zh-CN" w:bidi="ar-SA"/>
    </w:rPr>
  </w:style>
  <w:style w:type="character" w:customStyle="1" w:styleId="CharCharfffff9">
    <w:name w:val="表格文字 Char Char"/>
    <w:rPr>
      <w:rFonts w:ascii="仿宋_GB2312" w:eastAsia="仿宋_GB2312" w:hAnsi="Arial Black"/>
      <w:kern w:val="44"/>
      <w:sz w:val="24"/>
      <w:lang w:val="en-US" w:eastAsia="zh-CN" w:bidi="ar-SA"/>
    </w:rPr>
  </w:style>
  <w:style w:type="character" w:customStyle="1" w:styleId="CharChar91">
    <w:name w:val="Char Char91"/>
    <w:rPr>
      <w:rFonts w:ascii="宋体" w:eastAsia="宋体" w:hAnsi="Courier New"/>
      <w:sz w:val="21"/>
      <w:lang w:val="en-US" w:eastAsia="zh-CN" w:bidi="ar-SA"/>
    </w:rPr>
  </w:style>
  <w:style w:type="character" w:customStyle="1" w:styleId="style231">
    <w:name w:val="style231"/>
    <w:rPr>
      <w:color w:val="666666"/>
      <w:sz w:val="20"/>
      <w:szCs w:val="20"/>
    </w:rPr>
  </w:style>
  <w:style w:type="character" w:customStyle="1" w:styleId="f3">
    <w:name w:val="f3"/>
    <w:basedOn w:val="a4"/>
  </w:style>
  <w:style w:type="character" w:customStyle="1" w:styleId="f11-160-nonestyle2">
    <w:name w:val="f11-160-none style2"/>
    <w:basedOn w:val="a4"/>
  </w:style>
  <w:style w:type="character" w:customStyle="1" w:styleId="CharChar162">
    <w:name w:val="Char Char162"/>
    <w:rPr>
      <w:rFonts w:ascii="宋体" w:eastAsia="宋体" w:hAnsi="Courier New"/>
      <w:sz w:val="21"/>
      <w:lang w:val="en-US" w:eastAsia="zh-CN" w:bidi="ar-SA"/>
    </w:rPr>
  </w:style>
  <w:style w:type="character" w:customStyle="1" w:styleId="content1">
    <w:name w:val="content1"/>
  </w:style>
  <w:style w:type="character" w:customStyle="1" w:styleId="l151">
    <w:name w:val="l151"/>
    <w:basedOn w:val="a4"/>
  </w:style>
  <w:style w:type="character" w:customStyle="1" w:styleId="131pt">
    <w:name w:val="正文文本 (13) + 间距 1 pt"/>
    <w:rPr>
      <w:rFonts w:ascii="Batang" w:eastAsia="Batang" w:cs="Batang"/>
      <w:spacing w:val="20"/>
      <w:sz w:val="26"/>
      <w:szCs w:val="26"/>
      <w:u w:val="none"/>
      <w:lang w:val="en-US" w:eastAsia="en-US"/>
    </w:rPr>
  </w:style>
  <w:style w:type="character" w:customStyle="1" w:styleId="Charfffffffff1">
    <w:name w:val="批注引用 Char"/>
    <w:rPr>
      <w:rFonts w:cs="Times New Roman"/>
      <w:color w:val="000000"/>
      <w:sz w:val="21"/>
      <w:u w:color="000000"/>
      <w:lang w:val="en-US" w:eastAsia="zh-CN"/>
    </w:rPr>
  </w:style>
  <w:style w:type="character" w:customStyle="1" w:styleId="12font1">
    <w:name w:val="12font1"/>
    <w:rPr>
      <w:sz w:val="18"/>
    </w:rPr>
  </w:style>
  <w:style w:type="character" w:customStyle="1" w:styleId="CharChar183">
    <w:name w:val="Char Char183"/>
    <w:rPr>
      <w:snapToGrid/>
      <w:spacing w:val="10"/>
      <w:sz w:val="24"/>
    </w:rPr>
  </w:style>
  <w:style w:type="character" w:customStyle="1" w:styleId="a121">
    <w:name w:val="a121"/>
    <w:rPr>
      <w:rFonts w:hint="default"/>
      <w:color w:val="000000"/>
      <w:sz w:val="20"/>
      <w:szCs w:val="20"/>
    </w:rPr>
  </w:style>
  <w:style w:type="character" w:customStyle="1" w:styleId="ttitle1">
    <w:name w:val="ttitle1"/>
    <w:rPr>
      <w:spacing w:val="120"/>
      <w:sz w:val="21"/>
      <w:szCs w:val="21"/>
    </w:rPr>
  </w:style>
  <w:style w:type="character" w:customStyle="1" w:styleId="HTMLChar30">
    <w:name w:val="HTML 地址 Char3"/>
    <w:uiPriority w:val="99"/>
    <w:semiHidden/>
    <w:rPr>
      <w:i/>
      <w:iCs/>
    </w:rPr>
  </w:style>
  <w:style w:type="character" w:customStyle="1" w:styleId="affffffffffff5">
    <w:name w:val="样式 黑体 四号"/>
    <w:rPr>
      <w:rFonts w:ascii="黑体" w:eastAsia="宋体" w:hAnsi="黑体"/>
      <w:sz w:val="28"/>
    </w:rPr>
  </w:style>
  <w:style w:type="character" w:customStyle="1" w:styleId="Charf6">
    <w:name w:val="标题 Char"/>
    <w:link w:val="aff7"/>
    <w:rPr>
      <w:rFonts w:ascii="Arial" w:hAnsi="Arial" w:cs="Arial"/>
      <w:b/>
      <w:bCs/>
      <w:sz w:val="32"/>
      <w:szCs w:val="32"/>
    </w:rPr>
  </w:style>
  <w:style w:type="character" w:customStyle="1" w:styleId="4Char11">
    <w:name w:val="标题 4 Char1"/>
    <w:rPr>
      <w:rFonts w:ascii="Arial" w:eastAsia="黑体" w:hAnsi="Arial"/>
      <w:b/>
      <w:bCs/>
      <w:kern w:val="2"/>
      <w:sz w:val="28"/>
      <w:szCs w:val="28"/>
      <w:lang w:val="en-US" w:eastAsia="zh-CN" w:bidi="ar-SA"/>
    </w:rPr>
  </w:style>
  <w:style w:type="character" w:customStyle="1" w:styleId="f141">
    <w:name w:val="f141"/>
    <w:rPr>
      <w:sz w:val="22"/>
      <w:szCs w:val="22"/>
    </w:rPr>
  </w:style>
  <w:style w:type="character" w:customStyle="1" w:styleId="4CharCharChar">
    <w:name w:val="样式4 Char Char Char"/>
    <w:link w:val="4Char2"/>
    <w:rPr>
      <w:rFonts w:eastAsia="仿宋_GB2312"/>
      <w:sz w:val="28"/>
      <w:szCs w:val="24"/>
    </w:rPr>
  </w:style>
  <w:style w:type="paragraph" w:customStyle="1" w:styleId="4Char2">
    <w:name w:val="样式4 Char"/>
    <w:basedOn w:val="a2"/>
    <w:link w:val="4CharCharChar"/>
    <w:qFormat/>
    <w:pPr>
      <w:ind w:firstLineChars="200" w:firstLine="200"/>
      <w:jc w:val="both"/>
    </w:pPr>
    <w:rPr>
      <w:rFonts w:eastAsia="仿宋_GB2312"/>
      <w:szCs w:val="24"/>
    </w:rPr>
  </w:style>
  <w:style w:type="character" w:customStyle="1" w:styleId="Char4f1">
    <w:name w:val="日期 Char4"/>
    <w:uiPriority w:val="99"/>
    <w:semiHidden/>
  </w:style>
  <w:style w:type="character" w:customStyle="1" w:styleId="black1">
    <w:name w:val="black1"/>
    <w:rPr>
      <w:color w:val="000000"/>
      <w:sz w:val="18"/>
      <w:szCs w:val="18"/>
      <w:u w:val="none"/>
    </w:rPr>
  </w:style>
  <w:style w:type="character" w:customStyle="1" w:styleId="EmailStyle4391">
    <w:name w:val="EmailStyle4391"/>
    <w:rPr>
      <w:rFonts w:ascii="Arial" w:eastAsia="宋体" w:hAnsi="Arial" w:cs="Arial"/>
      <w:color w:val="000080"/>
      <w:sz w:val="18"/>
      <w:szCs w:val="20"/>
    </w:rPr>
  </w:style>
  <w:style w:type="character" w:customStyle="1" w:styleId="item21">
    <w:name w:val="item21"/>
    <w:rPr>
      <w:color w:val="000000"/>
      <w:sz w:val="18"/>
      <w:szCs w:val="18"/>
    </w:rPr>
  </w:style>
  <w:style w:type="character" w:customStyle="1" w:styleId="8Char0">
    <w:name w:val="样式8 Char"/>
    <w:link w:val="84"/>
    <w:rPr>
      <w:rFonts w:eastAsia="楷体_GB2312"/>
      <w:b/>
      <w:bCs/>
      <w:sz w:val="32"/>
      <w:szCs w:val="24"/>
    </w:rPr>
  </w:style>
  <w:style w:type="paragraph" w:customStyle="1" w:styleId="84">
    <w:name w:val="样式8"/>
    <w:basedOn w:val="22"/>
    <w:link w:val="8Char0"/>
    <w:qFormat/>
    <w:pPr>
      <w:snapToGrid w:val="0"/>
      <w:spacing w:before="0" w:after="0" w:line="360" w:lineRule="auto"/>
      <w:jc w:val="both"/>
    </w:pPr>
    <w:rPr>
      <w:rFonts w:asciiTheme="minorHAnsi" w:eastAsia="楷体_GB2312" w:hAnsiTheme="minorHAnsi" w:cstheme="minorBidi"/>
      <w:szCs w:val="24"/>
    </w:rPr>
  </w:style>
  <w:style w:type="character" w:customStyle="1" w:styleId="1CharChara">
    <w:name w:val="样式标题1 Char Char"/>
    <w:link w:val="1fff0"/>
    <w:rPr>
      <w:rFonts w:eastAsia="黑体" w:cs="宋体"/>
      <w:kern w:val="44"/>
      <w:sz w:val="36"/>
      <w:lang w:val="zh-CN"/>
    </w:rPr>
  </w:style>
  <w:style w:type="paragraph" w:customStyle="1" w:styleId="1fff0">
    <w:name w:val="样式标题1"/>
    <w:basedOn w:val="a2"/>
    <w:link w:val="1CharChara"/>
    <w:qFormat/>
    <w:pPr>
      <w:keepNext/>
      <w:keepLines/>
      <w:spacing w:before="120" w:after="120" w:line="336" w:lineRule="auto"/>
      <w:outlineLvl w:val="0"/>
    </w:pPr>
    <w:rPr>
      <w:rFonts w:eastAsia="黑体" w:cs="宋体"/>
      <w:kern w:val="44"/>
      <w:sz w:val="36"/>
      <w:szCs w:val="22"/>
      <w:lang w:val="zh-CN"/>
    </w:rPr>
  </w:style>
  <w:style w:type="character" w:customStyle="1" w:styleId="Charfffffffff2">
    <w:name w:val="样式 自动设置 Char"/>
    <w:rPr>
      <w:rFonts w:ascii="Times New Roman" w:eastAsia="宋体" w:hAnsi="Times New Roman" w:cs="宋体"/>
      <w:sz w:val="24"/>
      <w:szCs w:val="24"/>
    </w:rPr>
  </w:style>
  <w:style w:type="character" w:customStyle="1" w:styleId="Charfffffffff3">
    <w:name w:val="带括号的正文 Char"/>
    <w:rPr>
      <w:rFonts w:ascii="Times New Roman" w:eastAsia="宋体" w:hAnsi="Times New Roman" w:cs="Times New Roman"/>
      <w:sz w:val="24"/>
      <w:szCs w:val="28"/>
    </w:rPr>
  </w:style>
  <w:style w:type="character" w:customStyle="1" w:styleId="Char1ff3">
    <w:name w:val="正文文本缩进 Char1"/>
    <w:rPr>
      <w:kern w:val="2"/>
      <w:sz w:val="21"/>
      <w:szCs w:val="22"/>
    </w:rPr>
  </w:style>
  <w:style w:type="character" w:customStyle="1" w:styleId="cChar">
    <w:name w:val="网格型c Char"/>
    <w:rPr>
      <w:rFonts w:eastAsia="宋体"/>
      <w:kern w:val="2"/>
      <w:sz w:val="21"/>
      <w:szCs w:val="21"/>
      <w:lang w:val="en-US" w:eastAsia="zh-CN" w:bidi="ar-SA"/>
    </w:rPr>
  </w:style>
  <w:style w:type="character" w:customStyle="1" w:styleId="21Char">
    <w:name w:val="正文文字 21 Char"/>
    <w:rPr>
      <w:rFonts w:eastAsia="宋体"/>
      <w:kern w:val="2"/>
      <w:sz w:val="21"/>
      <w:szCs w:val="24"/>
      <w:lang w:val="en-US" w:eastAsia="zh-CN" w:bidi="ar-SA"/>
    </w:rPr>
  </w:style>
  <w:style w:type="character" w:customStyle="1" w:styleId="124">
    <w:name w:val="标题12"/>
  </w:style>
  <w:style w:type="character" w:customStyle="1" w:styleId="142CharChar">
    <w:name w:val="样式 样式 宋体 小四 行距: 多倍行距 1.4 字行2 + 黑色 Char Char"/>
    <w:link w:val="142"/>
    <w:rPr>
      <w:rFonts w:ascii="宋体" w:eastAsia="宋体" w:hAnsi="宋体" w:cs="宋体"/>
      <w:color w:val="000000"/>
      <w:sz w:val="24"/>
    </w:rPr>
  </w:style>
  <w:style w:type="paragraph" w:customStyle="1" w:styleId="142">
    <w:name w:val="样式 样式 宋体 小四 行距: 多倍行距 1.4 字行2 + 黑色"/>
    <w:basedOn w:val="a2"/>
    <w:link w:val="142CharChar"/>
    <w:qFormat/>
    <w:pPr>
      <w:spacing w:line="336" w:lineRule="auto"/>
      <w:ind w:firstLineChars="200" w:firstLine="480"/>
    </w:pPr>
    <w:rPr>
      <w:rFonts w:ascii="宋体" w:eastAsia="宋体" w:hAnsi="宋体" w:cs="宋体"/>
      <w:color w:val="000000"/>
      <w:sz w:val="24"/>
      <w:szCs w:val="22"/>
    </w:rPr>
  </w:style>
  <w:style w:type="character" w:customStyle="1" w:styleId="74">
    <w:name w:val="表格标题7"/>
    <w:rPr>
      <w:rFonts w:ascii="宋体" w:eastAsia="宋体" w:cs="宋体"/>
      <w:sz w:val="21"/>
      <w:szCs w:val="21"/>
      <w:u w:val="none"/>
    </w:rPr>
  </w:style>
  <w:style w:type="character" w:customStyle="1" w:styleId="Charfffffffff4">
    <w:name w:val="沁漠图标题 Char"/>
    <w:link w:val="affffffffffff6"/>
    <w:rPr>
      <w:rFonts w:hAnsi="宋体"/>
      <w:b/>
      <w:bCs/>
      <w:sz w:val="24"/>
      <w:szCs w:val="24"/>
    </w:rPr>
  </w:style>
  <w:style w:type="paragraph" w:customStyle="1" w:styleId="affffffffffff6">
    <w:name w:val="沁漠图标题"/>
    <w:basedOn w:val="affffff6"/>
    <w:link w:val="Charfffffffff4"/>
    <w:qFormat/>
    <w:pPr>
      <w:spacing w:beforeLines="0" w:before="0" w:afterLines="50" w:after="120"/>
    </w:pPr>
  </w:style>
  <w:style w:type="character" w:customStyle="1" w:styleId="CharChar243">
    <w:name w:val="Char Char243"/>
    <w:qFormat/>
    <w:rPr>
      <w:rFonts w:ascii="Arial" w:eastAsia="黑体" w:hAnsi="Arial"/>
      <w:b/>
      <w:bCs/>
      <w:kern w:val="2"/>
      <w:sz w:val="28"/>
      <w:szCs w:val="28"/>
      <w:lang w:val="en-US" w:eastAsia="zh-CN" w:bidi="ar-SA"/>
    </w:rPr>
  </w:style>
  <w:style w:type="character" w:customStyle="1" w:styleId="1Charf8">
    <w:name w:val="正文（首行缩进两字）1 Char"/>
    <w:qFormat/>
    <w:rPr>
      <w:rFonts w:ascii="仿宋_GB2312" w:eastAsia="长城仿宋体"/>
      <w:kern w:val="2"/>
      <w:sz w:val="28"/>
      <w:lang w:val="en-US" w:eastAsia="zh-CN" w:bidi="ar-SA"/>
    </w:rPr>
  </w:style>
  <w:style w:type="character" w:customStyle="1" w:styleId="0Char">
    <w:name w:val="表头0 Char"/>
    <w:link w:val="0"/>
    <w:qFormat/>
    <w:rPr>
      <w:rFonts w:ascii="Arial" w:hAnsi="Arial"/>
      <w:b/>
      <w:spacing w:val="-5"/>
      <w:lang w:bidi="en-US"/>
    </w:rPr>
  </w:style>
  <w:style w:type="paragraph" w:customStyle="1" w:styleId="0">
    <w:name w:val="表头0"/>
    <w:basedOn w:val="a2"/>
    <w:link w:val="0Char"/>
    <w:qFormat/>
    <w:pPr>
      <w:widowControl/>
      <w:autoSpaceDE/>
      <w:autoSpaceDN/>
      <w:adjustRightInd/>
      <w:spacing w:line="240" w:lineRule="exact"/>
      <w:jc w:val="center"/>
    </w:pPr>
    <w:rPr>
      <w:rFonts w:hAnsi="Arial"/>
      <w:b/>
      <w:spacing w:val="-5"/>
      <w:szCs w:val="22"/>
      <w:lang w:bidi="en-US"/>
    </w:rPr>
  </w:style>
  <w:style w:type="character" w:customStyle="1" w:styleId="33CharCharh3H3level3PIM3Level3HeadHeadin1Char">
    <w:name w:val="样式 标题 3标题 3 Char Char头h3H3level_3PIM 3Level 3 HeadHeadin...1 Char"/>
    <w:link w:val="33CharCharh3H3level3PIM3Level3HeadHeadin1"/>
    <w:qFormat/>
    <w:rPr>
      <w:rFonts w:ascii="仿宋_GB2312" w:eastAsia="仿宋_GB2312" w:hAnsi="宋体"/>
      <w:b/>
      <w:bCs/>
      <w:color w:val="000000"/>
      <w:sz w:val="28"/>
      <w:szCs w:val="32"/>
    </w:rPr>
  </w:style>
  <w:style w:type="paragraph" w:customStyle="1" w:styleId="33CharCharh3H3level3PIM3Level3HeadHeadin1">
    <w:name w:val="样式 标题 3标题 3 Char Char头h3H3level_3PIM 3Level 3 HeadHeadin...1"/>
    <w:basedOn w:val="32"/>
    <w:link w:val="33CharCharh3H3level3PIM3Level3HeadHeadin1Char"/>
    <w:qFormat/>
    <w:pPr>
      <w:spacing w:before="0" w:after="0" w:line="500" w:lineRule="exact"/>
      <w:jc w:val="both"/>
    </w:pPr>
    <w:rPr>
      <w:rFonts w:ascii="仿宋_GB2312" w:eastAsia="仿宋_GB2312" w:hAnsi="宋体"/>
      <w:color w:val="000000"/>
      <w:sz w:val="28"/>
    </w:rPr>
  </w:style>
  <w:style w:type="character" w:customStyle="1" w:styleId="lv14b1">
    <w:name w:val="lv14b1"/>
    <w:qFormat/>
    <w:rPr>
      <w:b/>
      <w:bCs/>
      <w:color w:val="009900"/>
      <w:sz w:val="21"/>
      <w:szCs w:val="21"/>
      <w:u w:val="none"/>
    </w:rPr>
  </w:style>
  <w:style w:type="character" w:customStyle="1" w:styleId="BCharChar0">
    <w:name w:val="正文B Char Char"/>
    <w:link w:val="B0"/>
    <w:qFormat/>
    <w:rPr>
      <w:rFonts w:eastAsia="楷体_GB2312"/>
      <w:spacing w:val="8"/>
      <w:sz w:val="28"/>
    </w:rPr>
  </w:style>
  <w:style w:type="paragraph" w:customStyle="1" w:styleId="B0">
    <w:name w:val="正文B"/>
    <w:basedOn w:val="a2"/>
    <w:link w:val="BCharChar0"/>
    <w:qFormat/>
    <w:pPr>
      <w:spacing w:line="390" w:lineRule="exact"/>
      <w:ind w:firstLine="601"/>
      <w:jc w:val="both"/>
      <w:textAlignment w:val="baseline"/>
    </w:pPr>
    <w:rPr>
      <w:spacing w:val="8"/>
      <w:szCs w:val="22"/>
    </w:rPr>
  </w:style>
  <w:style w:type="character" w:customStyle="1" w:styleId="2Char2">
    <w:name w:val="正文首行缩进 2 Char"/>
    <w:link w:val="2a"/>
    <w:rPr>
      <w:szCs w:val="24"/>
    </w:rPr>
  </w:style>
  <w:style w:type="character" w:customStyle="1" w:styleId="CharChar122">
    <w:name w:val="Char Char122"/>
  </w:style>
  <w:style w:type="character" w:customStyle="1" w:styleId="382Char">
    <w:name w:val="样式 样式 样式38 + 黑色 + 首行缩进:  2 字符 Char"/>
    <w:rPr>
      <w:rFonts w:ascii="宋体" w:eastAsia="仿宋_GB2312" w:hAnsi="宋体" w:cs="宋体"/>
      <w:color w:val="000000"/>
      <w:kern w:val="2"/>
      <w:sz w:val="28"/>
      <w:lang w:val="en-US" w:eastAsia="zh-CN" w:bidi="ar-SA"/>
    </w:rPr>
  </w:style>
  <w:style w:type="character" w:customStyle="1" w:styleId="CharChar53">
    <w:name w:val="Char Char53"/>
    <w:locked/>
    <w:rPr>
      <w:rFonts w:ascii="宋体" w:eastAsia="宋体" w:hAnsi="宋体"/>
      <w:kern w:val="2"/>
      <w:sz w:val="21"/>
      <w:szCs w:val="24"/>
      <w:lang w:val="en-US" w:eastAsia="zh-CN" w:bidi="ar-SA"/>
    </w:rPr>
  </w:style>
  <w:style w:type="character" w:customStyle="1" w:styleId="2CharCharf">
    <w:name w:val="公式 首行缩进:  2 字符 Char Char"/>
    <w:link w:val="2ff6"/>
    <w:rPr>
      <w:rFonts w:eastAsia="宋体" w:cs="宋体"/>
      <w:sz w:val="24"/>
      <w:szCs w:val="24"/>
    </w:rPr>
  </w:style>
  <w:style w:type="paragraph" w:customStyle="1" w:styleId="2ff6">
    <w:name w:val="公式 首行缩进:  2 字符"/>
    <w:basedOn w:val="a2"/>
    <w:link w:val="2CharCharf"/>
    <w:qFormat/>
    <w:pPr>
      <w:ind w:firstLineChars="200" w:firstLine="200"/>
      <w:textAlignment w:val="center"/>
    </w:pPr>
    <w:rPr>
      <w:rFonts w:eastAsia="宋体" w:cs="宋体"/>
      <w:sz w:val="24"/>
      <w:szCs w:val="24"/>
    </w:rPr>
  </w:style>
  <w:style w:type="character" w:customStyle="1" w:styleId="Charfffffffff5">
    <w:name w:val="正本文字 Char"/>
    <w:link w:val="affffffffffff7"/>
    <w:rPr>
      <w:kern w:val="18"/>
      <w:sz w:val="24"/>
    </w:rPr>
  </w:style>
  <w:style w:type="paragraph" w:customStyle="1" w:styleId="affffffffffff7">
    <w:name w:val="正本文字"/>
    <w:basedOn w:val="a2"/>
    <w:link w:val="Charfffffffff5"/>
    <w:qFormat/>
    <w:pPr>
      <w:snapToGrid w:val="0"/>
      <w:spacing w:line="360" w:lineRule="auto"/>
      <w:ind w:firstLineChars="200" w:firstLine="480"/>
    </w:pPr>
    <w:rPr>
      <w:kern w:val="18"/>
      <w:sz w:val="24"/>
      <w:szCs w:val="22"/>
    </w:rPr>
  </w:style>
  <w:style w:type="character" w:customStyle="1" w:styleId="Char4f2">
    <w:name w:val="页眉 Char4"/>
    <w:uiPriority w:val="99"/>
    <w:semiHidden/>
    <w:rPr>
      <w:sz w:val="18"/>
      <w:szCs w:val="18"/>
    </w:rPr>
  </w:style>
  <w:style w:type="character" w:customStyle="1" w:styleId="CharCharCharCharCharCharCharChar2">
    <w:name w:val="正文（首行缩进两字） Char Char Char Char Char Char Char Char"/>
    <w:rPr>
      <w:rFonts w:ascii="宋体" w:eastAsia="宋体" w:hAnsi="Arial Black"/>
      <w:kern w:val="18"/>
      <w:sz w:val="28"/>
      <w:lang w:val="en-US" w:eastAsia="zh-CN" w:bidi="ar-SA"/>
    </w:rPr>
  </w:style>
  <w:style w:type="character" w:customStyle="1" w:styleId="c1">
    <w:name w:val="c1"/>
    <w:rPr>
      <w:rFonts w:ascii="ˎ̥" w:hAnsi="ˎ̥" w:hint="default"/>
      <w:color w:val="000000"/>
      <w:sz w:val="21"/>
      <w:szCs w:val="21"/>
      <w:u w:val="none"/>
    </w:rPr>
  </w:style>
  <w:style w:type="character" w:customStyle="1" w:styleId="00000000000000Char">
    <w:name w:val="00000000000000 Char"/>
    <w:link w:val="00000000000000"/>
    <w:rPr>
      <w:rFonts w:ascii="宋体" w:hAnsi="宋体"/>
      <w:bCs/>
      <w:kern w:val="18"/>
      <w:sz w:val="24"/>
      <w:szCs w:val="21"/>
    </w:rPr>
  </w:style>
  <w:style w:type="paragraph" w:customStyle="1" w:styleId="00000000000000">
    <w:name w:val="00000000000000"/>
    <w:basedOn w:val="22"/>
    <w:link w:val="00000000000000Char"/>
    <w:qFormat/>
    <w:pPr>
      <w:keepNext w:val="0"/>
      <w:keepLines w:val="0"/>
      <w:tabs>
        <w:tab w:val="left" w:pos="576"/>
      </w:tabs>
      <w:snapToGrid w:val="0"/>
      <w:spacing w:before="0" w:after="0" w:line="360" w:lineRule="auto"/>
      <w:ind w:firstLineChars="200" w:firstLine="480"/>
      <w:jc w:val="both"/>
      <w:outlineLvl w:val="9"/>
    </w:pPr>
    <w:rPr>
      <w:rFonts w:ascii="宋体" w:eastAsiaTheme="minorEastAsia" w:hAnsi="宋体" w:cstheme="minorBidi"/>
      <w:b w:val="0"/>
      <w:kern w:val="18"/>
      <w:sz w:val="24"/>
      <w:szCs w:val="21"/>
    </w:rPr>
  </w:style>
  <w:style w:type="character" w:customStyle="1" w:styleId="BCharChar2">
    <w:name w:val="样式 B + 宋体 Char Char"/>
    <w:link w:val="B1"/>
    <w:rPr>
      <w:rFonts w:ascii="宋体" w:eastAsia="黑体" w:hAnsi="宋体"/>
      <w:b/>
      <w:bCs/>
      <w:spacing w:val="-10"/>
    </w:rPr>
  </w:style>
  <w:style w:type="paragraph" w:customStyle="1" w:styleId="B1">
    <w:name w:val="样式 B + 宋体"/>
    <w:basedOn w:val="affffffff5"/>
    <w:link w:val="BCharChar2"/>
    <w:qFormat/>
    <w:pPr>
      <w:snapToGrid w:val="0"/>
      <w:spacing w:before="0"/>
      <w:textAlignment w:val="baseline"/>
    </w:pPr>
    <w:rPr>
      <w:rFonts w:ascii="宋体" w:hAnsi="宋体"/>
      <w:b/>
      <w:bCs/>
      <w:spacing w:val="-10"/>
      <w:sz w:val="21"/>
      <w:szCs w:val="22"/>
    </w:rPr>
  </w:style>
  <w:style w:type="character" w:customStyle="1" w:styleId="Charfffffffff6">
    <w:name w:val="标准 Char"/>
    <w:rPr>
      <w:rFonts w:ascii="宋体" w:eastAsia="宋体"/>
      <w:sz w:val="28"/>
      <w:lang w:val="en-US" w:eastAsia="zh-CN" w:bidi="ar-SA"/>
    </w:rPr>
  </w:style>
  <w:style w:type="character" w:customStyle="1" w:styleId="p15">
    <w:name w:val="p15"/>
    <w:rPr>
      <w:rFonts w:ascii="宋体" w:eastAsia="宋体" w:hAnsi="宋体" w:cs="宋体"/>
      <w:kern w:val="2"/>
      <w:sz w:val="24"/>
      <w:szCs w:val="24"/>
      <w:lang w:val="en-US" w:eastAsia="zh-CN" w:bidi="ar-SA"/>
    </w:rPr>
  </w:style>
  <w:style w:type="character" w:customStyle="1" w:styleId="GB231210125Char">
    <w:name w:val="样式 普通(网站) + 仿宋_GB2312 四号 两端对齐 首行缩进:  1.01 厘米 行距: 固定值 25 磅 Char"/>
    <w:rPr>
      <w:rFonts w:ascii="仿宋_GB2312" w:eastAsia="仿宋_GB2312" w:hAnsi="宋体"/>
      <w:sz w:val="28"/>
      <w:szCs w:val="24"/>
    </w:rPr>
  </w:style>
  <w:style w:type="character" w:customStyle="1" w:styleId="x11">
    <w:name w:val="x11"/>
    <w:rPr>
      <w:rFonts w:hint="default"/>
      <w:color w:val="000000"/>
      <w:sz w:val="18"/>
      <w:u w:val="none"/>
    </w:rPr>
  </w:style>
  <w:style w:type="character" w:customStyle="1" w:styleId="span3">
    <w:name w:val="span3"/>
    <w:basedOn w:val="a4"/>
  </w:style>
  <w:style w:type="character" w:customStyle="1" w:styleId="Charfffffffff7">
    <w:name w:val="环保表头 Char"/>
    <w:rPr>
      <w:rFonts w:ascii="黑体" w:eastAsia="黑体" w:hAnsi="Times New Roman"/>
      <w:sz w:val="24"/>
      <w:szCs w:val="24"/>
      <w:lang w:bidi="ar-SA"/>
    </w:rPr>
  </w:style>
  <w:style w:type="character" w:customStyle="1" w:styleId="4CharChar3">
    <w:name w:val="样式 小4居中 + Char Char"/>
    <w:link w:val="4e"/>
    <w:rPr>
      <w:sz w:val="24"/>
      <w:szCs w:val="24"/>
    </w:rPr>
  </w:style>
  <w:style w:type="paragraph" w:customStyle="1" w:styleId="4e">
    <w:name w:val="样式 小4居中 +"/>
    <w:basedOn w:val="a2"/>
    <w:link w:val="4CharChar3"/>
    <w:qFormat/>
    <w:pPr>
      <w:snapToGrid w:val="0"/>
      <w:spacing w:beforeLines="15" w:before="46" w:afterLines="15" w:after="46" w:line="320" w:lineRule="atLeast"/>
      <w:jc w:val="center"/>
    </w:pPr>
    <w:rPr>
      <w:sz w:val="24"/>
      <w:szCs w:val="24"/>
    </w:rPr>
  </w:style>
  <w:style w:type="character" w:customStyle="1" w:styleId="TimesNewRomanCharChar1">
    <w:name w:val="样式 三级标题 + Times New Roman 自动设置 Char Char"/>
    <w:link w:val="TimesNewRoman0"/>
    <w:rPr>
      <w:rFonts w:eastAsia="仿宋_GB2312"/>
      <w:b/>
      <w:bCs/>
      <w:spacing w:val="1"/>
      <w:sz w:val="28"/>
    </w:rPr>
  </w:style>
  <w:style w:type="paragraph" w:customStyle="1" w:styleId="TimesNewRoman0">
    <w:name w:val="样式 三级标题 + Times New Roman 自动设置"/>
    <w:basedOn w:val="a2"/>
    <w:link w:val="TimesNewRomanCharChar1"/>
    <w:qFormat/>
    <w:pPr>
      <w:tabs>
        <w:tab w:val="left" w:pos="720"/>
        <w:tab w:val="left" w:pos="1969"/>
      </w:tabs>
      <w:spacing w:beforeLines="4" w:before="12" w:line="360" w:lineRule="auto"/>
      <w:ind w:left="1969" w:hanging="709"/>
      <w:outlineLvl w:val="2"/>
    </w:pPr>
    <w:rPr>
      <w:rFonts w:eastAsia="仿宋_GB2312"/>
      <w:b/>
      <w:bCs/>
      <w:spacing w:val="1"/>
      <w:szCs w:val="22"/>
    </w:rPr>
  </w:style>
  <w:style w:type="character" w:customStyle="1" w:styleId="CharCharChar9">
    <w:name w:val="表格文字 Char Char Char"/>
    <w:rPr>
      <w:rFonts w:ascii="Times New Roman" w:hAnsi="宋体"/>
      <w:bCs/>
      <w:snapToGrid w:val="0"/>
      <w:kern w:val="2"/>
      <w:sz w:val="21"/>
      <w:szCs w:val="21"/>
      <w:lang w:bidi="ar-SA"/>
    </w:rPr>
  </w:style>
  <w:style w:type="character" w:customStyle="1" w:styleId="CharCharCharChar20">
    <w:name w:val="环评正文 Char Char Char Char2"/>
    <w:rPr>
      <w:rFonts w:eastAsia="宋体"/>
      <w:snapToGrid w:val="0"/>
      <w:color w:val="000000"/>
      <w:kern w:val="21"/>
      <w:sz w:val="24"/>
      <w:szCs w:val="24"/>
      <w:lang w:val="en-US" w:eastAsia="zh-CN" w:bidi="ar-SA"/>
    </w:rPr>
  </w:style>
  <w:style w:type="character" w:customStyle="1" w:styleId="p141">
    <w:name w:val="p141"/>
    <w:rPr>
      <w:sz w:val="21"/>
      <w:szCs w:val="21"/>
      <w:u w:val="none"/>
    </w:rPr>
  </w:style>
  <w:style w:type="character" w:customStyle="1" w:styleId="hhcwtCharChar2">
    <w:name w:val="hhcwt表头 Char Char"/>
    <w:link w:val="hhcwt5"/>
    <w:rPr>
      <w:rFonts w:ascii="楷体_GB2312" w:eastAsia="楷体_GB2312" w:cs="宋体"/>
      <w:b/>
      <w:bCs/>
      <w:sz w:val="24"/>
    </w:rPr>
  </w:style>
  <w:style w:type="paragraph" w:customStyle="1" w:styleId="hhcwt5">
    <w:name w:val="hhcwt表头"/>
    <w:basedOn w:val="a2"/>
    <w:link w:val="hhcwtCharChar2"/>
    <w:qFormat/>
    <w:pPr>
      <w:spacing w:after="120" w:line="500" w:lineRule="exact"/>
      <w:jc w:val="center"/>
    </w:pPr>
    <w:rPr>
      <w:rFonts w:ascii="楷体_GB2312" w:cs="宋体"/>
      <w:b/>
      <w:bCs/>
      <w:sz w:val="24"/>
      <w:szCs w:val="22"/>
    </w:rPr>
  </w:style>
  <w:style w:type="character" w:customStyle="1" w:styleId="1Charf9">
    <w:name w:val="样式 标题 1 + 黑体 小三 非加粗 Char"/>
    <w:link w:val="10"/>
    <w:uiPriority w:val="99"/>
    <w:rPr>
      <w:rFonts w:ascii="黑体" w:eastAsia="黑体" w:hAnsi="黑体"/>
      <w:kern w:val="44"/>
      <w:sz w:val="30"/>
      <w:szCs w:val="44"/>
    </w:rPr>
  </w:style>
  <w:style w:type="paragraph" w:customStyle="1" w:styleId="10">
    <w:name w:val="样式 标题 1 + 黑体 小三 非加粗"/>
    <w:basedOn w:val="12"/>
    <w:link w:val="1Charf9"/>
    <w:uiPriority w:val="99"/>
    <w:qFormat/>
    <w:pPr>
      <w:numPr>
        <w:numId w:val="5"/>
      </w:numPr>
      <w:spacing w:before="340" w:after="330" w:line="578" w:lineRule="auto"/>
      <w:jc w:val="both"/>
      <w:textAlignment w:val="auto"/>
    </w:pPr>
    <w:rPr>
      <w:rFonts w:ascii="黑体" w:hAnsi="黑体"/>
      <w:bCs w:val="0"/>
      <w:sz w:val="30"/>
      <w:szCs w:val="44"/>
    </w:rPr>
  </w:style>
  <w:style w:type="character" w:customStyle="1" w:styleId="ourfont31">
    <w:name w:val="ourfont31"/>
    <w:rPr>
      <w:spacing w:val="20"/>
      <w:sz w:val="21"/>
      <w:szCs w:val="21"/>
    </w:rPr>
  </w:style>
  <w:style w:type="character" w:customStyle="1" w:styleId="-1Char">
    <w:name w:val="正文-1 Char"/>
    <w:link w:val="-1"/>
    <w:rPr>
      <w:sz w:val="24"/>
    </w:rPr>
  </w:style>
  <w:style w:type="paragraph" w:customStyle="1" w:styleId="-1">
    <w:name w:val="正文-1"/>
    <w:basedOn w:val="a2"/>
    <w:link w:val="-1Char"/>
    <w:qFormat/>
    <w:pPr>
      <w:spacing w:line="440" w:lineRule="exact"/>
      <w:ind w:firstLineChars="200" w:firstLine="200"/>
    </w:pPr>
    <w:rPr>
      <w:sz w:val="24"/>
      <w:szCs w:val="22"/>
    </w:rPr>
  </w:style>
  <w:style w:type="character" w:customStyle="1" w:styleId="6CharChar2">
    <w:name w:val="标6 Char Char"/>
    <w:link w:val="68"/>
    <w:rPr>
      <w:bCs/>
      <w:sz w:val="24"/>
      <w:szCs w:val="24"/>
    </w:rPr>
  </w:style>
  <w:style w:type="paragraph" w:customStyle="1" w:styleId="68">
    <w:name w:val="标6"/>
    <w:basedOn w:val="a2"/>
    <w:link w:val="6CharChar2"/>
    <w:qFormat/>
    <w:pPr>
      <w:keepNext/>
      <w:keepLines/>
      <w:tabs>
        <w:tab w:val="left" w:pos="420"/>
      </w:tabs>
      <w:snapToGrid w:val="0"/>
      <w:spacing w:before="240" w:after="120" w:line="360" w:lineRule="auto"/>
      <w:ind w:left="420" w:hanging="420"/>
      <w:jc w:val="both"/>
    </w:pPr>
    <w:rPr>
      <w:bCs/>
      <w:sz w:val="24"/>
      <w:szCs w:val="24"/>
    </w:rPr>
  </w:style>
  <w:style w:type="character" w:customStyle="1" w:styleId="aaaa1">
    <w:name w:val="aaaa1"/>
    <w:rPr>
      <w:rFonts w:ascii="Ђˎ̥" w:hAnsi="Ђˎ̥" w:hint="default"/>
      <w:color w:val="1E5494"/>
      <w:sz w:val="18"/>
      <w:szCs w:val="18"/>
    </w:rPr>
  </w:style>
  <w:style w:type="character" w:customStyle="1" w:styleId="311">
    <w:name w:val="正文文本 3 字符1"/>
    <w:basedOn w:val="a4"/>
    <w:uiPriority w:val="99"/>
    <w:semiHidden/>
    <w:rPr>
      <w:rFonts w:ascii="Arial" w:eastAsia="楷体_GB2312" w:hAnsi="Times New Roman" w:cs="Times New Roman"/>
      <w:spacing w:val="-6"/>
      <w:kern w:val="0"/>
      <w:sz w:val="16"/>
      <w:szCs w:val="16"/>
    </w:rPr>
  </w:style>
  <w:style w:type="character" w:customStyle="1" w:styleId="1fff1">
    <w:name w:val="签名 字符1"/>
    <w:basedOn w:val="a4"/>
    <w:uiPriority w:val="99"/>
    <w:semiHidden/>
    <w:rPr>
      <w:rFonts w:ascii="Arial" w:eastAsia="楷体_GB2312" w:hAnsi="Times New Roman" w:cs="Times New Roman"/>
      <w:spacing w:val="-6"/>
      <w:kern w:val="0"/>
      <w:sz w:val="28"/>
      <w:szCs w:val="20"/>
    </w:rPr>
  </w:style>
  <w:style w:type="character" w:customStyle="1" w:styleId="1fff2">
    <w:name w:val="电子邮件签名 字符1"/>
    <w:basedOn w:val="a4"/>
    <w:uiPriority w:val="99"/>
    <w:semiHidden/>
    <w:rPr>
      <w:rFonts w:ascii="Arial" w:eastAsia="楷体_GB2312" w:hAnsi="Times New Roman" w:cs="Times New Roman"/>
      <w:spacing w:val="-6"/>
      <w:kern w:val="0"/>
      <w:sz w:val="28"/>
      <w:szCs w:val="20"/>
    </w:rPr>
  </w:style>
  <w:style w:type="character" w:customStyle="1" w:styleId="213">
    <w:name w:val="正文文本缩进 2 字符1"/>
    <w:basedOn w:val="a4"/>
    <w:uiPriority w:val="99"/>
    <w:semiHidden/>
    <w:rPr>
      <w:rFonts w:ascii="Arial" w:eastAsia="楷体_GB2312" w:hAnsi="Times New Roman" w:cs="Times New Roman"/>
      <w:spacing w:val="-6"/>
      <w:kern w:val="0"/>
      <w:sz w:val="28"/>
      <w:szCs w:val="20"/>
    </w:rPr>
  </w:style>
  <w:style w:type="character" w:customStyle="1" w:styleId="1fff3">
    <w:name w:val="信息标题 字符1"/>
    <w:basedOn w:val="a4"/>
    <w:uiPriority w:val="99"/>
    <w:semiHidden/>
    <w:rPr>
      <w:rFonts w:asciiTheme="majorHAnsi" w:eastAsiaTheme="majorEastAsia" w:hAnsiTheme="majorHAnsi" w:cstheme="majorBidi"/>
      <w:spacing w:val="-6"/>
      <w:kern w:val="0"/>
      <w:sz w:val="24"/>
      <w:szCs w:val="24"/>
      <w:shd w:val="pct20" w:color="auto" w:fill="auto"/>
    </w:rPr>
  </w:style>
  <w:style w:type="character" w:customStyle="1" w:styleId="1fff4">
    <w:name w:val="宏文本 字符1"/>
    <w:basedOn w:val="a4"/>
    <w:uiPriority w:val="99"/>
    <w:semiHidden/>
    <w:rPr>
      <w:rFonts w:ascii="Courier New" w:eastAsia="宋体" w:hAnsi="Courier New" w:cs="Courier New"/>
      <w:spacing w:val="-6"/>
      <w:kern w:val="0"/>
      <w:sz w:val="24"/>
      <w:szCs w:val="24"/>
    </w:rPr>
  </w:style>
  <w:style w:type="character" w:customStyle="1" w:styleId="1fff5">
    <w:name w:val="脚注文本 字符1"/>
    <w:basedOn w:val="a4"/>
    <w:uiPriority w:val="99"/>
    <w:semiHidden/>
    <w:rPr>
      <w:rFonts w:ascii="Arial" w:eastAsia="楷体_GB2312" w:hAnsi="Times New Roman" w:cs="Times New Roman"/>
      <w:spacing w:val="-6"/>
      <w:kern w:val="0"/>
      <w:sz w:val="18"/>
      <w:szCs w:val="18"/>
    </w:rPr>
  </w:style>
  <w:style w:type="character" w:customStyle="1" w:styleId="1fff6">
    <w:name w:val="正文文本缩进 字符1"/>
    <w:basedOn w:val="a4"/>
    <w:uiPriority w:val="99"/>
    <w:semiHidden/>
    <w:rPr>
      <w:rFonts w:ascii="Arial" w:eastAsia="楷体_GB2312" w:hAnsi="Times New Roman" w:cs="Times New Roman"/>
      <w:spacing w:val="-6"/>
      <w:kern w:val="0"/>
      <w:sz w:val="28"/>
      <w:szCs w:val="20"/>
    </w:rPr>
  </w:style>
  <w:style w:type="character" w:customStyle="1" w:styleId="1fff7">
    <w:name w:val="称呼 字符1"/>
    <w:basedOn w:val="a4"/>
    <w:uiPriority w:val="99"/>
    <w:semiHidden/>
    <w:rPr>
      <w:rFonts w:ascii="Arial" w:eastAsia="楷体_GB2312" w:hAnsi="Times New Roman" w:cs="Times New Roman"/>
      <w:spacing w:val="-6"/>
      <w:kern w:val="0"/>
      <w:sz w:val="28"/>
      <w:szCs w:val="20"/>
    </w:rPr>
  </w:style>
  <w:style w:type="character" w:customStyle="1" w:styleId="312">
    <w:name w:val="正文文本缩进 3 字符1"/>
    <w:basedOn w:val="a4"/>
    <w:uiPriority w:val="99"/>
    <w:semiHidden/>
    <w:qFormat/>
    <w:rPr>
      <w:rFonts w:ascii="Arial" w:eastAsia="楷体_GB2312" w:hAnsi="Times New Roman" w:cs="Times New Roman"/>
      <w:spacing w:val="-6"/>
      <w:kern w:val="0"/>
      <w:sz w:val="16"/>
      <w:szCs w:val="16"/>
    </w:rPr>
  </w:style>
  <w:style w:type="character" w:customStyle="1" w:styleId="1fff8">
    <w:name w:val="文档结构图 字符1"/>
    <w:basedOn w:val="a4"/>
    <w:uiPriority w:val="99"/>
    <w:semiHidden/>
    <w:qFormat/>
    <w:rPr>
      <w:rFonts w:ascii="Microsoft YaHei UI" w:eastAsia="Microsoft YaHei UI" w:hAnsi="Times New Roman" w:cs="Times New Roman"/>
      <w:spacing w:val="-6"/>
      <w:kern w:val="0"/>
      <w:sz w:val="18"/>
      <w:szCs w:val="18"/>
    </w:rPr>
  </w:style>
  <w:style w:type="character" w:customStyle="1" w:styleId="1fff9">
    <w:name w:val="正文文本 字符1"/>
    <w:basedOn w:val="a4"/>
    <w:uiPriority w:val="99"/>
    <w:semiHidden/>
    <w:rPr>
      <w:rFonts w:ascii="Arial" w:eastAsia="楷体_GB2312" w:hAnsi="Times New Roman" w:cs="Times New Roman"/>
      <w:spacing w:val="-6"/>
      <w:kern w:val="0"/>
      <w:sz w:val="28"/>
      <w:szCs w:val="20"/>
    </w:rPr>
  </w:style>
  <w:style w:type="character" w:customStyle="1" w:styleId="1fffa">
    <w:name w:val="尾注文本 字符1"/>
    <w:basedOn w:val="a4"/>
    <w:uiPriority w:val="99"/>
    <w:semiHidden/>
    <w:rPr>
      <w:rFonts w:ascii="Arial" w:eastAsia="楷体_GB2312" w:hAnsi="Times New Roman" w:cs="Times New Roman"/>
      <w:spacing w:val="-6"/>
      <w:kern w:val="0"/>
      <w:sz w:val="28"/>
      <w:szCs w:val="20"/>
    </w:rPr>
  </w:style>
  <w:style w:type="character" w:customStyle="1" w:styleId="HTML20">
    <w:name w:val="HTML 预设格式 字符2"/>
    <w:basedOn w:val="a4"/>
    <w:uiPriority w:val="99"/>
    <w:semiHidden/>
    <w:rPr>
      <w:rFonts w:ascii="Courier New" w:eastAsia="楷体_GB2312" w:hAnsi="Courier New" w:cs="Courier New"/>
      <w:spacing w:val="-6"/>
      <w:kern w:val="0"/>
      <w:sz w:val="20"/>
      <w:szCs w:val="20"/>
    </w:rPr>
  </w:style>
  <w:style w:type="character" w:customStyle="1" w:styleId="1fffb">
    <w:name w:val="注释标题 字符1"/>
    <w:basedOn w:val="a4"/>
    <w:uiPriority w:val="99"/>
    <w:semiHidden/>
    <w:rPr>
      <w:rFonts w:ascii="Arial" w:eastAsia="楷体_GB2312" w:hAnsi="Times New Roman" w:cs="Times New Roman"/>
      <w:spacing w:val="-6"/>
      <w:kern w:val="0"/>
      <w:sz w:val="28"/>
      <w:szCs w:val="20"/>
    </w:rPr>
  </w:style>
  <w:style w:type="character" w:customStyle="1" w:styleId="214">
    <w:name w:val="正文文本 2 字符1"/>
    <w:basedOn w:val="a4"/>
    <w:uiPriority w:val="99"/>
    <w:semiHidden/>
    <w:rPr>
      <w:rFonts w:ascii="Arial" w:eastAsia="楷体_GB2312" w:hAnsi="Times New Roman" w:cs="Times New Roman"/>
      <w:spacing w:val="-6"/>
      <w:kern w:val="0"/>
      <w:sz w:val="28"/>
      <w:szCs w:val="20"/>
    </w:rPr>
  </w:style>
  <w:style w:type="character" w:customStyle="1" w:styleId="1fffc">
    <w:name w:val="正文文本首行缩进 字符1"/>
    <w:basedOn w:val="1fff9"/>
    <w:uiPriority w:val="99"/>
    <w:semiHidden/>
    <w:rPr>
      <w:rFonts w:ascii="Arial" w:eastAsia="楷体_GB2312" w:hAnsi="Times New Roman" w:cs="Times New Roman"/>
      <w:spacing w:val="-6"/>
      <w:kern w:val="0"/>
      <w:sz w:val="28"/>
      <w:szCs w:val="20"/>
    </w:rPr>
  </w:style>
  <w:style w:type="character" w:customStyle="1" w:styleId="1fffd">
    <w:name w:val="副标题 字符1"/>
    <w:basedOn w:val="a4"/>
    <w:uiPriority w:val="11"/>
    <w:rPr>
      <w:b/>
      <w:bCs/>
      <w:spacing w:val="-6"/>
      <w:kern w:val="28"/>
      <w:sz w:val="32"/>
      <w:szCs w:val="32"/>
    </w:rPr>
  </w:style>
  <w:style w:type="character" w:customStyle="1" w:styleId="1fffe">
    <w:name w:val="结束语 字符1"/>
    <w:basedOn w:val="a4"/>
    <w:uiPriority w:val="99"/>
    <w:semiHidden/>
    <w:rPr>
      <w:rFonts w:ascii="Arial" w:eastAsia="楷体_GB2312" w:hAnsi="Times New Roman" w:cs="Times New Roman"/>
      <w:spacing w:val="-6"/>
      <w:kern w:val="0"/>
      <w:sz w:val="28"/>
      <w:szCs w:val="20"/>
    </w:rPr>
  </w:style>
  <w:style w:type="character" w:customStyle="1" w:styleId="216">
    <w:name w:val="正文文本首行缩进 2 字符1"/>
    <w:basedOn w:val="1fff6"/>
    <w:uiPriority w:val="99"/>
    <w:semiHidden/>
    <w:rPr>
      <w:rFonts w:ascii="Arial" w:eastAsia="楷体_GB2312" w:hAnsi="Times New Roman" w:cs="Times New Roman"/>
      <w:spacing w:val="-6"/>
      <w:kern w:val="0"/>
      <w:sz w:val="28"/>
      <w:szCs w:val="20"/>
    </w:rPr>
  </w:style>
  <w:style w:type="character" w:customStyle="1" w:styleId="1ffff">
    <w:name w:val="标题 字符1"/>
    <w:basedOn w:val="a4"/>
    <w:uiPriority w:val="10"/>
    <w:rPr>
      <w:rFonts w:asciiTheme="majorHAnsi" w:eastAsiaTheme="majorEastAsia" w:hAnsiTheme="majorHAnsi" w:cstheme="majorBidi"/>
      <w:b/>
      <w:bCs/>
      <w:spacing w:val="-6"/>
      <w:kern w:val="0"/>
      <w:sz w:val="32"/>
      <w:szCs w:val="32"/>
    </w:rPr>
  </w:style>
  <w:style w:type="character" w:customStyle="1" w:styleId="3fa">
    <w:name w:val="纯文本 字符3"/>
    <w:basedOn w:val="a4"/>
    <w:uiPriority w:val="99"/>
    <w:semiHidden/>
    <w:rPr>
      <w:rFonts w:asciiTheme="minorEastAsia" w:hAnsi="Courier New" w:cs="Courier New"/>
      <w:spacing w:val="-6"/>
      <w:kern w:val="0"/>
      <w:sz w:val="28"/>
      <w:szCs w:val="20"/>
    </w:rPr>
  </w:style>
  <w:style w:type="character" w:customStyle="1" w:styleId="HTML11">
    <w:name w:val="HTML 地址 字符1"/>
    <w:basedOn w:val="a4"/>
    <w:uiPriority w:val="99"/>
    <w:semiHidden/>
    <w:rPr>
      <w:rFonts w:ascii="Arial" w:eastAsia="楷体_GB2312" w:hAnsi="Times New Roman" w:cs="Times New Roman"/>
      <w:i/>
      <w:iCs/>
      <w:spacing w:val="-6"/>
      <w:kern w:val="0"/>
      <w:sz w:val="28"/>
      <w:szCs w:val="20"/>
    </w:rPr>
  </w:style>
  <w:style w:type="paragraph" w:customStyle="1" w:styleId="420">
    <w:name w:val="正文格式42"/>
    <w:basedOn w:val="a2"/>
    <w:uiPriority w:val="99"/>
    <w:qFormat/>
    <w:pPr>
      <w:spacing w:line="360" w:lineRule="auto"/>
      <w:ind w:firstLine="482"/>
      <w:jc w:val="both"/>
    </w:pPr>
    <w:rPr>
      <w:rFonts w:ascii="宋体" w:hAnsi="宋体"/>
      <w:sz w:val="24"/>
    </w:rPr>
  </w:style>
  <w:style w:type="paragraph" w:customStyle="1" w:styleId="2ff7">
    <w:name w:val="样式 正文文本 + 小四2"/>
    <w:basedOn w:val="af4"/>
    <w:uiPriority w:val="99"/>
    <w:qFormat/>
    <w:pPr>
      <w:tabs>
        <w:tab w:val="left" w:pos="1577"/>
      </w:tabs>
      <w:ind w:left="1200" w:hanging="720"/>
      <w:jc w:val="both"/>
    </w:pPr>
    <w:rPr>
      <w:kern w:val="0"/>
      <w:sz w:val="24"/>
      <w:szCs w:val="24"/>
    </w:rPr>
  </w:style>
  <w:style w:type="paragraph" w:customStyle="1" w:styleId="CharCharCharCharChar2CharCharCharCharCharCharChar">
    <w:name w:val="Char Char Char Char Char2 Char Char Char Char Char Char Char"/>
    <w:basedOn w:val="a2"/>
    <w:uiPriority w:val="99"/>
    <w:qFormat/>
    <w:pPr>
      <w:jc w:val="both"/>
    </w:pPr>
  </w:style>
  <w:style w:type="paragraph" w:customStyle="1" w:styleId="CharCharChar1CharCharChar1">
    <w:name w:val="Char Char Char1 Char Char Char1"/>
    <w:basedOn w:val="a2"/>
    <w:uiPriority w:val="99"/>
    <w:qFormat/>
    <w:pPr>
      <w:tabs>
        <w:tab w:val="left" w:pos="0"/>
      </w:tabs>
    </w:pPr>
    <w:rPr>
      <w:sz w:val="24"/>
    </w:rPr>
  </w:style>
  <w:style w:type="paragraph" w:customStyle="1" w:styleId="reader-word-layerreader-word-s1-30">
    <w:name w:val="reader-word-layer reader-word-s1-30"/>
    <w:basedOn w:val="a2"/>
    <w:uiPriority w:val="99"/>
    <w:qFormat/>
    <w:pPr>
      <w:spacing w:before="100" w:beforeAutospacing="1" w:after="100" w:afterAutospacing="1"/>
    </w:pPr>
    <w:rPr>
      <w:rFonts w:ascii="宋体" w:hAnsi="宋体" w:cs="宋体"/>
      <w:sz w:val="24"/>
    </w:rPr>
  </w:style>
  <w:style w:type="paragraph" w:customStyle="1" w:styleId="115">
    <w:name w:val="普通(网站)11"/>
    <w:basedOn w:val="a2"/>
    <w:uiPriority w:val="99"/>
    <w:qFormat/>
    <w:pPr>
      <w:jc w:val="both"/>
    </w:pPr>
    <w:rPr>
      <w:sz w:val="24"/>
    </w:rPr>
  </w:style>
  <w:style w:type="paragraph" w:customStyle="1" w:styleId="affffffffffff8">
    <w:name w:val="正文样式"/>
    <w:basedOn w:val="afffffffff0"/>
    <w:qFormat/>
    <w:pPr>
      <w:spacing w:line="300" w:lineRule="auto"/>
      <w:ind w:firstLine="200"/>
    </w:pPr>
  </w:style>
  <w:style w:type="paragraph" w:customStyle="1" w:styleId="CharCharCharCharCharCharCharCharChar1CharCharChar1">
    <w:name w:val="Char Char Char Char Char Char Char Char Char1 Char Char Char1"/>
    <w:basedOn w:val="a2"/>
    <w:uiPriority w:val="99"/>
    <w:qFormat/>
    <w:pPr>
      <w:jc w:val="both"/>
    </w:pPr>
    <w:rPr>
      <w:sz w:val="24"/>
    </w:rPr>
  </w:style>
  <w:style w:type="paragraph" w:customStyle="1" w:styleId="314">
    <w:name w:val="正文31"/>
    <w:basedOn w:val="a2"/>
    <w:uiPriority w:val="99"/>
    <w:qFormat/>
    <w:pPr>
      <w:spacing w:line="480" w:lineRule="exact"/>
      <w:jc w:val="both"/>
      <w:textAlignment w:val="baseline"/>
    </w:pPr>
    <w:rPr>
      <w:spacing w:val="-2"/>
    </w:rPr>
  </w:style>
  <w:style w:type="paragraph" w:customStyle="1" w:styleId="CharCharfffffa">
    <w:name w:val="Char Char"/>
    <w:basedOn w:val="a2"/>
    <w:qFormat/>
    <w:pPr>
      <w:spacing w:line="360" w:lineRule="auto"/>
      <w:ind w:firstLineChars="200" w:firstLine="200"/>
    </w:pPr>
    <w:rPr>
      <w:color w:val="000000"/>
      <w:szCs w:val="28"/>
    </w:rPr>
  </w:style>
  <w:style w:type="paragraph" w:customStyle="1" w:styleId="CharCharCharCharCharCharCharCharChar1CharCharCharCharCharCharCharCharCharChar">
    <w:name w:val="Char Char Char Char Char Char Char Char Char1 Char Char Char Char Char Char Char Char Char Char"/>
    <w:basedOn w:val="a2"/>
    <w:uiPriority w:val="99"/>
    <w:qFormat/>
    <w:pPr>
      <w:jc w:val="both"/>
    </w:pPr>
  </w:style>
  <w:style w:type="paragraph" w:customStyle="1" w:styleId="CharCharCharCharCharChar1Char3">
    <w:name w:val="Char Char Char Char Char Char1 Char3"/>
    <w:basedOn w:val="a2"/>
    <w:uiPriority w:val="99"/>
    <w:qFormat/>
    <w:pPr>
      <w:spacing w:line="360" w:lineRule="auto"/>
      <w:ind w:firstLineChars="200" w:firstLine="200"/>
      <w:jc w:val="both"/>
    </w:pPr>
  </w:style>
  <w:style w:type="paragraph" w:customStyle="1" w:styleId="CharCharCharCharCharCharCharChar1CharCharCharCharCharCharCharCharCharCharCharChar1Char">
    <w:name w:val="Char Char Char Char Char Char Char Char1 Char Char Char Char Char Char Char Char Char Char Char Char1 Char"/>
    <w:basedOn w:val="a2"/>
    <w:uiPriority w:val="99"/>
    <w:qFormat/>
    <w:pPr>
      <w:jc w:val="both"/>
    </w:pPr>
    <w:rPr>
      <w:sz w:val="24"/>
    </w:rPr>
  </w:style>
  <w:style w:type="paragraph" w:customStyle="1" w:styleId="CharCharCharCharCharChar1CharCharCharChar">
    <w:name w:val="Char Char Char Char Char Char1 Char Char Char Char"/>
    <w:basedOn w:val="a2"/>
    <w:qFormat/>
    <w:pPr>
      <w:jc w:val="both"/>
    </w:pPr>
    <w:rPr>
      <w:rFonts w:ascii="Times New Roman"/>
    </w:rPr>
  </w:style>
  <w:style w:type="paragraph" w:customStyle="1" w:styleId="33CharChar3Char1113111h33rd">
    <w:name w:val="样式 标题 3标题 3 Char Char标题 3 Char1.1.1条标3条标题1.1.1二级节名h33rd..."/>
    <w:basedOn w:val="a2"/>
    <w:uiPriority w:val="99"/>
    <w:qFormat/>
    <w:pPr>
      <w:spacing w:beforeLines="50" w:before="156" w:afterLines="50" w:after="156" w:line="312" w:lineRule="auto"/>
      <w:jc w:val="both"/>
    </w:pPr>
    <w:rPr>
      <w:rFonts w:eastAsia="仿宋_GB2312" w:hAnsi="Arial" w:cs="宋体"/>
      <w:sz w:val="24"/>
    </w:rPr>
  </w:style>
  <w:style w:type="paragraph" w:customStyle="1" w:styleId="CharCharCharChar1CharCharChar2">
    <w:name w:val="Char Char Char Char1 Char Char Char2"/>
    <w:basedOn w:val="a2"/>
    <w:uiPriority w:val="99"/>
    <w:qFormat/>
    <w:pPr>
      <w:jc w:val="both"/>
    </w:pPr>
    <w:rPr>
      <w:rFonts w:ascii="Times New Roman"/>
    </w:rPr>
  </w:style>
  <w:style w:type="paragraph" w:customStyle="1" w:styleId="125">
    <w:name w:val="文本块12"/>
    <w:basedOn w:val="a2"/>
    <w:uiPriority w:val="99"/>
    <w:qFormat/>
    <w:pPr>
      <w:spacing w:before="100" w:after="100"/>
    </w:pPr>
    <w:rPr>
      <w:rFonts w:ascii="Times New Roman" w:eastAsia="Times New Roman"/>
      <w:sz w:val="22"/>
      <w:lang w:eastAsia="en-US"/>
    </w:rPr>
  </w:style>
  <w:style w:type="paragraph" w:customStyle="1" w:styleId="xl77">
    <w:name w:val="xl77"/>
    <w:basedOn w:val="a2"/>
    <w:qFormat/>
    <w:pPr>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1ffff0">
    <w:name w:val="文本块1"/>
    <w:basedOn w:val="a2"/>
    <w:uiPriority w:val="99"/>
    <w:qFormat/>
    <w:pPr>
      <w:spacing w:before="100" w:after="100"/>
    </w:pPr>
    <w:rPr>
      <w:rFonts w:eastAsia="Times New Roman"/>
      <w:sz w:val="22"/>
      <w:lang w:eastAsia="en-US"/>
    </w:rPr>
  </w:style>
  <w:style w:type="paragraph" w:customStyle="1" w:styleId="330">
    <w:name w:val="标题33"/>
    <w:basedOn w:val="25"/>
    <w:next w:val="32"/>
    <w:qFormat/>
    <w:pPr>
      <w:spacing w:after="0" w:line="500" w:lineRule="exact"/>
      <w:ind w:leftChars="0" w:left="0"/>
      <w:jc w:val="both"/>
    </w:pPr>
    <w:rPr>
      <w:rFonts w:ascii="仿宋_GB2312" w:eastAsia="仿宋_GB2312" w:hAnsi="仿宋_GB2312"/>
      <w:color w:val="000000"/>
      <w:sz w:val="28"/>
    </w:rPr>
  </w:style>
  <w:style w:type="paragraph" w:customStyle="1" w:styleId="CharCharCharCharCharCharCharCharChar1CharCharCharChar">
    <w:name w:val="Char Char Char Char Char Char Char Char Char1 Char Char Char Char"/>
    <w:basedOn w:val="a2"/>
    <w:qFormat/>
    <w:pPr>
      <w:spacing w:line="400" w:lineRule="exact"/>
      <w:jc w:val="both"/>
    </w:pPr>
  </w:style>
  <w:style w:type="paragraph" w:customStyle="1" w:styleId="affffffffffff9">
    <w:name w:val="样式 黑体 居中"/>
    <w:basedOn w:val="a2"/>
    <w:qFormat/>
    <w:pPr>
      <w:spacing w:line="520" w:lineRule="exact"/>
      <w:ind w:left="17" w:right="-91"/>
      <w:jc w:val="center"/>
      <w:textAlignment w:val="center"/>
    </w:pPr>
    <w:rPr>
      <w:rFonts w:hAnsi="宋体"/>
      <w:b/>
      <w:sz w:val="24"/>
    </w:rPr>
  </w:style>
  <w:style w:type="paragraph" w:customStyle="1" w:styleId="CharCharCharChar1CharCharCharCharCharCharCharCharCharCharCharChar2">
    <w:name w:val="Char Char Char Char1 Char Char Char Char Char Char Char Char Char Char Char Char2"/>
    <w:basedOn w:val="a2"/>
    <w:uiPriority w:val="99"/>
    <w:qFormat/>
    <w:pPr>
      <w:tabs>
        <w:tab w:val="left" w:pos="0"/>
      </w:tabs>
    </w:pPr>
    <w:rPr>
      <w:rFonts w:ascii="Times New Roman"/>
    </w:rPr>
  </w:style>
  <w:style w:type="paragraph" w:customStyle="1" w:styleId="Char4CharCharCharCharChar1">
    <w:name w:val="Char4 Char Char Char Char Char1"/>
    <w:basedOn w:val="a2"/>
    <w:uiPriority w:val="99"/>
    <w:qFormat/>
    <w:pPr>
      <w:jc w:val="both"/>
    </w:pPr>
    <w:rPr>
      <w:sz w:val="24"/>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2"/>
    <w:pPr>
      <w:jc w:val="both"/>
    </w:pPr>
    <w:rPr>
      <w:sz w:val="24"/>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2"/>
    <w:uiPriority w:val="99"/>
    <w:qFormat/>
    <w:pPr>
      <w:jc w:val="both"/>
    </w:pPr>
    <w:rPr>
      <w:rFonts w:ascii="Times New Roman"/>
    </w:rPr>
  </w:style>
  <w:style w:type="paragraph" w:customStyle="1" w:styleId="2ff8">
    <w:name w:val="样式 样式 正文文本缩进正文文字缩进 + 行距: 单倍行距 + 首行缩进:  2 字符"/>
    <w:basedOn w:val="affffffffffffa"/>
    <w:qFormat/>
    <w:pPr>
      <w:spacing w:line="500" w:lineRule="exact"/>
      <w:ind w:firstLine="200"/>
    </w:pPr>
  </w:style>
  <w:style w:type="paragraph" w:customStyle="1" w:styleId="affffffffffffa">
    <w:name w:val="样式 正文文本缩进正文文字缩进 + 行距: 单倍行距"/>
    <w:basedOn w:val="af5"/>
    <w:qFormat/>
    <w:pPr>
      <w:spacing w:after="0"/>
      <w:ind w:leftChars="0" w:left="0" w:firstLineChars="200" w:firstLine="480"/>
      <w:jc w:val="both"/>
    </w:pPr>
    <w:rPr>
      <w:rFonts w:cs="宋体"/>
      <w:sz w:val="28"/>
      <w:szCs w:val="20"/>
    </w:rPr>
  </w:style>
  <w:style w:type="paragraph" w:customStyle="1" w:styleId="CharCharCharCharCharCharCharCharChar1CharCharCharCharCharCharChar">
    <w:name w:val="Char Char Char Char Char Char Char Char Char1 Char Char Char Char Char Char Char"/>
    <w:basedOn w:val="a2"/>
    <w:pPr>
      <w:snapToGrid w:val="0"/>
      <w:spacing w:line="360" w:lineRule="auto"/>
      <w:ind w:firstLineChars="200" w:firstLine="200"/>
      <w:jc w:val="both"/>
    </w:pPr>
    <w:rPr>
      <w:rFonts w:eastAsia="仿宋_GB2312"/>
      <w:sz w:val="24"/>
    </w:rPr>
  </w:style>
  <w:style w:type="paragraph" w:customStyle="1" w:styleId="2112112H2SeHeadwsa2112Char1Ch">
    <w:name w:val="样式 标题 2节标题 1.1标题 21标题 12H2SeHead wsa2标题 1.1标题 2 Char1 Ch..."/>
    <w:basedOn w:val="22"/>
    <w:uiPriority w:val="99"/>
    <w:qFormat/>
    <w:pPr>
      <w:spacing w:beforeLines="100" w:before="312" w:afterLines="100" w:after="312" w:line="480" w:lineRule="exact"/>
      <w:jc w:val="both"/>
    </w:pPr>
    <w:rPr>
      <w:rFonts w:ascii="黑体" w:eastAsia="黑体" w:hAnsi="Arial" w:cs="宋体"/>
      <w:bCs w:val="0"/>
      <w:sz w:val="36"/>
      <w:szCs w:val="30"/>
    </w:rPr>
  </w:style>
  <w:style w:type="paragraph" w:customStyle="1" w:styleId="3fb">
    <w:name w:val="正文缩进3"/>
    <w:basedOn w:val="a2"/>
    <w:qFormat/>
    <w:pPr>
      <w:ind w:firstLineChars="200" w:firstLine="420"/>
    </w:pPr>
    <w:rPr>
      <w:rFonts w:hAnsi="宋体"/>
    </w:rPr>
  </w:style>
  <w:style w:type="paragraph" w:customStyle="1" w:styleId="news">
    <w:name w:val="news"/>
    <w:basedOn w:val="a2"/>
    <w:uiPriority w:val="99"/>
    <w:qFormat/>
    <w:pPr>
      <w:spacing w:before="100" w:beforeAutospacing="1" w:after="100" w:afterAutospacing="1"/>
    </w:pPr>
    <w:rPr>
      <w:rFonts w:ascii="宋体" w:hAnsi="宋体" w:cs="宋体"/>
      <w:sz w:val="20"/>
    </w:rPr>
  </w:style>
  <w:style w:type="paragraph" w:customStyle="1" w:styleId="4f">
    <w:name w:val="样式标题4"/>
    <w:basedOn w:val="a2"/>
    <w:qFormat/>
    <w:rPr>
      <w:szCs w:val="28"/>
    </w:rPr>
  </w:style>
  <w:style w:type="paragraph" w:customStyle="1" w:styleId="myformatcontentChar">
    <w:name w:val="myformat_content Char"/>
    <w:basedOn w:val="a2"/>
    <w:uiPriority w:val="99"/>
    <w:qFormat/>
    <w:pPr>
      <w:spacing w:beforeLines="50" w:before="156" w:afterLines="50" w:after="156" w:line="360" w:lineRule="exact"/>
      <w:ind w:firstLineChars="200" w:firstLine="480"/>
      <w:jc w:val="both"/>
    </w:pPr>
    <w:rPr>
      <w:sz w:val="24"/>
    </w:rPr>
  </w:style>
  <w:style w:type="paragraph" w:customStyle="1" w:styleId="ft05">
    <w:name w:val="ft05"/>
    <w:basedOn w:val="a2"/>
    <w:uiPriority w:val="99"/>
    <w:qFormat/>
    <w:rPr>
      <w:rFonts w:ascii="Times" w:hAnsi="Times" w:cs="Times"/>
      <w:color w:val="000000"/>
      <w:sz w:val="11"/>
      <w:szCs w:val="11"/>
    </w:rPr>
  </w:style>
  <w:style w:type="paragraph" w:customStyle="1" w:styleId="Char1CharCharCharCharCharCharCharChar2">
    <w:name w:val="Char1 Char Char Char Char Char Char Char Char2"/>
    <w:basedOn w:val="a2"/>
    <w:uiPriority w:val="99"/>
    <w:qFormat/>
    <w:pPr>
      <w:jc w:val="both"/>
    </w:pPr>
    <w:rPr>
      <w:rFonts w:ascii="Times New Roman"/>
    </w:rPr>
  </w:style>
  <w:style w:type="paragraph" w:customStyle="1" w:styleId="20303">
    <w:name w:val="样式 报告书正文 + 首行缩进:  2 字符 段前: 0.3 行 段后: 0.3 行"/>
    <w:basedOn w:val="a2"/>
    <w:uiPriority w:val="99"/>
    <w:qFormat/>
    <w:pPr>
      <w:spacing w:beforeLines="30" w:before="93" w:afterLines="30" w:after="93" w:line="360" w:lineRule="auto"/>
      <w:ind w:firstLineChars="200" w:firstLine="200"/>
      <w:jc w:val="both"/>
    </w:pPr>
    <w:rPr>
      <w:sz w:val="24"/>
    </w:rPr>
  </w:style>
  <w:style w:type="paragraph" w:customStyle="1" w:styleId="CharCharCharCharCharCharCharCharChar1CharCharCharCharCharCharCharCharChar1CharCharCharCharCharCharCharCharCharChar1">
    <w:name w:val="Char Char Char Char Char Char Char Char Char1 Char Char Char Char Char Char Char Char Char1 Char Char Char Char Char Char Char Char Char Char1"/>
    <w:basedOn w:val="a2"/>
    <w:uiPriority w:val="99"/>
    <w:qFormat/>
    <w:pPr>
      <w:jc w:val="both"/>
    </w:pPr>
    <w:rPr>
      <w:rFonts w:ascii="Times New Roman"/>
    </w:rPr>
  </w:style>
  <w:style w:type="paragraph" w:customStyle="1" w:styleId="affffffffffffb">
    <w:name w:val="表头名称"/>
    <w:basedOn w:val="a3"/>
    <w:qFormat/>
    <w:pPr>
      <w:spacing w:beforeLines="50" w:before="156" w:line="360" w:lineRule="auto"/>
      <w:ind w:firstLineChars="0" w:firstLine="0"/>
      <w:jc w:val="both"/>
    </w:pPr>
    <w:rPr>
      <w:rFonts w:ascii="黑体" w:eastAsia="黑体" w:hAnsi="宋体"/>
      <w:kern w:val="0"/>
      <w:sz w:val="24"/>
      <w:szCs w:val="20"/>
    </w:rPr>
  </w:style>
  <w:style w:type="paragraph" w:customStyle="1" w:styleId="affffffffffffc">
    <w:name w:val="项目"/>
    <w:basedOn w:val="a2"/>
    <w:uiPriority w:val="99"/>
    <w:qFormat/>
    <w:pPr>
      <w:tabs>
        <w:tab w:val="left" w:pos="420"/>
      </w:tabs>
      <w:spacing w:line="360" w:lineRule="auto"/>
      <w:ind w:left="420" w:hanging="420"/>
      <w:jc w:val="center"/>
    </w:pPr>
    <w:rPr>
      <w:rFonts w:ascii="宋体"/>
      <w:spacing w:val="20"/>
      <w:sz w:val="24"/>
    </w:rPr>
  </w:style>
  <w:style w:type="paragraph" w:customStyle="1" w:styleId="0741">
    <w:name w:val="样式 首行缩进:  0.74 厘米1"/>
    <w:basedOn w:val="a2"/>
    <w:uiPriority w:val="99"/>
    <w:qFormat/>
    <w:pPr>
      <w:spacing w:before="60"/>
      <w:ind w:firstLine="420"/>
      <w:jc w:val="both"/>
      <w:textAlignment w:val="baseline"/>
    </w:pPr>
    <w:rPr>
      <w:rFonts w:cs="宋体"/>
      <w:sz w:val="24"/>
    </w:rPr>
  </w:style>
  <w:style w:type="paragraph" w:customStyle="1" w:styleId="1ffff1">
    <w:name w:val="正文文本1"/>
    <w:basedOn w:val="a2"/>
    <w:uiPriority w:val="99"/>
    <w:qFormat/>
    <w:pPr>
      <w:spacing w:after="120"/>
      <w:jc w:val="both"/>
    </w:pPr>
    <w:rPr>
      <w:rFonts w:hint="eastAsia"/>
    </w:rPr>
  </w:style>
  <w:style w:type="paragraph" w:customStyle="1" w:styleId="218">
    <w:name w:val="正文文本21"/>
    <w:basedOn w:val="a2"/>
    <w:uiPriority w:val="99"/>
    <w:qFormat/>
    <w:pPr>
      <w:spacing w:line="360" w:lineRule="auto"/>
      <w:ind w:firstLineChars="200" w:firstLine="480"/>
      <w:jc w:val="both"/>
    </w:pPr>
  </w:style>
  <w:style w:type="paragraph" w:customStyle="1" w:styleId="Char2fe">
    <w:name w:val="Char2"/>
    <w:basedOn w:val="a2"/>
    <w:qFormat/>
    <w:rPr>
      <w:sz w:val="24"/>
    </w:rPr>
  </w:style>
  <w:style w:type="paragraph" w:customStyle="1" w:styleId="TimesNewRoman0015">
    <w:name w:val="样式 标题 + Times New Roman 四号 两端对齐 段前: 0 磅 段后: 0 磅 行距: 1.5 倍行距"/>
    <w:basedOn w:val="aff7"/>
    <w:uiPriority w:val="99"/>
    <w:qFormat/>
    <w:pPr>
      <w:spacing w:before="0" w:after="0"/>
      <w:jc w:val="both"/>
    </w:pPr>
    <w:rPr>
      <w:rFonts w:ascii="Times New Roman" w:hAnsi="Times New Roman" w:cs="宋体"/>
      <w:kern w:val="0"/>
      <w:sz w:val="28"/>
      <w:szCs w:val="20"/>
    </w:rPr>
  </w:style>
  <w:style w:type="paragraph" w:customStyle="1" w:styleId="2005">
    <w:name w:val="样式 样式 首行缩进:  2 字符 + 首行缩进:  0.05 字符"/>
    <w:basedOn w:val="2e"/>
    <w:uiPriority w:val="99"/>
    <w:qFormat/>
    <w:pPr>
      <w:adjustRightInd/>
      <w:snapToGrid/>
      <w:spacing w:line="480" w:lineRule="exact"/>
      <w:ind w:firstLine="200"/>
    </w:pPr>
    <w:rPr>
      <w:rFonts w:ascii="Times New Roman" w:eastAsia="宋体"/>
    </w:rPr>
  </w:style>
  <w:style w:type="paragraph" w:customStyle="1" w:styleId="040">
    <w:name w:val="表格04"/>
    <w:basedOn w:val="a2"/>
    <w:uiPriority w:val="99"/>
    <w:qFormat/>
    <w:pPr>
      <w:spacing w:line="360" w:lineRule="exact"/>
      <w:jc w:val="center"/>
      <w:textAlignment w:val="baseline"/>
    </w:pPr>
    <w:rPr>
      <w:snapToGrid w:val="0"/>
      <w:spacing w:val="-2"/>
      <w:sz w:val="18"/>
      <w:szCs w:val="18"/>
    </w:rPr>
  </w:style>
  <w:style w:type="paragraph" w:customStyle="1" w:styleId="160">
    <w:name w:val="样式16"/>
    <w:basedOn w:val="affffd"/>
    <w:pPr>
      <w:widowControl w:val="0"/>
      <w:autoSpaceDE/>
      <w:autoSpaceDN/>
      <w:adjustRightInd/>
      <w:snapToGrid/>
      <w:spacing w:line="240" w:lineRule="auto"/>
      <w:ind w:firstLineChars="200" w:firstLine="200"/>
      <w:textAlignment w:val="auto"/>
    </w:pPr>
    <w:rPr>
      <w:szCs w:val="21"/>
    </w:rPr>
  </w:style>
  <w:style w:type="paragraph" w:customStyle="1" w:styleId="3781">
    <w:name w:val="样式 样式 标题 3 + 段后: 7.8 磅 + 段前: 1 行"/>
    <w:basedOn w:val="378"/>
    <w:pPr>
      <w:spacing w:before="312" w:afterLines="50"/>
    </w:pPr>
  </w:style>
  <w:style w:type="paragraph" w:customStyle="1" w:styleId="378">
    <w:name w:val="样式 标题 3 + 段后: 7.8 磅"/>
    <w:basedOn w:val="32"/>
    <w:pPr>
      <w:autoSpaceDE/>
      <w:autoSpaceDN/>
      <w:adjustRightInd/>
      <w:spacing w:before="0" w:after="0" w:line="520" w:lineRule="atLeast"/>
      <w:jc w:val="both"/>
    </w:pPr>
    <w:rPr>
      <w:rFonts w:ascii="黑体" w:eastAsia="黑体" w:hAnsi="黑体"/>
      <w:bCs w:val="0"/>
      <w:sz w:val="24"/>
    </w:rPr>
  </w:style>
  <w:style w:type="paragraph" w:customStyle="1" w:styleId="02">
    <w:name w:val="样式 样式 列表 + 左侧:  0 厘米 悬挂缩进: 2 字符 + 红色"/>
    <w:basedOn w:val="020"/>
    <w:qFormat/>
    <w:pPr>
      <w:jc w:val="both"/>
    </w:pPr>
    <w:rPr>
      <w:b/>
    </w:rPr>
  </w:style>
  <w:style w:type="paragraph" w:customStyle="1" w:styleId="020">
    <w:name w:val="样式 列表 + 左侧:  0 厘米 悬挂缩进: 2 字符"/>
    <w:basedOn w:val="aff2"/>
    <w:qFormat/>
    <w:pPr>
      <w:tabs>
        <w:tab w:val="center" w:pos="4153"/>
        <w:tab w:val="right" w:pos="8306"/>
      </w:tabs>
      <w:snapToGrid w:val="0"/>
      <w:spacing w:line="320" w:lineRule="exact"/>
    </w:pPr>
    <w:rPr>
      <w:rFonts w:ascii="Times New Roman" w:eastAsia="宋体"/>
      <w:sz w:val="21"/>
      <w:szCs w:val="21"/>
    </w:rPr>
  </w:style>
  <w:style w:type="paragraph" w:customStyle="1" w:styleId="GB231212">
    <w:name w:val="样式 仿宋_GB2312 小四 居中 行距: 最小值 12 磅"/>
    <w:basedOn w:val="a2"/>
    <w:qFormat/>
    <w:pPr>
      <w:spacing w:line="400" w:lineRule="exact"/>
      <w:jc w:val="center"/>
    </w:pPr>
    <w:rPr>
      <w:rFonts w:ascii="仿宋_GB2312" w:cs="宋体"/>
    </w:rPr>
  </w:style>
  <w:style w:type="paragraph" w:customStyle="1" w:styleId="CharCharCharCharCharChar12">
    <w:name w:val="Char Char Char Char Char Char12"/>
    <w:basedOn w:val="a2"/>
    <w:uiPriority w:val="99"/>
    <w:qFormat/>
    <w:pPr>
      <w:jc w:val="both"/>
    </w:pPr>
    <w:rPr>
      <w:rFonts w:ascii="Times New Roman"/>
    </w:rPr>
  </w:style>
  <w:style w:type="paragraph" w:customStyle="1" w:styleId="Style52">
    <w:name w:val="_Style 52"/>
    <w:basedOn w:val="a2"/>
    <w:next w:val="39"/>
    <w:uiPriority w:val="99"/>
    <w:qFormat/>
    <w:pPr>
      <w:spacing w:after="120"/>
      <w:ind w:leftChars="200" w:left="420"/>
      <w:jc w:val="both"/>
      <w:textAlignment w:val="baseline"/>
    </w:pPr>
    <w:rPr>
      <w:rFonts w:ascii="宋体" w:hAnsi="宋体"/>
      <w:sz w:val="16"/>
    </w:rPr>
  </w:style>
  <w:style w:type="paragraph" w:customStyle="1" w:styleId="021">
    <w:name w:val="目录02"/>
    <w:basedOn w:val="a2"/>
    <w:uiPriority w:val="99"/>
    <w:qFormat/>
    <w:pPr>
      <w:spacing w:line="460" w:lineRule="exact"/>
      <w:jc w:val="both"/>
    </w:pPr>
    <w:rPr>
      <w:rFonts w:ascii="宋体" w:cs="宋体"/>
      <w:sz w:val="24"/>
    </w:rPr>
  </w:style>
  <w:style w:type="paragraph" w:customStyle="1" w:styleId="CharChar5CharChar">
    <w:name w:val="Char Char5 Char Char"/>
    <w:basedOn w:val="a2"/>
    <w:uiPriority w:val="99"/>
    <w:qFormat/>
    <w:pPr>
      <w:spacing w:line="360" w:lineRule="auto"/>
      <w:ind w:firstLineChars="200" w:firstLine="200"/>
      <w:jc w:val="both"/>
    </w:pPr>
  </w:style>
  <w:style w:type="paragraph" w:customStyle="1" w:styleId="211305057">
    <w:name w:val="样式 样式 标题 2 + 首行缩进:  1.13 厘米 + 段前: 0.5 行 段后: 0.5 行7"/>
    <w:basedOn w:val="2113"/>
    <w:uiPriority w:val="99"/>
    <w:qFormat/>
    <w:pPr>
      <w:spacing w:afterLines="0"/>
    </w:pPr>
  </w:style>
  <w:style w:type="paragraph" w:customStyle="1" w:styleId="Char2CharCharCharCharCharCharCharCharCharCharChar1CharCharCharCharCharCharCharCharChar2">
    <w:name w:val="Char2 Char Char Char Char Char Char Char Char Char Char Char1 Char Char Char Char Char Char Char Char Char2"/>
    <w:basedOn w:val="a2"/>
    <w:uiPriority w:val="99"/>
    <w:qFormat/>
    <w:pPr>
      <w:jc w:val="both"/>
    </w:pPr>
    <w:rPr>
      <w:rFonts w:ascii="Times New Roman"/>
    </w:rPr>
  </w:style>
  <w:style w:type="paragraph" w:customStyle="1" w:styleId="143">
    <w:name w:val="1标题4级"/>
    <w:basedOn w:val="133"/>
    <w:uiPriority w:val="99"/>
    <w:qFormat/>
  </w:style>
  <w:style w:type="paragraph" w:customStyle="1" w:styleId="133">
    <w:name w:val="1标题3级"/>
    <w:basedOn w:val="a2"/>
    <w:uiPriority w:val="99"/>
    <w:qFormat/>
    <w:pPr>
      <w:keepNext/>
      <w:snapToGrid w:val="0"/>
      <w:spacing w:line="420" w:lineRule="auto"/>
      <w:jc w:val="both"/>
      <w:textAlignment w:val="baseline"/>
    </w:pPr>
    <w:rPr>
      <w:rFonts w:ascii="宋体" w:eastAsia="黑体" w:hAnsi="宋体" w:hint="eastAsia"/>
      <w:b/>
    </w:rPr>
  </w:style>
  <w:style w:type="paragraph" w:customStyle="1" w:styleId="CharCharChar1CharCharCharCharCharCharCharCharCharCharCharCharCharCharCharCharCharCharCharCharCharCharCharCharCharCharChar">
    <w:name w:val="Char Char Char1 Char Char Char Char Char Char Char Char Char Char Char Char Char Char Char Char Char Char Char Char Char Char Char Char Char Char Char"/>
    <w:basedOn w:val="a2"/>
    <w:pPr>
      <w:spacing w:line="360" w:lineRule="auto"/>
    </w:pPr>
    <w:rPr>
      <w:sz w:val="24"/>
    </w:rPr>
  </w:style>
  <w:style w:type="paragraph" w:customStyle="1" w:styleId="CharCharCharCharChar2Char">
    <w:name w:val="Char Char Char Char Char2 Char"/>
    <w:basedOn w:val="a2"/>
    <w:semiHidden/>
    <w:qFormat/>
    <w:pPr>
      <w:snapToGrid w:val="0"/>
      <w:spacing w:line="360" w:lineRule="auto"/>
      <w:ind w:firstLineChars="200" w:firstLine="200"/>
      <w:jc w:val="both"/>
    </w:pPr>
    <w:rPr>
      <w:szCs w:val="26"/>
    </w:rPr>
  </w:style>
  <w:style w:type="paragraph" w:customStyle="1" w:styleId="affffffffffffd">
    <w:name w:val="正文楷体"/>
    <w:basedOn w:val="a2"/>
    <w:uiPriority w:val="99"/>
    <w:qFormat/>
    <w:pPr>
      <w:jc w:val="both"/>
    </w:pPr>
  </w:style>
  <w:style w:type="paragraph" w:customStyle="1" w:styleId="xl79">
    <w:name w:val="xl79"/>
    <w:basedOn w:val="a2"/>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Char1CharCharChar3">
    <w:name w:val="Char1 Char Char Char3"/>
    <w:basedOn w:val="a2"/>
    <w:uiPriority w:val="99"/>
    <w:qFormat/>
    <w:pPr>
      <w:jc w:val="both"/>
    </w:pPr>
    <w:rPr>
      <w:rFonts w:ascii="Times New Roman"/>
    </w:rPr>
  </w:style>
  <w:style w:type="paragraph" w:customStyle="1" w:styleId="2ff9">
    <w:name w:val="正文文本 (2)"/>
    <w:basedOn w:val="a2"/>
    <w:uiPriority w:val="99"/>
    <w:unhideWhenUsed/>
    <w:pPr>
      <w:shd w:val="clear" w:color="auto" w:fill="FFFFFF"/>
      <w:autoSpaceDE/>
      <w:autoSpaceDN/>
      <w:adjustRightInd/>
      <w:spacing w:line="466" w:lineRule="exact"/>
      <w:ind w:firstLineChars="200" w:firstLine="200"/>
      <w:jc w:val="both"/>
    </w:pPr>
    <w:rPr>
      <w:rFonts w:ascii="MingLiU" w:eastAsia="MingLiU" w:hAnsi="MingLiU" w:hint="eastAsia"/>
      <w:lang w:eastAsia="en-US"/>
    </w:rPr>
  </w:style>
  <w:style w:type="paragraph" w:customStyle="1" w:styleId="Char220">
    <w:name w:val="样式 样式 正文首行缩进正文首行缩进 Char + 首行缩进:  2 字符 + 首行缩进:  2 字符"/>
    <w:basedOn w:val="a2"/>
    <w:uiPriority w:val="99"/>
    <w:qFormat/>
    <w:pPr>
      <w:snapToGrid w:val="0"/>
      <w:spacing w:line="360" w:lineRule="auto"/>
      <w:ind w:firstLineChars="200" w:firstLine="420"/>
      <w:jc w:val="both"/>
      <w:textAlignment w:val="baseline"/>
    </w:pPr>
    <w:rPr>
      <w:lang w:val="zh-CN"/>
    </w:rPr>
  </w:style>
  <w:style w:type="paragraph" w:customStyle="1" w:styleId="Char2CharChar1CharCharChar2">
    <w:name w:val="Char2 Char Char1 Char Char Char2"/>
    <w:basedOn w:val="a2"/>
    <w:uiPriority w:val="99"/>
    <w:qFormat/>
    <w:pPr>
      <w:jc w:val="both"/>
    </w:pPr>
    <w:rPr>
      <w:rFonts w:ascii="Times New Roman"/>
    </w:rPr>
  </w:style>
  <w:style w:type="paragraph" w:customStyle="1" w:styleId="p6">
    <w:name w:val="p6"/>
    <w:basedOn w:val="a2"/>
    <w:qFormat/>
    <w:pPr>
      <w:tabs>
        <w:tab w:val="left" w:pos="4720"/>
      </w:tabs>
      <w:spacing w:line="240" w:lineRule="atLeast"/>
      <w:ind w:left="3280"/>
    </w:pPr>
    <w:rPr>
      <w:rFonts w:hAnsi="Arial"/>
      <w:snapToGrid w:val="0"/>
      <w:sz w:val="24"/>
      <w:lang w:eastAsia="en-US"/>
    </w:rPr>
  </w:style>
  <w:style w:type="paragraph" w:customStyle="1" w:styleId="TableParagraph">
    <w:name w:val="Table Paragraph"/>
    <w:basedOn w:val="a2"/>
    <w:uiPriority w:val="1"/>
    <w:qFormat/>
    <w:rPr>
      <w:rFonts w:ascii="Times New Roman" w:eastAsia="宋体"/>
    </w:rPr>
  </w:style>
  <w:style w:type="paragraph" w:customStyle="1" w:styleId="CharCharChar1CharCharCharChar4">
    <w:name w:val="Char Char Char1 Char Char Char Char4"/>
    <w:basedOn w:val="a2"/>
    <w:uiPriority w:val="99"/>
    <w:qFormat/>
    <w:pPr>
      <w:spacing w:line="360" w:lineRule="auto"/>
      <w:jc w:val="both"/>
    </w:pPr>
  </w:style>
  <w:style w:type="paragraph" w:customStyle="1" w:styleId="Char1CharCharCharCharChar1Char">
    <w:name w:val="Char1 Char Char Char Char Char1 Char"/>
    <w:basedOn w:val="a2"/>
    <w:semiHidden/>
    <w:pPr>
      <w:jc w:val="both"/>
    </w:pPr>
  </w:style>
  <w:style w:type="paragraph" w:customStyle="1" w:styleId="1ffff2">
    <w:name w:val="表格文字1"/>
    <w:basedOn w:val="a2"/>
    <w:uiPriority w:val="99"/>
    <w:qFormat/>
    <w:pPr>
      <w:tabs>
        <w:tab w:val="left" w:pos="0"/>
      </w:tabs>
      <w:spacing w:before="60" w:line="240" w:lineRule="exact"/>
      <w:ind w:left="78" w:right="57"/>
      <w:jc w:val="center"/>
      <w:textAlignment w:val="baseline"/>
    </w:pPr>
  </w:style>
  <w:style w:type="paragraph" w:customStyle="1" w:styleId="CharChar12ZchnZchnCharChar2">
    <w:name w:val="Char Char12 Zchn Zchn Char Char2"/>
    <w:basedOn w:val="a2"/>
    <w:uiPriority w:val="99"/>
    <w:qFormat/>
    <w:pPr>
      <w:jc w:val="both"/>
    </w:pPr>
  </w:style>
  <w:style w:type="paragraph" w:customStyle="1" w:styleId="tajicy">
    <w:name w:val="tajicy"/>
    <w:basedOn w:val="a2"/>
    <w:qFormat/>
    <w:pPr>
      <w:widowControl/>
      <w:autoSpaceDE/>
      <w:autoSpaceDN/>
      <w:snapToGrid w:val="0"/>
      <w:spacing w:line="360" w:lineRule="auto"/>
      <w:ind w:firstLineChars="200" w:firstLine="200"/>
      <w:jc w:val="both"/>
    </w:pPr>
    <w:rPr>
      <w:lang w:val="zh-CN"/>
    </w:rPr>
  </w:style>
  <w:style w:type="paragraph" w:customStyle="1" w:styleId="affffffffffffe">
    <w:name w:val="流程图"/>
    <w:basedOn w:val="a2"/>
    <w:qFormat/>
    <w:pPr>
      <w:tabs>
        <w:tab w:val="left" w:pos="0"/>
      </w:tabs>
      <w:spacing w:line="240" w:lineRule="atLeast"/>
      <w:jc w:val="center"/>
      <w:textAlignment w:val="bottom"/>
    </w:pPr>
    <w:rPr>
      <w:rFonts w:ascii="宋体"/>
    </w:rPr>
  </w:style>
  <w:style w:type="paragraph" w:customStyle="1" w:styleId="CM3">
    <w:name w:val="CM3"/>
    <w:basedOn w:val="Default"/>
    <w:next w:val="Default"/>
    <w:uiPriority w:val="99"/>
    <w:qFormat/>
    <w:pPr>
      <w:spacing w:beforeLines="0" w:before="0" w:afterLines="0" w:after="0" w:line="240" w:lineRule="auto"/>
      <w:ind w:firstLineChars="0" w:firstLine="0"/>
    </w:pPr>
    <w:rPr>
      <w:rFonts w:ascii="新宋体" w:eastAsia="新宋体" w:cs="Times New Roman"/>
      <w:color w:val="auto"/>
    </w:rPr>
  </w:style>
  <w:style w:type="paragraph" w:customStyle="1" w:styleId="CharCharChar1CharCharCharCharCharCharCharCharCharCharCharCharCharCharChar1CharCharCharCharCharCharCharCharCharCharCharCharCharCharCharCharChar">
    <w:name w:val="Char Char Char1 Char Char Char Char Char Char Char Char Char Char Char Char Char Char Char1 Char Char Char Char Char Char Char Char Char Char Char Char Char Char Char Char Char"/>
    <w:basedOn w:val="a2"/>
    <w:uiPriority w:val="99"/>
    <w:qFormat/>
    <w:pPr>
      <w:jc w:val="both"/>
    </w:pPr>
  </w:style>
  <w:style w:type="paragraph" w:customStyle="1" w:styleId="xl108">
    <w:name w:val="xl108"/>
    <w:basedOn w:val="a2"/>
    <w:qFormat/>
    <w:pPr>
      <w:pBdr>
        <w:left w:val="single" w:sz="4" w:space="0" w:color="auto"/>
        <w:right w:val="single" w:sz="4" w:space="0" w:color="auto"/>
      </w:pBdr>
      <w:spacing w:before="100" w:beforeAutospacing="1" w:after="100" w:afterAutospacing="1"/>
      <w:jc w:val="center"/>
    </w:pPr>
    <w:rPr>
      <w:color w:val="000000"/>
      <w:sz w:val="18"/>
      <w:szCs w:val="18"/>
    </w:rPr>
  </w:style>
  <w:style w:type="paragraph" w:customStyle="1" w:styleId="MyList-2">
    <w:name w:val="MyList-2"/>
    <w:basedOn w:val="MyList-1"/>
    <w:uiPriority w:val="99"/>
    <w:qFormat/>
    <w:pPr>
      <w:numPr>
        <w:ilvl w:val="1"/>
      </w:numPr>
      <w:spacing w:beforeLines="25" w:before="25" w:afterLines="0" w:after="0"/>
      <w:outlineLvl w:val="1"/>
    </w:pPr>
  </w:style>
  <w:style w:type="paragraph" w:customStyle="1" w:styleId="MyList-1">
    <w:name w:val="MyList-1"/>
    <w:uiPriority w:val="99"/>
    <w:qFormat/>
    <w:pPr>
      <w:widowControl w:val="0"/>
      <w:numPr>
        <w:numId w:val="6"/>
      </w:numPr>
      <w:spacing w:beforeLines="50" w:before="50" w:afterLines="25" w:after="25" w:line="360" w:lineRule="auto"/>
      <w:jc w:val="both"/>
      <w:outlineLvl w:val="0"/>
    </w:pPr>
    <w:rPr>
      <w:rFonts w:ascii="Times New Roman" w:eastAsia="宋体" w:hAnsi="Times New Roman" w:cs="Times New Roman"/>
      <w:b/>
      <w:kern w:val="2"/>
      <w:sz w:val="24"/>
      <w:szCs w:val="24"/>
    </w:rPr>
  </w:style>
  <w:style w:type="paragraph" w:customStyle="1" w:styleId="6626">
    <w:name w:val="样式 正文文本缩进 + 小四 段前: 6 磅 段后: 6 磅 行距: 固定值 26 磅"/>
    <w:basedOn w:val="af5"/>
    <w:qFormat/>
    <w:pPr>
      <w:spacing w:before="120" w:line="520" w:lineRule="exact"/>
      <w:ind w:leftChars="0" w:left="0" w:firstLineChars="200" w:firstLine="480"/>
    </w:pPr>
    <w:rPr>
      <w:rFonts w:ascii="宋体" w:hAnsi="宋体"/>
      <w:sz w:val="24"/>
      <w:szCs w:val="20"/>
    </w:rPr>
  </w:style>
  <w:style w:type="paragraph" w:customStyle="1" w:styleId="CharChar1Char1">
    <w:name w:val="Char Char1 Char1"/>
    <w:basedOn w:val="a2"/>
    <w:uiPriority w:val="99"/>
    <w:qFormat/>
    <w:pPr>
      <w:spacing w:after="160" w:line="240" w:lineRule="exact"/>
    </w:pPr>
    <w:rPr>
      <w:rFonts w:eastAsia="Times New Roman" w:hAnsi="Arial" w:cs="Verdana"/>
      <w:b/>
      <w:sz w:val="24"/>
      <w:lang w:eastAsia="en-US"/>
    </w:rPr>
  </w:style>
  <w:style w:type="paragraph" w:customStyle="1" w:styleId="afffffffffffff">
    <w:name w:val="三级条标题"/>
    <w:basedOn w:val="a2"/>
    <w:next w:val="a2"/>
    <w:qFormat/>
    <w:pPr>
      <w:widowControl/>
      <w:tabs>
        <w:tab w:val="left" w:pos="360"/>
        <w:tab w:val="left" w:pos="1820"/>
        <w:tab w:val="left" w:pos="2100"/>
        <w:tab w:val="left" w:pos="2240"/>
        <w:tab w:val="left" w:pos="2660"/>
      </w:tabs>
      <w:ind w:left="2660" w:hanging="420"/>
      <w:outlineLvl w:val="4"/>
    </w:pPr>
    <w:rPr>
      <w:rFonts w:ascii="黑体" w:eastAsia="黑体"/>
    </w:rPr>
  </w:style>
  <w:style w:type="paragraph" w:customStyle="1" w:styleId="afffffffffffff0">
    <w:name w:val="字元"/>
    <w:basedOn w:val="a2"/>
    <w:uiPriority w:val="99"/>
    <w:qFormat/>
    <w:pPr>
      <w:jc w:val="both"/>
    </w:pPr>
    <w:rPr>
      <w:rFonts w:ascii="Times New Roman"/>
    </w:rPr>
  </w:style>
  <w:style w:type="paragraph" w:customStyle="1" w:styleId="2110">
    <w:name w:val="正文文本 211"/>
    <w:basedOn w:val="a2"/>
    <w:uiPriority w:val="99"/>
    <w:qFormat/>
    <w:pPr>
      <w:spacing w:line="360" w:lineRule="atLeast"/>
      <w:ind w:firstLine="425"/>
      <w:jc w:val="both"/>
      <w:textAlignment w:val="baseline"/>
    </w:pPr>
    <w:rPr>
      <w:rFonts w:ascii="宋体" w:hAnsi="Tms Rmn"/>
    </w:rPr>
  </w:style>
  <w:style w:type="paragraph" w:customStyle="1" w:styleId="afffffffffffff1">
    <w:name w:val="表格表题"/>
    <w:basedOn w:val="a2"/>
    <w:uiPriority w:val="99"/>
    <w:qFormat/>
    <w:pPr>
      <w:spacing w:line="360" w:lineRule="auto"/>
      <w:jc w:val="center"/>
      <w:textAlignment w:val="baseline"/>
    </w:pPr>
    <w:rPr>
      <w:rFonts w:ascii="黑体" w:eastAsia="黑体"/>
    </w:rPr>
  </w:style>
  <w:style w:type="paragraph" w:customStyle="1" w:styleId="2210">
    <w:name w:val="样式 标题 2 + 首行缩进:  2 字符1"/>
    <w:basedOn w:val="22"/>
    <w:uiPriority w:val="99"/>
    <w:qFormat/>
    <w:pPr>
      <w:keepLines w:val="0"/>
      <w:spacing w:beforeLines="100" w:before="312" w:after="0" w:line="440" w:lineRule="exact"/>
      <w:ind w:firstLineChars="200" w:firstLine="560"/>
    </w:pPr>
    <w:rPr>
      <w:rFonts w:ascii="Times New Roman" w:eastAsia="汉鼎简特宋" w:hAnsi="Times New Roman" w:cs="Times New Roman"/>
      <w:bCs w:val="0"/>
      <w:sz w:val="28"/>
      <w:szCs w:val="30"/>
    </w:rPr>
  </w:style>
  <w:style w:type="paragraph" w:customStyle="1" w:styleId="1ffff3">
    <w:name w:val="图题1"/>
    <w:basedOn w:val="aff4"/>
    <w:next w:val="a2"/>
    <w:uiPriority w:val="99"/>
    <w:qFormat/>
    <w:pPr>
      <w:spacing w:line="360" w:lineRule="auto"/>
    </w:pPr>
    <w:rPr>
      <w:rFonts w:ascii="方正大标宋简体" w:eastAsia="方正大标宋简体" w:hint="default"/>
      <w:sz w:val="24"/>
    </w:rPr>
  </w:style>
  <w:style w:type="paragraph" w:customStyle="1" w:styleId="CharCharChar1CharCharCharCharCharChar2">
    <w:name w:val="Char Char Char1 Char Char Char Char Char Char2"/>
    <w:basedOn w:val="a2"/>
    <w:qFormat/>
    <w:pPr>
      <w:jc w:val="both"/>
    </w:pPr>
    <w:rPr>
      <w:rFonts w:ascii="Times New Roman"/>
    </w:rPr>
  </w:style>
  <w:style w:type="paragraph" w:customStyle="1" w:styleId="Char1CharCharCharCharCharCharCharCharChar1">
    <w:name w:val="Char1 Char Char Char Char Char Char Char Char Char1"/>
    <w:basedOn w:val="a2"/>
    <w:uiPriority w:val="99"/>
    <w:qFormat/>
    <w:pPr>
      <w:jc w:val="both"/>
    </w:pPr>
  </w:style>
  <w:style w:type="paragraph" w:customStyle="1" w:styleId="CharCharCharCharCharCharCharCharCharCharChar">
    <w:name w:val="Char Char Char Char Char Char Char Char Char Char Char"/>
    <w:basedOn w:val="a2"/>
    <w:pPr>
      <w:jc w:val="both"/>
    </w:pPr>
    <w:rPr>
      <w:sz w:val="24"/>
    </w:rPr>
  </w:style>
  <w:style w:type="paragraph" w:customStyle="1" w:styleId="CharCharCharCharCharCharCharChar1CharCharCharCharCharCharCharCharCharCharCharChar1Char3">
    <w:name w:val="Char Char Char Char Char Char Char Char1 Char Char Char Char Char Char Char Char Char Char Char Char1 Char3"/>
    <w:basedOn w:val="a2"/>
    <w:uiPriority w:val="99"/>
    <w:qFormat/>
    <w:pPr>
      <w:jc w:val="both"/>
    </w:pPr>
  </w:style>
  <w:style w:type="paragraph" w:customStyle="1" w:styleId="afffffffffffff2">
    <w:name w:val="样式 小四 加粗 黑色 居中"/>
    <w:basedOn w:val="a2"/>
    <w:pPr>
      <w:autoSpaceDE/>
      <w:autoSpaceDN/>
      <w:adjustRightInd/>
      <w:spacing w:line="360" w:lineRule="auto"/>
      <w:ind w:firstLineChars="200" w:firstLine="200"/>
      <w:jc w:val="center"/>
    </w:pPr>
    <w:rPr>
      <w:rFonts w:cs="宋体"/>
      <w:b/>
      <w:bCs/>
      <w:color w:val="000000"/>
    </w:rPr>
  </w:style>
  <w:style w:type="paragraph" w:customStyle="1" w:styleId="1ffff4">
    <w:name w:val="批注框文本1"/>
    <w:basedOn w:val="a2"/>
    <w:uiPriority w:val="99"/>
    <w:qFormat/>
    <w:rPr>
      <w:sz w:val="18"/>
    </w:rPr>
  </w:style>
  <w:style w:type="paragraph" w:customStyle="1" w:styleId="1ffff5">
    <w:name w:val="正文格式1"/>
    <w:basedOn w:val="a2"/>
    <w:uiPriority w:val="99"/>
    <w:qFormat/>
    <w:pPr>
      <w:spacing w:line="360" w:lineRule="auto"/>
      <w:ind w:firstLine="482"/>
      <w:jc w:val="both"/>
    </w:pPr>
    <w:rPr>
      <w:rFonts w:ascii="宋体" w:cs="宋体"/>
      <w:sz w:val="24"/>
    </w:rPr>
  </w:style>
  <w:style w:type="paragraph" w:customStyle="1" w:styleId="afffffffffffff3">
    <w:name w:val="小表"/>
    <w:basedOn w:val="a2"/>
    <w:uiPriority w:val="99"/>
    <w:qFormat/>
    <w:pPr>
      <w:tabs>
        <w:tab w:val="left" w:pos="352"/>
      </w:tabs>
      <w:overflowPunct w:val="0"/>
      <w:jc w:val="center"/>
      <w:textAlignment w:val="bottom"/>
    </w:pPr>
    <w:rPr>
      <w:rFonts w:ascii="宋体" w:hAnsi="宋体"/>
    </w:rPr>
  </w:style>
  <w:style w:type="paragraph" w:customStyle="1" w:styleId="afffffffffffff4">
    <w:name w:val="注解"/>
    <w:basedOn w:val="a2"/>
    <w:uiPriority w:val="99"/>
    <w:qFormat/>
    <w:pPr>
      <w:snapToGrid w:val="0"/>
      <w:ind w:left="624" w:right="170" w:hanging="454"/>
      <w:jc w:val="both"/>
    </w:pPr>
    <w:rPr>
      <w:rFonts w:ascii="宋体" w:hAnsi="宋体"/>
      <w:color w:val="000000"/>
      <w:sz w:val="15"/>
    </w:rPr>
  </w:style>
  <w:style w:type="paragraph" w:customStyle="1" w:styleId="afffffffffffff5">
    <w:name w:val="正文表格"/>
    <w:basedOn w:val="a2"/>
    <w:qFormat/>
    <w:pPr>
      <w:keepNext/>
      <w:keepLines/>
      <w:overflowPunct w:val="0"/>
      <w:spacing w:before="80" w:line="500" w:lineRule="exact"/>
      <w:jc w:val="center"/>
      <w:textAlignment w:val="bottom"/>
    </w:pPr>
    <w:rPr>
      <w:rFonts w:eastAsia="仿宋_GB2312"/>
    </w:rPr>
  </w:style>
  <w:style w:type="paragraph" w:customStyle="1" w:styleId="250">
    <w:name w:val="样式 (符号) 宋体 四号 黑色 居中 行距: 固定值 25 磅"/>
    <w:basedOn w:val="a2"/>
    <w:qFormat/>
    <w:pPr>
      <w:spacing w:beforeLines="50" w:before="50" w:afterLines="50" w:after="50" w:line="500" w:lineRule="exact"/>
      <w:ind w:firstLineChars="200" w:firstLine="200"/>
      <w:jc w:val="center"/>
    </w:pPr>
    <w:rPr>
      <w:rFonts w:hAnsi="宋体" w:cs="宋体"/>
      <w:color w:val="000000"/>
    </w:rPr>
  </w:style>
  <w:style w:type="paragraph" w:customStyle="1" w:styleId="afffffffffffff6">
    <w:name w:val="样式 正文文本 +"/>
    <w:basedOn w:val="af4"/>
    <w:uiPriority w:val="99"/>
    <w:qFormat/>
    <w:pPr>
      <w:snapToGrid w:val="0"/>
      <w:spacing w:before="60" w:after="60" w:line="264" w:lineRule="auto"/>
      <w:ind w:firstLineChars="200" w:firstLine="200"/>
      <w:jc w:val="both"/>
      <w:textAlignment w:val="baseline"/>
    </w:pPr>
    <w:rPr>
      <w:rFonts w:eastAsia="仿宋_GB2312"/>
      <w:snapToGrid w:val="0"/>
      <w:kern w:val="0"/>
      <w:sz w:val="24"/>
    </w:rPr>
  </w:style>
  <w:style w:type="paragraph" w:customStyle="1" w:styleId="3fc">
    <w:name w:val="小3仿"/>
    <w:basedOn w:val="af4"/>
    <w:uiPriority w:val="99"/>
    <w:qFormat/>
    <w:pPr>
      <w:tabs>
        <w:tab w:val="left" w:pos="0"/>
        <w:tab w:val="left" w:pos="4020"/>
      </w:tabs>
      <w:spacing w:after="0" w:line="360" w:lineRule="auto"/>
      <w:ind w:firstLineChars="218" w:firstLine="523"/>
      <w:jc w:val="both"/>
    </w:pPr>
    <w:rPr>
      <w:rFonts w:ascii="仿宋_GB2312" w:eastAsia="仿宋_GB2312" w:hAnsi="宋体"/>
      <w:snapToGrid w:val="0"/>
      <w:kern w:val="0"/>
      <w:sz w:val="24"/>
      <w:szCs w:val="24"/>
    </w:rPr>
  </w:style>
  <w:style w:type="paragraph" w:customStyle="1" w:styleId="0772044">
    <w:name w:val="样式 首行缩进:  0.77 厘米 行距: 固定值 20 磅44"/>
    <w:basedOn w:val="a2"/>
    <w:uiPriority w:val="99"/>
    <w:qFormat/>
    <w:pPr>
      <w:spacing w:line="360" w:lineRule="auto"/>
      <w:ind w:firstLineChars="200" w:firstLine="480"/>
      <w:jc w:val="both"/>
    </w:pPr>
    <w:rPr>
      <w:sz w:val="24"/>
    </w:rPr>
  </w:style>
  <w:style w:type="paragraph" w:customStyle="1" w:styleId="style2">
    <w:name w:val="style2"/>
    <w:basedOn w:val="a2"/>
    <w:uiPriority w:val="99"/>
    <w:qFormat/>
    <w:pPr>
      <w:spacing w:before="100" w:beforeAutospacing="1" w:after="100" w:afterAutospacing="1"/>
    </w:pPr>
    <w:rPr>
      <w:rFonts w:ascii="宋体" w:hAnsi="宋体"/>
      <w:color w:val="666666"/>
      <w:sz w:val="24"/>
    </w:rPr>
  </w:style>
  <w:style w:type="paragraph" w:customStyle="1" w:styleId="3111ReHead3WSAh3BSH-3H3b33rdlevell3CT">
    <w:name w:val="样式 标题 3条标题1.1.1ReHead 3 WSAh3BSH-3H3b33rd levell3CT标题..."/>
    <w:basedOn w:val="32"/>
    <w:uiPriority w:val="99"/>
    <w:qFormat/>
    <w:pPr>
      <w:keepNext w:val="0"/>
      <w:keepLines w:val="0"/>
      <w:snapToGrid w:val="0"/>
      <w:spacing w:before="120" w:after="120" w:line="240" w:lineRule="auto"/>
      <w:jc w:val="both"/>
    </w:pPr>
    <w:rPr>
      <w:rFonts w:ascii="Times New Roman" w:eastAsia="黑体"/>
      <w:bCs w:val="0"/>
      <w:sz w:val="28"/>
    </w:rPr>
  </w:style>
  <w:style w:type="paragraph" w:customStyle="1" w:styleId="ft00">
    <w:name w:val="ft00"/>
    <w:basedOn w:val="a2"/>
    <w:uiPriority w:val="99"/>
    <w:qFormat/>
    <w:rPr>
      <w:rFonts w:ascii="Times" w:hAnsi="Times" w:cs="Times"/>
      <w:color w:val="000000"/>
    </w:rPr>
  </w:style>
  <w:style w:type="paragraph" w:customStyle="1" w:styleId="Style5">
    <w:name w:val="_Style 5"/>
    <w:uiPriority w:val="1"/>
    <w:qFormat/>
    <w:pPr>
      <w:widowControl w:val="0"/>
      <w:jc w:val="center"/>
    </w:pPr>
    <w:rPr>
      <w:rFonts w:ascii="Times New Roman" w:eastAsia="宋体" w:hAnsi="Times New Roman" w:cs="Times New Roman"/>
      <w:kern w:val="2"/>
      <w:sz w:val="21"/>
      <w:szCs w:val="24"/>
    </w:rPr>
  </w:style>
  <w:style w:type="paragraph" w:customStyle="1" w:styleId="ST201">
    <w:name w:val="ST20_1"/>
    <w:basedOn w:val="a2"/>
    <w:qFormat/>
    <w:pPr>
      <w:spacing w:line="312" w:lineRule="atLeast"/>
      <w:jc w:val="center"/>
      <w:textAlignment w:val="baseline"/>
    </w:pPr>
    <w:rPr>
      <w:rFonts w:ascii="宋体" w:hAnsi="Tms Rmn"/>
      <w:sz w:val="24"/>
    </w:rPr>
  </w:style>
  <w:style w:type="paragraph" w:customStyle="1" w:styleId="CharCharChar1CharChar2">
    <w:name w:val="Char Char Char1 Char Char2"/>
    <w:basedOn w:val="a2"/>
    <w:uiPriority w:val="99"/>
    <w:qFormat/>
    <w:pPr>
      <w:jc w:val="both"/>
    </w:pPr>
    <w:rPr>
      <w:color w:val="000000"/>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2"/>
    <w:uiPriority w:val="99"/>
    <w:qFormat/>
    <w:pPr>
      <w:spacing w:line="360" w:lineRule="auto"/>
      <w:ind w:firstLineChars="200" w:firstLine="200"/>
      <w:jc w:val="both"/>
    </w:pPr>
  </w:style>
  <w:style w:type="paragraph" w:customStyle="1" w:styleId="afffffffffffff7">
    <w:name w:val="黄表格"/>
    <w:basedOn w:val="a2"/>
    <w:qFormat/>
    <w:pPr>
      <w:widowControl/>
      <w:jc w:val="center"/>
    </w:pPr>
    <w:rPr>
      <w:rFonts w:cs="宋体"/>
    </w:rPr>
  </w:style>
  <w:style w:type="paragraph" w:customStyle="1" w:styleId="afffffffffffff8">
    <w:name w:val="样式 表格"/>
    <w:basedOn w:val="a2"/>
    <w:uiPriority w:val="99"/>
    <w:qFormat/>
    <w:pPr>
      <w:spacing w:line="360" w:lineRule="auto"/>
      <w:jc w:val="center"/>
    </w:pPr>
    <w:rPr>
      <w:rFonts w:ascii="楷体_GB2312" w:hAnsi="宋体" w:cs="宋体"/>
      <w:sz w:val="24"/>
    </w:rPr>
  </w:style>
  <w:style w:type="paragraph" w:customStyle="1" w:styleId="9CharCharChar6Char">
    <w:name w:val="9 Char Char Char6 Char"/>
    <w:basedOn w:val="a2"/>
    <w:uiPriority w:val="99"/>
    <w:qFormat/>
    <w:pPr>
      <w:spacing w:line="240" w:lineRule="exact"/>
      <w:ind w:firstLineChars="200" w:firstLine="200"/>
      <w:jc w:val="both"/>
    </w:pPr>
    <w:rPr>
      <w:szCs w:val="28"/>
    </w:rPr>
  </w:style>
  <w:style w:type="paragraph" w:customStyle="1" w:styleId="1220">
    <w:name w:val="样式 (符号) 宋体 行距: 最小值 12 磅2"/>
    <w:basedOn w:val="a2"/>
    <w:uiPriority w:val="99"/>
    <w:qFormat/>
    <w:pPr>
      <w:jc w:val="both"/>
    </w:pPr>
    <w:rPr>
      <w:rFonts w:hAnsi="宋体" w:cs="宋体"/>
      <w:color w:val="000000"/>
      <w:sz w:val="18"/>
      <w:szCs w:val="18"/>
    </w:rPr>
  </w:style>
  <w:style w:type="paragraph" w:customStyle="1" w:styleId="CharCharChar1CharCharCharCharCharCharCharCharCharCharCharCharCharCharCharCharCharCharCharCharCharCharCharCharCharCharChar3">
    <w:name w:val="Char Char Char1 Char Char Char Char Char Char Char Char Char Char Char Char Char Char Char Char Char Char Char Char Char Char Char Char Char Char Char3"/>
    <w:basedOn w:val="a2"/>
    <w:uiPriority w:val="99"/>
    <w:qFormat/>
    <w:pPr>
      <w:spacing w:line="360" w:lineRule="auto"/>
    </w:pPr>
  </w:style>
  <w:style w:type="paragraph" w:customStyle="1" w:styleId="127">
    <w:name w:val="正文首行缩进12"/>
    <w:basedOn w:val="aff9"/>
    <w:uiPriority w:val="99"/>
    <w:qFormat/>
    <w:pPr>
      <w:spacing w:line="360" w:lineRule="auto"/>
      <w:ind w:leftChars="11" w:left="23" w:firstLineChars="183" w:firstLine="439"/>
      <w:jc w:val="both"/>
    </w:pPr>
    <w:rPr>
      <w:kern w:val="0"/>
      <w:sz w:val="24"/>
    </w:rPr>
  </w:style>
  <w:style w:type="paragraph" w:customStyle="1" w:styleId="Balken">
    <w:name w:val="Balken"/>
    <w:uiPriority w:val="99"/>
    <w:qFormat/>
    <w:pPr>
      <w:pBdr>
        <w:top w:val="single" w:sz="6" w:space="1" w:color="auto"/>
        <w:left w:val="single" w:sz="6" w:space="1" w:color="auto"/>
        <w:bottom w:val="single" w:sz="6" w:space="1" w:color="auto"/>
        <w:right w:val="single" w:sz="6" w:space="1" w:color="auto"/>
      </w:pBdr>
      <w:tabs>
        <w:tab w:val="left" w:pos="2279"/>
        <w:tab w:val="left" w:pos="2580"/>
        <w:tab w:val="left" w:pos="2836"/>
        <w:tab w:val="left" w:pos="5102"/>
      </w:tabs>
      <w:overflowPunct w:val="0"/>
      <w:autoSpaceDE w:val="0"/>
      <w:autoSpaceDN w:val="0"/>
      <w:adjustRightInd w:val="0"/>
      <w:spacing w:before="32" w:after="23" w:line="192" w:lineRule="atLeast"/>
      <w:ind w:left="29"/>
      <w:textAlignment w:val="baseline"/>
    </w:pPr>
    <w:rPr>
      <w:rFonts w:ascii="CorpoSLig" w:eastAsia="宋体" w:hAnsi="CorpoSLig" w:cs="Times New Roman"/>
      <w:b/>
      <w:lang w:val="de-DE"/>
    </w:rPr>
  </w:style>
  <w:style w:type="paragraph" w:customStyle="1" w:styleId="2Char11Char11CharChar11CharChar">
    <w:name w:val="样式 标题 2 Char节标题 1.1节Char节标题 1.1 Char Char节标题 1.1 Char Char..."/>
    <w:basedOn w:val="22"/>
    <w:uiPriority w:val="99"/>
    <w:qFormat/>
    <w:pPr>
      <w:keepLines w:val="0"/>
      <w:spacing w:before="0" w:after="0" w:line="500" w:lineRule="exact"/>
      <w:ind w:leftChars="1" w:left="29" w:hangingChars="10" w:hanging="27"/>
      <w:jc w:val="both"/>
    </w:pPr>
    <w:rPr>
      <w:rFonts w:ascii="Times New Roman" w:eastAsia="宋体" w:hAnsi="Times New Roman" w:cs="宋体"/>
      <w:kern w:val="10"/>
      <w:sz w:val="27"/>
      <w:szCs w:val="27"/>
    </w:rPr>
  </w:style>
  <w:style w:type="paragraph" w:customStyle="1" w:styleId="afffffffffffff9">
    <w:name w:val="二级标题"/>
    <w:next w:val="2a"/>
    <w:uiPriority w:val="99"/>
    <w:qFormat/>
    <w:rPr>
      <w:rFonts w:ascii="Times New Roman" w:eastAsia="宋体" w:hAnsi="Times New Roman" w:cs="Times New Roman"/>
      <w:b/>
      <w:kern w:val="2"/>
      <w:sz w:val="24"/>
      <w:szCs w:val="24"/>
    </w:rPr>
  </w:style>
  <w:style w:type="paragraph" w:customStyle="1" w:styleId="21100">
    <w:name w:val="样式 标题 2节标题 1.1 + 五号 居中 左侧:  0 厘米 行距: 单倍行距"/>
    <w:basedOn w:val="22"/>
    <w:uiPriority w:val="99"/>
    <w:qFormat/>
    <w:pPr>
      <w:keepNext w:val="0"/>
      <w:keepLines w:val="0"/>
      <w:tabs>
        <w:tab w:val="left" w:pos="1320"/>
      </w:tabs>
      <w:spacing w:before="0" w:after="0" w:line="360" w:lineRule="auto"/>
      <w:jc w:val="center"/>
      <w:textAlignment w:val="baseline"/>
    </w:pPr>
    <w:rPr>
      <w:rFonts w:ascii="Times New Roman" w:eastAsia="宋体" w:hAnsi="Times New Roman" w:cs="宋体"/>
      <w:bCs w:val="0"/>
      <w:sz w:val="21"/>
      <w:szCs w:val="30"/>
    </w:rPr>
  </w:style>
  <w:style w:type="paragraph" w:customStyle="1" w:styleId="reader-word-layerreader-word-s1-3">
    <w:name w:val="reader-word-layer reader-word-s1-3"/>
    <w:basedOn w:val="a2"/>
    <w:uiPriority w:val="99"/>
    <w:qFormat/>
    <w:pPr>
      <w:spacing w:before="100" w:beforeAutospacing="1" w:after="100" w:afterAutospacing="1"/>
    </w:pPr>
    <w:rPr>
      <w:rFonts w:ascii="宋体" w:hAnsi="宋体" w:cs="宋体"/>
      <w:sz w:val="24"/>
    </w:rPr>
  </w:style>
  <w:style w:type="paragraph" w:customStyle="1" w:styleId="3fd">
    <w:name w:val="3"/>
    <w:basedOn w:val="a2"/>
    <w:next w:val="af8"/>
    <w:qFormat/>
    <w:rPr>
      <w:rFonts w:ascii="宋体" w:hAnsi="Courier New" w:cs="Courier New"/>
    </w:rPr>
  </w:style>
  <w:style w:type="paragraph" w:customStyle="1" w:styleId="afffffffffffffa">
    <w:name w:val="样式 五号 居中"/>
    <w:basedOn w:val="a2"/>
    <w:uiPriority w:val="99"/>
    <w:qFormat/>
    <w:pPr>
      <w:snapToGrid w:val="0"/>
      <w:spacing w:line="460" w:lineRule="exact"/>
      <w:ind w:left="210" w:hanging="210"/>
      <w:jc w:val="center"/>
    </w:pPr>
    <w:rPr>
      <w:rFonts w:eastAsia="仿宋_GB2312" w:cs="宋体"/>
    </w:rPr>
  </w:style>
  <w:style w:type="paragraph" w:customStyle="1" w:styleId="219">
    <w:name w:val="样式 题注 + 首行缩进:  2 字符1"/>
    <w:basedOn w:val="ac"/>
    <w:uiPriority w:val="99"/>
    <w:qFormat/>
    <w:pPr>
      <w:snapToGrid w:val="0"/>
      <w:spacing w:before="152" w:afterLines="40" w:after="96"/>
      <w:jc w:val="center"/>
    </w:pPr>
    <w:rPr>
      <w:rFonts w:ascii="宋体" w:eastAsia="宋体" w:hAnsi="宋体" w:cs="宋体"/>
      <w:sz w:val="24"/>
      <w:szCs w:val="24"/>
    </w:rPr>
  </w:style>
  <w:style w:type="paragraph" w:customStyle="1" w:styleId="afffffffffffffb">
    <w:name w:val="图表五号"/>
    <w:basedOn w:val="a2"/>
    <w:qFormat/>
    <w:pPr>
      <w:snapToGrid w:val="0"/>
      <w:spacing w:line="20" w:lineRule="atLeast"/>
      <w:jc w:val="center"/>
    </w:pPr>
  </w:style>
  <w:style w:type="paragraph" w:customStyle="1" w:styleId="03">
    <w:name w:val="样式_正文_03"/>
    <w:uiPriority w:val="99"/>
    <w:qFormat/>
    <w:pPr>
      <w:widowControl w:val="0"/>
      <w:numPr>
        <w:ilvl w:val="8"/>
        <w:numId w:val="7"/>
      </w:numPr>
      <w:spacing w:line="360" w:lineRule="auto"/>
      <w:ind w:right="-55"/>
      <w:jc w:val="both"/>
    </w:pPr>
    <w:rPr>
      <w:rFonts w:ascii="Times New Roman" w:eastAsia="宋体" w:hAnsi="Times New Roman" w:cs="Times New Roman"/>
      <w:kern w:val="28"/>
      <w:sz w:val="28"/>
      <w:szCs w:val="28"/>
    </w:rPr>
  </w:style>
  <w:style w:type="paragraph" w:customStyle="1" w:styleId="afffffffffffffc">
    <w:name w:val="已有表格"/>
    <w:basedOn w:val="a2"/>
    <w:uiPriority w:val="99"/>
    <w:qFormat/>
    <w:pPr>
      <w:spacing w:before="40" w:after="40"/>
      <w:jc w:val="center"/>
      <w:textAlignment w:val="baseline"/>
    </w:pPr>
    <w:rPr>
      <w:b/>
      <w:sz w:val="24"/>
    </w:rPr>
  </w:style>
  <w:style w:type="paragraph" w:customStyle="1" w:styleId="221121TimesNewRoman82">
    <w:name w:val="样式 标题 2标题 21标题 121 + Times New Roman 小三 非加粗 黑色 段前: 8 磅 段...2"/>
    <w:basedOn w:val="22"/>
    <w:uiPriority w:val="99"/>
    <w:qFormat/>
    <w:pPr>
      <w:tabs>
        <w:tab w:val="left" w:pos="992"/>
      </w:tabs>
      <w:spacing w:before="160" w:after="160" w:line="240" w:lineRule="auto"/>
      <w:ind w:left="992" w:hanging="567"/>
      <w:jc w:val="both"/>
    </w:pPr>
    <w:rPr>
      <w:rFonts w:ascii="Times New Roman" w:eastAsia="黑体" w:hAnsi="Times New Roman" w:cs="Times New Roman"/>
      <w:bCs w:val="0"/>
      <w:color w:val="000000"/>
      <w:sz w:val="30"/>
      <w:szCs w:val="30"/>
    </w:rPr>
  </w:style>
  <w:style w:type="paragraph" w:customStyle="1" w:styleId="5b">
    <w:name w:val="5居中"/>
    <w:basedOn w:val="a2"/>
    <w:qFormat/>
    <w:pPr>
      <w:snapToGrid w:val="0"/>
      <w:spacing w:beforeLines="15" w:before="46" w:afterLines="15" w:after="46" w:line="320" w:lineRule="atLeast"/>
      <w:jc w:val="center"/>
    </w:pPr>
  </w:style>
  <w:style w:type="paragraph" w:customStyle="1" w:styleId="311105">
    <w:name w:val="样式 标题 3条标题1.1.1 + 段前: 0.5 行"/>
    <w:basedOn w:val="32"/>
    <w:uiPriority w:val="99"/>
    <w:qFormat/>
    <w:pPr>
      <w:keepLines w:val="0"/>
      <w:tabs>
        <w:tab w:val="left" w:pos="567"/>
        <w:tab w:val="left" w:pos="1740"/>
      </w:tabs>
      <w:snapToGrid w:val="0"/>
      <w:spacing w:beforeLines="50" w:before="156" w:after="0" w:line="360" w:lineRule="auto"/>
    </w:pPr>
    <w:rPr>
      <w:rFonts w:ascii="Times New Roman" w:eastAsia="黑体" w:cs="宋体"/>
      <w:szCs w:val="20"/>
    </w:rPr>
  </w:style>
  <w:style w:type="paragraph" w:customStyle="1" w:styleId="xzz">
    <w:name w:val="xzz"/>
    <w:basedOn w:val="a2"/>
    <w:uiPriority w:val="99"/>
    <w:qFormat/>
    <w:pPr>
      <w:ind w:firstLineChars="200" w:firstLine="480"/>
      <w:jc w:val="both"/>
    </w:pPr>
    <w:rPr>
      <w:rFonts w:ascii="Times New Roman"/>
    </w:rPr>
  </w:style>
  <w:style w:type="paragraph" w:customStyle="1" w:styleId="CharCharChar1CharCharCharChar2">
    <w:name w:val="Char Char Char1 Char Char Char Char2"/>
    <w:basedOn w:val="a2"/>
    <w:uiPriority w:val="99"/>
    <w:qFormat/>
    <w:pPr>
      <w:spacing w:line="360" w:lineRule="auto"/>
      <w:jc w:val="both"/>
    </w:pPr>
  </w:style>
  <w:style w:type="paragraph" w:customStyle="1" w:styleId="Char4CharCharChar2">
    <w:name w:val="Char4 Char Char Char2"/>
    <w:basedOn w:val="a2"/>
    <w:uiPriority w:val="99"/>
    <w:qFormat/>
    <w:pPr>
      <w:jc w:val="both"/>
    </w:pPr>
    <w:rPr>
      <w:rFonts w:ascii="Times New Roman"/>
    </w:rPr>
  </w:style>
  <w:style w:type="paragraph" w:customStyle="1" w:styleId="171">
    <w:name w:val="样式 正文文本缩进 + 首行缩进:  1.71 字符"/>
    <w:basedOn w:val="af5"/>
    <w:pPr>
      <w:autoSpaceDE/>
      <w:autoSpaceDN/>
      <w:adjustRightInd/>
      <w:spacing w:after="0" w:line="360" w:lineRule="auto"/>
      <w:ind w:leftChars="0" w:left="0"/>
      <w:jc w:val="both"/>
    </w:pPr>
    <w:rPr>
      <w:rFonts w:ascii="Tahoma" w:hAnsi="Tahoma" w:cs="Verdana"/>
      <w:sz w:val="28"/>
    </w:rPr>
  </w:style>
  <w:style w:type="paragraph" w:customStyle="1" w:styleId="CharCharChar15">
    <w:name w:val="Char Char Char15"/>
    <w:basedOn w:val="a2"/>
    <w:uiPriority w:val="99"/>
    <w:qFormat/>
    <w:pPr>
      <w:jc w:val="both"/>
    </w:pPr>
  </w:style>
  <w:style w:type="paragraph" w:customStyle="1" w:styleId="252">
    <w:name w:val="样式 (西文) 宋体 四号 行距: 固定值 25 磅 首行缩进:  2 字符"/>
    <w:basedOn w:val="a2"/>
    <w:qFormat/>
    <w:pPr>
      <w:spacing w:line="500" w:lineRule="exact"/>
      <w:ind w:firstLineChars="200" w:firstLine="200"/>
      <w:jc w:val="both"/>
    </w:pPr>
    <w:rPr>
      <w:rFonts w:ascii="宋体" w:hAnsi="宋体" w:cs="宋体"/>
      <w:szCs w:val="28"/>
    </w:rPr>
  </w:style>
  <w:style w:type="paragraph" w:customStyle="1" w:styleId="CharCharChar1CharCharCharCharCharCharCharCharCharCharCharCharChar3">
    <w:name w:val="Char Char Char1 Char Char Char Char Char Char Char Char Char Char Char Char Char3"/>
    <w:basedOn w:val="a2"/>
    <w:uiPriority w:val="99"/>
    <w:qFormat/>
    <w:pPr>
      <w:jc w:val="both"/>
    </w:pPr>
  </w:style>
  <w:style w:type="paragraph" w:customStyle="1" w:styleId="CharCharChar1CharCharCharCharCharCharChar3">
    <w:name w:val="Char Char Char1 Char Char Char Char Char Char Char3"/>
    <w:basedOn w:val="a2"/>
    <w:uiPriority w:val="99"/>
    <w:qFormat/>
  </w:style>
  <w:style w:type="paragraph" w:customStyle="1" w:styleId="151">
    <w:name w:val="样式 行距: 1.5 倍行距"/>
    <w:basedOn w:val="a2"/>
    <w:qFormat/>
    <w:pPr>
      <w:spacing w:line="520" w:lineRule="exact"/>
      <w:ind w:firstLineChars="200" w:firstLine="480"/>
      <w:textAlignment w:val="baseline"/>
    </w:pPr>
    <w:rPr>
      <w:sz w:val="24"/>
    </w:rPr>
  </w:style>
  <w:style w:type="paragraph" w:customStyle="1" w:styleId="GB2312120">
    <w:name w:val="样式 (中文) 楷体_GB2312 居中 行距: 固定值 12 磅"/>
    <w:basedOn w:val="a2"/>
    <w:uiPriority w:val="99"/>
    <w:qFormat/>
    <w:pPr>
      <w:spacing w:line="240" w:lineRule="exact"/>
      <w:jc w:val="center"/>
    </w:pPr>
  </w:style>
  <w:style w:type="paragraph" w:customStyle="1" w:styleId="55">
    <w:name w:val="表标题5.5"/>
    <w:basedOn w:val="a2"/>
    <w:pPr>
      <w:numPr>
        <w:numId w:val="8"/>
      </w:numPr>
      <w:spacing w:beforeLines="100" w:before="100" w:line="0" w:lineRule="atLeast"/>
      <w:jc w:val="both"/>
    </w:pPr>
    <w:rPr>
      <w:rFonts w:ascii="Times New Roman" w:eastAsia="黑体"/>
      <w:b/>
    </w:rPr>
  </w:style>
  <w:style w:type="paragraph" w:customStyle="1" w:styleId="Char4CharCharChar3">
    <w:name w:val="Char4 Char Char Char3"/>
    <w:basedOn w:val="a2"/>
    <w:uiPriority w:val="99"/>
    <w:qFormat/>
    <w:pPr>
      <w:jc w:val="both"/>
    </w:pPr>
  </w:style>
  <w:style w:type="paragraph" w:customStyle="1" w:styleId="1000">
    <w:name w:val="样式 标题 1 + 左侧:  0 厘米 首行缩进:  0 厘米"/>
    <w:basedOn w:val="12"/>
    <w:uiPriority w:val="99"/>
    <w:qFormat/>
    <w:pPr>
      <w:tabs>
        <w:tab w:val="left" w:pos="0"/>
        <w:tab w:val="left" w:pos="1200"/>
      </w:tabs>
      <w:snapToGrid w:val="0"/>
      <w:spacing w:beforeLines="100" w:before="312" w:line="240" w:lineRule="auto"/>
      <w:textAlignment w:val="bottom"/>
    </w:pPr>
    <w:rPr>
      <w:rFonts w:ascii="Arial" w:eastAsia="宋体" w:cs="Arial"/>
      <w:b/>
      <w:bCs w:val="0"/>
      <w:color w:val="000000"/>
      <w:sz w:val="28"/>
      <w:szCs w:val="44"/>
    </w:rPr>
  </w:style>
  <w:style w:type="paragraph" w:customStyle="1" w:styleId="041">
    <w:name w:val="样式 正文缩进正文（首行缩进两字）文本条款 + 段前: 0.4 行"/>
    <w:basedOn w:val="a3"/>
    <w:uiPriority w:val="99"/>
    <w:qFormat/>
    <w:pPr>
      <w:spacing w:before="123" w:line="288" w:lineRule="auto"/>
      <w:ind w:firstLineChars="0" w:firstLine="0"/>
      <w:jc w:val="both"/>
    </w:pPr>
    <w:rPr>
      <w:rFonts w:eastAsia="黑体"/>
      <w:b/>
      <w:sz w:val="28"/>
      <w:szCs w:val="20"/>
    </w:rPr>
  </w:style>
  <w:style w:type="paragraph" w:customStyle="1" w:styleId="414H4">
    <w:name w:val="样式 标题 4标题 14H4 + 小四 非加粗"/>
    <w:basedOn w:val="41"/>
    <w:uiPriority w:val="99"/>
    <w:qFormat/>
    <w:pPr>
      <w:tabs>
        <w:tab w:val="left" w:pos="2160"/>
      </w:tabs>
      <w:spacing w:beforeLines="0" w:before="0" w:line="377" w:lineRule="auto"/>
      <w:ind w:leftChars="0" w:left="2160" w:rightChars="0" w:right="0" w:hanging="420"/>
      <w:jc w:val="both"/>
    </w:pPr>
    <w:rPr>
      <w:rFonts w:ascii="Arial" w:hAnsi="Arial"/>
      <w:b/>
      <w:bCs w:val="0"/>
      <w:color w:val="000000"/>
      <w:sz w:val="24"/>
    </w:rPr>
  </w:style>
  <w:style w:type="paragraph" w:customStyle="1" w:styleId="Char3CharCharCharCharCharChar2">
    <w:name w:val="Char3 Char Char Char Char Char Char2"/>
    <w:basedOn w:val="a2"/>
    <w:uiPriority w:val="99"/>
    <w:qFormat/>
    <w:pPr>
      <w:jc w:val="both"/>
    </w:pPr>
    <w:rPr>
      <w:rFonts w:ascii="Times New Roman"/>
    </w:rPr>
  </w:style>
  <w:style w:type="paragraph" w:customStyle="1" w:styleId="afffffffffffffd">
    <w:name w:val="陈光的正文"/>
    <w:basedOn w:val="a2"/>
    <w:qFormat/>
    <w:pPr>
      <w:snapToGrid w:val="0"/>
      <w:spacing w:beforeLines="10" w:before="31" w:afterLines="10" w:after="31" w:line="360" w:lineRule="auto"/>
      <w:ind w:firstLineChars="200" w:firstLine="560"/>
      <w:jc w:val="both"/>
    </w:pPr>
  </w:style>
  <w:style w:type="paragraph" w:customStyle="1" w:styleId="GB23127820">
    <w:name w:val="样式 (中文) 仿宋_GB2312 小四 段前: 7.8 磅 行距: 固定值 20 磅"/>
    <w:basedOn w:val="a2"/>
    <w:uiPriority w:val="99"/>
    <w:qFormat/>
    <w:pPr>
      <w:spacing w:beforeLines="50" w:before="156" w:line="400" w:lineRule="exact"/>
      <w:ind w:firstLineChars="150" w:firstLine="360"/>
      <w:jc w:val="both"/>
    </w:pPr>
    <w:rPr>
      <w:rFonts w:eastAsia="仿宋_GB2312" w:hAnsi="Arial" w:cs="宋体"/>
      <w:sz w:val="24"/>
    </w:rPr>
  </w:style>
  <w:style w:type="paragraph" w:customStyle="1" w:styleId="chu">
    <w:name w:val="chu"/>
    <w:basedOn w:val="a2"/>
    <w:uiPriority w:val="99"/>
    <w:qFormat/>
    <w:pPr>
      <w:snapToGrid w:val="0"/>
      <w:spacing w:before="100" w:beforeAutospacing="1" w:after="100" w:afterAutospacing="1" w:line="360" w:lineRule="auto"/>
      <w:ind w:firstLineChars="200" w:firstLine="200"/>
    </w:pPr>
    <w:rPr>
      <w:rFonts w:ascii="宋体" w:hAnsi="宋体"/>
      <w:sz w:val="24"/>
    </w:rPr>
  </w:style>
  <w:style w:type="paragraph" w:customStyle="1" w:styleId="1ffff6">
    <w:name w:val="表格标题（使用1）"/>
    <w:basedOn w:val="a2"/>
    <w:pPr>
      <w:autoSpaceDE/>
      <w:autoSpaceDN/>
      <w:adjustRightInd/>
      <w:spacing w:beforeLines="50" w:before="156"/>
      <w:ind w:firstLineChars="200" w:firstLine="200"/>
      <w:jc w:val="center"/>
      <w:textAlignment w:val="baseline"/>
    </w:pPr>
    <w:rPr>
      <w:rFonts w:hAnsi="宋体"/>
      <w:b/>
      <w:color w:val="000000"/>
    </w:rPr>
  </w:style>
  <w:style w:type="paragraph" w:customStyle="1" w:styleId="430">
    <w:name w:val="标题 43"/>
    <w:basedOn w:val="a2"/>
    <w:next w:val="a2"/>
    <w:uiPriority w:val="99"/>
    <w:qFormat/>
    <w:pPr>
      <w:snapToGrid w:val="0"/>
      <w:jc w:val="both"/>
      <w:textAlignment w:val="baseline"/>
    </w:pPr>
    <w:rPr>
      <w:rFonts w:hint="eastAsia"/>
      <w:sz w:val="32"/>
    </w:rPr>
  </w:style>
  <w:style w:type="paragraph" w:customStyle="1" w:styleId="075">
    <w:name w:val="样式 报告书表格 + 小五 底端: (单实线 自动设置  0.75 磅 行宽)"/>
    <w:basedOn w:val="afffd"/>
    <w:qFormat/>
    <w:rPr>
      <w:rFonts w:cs="宋体"/>
      <w:sz w:val="18"/>
      <w:szCs w:val="18"/>
    </w:rPr>
  </w:style>
  <w:style w:type="paragraph" w:customStyle="1" w:styleId="2h2MVA21212">
    <w:name w:val="样式 标题 2h2MVA2 + 段前: 12 磅 段后: 12 磅"/>
    <w:basedOn w:val="22"/>
    <w:uiPriority w:val="99"/>
    <w:qFormat/>
    <w:pPr>
      <w:keepNext w:val="0"/>
      <w:keepLines w:val="0"/>
      <w:tabs>
        <w:tab w:val="left" w:pos="575"/>
      </w:tabs>
      <w:spacing w:before="240" w:after="240" w:line="240" w:lineRule="auto"/>
      <w:ind w:left="575" w:hanging="576"/>
      <w:textAlignment w:val="baseline"/>
    </w:pPr>
    <w:rPr>
      <w:rFonts w:ascii="Times New Roman" w:eastAsia="黑体" w:hAnsi="Times New Roman" w:cs="宋体"/>
      <w:b w:val="0"/>
      <w:sz w:val="24"/>
      <w:szCs w:val="24"/>
    </w:rPr>
  </w:style>
  <w:style w:type="paragraph" w:customStyle="1" w:styleId="20505">
    <w:name w:val="样式 题2 + 段前: 0.5 行 段后: 0.5 行"/>
    <w:basedOn w:val="2fd"/>
    <w:qFormat/>
    <w:pPr>
      <w:spacing w:beforeLines="0" w:afterLines="0"/>
    </w:pPr>
    <w:rPr>
      <w:rFonts w:cs="宋体"/>
      <w:szCs w:val="20"/>
    </w:rPr>
  </w:style>
  <w:style w:type="paragraph" w:customStyle="1" w:styleId="1ffff7">
    <w:name w:val="编号(1)"/>
    <w:basedOn w:val="a2"/>
    <w:qFormat/>
    <w:pPr>
      <w:tabs>
        <w:tab w:val="left" w:pos="432"/>
        <w:tab w:val="left" w:pos="547"/>
        <w:tab w:val="left" w:pos="1080"/>
      </w:tabs>
      <w:spacing w:line="480" w:lineRule="atLeast"/>
      <w:ind w:left="432" w:hanging="432"/>
    </w:pPr>
  </w:style>
  <w:style w:type="paragraph" w:customStyle="1" w:styleId="22Char1CharChar21H2H212XWChar2XWCha1">
    <w:name w:val="样式 标题 2标题 2 Char1 Char Char标题 21H2H21标题 2XW Char标题 2XW Cha...1"/>
    <w:basedOn w:val="22"/>
    <w:uiPriority w:val="99"/>
    <w:qFormat/>
    <w:pPr>
      <w:snapToGrid w:val="0"/>
      <w:spacing w:before="0" w:after="120" w:line="360" w:lineRule="auto"/>
      <w:jc w:val="both"/>
    </w:pPr>
    <w:rPr>
      <w:rFonts w:ascii="黑体" w:eastAsia="宋体" w:hAnsi="Arial" w:cs="宋体"/>
      <w:bCs w:val="0"/>
      <w:snapToGrid w:val="0"/>
      <w:sz w:val="28"/>
      <w:szCs w:val="30"/>
    </w:rPr>
  </w:style>
  <w:style w:type="paragraph" w:customStyle="1" w:styleId="1CharCharb">
    <w:name w:val="目录 1 Char Char"/>
    <w:basedOn w:val="a2"/>
    <w:next w:val="a2"/>
    <w:qFormat/>
    <w:pPr>
      <w:tabs>
        <w:tab w:val="left" w:leader="dot" w:pos="8010"/>
      </w:tabs>
      <w:snapToGrid w:val="0"/>
      <w:spacing w:line="300" w:lineRule="auto"/>
    </w:pPr>
    <w:rPr>
      <w:rFonts w:eastAsia="黑体" w:hAnsi="宋体"/>
      <w:sz w:val="24"/>
    </w:rPr>
  </w:style>
  <w:style w:type="paragraph" w:customStyle="1" w:styleId="CharCharCharCharCharCharCharCharCharCharChar4">
    <w:name w:val="Char Char Char Char Char Char Char Char Char Char Char4"/>
    <w:basedOn w:val="a2"/>
    <w:uiPriority w:val="99"/>
    <w:qFormat/>
    <w:pPr>
      <w:jc w:val="both"/>
    </w:pPr>
    <w:rPr>
      <w:sz w:val="24"/>
    </w:rPr>
  </w:style>
  <w:style w:type="paragraph" w:customStyle="1" w:styleId="unnamed3">
    <w:name w:val="unnamed3"/>
    <w:basedOn w:val="a2"/>
    <w:uiPriority w:val="99"/>
    <w:qFormat/>
    <w:pPr>
      <w:snapToGrid w:val="0"/>
      <w:spacing w:before="100" w:beforeAutospacing="1" w:after="100" w:afterAutospacing="1" w:line="315" w:lineRule="atLeast"/>
      <w:ind w:firstLineChars="200" w:firstLine="200"/>
    </w:pPr>
    <w:rPr>
      <w:rFonts w:ascii="宋体" w:hAnsi="宋体"/>
      <w:sz w:val="20"/>
    </w:rPr>
  </w:style>
  <w:style w:type="paragraph" w:customStyle="1" w:styleId="3fe">
    <w:name w:val="字元 字元3 字元"/>
    <w:basedOn w:val="a2"/>
    <w:next w:val="a2"/>
    <w:qFormat/>
    <w:pPr>
      <w:spacing w:line="360" w:lineRule="auto"/>
      <w:ind w:firstLineChars="200" w:firstLine="200"/>
      <w:jc w:val="both"/>
    </w:pPr>
    <w:rPr>
      <w:rFonts w:ascii="Times New Roman"/>
    </w:rPr>
  </w:style>
  <w:style w:type="paragraph" w:customStyle="1" w:styleId="1ffff8">
    <w:name w:val="正文缩进1"/>
    <w:basedOn w:val="a2"/>
    <w:uiPriority w:val="99"/>
    <w:qFormat/>
    <w:pPr>
      <w:spacing w:line="560" w:lineRule="exact"/>
      <w:ind w:firstLineChars="200" w:firstLine="560"/>
      <w:jc w:val="both"/>
      <w:textAlignment w:val="baseline"/>
    </w:pPr>
    <w:rPr>
      <w:rFonts w:hint="eastAsia"/>
    </w:rPr>
  </w:style>
  <w:style w:type="paragraph" w:customStyle="1" w:styleId="HTML12">
    <w:name w:val="HTML 预设格式12"/>
    <w:basedOn w:val="a2"/>
    <w:uiPriority w:val="99"/>
    <w:qFormat/>
    <w:pPr>
      <w:jc w:val="both"/>
    </w:pPr>
    <w:rPr>
      <w:rFonts w:ascii="Courier New" w:eastAsia="宋体" w:hAnsi="Courier New"/>
      <w:szCs w:val="22"/>
    </w:rPr>
  </w:style>
  <w:style w:type="paragraph" w:customStyle="1" w:styleId="1ffff9">
    <w:name w:val="普通(网站)1"/>
    <w:basedOn w:val="a2"/>
    <w:qFormat/>
    <w:pPr>
      <w:jc w:val="both"/>
      <w:textAlignment w:val="baseline"/>
    </w:pPr>
    <w:rPr>
      <w:sz w:val="24"/>
    </w:rPr>
  </w:style>
  <w:style w:type="paragraph" w:customStyle="1" w:styleId="CharCharChar1CharCharCharCharCharCharCharCharCharCharCharCharCharCharCharCharCharCharCharCharCharChar3">
    <w:name w:val="Char Char Char1 Char Char Char Char Char Char Char Char Char Char Char Char Char Char Char Char Char Char Char Char Char Char3"/>
    <w:basedOn w:val="a2"/>
    <w:uiPriority w:val="99"/>
    <w:qFormat/>
  </w:style>
  <w:style w:type="paragraph" w:customStyle="1" w:styleId="1ffffa">
    <w:name w:val="图表1"/>
    <w:basedOn w:val="a2"/>
    <w:uiPriority w:val="99"/>
    <w:qFormat/>
    <w:pPr>
      <w:overflowPunct w:val="0"/>
      <w:spacing w:before="60" w:after="60"/>
      <w:jc w:val="center"/>
      <w:textAlignment w:val="baseline"/>
    </w:pPr>
    <w:rPr>
      <w:rFonts w:ascii="宋体"/>
      <w:kern w:val="28"/>
      <w:sz w:val="20"/>
    </w:rPr>
  </w:style>
  <w:style w:type="paragraph" w:customStyle="1" w:styleId="CharCharChar1CharCharCharCharCharCharCharCharCharCharCharCharCharCharCharCharCharCharCharCharCharCharCharCharCharCharChar2">
    <w:name w:val="Char Char Char1 Char Char Char Char Char Char Char Char Char Char Char Char Char Char Char Char Char Char Char Char Char Char Char Char Char Char Char2"/>
    <w:basedOn w:val="a2"/>
    <w:uiPriority w:val="99"/>
    <w:qFormat/>
    <w:pPr>
      <w:spacing w:line="360" w:lineRule="auto"/>
    </w:pPr>
    <w:rPr>
      <w:rFonts w:ascii="Times New Roman"/>
    </w:rPr>
  </w:style>
  <w:style w:type="paragraph" w:customStyle="1" w:styleId="CharCharCharCharCharChar60">
    <w:name w:val="Char Char Char Char Char Char6"/>
    <w:basedOn w:val="a2"/>
    <w:uiPriority w:val="99"/>
    <w:qFormat/>
  </w:style>
  <w:style w:type="paragraph" w:customStyle="1" w:styleId="1ffffb">
    <w:name w:val="一级1"/>
    <w:basedOn w:val="22"/>
    <w:uiPriority w:val="99"/>
    <w:qFormat/>
    <w:pPr>
      <w:keepNext w:val="0"/>
      <w:keepLines w:val="0"/>
      <w:spacing w:before="0" w:after="0" w:line="360" w:lineRule="auto"/>
      <w:ind w:left="425" w:hanging="425"/>
    </w:pPr>
    <w:rPr>
      <w:rFonts w:ascii="Times New Roman" w:eastAsia="宋体" w:hAnsi="Times New Roman" w:cs="Times New Roman"/>
      <w:bCs w:val="0"/>
      <w:kern w:val="44"/>
      <w:sz w:val="30"/>
      <w:szCs w:val="28"/>
    </w:rPr>
  </w:style>
  <w:style w:type="paragraph" w:customStyle="1" w:styleId="CharCharCharCharCharCharCharCharCharChar0">
    <w:name w:val="Char Char Char Char Char Char Char Char Char Char"/>
    <w:basedOn w:val="a2"/>
    <w:pPr>
      <w:jc w:val="both"/>
    </w:pPr>
  </w:style>
  <w:style w:type="paragraph" w:customStyle="1" w:styleId="afffffffffffffe">
    <w:name w:val="示例"/>
    <w:next w:val="a2"/>
    <w:qFormat/>
    <w:pPr>
      <w:tabs>
        <w:tab w:val="left" w:pos="816"/>
      </w:tabs>
      <w:spacing w:beforeLines="50" w:before="50" w:afterLines="50" w:after="50" w:line="360" w:lineRule="auto"/>
      <w:ind w:firstLineChars="233" w:firstLine="419"/>
      <w:jc w:val="both"/>
    </w:pPr>
    <w:rPr>
      <w:rFonts w:ascii="Times New Roman" w:eastAsia="宋体" w:hAnsi="Times New Roman" w:cs="Times New Roman"/>
      <w:sz w:val="18"/>
    </w:rPr>
  </w:style>
  <w:style w:type="paragraph" w:customStyle="1" w:styleId="Char2CharCharCharCharCharChar">
    <w:name w:val="Char2 Char Char Char Char Char Char"/>
    <w:basedOn w:val="a2"/>
    <w:qFormat/>
    <w:pPr>
      <w:jc w:val="both"/>
    </w:pPr>
  </w:style>
  <w:style w:type="paragraph" w:customStyle="1" w:styleId="1H1NMPHeading1SectionHeadHeader1h11stleve">
    <w:name w:val="样式 标题 1章标题章节H1NMP Heading 1Section HeadHeader1h11st leve..."/>
    <w:basedOn w:val="12"/>
    <w:qFormat/>
    <w:pPr>
      <w:keepLines w:val="0"/>
      <w:spacing w:beforeLines="100" w:before="240" w:afterLines="100" w:after="240" w:line="480" w:lineRule="exact"/>
      <w:textAlignment w:val="auto"/>
    </w:pPr>
    <w:rPr>
      <w:rFonts w:eastAsia="方正仿宋_GBK" w:cs="宋体"/>
      <w:b/>
      <w:kern w:val="2"/>
      <w:sz w:val="44"/>
      <w:szCs w:val="20"/>
    </w:rPr>
  </w:style>
  <w:style w:type="paragraph" w:customStyle="1" w:styleId="5c">
    <w:name w:val="表文5中"/>
    <w:basedOn w:val="a2"/>
    <w:qFormat/>
    <w:pPr>
      <w:jc w:val="center"/>
      <w:textAlignment w:val="baseline"/>
    </w:pPr>
  </w:style>
  <w:style w:type="paragraph" w:customStyle="1" w:styleId="3313Char1CharCharChar31CharCharChar">
    <w:name w:val="样式 样式 标题 3标题 31标题 3 Char1 Char Char Char标题 31 Char Char Char标题 ...."/>
    <w:basedOn w:val="a2"/>
    <w:uiPriority w:val="99"/>
    <w:qFormat/>
    <w:pPr>
      <w:keepNext/>
      <w:keepLines/>
      <w:spacing w:beforeLines="50" w:before="156" w:afterLines="50" w:after="156" w:line="520" w:lineRule="exact"/>
      <w:ind w:firstLineChars="200" w:firstLine="200"/>
      <w:jc w:val="both"/>
      <w:outlineLvl w:val="2"/>
    </w:pPr>
    <w:rPr>
      <w:rFonts w:cs="宋体"/>
      <w:b/>
      <w:bCs/>
      <w:snapToGrid w:val="0"/>
      <w:sz w:val="24"/>
    </w:rPr>
  </w:style>
  <w:style w:type="paragraph" w:customStyle="1" w:styleId="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3"/>
    <w:basedOn w:val="a2"/>
    <w:uiPriority w:val="99"/>
    <w:qFormat/>
    <w:pPr>
      <w:jc w:val="both"/>
    </w:pPr>
    <w:rPr>
      <w:rFonts w:ascii="Times New Roman"/>
    </w:rPr>
  </w:style>
  <w:style w:type="paragraph" w:customStyle="1" w:styleId="affffffffffffff">
    <w:name w:val="标题二"/>
    <w:basedOn w:val="22"/>
    <w:next w:val="a2"/>
    <w:qFormat/>
    <w:pPr>
      <w:tabs>
        <w:tab w:val="left" w:pos="1275"/>
      </w:tabs>
      <w:spacing w:beforeLines="30" w:before="93" w:afterLines="30" w:after="93" w:line="360" w:lineRule="auto"/>
    </w:pPr>
    <w:rPr>
      <w:rFonts w:ascii="Times New Roman" w:eastAsia="仿宋_GB2312" w:hAnsi="Times New Roman" w:cs="Times New Roman"/>
      <w:sz w:val="30"/>
      <w:szCs w:val="30"/>
    </w:rPr>
  </w:style>
  <w:style w:type="paragraph" w:customStyle="1" w:styleId="Char2CharCharCharCharCharChar4">
    <w:name w:val="Char2 Char Char Char Char Char Char4"/>
    <w:basedOn w:val="a2"/>
    <w:pPr>
      <w:jc w:val="both"/>
    </w:pPr>
    <w:rPr>
      <w:sz w:val="24"/>
    </w:rPr>
  </w:style>
  <w:style w:type="paragraph" w:customStyle="1" w:styleId="standard">
    <w:name w:val="standard ü"/>
    <w:basedOn w:val="a2"/>
    <w:uiPriority w:val="99"/>
    <w:qFormat/>
    <w:pPr>
      <w:spacing w:before="240" w:after="120" w:line="360" w:lineRule="auto"/>
      <w:ind w:firstLine="567"/>
      <w:jc w:val="both"/>
      <w:textAlignment w:val="baseline"/>
    </w:pPr>
    <w:rPr>
      <w:rFonts w:ascii="CorpoSLig" w:hAnsi="CorpoSLig"/>
      <w:sz w:val="24"/>
    </w:rPr>
  </w:style>
  <w:style w:type="paragraph" w:customStyle="1" w:styleId="2ffa">
    <w:name w:val="正文2"/>
    <w:basedOn w:val="a2"/>
    <w:qFormat/>
    <w:pPr>
      <w:snapToGrid w:val="0"/>
      <w:spacing w:line="360" w:lineRule="auto"/>
      <w:ind w:leftChars="200" w:left="200"/>
    </w:pPr>
    <w:rPr>
      <w:rFonts w:ascii="宋体"/>
      <w:color w:val="000000"/>
      <w:sz w:val="24"/>
      <w:szCs w:val="28"/>
    </w:rPr>
  </w:style>
  <w:style w:type="paragraph" w:customStyle="1" w:styleId="xl27">
    <w:name w:val="xl27"/>
    <w:basedOn w:val="a2"/>
    <w:qFormat/>
    <w:pPr>
      <w:widowControl/>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97">
    <w:name w:val="xl97"/>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CharCharChar1CharCharCharCharCharCharCharCharCharCharCharCharCharCharChar1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1"/>
    <w:basedOn w:val="a2"/>
    <w:uiPriority w:val="99"/>
    <w:qFormat/>
    <w:pPr>
      <w:jc w:val="both"/>
    </w:pPr>
  </w:style>
  <w:style w:type="paragraph" w:customStyle="1" w:styleId="22Heading2HiddenHeading2CCBSheading2H2h2">
    <w:name w:val="样式 标题 2第一章 标题 2Heading 2 HiddenHeading 2 CCBSheading 2H2h2..."/>
    <w:basedOn w:val="22"/>
    <w:qFormat/>
    <w:pPr>
      <w:spacing w:before="120" w:after="120" w:line="500" w:lineRule="exact"/>
      <w:jc w:val="both"/>
    </w:pPr>
    <w:rPr>
      <w:rFonts w:ascii="Times New Roman" w:eastAsia="仿宋_GB2312" w:hAnsi="Times New Roman" w:cs="Times New Roman"/>
      <w:color w:val="000000"/>
      <w:kern w:val="44"/>
      <w:sz w:val="28"/>
    </w:rPr>
  </w:style>
  <w:style w:type="paragraph" w:customStyle="1" w:styleId="41111">
    <w:name w:val="标题 4款标题1.1.1.1"/>
    <w:basedOn w:val="41"/>
    <w:uiPriority w:val="99"/>
    <w:qFormat/>
    <w:pPr>
      <w:snapToGrid w:val="0"/>
      <w:spacing w:beforeLines="20" w:before="62" w:afterLines="30" w:after="93" w:line="570" w:lineRule="exact"/>
      <w:ind w:leftChars="0" w:left="0" w:rightChars="0" w:right="0"/>
    </w:pPr>
    <w:rPr>
      <w:rFonts w:ascii="Arial" w:hAnsi="Arial"/>
      <w:bCs w:val="0"/>
      <w:szCs w:val="20"/>
    </w:rPr>
  </w:style>
  <w:style w:type="paragraph" w:customStyle="1" w:styleId="NormalWeb1">
    <w:name w:val="Normal (Web)1"/>
    <w:basedOn w:val="a2"/>
    <w:uiPriority w:val="99"/>
    <w:qFormat/>
    <w:pPr>
      <w:jc w:val="both"/>
      <w:textAlignment w:val="baseline"/>
    </w:pPr>
    <w:rPr>
      <w:rFonts w:ascii="宋体" w:hAnsi="宋体" w:hint="eastAsia"/>
      <w:sz w:val="24"/>
    </w:rPr>
  </w:style>
  <w:style w:type="paragraph" w:customStyle="1" w:styleId="0202">
    <w:name w:val="样式 表内文字 + 段前: 0.2 行 段后: 0.2 行"/>
    <w:basedOn w:val="af8"/>
    <w:uiPriority w:val="99"/>
    <w:qFormat/>
    <w:pPr>
      <w:spacing w:beforeLines="20" w:before="62" w:afterLines="20" w:after="62"/>
      <w:jc w:val="center"/>
    </w:pPr>
    <w:rPr>
      <w:rFonts w:eastAsia="楷体_GB2312" w:hAnsi="宋体" w:hint="eastAsia"/>
      <w:kern w:val="0"/>
      <w:sz w:val="21"/>
      <w:szCs w:val="20"/>
    </w:rPr>
  </w:style>
  <w:style w:type="paragraph" w:customStyle="1" w:styleId="xl742">
    <w:name w:val="xl742"/>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eastAsia="Arial Unicode MS" w:hAnsi="Courier New"/>
      <w:sz w:val="24"/>
    </w:rPr>
  </w:style>
  <w:style w:type="paragraph" w:customStyle="1" w:styleId="CharChar12ZchnZchnCharChar1">
    <w:name w:val="Char Char12 Zchn Zchn Char Char1"/>
    <w:basedOn w:val="a2"/>
    <w:uiPriority w:val="99"/>
    <w:qFormat/>
    <w:pPr>
      <w:jc w:val="both"/>
    </w:pPr>
    <w:rPr>
      <w:rFonts w:ascii="Times New Roman"/>
    </w:rPr>
  </w:style>
  <w:style w:type="paragraph" w:customStyle="1" w:styleId="PlainText2">
    <w:name w:val="Plain Text2"/>
    <w:basedOn w:val="a2"/>
    <w:uiPriority w:val="99"/>
    <w:qFormat/>
    <w:pPr>
      <w:jc w:val="both"/>
      <w:textAlignment w:val="baseline"/>
    </w:pPr>
    <w:rPr>
      <w:rFonts w:ascii="宋体" w:hAnsi="Tms Rmn"/>
    </w:rPr>
  </w:style>
  <w:style w:type="paragraph" w:customStyle="1" w:styleId="xl59">
    <w:name w:val="xl59"/>
    <w:basedOn w:val="a2"/>
    <w:qFormat/>
    <w:pPr>
      <w:pBdr>
        <w:bottom w:val="single" w:sz="4" w:space="0" w:color="auto"/>
      </w:pBdr>
      <w:shd w:val="clear" w:color="auto" w:fill="FFFFFF"/>
      <w:spacing w:before="100" w:beforeAutospacing="1" w:after="100" w:afterAutospacing="1"/>
      <w:jc w:val="right"/>
    </w:pPr>
    <w:rPr>
      <w:rFonts w:ascii="Arial Unicode MS" w:eastAsia="Arial Unicode MS" w:hAnsi="Arial Unicode MS"/>
      <w:color w:val="000080"/>
      <w:szCs w:val="28"/>
    </w:rPr>
  </w:style>
  <w:style w:type="paragraph" w:customStyle="1" w:styleId="134">
    <w:name w:val="样式 正文首行缩进 + 首行缩进:  1 字符3"/>
    <w:basedOn w:val="aff9"/>
    <w:uiPriority w:val="99"/>
    <w:qFormat/>
    <w:pPr>
      <w:spacing w:line="500" w:lineRule="exact"/>
      <w:ind w:firstLineChars="200" w:firstLine="200"/>
      <w:jc w:val="both"/>
      <w:textAlignment w:val="center"/>
    </w:pPr>
    <w:rPr>
      <w:rFonts w:ascii="宋体" w:hAnsi="宋体" w:cs="宋体"/>
      <w:kern w:val="0"/>
      <w:sz w:val="24"/>
    </w:rPr>
  </w:style>
  <w:style w:type="paragraph" w:customStyle="1" w:styleId="410">
    <w:name w:val="小4仿宋居中行1"/>
    <w:uiPriority w:val="99"/>
    <w:qFormat/>
    <w:pPr>
      <w:widowControl w:val="0"/>
      <w:ind w:left="-573" w:right="-59" w:firstLine="494"/>
      <w:jc w:val="center"/>
    </w:pPr>
    <w:rPr>
      <w:rFonts w:ascii="Times New Roman" w:eastAsia="仿宋_GB2312" w:hAnsi="Times New Roman" w:cs="Times New Roman"/>
      <w:sz w:val="24"/>
    </w:rPr>
  </w:style>
  <w:style w:type="paragraph" w:customStyle="1" w:styleId="-2">
    <w:name w:val="正文-使用"/>
    <w:basedOn w:val="a2"/>
    <w:uiPriority w:val="99"/>
    <w:qFormat/>
    <w:pPr>
      <w:spacing w:line="360" w:lineRule="auto"/>
      <w:ind w:firstLine="482"/>
      <w:jc w:val="both"/>
    </w:pPr>
    <w:rPr>
      <w:sz w:val="24"/>
    </w:rPr>
  </w:style>
  <w:style w:type="paragraph" w:customStyle="1" w:styleId="5d">
    <w:name w:val="表内5号居中"/>
    <w:uiPriority w:val="99"/>
    <w:qFormat/>
    <w:pPr>
      <w:adjustRightInd w:val="0"/>
      <w:snapToGrid w:val="0"/>
      <w:jc w:val="center"/>
    </w:pPr>
    <w:rPr>
      <w:rFonts w:ascii="Times New Roman" w:eastAsia="宋体" w:hAnsi="Times New Roman" w:cs="Times New Roman"/>
      <w:sz w:val="21"/>
    </w:rPr>
  </w:style>
  <w:style w:type="character" w:customStyle="1" w:styleId="z-11">
    <w:name w:val="z-窗体底端 字符1"/>
    <w:basedOn w:val="a4"/>
    <w:uiPriority w:val="99"/>
    <w:semiHidden/>
    <w:rPr>
      <w:rFonts w:ascii="Arial" w:eastAsia="楷体_GB2312" w:hAnsi="Arial" w:cs="Arial"/>
      <w:vanish/>
      <w:spacing w:val="-6"/>
      <w:kern w:val="0"/>
      <w:sz w:val="16"/>
      <w:szCs w:val="16"/>
    </w:rPr>
  </w:style>
  <w:style w:type="paragraph" w:customStyle="1" w:styleId="3000">
    <w:name w:val="样式 标题 3 + 黑色 段前: 0行 段后: 0 行"/>
    <w:basedOn w:val="32"/>
    <w:qFormat/>
    <w:pPr>
      <w:tabs>
        <w:tab w:val="left" w:pos="1560"/>
      </w:tabs>
      <w:snapToGrid w:val="0"/>
      <w:spacing w:beforeLines="25" w:before="78" w:afterLines="25" w:after="78" w:line="312" w:lineRule="auto"/>
      <w:ind w:left="1560" w:hanging="720"/>
      <w:jc w:val="both"/>
    </w:pPr>
    <w:rPr>
      <w:rFonts w:ascii="宋体" w:eastAsia="宋体" w:hAnsi="宋体" w:cs="宋体"/>
      <w:b w:val="0"/>
      <w:bCs w:val="0"/>
      <w:sz w:val="24"/>
      <w:szCs w:val="20"/>
    </w:rPr>
  </w:style>
  <w:style w:type="paragraph" w:customStyle="1" w:styleId="4143101">
    <w:name w:val="样式 标题 4标题 14 + 加粗 无下划线 自动设置 段前: 3 磅 段后: 10 磅1"/>
    <w:basedOn w:val="41"/>
    <w:uiPriority w:val="99"/>
    <w:qFormat/>
    <w:pPr>
      <w:keepLines w:val="0"/>
      <w:tabs>
        <w:tab w:val="left" w:pos="864"/>
      </w:tabs>
      <w:snapToGrid w:val="0"/>
      <w:spacing w:beforeLines="0" w:before="60" w:after="200" w:line="240" w:lineRule="auto"/>
      <w:ind w:leftChars="0" w:left="864" w:rightChars="0" w:right="0" w:hanging="864"/>
      <w:jc w:val="both"/>
    </w:pPr>
    <w:rPr>
      <w:rFonts w:ascii="Times New Roman" w:eastAsia="宋体"/>
      <w:color w:val="000000"/>
      <w:sz w:val="24"/>
      <w:szCs w:val="20"/>
    </w:rPr>
  </w:style>
  <w:style w:type="paragraph" w:customStyle="1" w:styleId="21731">
    <w:name w:val="样式 标题 2 + (中文) 黑体 四号 两端对齐 行距: 多倍行距 1.73 字行1"/>
    <w:basedOn w:val="22"/>
    <w:uiPriority w:val="99"/>
    <w:qFormat/>
    <w:pPr>
      <w:spacing w:before="360" w:line="413" w:lineRule="auto"/>
      <w:jc w:val="both"/>
      <w:textAlignment w:val="baseline"/>
    </w:pPr>
    <w:rPr>
      <w:rFonts w:ascii="Arial" w:eastAsia="黑体" w:hAnsi="Arial" w:cs="宋体"/>
      <w:sz w:val="28"/>
      <w:szCs w:val="20"/>
    </w:rPr>
  </w:style>
  <w:style w:type="paragraph" w:customStyle="1" w:styleId="CharChar1CharCharCharCharCharCharCharCharCharCharCharCharCharCharCharCharCharCharCharChar1Char4">
    <w:name w:val="Char Char1 Char Char Char Char Char Char Char Char Char Char Char Char Char Char Char Char Char Char Char Char1 Char4"/>
    <w:basedOn w:val="a2"/>
    <w:uiPriority w:val="99"/>
    <w:qFormat/>
    <w:pPr>
      <w:spacing w:line="360" w:lineRule="auto"/>
      <w:ind w:firstLineChars="200" w:firstLine="200"/>
      <w:jc w:val="both"/>
    </w:pPr>
  </w:style>
  <w:style w:type="paragraph" w:customStyle="1" w:styleId="2211">
    <w:name w:val="样式 首行缩进:  2.21 字符"/>
    <w:basedOn w:val="a2"/>
    <w:uiPriority w:val="99"/>
    <w:qFormat/>
    <w:pPr>
      <w:spacing w:line="360" w:lineRule="auto"/>
      <w:ind w:firstLineChars="200" w:firstLine="200"/>
      <w:jc w:val="both"/>
    </w:pPr>
    <w:rPr>
      <w:rFonts w:cs="宋体"/>
      <w:sz w:val="24"/>
    </w:rPr>
  </w:style>
  <w:style w:type="paragraph" w:customStyle="1" w:styleId="FirmenunterschriftAbteilung">
    <w:name w:val="Firmenunterschrift Abteilung"/>
    <w:basedOn w:val="aff"/>
    <w:next w:val="a2"/>
    <w:uiPriority w:val="99"/>
    <w:qFormat/>
    <w:pPr>
      <w:keepNext/>
      <w:spacing w:before="0" w:line="220" w:lineRule="atLeast"/>
      <w:ind w:left="0" w:firstLine="709"/>
      <w:jc w:val="both"/>
      <w:textAlignment w:val="baseline"/>
    </w:pPr>
    <w:rPr>
      <w:rFonts w:ascii="CorpoS" w:eastAsia="宋体" w:hAnsi="CorpoS"/>
      <w:spacing w:val="-5"/>
      <w:kern w:val="0"/>
    </w:rPr>
  </w:style>
  <w:style w:type="paragraph" w:customStyle="1" w:styleId="22Char1CharChar21H2H212XWChar2XWCha">
    <w:name w:val="样式 标题 2标题 2 Char1 Char Char标题 21H2H21标题 2XW Char标题 2XW Cha..."/>
    <w:basedOn w:val="22"/>
    <w:uiPriority w:val="99"/>
    <w:qFormat/>
    <w:pPr>
      <w:spacing w:before="240" w:after="240" w:line="520" w:lineRule="exact"/>
      <w:jc w:val="both"/>
    </w:pPr>
    <w:rPr>
      <w:rFonts w:ascii="Arial" w:eastAsia="宋体" w:hAnsi="Arial" w:cs="宋体"/>
      <w:b w:val="0"/>
      <w:snapToGrid w:val="0"/>
      <w:sz w:val="28"/>
      <w:szCs w:val="30"/>
    </w:rPr>
  </w:style>
  <w:style w:type="paragraph" w:customStyle="1" w:styleId="22Heading2HiddenHeading2CCBSheading2H2h23">
    <w:name w:val="样式 标题 2第一章 标题 2Heading 2 HiddenHeading 2 CCBSheading 2H2h2...3"/>
    <w:basedOn w:val="22"/>
    <w:qFormat/>
    <w:pPr>
      <w:spacing w:before="120" w:after="120" w:line="500" w:lineRule="exact"/>
      <w:jc w:val="both"/>
    </w:pPr>
    <w:rPr>
      <w:rFonts w:ascii="Times New Roman" w:eastAsia="仿宋_GB2312" w:hAnsi="Times New Roman" w:cs="宋体"/>
      <w:sz w:val="28"/>
      <w:szCs w:val="20"/>
    </w:rPr>
  </w:style>
  <w:style w:type="paragraph" w:customStyle="1" w:styleId="xl65">
    <w:name w:val="xl65"/>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rPr>
  </w:style>
  <w:style w:type="paragraph" w:customStyle="1" w:styleId="InTable">
    <w:name w:val="In Table"/>
    <w:basedOn w:val="a2"/>
    <w:uiPriority w:val="99"/>
    <w:qFormat/>
    <w:pPr>
      <w:tabs>
        <w:tab w:val="left" w:pos="3960"/>
        <w:tab w:val="left" w:pos="5280"/>
      </w:tabs>
      <w:snapToGrid w:val="0"/>
      <w:spacing w:before="96" w:after="96" w:line="0" w:lineRule="atLeast"/>
      <w:jc w:val="center"/>
      <w:textAlignment w:val="baseline"/>
    </w:pPr>
    <w:rPr>
      <w:rFonts w:ascii="Tahoma" w:eastAsia="华文中宋" w:hAnsi="Tahoma"/>
    </w:rPr>
  </w:style>
  <w:style w:type="paragraph" w:customStyle="1" w:styleId="116">
    <w:name w:val="列出段落11"/>
    <w:basedOn w:val="a2"/>
    <w:uiPriority w:val="99"/>
    <w:qFormat/>
    <w:pPr>
      <w:spacing w:line="460" w:lineRule="atLeast"/>
      <w:ind w:firstLineChars="200" w:firstLine="420"/>
      <w:jc w:val="both"/>
    </w:pPr>
    <w:rPr>
      <w:rFonts w:ascii="宋体"/>
      <w:bCs/>
      <w:kern w:val="44"/>
      <w:szCs w:val="44"/>
    </w:rPr>
  </w:style>
  <w:style w:type="paragraph" w:customStyle="1" w:styleId="affffffffffffff0">
    <w:name w:val="表文字"/>
    <w:basedOn w:val="a2"/>
    <w:qFormat/>
    <w:pPr>
      <w:spacing w:line="320" w:lineRule="exact"/>
    </w:pPr>
  </w:style>
  <w:style w:type="paragraph" w:customStyle="1" w:styleId="540">
    <w:name w:val="河石管道 表格正文54"/>
    <w:uiPriority w:val="99"/>
    <w:qFormat/>
    <w:pPr>
      <w:spacing w:line="0" w:lineRule="atLeast"/>
      <w:jc w:val="both"/>
    </w:pPr>
    <w:rPr>
      <w:rFonts w:ascii="Times New Roman" w:eastAsia="宋体" w:hAnsi="Times New Roman" w:cs="Times New Roman"/>
      <w:kern w:val="2"/>
      <w:sz w:val="18"/>
    </w:rPr>
  </w:style>
  <w:style w:type="paragraph" w:customStyle="1" w:styleId="3wb">
    <w:name w:val="标题 3 wb"/>
    <w:basedOn w:val="a2"/>
    <w:next w:val="a2"/>
    <w:uiPriority w:val="99"/>
    <w:qFormat/>
    <w:pPr>
      <w:spacing w:beforeLines="50" w:before="156" w:afterLines="50" w:after="156" w:line="400" w:lineRule="exact"/>
      <w:jc w:val="both"/>
      <w:outlineLvl w:val="2"/>
    </w:pPr>
    <w:rPr>
      <w:sz w:val="24"/>
    </w:rPr>
  </w:style>
  <w:style w:type="paragraph" w:customStyle="1" w:styleId="Char1CharCharCharCharCharCharCharChar">
    <w:name w:val="Char1 Char Char Char Char Char Char Char Char"/>
    <w:basedOn w:val="a2"/>
    <w:pPr>
      <w:jc w:val="both"/>
    </w:pPr>
    <w:rPr>
      <w:sz w:val="24"/>
    </w:rPr>
  </w:style>
  <w:style w:type="paragraph" w:customStyle="1" w:styleId="CharCharCharChar1CharCharCharCharCharCharChar1">
    <w:name w:val="Char Char Char Char1 Char Char Char Char Char Char Char1"/>
    <w:basedOn w:val="a2"/>
    <w:uiPriority w:val="99"/>
    <w:qFormat/>
    <w:pPr>
      <w:tabs>
        <w:tab w:val="left" w:pos="360"/>
      </w:tabs>
      <w:snapToGrid w:val="0"/>
      <w:spacing w:line="360" w:lineRule="auto"/>
      <w:jc w:val="both"/>
    </w:pPr>
    <w:rPr>
      <w:rFonts w:eastAsia="仿宋_GB2312" w:cs="宋体"/>
      <w:sz w:val="24"/>
    </w:rPr>
  </w:style>
  <w:style w:type="paragraph" w:customStyle="1" w:styleId="affffffffffffff1">
    <w:name w:val="节名"/>
    <w:basedOn w:val="a2"/>
    <w:uiPriority w:val="99"/>
    <w:qFormat/>
    <w:pPr>
      <w:keepNext/>
      <w:keepLines/>
      <w:tabs>
        <w:tab w:val="left" w:pos="0"/>
      </w:tabs>
      <w:spacing w:before="120" w:line="413" w:lineRule="auto"/>
      <w:ind w:left="2323"/>
      <w:textAlignment w:val="baseline"/>
      <w:outlineLvl w:val="2"/>
    </w:pPr>
    <w:rPr>
      <w:rFonts w:ascii="黑体" w:eastAsia="黑体"/>
      <w:b/>
      <w:bCs/>
      <w:sz w:val="32"/>
      <w:szCs w:val="32"/>
    </w:rPr>
  </w:style>
  <w:style w:type="paragraph" w:customStyle="1" w:styleId="Char1CharCharCharCharCharChar1CharCharChar2">
    <w:name w:val="Char1 Char Char Char Char Char Char1 Char Char Char2"/>
    <w:basedOn w:val="a2"/>
    <w:next w:val="a2"/>
    <w:uiPriority w:val="99"/>
    <w:qFormat/>
    <w:pPr>
      <w:spacing w:line="360" w:lineRule="auto"/>
      <w:ind w:firstLineChars="200" w:firstLine="200"/>
      <w:jc w:val="center"/>
    </w:pPr>
    <w:rPr>
      <w:rFonts w:ascii="Times New Roman" w:eastAsia="黑体"/>
    </w:rPr>
  </w:style>
  <w:style w:type="paragraph" w:customStyle="1" w:styleId="P10">
    <w:name w:val="P10"/>
    <w:basedOn w:val="a2"/>
    <w:uiPriority w:val="99"/>
    <w:qFormat/>
    <w:pPr>
      <w:spacing w:after="240" w:line="0" w:lineRule="atLeast"/>
      <w:ind w:left="3240"/>
      <w:jc w:val="both"/>
      <w:textAlignment w:val="baseline"/>
    </w:pPr>
    <w:rPr>
      <w:rFonts w:eastAsia="全真中明體"/>
      <w:spacing w:val="20"/>
      <w:sz w:val="24"/>
      <w:lang w:val="en-GB" w:eastAsia="zh-TW"/>
    </w:rPr>
  </w:style>
  <w:style w:type="paragraph" w:customStyle="1" w:styleId="zhang">
    <w:name w:val="zhang正文"/>
    <w:basedOn w:val="af5"/>
    <w:uiPriority w:val="99"/>
    <w:qFormat/>
    <w:pPr>
      <w:snapToGrid w:val="0"/>
      <w:spacing w:after="0" w:line="360" w:lineRule="auto"/>
      <w:ind w:leftChars="0" w:left="0" w:firstLine="539"/>
      <w:jc w:val="both"/>
    </w:pPr>
    <w:rPr>
      <w:rFonts w:eastAsia="楷体_GB2312"/>
      <w:kern w:val="0"/>
      <w:sz w:val="28"/>
      <w:szCs w:val="20"/>
    </w:rPr>
  </w:style>
  <w:style w:type="paragraph" w:customStyle="1" w:styleId="2120">
    <w:name w:val="正文文本缩进 212"/>
    <w:basedOn w:val="a2"/>
    <w:uiPriority w:val="99"/>
    <w:qFormat/>
    <w:pPr>
      <w:spacing w:after="120" w:line="480" w:lineRule="auto"/>
      <w:ind w:left="420"/>
      <w:jc w:val="both"/>
      <w:textAlignment w:val="baseline"/>
    </w:pPr>
    <w:rPr>
      <w:rFonts w:hint="eastAsia"/>
    </w:rPr>
  </w:style>
  <w:style w:type="paragraph" w:customStyle="1" w:styleId="affffffffffffff2">
    <w:name w:val="填表内容"/>
    <w:basedOn w:val="a2"/>
    <w:qFormat/>
    <w:pPr>
      <w:spacing w:line="480" w:lineRule="exact"/>
      <w:ind w:firstLineChars="200" w:firstLine="560"/>
      <w:textAlignment w:val="baseline"/>
    </w:pPr>
    <w:rPr>
      <w:rFonts w:ascii="楷体_GB2312"/>
    </w:rPr>
  </w:style>
  <w:style w:type="paragraph" w:customStyle="1" w:styleId="affffffffffffff3">
    <w:name w:val="图表标题"/>
    <w:basedOn w:val="a2"/>
    <w:next w:val="a2"/>
    <w:uiPriority w:val="99"/>
    <w:qFormat/>
    <w:pPr>
      <w:snapToGrid w:val="0"/>
      <w:spacing w:line="360" w:lineRule="auto"/>
      <w:jc w:val="center"/>
    </w:pPr>
    <w:rPr>
      <w:b/>
      <w:sz w:val="24"/>
      <w:szCs w:val="22"/>
    </w:rPr>
  </w:style>
  <w:style w:type="paragraph" w:customStyle="1" w:styleId="1ffffc">
    <w:name w:val="表字1"/>
    <w:basedOn w:val="a2"/>
    <w:qFormat/>
    <w:pPr>
      <w:spacing w:line="360" w:lineRule="auto"/>
      <w:jc w:val="center"/>
      <w:textAlignment w:val="baseline"/>
    </w:pPr>
    <w:rPr>
      <w:rFonts w:ascii="宋体" w:hAnsi="宋体"/>
    </w:rPr>
  </w:style>
  <w:style w:type="paragraph" w:customStyle="1" w:styleId="d0">
    <w:name w:val="d新正文"/>
    <w:basedOn w:val="a2"/>
    <w:uiPriority w:val="99"/>
    <w:qFormat/>
    <w:pPr>
      <w:spacing w:line="360" w:lineRule="auto"/>
      <w:ind w:firstLine="476"/>
    </w:pPr>
    <w:rPr>
      <w:sz w:val="24"/>
    </w:rPr>
  </w:style>
  <w:style w:type="paragraph" w:customStyle="1" w:styleId="CharCharfffffb">
    <w:name w:val="正文首行缩进 Char Char"/>
    <w:basedOn w:val="a2"/>
    <w:qFormat/>
    <w:pPr>
      <w:spacing w:line="606" w:lineRule="atLeast"/>
      <w:ind w:firstLine="538"/>
    </w:pPr>
    <w:rPr>
      <w:rFonts w:hAnsi="宋体"/>
      <w:sz w:val="24"/>
    </w:rPr>
  </w:style>
  <w:style w:type="paragraph" w:customStyle="1" w:styleId="4f0">
    <w:name w:val="宏福4"/>
    <w:basedOn w:val="a2"/>
    <w:qFormat/>
    <w:pPr>
      <w:spacing w:line="400" w:lineRule="atLeast"/>
      <w:ind w:firstLine="567"/>
    </w:pPr>
    <w:rPr>
      <w:rFonts w:hAnsi="宋体"/>
      <w:sz w:val="24"/>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2"/>
    <w:pPr>
      <w:jc w:val="both"/>
    </w:pPr>
    <w:rPr>
      <w:sz w:val="24"/>
    </w:rPr>
  </w:style>
  <w:style w:type="paragraph" w:customStyle="1" w:styleId="xl127">
    <w:name w:val="xl127"/>
    <w:basedOn w:val="a2"/>
    <w:qFormat/>
    <w:pPr>
      <w:pBdr>
        <w:top w:val="single" w:sz="8" w:space="0" w:color="auto"/>
        <w:left w:val="single" w:sz="8" w:space="0" w:color="FFFFFF"/>
      </w:pBdr>
      <w:spacing w:before="100" w:beforeAutospacing="1" w:after="100" w:afterAutospacing="1"/>
      <w:jc w:val="right"/>
      <w:textAlignment w:val="top"/>
    </w:pPr>
    <w:rPr>
      <w:rFonts w:ascii="MingLiU" w:eastAsia="MingLiU" w:hAnsi="MingLiU" w:hint="eastAsia"/>
      <w:lang w:eastAsia="en-US"/>
    </w:rPr>
  </w:style>
  <w:style w:type="paragraph" w:customStyle="1" w:styleId="117">
    <w:name w:val="文本块11"/>
    <w:basedOn w:val="a2"/>
    <w:uiPriority w:val="99"/>
    <w:qFormat/>
    <w:pPr>
      <w:spacing w:before="100" w:after="100"/>
    </w:pPr>
    <w:rPr>
      <w:rFonts w:eastAsia="Times New Roman"/>
      <w:sz w:val="22"/>
      <w:lang w:eastAsia="en-US"/>
    </w:rPr>
  </w:style>
  <w:style w:type="paragraph" w:customStyle="1" w:styleId="414">
    <w:name w:val="样式 样式 标题 4标题 14 + 自动设置 + 无下划线"/>
    <w:basedOn w:val="4140"/>
    <w:uiPriority w:val="99"/>
    <w:qFormat/>
    <w:pPr>
      <w:tabs>
        <w:tab w:val="left" w:pos="864"/>
      </w:tabs>
      <w:ind w:left="864" w:hanging="864"/>
    </w:pPr>
    <w:rPr>
      <w:u w:val="none"/>
    </w:rPr>
  </w:style>
  <w:style w:type="paragraph" w:customStyle="1" w:styleId="4140">
    <w:name w:val="样式 标题 4标题 14 + 自动设置"/>
    <w:basedOn w:val="41"/>
    <w:uiPriority w:val="99"/>
    <w:qFormat/>
    <w:pPr>
      <w:keepLines w:val="0"/>
      <w:snapToGrid w:val="0"/>
      <w:spacing w:beforeLines="0" w:before="0" w:line="240" w:lineRule="auto"/>
      <w:ind w:leftChars="0" w:left="0" w:rightChars="0" w:right="0"/>
      <w:jc w:val="both"/>
    </w:pPr>
    <w:rPr>
      <w:rFonts w:ascii="Times New Roman"/>
      <w:b/>
      <w:bCs w:val="0"/>
      <w:color w:val="000000"/>
      <w:sz w:val="24"/>
      <w:szCs w:val="24"/>
      <w:u w:val="single"/>
    </w:rPr>
  </w:style>
  <w:style w:type="paragraph" w:customStyle="1" w:styleId="Style46">
    <w:name w:val="_Style 46"/>
    <w:basedOn w:val="a2"/>
    <w:next w:val="a3"/>
    <w:uiPriority w:val="99"/>
    <w:qFormat/>
    <w:pPr>
      <w:ind w:firstLineChars="200" w:firstLine="200"/>
      <w:jc w:val="both"/>
    </w:pPr>
  </w:style>
  <w:style w:type="paragraph" w:customStyle="1" w:styleId="Style510">
    <w:name w:val="_Style 51"/>
    <w:basedOn w:val="a2"/>
    <w:next w:val="a3"/>
    <w:uiPriority w:val="99"/>
    <w:qFormat/>
    <w:pPr>
      <w:ind w:firstLineChars="200" w:firstLine="200"/>
      <w:jc w:val="both"/>
    </w:pPr>
  </w:style>
  <w:style w:type="paragraph" w:customStyle="1" w:styleId="affffffffffffff4">
    <w:name w:val="二级无标题条"/>
    <w:basedOn w:val="a2"/>
    <w:qFormat/>
    <w:pPr>
      <w:jc w:val="both"/>
    </w:pPr>
  </w:style>
  <w:style w:type="paragraph" w:customStyle="1" w:styleId="231">
    <w:name w:val="样式 小四 行距: 固定值 23 磅"/>
    <w:basedOn w:val="a2"/>
    <w:uiPriority w:val="99"/>
    <w:qFormat/>
    <w:pPr>
      <w:jc w:val="both"/>
    </w:pPr>
  </w:style>
  <w:style w:type="paragraph" w:customStyle="1" w:styleId="CharCharChar1CharCharCharChar5">
    <w:name w:val="Char Char Char1 Char Char Char Char5"/>
    <w:basedOn w:val="a2"/>
    <w:uiPriority w:val="99"/>
    <w:qFormat/>
    <w:pPr>
      <w:spacing w:line="360" w:lineRule="auto"/>
      <w:jc w:val="both"/>
    </w:pPr>
  </w:style>
  <w:style w:type="paragraph" w:customStyle="1" w:styleId="CharCharCharCharCharCharCharCharChar1Char2">
    <w:name w:val="Char Char Char Char Char Char Char Char Char1 Char2"/>
    <w:basedOn w:val="a2"/>
    <w:uiPriority w:val="99"/>
    <w:qFormat/>
    <w:pPr>
      <w:jc w:val="both"/>
    </w:pPr>
    <w:rPr>
      <w:rFonts w:ascii="Times New Roman"/>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2"/>
    <w:pPr>
      <w:spacing w:line="360" w:lineRule="auto"/>
      <w:ind w:firstLineChars="200" w:firstLine="200"/>
      <w:jc w:val="both"/>
    </w:pPr>
    <w:rPr>
      <w:rFonts w:ascii="宋体" w:hAnsi="宋体" w:cs="宋体"/>
      <w:sz w:val="24"/>
    </w:rPr>
  </w:style>
  <w:style w:type="paragraph" w:customStyle="1" w:styleId="2ffb">
    <w:name w:val="样式 本正文 + 首行缩进:  2 字符"/>
    <w:basedOn w:val="a2"/>
    <w:qFormat/>
    <w:pPr>
      <w:spacing w:line="360" w:lineRule="auto"/>
      <w:ind w:firstLineChars="200" w:firstLine="480"/>
    </w:pPr>
    <w:rPr>
      <w:rFonts w:ascii="宋体" w:hAnsi="宋体" w:cs="宋体"/>
      <w:sz w:val="24"/>
    </w:rPr>
  </w:style>
  <w:style w:type="paragraph" w:customStyle="1" w:styleId="232">
    <w:name w:val="样式 正文文本 + 首行缩进:  2 字符3"/>
    <w:basedOn w:val="af4"/>
    <w:uiPriority w:val="99"/>
    <w:qFormat/>
    <w:pPr>
      <w:spacing w:after="60" w:line="264" w:lineRule="auto"/>
      <w:ind w:firstLineChars="200" w:firstLine="480"/>
      <w:jc w:val="both"/>
      <w:textAlignment w:val="baseline"/>
    </w:pPr>
    <w:rPr>
      <w:rFonts w:eastAsia="仿宋_GB2312" w:cs="宋体"/>
      <w:kern w:val="0"/>
      <w:sz w:val="24"/>
    </w:rPr>
  </w:style>
  <w:style w:type="paragraph" w:customStyle="1" w:styleId="BodyText22">
    <w:name w:val="Body Text 22"/>
    <w:basedOn w:val="a2"/>
    <w:next w:val="af5"/>
    <w:qFormat/>
    <w:pPr>
      <w:spacing w:after="120" w:line="500" w:lineRule="exact"/>
      <w:ind w:leftChars="200" w:left="420"/>
      <w:jc w:val="both"/>
    </w:pPr>
    <w:rPr>
      <w:rFonts w:ascii="仿宋_GB2312" w:eastAsia="仿宋_GB2312"/>
      <w:szCs w:val="28"/>
    </w:rPr>
  </w:style>
  <w:style w:type="paragraph" w:customStyle="1" w:styleId="affffffffffffff5">
    <w:name w:val="姜文清定义的正文"/>
    <w:basedOn w:val="a2"/>
    <w:uiPriority w:val="99"/>
    <w:qFormat/>
    <w:pPr>
      <w:snapToGrid w:val="0"/>
      <w:spacing w:before="120" w:after="120" w:line="500" w:lineRule="atLeast"/>
      <w:ind w:firstLineChars="200" w:firstLine="567"/>
      <w:jc w:val="both"/>
    </w:pPr>
  </w:style>
  <w:style w:type="paragraph" w:customStyle="1" w:styleId="a0">
    <w:name w:val="编号"/>
    <w:basedOn w:val="a2"/>
    <w:qFormat/>
    <w:pPr>
      <w:numPr>
        <w:numId w:val="9"/>
      </w:numPr>
      <w:tabs>
        <w:tab w:val="clear" w:pos="737"/>
        <w:tab w:val="left" w:pos="567"/>
      </w:tabs>
      <w:spacing w:line="500" w:lineRule="exact"/>
      <w:jc w:val="both"/>
    </w:pPr>
    <w:rPr>
      <w:rFonts w:ascii="宋体" w:hAnsi="宋体"/>
      <w:bCs/>
    </w:rPr>
  </w:style>
  <w:style w:type="paragraph" w:customStyle="1" w:styleId="affffffffffffff6">
    <w:name w:val="样式 图表 + 宋体"/>
    <w:basedOn w:val="afffffffffff8"/>
    <w:uiPriority w:val="99"/>
    <w:qFormat/>
    <w:pPr>
      <w:keepNext w:val="0"/>
    </w:pPr>
    <w:rPr>
      <w:b w:val="0"/>
      <w:spacing w:val="-14"/>
      <w:kern w:val="0"/>
      <w:sz w:val="21"/>
      <w:szCs w:val="21"/>
    </w:rPr>
  </w:style>
  <w:style w:type="paragraph" w:customStyle="1" w:styleId="BChar1">
    <w:name w:val="B Char"/>
    <w:basedOn w:val="a2"/>
    <w:next w:val="aaCharCharChar"/>
    <w:uiPriority w:val="99"/>
    <w:qFormat/>
    <w:pPr>
      <w:keepNext/>
      <w:keepLines/>
      <w:tabs>
        <w:tab w:val="left" w:pos="360"/>
      </w:tabs>
      <w:spacing w:beforeLines="50" w:before="50" w:line="360" w:lineRule="auto"/>
      <w:ind w:left="567" w:hanging="567"/>
      <w:outlineLvl w:val="1"/>
    </w:pPr>
    <w:rPr>
      <w:b/>
      <w:bCs/>
      <w:kern w:val="44"/>
      <w:sz w:val="24"/>
    </w:rPr>
  </w:style>
  <w:style w:type="paragraph" w:customStyle="1" w:styleId="a00">
    <w:name w:val="a0"/>
    <w:basedOn w:val="a2"/>
    <w:uiPriority w:val="99"/>
    <w:qFormat/>
    <w:pPr>
      <w:snapToGrid w:val="0"/>
      <w:spacing w:before="100" w:beforeAutospacing="1" w:after="100" w:afterAutospacing="1" w:line="360" w:lineRule="auto"/>
      <w:ind w:firstLineChars="200" w:firstLine="200"/>
    </w:pPr>
    <w:rPr>
      <w:rFonts w:ascii="宋体" w:hAnsi="宋体"/>
      <w:color w:val="000000"/>
      <w:sz w:val="24"/>
    </w:rPr>
  </w:style>
  <w:style w:type="paragraph" w:customStyle="1" w:styleId="affffffffffffff7">
    <w:name w:val="三级标题"/>
    <w:next w:val="2a"/>
    <w:uiPriority w:val="99"/>
    <w:qFormat/>
    <w:rPr>
      <w:rFonts w:ascii="Times New Roman" w:eastAsia="宋体" w:hAnsi="Times New Roman" w:cs="Times New Roman"/>
      <w:kern w:val="2"/>
      <w:sz w:val="24"/>
      <w:szCs w:val="24"/>
    </w:rPr>
  </w:style>
  <w:style w:type="paragraph" w:customStyle="1" w:styleId="CharCharChar1CharCharCharChar3">
    <w:name w:val="Char Char Char1 Char Char Char Char3"/>
    <w:basedOn w:val="a2"/>
    <w:uiPriority w:val="99"/>
    <w:qFormat/>
    <w:pPr>
      <w:spacing w:line="360" w:lineRule="auto"/>
      <w:jc w:val="both"/>
    </w:pPr>
  </w:style>
  <w:style w:type="paragraph" w:customStyle="1" w:styleId="proposal">
    <w:name w:val="proposal"/>
    <w:basedOn w:val="a2"/>
    <w:qFormat/>
    <w:pPr>
      <w:spacing w:line="300" w:lineRule="auto"/>
      <w:ind w:left="1440" w:hanging="1440"/>
      <w:jc w:val="both"/>
    </w:pPr>
    <w:rPr>
      <w:rFonts w:eastAsia="仿宋_GB2312"/>
      <w:sz w:val="24"/>
      <w:lang w:val="en-GB" w:eastAsia="en-GB"/>
    </w:rPr>
  </w:style>
  <w:style w:type="paragraph" w:customStyle="1" w:styleId="3ff">
    <w:name w:val="3级标题"/>
    <w:basedOn w:val="32"/>
    <w:uiPriority w:val="99"/>
    <w:qFormat/>
    <w:pPr>
      <w:keepNext w:val="0"/>
      <w:keepLines w:val="0"/>
      <w:spacing w:before="0" w:after="0" w:line="360" w:lineRule="auto"/>
    </w:pPr>
    <w:rPr>
      <w:rFonts w:ascii="黑体" w:eastAsia="黑体"/>
      <w:sz w:val="24"/>
    </w:rPr>
  </w:style>
  <w:style w:type="paragraph" w:customStyle="1" w:styleId="5e">
    <w:name w:val="日期5"/>
    <w:basedOn w:val="a2"/>
    <w:next w:val="a2"/>
    <w:uiPriority w:val="99"/>
    <w:qFormat/>
    <w:pPr>
      <w:jc w:val="both"/>
      <w:textAlignment w:val="baseline"/>
    </w:pPr>
  </w:style>
  <w:style w:type="paragraph" w:customStyle="1" w:styleId="affffffffffffff8">
    <w:name w:val="表内字体"/>
    <w:basedOn w:val="a2"/>
    <w:uiPriority w:val="99"/>
    <w:qFormat/>
    <w:pPr>
      <w:jc w:val="center"/>
    </w:pPr>
    <w:rPr>
      <w:rFonts w:hAnsi="宋体"/>
    </w:rPr>
  </w:style>
  <w:style w:type="paragraph" w:customStyle="1" w:styleId="CharCharCharCharCharCharCharCharCharCharCharCharChar">
    <w:name w:val="正文格式 Char Char Char Char Char Char Char Char Char Char Char Char Char"/>
    <w:basedOn w:val="a2"/>
    <w:uiPriority w:val="99"/>
    <w:qFormat/>
    <w:pPr>
      <w:spacing w:line="480" w:lineRule="exact"/>
      <w:ind w:firstLineChars="200" w:firstLine="560"/>
      <w:jc w:val="both"/>
    </w:pPr>
    <w:rPr>
      <w:szCs w:val="28"/>
    </w:rPr>
  </w:style>
  <w:style w:type="paragraph" w:customStyle="1" w:styleId="32051">
    <w:name w:val="样式 标题 3 + 左侧:  2 字符 段前: 0.5 行1"/>
    <w:basedOn w:val="32"/>
    <w:uiPriority w:val="99"/>
    <w:qFormat/>
    <w:pPr>
      <w:keepNext w:val="0"/>
      <w:spacing w:beforeLines="50" w:before="156" w:after="0" w:line="440" w:lineRule="exact"/>
      <w:ind w:firstLineChars="200" w:firstLine="200"/>
    </w:pPr>
    <w:rPr>
      <w:rFonts w:ascii="Times New Roman" w:eastAsia="华文细黑"/>
      <w:b w:val="0"/>
      <w:bCs w:val="0"/>
      <w:sz w:val="28"/>
      <w:szCs w:val="20"/>
    </w:rPr>
  </w:style>
  <w:style w:type="paragraph" w:customStyle="1" w:styleId="DefaultParagraphFontParaCharCharChar">
    <w:name w:val="Default Paragraph Font Para Char Char Char"/>
    <w:basedOn w:val="a2"/>
    <w:pPr>
      <w:spacing w:after="160" w:line="240" w:lineRule="exact"/>
    </w:pPr>
    <w:rPr>
      <w:rFonts w:ascii="Verdana" w:eastAsia="Times New Roman" w:hAnsi="Verdana"/>
      <w:sz w:val="20"/>
      <w:lang w:eastAsia="en-US"/>
    </w:rPr>
  </w:style>
  <w:style w:type="paragraph" w:customStyle="1" w:styleId="2ffc">
    <w:name w:val="范式2"/>
    <w:basedOn w:val="22"/>
    <w:uiPriority w:val="99"/>
    <w:qFormat/>
    <w:pPr>
      <w:snapToGrid w:val="0"/>
      <w:spacing w:before="0" w:after="120" w:line="480" w:lineRule="exact"/>
      <w:jc w:val="both"/>
    </w:pPr>
    <w:rPr>
      <w:rFonts w:ascii="黑体" w:eastAsia="黑体" w:hAnsi="Arial" w:cs="Times New Roman"/>
      <w:bCs w:val="0"/>
      <w:sz w:val="36"/>
    </w:rPr>
  </w:style>
  <w:style w:type="paragraph" w:customStyle="1" w:styleId="affffffffffffff9">
    <w:name w:val="样式 报告书表格 + 小四 黑色"/>
    <w:basedOn w:val="afffd"/>
    <w:uiPriority w:val="99"/>
    <w:qFormat/>
    <w:pPr>
      <w:tabs>
        <w:tab w:val="center" w:pos="4540"/>
        <w:tab w:val="right" w:pos="8505"/>
      </w:tabs>
      <w:snapToGrid w:val="0"/>
      <w:spacing w:line="240" w:lineRule="auto"/>
    </w:pPr>
    <w:rPr>
      <w:rFonts w:eastAsia="宋体"/>
      <w:color w:val="000000"/>
      <w:sz w:val="21"/>
      <w:szCs w:val="21"/>
    </w:rPr>
  </w:style>
  <w:style w:type="paragraph" w:customStyle="1" w:styleId="affffffffffffffa">
    <w:name w:val="图文字"/>
    <w:basedOn w:val="a2"/>
    <w:uiPriority w:val="99"/>
    <w:qFormat/>
    <w:pPr>
      <w:spacing w:line="280" w:lineRule="exact"/>
      <w:jc w:val="center"/>
    </w:pPr>
    <w:rPr>
      <w:rFonts w:ascii="宋体" w:hAnsi="宋体"/>
    </w:rPr>
  </w:style>
  <w:style w:type="paragraph" w:customStyle="1" w:styleId="font5">
    <w:name w:val="font5"/>
    <w:basedOn w:val="a2"/>
    <w:qFormat/>
    <w:pPr>
      <w:widowControl/>
      <w:spacing w:before="100" w:beforeAutospacing="1" w:after="100" w:afterAutospacing="1"/>
    </w:pPr>
    <w:rPr>
      <w:rFonts w:ascii="宋体" w:hAnsi="宋体" w:hint="eastAsia"/>
      <w:sz w:val="18"/>
      <w:szCs w:val="18"/>
    </w:rPr>
  </w:style>
  <w:style w:type="paragraph" w:customStyle="1" w:styleId="lz">
    <w:name w:val="lz正文"/>
    <w:basedOn w:val="a2"/>
    <w:qFormat/>
    <w:pPr>
      <w:snapToGrid w:val="0"/>
      <w:spacing w:line="360" w:lineRule="auto"/>
      <w:ind w:firstLineChars="200" w:firstLine="480"/>
      <w:jc w:val="both"/>
    </w:pPr>
  </w:style>
  <w:style w:type="paragraph" w:customStyle="1" w:styleId="ParaCharCharCharCharCharCharCharCharChar">
    <w:name w:val="默认段落字体 Para Char Char Char Char Char Char Char Char Char"/>
    <w:basedOn w:val="a2"/>
    <w:qFormat/>
    <w:pPr>
      <w:jc w:val="both"/>
    </w:pPr>
    <w:rPr>
      <w:sz w:val="24"/>
    </w:rPr>
  </w:style>
  <w:style w:type="paragraph" w:customStyle="1" w:styleId="1510">
    <w:name w:val="样式 目录台头 + 段前: 1.5 行 段后: 1 行"/>
    <w:basedOn w:val="affffffffffffffb"/>
    <w:uiPriority w:val="99"/>
    <w:qFormat/>
    <w:pPr>
      <w:spacing w:beforeLines="250" w:before="780" w:line="360" w:lineRule="auto"/>
    </w:pPr>
  </w:style>
  <w:style w:type="paragraph" w:customStyle="1" w:styleId="affffffffffffffb">
    <w:name w:val="目录台头"/>
    <w:uiPriority w:val="99"/>
    <w:qFormat/>
    <w:pPr>
      <w:spacing w:beforeLines="150" w:before="468" w:afterLines="100" w:after="312"/>
      <w:jc w:val="center"/>
    </w:pPr>
    <w:rPr>
      <w:rFonts w:ascii="黑体" w:eastAsia="方正姚体" w:hAnsi="Times New Roman" w:cs="宋体"/>
      <w:b/>
      <w:bCs/>
      <w:kern w:val="2"/>
      <w:sz w:val="44"/>
    </w:rPr>
  </w:style>
  <w:style w:type="paragraph" w:customStyle="1" w:styleId="92">
    <w:name w:val="样式9"/>
    <w:basedOn w:val="a2"/>
    <w:qFormat/>
    <w:pPr>
      <w:snapToGrid w:val="0"/>
      <w:spacing w:beforeLines="50" w:before="156" w:afterLines="50" w:after="156" w:line="360" w:lineRule="auto"/>
      <w:ind w:firstLineChars="200" w:firstLine="480"/>
    </w:pPr>
    <w:rPr>
      <w:sz w:val="24"/>
      <w:szCs w:val="31"/>
    </w:rPr>
  </w:style>
  <w:style w:type="paragraph" w:customStyle="1" w:styleId="CharChar3CharChar">
    <w:name w:val="Char Char3 Char Char"/>
    <w:basedOn w:val="a2"/>
    <w:pPr>
      <w:jc w:val="both"/>
    </w:pPr>
  </w:style>
  <w:style w:type="paragraph" w:customStyle="1" w:styleId="CM8">
    <w:name w:val="CM8"/>
    <w:basedOn w:val="Default"/>
    <w:next w:val="Default"/>
    <w:uiPriority w:val="99"/>
    <w:qFormat/>
    <w:pPr>
      <w:spacing w:beforeLines="0" w:before="0" w:afterLines="0" w:after="85" w:line="240" w:lineRule="auto"/>
      <w:ind w:firstLineChars="0" w:firstLine="0"/>
    </w:pPr>
    <w:rPr>
      <w:rFonts w:ascii="新宋体" w:eastAsia="新宋体" w:cs="Times New Roman"/>
      <w:color w:val="auto"/>
    </w:rPr>
  </w:style>
  <w:style w:type="paragraph" w:customStyle="1" w:styleId="NEW">
    <w:name w:val="正文NEW"/>
    <w:basedOn w:val="3a"/>
    <w:uiPriority w:val="99"/>
    <w:qFormat/>
    <w:pPr>
      <w:spacing w:after="0" w:line="400" w:lineRule="exact"/>
      <w:ind w:leftChars="0" w:left="0" w:firstLineChars="200" w:firstLine="480"/>
    </w:pPr>
    <w:rPr>
      <w:rFonts w:ascii="宋体" w:hAnsi="宋体"/>
      <w:color w:val="000000"/>
      <w:sz w:val="24"/>
    </w:rPr>
  </w:style>
  <w:style w:type="paragraph" w:customStyle="1" w:styleId="22Heading2HiddenHeading2CCBSheading2H2h24">
    <w:name w:val="样式 标题 2第一章 标题 2Heading 2 HiddenHeading 2 CCBSheading 2H2h2...4"/>
    <w:basedOn w:val="22"/>
    <w:qFormat/>
    <w:pPr>
      <w:spacing w:before="120" w:after="120" w:line="500" w:lineRule="exact"/>
      <w:jc w:val="both"/>
    </w:pPr>
    <w:rPr>
      <w:rFonts w:ascii="Times New Roman" w:eastAsia="仿宋_GB2312" w:hAnsi="Times New Roman" w:cs="Times New Roman"/>
      <w:color w:val="000000"/>
      <w:sz w:val="28"/>
    </w:rPr>
  </w:style>
  <w:style w:type="paragraph" w:customStyle="1" w:styleId="09366181">
    <w:name w:val="样式 (符号) 宋体 首行缩进:  0.93 厘米 段前: 6 磅 段后: 6 磅 行距: 固定值 18 磅1"/>
    <w:basedOn w:val="a2"/>
    <w:qFormat/>
    <w:pPr>
      <w:spacing w:before="160" w:after="160" w:line="320" w:lineRule="exact"/>
      <w:ind w:firstLine="527"/>
      <w:jc w:val="both"/>
    </w:pPr>
    <w:rPr>
      <w:rFonts w:hAnsi="宋体"/>
      <w:sz w:val="24"/>
    </w:rPr>
  </w:style>
  <w:style w:type="paragraph" w:customStyle="1" w:styleId="ft03">
    <w:name w:val="ft03"/>
    <w:basedOn w:val="a2"/>
    <w:uiPriority w:val="99"/>
    <w:qFormat/>
    <w:rPr>
      <w:rFonts w:ascii="Times" w:hAnsi="Times" w:cs="Times"/>
      <w:color w:val="000000"/>
      <w:sz w:val="20"/>
    </w:rPr>
  </w:style>
  <w:style w:type="paragraph" w:customStyle="1" w:styleId="315">
    <w:name w:val="目录 31"/>
    <w:basedOn w:val="a2"/>
    <w:next w:val="a2"/>
    <w:uiPriority w:val="99"/>
    <w:qFormat/>
    <w:pPr>
      <w:ind w:leftChars="400" w:left="840"/>
      <w:jc w:val="both"/>
    </w:pPr>
  </w:style>
  <w:style w:type="paragraph" w:customStyle="1" w:styleId="reader-word-layerreader-word-s1-0">
    <w:name w:val="reader-word-layer reader-word-s1-0"/>
    <w:basedOn w:val="a2"/>
    <w:pPr>
      <w:widowControl/>
      <w:autoSpaceDE/>
      <w:autoSpaceDN/>
      <w:adjustRightInd/>
      <w:spacing w:before="100" w:beforeAutospacing="1" w:after="100" w:afterAutospacing="1"/>
    </w:pPr>
    <w:rPr>
      <w:rFonts w:ascii="宋体" w:hAnsi="宋体" w:cs="宋体"/>
    </w:rPr>
  </w:style>
  <w:style w:type="paragraph" w:customStyle="1" w:styleId="21130505705">
    <w:name w:val="样式 样式 样式 标题 2 + 首行缩进:  1.13 厘米 + 段前: 0.5 行 段后: 0.5 行7 + 段前: 0.5 行"/>
    <w:basedOn w:val="211305057"/>
    <w:uiPriority w:val="99"/>
    <w:qFormat/>
  </w:style>
  <w:style w:type="paragraph" w:customStyle="1" w:styleId="CharCharCharCharCharChar50">
    <w:name w:val="Char Char Char Char Char Char5"/>
    <w:basedOn w:val="a2"/>
    <w:uiPriority w:val="99"/>
    <w:qFormat/>
    <w:rPr>
      <w:rFonts w:ascii="Times New Roman"/>
    </w:rPr>
  </w:style>
  <w:style w:type="paragraph" w:customStyle="1" w:styleId="Char2CharCharCharCharCharChar1">
    <w:name w:val="Char2 Char Char Char Char Char Char1"/>
    <w:basedOn w:val="a2"/>
    <w:uiPriority w:val="99"/>
    <w:qFormat/>
    <w:pPr>
      <w:jc w:val="both"/>
    </w:pPr>
  </w:style>
  <w:style w:type="paragraph" w:customStyle="1" w:styleId="affffffffffffffc">
    <w:name w:val="二级条标题"/>
    <w:basedOn w:val="affffffffffffffd"/>
    <w:next w:val="a2"/>
    <w:qFormat/>
    <w:pPr>
      <w:outlineLvl w:val="3"/>
    </w:pPr>
  </w:style>
  <w:style w:type="paragraph" w:customStyle="1" w:styleId="affffffffffffffd">
    <w:name w:val="一级条标题"/>
    <w:basedOn w:val="12"/>
    <w:next w:val="a2"/>
    <w:qFormat/>
    <w:pPr>
      <w:keepNext w:val="0"/>
      <w:keepLines w:val="0"/>
      <w:widowControl/>
      <w:tabs>
        <w:tab w:val="left" w:pos="360"/>
        <w:tab w:val="left" w:pos="1155"/>
      </w:tabs>
      <w:spacing w:line="240" w:lineRule="auto"/>
      <w:textAlignment w:val="auto"/>
      <w:outlineLvl w:val="2"/>
    </w:pPr>
    <w:rPr>
      <w:rFonts w:ascii="黑体"/>
      <w:bCs w:val="0"/>
      <w:kern w:val="0"/>
      <w:sz w:val="21"/>
      <w:szCs w:val="20"/>
    </w:rPr>
  </w:style>
  <w:style w:type="paragraph" w:customStyle="1" w:styleId="CharCharChar1CharCharCharCharCharCharCharCharCharCharCharChar1CharCharCharCharCharCharCharCharCharCharCharCharCharCharCharCharCharCharCharCharCharCharCharCharCharCharCharCharCharCharChar">
    <w:name w:val="Char Char Char1 Char Char Char Char Char Char Char Char Char Char Char Char1 Char Char Char Char Char Char Char Char Char Char Char Char Char Char Char Char Char Char Char Char Char Char Char Char Char Char Char Char Char Char Char"/>
    <w:basedOn w:val="a2"/>
    <w:uiPriority w:val="99"/>
    <w:qFormat/>
    <w:pPr>
      <w:jc w:val="both"/>
    </w:pPr>
  </w:style>
  <w:style w:type="paragraph" w:customStyle="1" w:styleId="3ff0">
    <w:name w:val="字元 字元3"/>
    <w:basedOn w:val="a2"/>
    <w:uiPriority w:val="99"/>
    <w:qFormat/>
    <w:pPr>
      <w:jc w:val="both"/>
    </w:pPr>
  </w:style>
  <w:style w:type="paragraph" w:customStyle="1" w:styleId="affffffffffffffe">
    <w:name w:val="表题"/>
    <w:next w:val="a2"/>
    <w:qFormat/>
    <w:pPr>
      <w:spacing w:beforeLines="50" w:before="48" w:afterLines="50" w:after="50" w:line="360" w:lineRule="auto"/>
      <w:ind w:firstLineChars="40" w:firstLine="40"/>
      <w:jc w:val="center"/>
    </w:pPr>
    <w:rPr>
      <w:rFonts w:ascii="Times New Roman" w:eastAsia="宋体" w:hAnsi="Times New Roman" w:cs="Times New Roman"/>
      <w:bCs/>
      <w:sz w:val="24"/>
      <w:szCs w:val="24"/>
    </w:rPr>
  </w:style>
  <w:style w:type="paragraph" w:customStyle="1" w:styleId="xl98">
    <w:name w:val="xl98"/>
    <w:basedOn w:val="a2"/>
    <w:qFormat/>
    <w:pPr>
      <w:pBdr>
        <w:top w:val="single" w:sz="8" w:space="0" w:color="auto"/>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2a20">
    <w:name w:val="样式 标题2a + 行距: 固定值 20 磅"/>
    <w:basedOn w:val="a2"/>
    <w:uiPriority w:val="99"/>
    <w:qFormat/>
    <w:pPr>
      <w:overflowPunct w:val="0"/>
      <w:spacing w:line="400" w:lineRule="exact"/>
      <w:jc w:val="both"/>
      <w:textAlignment w:val="baseline"/>
      <w:outlineLvl w:val="0"/>
    </w:pPr>
    <w:rPr>
      <w:rFonts w:ascii="黑体" w:eastAsia="黑体" w:hAnsi="黑体" w:cs="宋体"/>
      <w:kern w:val="24"/>
    </w:rPr>
  </w:style>
  <w:style w:type="paragraph" w:customStyle="1" w:styleId="afffffffffffffff">
    <w:name w:val="样式a"/>
    <w:basedOn w:val="a2"/>
    <w:uiPriority w:val="99"/>
    <w:qFormat/>
    <w:pPr>
      <w:snapToGrid w:val="0"/>
      <w:spacing w:line="420" w:lineRule="exact"/>
      <w:ind w:firstLineChars="200" w:firstLine="200"/>
      <w:jc w:val="both"/>
      <w:textAlignment w:val="baseline"/>
    </w:pPr>
    <w:rPr>
      <w:sz w:val="24"/>
    </w:rPr>
  </w:style>
  <w:style w:type="paragraph" w:customStyle="1" w:styleId="Normal9">
    <w:name w:val="Normal_9"/>
    <w:pPr>
      <w:spacing w:before="120" w:after="240"/>
      <w:jc w:val="both"/>
    </w:pPr>
    <w:rPr>
      <w:rFonts w:ascii="Times New Roman" w:eastAsia="Calibri" w:hAnsi="Times New Roman" w:cs="Times New Roman"/>
      <w:sz w:val="22"/>
      <w:szCs w:val="21"/>
      <w:lang w:val="ru-RU" w:eastAsia="en-US"/>
    </w:rPr>
  </w:style>
  <w:style w:type="paragraph" w:customStyle="1" w:styleId="30">
    <w:name w:val="样式 标题 3 + 宋体 小四 非加粗"/>
    <w:basedOn w:val="32"/>
    <w:uiPriority w:val="99"/>
    <w:qFormat/>
    <w:pPr>
      <w:keepNext w:val="0"/>
      <w:keepLines w:val="0"/>
      <w:numPr>
        <w:ilvl w:val="2"/>
        <w:numId w:val="5"/>
      </w:numPr>
      <w:snapToGrid w:val="0"/>
      <w:ind w:left="0"/>
      <w:jc w:val="both"/>
    </w:pPr>
    <w:rPr>
      <w:rFonts w:ascii="Times New Roman" w:eastAsia="黑体"/>
      <w:b w:val="0"/>
      <w:sz w:val="28"/>
    </w:rPr>
  </w:style>
  <w:style w:type="paragraph" w:customStyle="1" w:styleId="102">
    <w:name w:val="样式 宋体 10 磅 左"/>
    <w:basedOn w:val="a2"/>
    <w:uiPriority w:val="99"/>
    <w:qFormat/>
    <w:pPr>
      <w:spacing w:line="460" w:lineRule="exact"/>
      <w:ind w:firstLineChars="200" w:firstLine="480"/>
    </w:pPr>
    <w:rPr>
      <w:rFonts w:ascii="宋体" w:hAnsi="宋体" w:cs="宋体"/>
      <w:sz w:val="24"/>
    </w:rPr>
  </w:style>
  <w:style w:type="paragraph" w:customStyle="1" w:styleId="abstract">
    <w:name w:val="abstract"/>
    <w:basedOn w:val="a2"/>
    <w:pPr>
      <w:spacing w:before="100" w:beforeAutospacing="1" w:after="100" w:afterAutospacing="1"/>
    </w:pPr>
  </w:style>
  <w:style w:type="paragraph" w:customStyle="1" w:styleId="afffffffffffffff0">
    <w:name w:val="文"/>
    <w:basedOn w:val="a2"/>
    <w:uiPriority w:val="99"/>
    <w:qFormat/>
    <w:pPr>
      <w:snapToGrid w:val="0"/>
      <w:spacing w:line="312" w:lineRule="auto"/>
      <w:ind w:firstLine="567"/>
      <w:jc w:val="both"/>
    </w:pPr>
    <w:rPr>
      <w:rFonts w:ascii="宋体"/>
      <w:spacing w:val="6"/>
    </w:rPr>
  </w:style>
  <w:style w:type="paragraph" w:customStyle="1" w:styleId="3110">
    <w:name w:val="正文文本 311"/>
    <w:basedOn w:val="a2"/>
    <w:uiPriority w:val="99"/>
    <w:qFormat/>
    <w:pPr>
      <w:spacing w:line="312" w:lineRule="atLeast"/>
      <w:jc w:val="center"/>
      <w:textAlignment w:val="baseline"/>
    </w:pPr>
    <w:rPr>
      <w:rFonts w:ascii="楷体" w:eastAsia="楷体"/>
    </w:rPr>
  </w:style>
  <w:style w:type="paragraph" w:customStyle="1" w:styleId="1221">
    <w:name w:val="样式 样式 +中文正文 文字 1 首行缩进:  2 字符 + 首行缩进:  2 字符"/>
    <w:basedOn w:val="a2"/>
    <w:uiPriority w:val="99"/>
    <w:qFormat/>
    <w:pPr>
      <w:spacing w:line="560" w:lineRule="exact"/>
      <w:ind w:firstLineChars="200" w:firstLine="200"/>
      <w:jc w:val="both"/>
    </w:pPr>
    <w:rPr>
      <w:rFonts w:ascii="仿宋_GB2312" w:eastAsia="仿宋_GB2312" w:hAnsi="宋体" w:cs="宋体"/>
      <w:u w:color="000000"/>
    </w:rPr>
  </w:style>
  <w:style w:type="paragraph" w:customStyle="1" w:styleId="afffffffffffffff1">
    <w:name w:val="图表名称"/>
    <w:basedOn w:val="aff9"/>
    <w:qFormat/>
    <w:pPr>
      <w:keepNext/>
      <w:keepLines/>
      <w:snapToGrid w:val="0"/>
      <w:spacing w:after="60" w:line="360" w:lineRule="exact"/>
      <w:ind w:firstLineChars="200" w:firstLine="0"/>
      <w:jc w:val="center"/>
      <w:outlineLvl w:val="4"/>
    </w:pPr>
    <w:rPr>
      <w:rFonts w:ascii="宋体" w:hAnsi="宋体"/>
      <w:b/>
      <w:bCs/>
      <w:snapToGrid w:val="0"/>
      <w:kern w:val="0"/>
      <w:sz w:val="24"/>
    </w:rPr>
  </w:style>
  <w:style w:type="paragraph" w:customStyle="1" w:styleId="afffffffffffffff2">
    <w:name w:val="五级无标题条"/>
    <w:basedOn w:val="a2"/>
    <w:qFormat/>
    <w:rPr>
      <w:rFonts w:hAnsi="宋体"/>
    </w:rPr>
  </w:style>
  <w:style w:type="paragraph" w:customStyle="1" w:styleId="CharCharChar2CharCharCharCharCharCharCharCharCharChar2">
    <w:name w:val="Char Char Char2 Char Char Char Char Char Char Char Char Char Char2"/>
    <w:basedOn w:val="a2"/>
    <w:uiPriority w:val="99"/>
    <w:qFormat/>
    <w:pPr>
      <w:jc w:val="both"/>
    </w:pPr>
    <w:rPr>
      <w:rFonts w:ascii="Times New Roman"/>
    </w:rPr>
  </w:style>
  <w:style w:type="paragraph" w:customStyle="1" w:styleId="afffffffffffffff3">
    <w:name w:val="河石管道 表格文字小五"/>
    <w:uiPriority w:val="99"/>
    <w:qFormat/>
    <w:pPr>
      <w:tabs>
        <w:tab w:val="left" w:pos="277"/>
        <w:tab w:val="left" w:pos="600"/>
        <w:tab w:val="left" w:pos="780"/>
        <w:tab w:val="left" w:pos="2517"/>
      </w:tabs>
      <w:adjustRightInd w:val="0"/>
      <w:jc w:val="both"/>
      <w:textAlignment w:val="baseline"/>
    </w:pPr>
    <w:rPr>
      <w:rFonts w:ascii="Times New Roman" w:eastAsia="宋体" w:hAnsi="Times New Roman" w:cs="Times New Roman"/>
      <w:sz w:val="18"/>
      <w:szCs w:val="21"/>
    </w:rPr>
  </w:style>
  <w:style w:type="paragraph" w:customStyle="1" w:styleId="Char4CharCharChar1">
    <w:name w:val="Char4 Char Char Char1"/>
    <w:basedOn w:val="a2"/>
    <w:uiPriority w:val="99"/>
    <w:qFormat/>
    <w:pPr>
      <w:jc w:val="both"/>
    </w:pPr>
    <w:rPr>
      <w:sz w:val="24"/>
    </w:rPr>
  </w:style>
  <w:style w:type="paragraph" w:customStyle="1" w:styleId="CM7">
    <w:name w:val="CM7"/>
    <w:basedOn w:val="Default"/>
    <w:next w:val="Default"/>
    <w:uiPriority w:val="99"/>
    <w:qFormat/>
    <w:pPr>
      <w:spacing w:beforeLines="0" w:before="0" w:afterLines="0" w:after="315" w:line="240" w:lineRule="auto"/>
      <w:ind w:firstLineChars="0" w:firstLine="0"/>
    </w:pPr>
    <w:rPr>
      <w:rFonts w:ascii="新宋体" w:eastAsia="新宋体" w:cs="Times New Roman"/>
      <w:color w:val="auto"/>
    </w:rPr>
  </w:style>
  <w:style w:type="paragraph" w:customStyle="1" w:styleId="afffffffffffffff4">
    <w:name w:val="节标题"/>
    <w:basedOn w:val="a2"/>
    <w:next w:val="a2"/>
    <w:qFormat/>
    <w:pPr>
      <w:snapToGrid w:val="0"/>
      <w:spacing w:line="360" w:lineRule="auto"/>
    </w:pPr>
    <w:rPr>
      <w:rFonts w:eastAsia="黑体" w:hAnsi="黑体"/>
      <w:sz w:val="24"/>
    </w:rPr>
  </w:style>
  <w:style w:type="paragraph" w:customStyle="1" w:styleId="CharCharCharCharCharCharCharCharCharChar1CharCharChar1">
    <w:name w:val="Char Char Char Char Char Char Char Char Char Char1 Char Char Char1"/>
    <w:basedOn w:val="a2"/>
    <w:qFormat/>
    <w:pPr>
      <w:spacing w:line="240" w:lineRule="exact"/>
      <w:ind w:firstLineChars="200" w:firstLine="200"/>
      <w:jc w:val="both"/>
    </w:pPr>
    <w:rPr>
      <w:rFonts w:ascii="Times New Roman"/>
      <w:szCs w:val="28"/>
    </w:rPr>
  </w:style>
  <w:style w:type="paragraph" w:customStyle="1" w:styleId="2ffd">
    <w:name w:val="ü2"/>
    <w:basedOn w:val="a2"/>
    <w:uiPriority w:val="99"/>
    <w:qFormat/>
    <w:pPr>
      <w:spacing w:before="240" w:after="60" w:line="360" w:lineRule="auto"/>
      <w:jc w:val="both"/>
      <w:textAlignment w:val="baseline"/>
    </w:pPr>
    <w:rPr>
      <w:rFonts w:ascii="CorpoSLig" w:hAnsi="CorpoSLig"/>
      <w:b/>
      <w:color w:val="FF0000"/>
      <w:sz w:val="24"/>
    </w:rPr>
  </w:style>
  <w:style w:type="paragraph" w:customStyle="1" w:styleId="IDCA-Head2ndLine">
    <w:name w:val="IDC A-Head (2nd Line)"/>
    <w:basedOn w:val="a2"/>
    <w:next w:val="a2"/>
    <w:uiPriority w:val="99"/>
    <w:qFormat/>
    <w:pPr>
      <w:jc w:val="center"/>
    </w:pPr>
    <w:rPr>
      <w:caps/>
      <w:sz w:val="24"/>
    </w:rPr>
  </w:style>
  <w:style w:type="paragraph" w:customStyle="1" w:styleId="CharCharChar11">
    <w:name w:val="环评正文 Char Char Char1"/>
    <w:uiPriority w:val="99"/>
    <w:qFormat/>
    <w:pPr>
      <w:spacing w:line="400" w:lineRule="exact"/>
      <w:ind w:firstLineChars="200" w:firstLine="200"/>
      <w:jc w:val="both"/>
    </w:pPr>
    <w:rPr>
      <w:rFonts w:ascii="Times New Roman" w:eastAsia="宋体" w:hAnsi="Times New Roman" w:cs="Times New Roman"/>
      <w:snapToGrid w:val="0"/>
      <w:color w:val="000000"/>
      <w:kern w:val="21"/>
      <w:sz w:val="24"/>
      <w:szCs w:val="24"/>
    </w:rPr>
  </w:style>
  <w:style w:type="paragraph" w:customStyle="1" w:styleId="Char2CharChar2">
    <w:name w:val="Char2 Char Char2"/>
    <w:basedOn w:val="a2"/>
    <w:uiPriority w:val="99"/>
    <w:qFormat/>
    <w:pPr>
      <w:jc w:val="both"/>
    </w:pPr>
    <w:rPr>
      <w:rFonts w:ascii="Times New Roman"/>
    </w:rPr>
  </w:style>
  <w:style w:type="paragraph" w:customStyle="1" w:styleId="afffffffffffffff5">
    <w:name w:val="正文仿宋小四"/>
    <w:basedOn w:val="a2"/>
    <w:uiPriority w:val="99"/>
    <w:qFormat/>
    <w:pPr>
      <w:spacing w:line="360" w:lineRule="auto"/>
      <w:ind w:firstLineChars="200" w:firstLine="200"/>
      <w:jc w:val="both"/>
    </w:pPr>
    <w:rPr>
      <w:rFonts w:eastAsia="仿宋_GB2312" w:hAnsi="Arial"/>
      <w:sz w:val="24"/>
    </w:rPr>
  </w:style>
  <w:style w:type="paragraph" w:customStyle="1" w:styleId="CharCharCharCharChar1Char3">
    <w:name w:val="Char Char Char Char Char1 Char3"/>
    <w:basedOn w:val="a2"/>
    <w:uiPriority w:val="99"/>
    <w:qFormat/>
    <w:pPr>
      <w:jc w:val="both"/>
    </w:pPr>
  </w:style>
  <w:style w:type="paragraph" w:customStyle="1" w:styleId="CharCharCharChar1CharCharCharCharCharChar">
    <w:name w:val="Char Char Char Char1 Char Char Char Char Char Char"/>
    <w:basedOn w:val="a2"/>
    <w:next w:val="a2"/>
    <w:pPr>
      <w:spacing w:line="360" w:lineRule="auto"/>
      <w:ind w:firstLineChars="200" w:firstLine="200"/>
      <w:jc w:val="both"/>
    </w:pPr>
    <w:rPr>
      <w:rFonts w:ascii="宋体" w:hAnsi="宋体" w:cs="宋体"/>
      <w:sz w:val="24"/>
    </w:rPr>
  </w:style>
  <w:style w:type="paragraph" w:customStyle="1" w:styleId="1051">
    <w:name w:val="样式 表格 + 段前: 1 行 段后: 0.5 行1"/>
    <w:basedOn w:val="affffd"/>
    <w:uiPriority w:val="99"/>
    <w:qFormat/>
    <w:pPr>
      <w:widowControl w:val="0"/>
      <w:spacing w:line="240" w:lineRule="atLeast"/>
      <w:textAlignment w:val="auto"/>
    </w:pPr>
    <w:rPr>
      <w:rFonts w:ascii="Times New Roman" w:hAnsi="Times New Roman" w:cs="宋体"/>
      <w:snapToGrid w:val="0"/>
      <w:sz w:val="24"/>
      <w:szCs w:val="21"/>
    </w:rPr>
  </w:style>
  <w:style w:type="paragraph" w:customStyle="1" w:styleId="Char2CharCharCharCharCharCharCharCharCharCharChar1CharCharCharCharCharCharCharCharChar">
    <w:name w:val="Char2 Char Char Char Char Char Char Char Char Char Char Char1 Char Char Char Char Char Char Char Char Char"/>
    <w:basedOn w:val="a2"/>
    <w:qFormat/>
    <w:rPr>
      <w:sz w:val="24"/>
    </w:rPr>
  </w:style>
  <w:style w:type="paragraph" w:customStyle="1" w:styleId="2ffe">
    <w:name w:val="样式 居中 首行缩进:  2 字符"/>
    <w:basedOn w:val="a2"/>
    <w:uiPriority w:val="99"/>
    <w:qFormat/>
    <w:pPr>
      <w:spacing w:line="480" w:lineRule="exact"/>
      <w:ind w:firstLineChars="5" w:firstLine="14"/>
      <w:jc w:val="center"/>
    </w:pPr>
    <w:rPr>
      <w:rFonts w:cs="宋体"/>
    </w:rPr>
  </w:style>
  <w:style w:type="paragraph" w:customStyle="1" w:styleId="1ffffd">
    <w:name w:val="项目1"/>
    <w:basedOn w:val="a2"/>
    <w:qFormat/>
    <w:pPr>
      <w:tabs>
        <w:tab w:val="left" w:pos="425"/>
      </w:tabs>
      <w:snapToGrid w:val="0"/>
      <w:spacing w:line="0" w:lineRule="atLeast"/>
      <w:ind w:left="425" w:hanging="425"/>
      <w:jc w:val="both"/>
    </w:pPr>
  </w:style>
  <w:style w:type="paragraph" w:customStyle="1" w:styleId="CharCharCharChar8">
    <w:name w:val="正文 Char Char Char Char"/>
    <w:basedOn w:val="a2"/>
    <w:next w:val="a2"/>
    <w:uiPriority w:val="99"/>
    <w:qFormat/>
    <w:pPr>
      <w:spacing w:line="360" w:lineRule="auto"/>
      <w:ind w:firstLine="482"/>
      <w:textAlignment w:val="baseline"/>
    </w:pPr>
    <w:rPr>
      <w:rFonts w:ascii="宋体"/>
      <w:snapToGrid w:val="0"/>
      <w:kern w:val="21"/>
      <w:sz w:val="24"/>
    </w:rPr>
  </w:style>
  <w:style w:type="paragraph" w:customStyle="1" w:styleId="07720415">
    <w:name w:val="样式 首行缩进:  0.77 厘米 行距: 固定值 20 磅415"/>
    <w:basedOn w:val="a2"/>
    <w:uiPriority w:val="99"/>
    <w:qFormat/>
    <w:pPr>
      <w:spacing w:line="360" w:lineRule="auto"/>
      <w:ind w:firstLineChars="200" w:firstLine="480"/>
      <w:jc w:val="both"/>
    </w:pPr>
    <w:rPr>
      <w:rFonts w:cs="宋体"/>
      <w:sz w:val="24"/>
    </w:rPr>
  </w:style>
  <w:style w:type="paragraph" w:customStyle="1" w:styleId="1Charfa">
    <w:name w:val="1 Char"/>
    <w:basedOn w:val="a2"/>
    <w:qFormat/>
    <w:pPr>
      <w:jc w:val="both"/>
    </w:pPr>
    <w:rPr>
      <w:sz w:val="24"/>
    </w:rPr>
  </w:style>
  <w:style w:type="paragraph" w:customStyle="1" w:styleId="CharCharCharCharCharCharChar4">
    <w:name w:val="样式 正文缩进表格标题文本条款正文（首行缩进两字） Char Char Char Char Char Char Char..."/>
    <w:basedOn w:val="a3"/>
    <w:uiPriority w:val="99"/>
    <w:qFormat/>
    <w:pPr>
      <w:snapToGrid w:val="0"/>
      <w:spacing w:line="460" w:lineRule="exact"/>
      <w:ind w:firstLine="480"/>
      <w:jc w:val="both"/>
    </w:pPr>
    <w:rPr>
      <w:rFonts w:ascii="宋体" w:hAnsi="宋体"/>
      <w:sz w:val="24"/>
      <w:szCs w:val="20"/>
    </w:rPr>
  </w:style>
  <w:style w:type="paragraph" w:customStyle="1" w:styleId="Style110">
    <w:name w:val="_Style 11"/>
    <w:basedOn w:val="a2"/>
    <w:uiPriority w:val="99"/>
    <w:qFormat/>
    <w:pPr>
      <w:jc w:val="both"/>
    </w:pPr>
  </w:style>
  <w:style w:type="paragraph" w:customStyle="1" w:styleId="CharCharCharChar40">
    <w:name w:val="Char Char Char Char4"/>
    <w:basedOn w:val="a2"/>
    <w:qFormat/>
    <w:pPr>
      <w:snapToGrid w:val="0"/>
      <w:spacing w:line="360" w:lineRule="auto"/>
      <w:ind w:firstLineChars="200" w:firstLine="200"/>
    </w:pPr>
    <w:rPr>
      <w:rFonts w:eastAsia="仿宋_GB2312"/>
      <w:sz w:val="24"/>
    </w:rPr>
  </w:style>
  <w:style w:type="paragraph" w:customStyle="1" w:styleId="afffffffffffffff6">
    <w:name w:val="表格字体"/>
    <w:basedOn w:val="a3"/>
    <w:uiPriority w:val="99"/>
    <w:qFormat/>
    <w:pPr>
      <w:spacing w:line="360" w:lineRule="auto"/>
      <w:ind w:firstLineChars="0" w:firstLine="0"/>
      <w:jc w:val="center"/>
    </w:pPr>
    <w:rPr>
      <w:sz w:val="24"/>
      <w:szCs w:val="20"/>
    </w:rPr>
  </w:style>
  <w:style w:type="paragraph" w:customStyle="1" w:styleId="-5">
    <w:name w:val="文-5"/>
    <w:basedOn w:val="a2"/>
    <w:qFormat/>
    <w:pPr>
      <w:tabs>
        <w:tab w:val="right" w:leader="dot" w:pos="8789"/>
      </w:tabs>
      <w:spacing w:before="120"/>
      <w:ind w:left="1276" w:firstLine="482"/>
    </w:pPr>
    <w:rPr>
      <w:sz w:val="24"/>
    </w:rPr>
  </w:style>
  <w:style w:type="paragraph" w:customStyle="1" w:styleId="CharCharChar1CharCharCharCharCharCharCharCharCharCharCharCharCharCharCharCharCharCharCharCharCharChar2">
    <w:name w:val="Char Char Char1 Char Char Char Char Char Char Char Char Char Char Char Char Char Char Char Char Char Char Char Char Char Char2"/>
    <w:basedOn w:val="a2"/>
    <w:uiPriority w:val="99"/>
    <w:qFormat/>
    <w:rPr>
      <w:rFonts w:ascii="Times New Roman"/>
    </w:rPr>
  </w:style>
  <w:style w:type="paragraph" w:customStyle="1" w:styleId="6CharChar3">
    <w:name w:val="目录 6 Char Char"/>
    <w:basedOn w:val="a2"/>
    <w:next w:val="a2"/>
    <w:qFormat/>
    <w:pPr>
      <w:spacing w:line="351" w:lineRule="atLeast"/>
      <w:ind w:left="1048" w:firstLine="419"/>
    </w:pPr>
    <w:rPr>
      <w:rFonts w:hAnsi="宋体"/>
    </w:rPr>
  </w:style>
  <w:style w:type="paragraph" w:customStyle="1" w:styleId="Char2CharCharCharCharCharChar2">
    <w:name w:val="Char2 Char Char Char Char Char Char2"/>
    <w:basedOn w:val="a2"/>
    <w:uiPriority w:val="99"/>
    <w:qFormat/>
    <w:pPr>
      <w:jc w:val="both"/>
    </w:pPr>
    <w:rPr>
      <w:rFonts w:ascii="Times New Roman"/>
    </w:rPr>
  </w:style>
  <w:style w:type="paragraph" w:customStyle="1" w:styleId="1ffffe">
    <w:name w:val="日期1"/>
    <w:basedOn w:val="a2"/>
    <w:next w:val="a2"/>
    <w:qFormat/>
    <w:pPr>
      <w:snapToGrid w:val="0"/>
      <w:spacing w:before="120" w:after="120" w:line="360" w:lineRule="auto"/>
      <w:ind w:firstLineChars="200" w:firstLine="200"/>
      <w:jc w:val="both"/>
      <w:textAlignment w:val="baseline"/>
    </w:pPr>
    <w:rPr>
      <w:sz w:val="24"/>
    </w:rPr>
  </w:style>
  <w:style w:type="paragraph" w:customStyle="1" w:styleId="afffffffffffffff7">
    <w:name w:val="式样"/>
    <w:basedOn w:val="a2"/>
    <w:next w:val="afc"/>
    <w:uiPriority w:val="99"/>
    <w:qFormat/>
    <w:pPr>
      <w:jc w:val="both"/>
    </w:pPr>
  </w:style>
  <w:style w:type="paragraph" w:customStyle="1" w:styleId="BIGBOLD">
    <w:name w:val="BIG BOLD"/>
    <w:basedOn w:val="a2"/>
    <w:qFormat/>
    <w:pPr>
      <w:tabs>
        <w:tab w:val="left" w:leader="underscore" w:pos="1134"/>
      </w:tabs>
      <w:jc w:val="both"/>
    </w:pPr>
  </w:style>
  <w:style w:type="paragraph" w:customStyle="1" w:styleId="afffffffffffffff8">
    <w:name w:val="文件名称"/>
    <w:basedOn w:val="a2"/>
    <w:uiPriority w:val="99"/>
    <w:qFormat/>
    <w:pPr>
      <w:pageBreakBefore/>
      <w:spacing w:line="460" w:lineRule="exact"/>
      <w:jc w:val="center"/>
    </w:pPr>
    <w:rPr>
      <w:rFonts w:ascii="宋体" w:cs="宋体"/>
      <w:b/>
      <w:bCs/>
      <w:sz w:val="32"/>
      <w:szCs w:val="32"/>
    </w:rPr>
  </w:style>
  <w:style w:type="paragraph" w:customStyle="1" w:styleId="118">
    <w:name w:val="表内文字11"/>
    <w:basedOn w:val="a2"/>
    <w:qFormat/>
    <w:rPr>
      <w:snapToGrid w:val="0"/>
      <w:sz w:val="22"/>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2"/>
    <w:pPr>
      <w:spacing w:line="360" w:lineRule="auto"/>
      <w:ind w:firstLineChars="200" w:firstLine="200"/>
      <w:jc w:val="both"/>
    </w:pPr>
    <w:rPr>
      <w:rFonts w:eastAsia="黑体"/>
      <w:szCs w:val="28"/>
    </w:rPr>
  </w:style>
  <w:style w:type="paragraph" w:customStyle="1" w:styleId="Char1CharCharCharCharChar">
    <w:name w:val="Char1 Char Char Char Char Char"/>
    <w:basedOn w:val="a2"/>
    <w:next w:val="a2"/>
    <w:uiPriority w:val="99"/>
    <w:qFormat/>
    <w:pPr>
      <w:spacing w:line="360" w:lineRule="auto"/>
      <w:ind w:firstLineChars="200" w:firstLine="200"/>
      <w:jc w:val="center"/>
    </w:pPr>
    <w:rPr>
      <w:rFonts w:eastAsia="黑体"/>
    </w:rPr>
  </w:style>
  <w:style w:type="paragraph" w:customStyle="1" w:styleId="afffffffffffffff9">
    <w:name w:val="三级目录"/>
    <w:basedOn w:val="32"/>
    <w:next w:val="a2"/>
    <w:uiPriority w:val="99"/>
    <w:qFormat/>
    <w:pPr>
      <w:spacing w:before="240" w:after="120" w:line="240" w:lineRule="auto"/>
      <w:jc w:val="both"/>
    </w:pPr>
    <w:rPr>
      <w:rFonts w:ascii="黑体" w:eastAsia="黑体" w:hAnsi="黑体"/>
      <w:b w:val="0"/>
      <w:bCs w:val="0"/>
      <w:sz w:val="28"/>
      <w:szCs w:val="20"/>
    </w:rPr>
  </w:style>
  <w:style w:type="paragraph" w:customStyle="1" w:styleId="2fff">
    <w:name w:val="正文（首行式样2）"/>
    <w:basedOn w:val="a3"/>
    <w:qFormat/>
    <w:pPr>
      <w:spacing w:line="540" w:lineRule="exact"/>
      <w:ind w:leftChars="99" w:left="208" w:firstLineChars="100" w:firstLine="280"/>
      <w:jc w:val="both"/>
    </w:pPr>
    <w:rPr>
      <w:rFonts w:ascii="仿宋_GB2312" w:eastAsia="仿宋_GB2312"/>
      <w:sz w:val="28"/>
      <w:szCs w:val="28"/>
    </w:rPr>
  </w:style>
  <w:style w:type="paragraph" w:customStyle="1" w:styleId="1fffff">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CharCharCharCharCharChar1Char2">
    <w:name w:val="Char Char Char Char Char Char1 Char2"/>
    <w:basedOn w:val="a2"/>
    <w:uiPriority w:val="99"/>
    <w:qFormat/>
    <w:pPr>
      <w:spacing w:line="360" w:lineRule="auto"/>
      <w:ind w:firstLineChars="200" w:firstLine="200"/>
      <w:jc w:val="both"/>
    </w:pPr>
  </w:style>
  <w:style w:type="paragraph" w:customStyle="1" w:styleId="Char1CharCharCharCharCharChar1CharCharChar">
    <w:name w:val="Char1 Char Char Char Char Char Char1 Char Char Char"/>
    <w:basedOn w:val="a2"/>
    <w:next w:val="a2"/>
    <w:uiPriority w:val="99"/>
    <w:qFormat/>
    <w:pPr>
      <w:spacing w:line="360" w:lineRule="auto"/>
      <w:ind w:firstLineChars="200" w:firstLine="200"/>
      <w:jc w:val="center"/>
    </w:pPr>
    <w:rPr>
      <w:rFonts w:eastAsia="黑体"/>
    </w:rPr>
  </w:style>
  <w:style w:type="paragraph" w:customStyle="1" w:styleId="052">
    <w:name w:val="样式 表头 + 段前: 0.5 行2"/>
    <w:basedOn w:val="affffffff5"/>
    <w:uiPriority w:val="99"/>
    <w:qFormat/>
    <w:pPr>
      <w:snapToGrid w:val="0"/>
      <w:spacing w:before="0" w:line="360" w:lineRule="auto"/>
      <w:ind w:firstLineChars="200" w:firstLine="200"/>
      <w:textAlignment w:val="baseline"/>
    </w:pPr>
    <w:rPr>
      <w:rFonts w:eastAsia="宋体" w:cs="宋体"/>
      <w:b/>
      <w:bCs/>
      <w:szCs w:val="20"/>
    </w:rPr>
  </w:style>
  <w:style w:type="paragraph" w:customStyle="1" w:styleId="Char2CharCharCharCharCharCharCharCharCharCharChar1CharCharCharCharCharCharChar">
    <w:name w:val="Char2 Char Char Char Char Char Char Char Char Char Char Char1 Char Char Char Char Char Char Char"/>
    <w:basedOn w:val="a2"/>
    <w:pPr>
      <w:jc w:val="both"/>
    </w:pPr>
    <w:rPr>
      <w:sz w:val="24"/>
    </w:rPr>
  </w:style>
  <w:style w:type="paragraph" w:customStyle="1" w:styleId="CharChar3CharChar2">
    <w:name w:val="Char Char3 Char Char2"/>
    <w:basedOn w:val="a2"/>
    <w:uiPriority w:val="99"/>
    <w:qFormat/>
    <w:pPr>
      <w:jc w:val="both"/>
    </w:pPr>
    <w:rPr>
      <w:rFonts w:ascii="Times New Roman"/>
    </w:rPr>
  </w:style>
  <w:style w:type="paragraph" w:customStyle="1" w:styleId="P90">
    <w:name w:val="P9"/>
    <w:uiPriority w:val="99"/>
    <w:qFormat/>
    <w:pPr>
      <w:widowControl w:val="0"/>
      <w:adjustRightInd w:val="0"/>
      <w:spacing w:line="360" w:lineRule="atLeast"/>
      <w:ind w:left="4608" w:hanging="576"/>
      <w:textAlignment w:val="baseline"/>
    </w:pPr>
    <w:rPr>
      <w:rFonts w:ascii="Times New Roman" w:eastAsia="全真中明體" w:hAnsi="Times New Roman" w:cs="Times New Roman"/>
      <w:spacing w:val="20"/>
      <w:sz w:val="24"/>
      <w:lang w:eastAsia="zh-TW"/>
    </w:rPr>
  </w:style>
  <w:style w:type="paragraph" w:customStyle="1" w:styleId="Char3CharChar1Char1">
    <w:name w:val="Char3 Char Char1 Char1"/>
    <w:basedOn w:val="a2"/>
    <w:uiPriority w:val="99"/>
    <w:qFormat/>
    <w:pPr>
      <w:jc w:val="both"/>
    </w:pPr>
    <w:rPr>
      <w:rFonts w:ascii="Times New Roman"/>
    </w:rPr>
  </w:style>
  <w:style w:type="paragraph" w:customStyle="1" w:styleId="T0">
    <w:name w:val="T表头"/>
    <w:next w:val="a2"/>
    <w:uiPriority w:val="99"/>
    <w:qFormat/>
    <w:pPr>
      <w:keepNext/>
      <w:keepLines/>
      <w:spacing w:line="360" w:lineRule="auto"/>
      <w:jc w:val="center"/>
    </w:pPr>
    <w:rPr>
      <w:rFonts w:ascii="Times New Roman" w:eastAsia="黑体" w:hAnsi="Times New Roman" w:cs="Times New Roman"/>
      <w:sz w:val="28"/>
    </w:rPr>
  </w:style>
  <w:style w:type="paragraph" w:customStyle="1" w:styleId="3wb0505">
    <w:name w:val="样式 标题 3 wb + 段前: 0.5 行 段后: 0.5 行"/>
    <w:basedOn w:val="3wb"/>
    <w:uiPriority w:val="99"/>
    <w:qFormat/>
    <w:pPr>
      <w:spacing w:beforeLines="0" w:before="0" w:afterLines="0" w:after="0"/>
    </w:pPr>
    <w:rPr>
      <w:rFonts w:cs="宋体"/>
    </w:rPr>
  </w:style>
  <w:style w:type="paragraph" w:customStyle="1" w:styleId="putong">
    <w:name w:val="putong"/>
    <w:basedOn w:val="a2"/>
    <w:uiPriority w:val="99"/>
    <w:qFormat/>
    <w:pPr>
      <w:spacing w:before="100" w:beforeAutospacing="1" w:after="100" w:afterAutospacing="1" w:line="270" w:lineRule="atLeast"/>
    </w:pPr>
    <w:rPr>
      <w:rFonts w:ascii="Arial Unicode MS" w:eastAsia="Arial Unicode MS" w:hAnsi="Arial Unicode MS"/>
      <w:color w:val="000000"/>
      <w:sz w:val="18"/>
    </w:rPr>
  </w:style>
  <w:style w:type="paragraph" w:customStyle="1" w:styleId="Char2CharChar1Char">
    <w:name w:val="Char2 Char Char1 Char"/>
    <w:basedOn w:val="a2"/>
    <w:uiPriority w:val="99"/>
    <w:qFormat/>
    <w:pPr>
      <w:jc w:val="both"/>
    </w:pPr>
    <w:rPr>
      <w:sz w:val="24"/>
    </w:rPr>
  </w:style>
  <w:style w:type="paragraph" w:customStyle="1" w:styleId="350">
    <w:name w:val="正文文本 35"/>
    <w:basedOn w:val="a2"/>
    <w:uiPriority w:val="99"/>
    <w:qFormat/>
    <w:pPr>
      <w:spacing w:line="360" w:lineRule="auto"/>
      <w:jc w:val="center"/>
    </w:pPr>
    <w:rPr>
      <w:sz w:val="20"/>
    </w:rPr>
  </w:style>
  <w:style w:type="paragraph" w:customStyle="1" w:styleId="305050505">
    <w:name w:val="样式 样式 样式 标题 3 + 段前: 0.5 行 段后: 0.5 行 + 段前: 0.5 行 段后: 0.5 行 + 段前: ..."/>
    <w:basedOn w:val="a2"/>
    <w:qFormat/>
    <w:pPr>
      <w:keepNext/>
      <w:keepLines/>
      <w:numPr>
        <w:ilvl w:val="2"/>
        <w:numId w:val="10"/>
      </w:numPr>
      <w:snapToGrid w:val="0"/>
      <w:spacing w:before="156" w:after="156" w:line="300" w:lineRule="auto"/>
      <w:outlineLvl w:val="2"/>
    </w:pPr>
    <w:rPr>
      <w:rFonts w:ascii="仿宋_GB2312" w:eastAsia="仿宋_GB2312" w:cs="宋体"/>
      <w:b/>
      <w:bCs/>
    </w:rPr>
  </w:style>
  <w:style w:type="paragraph" w:customStyle="1" w:styleId="135">
    <w:name w:val="表内文字小13"/>
    <w:basedOn w:val="a2"/>
    <w:uiPriority w:val="99"/>
    <w:qFormat/>
    <w:pPr>
      <w:snapToGrid w:val="0"/>
      <w:jc w:val="center"/>
    </w:pPr>
    <w:rPr>
      <w:rFonts w:ascii="宋体" w:hAnsi="Times"/>
    </w:rPr>
  </w:style>
  <w:style w:type="paragraph" w:customStyle="1" w:styleId="z-12">
    <w:name w:val="z-窗体底端1"/>
    <w:basedOn w:val="a2"/>
    <w:next w:val="a2"/>
    <w:uiPriority w:val="99"/>
    <w:qFormat/>
    <w:pPr>
      <w:pBdr>
        <w:top w:val="single" w:sz="6" w:space="1" w:color="auto"/>
      </w:pBdr>
      <w:jc w:val="center"/>
      <w:textAlignment w:val="baseline"/>
    </w:pPr>
    <w:rPr>
      <w:rFonts w:hAnsi="Arial"/>
      <w:vanish/>
      <w:sz w:val="16"/>
    </w:rPr>
  </w:style>
  <w:style w:type="paragraph" w:customStyle="1" w:styleId="Char3CharCharCharCharCharChar">
    <w:name w:val="Char3 Char Char Char Char Char Char"/>
    <w:basedOn w:val="a2"/>
    <w:uiPriority w:val="99"/>
    <w:qFormat/>
    <w:pPr>
      <w:jc w:val="both"/>
    </w:pPr>
  </w:style>
  <w:style w:type="paragraph" w:customStyle="1" w:styleId="CharCharCharCharChar2CharCharCharChar">
    <w:name w:val="Char Char Char Char Char2 Char Char Char Char"/>
    <w:basedOn w:val="a2"/>
    <w:uiPriority w:val="99"/>
    <w:qFormat/>
    <w:pPr>
      <w:snapToGrid w:val="0"/>
      <w:spacing w:before="120" w:after="120" w:line="360" w:lineRule="auto"/>
      <w:ind w:firstLineChars="200" w:firstLine="200"/>
      <w:jc w:val="both"/>
    </w:pPr>
    <w:rPr>
      <w:sz w:val="24"/>
    </w:rPr>
  </w:style>
  <w:style w:type="paragraph" w:customStyle="1" w:styleId="chen20">
    <w:name w:val="样式 chen + 首行缩进:  2 字符"/>
    <w:basedOn w:val="a2"/>
    <w:uiPriority w:val="99"/>
    <w:qFormat/>
    <w:pPr>
      <w:spacing w:line="500" w:lineRule="exact"/>
      <w:ind w:firstLineChars="200" w:firstLine="560"/>
      <w:jc w:val="both"/>
    </w:pPr>
    <w:rPr>
      <w:rFonts w:cs="宋体"/>
      <w:color w:val="000000"/>
    </w:rPr>
  </w:style>
  <w:style w:type="paragraph" w:customStyle="1" w:styleId="CharCharChar1CharCharCharCharCharCharCharCharCharCharCharCharCharCharCharCharCharCharCharCharCharChar1">
    <w:name w:val="Char Char Char1 Char Char Char Char Char Char Char Char Char Char Char Char Char Char Char Char Char Char Char Char Char Char1"/>
    <w:basedOn w:val="a2"/>
    <w:qFormat/>
    <w:rPr>
      <w:rFonts w:ascii="Times New Roman"/>
    </w:rPr>
  </w:style>
  <w:style w:type="paragraph" w:customStyle="1" w:styleId="1TimesNewRoman5524">
    <w:name w:val="样式 标题 1 + Times New Roman 三号 段前: 5 磅 段后: 5 磅 行距: 固定值 24 磅"/>
    <w:basedOn w:val="12"/>
    <w:uiPriority w:val="99"/>
    <w:qFormat/>
    <w:pPr>
      <w:spacing w:before="100" w:after="100" w:line="480" w:lineRule="exact"/>
      <w:textAlignment w:val="baseline"/>
    </w:pPr>
    <w:rPr>
      <w:rFonts w:ascii="Arial Unicode MS" w:eastAsia="仿宋_GB2312" w:hAnsi="Arial Unicode MS" w:cs="宋体"/>
      <w:b/>
      <w:bCs w:val="0"/>
      <w:sz w:val="32"/>
      <w:szCs w:val="44"/>
    </w:rPr>
  </w:style>
  <w:style w:type="paragraph" w:customStyle="1" w:styleId="CharCharCharCharChar1Char1">
    <w:name w:val="Char Char Char Char Char1 Char1"/>
    <w:basedOn w:val="a2"/>
    <w:uiPriority w:val="99"/>
    <w:qFormat/>
    <w:pPr>
      <w:jc w:val="both"/>
    </w:pPr>
  </w:style>
  <w:style w:type="paragraph" w:customStyle="1" w:styleId="CharCharCharCharCharCharCharCharCharCharCharChar">
    <w:name w:val="Char Char Char Char Char Char Char Char Char Char Char Char"/>
    <w:basedOn w:val="a2"/>
    <w:pPr>
      <w:spacing w:line="480" w:lineRule="exact"/>
      <w:jc w:val="both"/>
    </w:pPr>
  </w:style>
  <w:style w:type="paragraph" w:customStyle="1" w:styleId="3ff1">
    <w:name w:val="图题3"/>
    <w:basedOn w:val="aff4"/>
    <w:next w:val="a2"/>
    <w:uiPriority w:val="99"/>
    <w:qFormat/>
    <w:pPr>
      <w:spacing w:line="360" w:lineRule="auto"/>
    </w:pPr>
    <w:rPr>
      <w:rFonts w:ascii="方正大标宋简体" w:eastAsia="方正大标宋简体" w:hint="default"/>
      <w:sz w:val="24"/>
    </w:rPr>
  </w:style>
  <w:style w:type="paragraph" w:customStyle="1" w:styleId="3111h3H3level3PIM3Level3HeadHeading3-ol">
    <w:name w:val="样式 标题 3条标题1.1.1h3H3level_3PIM 3Level 3 HeadHeading 3 - ol..."/>
    <w:basedOn w:val="32"/>
    <w:uiPriority w:val="99"/>
    <w:qFormat/>
    <w:pPr>
      <w:snapToGrid w:val="0"/>
      <w:spacing w:beforeLines="100" w:before="312" w:after="0" w:line="360" w:lineRule="auto"/>
      <w:jc w:val="both"/>
    </w:pPr>
    <w:rPr>
      <w:rFonts w:ascii="宋体" w:eastAsia="宋体" w:hAnsi="宋体"/>
      <w:b w:val="0"/>
      <w:bCs w:val="0"/>
      <w:color w:val="0000FF"/>
      <w:sz w:val="28"/>
      <w:szCs w:val="20"/>
    </w:rPr>
  </w:style>
  <w:style w:type="paragraph" w:customStyle="1" w:styleId="CharCharCharCharCharCharCharCharCharCharCharCharCharCharCharChar5">
    <w:name w:val="Char Char Char Char Char Char Char Char Char Char Char Char Char Char Char Char5"/>
    <w:basedOn w:val="a2"/>
    <w:pPr>
      <w:jc w:val="both"/>
    </w:pPr>
    <w:rPr>
      <w:sz w:val="24"/>
    </w:rPr>
  </w:style>
  <w:style w:type="paragraph" w:customStyle="1" w:styleId="afffffffffffffffa">
    <w:name w:val="居中正文"/>
    <w:basedOn w:val="aff9"/>
    <w:uiPriority w:val="99"/>
    <w:qFormat/>
    <w:pPr>
      <w:spacing w:before="240" w:after="0" w:line="240" w:lineRule="atLeast"/>
      <w:ind w:firstLineChars="0" w:firstLine="0"/>
      <w:jc w:val="center"/>
      <w:textAlignment w:val="baseline"/>
    </w:pPr>
    <w:rPr>
      <w:rFonts w:ascii="宋体" w:hAnsi="宋体" w:hint="eastAsia"/>
      <w:spacing w:val="6"/>
      <w:kern w:val="28"/>
      <w:sz w:val="24"/>
      <w:szCs w:val="20"/>
    </w:rPr>
  </w:style>
  <w:style w:type="paragraph" w:customStyle="1" w:styleId="9CharChar">
    <w:name w:val="目录 9 Char Char"/>
    <w:basedOn w:val="a2"/>
    <w:next w:val="a2"/>
    <w:qFormat/>
    <w:pPr>
      <w:spacing w:line="351" w:lineRule="atLeast"/>
      <w:ind w:left="1678" w:firstLine="419"/>
    </w:pPr>
    <w:rPr>
      <w:rFonts w:hAnsi="宋体"/>
    </w:rPr>
  </w:style>
  <w:style w:type="paragraph" w:customStyle="1" w:styleId="CharCharCharCharCharCharCharCharChar1CharCharCharChar2">
    <w:name w:val="Char Char Char Char Char Char Char Char Char1 Char Char Char Char2"/>
    <w:basedOn w:val="a2"/>
    <w:uiPriority w:val="99"/>
    <w:semiHidden/>
    <w:qFormat/>
    <w:pPr>
      <w:jc w:val="both"/>
    </w:pPr>
    <w:rPr>
      <w:rFonts w:ascii="Times New Roman"/>
    </w:rPr>
  </w:style>
  <w:style w:type="paragraph" w:customStyle="1" w:styleId="Char3CharCharChar1CharChar1Char2">
    <w:name w:val="Char3 Char Char Char1 Char Char1 Char2"/>
    <w:basedOn w:val="a2"/>
    <w:uiPriority w:val="99"/>
    <w:qFormat/>
    <w:pPr>
      <w:jc w:val="both"/>
    </w:pPr>
    <w:rPr>
      <w:rFonts w:ascii="Times New Roman"/>
    </w:rPr>
  </w:style>
  <w:style w:type="paragraph" w:customStyle="1" w:styleId="CharCharCharCharCharChar1Char">
    <w:name w:val="Char Char Char Char Char Char1 Char"/>
    <w:basedOn w:val="a2"/>
    <w:pPr>
      <w:spacing w:line="360" w:lineRule="auto"/>
      <w:ind w:firstLineChars="200" w:firstLine="200"/>
      <w:jc w:val="both"/>
    </w:pPr>
    <w:rPr>
      <w:rFonts w:ascii="宋体" w:hAnsi="宋体" w:cs="宋体"/>
      <w:sz w:val="24"/>
    </w:rPr>
  </w:style>
  <w:style w:type="paragraph" w:customStyle="1" w:styleId="afffffffffffffffb">
    <w:name w:val="图表来源"/>
    <w:basedOn w:val="a2"/>
    <w:uiPriority w:val="99"/>
    <w:qFormat/>
    <w:pPr>
      <w:snapToGrid w:val="0"/>
      <w:jc w:val="both"/>
    </w:pPr>
    <w:rPr>
      <w:rFonts w:ascii="宋体" w:hAnsi="宋体"/>
      <w:snapToGrid w:val="0"/>
      <w:color w:val="000000"/>
      <w:lang w:val="en-GB"/>
    </w:rPr>
  </w:style>
  <w:style w:type="paragraph" w:customStyle="1" w:styleId="2fff0">
    <w:name w:val="样式 正文首行缩进 + 首行缩进:  2 字符"/>
    <w:basedOn w:val="aff9"/>
    <w:qFormat/>
    <w:pPr>
      <w:snapToGrid w:val="0"/>
      <w:spacing w:after="0" w:line="520" w:lineRule="atLeast"/>
      <w:ind w:firstLineChars="200" w:firstLine="549"/>
      <w:jc w:val="both"/>
    </w:pPr>
    <w:rPr>
      <w:rFonts w:cs="宋体"/>
      <w:bCs/>
      <w:sz w:val="28"/>
      <w:szCs w:val="20"/>
    </w:rPr>
  </w:style>
  <w:style w:type="paragraph" w:customStyle="1" w:styleId="afffffffffffffffc">
    <w:name w:val="数据来源"/>
    <w:basedOn w:val="a2"/>
    <w:uiPriority w:val="99"/>
    <w:qFormat/>
    <w:pPr>
      <w:snapToGrid w:val="0"/>
      <w:spacing w:beforeLines="50" w:before="156" w:afterLines="50" w:after="156" w:line="280" w:lineRule="exact"/>
      <w:ind w:firstLineChars="200" w:firstLine="200"/>
      <w:jc w:val="both"/>
    </w:pPr>
    <w:rPr>
      <w:rFonts w:hAnsi="宋体"/>
      <w:sz w:val="24"/>
    </w:rPr>
  </w:style>
  <w:style w:type="paragraph" w:customStyle="1" w:styleId="Date1">
    <w:name w:val="Date1"/>
    <w:basedOn w:val="a2"/>
    <w:next w:val="a2"/>
    <w:qFormat/>
    <w:pPr>
      <w:textAlignment w:val="baseline"/>
    </w:pPr>
  </w:style>
  <w:style w:type="paragraph" w:customStyle="1" w:styleId="10505">
    <w:name w:val="样式 标题 1 + 非加粗 段前: 0.5 行 段后: 0.5 行"/>
    <w:basedOn w:val="12"/>
    <w:uiPriority w:val="99"/>
    <w:qFormat/>
    <w:pPr>
      <w:keepNext w:val="0"/>
      <w:keepLines w:val="0"/>
      <w:tabs>
        <w:tab w:val="left" w:pos="3780"/>
      </w:tabs>
      <w:snapToGrid w:val="0"/>
      <w:spacing w:beforeLines="100" w:before="312" w:afterLines="100" w:after="312" w:line="440" w:lineRule="exact"/>
      <w:jc w:val="center"/>
      <w:textAlignment w:val="auto"/>
    </w:pPr>
    <w:rPr>
      <w:rFonts w:ascii="宋体" w:eastAsia="宋体" w:hAnsi="宋体" w:cs="宋体"/>
      <w:b/>
      <w:color w:val="000000"/>
      <w:sz w:val="24"/>
      <w:szCs w:val="24"/>
    </w:rPr>
  </w:style>
  <w:style w:type="paragraph" w:customStyle="1" w:styleId="Char2CharChar1Char2">
    <w:name w:val="Char2 Char Char1 Char2"/>
    <w:basedOn w:val="a2"/>
    <w:uiPriority w:val="99"/>
    <w:qFormat/>
    <w:pPr>
      <w:jc w:val="both"/>
    </w:pPr>
    <w:rPr>
      <w:rFonts w:ascii="Times New Roman"/>
    </w:rPr>
  </w:style>
  <w:style w:type="paragraph" w:customStyle="1" w:styleId="xl72">
    <w:name w:val="xl72"/>
    <w:basedOn w:val="a2"/>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z w:val="24"/>
    </w:rPr>
  </w:style>
  <w:style w:type="paragraph" w:customStyle="1" w:styleId="205TimesNewRomanGB2312">
    <w:name w:val="样式 样式 标题 2 + 段后: 0.5 行 + (西文) Times New Roman (中文) 仿宋_GB2312 段..."/>
    <w:basedOn w:val="a2"/>
    <w:uiPriority w:val="99"/>
    <w:qFormat/>
    <w:pPr>
      <w:keepNext/>
      <w:keepLines/>
      <w:snapToGrid w:val="0"/>
      <w:spacing w:before="240" w:afterLines="20" w:after="62" w:line="360" w:lineRule="auto"/>
      <w:jc w:val="both"/>
      <w:textAlignment w:val="baseline"/>
      <w:outlineLvl w:val="1"/>
    </w:pPr>
    <w:rPr>
      <w:rFonts w:eastAsia="仿宋_GB2312" w:cs="宋体"/>
      <w:sz w:val="24"/>
    </w:rPr>
  </w:style>
  <w:style w:type="paragraph" w:customStyle="1" w:styleId="095">
    <w:name w:val="样式 首行缩进:  0.95 厘米"/>
    <w:basedOn w:val="a2"/>
    <w:uiPriority w:val="99"/>
    <w:qFormat/>
    <w:pPr>
      <w:spacing w:line="360" w:lineRule="auto"/>
      <w:ind w:firstLineChars="200" w:firstLine="200"/>
      <w:jc w:val="both"/>
    </w:pPr>
    <w:rPr>
      <w:rFonts w:cs="宋体"/>
      <w:sz w:val="24"/>
    </w:rPr>
  </w:style>
  <w:style w:type="paragraph" w:customStyle="1" w:styleId="INDEX1">
    <w:name w:val="INDEX1"/>
    <w:basedOn w:val="a2"/>
    <w:uiPriority w:val="99"/>
    <w:qFormat/>
    <w:pPr>
      <w:spacing w:line="360" w:lineRule="atLeast"/>
      <w:ind w:left="2160" w:hanging="720"/>
      <w:textAlignment w:val="baseline"/>
    </w:pPr>
    <w:rPr>
      <w:rFonts w:ascii="全真楷書" w:eastAsia="全真楷書"/>
      <w:sz w:val="24"/>
      <w:lang w:eastAsia="zh-TW"/>
    </w:rPr>
  </w:style>
  <w:style w:type="paragraph" w:customStyle="1" w:styleId="afffffffffffffffd">
    <w:name w:val="三级"/>
    <w:basedOn w:val="32"/>
    <w:uiPriority w:val="99"/>
    <w:qFormat/>
    <w:pPr>
      <w:keepLines w:val="0"/>
      <w:spacing w:before="0" w:after="0" w:line="360" w:lineRule="auto"/>
    </w:pPr>
    <w:rPr>
      <w:rFonts w:ascii="Times New Roman" w:eastAsia="宋体"/>
      <w:iCs/>
      <w:sz w:val="28"/>
      <w:szCs w:val="24"/>
    </w:rPr>
  </w:style>
  <w:style w:type="paragraph" w:customStyle="1" w:styleId="T1">
    <w:name w:val="T.."/>
    <w:basedOn w:val="Default"/>
    <w:next w:val="Default"/>
    <w:qFormat/>
    <w:pPr>
      <w:spacing w:beforeLines="0" w:before="0" w:afterLines="0" w:after="0" w:line="240" w:lineRule="auto"/>
      <w:ind w:firstLineChars="0" w:firstLine="0"/>
    </w:pPr>
    <w:rPr>
      <w:rFonts w:ascii=".." w:eastAsia=".." w:cs="Times New Roman"/>
      <w:color w:val="auto"/>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2"/>
    <w:uiPriority w:val="99"/>
    <w:qFormat/>
    <w:pPr>
      <w:spacing w:line="240" w:lineRule="exact"/>
      <w:ind w:firstLineChars="200" w:firstLine="200"/>
      <w:jc w:val="both"/>
    </w:pPr>
    <w:rPr>
      <w:szCs w:val="28"/>
    </w:rPr>
  </w:style>
  <w:style w:type="paragraph" w:customStyle="1" w:styleId="Pa15">
    <w:name w:val="Pa15"/>
    <w:basedOn w:val="Default"/>
    <w:next w:val="Default"/>
    <w:qFormat/>
    <w:pPr>
      <w:spacing w:line="201" w:lineRule="atLeast"/>
    </w:pPr>
    <w:rPr>
      <w:rFonts w:ascii="H Yc 1gj" w:eastAsia="H Yc 1gj" w:cs="Times New Roman"/>
      <w:color w:val="auto"/>
    </w:rPr>
  </w:style>
  <w:style w:type="paragraph" w:customStyle="1" w:styleId="CharCharChar1CharCharCharCharCharCharCharCharCharCharChar2">
    <w:name w:val="Char Char Char1 Char Char Char Char Char Char Char Char Char Char Char2"/>
    <w:basedOn w:val="a2"/>
    <w:uiPriority w:val="99"/>
    <w:qFormat/>
    <w:pPr>
      <w:jc w:val="both"/>
    </w:pPr>
    <w:rPr>
      <w:rFonts w:ascii="Times New Roman"/>
    </w:rPr>
  </w:style>
  <w:style w:type="paragraph" w:customStyle="1" w:styleId="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1"/>
    <w:basedOn w:val="a2"/>
    <w:uiPriority w:val="99"/>
    <w:qFormat/>
    <w:pPr>
      <w:jc w:val="both"/>
    </w:pPr>
    <w:rPr>
      <w:rFonts w:ascii="Times New Roman"/>
    </w:rPr>
  </w:style>
  <w:style w:type="paragraph" w:customStyle="1" w:styleId="2fff1">
    <w:name w:val="宏文本2"/>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CharCharChar1Char5">
    <w:name w:val="Char Char Char1 Char5"/>
    <w:basedOn w:val="a2"/>
    <w:uiPriority w:val="99"/>
    <w:qFormat/>
    <w:pPr>
      <w:jc w:val="both"/>
      <w:textAlignment w:val="baseline"/>
    </w:pPr>
    <w:rPr>
      <w:rFonts w:ascii="仿宋_GB2312" w:eastAsia="仿宋_GB2312"/>
    </w:rPr>
  </w:style>
  <w:style w:type="paragraph" w:customStyle="1" w:styleId="1fffff0">
    <w:name w:val="字元 字元1"/>
    <w:basedOn w:val="a2"/>
    <w:uiPriority w:val="99"/>
    <w:qFormat/>
    <w:pPr>
      <w:jc w:val="both"/>
    </w:pPr>
    <w:rPr>
      <w:sz w:val="24"/>
    </w:rPr>
  </w:style>
  <w:style w:type="paragraph" w:customStyle="1" w:styleId="128">
    <w:name w:val="普通(网站)12"/>
    <w:basedOn w:val="a2"/>
    <w:uiPriority w:val="99"/>
    <w:qFormat/>
    <w:pPr>
      <w:jc w:val="both"/>
      <w:textAlignment w:val="baseline"/>
    </w:pPr>
    <w:rPr>
      <w:rFonts w:ascii="Times New Roman"/>
    </w:rPr>
  </w:style>
  <w:style w:type="paragraph" w:customStyle="1" w:styleId="CharCharChar1CharCharCharCharCharCharCharCharCharCharChar1">
    <w:name w:val="Char Char Char1 Char Char Char Char Char Char Char Char Char Char Char1"/>
    <w:basedOn w:val="a2"/>
    <w:uiPriority w:val="99"/>
    <w:qFormat/>
    <w:pPr>
      <w:jc w:val="both"/>
    </w:pPr>
  </w:style>
  <w:style w:type="paragraph" w:customStyle="1" w:styleId="3001">
    <w:name w:val="样式 标题 3 + 左侧:  0 厘米 首行缩进:  0 厘米"/>
    <w:basedOn w:val="32"/>
    <w:qFormat/>
    <w:pPr>
      <w:snapToGrid w:val="0"/>
      <w:spacing w:before="0" w:after="0" w:line="500" w:lineRule="exact"/>
      <w:textAlignment w:val="baseline"/>
    </w:pPr>
    <w:rPr>
      <w:rFonts w:ascii="Times New Roman" w:eastAsia="仿宋_GB2312" w:cs="宋体"/>
      <w:b w:val="0"/>
      <w:bCs w:val="0"/>
      <w:sz w:val="28"/>
      <w:szCs w:val="20"/>
    </w:rPr>
  </w:style>
  <w:style w:type="paragraph" w:customStyle="1" w:styleId="CharCharCharCharCharCharCharCharCharCharChar1">
    <w:name w:val="Char Char Char Char Char Char Char Char Char Char Char1"/>
    <w:basedOn w:val="a2"/>
    <w:uiPriority w:val="99"/>
    <w:qFormat/>
    <w:pPr>
      <w:jc w:val="both"/>
    </w:pPr>
    <w:rPr>
      <w:sz w:val="24"/>
    </w:rPr>
  </w:style>
  <w:style w:type="paragraph" w:customStyle="1" w:styleId="CM2">
    <w:name w:val="CM2"/>
    <w:basedOn w:val="Default"/>
    <w:next w:val="Default"/>
    <w:uiPriority w:val="99"/>
    <w:qFormat/>
    <w:pPr>
      <w:spacing w:beforeLines="0" w:before="0" w:afterLines="0" w:after="0" w:line="240" w:lineRule="auto"/>
      <w:ind w:firstLineChars="0" w:firstLine="0"/>
    </w:pPr>
    <w:rPr>
      <w:rFonts w:ascii="新宋体" w:eastAsia="新宋体" w:cs="Times New Roman"/>
      <w:color w:val="auto"/>
    </w:rPr>
  </w:style>
  <w:style w:type="paragraph" w:customStyle="1" w:styleId="GB231224241">
    <w:name w:val="样式 (中文) 楷体_GB2312 五号 居中 段前: 2.4 磅 段后: 2.4 磅 行距: 单倍行距1"/>
    <w:basedOn w:val="a2"/>
    <w:qFormat/>
    <w:pPr>
      <w:snapToGrid w:val="0"/>
      <w:spacing w:before="48" w:after="48"/>
      <w:ind w:leftChars="-20" w:left="-56" w:rightChars="-20" w:right="-56"/>
      <w:jc w:val="center"/>
    </w:pPr>
    <w:rPr>
      <w:rFonts w:ascii="宋体" w:cs="宋体"/>
    </w:rPr>
  </w:style>
  <w:style w:type="paragraph" w:customStyle="1" w:styleId="afffffffffffffffe">
    <w:name w:val="列项·"/>
    <w:qFormat/>
    <w:pPr>
      <w:tabs>
        <w:tab w:val="left" w:pos="432"/>
        <w:tab w:val="left" w:pos="840"/>
      </w:tabs>
      <w:spacing w:beforeLines="50" w:before="50" w:afterLines="50" w:after="50" w:line="360" w:lineRule="auto"/>
      <w:ind w:leftChars="200" w:left="840" w:hangingChars="200" w:hanging="420"/>
      <w:jc w:val="both"/>
    </w:pPr>
    <w:rPr>
      <w:rFonts w:ascii="Times New Roman" w:eastAsia="宋体" w:hAnsi="Times New Roman" w:cs="Times New Roman"/>
      <w:sz w:val="21"/>
    </w:rPr>
  </w:style>
  <w:style w:type="paragraph" w:customStyle="1" w:styleId="129">
    <w:name w:val="访问过的超链接12"/>
    <w:next w:val="a2"/>
    <w:uiPriority w:val="99"/>
    <w:qFormat/>
    <w:rPr>
      <w:rFonts w:ascii="Times New Roman" w:eastAsia="宋体" w:hAnsi="Times New Roman" w:cs="Times New Roman"/>
      <w:kern w:val="2"/>
      <w:sz w:val="21"/>
      <w:szCs w:val="24"/>
    </w:rPr>
  </w:style>
  <w:style w:type="paragraph" w:customStyle="1" w:styleId="affffffffffffffff">
    <w:name w:val="注释"/>
    <w:basedOn w:val="a2"/>
    <w:uiPriority w:val="99"/>
    <w:qFormat/>
    <w:pPr>
      <w:spacing w:before="60" w:line="360" w:lineRule="exact"/>
      <w:ind w:firstLineChars="200" w:firstLine="200"/>
      <w:jc w:val="both"/>
    </w:pPr>
  </w:style>
  <w:style w:type="paragraph" w:customStyle="1" w:styleId="Char4CharCharCharCharCharCharCharCharCharCharCharCharCharCharCharCharChar1CharCharCharCharCharChar1CharCharCharCharCharCharCharCharCharCharCharCharCharCharCharCharCharCharChar1">
    <w:name w:val="Char4 Char Char Char Char Char Char Char Char Char Char Char Char Char Char Char Char Char1 Char Char Char Char Char Char1 Char Char Char Char Char Char Char Char Char Char Char Char Char Char Char Char Char Char Char1"/>
    <w:basedOn w:val="a2"/>
    <w:uiPriority w:val="99"/>
    <w:qFormat/>
    <w:pPr>
      <w:spacing w:line="240" w:lineRule="exact"/>
      <w:ind w:firstLineChars="200" w:firstLine="200"/>
      <w:jc w:val="both"/>
    </w:pPr>
    <w:rPr>
      <w:szCs w:val="28"/>
    </w:rPr>
  </w:style>
  <w:style w:type="paragraph" w:customStyle="1" w:styleId="Char2CharCharCharCharCharCharCharCharCharCharCharCharCharCharCharCharCharCharCharCharChar1">
    <w:name w:val="Char2 Char Char Char Char Char Char Char Char Char Char Char Char Char Char Char Char Char Char Char Char Char1"/>
    <w:basedOn w:val="a2"/>
    <w:uiPriority w:val="99"/>
    <w:qFormat/>
    <w:pPr>
      <w:spacing w:line="360" w:lineRule="auto"/>
      <w:ind w:firstLineChars="200" w:firstLine="200"/>
      <w:jc w:val="both"/>
    </w:pPr>
    <w:rPr>
      <w:rFonts w:eastAsia="黑体"/>
      <w:szCs w:val="28"/>
    </w:rPr>
  </w:style>
  <w:style w:type="paragraph" w:customStyle="1" w:styleId="font8">
    <w:name w:val="font8"/>
    <w:basedOn w:val="a2"/>
    <w:qFormat/>
    <w:pPr>
      <w:widowControl/>
      <w:spacing w:before="100" w:beforeAutospacing="1" w:after="100" w:afterAutospacing="1"/>
    </w:pPr>
    <w:rPr>
      <w:rFonts w:eastAsia="Arial Unicode MS"/>
      <w:color w:val="000000"/>
      <w:sz w:val="24"/>
    </w:rPr>
  </w:style>
  <w:style w:type="paragraph" w:customStyle="1" w:styleId="0150152">
    <w:name w:val="样式 段前: 0.15 行 段后: 0.15 行 首行缩进:  2 字符"/>
    <w:basedOn w:val="a2"/>
    <w:uiPriority w:val="99"/>
    <w:qFormat/>
    <w:pPr>
      <w:spacing w:line="360" w:lineRule="auto"/>
      <w:ind w:firstLineChars="200" w:firstLine="200"/>
      <w:jc w:val="both"/>
    </w:pPr>
    <w:rPr>
      <w:rFonts w:ascii="宋体"/>
      <w:sz w:val="24"/>
    </w:rPr>
  </w:style>
  <w:style w:type="paragraph" w:customStyle="1" w:styleId="2173">
    <w:name w:val="样式 标题 2 + (中文) 黑体 四号 两端对齐 行距: 多倍行距 1.73 字行"/>
    <w:basedOn w:val="22"/>
    <w:uiPriority w:val="99"/>
    <w:qFormat/>
    <w:pPr>
      <w:spacing w:line="413" w:lineRule="auto"/>
      <w:jc w:val="both"/>
      <w:textAlignment w:val="baseline"/>
    </w:pPr>
    <w:rPr>
      <w:rFonts w:ascii="Arial" w:eastAsia="黑体" w:hAnsi="Arial" w:cs="宋体"/>
      <w:sz w:val="30"/>
      <w:szCs w:val="20"/>
    </w:rPr>
  </w:style>
  <w:style w:type="paragraph" w:customStyle="1" w:styleId="xl30">
    <w:name w:val="xl30"/>
    <w:basedOn w:val="a2"/>
    <w:qFormat/>
    <w:pPr>
      <w:widowControl/>
      <w:snapToGrid w:val="0"/>
      <w:spacing w:before="100" w:beforeAutospacing="1" w:after="100" w:afterAutospacing="1" w:line="280" w:lineRule="atLeast"/>
      <w:jc w:val="center"/>
      <w:textAlignment w:val="center"/>
    </w:pPr>
    <w:rPr>
      <w:rFonts w:ascii="宋体" w:hAnsi="宋体"/>
      <w:sz w:val="24"/>
    </w:rPr>
  </w:style>
  <w:style w:type="paragraph" w:customStyle="1" w:styleId="Char1CharCharCharCharCharChar3">
    <w:name w:val="Char1 Char Char Char Char Char Char3"/>
    <w:basedOn w:val="a2"/>
    <w:uiPriority w:val="99"/>
    <w:qFormat/>
    <w:pPr>
      <w:spacing w:before="100" w:beforeAutospacing="1" w:after="100" w:afterAutospacing="1"/>
      <w:ind w:firstLineChars="200" w:firstLine="200"/>
    </w:pPr>
    <w:rPr>
      <w:rFonts w:ascii="Verdana" w:eastAsia="仿宋_GB2312" w:hAnsi="Verdana"/>
      <w:sz w:val="20"/>
      <w:lang w:eastAsia="en-US"/>
    </w:rPr>
  </w:style>
  <w:style w:type="paragraph" w:customStyle="1" w:styleId="BookmanOldStyle10615">
    <w:name w:val="样式 Bookman Old Style 小四 首行缩进:  1.06 厘米 行距: 1.5 倍行距"/>
    <w:basedOn w:val="a2"/>
    <w:uiPriority w:val="99"/>
    <w:qFormat/>
    <w:pPr>
      <w:spacing w:line="520" w:lineRule="exact"/>
      <w:ind w:firstLine="601"/>
      <w:jc w:val="both"/>
    </w:pPr>
    <w:rPr>
      <w:rFonts w:ascii="Bookman Old Style" w:hAnsi="Bookman Old Style"/>
      <w:sz w:val="24"/>
    </w:rPr>
  </w:style>
  <w:style w:type="paragraph" w:customStyle="1" w:styleId="2222">
    <w:name w:val="表格2222"/>
    <w:basedOn w:val="a2"/>
    <w:qFormat/>
    <w:rPr>
      <w:rFonts w:eastAsia="仿宋_GB2312"/>
    </w:rPr>
  </w:style>
  <w:style w:type="paragraph" w:customStyle="1" w:styleId="affffffffffffffff0">
    <w:name w:val="表格内容（新）"/>
    <w:basedOn w:val="a2"/>
    <w:uiPriority w:val="99"/>
    <w:qFormat/>
    <w:pPr>
      <w:jc w:val="center"/>
    </w:pPr>
    <w:rPr>
      <w:rFonts w:cs="宋体"/>
      <w:color w:val="339966"/>
      <w:sz w:val="18"/>
      <w:szCs w:val="18"/>
    </w:rPr>
  </w:style>
  <w:style w:type="paragraph" w:customStyle="1" w:styleId="GB-">
    <w:name w:val="GB-条文"/>
    <w:pPr>
      <w:widowControl w:val="0"/>
      <w:adjustRightInd w:val="0"/>
      <w:snapToGrid w:val="0"/>
      <w:spacing w:line="360" w:lineRule="auto"/>
      <w:ind w:firstLineChars="200" w:firstLine="420"/>
      <w:jc w:val="both"/>
    </w:pPr>
    <w:rPr>
      <w:rFonts w:ascii="Times New Roman" w:eastAsia="宋体" w:hAnsi="Times New Roman" w:cs="Times New Roman"/>
      <w:sz w:val="21"/>
    </w:rPr>
  </w:style>
  <w:style w:type="paragraph" w:customStyle="1" w:styleId="413">
    <w:name w:val="样式 标题 4 + 行距: 多倍行距 1.3 字行"/>
    <w:basedOn w:val="41"/>
    <w:qFormat/>
    <w:pPr>
      <w:numPr>
        <w:ilvl w:val="3"/>
        <w:numId w:val="10"/>
      </w:numPr>
      <w:snapToGrid w:val="0"/>
      <w:spacing w:beforeLines="20" w:before="62" w:afterLines="20" w:after="62" w:line="300" w:lineRule="auto"/>
      <w:ind w:leftChars="0" w:left="0" w:rightChars="0" w:right="0"/>
    </w:pPr>
    <w:rPr>
      <w:rFonts w:ascii="仿宋_GB2312" w:eastAsia="仿宋_GB2312" w:hAnsi="Arial" w:cs="宋体"/>
    </w:rPr>
  </w:style>
  <w:style w:type="paragraph" w:customStyle="1" w:styleId="BT3">
    <w:name w:val="BT3"/>
    <w:basedOn w:val="32"/>
    <w:uiPriority w:val="99"/>
    <w:qFormat/>
    <w:pPr>
      <w:spacing w:before="0" w:after="0" w:line="413" w:lineRule="auto"/>
      <w:jc w:val="both"/>
    </w:pPr>
    <w:rPr>
      <w:rFonts w:ascii="Times New Roman" w:eastAsia="宋体"/>
      <w:sz w:val="28"/>
    </w:rPr>
  </w:style>
  <w:style w:type="paragraph" w:customStyle="1" w:styleId="21130">
    <w:name w:val="表题2113"/>
    <w:basedOn w:val="a2"/>
    <w:uiPriority w:val="99"/>
    <w:qFormat/>
    <w:pPr>
      <w:snapToGrid w:val="0"/>
      <w:jc w:val="center"/>
    </w:pPr>
    <w:rPr>
      <w:rFonts w:ascii="黑体" w:eastAsia="黑体" w:hAnsi="宋体" w:cs="宋体"/>
      <w:sz w:val="24"/>
    </w:rPr>
  </w:style>
  <w:style w:type="paragraph" w:customStyle="1" w:styleId="22Heading2HiddenHeading2CCBSheading2H2h22">
    <w:name w:val="样式 标题 2第一章 标题 2Heading 2 HiddenHeading 2 CCBSheading 2H2h2...2"/>
    <w:basedOn w:val="22"/>
    <w:qFormat/>
    <w:pPr>
      <w:spacing w:before="120" w:after="120" w:line="500" w:lineRule="exact"/>
      <w:jc w:val="both"/>
    </w:pPr>
    <w:rPr>
      <w:rFonts w:ascii="Times New Roman" w:eastAsia="仿宋_GB2312" w:hAnsi="Times New Roman" w:cs="Times New Roman"/>
      <w:color w:val="000000"/>
      <w:sz w:val="28"/>
    </w:rPr>
  </w:style>
  <w:style w:type="paragraph" w:customStyle="1" w:styleId="CharChar1CharCharCharCharCharCharCharCharCharChar">
    <w:name w:val="Char Char1 Char Char Char Char Char Char Char Char Char Char"/>
    <w:basedOn w:val="a2"/>
    <w:qFormat/>
    <w:pPr>
      <w:jc w:val="both"/>
    </w:pPr>
    <w:rPr>
      <w:sz w:val="24"/>
    </w:rPr>
  </w:style>
  <w:style w:type="paragraph" w:customStyle="1" w:styleId="CharCharCharCharCharCharCharCharChar1CharCharCharCharCharChar11">
    <w:name w:val="Char Char Char Char Char Char Char Char Char1 Char Char Char Char Char Char11"/>
    <w:basedOn w:val="a2"/>
    <w:uiPriority w:val="99"/>
    <w:qFormat/>
    <w:pPr>
      <w:jc w:val="both"/>
    </w:pPr>
    <w:rPr>
      <w:rFonts w:ascii="Times New Roman"/>
    </w:rPr>
  </w:style>
  <w:style w:type="paragraph" w:customStyle="1" w:styleId="280">
    <w:name w:val="样式 行距: 固定值 28 磅"/>
    <w:basedOn w:val="a2"/>
    <w:uiPriority w:val="99"/>
    <w:qFormat/>
    <w:pPr>
      <w:spacing w:line="500" w:lineRule="exact"/>
      <w:ind w:firstLineChars="250" w:firstLine="692"/>
      <w:jc w:val="both"/>
    </w:pPr>
    <w:rPr>
      <w:rFonts w:cs="宋体"/>
    </w:rPr>
  </w:style>
  <w:style w:type="paragraph" w:customStyle="1" w:styleId="affffffffffffffff1">
    <w:name w:val="表内小四中"/>
    <w:basedOn w:val="a2"/>
    <w:uiPriority w:val="99"/>
    <w:qFormat/>
    <w:pPr>
      <w:snapToGrid w:val="0"/>
      <w:ind w:leftChars="-2" w:left="-4" w:rightChars="-10" w:right="-22"/>
      <w:jc w:val="center"/>
      <w:textAlignment w:val="baseline"/>
    </w:pPr>
    <w:rPr>
      <w:sz w:val="24"/>
    </w:rPr>
  </w:style>
  <w:style w:type="paragraph" w:customStyle="1" w:styleId="Char1CharCharCharCharCharCharCharChar4">
    <w:name w:val="Char1 Char Char Char Char Char Char Char Char4"/>
    <w:basedOn w:val="a2"/>
    <w:uiPriority w:val="99"/>
    <w:qFormat/>
    <w:pPr>
      <w:jc w:val="both"/>
    </w:pPr>
    <w:rPr>
      <w:sz w:val="24"/>
    </w:rPr>
  </w:style>
  <w:style w:type="paragraph" w:customStyle="1" w:styleId="affffffffffffffff2">
    <w:name w:val="参加人员名单"/>
    <w:basedOn w:val="a2"/>
    <w:next w:val="a2"/>
    <w:uiPriority w:val="99"/>
    <w:qFormat/>
    <w:pPr>
      <w:spacing w:line="500" w:lineRule="atLeast"/>
      <w:jc w:val="center"/>
      <w:outlineLvl w:val="0"/>
    </w:pPr>
    <w:rPr>
      <w:sz w:val="32"/>
      <w:szCs w:val="32"/>
    </w:rPr>
  </w:style>
  <w:style w:type="paragraph" w:customStyle="1" w:styleId="351">
    <w:name w:val="标题3.5"/>
    <w:basedOn w:val="a2"/>
    <w:uiPriority w:val="99"/>
    <w:qFormat/>
    <w:pPr>
      <w:jc w:val="both"/>
    </w:pPr>
    <w:rPr>
      <w:rFonts w:eastAsia="仿宋_GB2312"/>
      <w:sz w:val="24"/>
    </w:rPr>
  </w:style>
  <w:style w:type="paragraph" w:customStyle="1" w:styleId="ft06">
    <w:name w:val="ft06"/>
    <w:basedOn w:val="a2"/>
    <w:uiPriority w:val="99"/>
    <w:qFormat/>
    <w:pPr>
      <w:spacing w:line="345" w:lineRule="atLeast"/>
    </w:pPr>
    <w:rPr>
      <w:rFonts w:ascii="Times" w:hAnsi="Times" w:cs="Times"/>
      <w:color w:val="000000"/>
      <w:sz w:val="20"/>
    </w:rPr>
  </w:style>
  <w:style w:type="paragraph" w:customStyle="1" w:styleId="Char05">
    <w:name w:val="样式 表格文字 Char + 段前: 0.5 行"/>
    <w:basedOn w:val="a2"/>
    <w:uiPriority w:val="99"/>
    <w:qFormat/>
    <w:pPr>
      <w:spacing w:beforeLines="50" w:before="156"/>
      <w:jc w:val="center"/>
    </w:pPr>
    <w:rPr>
      <w:rFonts w:cs="宋体"/>
      <w:sz w:val="24"/>
    </w:rPr>
  </w:style>
  <w:style w:type="paragraph" w:customStyle="1" w:styleId="CharCharCharCharCharCharCharCharCharChar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 Char Char Char Char Char Char Char Char Char Char5"/>
    <w:basedOn w:val="a2"/>
    <w:uiPriority w:val="99"/>
    <w:qFormat/>
    <w:pPr>
      <w:jc w:val="both"/>
    </w:pPr>
    <w:rPr>
      <w:sz w:val="24"/>
    </w:rPr>
  </w:style>
  <w:style w:type="paragraph" w:customStyle="1" w:styleId="2fff2">
    <w:name w:val="样式 纯文本 + (中文) 宋体 首行缩进:  2 字符"/>
    <w:basedOn w:val="af8"/>
    <w:uiPriority w:val="99"/>
    <w:qFormat/>
    <w:pPr>
      <w:spacing w:line="520" w:lineRule="exact"/>
      <w:ind w:firstLineChars="200" w:firstLine="200"/>
      <w:jc w:val="both"/>
    </w:pPr>
    <w:rPr>
      <w:rFonts w:cs="宋体"/>
      <w:kern w:val="0"/>
      <w:sz w:val="28"/>
      <w:szCs w:val="20"/>
    </w:rPr>
  </w:style>
  <w:style w:type="paragraph" w:customStyle="1" w:styleId="2112112H2SeHeadwsa2112Char1Ch1">
    <w:name w:val="样式 标题 2节标题 1.1标题 21标题 12H2SeHead wsa2标题 1.1标题 2 Char1 Ch...1"/>
    <w:basedOn w:val="22"/>
    <w:uiPriority w:val="99"/>
    <w:qFormat/>
    <w:pPr>
      <w:spacing w:beforeLines="100" w:before="312" w:after="120" w:line="480" w:lineRule="exact"/>
      <w:jc w:val="both"/>
    </w:pPr>
    <w:rPr>
      <w:rFonts w:ascii="黑体" w:eastAsia="黑体" w:hAnsi="黑体" w:cs="宋体"/>
      <w:bCs w:val="0"/>
      <w:sz w:val="36"/>
      <w:szCs w:val="30"/>
    </w:rPr>
  </w:style>
  <w:style w:type="paragraph" w:customStyle="1" w:styleId="affffffffffffffff3">
    <w:name w:val="正文编号"/>
    <w:basedOn w:val="a2"/>
    <w:qFormat/>
    <w:pPr>
      <w:tabs>
        <w:tab w:val="left" w:pos="1545"/>
      </w:tabs>
      <w:spacing w:line="440" w:lineRule="exact"/>
      <w:ind w:left="1545" w:hanging="1005"/>
    </w:pPr>
    <w:rPr>
      <w:sz w:val="25"/>
    </w:rPr>
  </w:style>
  <w:style w:type="paragraph" w:customStyle="1" w:styleId="wangxy">
    <w:name w:val="wangxy"/>
    <w:basedOn w:val="a2"/>
    <w:pPr>
      <w:autoSpaceDE/>
      <w:autoSpaceDN/>
      <w:adjustRightInd/>
      <w:spacing w:beforeLines="50" w:before="156" w:afterLines="50" w:after="156" w:line="360" w:lineRule="auto"/>
      <w:ind w:firstLineChars="200" w:firstLine="200"/>
      <w:jc w:val="both"/>
    </w:pPr>
    <w:rPr>
      <w:spacing w:val="14"/>
    </w:rPr>
  </w:style>
  <w:style w:type="paragraph" w:customStyle="1" w:styleId="3ff2">
    <w:name w:val="表格内字体3"/>
    <w:basedOn w:val="a2"/>
    <w:uiPriority w:val="99"/>
    <w:qFormat/>
    <w:pPr>
      <w:jc w:val="center"/>
    </w:pPr>
    <w:rPr>
      <w:rFonts w:ascii="宋体" w:cs="宋体"/>
    </w:rPr>
  </w:style>
  <w:style w:type="paragraph" w:customStyle="1" w:styleId="affffffffffffffff4">
    <w:name w:val="正文缩进二"/>
    <w:basedOn w:val="a3"/>
    <w:qFormat/>
    <w:pPr>
      <w:snapToGrid w:val="0"/>
      <w:spacing w:line="360" w:lineRule="auto"/>
      <w:ind w:firstLineChars="0" w:firstLine="567"/>
    </w:pPr>
    <w:rPr>
      <w:sz w:val="28"/>
      <w:szCs w:val="20"/>
    </w:rPr>
  </w:style>
  <w:style w:type="paragraph" w:customStyle="1" w:styleId="CharCharCharCharCharCharCharCharCharCharCharCharChar3">
    <w:name w:val="Char Char Char Char Char Char Char Char Char Char Char Char Char3"/>
    <w:basedOn w:val="a2"/>
    <w:uiPriority w:val="99"/>
    <w:qFormat/>
    <w:pPr>
      <w:jc w:val="both"/>
    </w:pPr>
  </w:style>
  <w:style w:type="paragraph" w:customStyle="1" w:styleId="2h2MVA212120">
    <w:name w:val="样式 标题 2h2MVA2 + 两端对齐 段前: 12 磅 段后: 12 磅"/>
    <w:basedOn w:val="22"/>
    <w:uiPriority w:val="99"/>
    <w:qFormat/>
    <w:pPr>
      <w:keepNext w:val="0"/>
      <w:keepLines w:val="0"/>
      <w:tabs>
        <w:tab w:val="left" w:pos="575"/>
      </w:tabs>
      <w:spacing w:before="240" w:after="240" w:line="240" w:lineRule="auto"/>
      <w:ind w:left="575" w:hanging="576"/>
      <w:jc w:val="both"/>
      <w:textAlignment w:val="baseline"/>
    </w:pPr>
    <w:rPr>
      <w:rFonts w:ascii="Times New Roman" w:eastAsia="黑体" w:hAnsi="Times New Roman" w:cs="宋体"/>
      <w:b w:val="0"/>
      <w:sz w:val="24"/>
      <w:szCs w:val="30"/>
    </w:rPr>
  </w:style>
  <w:style w:type="paragraph" w:customStyle="1" w:styleId="2CharCharCharCharCharCharCharCharCharCharCharCharCharCharCharCharCharCharCharCharCharCharCharCharCharChar">
    <w:name w:val="样式 纯文本 + 首行缩进:  2 字符 Char Char Char Char Char Char Char Char Char Char Char Char Char Char Char Char Char Char Char Char Char Char Char Char Char Char"/>
    <w:basedOn w:val="af8"/>
    <w:qFormat/>
    <w:pPr>
      <w:spacing w:line="360" w:lineRule="auto"/>
      <w:jc w:val="both"/>
    </w:pPr>
    <w:rPr>
      <w:rFonts w:cs="宋体"/>
      <w:kern w:val="2"/>
      <w:sz w:val="21"/>
    </w:rPr>
  </w:style>
  <w:style w:type="paragraph" w:customStyle="1" w:styleId="119">
    <w:name w:val="样式 表题 + 段前: 1 行 段后: 1 行"/>
    <w:basedOn w:val="affffffffffffffe"/>
    <w:pPr>
      <w:widowControl w:val="0"/>
      <w:tabs>
        <w:tab w:val="right" w:pos="0"/>
      </w:tabs>
      <w:adjustRightInd w:val="0"/>
      <w:snapToGrid w:val="0"/>
      <w:spacing w:beforeLines="0" w:before="0" w:afterLines="0" w:after="0"/>
      <w:ind w:firstLineChars="200" w:firstLine="200"/>
    </w:pPr>
    <w:rPr>
      <w:rFonts w:cs="宋体"/>
      <w:b/>
      <w:spacing w:val="12"/>
      <w:kern w:val="2"/>
      <w:szCs w:val="20"/>
    </w:rPr>
  </w:style>
  <w:style w:type="paragraph" w:customStyle="1" w:styleId="xl107">
    <w:name w:val="xl107"/>
    <w:basedOn w:val="a2"/>
    <w:qFormat/>
    <w:pPr>
      <w:pBdr>
        <w:top w:val="single" w:sz="4" w:space="0" w:color="auto"/>
        <w:left w:val="single" w:sz="4" w:space="0" w:color="auto"/>
        <w:right w:val="single" w:sz="4" w:space="0" w:color="auto"/>
      </w:pBdr>
      <w:spacing w:before="100" w:beforeAutospacing="1" w:after="100" w:afterAutospacing="1"/>
      <w:jc w:val="center"/>
    </w:pPr>
    <w:rPr>
      <w:color w:val="000000"/>
      <w:sz w:val="18"/>
      <w:szCs w:val="18"/>
    </w:rPr>
  </w:style>
  <w:style w:type="paragraph" w:customStyle="1" w:styleId="affffffffffffffff5">
    <w:name w:val="段落"/>
    <w:basedOn w:val="a2"/>
    <w:qFormat/>
    <w:pPr>
      <w:spacing w:line="580" w:lineRule="exact"/>
      <w:ind w:firstLineChars="200" w:firstLine="200"/>
    </w:pPr>
    <w:rPr>
      <w:spacing w:val="6"/>
      <w:szCs w:val="28"/>
    </w:rPr>
  </w:style>
  <w:style w:type="paragraph" w:customStyle="1" w:styleId="affffffffffffffff6">
    <w:name w:val="正文图五"/>
    <w:basedOn w:val="a2"/>
    <w:uiPriority w:val="99"/>
    <w:qFormat/>
    <w:pPr>
      <w:snapToGrid w:val="0"/>
      <w:jc w:val="center"/>
    </w:pPr>
    <w:rPr>
      <w:rFonts w:eastAsia="仿宋_GB2312"/>
      <w:snapToGrid w:val="0"/>
      <w:spacing w:val="6"/>
    </w:rPr>
  </w:style>
  <w:style w:type="paragraph" w:customStyle="1" w:styleId="1fffff1">
    <w:name w:val="样式 标题 1 + 加粗"/>
    <w:basedOn w:val="12"/>
    <w:qFormat/>
    <w:pPr>
      <w:spacing w:line="240" w:lineRule="auto"/>
      <w:textAlignment w:val="auto"/>
    </w:pPr>
    <w:rPr>
      <w:rFonts w:eastAsia="宋体" w:hAnsi="宋体"/>
      <w:b/>
      <w:sz w:val="30"/>
      <w:szCs w:val="30"/>
    </w:rPr>
  </w:style>
  <w:style w:type="paragraph" w:customStyle="1" w:styleId="affffffffffffffff7">
    <w:name w:val="依据文字"/>
    <w:basedOn w:val="2a"/>
    <w:uiPriority w:val="99"/>
    <w:qFormat/>
    <w:pPr>
      <w:tabs>
        <w:tab w:val="left" w:pos="420"/>
        <w:tab w:val="left" w:pos="870"/>
        <w:tab w:val="left" w:pos="3150"/>
      </w:tabs>
      <w:spacing w:beforeLines="25" w:before="60" w:after="0" w:line="336" w:lineRule="auto"/>
      <w:ind w:leftChars="0" w:left="0" w:firstLineChars="0" w:firstLine="527"/>
      <w:jc w:val="both"/>
      <w:textAlignment w:val="baseline"/>
    </w:pPr>
    <w:rPr>
      <w:rFonts w:ascii="宋体"/>
      <w:b/>
      <w:kern w:val="0"/>
      <w:sz w:val="24"/>
      <w:szCs w:val="28"/>
    </w:rPr>
  </w:style>
  <w:style w:type="paragraph" w:customStyle="1" w:styleId="2fff3">
    <w:name w:val="样式 标题 2 + (中文) 宋体"/>
    <w:basedOn w:val="22"/>
    <w:uiPriority w:val="99"/>
    <w:qFormat/>
    <w:pPr>
      <w:keepNext w:val="0"/>
      <w:keepLines w:val="0"/>
      <w:tabs>
        <w:tab w:val="left" w:pos="576"/>
      </w:tabs>
      <w:snapToGrid w:val="0"/>
      <w:spacing w:beforeLines="50" w:before="156" w:afterLines="50" w:after="156" w:line="360" w:lineRule="auto"/>
      <w:ind w:left="567" w:hanging="567"/>
      <w:jc w:val="both"/>
    </w:pPr>
    <w:rPr>
      <w:rFonts w:ascii="Times New Roman" w:eastAsia="宋体" w:hAnsi="Times New Roman" w:cs="Times New Roman"/>
      <w:b w:val="0"/>
      <w:bCs w:val="0"/>
      <w:sz w:val="28"/>
      <w:szCs w:val="28"/>
    </w:rPr>
  </w:style>
  <w:style w:type="paragraph" w:customStyle="1" w:styleId="3Char3H3h33rdlevel3CharChar">
    <w:name w:val="样式 标题 3Char标题3H3h33rd level第二层条头小标题小节标题标题 3 Char Char..."/>
    <w:basedOn w:val="32"/>
    <w:uiPriority w:val="99"/>
    <w:qFormat/>
    <w:pPr>
      <w:spacing w:before="240" w:after="0" w:line="240" w:lineRule="auto"/>
      <w:jc w:val="both"/>
    </w:pPr>
    <w:rPr>
      <w:rFonts w:eastAsia="仿宋_GB2312" w:hAnsi="Arial" w:cs="宋体"/>
      <w:sz w:val="24"/>
      <w:szCs w:val="20"/>
    </w:rPr>
  </w:style>
  <w:style w:type="paragraph" w:customStyle="1" w:styleId="233">
    <w:name w:val="正文文本 23"/>
    <w:basedOn w:val="a2"/>
    <w:next w:val="af5"/>
    <w:uiPriority w:val="99"/>
    <w:qFormat/>
    <w:pPr>
      <w:spacing w:after="120" w:line="500" w:lineRule="exact"/>
      <w:ind w:leftChars="200" w:left="420"/>
      <w:jc w:val="both"/>
    </w:pPr>
    <w:rPr>
      <w:rFonts w:ascii="仿宋_GB2312" w:eastAsia="仿宋_GB2312"/>
      <w:szCs w:val="2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pPr>
      <w:jc w:val="both"/>
    </w:pPr>
    <w:rPr>
      <w:sz w:val="24"/>
    </w:rPr>
  </w:style>
  <w:style w:type="paragraph" w:customStyle="1" w:styleId="affffffffffffffff8">
    <w:name w:val="列表标题"/>
    <w:basedOn w:val="a2"/>
    <w:next w:val="a2"/>
    <w:qFormat/>
    <w:pPr>
      <w:jc w:val="center"/>
    </w:pPr>
    <w:rPr>
      <w:sz w:val="24"/>
    </w:rPr>
  </w:style>
  <w:style w:type="paragraph" w:customStyle="1" w:styleId="CharCharCharCharCharCharCharCharCharCharCharCharCharCharCharCharCharCharChar">
    <w:name w:val="Char Char Char Char Char Char Char Char Char Char Char Char Char Char Char Char Char Char Char"/>
    <w:basedOn w:val="a2"/>
    <w:pPr>
      <w:jc w:val="both"/>
    </w:pPr>
    <w:rPr>
      <w:sz w:val="24"/>
    </w:rPr>
  </w:style>
  <w:style w:type="paragraph" w:customStyle="1" w:styleId="0502">
    <w:name w:val="样式 表头 + 段前: 0.5 行 段后: 0.2 行"/>
    <w:basedOn w:val="affffffff5"/>
    <w:qFormat/>
    <w:pPr>
      <w:snapToGrid w:val="0"/>
      <w:spacing w:beforeLines="50" w:before="156" w:afterLines="20" w:after="62" w:line="300" w:lineRule="auto"/>
    </w:pPr>
    <w:rPr>
      <w:rFonts w:eastAsia="仿宋_GB2312" w:cs="宋体"/>
      <w:b/>
      <w:bCs/>
      <w:sz w:val="28"/>
      <w:szCs w:val="28"/>
    </w:rPr>
  </w:style>
  <w:style w:type="paragraph" w:customStyle="1" w:styleId="CharCharChar1CharCharChar3">
    <w:name w:val="Char Char Char1 Char Char Char3"/>
    <w:basedOn w:val="a2"/>
    <w:uiPriority w:val="99"/>
    <w:qFormat/>
    <w:pPr>
      <w:tabs>
        <w:tab w:val="left" w:pos="0"/>
      </w:tabs>
    </w:pPr>
  </w:style>
  <w:style w:type="paragraph" w:customStyle="1" w:styleId="affffffffffffffff9">
    <w:name w:val="小标题样式"/>
    <w:basedOn w:val="a2"/>
    <w:uiPriority w:val="99"/>
    <w:qFormat/>
    <w:pPr>
      <w:snapToGrid w:val="0"/>
      <w:spacing w:beforeLines="50" w:before="156" w:afterLines="50" w:after="156" w:line="400" w:lineRule="exact"/>
      <w:ind w:firstLineChars="200" w:firstLine="200"/>
      <w:jc w:val="both"/>
    </w:pPr>
    <w:rPr>
      <w:rFonts w:ascii="宋体" w:hAnsi="宋体"/>
      <w:b/>
      <w:bCs/>
      <w:sz w:val="24"/>
    </w:rPr>
  </w:style>
  <w:style w:type="paragraph" w:customStyle="1" w:styleId="affffffffffffffffa">
    <w:name w:val="图解"/>
    <w:basedOn w:val="a2"/>
    <w:next w:val="a3"/>
    <w:pPr>
      <w:widowControl/>
      <w:autoSpaceDE/>
      <w:autoSpaceDN/>
      <w:adjustRightInd/>
      <w:spacing w:line="360" w:lineRule="auto"/>
      <w:jc w:val="center"/>
    </w:pPr>
    <w:rPr>
      <w:rFonts w:ascii="仿宋_GB2312" w:eastAsia="仿宋_GB2312" w:cs="新宋体-18030"/>
    </w:rPr>
  </w:style>
  <w:style w:type="paragraph" w:customStyle="1" w:styleId="137">
    <w:name w:val="13"/>
    <w:basedOn w:val="a2"/>
    <w:next w:val="af5"/>
    <w:qFormat/>
    <w:pPr>
      <w:spacing w:line="500" w:lineRule="exact"/>
      <w:ind w:firstLineChars="200" w:firstLine="560"/>
      <w:jc w:val="both"/>
    </w:pPr>
    <w:rPr>
      <w:rFonts w:ascii="仿宋_GB2312" w:eastAsia="仿宋_GB2312"/>
      <w:color w:val="FF0000"/>
    </w:rPr>
  </w:style>
  <w:style w:type="paragraph" w:customStyle="1" w:styleId="3TimesNewRoman1313173">
    <w:name w:val="样式 标题 3 + Times New Roman 黑色 段前: 13 磅 段后: 13 磅 行距: 多倍行距 1.73..."/>
    <w:basedOn w:val="32"/>
    <w:uiPriority w:val="99"/>
    <w:qFormat/>
    <w:pPr>
      <w:spacing w:before="0" w:after="0" w:line="360" w:lineRule="auto"/>
      <w:jc w:val="both"/>
    </w:pPr>
    <w:rPr>
      <w:rFonts w:ascii="Times New Roman" w:eastAsia="黑体"/>
      <w:b w:val="0"/>
      <w:bCs w:val="0"/>
      <w:color w:val="000000"/>
      <w:sz w:val="24"/>
      <w:szCs w:val="20"/>
    </w:rPr>
  </w:style>
  <w:style w:type="paragraph" w:customStyle="1" w:styleId="xl148">
    <w:name w:val="xl148"/>
    <w:basedOn w:val="a2"/>
    <w:qFormat/>
    <w:pPr>
      <w:pBdr>
        <w:bottom w:val="single" w:sz="8" w:space="0" w:color="auto"/>
      </w:pBdr>
      <w:spacing w:before="100" w:beforeAutospacing="1" w:after="100" w:afterAutospacing="1"/>
    </w:pPr>
    <w:rPr>
      <w:rFonts w:ascii="Arial Unicode MS" w:hAnsi="Arial Unicode MS"/>
    </w:rPr>
  </w:style>
  <w:style w:type="paragraph" w:customStyle="1" w:styleId="2266">
    <w:name w:val="样式 标题 2标题2节（节） + 左 段前: 6 磅 段后: 6 磅 行距: 单倍行距"/>
    <w:basedOn w:val="22"/>
    <w:uiPriority w:val="99"/>
    <w:qFormat/>
    <w:pPr>
      <w:keepNext w:val="0"/>
      <w:keepLines w:val="0"/>
      <w:spacing w:before="120" w:after="120" w:line="240" w:lineRule="auto"/>
      <w:textAlignment w:val="baseline"/>
    </w:pPr>
    <w:rPr>
      <w:rFonts w:ascii="宋体" w:eastAsia="仿宋_GB2312" w:hAnsi="Times New Roman" w:cs="宋体"/>
      <w:b w:val="0"/>
      <w:sz w:val="24"/>
      <w:szCs w:val="30"/>
    </w:rPr>
  </w:style>
  <w:style w:type="paragraph" w:customStyle="1" w:styleId="CharCharChar1CharCharChar2">
    <w:name w:val="Char Char Char1 Char Char Char2"/>
    <w:basedOn w:val="a2"/>
    <w:uiPriority w:val="99"/>
    <w:qFormat/>
    <w:pPr>
      <w:tabs>
        <w:tab w:val="left" w:pos="0"/>
      </w:tabs>
    </w:pPr>
    <w:rPr>
      <w:rFonts w:ascii="Times New Roman"/>
    </w:rPr>
  </w:style>
  <w:style w:type="paragraph" w:customStyle="1" w:styleId="ParaCharCharCharCharCharCharCharCharCharCharCharCharChar">
    <w:name w:val="默认段落字体 Para Char Char Char Char Char Char Char Char Char Char Char Char Char"/>
    <w:basedOn w:val="a2"/>
    <w:qFormat/>
    <w:rPr>
      <w:rFonts w:hAnsi="宋体"/>
      <w:sz w:val="24"/>
    </w:rPr>
  </w:style>
  <w:style w:type="paragraph" w:customStyle="1" w:styleId="-11">
    <w:name w:val="彩色列表 - 强调文字颜色 11"/>
    <w:basedOn w:val="a2"/>
    <w:qFormat/>
    <w:pPr>
      <w:snapToGrid w:val="0"/>
      <w:spacing w:line="300" w:lineRule="auto"/>
      <w:ind w:firstLineChars="200" w:firstLine="420"/>
    </w:pPr>
    <w:rPr>
      <w:rFonts w:ascii="宋体" w:hAnsi="宋体"/>
      <w:sz w:val="24"/>
    </w:rPr>
  </w:style>
  <w:style w:type="paragraph" w:customStyle="1" w:styleId="reader-word-layerreader-word-s1-7">
    <w:name w:val="reader-word-layer reader-word-s1-7"/>
    <w:basedOn w:val="a2"/>
    <w:uiPriority w:val="99"/>
    <w:qFormat/>
    <w:pPr>
      <w:spacing w:before="100" w:beforeAutospacing="1" w:after="100" w:afterAutospacing="1"/>
    </w:pPr>
    <w:rPr>
      <w:rFonts w:ascii="宋体" w:hAnsi="宋体" w:cs="宋体"/>
      <w:sz w:val="24"/>
    </w:rPr>
  </w:style>
  <w:style w:type="paragraph" w:customStyle="1" w:styleId="21a">
    <w:name w:val="纯文本21"/>
    <w:basedOn w:val="a2"/>
    <w:uiPriority w:val="99"/>
    <w:qFormat/>
    <w:pPr>
      <w:jc w:val="both"/>
      <w:textAlignment w:val="baseline"/>
    </w:pPr>
    <w:rPr>
      <w:rFonts w:hAnsi="Courier New"/>
    </w:rPr>
  </w:style>
  <w:style w:type="paragraph" w:customStyle="1" w:styleId="11a">
    <w:name w:val="标题 1（安评1）章标题"/>
    <w:basedOn w:val="12"/>
    <w:uiPriority w:val="99"/>
    <w:qFormat/>
    <w:pPr>
      <w:tabs>
        <w:tab w:val="left" w:pos="360"/>
        <w:tab w:val="left" w:pos="432"/>
      </w:tabs>
      <w:ind w:left="432" w:hanging="432"/>
      <w:jc w:val="both"/>
      <w:textAlignment w:val="auto"/>
    </w:pPr>
    <w:rPr>
      <w:rFonts w:eastAsia="宋体" w:cs="宋体"/>
      <w:b/>
      <w:bCs w:val="0"/>
      <w:sz w:val="44"/>
      <w:szCs w:val="44"/>
    </w:rPr>
  </w:style>
  <w:style w:type="paragraph" w:customStyle="1" w:styleId="CharCharCharCharCharCharCharChar20">
    <w:name w:val="Char Char Char Char Char Char Char Char2"/>
    <w:basedOn w:val="a2"/>
    <w:uiPriority w:val="99"/>
    <w:qFormat/>
    <w:pPr>
      <w:jc w:val="both"/>
    </w:pPr>
    <w:rPr>
      <w:rFonts w:ascii="Times New Roman"/>
    </w:rPr>
  </w:style>
  <w:style w:type="paragraph" w:customStyle="1" w:styleId="affffffffffffffffb">
    <w:name w:val="图表脚注"/>
    <w:next w:val="a2"/>
    <w:qFormat/>
    <w:pPr>
      <w:spacing w:beforeLines="50" w:before="50" w:afterLines="50" w:after="50" w:line="360" w:lineRule="auto"/>
      <w:ind w:leftChars="200" w:left="300" w:hangingChars="100" w:hanging="100"/>
      <w:jc w:val="both"/>
    </w:pPr>
    <w:rPr>
      <w:rFonts w:ascii="Times New Roman" w:eastAsia="宋体" w:hAnsi="Times New Roman" w:cs="Times New Roman"/>
      <w:sz w:val="18"/>
    </w:rPr>
  </w:style>
  <w:style w:type="paragraph" w:customStyle="1" w:styleId="font10">
    <w:name w:val="font10"/>
    <w:basedOn w:val="a2"/>
    <w:qFormat/>
    <w:pPr>
      <w:widowControl/>
      <w:spacing w:before="100" w:beforeAutospacing="1" w:after="100" w:afterAutospacing="1"/>
    </w:pPr>
    <w:rPr>
      <w:rFonts w:eastAsia="Arial Unicode MS"/>
      <w:sz w:val="24"/>
    </w:rPr>
  </w:style>
  <w:style w:type="paragraph" w:customStyle="1" w:styleId="077206">
    <w:name w:val="样式 首行缩进:  0.77 厘米 行距: 固定值 20 磅6"/>
    <w:basedOn w:val="a2"/>
    <w:uiPriority w:val="99"/>
    <w:qFormat/>
    <w:pPr>
      <w:spacing w:line="360" w:lineRule="auto"/>
      <w:ind w:firstLine="435"/>
      <w:jc w:val="both"/>
    </w:pPr>
    <w:rPr>
      <w:rFonts w:cs="宋体"/>
      <w:sz w:val="24"/>
    </w:rPr>
  </w:style>
  <w:style w:type="paragraph" w:customStyle="1" w:styleId="PP">
    <w:name w:val="PP 行"/>
    <w:basedOn w:val="aff"/>
    <w:uiPriority w:val="99"/>
    <w:qFormat/>
    <w:pPr>
      <w:spacing w:before="0"/>
      <w:ind w:leftChars="2100" w:left="100" w:firstLine="0"/>
      <w:jc w:val="both"/>
    </w:pPr>
    <w:rPr>
      <w:rFonts w:ascii="Times New Roman" w:hAnsi="Times New Roman"/>
      <w:kern w:val="0"/>
      <w:sz w:val="28"/>
      <w:szCs w:val="24"/>
    </w:rPr>
  </w:style>
  <w:style w:type="paragraph" w:customStyle="1" w:styleId="Char1CharCharCharCharCharCharCharCharCharCharCharChar">
    <w:name w:val="Char1 Char Char Char Char Char Char Char Char Char Char Char Char"/>
    <w:basedOn w:val="a2"/>
    <w:qFormat/>
    <w:pPr>
      <w:jc w:val="both"/>
    </w:pPr>
  </w:style>
  <w:style w:type="paragraph" w:customStyle="1" w:styleId="Char1">
    <w:name w:val="Char1"/>
    <w:basedOn w:val="a2"/>
    <w:pPr>
      <w:numPr>
        <w:numId w:val="11"/>
      </w:numPr>
      <w:snapToGrid w:val="0"/>
      <w:jc w:val="both"/>
    </w:pPr>
    <w:rPr>
      <w:rFonts w:eastAsia="仿宋_GB2312" w:cs="宋体"/>
      <w:sz w:val="24"/>
    </w:rPr>
  </w:style>
  <w:style w:type="paragraph" w:customStyle="1" w:styleId="GB231209922">
    <w:name w:val="样式 (中文) 楷体_GB2312 四号 黑色 首行缩进:  0.99 厘米 行距: 固定值 22 磅"/>
    <w:basedOn w:val="a2"/>
    <w:qFormat/>
    <w:pPr>
      <w:spacing w:line="480" w:lineRule="exact"/>
      <w:ind w:firstLine="561"/>
    </w:pPr>
    <w:rPr>
      <w:color w:val="000000"/>
    </w:rPr>
  </w:style>
  <w:style w:type="paragraph" w:customStyle="1" w:styleId="xl754">
    <w:name w:val="xl754"/>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hint="eastAsia"/>
      <w:sz w:val="24"/>
    </w:rPr>
  </w:style>
  <w:style w:type="paragraph" w:customStyle="1" w:styleId="4651152">
    <w:name w:val="样式 样式 段前: 4.65 磅 行距: 多倍行距 1.15 字行 + 首行缩进:  2 字符"/>
    <w:basedOn w:val="a2"/>
    <w:uiPriority w:val="99"/>
    <w:qFormat/>
    <w:pPr>
      <w:spacing w:before="93" w:line="312" w:lineRule="auto"/>
      <w:ind w:firstLineChars="200" w:firstLine="200"/>
      <w:jc w:val="both"/>
    </w:pPr>
    <w:rPr>
      <w:rFonts w:cs="宋体"/>
      <w:sz w:val="24"/>
    </w:rPr>
  </w:style>
  <w:style w:type="paragraph" w:customStyle="1" w:styleId="OK">
    <w:name w:val="正文OK"/>
    <w:basedOn w:val="a2"/>
    <w:qFormat/>
    <w:pPr>
      <w:spacing w:line="360" w:lineRule="auto"/>
      <w:ind w:rightChars="-136" w:right="-286" w:firstLineChars="200" w:firstLine="480"/>
      <w:jc w:val="both"/>
    </w:pPr>
    <w:rPr>
      <w:rFonts w:ascii="宋体" w:hAnsi="宋体"/>
      <w:sz w:val="24"/>
    </w:rPr>
  </w:style>
  <w:style w:type="paragraph" w:customStyle="1" w:styleId="dandan6-13CharCharCharCharChar">
    <w:name w:val="dandan6-13正文 Char Char Char Char Char"/>
    <w:basedOn w:val="a2"/>
    <w:next w:val="a2"/>
    <w:uiPriority w:val="99"/>
    <w:qFormat/>
    <w:pPr>
      <w:keepNext/>
      <w:keepLines/>
      <w:spacing w:before="40" w:after="40" w:line="360" w:lineRule="auto"/>
      <w:ind w:firstLineChars="200" w:firstLine="200"/>
      <w:jc w:val="both"/>
      <w:textAlignment w:val="baseline"/>
    </w:pPr>
    <w:rPr>
      <w:rFonts w:cs="宋体"/>
      <w:sz w:val="24"/>
      <w:szCs w:val="28"/>
    </w:rPr>
  </w:style>
  <w:style w:type="paragraph" w:customStyle="1" w:styleId="affffffffffffffffc">
    <w:name w:val="正文改动"/>
    <w:basedOn w:val="a2"/>
    <w:uiPriority w:val="99"/>
    <w:qFormat/>
    <w:pPr>
      <w:jc w:val="both"/>
    </w:pPr>
    <w:rPr>
      <w:color w:val="0000FF"/>
    </w:rPr>
  </w:style>
  <w:style w:type="paragraph" w:customStyle="1" w:styleId="CharChar1CharCharCharCharCharChar">
    <w:name w:val="Char Char1 Char Char Char Char Char Char"/>
    <w:basedOn w:val="a2"/>
    <w:pPr>
      <w:widowControl/>
      <w:autoSpaceDE/>
      <w:autoSpaceDN/>
      <w:adjustRightInd/>
      <w:spacing w:after="160" w:line="240" w:lineRule="exact"/>
    </w:pPr>
    <w:rPr>
      <w:rFonts w:ascii="Tahoma" w:eastAsia="ˎ̥" w:hAnsi="Tahoma" w:cs="Verdana"/>
      <w:lang w:eastAsia="en-US"/>
    </w:rPr>
  </w:style>
  <w:style w:type="paragraph" w:customStyle="1" w:styleId="CharCharChar14">
    <w:name w:val="Char Char Char1"/>
    <w:basedOn w:val="a2"/>
    <w:qFormat/>
    <w:rPr>
      <w:sz w:val="24"/>
    </w:rPr>
  </w:style>
  <w:style w:type="paragraph" w:customStyle="1" w:styleId="31110505">
    <w:name w:val="样式 标题 3条标题1.1.1 + 段前: 0.5 行 段后: 0.5 行"/>
    <w:basedOn w:val="32"/>
    <w:uiPriority w:val="99"/>
    <w:qFormat/>
    <w:pPr>
      <w:tabs>
        <w:tab w:val="left" w:pos="720"/>
      </w:tabs>
      <w:spacing w:before="156" w:after="156" w:line="500" w:lineRule="exact"/>
    </w:pPr>
    <w:rPr>
      <w:rFonts w:ascii="仿宋_GB2312" w:eastAsia="仿宋_GB2312"/>
      <w:sz w:val="28"/>
      <w:szCs w:val="28"/>
    </w:rPr>
  </w:style>
  <w:style w:type="paragraph" w:customStyle="1" w:styleId="CharCharfffffc">
    <w:name w:val="页脚 Char Char"/>
    <w:basedOn w:val="a2"/>
    <w:qFormat/>
    <w:pPr>
      <w:tabs>
        <w:tab w:val="left" w:pos="4149"/>
        <w:tab w:val="left" w:pos="8016"/>
      </w:tabs>
      <w:spacing w:line="351" w:lineRule="atLeast"/>
      <w:ind w:firstLine="419"/>
    </w:pPr>
    <w:rPr>
      <w:rFonts w:hAnsi="宋体"/>
      <w:sz w:val="18"/>
    </w:rPr>
  </w:style>
  <w:style w:type="paragraph" w:customStyle="1" w:styleId="103">
    <w:name w:val="文字段落10"/>
    <w:basedOn w:val="a2"/>
    <w:uiPriority w:val="99"/>
    <w:qFormat/>
    <w:pPr>
      <w:overflowPunct w:val="0"/>
      <w:snapToGrid w:val="0"/>
      <w:spacing w:beforeLines="50" w:before="156" w:afterLines="50" w:after="156" w:line="360" w:lineRule="auto"/>
      <w:ind w:firstLineChars="200" w:firstLine="200"/>
      <w:jc w:val="both"/>
      <w:textAlignment w:val="baseline"/>
    </w:pPr>
    <w:rPr>
      <w:rFonts w:cs="宋体"/>
    </w:rPr>
  </w:style>
  <w:style w:type="paragraph" w:customStyle="1" w:styleId="affffffffffffffffd">
    <w:name w:val="注："/>
    <w:next w:val="a2"/>
    <w:qFormat/>
    <w:pPr>
      <w:widowControl w:val="0"/>
      <w:autoSpaceDE w:val="0"/>
      <w:autoSpaceDN w:val="0"/>
      <w:spacing w:beforeLines="50" w:before="50" w:afterLines="50" w:after="50" w:line="360" w:lineRule="auto"/>
      <w:ind w:left="840" w:firstLineChars="40" w:hanging="420"/>
      <w:jc w:val="both"/>
    </w:pPr>
    <w:rPr>
      <w:rFonts w:ascii="Times New Roman" w:eastAsia="宋体" w:hAnsi="Times New Roman" w:cs="Times New Roman"/>
      <w:sz w:val="18"/>
    </w:rPr>
  </w:style>
  <w:style w:type="paragraph" w:customStyle="1" w:styleId="affffffffffffffffe">
    <w:name w:val="表格名称"/>
    <w:basedOn w:val="a2"/>
    <w:uiPriority w:val="99"/>
    <w:qFormat/>
    <w:pPr>
      <w:keepNext/>
      <w:spacing w:beforeLines="25" w:before="78" w:afterLines="25" w:after="78" w:line="440" w:lineRule="exact"/>
      <w:jc w:val="both"/>
    </w:pPr>
    <w:rPr>
      <w:rFonts w:ascii="宋体"/>
      <w:sz w:val="24"/>
    </w:rPr>
  </w:style>
  <w:style w:type="paragraph" w:customStyle="1" w:styleId="Char08505">
    <w:name w:val="样式 样式 正文缩进 Char + 首行缩进:  0.85 厘米 + 段前: 0.5 行"/>
    <w:basedOn w:val="a2"/>
    <w:uiPriority w:val="99"/>
    <w:qFormat/>
    <w:pPr>
      <w:tabs>
        <w:tab w:val="left" w:pos="280"/>
      </w:tabs>
      <w:spacing w:beforeLines="50" w:before="156" w:line="360" w:lineRule="auto"/>
      <w:ind w:firstLineChars="200" w:firstLine="482"/>
      <w:jc w:val="both"/>
    </w:pPr>
    <w:rPr>
      <w:rFonts w:eastAsia="仿宋_GB2312" w:hAnsi="Arial" w:cs="宋体"/>
      <w:sz w:val="24"/>
    </w:rPr>
  </w:style>
  <w:style w:type="paragraph" w:customStyle="1" w:styleId="030">
    <w:name w:val="标题03"/>
    <w:basedOn w:val="a2"/>
    <w:next w:val="a2"/>
    <w:uiPriority w:val="99"/>
    <w:qFormat/>
    <w:pPr>
      <w:spacing w:line="480" w:lineRule="atLeast"/>
      <w:ind w:firstLine="480"/>
      <w:jc w:val="both"/>
    </w:pPr>
    <w:rPr>
      <w:b/>
      <w:sz w:val="24"/>
    </w:rPr>
  </w:style>
  <w:style w:type="paragraph" w:customStyle="1" w:styleId="afffffffffffffffff">
    <w:name w:val="南郊正文"/>
    <w:basedOn w:val="a2"/>
    <w:next w:val="a2"/>
    <w:uiPriority w:val="99"/>
    <w:qFormat/>
    <w:pPr>
      <w:spacing w:line="360" w:lineRule="auto"/>
      <w:ind w:firstLineChars="200" w:firstLine="482"/>
      <w:jc w:val="both"/>
    </w:pPr>
    <w:rPr>
      <w:rFonts w:ascii="宋体" w:hAnsi="宋体"/>
      <w:b/>
      <w:bCs/>
      <w:sz w:val="24"/>
    </w:rPr>
  </w:style>
  <w:style w:type="paragraph" w:customStyle="1" w:styleId="1fffff2">
    <w:name w:val="样式 居中1"/>
    <w:basedOn w:val="a2"/>
    <w:uiPriority w:val="99"/>
    <w:qFormat/>
    <w:pPr>
      <w:jc w:val="center"/>
    </w:pPr>
    <w:rPr>
      <w:sz w:val="18"/>
      <w:szCs w:val="18"/>
    </w:rPr>
  </w:style>
  <w:style w:type="paragraph" w:customStyle="1" w:styleId="CharCharCharCharCharCharCharCharCharCharCharChar1CharCharCharCharCharCharCharCharCharCharCharChar">
    <w:name w:val="Char Char Char Char Char Char Char Char Char Char Char Char1 Char Char Char Char Char Char Char Char Char Char Char Char"/>
    <w:basedOn w:val="a2"/>
    <w:uiPriority w:val="99"/>
    <w:qFormat/>
    <w:pPr>
      <w:spacing w:line="240" w:lineRule="exact"/>
      <w:ind w:firstLineChars="200" w:firstLine="200"/>
      <w:jc w:val="both"/>
    </w:pPr>
    <w:rPr>
      <w:szCs w:val="28"/>
    </w:rPr>
  </w:style>
  <w:style w:type="paragraph" w:customStyle="1" w:styleId="CharCharChar1Char3">
    <w:name w:val="Char Char Char1 Char3"/>
    <w:basedOn w:val="a2"/>
    <w:uiPriority w:val="99"/>
    <w:semiHidden/>
    <w:qFormat/>
    <w:pPr>
      <w:jc w:val="both"/>
    </w:pPr>
  </w:style>
  <w:style w:type="paragraph" w:customStyle="1" w:styleId="xl744">
    <w:name w:val="xl744"/>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eastAsia="Arial Unicode MS" w:hAnsi="Courier New"/>
      <w:sz w:val="24"/>
    </w:rPr>
  </w:style>
  <w:style w:type="paragraph" w:customStyle="1" w:styleId="ParaCharCharCharCharCharCharCharCharCharChar">
    <w:name w:val="默认段落字体 Para Char Char Char Char Char Char Char Char Char Char"/>
    <w:basedOn w:val="a2"/>
    <w:uiPriority w:val="99"/>
    <w:qFormat/>
    <w:pPr>
      <w:jc w:val="both"/>
    </w:pPr>
  </w:style>
  <w:style w:type="paragraph" w:customStyle="1" w:styleId="CharCharCharCharCharCharCharCharCharCharCharCharChar0">
    <w:name w:val="Char Char Char Char Char Char Char Char Char Char Char Char Char"/>
    <w:basedOn w:val="a2"/>
    <w:qFormat/>
    <w:pPr>
      <w:jc w:val="both"/>
    </w:pPr>
  </w:style>
  <w:style w:type="paragraph" w:customStyle="1" w:styleId="afffffffffffffffff0">
    <w:name w:val="样式 报告书表格 + (符号) 宋体"/>
    <w:basedOn w:val="afffd"/>
    <w:uiPriority w:val="99"/>
    <w:qFormat/>
    <w:pPr>
      <w:tabs>
        <w:tab w:val="center" w:pos="4540"/>
        <w:tab w:val="right" w:pos="8505"/>
      </w:tabs>
      <w:snapToGrid w:val="0"/>
      <w:spacing w:line="240" w:lineRule="auto"/>
      <w:ind w:firstLineChars="200" w:firstLine="420"/>
    </w:pPr>
    <w:rPr>
      <w:rFonts w:eastAsia="宋体" w:hAnsi="宋体" w:cs="宋体"/>
      <w:sz w:val="21"/>
    </w:rPr>
  </w:style>
  <w:style w:type="paragraph" w:customStyle="1" w:styleId="afffffffffffffffff1">
    <w:name w:val="黄桥正文"/>
    <w:basedOn w:val="a2"/>
    <w:qFormat/>
    <w:pPr>
      <w:widowControl/>
      <w:spacing w:line="360" w:lineRule="auto"/>
      <w:ind w:firstLineChars="200" w:firstLine="200"/>
    </w:pPr>
    <w:rPr>
      <w:rFonts w:cs="宋体"/>
      <w:sz w:val="24"/>
    </w:rPr>
  </w:style>
  <w:style w:type="paragraph" w:customStyle="1" w:styleId="CM110">
    <w:name w:val="CM110"/>
    <w:basedOn w:val="Default"/>
    <w:next w:val="Default"/>
    <w:uiPriority w:val="99"/>
    <w:qFormat/>
    <w:pPr>
      <w:spacing w:beforeLines="0" w:before="0" w:afterLines="0" w:after="115" w:line="240" w:lineRule="auto"/>
      <w:ind w:firstLineChars="0" w:firstLine="0"/>
    </w:pPr>
    <w:rPr>
      <w:rFonts w:ascii="黑体" w:eastAsia="黑体" w:cs="Times New Roman"/>
      <w:color w:val="auto"/>
      <w:szCs w:val="20"/>
    </w:rPr>
  </w:style>
  <w:style w:type="paragraph" w:customStyle="1" w:styleId="xl71">
    <w:name w:val="xl71"/>
    <w:basedOn w:val="a2"/>
    <w:qFormat/>
    <w:pPr>
      <w:pBdr>
        <w:top w:val="single" w:sz="4" w:space="0" w:color="auto"/>
      </w:pBdr>
      <w:spacing w:before="100" w:beforeAutospacing="1" w:after="100" w:afterAutospacing="1"/>
      <w:jc w:val="center"/>
      <w:textAlignment w:val="center"/>
    </w:pPr>
    <w:rPr>
      <w:rFonts w:ascii="宋体" w:hAnsi="宋体" w:cs="宋体"/>
      <w:sz w:val="24"/>
    </w:rPr>
  </w:style>
  <w:style w:type="paragraph" w:customStyle="1" w:styleId="Normal23">
    <w:name w:val="Normal_23"/>
    <w:qFormat/>
    <w:pPr>
      <w:spacing w:before="120" w:after="240"/>
      <w:jc w:val="both"/>
    </w:pPr>
    <w:rPr>
      <w:rFonts w:ascii="Times New Roman" w:eastAsia="Calibri" w:hAnsi="Times New Roman" w:cs="Times New Roman"/>
      <w:sz w:val="22"/>
      <w:szCs w:val="21"/>
      <w:lang w:val="ru-RU" w:eastAsia="en-US"/>
    </w:rPr>
  </w:style>
  <w:style w:type="paragraph" w:customStyle="1" w:styleId="CharCharCharCharCharCharCharCharCharChar1">
    <w:name w:val="Char Char Char Char Char Char Char Char Char Char1"/>
    <w:basedOn w:val="a2"/>
    <w:qFormat/>
    <w:pPr>
      <w:jc w:val="both"/>
    </w:pPr>
    <w:rPr>
      <w:sz w:val="24"/>
    </w:rPr>
  </w:style>
  <w:style w:type="paragraph" w:customStyle="1" w:styleId="1fffff3">
    <w:name w:val="表1"/>
    <w:basedOn w:val="a2"/>
    <w:qFormat/>
    <w:pPr>
      <w:jc w:val="center"/>
    </w:pPr>
    <w:rPr>
      <w:rFonts w:ascii="宋体" w:hAnsi="宋体"/>
      <w:color w:val="000000"/>
    </w:rPr>
  </w:style>
  <w:style w:type="paragraph" w:customStyle="1" w:styleId="CharCharChar2CharCharCharCharCharCharCharCharCharChar">
    <w:name w:val="Char Char Char2 Char Char Char Char Char Char Char Char Char Char"/>
    <w:basedOn w:val="a2"/>
    <w:pPr>
      <w:jc w:val="both"/>
    </w:pPr>
  </w:style>
  <w:style w:type="paragraph" w:customStyle="1" w:styleId="Char2CharChar1CharCharCharChar2">
    <w:name w:val="Char2 Char Char1 Char Char Char Char2"/>
    <w:basedOn w:val="a2"/>
    <w:uiPriority w:val="99"/>
    <w:semiHidden/>
    <w:qFormat/>
    <w:pPr>
      <w:jc w:val="both"/>
    </w:pPr>
    <w:rPr>
      <w:rFonts w:ascii="Times New Roman"/>
    </w:rPr>
  </w:style>
  <w:style w:type="paragraph" w:customStyle="1" w:styleId="414310">
    <w:name w:val="样式 标题 4标题 14 + 加粗 无下划线 自动设置 段前: 3 磅 段后: 10 磅"/>
    <w:basedOn w:val="41"/>
    <w:uiPriority w:val="99"/>
    <w:qFormat/>
    <w:pPr>
      <w:keepLines w:val="0"/>
      <w:snapToGrid w:val="0"/>
      <w:spacing w:beforeLines="0" w:before="60" w:after="200" w:line="240" w:lineRule="auto"/>
      <w:ind w:leftChars="0" w:left="0" w:rightChars="0" w:right="0"/>
      <w:jc w:val="both"/>
    </w:pPr>
    <w:rPr>
      <w:rFonts w:ascii="Times New Roman" w:eastAsia="宋体"/>
      <w:color w:val="000000"/>
      <w:sz w:val="24"/>
      <w:szCs w:val="20"/>
    </w:rPr>
  </w:style>
  <w:style w:type="paragraph" w:customStyle="1" w:styleId="-1-">
    <w:name w:val="样式-1-"/>
    <w:basedOn w:val="afc"/>
    <w:qFormat/>
    <w:pPr>
      <w:framePr w:wrap="around" w:vAnchor="text" w:hAnchor="margin" w:xAlign="center" w:y="1"/>
      <w:autoSpaceDE w:val="0"/>
      <w:autoSpaceDN w:val="0"/>
      <w:adjustRightInd w:val="0"/>
    </w:pPr>
    <w:rPr>
      <w:rFonts w:ascii="仿宋_GB2312" w:eastAsia="宋体" w:hAnsi="Courier New" w:cs="Times New Roman"/>
      <w:sz w:val="24"/>
      <w:szCs w:val="20"/>
    </w:rPr>
  </w:style>
  <w:style w:type="paragraph" w:customStyle="1" w:styleId="4075">
    <w:name w:val="样式 样式4 + 首行缩进:  0.75 字符"/>
    <w:basedOn w:val="49"/>
    <w:uiPriority w:val="99"/>
    <w:qFormat/>
    <w:pPr>
      <w:autoSpaceDE/>
      <w:autoSpaceDN/>
      <w:snapToGrid w:val="0"/>
      <w:spacing w:line="480" w:lineRule="exact"/>
      <w:ind w:firstLineChars="200" w:firstLine="480"/>
      <w:jc w:val="both"/>
    </w:pPr>
    <w:rPr>
      <w:rFonts w:ascii="Times New Roman" w:eastAsia="新宋体"/>
      <w:sz w:val="24"/>
      <w:szCs w:val="24"/>
    </w:rPr>
  </w:style>
  <w:style w:type="paragraph" w:customStyle="1" w:styleId="CharCharChar1CharCharCharCharCharCharCharCharCharCharCharCharCharCharChar">
    <w:name w:val="Char Char Char1 Char Char Char Char Char Char Char Char Char Char Char Char Char Char Char"/>
    <w:basedOn w:val="a2"/>
    <w:uiPriority w:val="99"/>
    <w:qFormat/>
    <w:pPr>
      <w:spacing w:line="240" w:lineRule="exact"/>
      <w:ind w:firstLineChars="200" w:firstLine="200"/>
      <w:jc w:val="both"/>
    </w:pPr>
    <w:rPr>
      <w:szCs w:val="28"/>
    </w:rPr>
  </w:style>
  <w:style w:type="paragraph" w:customStyle="1" w:styleId="reader-word-layerreader-word-s1-19">
    <w:name w:val="reader-word-layer reader-word-s1-19"/>
    <w:basedOn w:val="a2"/>
    <w:uiPriority w:val="99"/>
    <w:qFormat/>
    <w:pPr>
      <w:spacing w:before="100" w:beforeAutospacing="1" w:after="100" w:afterAutospacing="1"/>
    </w:pPr>
    <w:rPr>
      <w:rFonts w:ascii="宋体" w:hAnsi="宋体" w:cs="宋体"/>
      <w:sz w:val="24"/>
    </w:rPr>
  </w:style>
  <w:style w:type="paragraph" w:customStyle="1" w:styleId="CharCharChar1CharCharChar0">
    <w:name w:val="Char Char Char1 Char Char Char"/>
    <w:basedOn w:val="a2"/>
    <w:uiPriority w:val="99"/>
    <w:qFormat/>
    <w:pPr>
      <w:tabs>
        <w:tab w:val="left" w:pos="0"/>
      </w:tabs>
    </w:pPr>
    <w:rPr>
      <w:sz w:val="24"/>
    </w:rPr>
  </w:style>
  <w:style w:type="paragraph" w:customStyle="1" w:styleId="1CharCharChar1">
    <w:name w:val="正文1 Char Char Char"/>
    <w:basedOn w:val="a2"/>
    <w:uiPriority w:val="99"/>
    <w:qFormat/>
    <w:pPr>
      <w:snapToGrid w:val="0"/>
      <w:spacing w:line="560" w:lineRule="exact"/>
      <w:ind w:firstLineChars="200" w:firstLine="560"/>
      <w:jc w:val="both"/>
    </w:pPr>
    <w:rPr>
      <w:rFonts w:eastAsia="仿宋_GB2312"/>
    </w:rPr>
  </w:style>
  <w:style w:type="paragraph" w:customStyle="1" w:styleId="00">
    <w:name w:val="0表格格式"/>
    <w:basedOn w:val="aff2"/>
    <w:uiPriority w:val="99"/>
    <w:qFormat/>
    <w:pPr>
      <w:tabs>
        <w:tab w:val="left" w:pos="0"/>
      </w:tabs>
      <w:snapToGrid w:val="0"/>
      <w:spacing w:line="240" w:lineRule="auto"/>
    </w:pPr>
    <w:rPr>
      <w:rFonts w:ascii="Times New Roman" w:eastAsia="宋体"/>
      <w:sz w:val="21"/>
    </w:rPr>
  </w:style>
  <w:style w:type="paragraph" w:customStyle="1" w:styleId="08515">
    <w:name w:val="样式 宋体 小四 左侧:  0.85 厘米 行距: 1.5 倍行距"/>
    <w:basedOn w:val="a2"/>
    <w:pPr>
      <w:autoSpaceDE/>
      <w:autoSpaceDN/>
      <w:adjustRightInd/>
      <w:spacing w:line="360" w:lineRule="auto"/>
      <w:ind w:left="480" w:firstLineChars="200" w:firstLine="200"/>
      <w:jc w:val="both"/>
    </w:pPr>
    <w:rPr>
      <w:rFonts w:ascii="宋体" w:hAnsi="宋体" w:hint="eastAsia"/>
      <w:i/>
    </w:rPr>
  </w:style>
  <w:style w:type="paragraph" w:customStyle="1" w:styleId="xl92">
    <w:name w:val="xl92"/>
    <w:basedOn w:val="a2"/>
    <w:qFormat/>
    <w:pPr>
      <w:pBdr>
        <w:left w:val="single" w:sz="8" w:space="0" w:color="auto"/>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Char4CharCharCharCharCharCharCharCharCharCharCharCharCharCharCharCharChar1CharCharCharCharCharChar1Char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Char"/>
    <w:basedOn w:val="a2"/>
    <w:uiPriority w:val="99"/>
    <w:qFormat/>
    <w:pPr>
      <w:spacing w:line="240" w:lineRule="exact"/>
      <w:ind w:firstLineChars="200" w:firstLine="200"/>
      <w:jc w:val="both"/>
    </w:pPr>
    <w:rPr>
      <w:szCs w:val="28"/>
    </w:rPr>
  </w:style>
  <w:style w:type="paragraph" w:customStyle="1" w:styleId="BT1">
    <w:name w:val="BT1"/>
    <w:basedOn w:val="12"/>
    <w:uiPriority w:val="99"/>
    <w:qFormat/>
    <w:pPr>
      <w:spacing w:line="576" w:lineRule="auto"/>
      <w:jc w:val="center"/>
      <w:textAlignment w:val="auto"/>
    </w:pPr>
    <w:rPr>
      <w:rFonts w:eastAsia="宋体"/>
      <w:b/>
      <w:bCs w:val="0"/>
      <w:sz w:val="44"/>
      <w:szCs w:val="44"/>
    </w:rPr>
  </w:style>
  <w:style w:type="paragraph" w:customStyle="1" w:styleId="3">
    <w:name w:val="正文首行缩进3"/>
    <w:basedOn w:val="a3"/>
    <w:uiPriority w:val="99"/>
    <w:qFormat/>
    <w:pPr>
      <w:numPr>
        <w:numId w:val="12"/>
      </w:numPr>
      <w:tabs>
        <w:tab w:val="clear" w:pos="1287"/>
        <w:tab w:val="left" w:pos="1134"/>
      </w:tabs>
      <w:snapToGrid w:val="0"/>
      <w:spacing w:line="360" w:lineRule="auto"/>
      <w:ind w:firstLineChars="0" w:firstLine="0"/>
      <w:jc w:val="both"/>
    </w:pPr>
    <w:rPr>
      <w:rFonts w:ascii="Garamond" w:hAnsi="Garamond"/>
      <w:kern w:val="0"/>
      <w:sz w:val="28"/>
      <w:szCs w:val="20"/>
    </w:rPr>
  </w:style>
  <w:style w:type="paragraph" w:customStyle="1" w:styleId="afffffffffffffffff2">
    <w:name w:val="首行缩进"/>
    <w:basedOn w:val="a2"/>
    <w:qFormat/>
    <w:pPr>
      <w:spacing w:line="360" w:lineRule="auto"/>
      <w:ind w:firstLineChars="200" w:firstLine="480"/>
    </w:pPr>
    <w:rPr>
      <w:sz w:val="24"/>
    </w:rPr>
  </w:style>
  <w:style w:type="paragraph" w:customStyle="1" w:styleId="CharCharCharCharCharCharChar5">
    <w:name w:val="Char Char Char Char Char Char Char5"/>
    <w:basedOn w:val="a2"/>
    <w:uiPriority w:val="99"/>
    <w:qFormat/>
    <w:pPr>
      <w:jc w:val="both"/>
    </w:pPr>
    <w:rPr>
      <w:rFonts w:ascii="Times New Roman"/>
    </w:rPr>
  </w:style>
  <w:style w:type="paragraph" w:customStyle="1" w:styleId="Char2CharCharCharCharCharCharCharCharCharCharChar1CharCharCharCharCharCharChar1">
    <w:name w:val="Char2 Char Char Char Char Char Char Char Char Char Char Char1 Char Char Char Char Char Char Char1"/>
    <w:basedOn w:val="a2"/>
    <w:uiPriority w:val="99"/>
    <w:qFormat/>
    <w:pPr>
      <w:jc w:val="both"/>
    </w:pPr>
    <w:rPr>
      <w:sz w:val="24"/>
    </w:rPr>
  </w:style>
  <w:style w:type="paragraph" w:customStyle="1" w:styleId="05020502">
    <w:name w:val="样式 样式 表头 + 段前: 0.5 行 段后: 0.2 行 + 段前: 0.5 行 段后: 0.2 行"/>
    <w:basedOn w:val="0502"/>
    <w:qFormat/>
    <w:rPr>
      <w:szCs w:val="20"/>
    </w:rPr>
  </w:style>
  <w:style w:type="paragraph" w:customStyle="1" w:styleId="afffffffffffffffff3">
    <w:name w:val="封面标题"/>
    <w:basedOn w:val="12"/>
    <w:pPr>
      <w:suppressAutoHyphens/>
      <w:autoSpaceDN/>
      <w:adjustRightInd/>
      <w:spacing w:before="240" w:after="240" w:line="240" w:lineRule="auto"/>
      <w:ind w:firstLineChars="200" w:firstLine="640"/>
      <w:jc w:val="center"/>
      <w:textAlignment w:val="auto"/>
    </w:pPr>
    <w:rPr>
      <w:rFonts w:ascii="黑体"/>
      <w:b/>
      <w:bCs w:val="0"/>
      <w:sz w:val="52"/>
      <w:szCs w:val="20"/>
    </w:rPr>
  </w:style>
  <w:style w:type="paragraph" w:customStyle="1" w:styleId="Char2CharChar1CharCharCharCharCharCharCharCharCharChar2">
    <w:name w:val="Char2 Char Char1 Char Char Char Char Char Char Char Char Char Char2"/>
    <w:basedOn w:val="a2"/>
    <w:uiPriority w:val="99"/>
    <w:qFormat/>
    <w:pPr>
      <w:jc w:val="both"/>
    </w:pPr>
    <w:rPr>
      <w:rFonts w:ascii="Times New Roman"/>
    </w:rPr>
  </w:style>
  <w:style w:type="paragraph" w:customStyle="1" w:styleId="Style3">
    <w:name w:val="_Style 3"/>
    <w:uiPriority w:val="1"/>
    <w:qFormat/>
    <w:pPr>
      <w:widowControl w:val="0"/>
      <w:jc w:val="center"/>
    </w:pPr>
    <w:rPr>
      <w:rFonts w:ascii="Times New Roman" w:eastAsia="宋体" w:hAnsi="Times New Roman" w:cs="Times New Roman"/>
      <w:kern w:val="2"/>
      <w:sz w:val="21"/>
      <w:szCs w:val="24"/>
    </w:rPr>
  </w:style>
  <w:style w:type="paragraph" w:customStyle="1" w:styleId="85">
    <w:name w:val="8说明(治)"/>
    <w:basedOn w:val="a2"/>
    <w:next w:val="58"/>
    <w:qFormat/>
    <w:pPr>
      <w:ind w:firstLineChars="200" w:firstLine="480"/>
    </w:pPr>
    <w:rPr>
      <w:rFonts w:ascii="宋体" w:hAnsi="宋体"/>
      <w:color w:val="3366FF"/>
      <w:sz w:val="24"/>
    </w:rPr>
  </w:style>
  <w:style w:type="paragraph" w:customStyle="1" w:styleId="CharCharCharCharCharChar8">
    <w:name w:val="Char Char Char Char Char Char"/>
    <w:basedOn w:val="a2"/>
    <w:rPr>
      <w:sz w:val="24"/>
    </w:rPr>
  </w:style>
  <w:style w:type="paragraph" w:customStyle="1" w:styleId="Formatvorlage3">
    <w:name w:val="Formatvorlage3"/>
    <w:basedOn w:val="41"/>
    <w:next w:val="a2"/>
    <w:uiPriority w:val="99"/>
    <w:qFormat/>
    <w:pPr>
      <w:keepLines w:val="0"/>
      <w:tabs>
        <w:tab w:val="left" w:pos="2356"/>
      </w:tabs>
      <w:spacing w:beforeLines="0" w:before="240" w:after="60"/>
      <w:ind w:leftChars="0" w:left="1984" w:rightChars="0" w:right="0" w:hanging="708"/>
      <w:jc w:val="both"/>
      <w:textAlignment w:val="baseline"/>
      <w:outlineLvl w:val="9"/>
    </w:pPr>
    <w:rPr>
      <w:rFonts w:ascii="CorpoSLig" w:eastAsia="宋体" w:hAnsi="CorpoSLig"/>
      <w:b/>
      <w:bCs w:val="0"/>
      <w:sz w:val="24"/>
      <w:szCs w:val="20"/>
      <w:lang w:val="en-GB"/>
    </w:rPr>
  </w:style>
  <w:style w:type="paragraph" w:customStyle="1" w:styleId="afffffffffffffffff4">
    <w:name w:val="自由格式"/>
    <w:basedOn w:val="a2"/>
    <w:uiPriority w:val="99"/>
    <w:qFormat/>
    <w:pPr>
      <w:ind w:firstLineChars="200" w:firstLine="600"/>
      <w:jc w:val="both"/>
    </w:pPr>
    <w:rPr>
      <w:rFonts w:ascii="仿宋_GB2312" w:eastAsia="仿宋_GB2312"/>
      <w:sz w:val="30"/>
    </w:rPr>
  </w:style>
  <w:style w:type="paragraph" w:customStyle="1" w:styleId="33CharCharTimesNewRomanGB2312">
    <w:name w:val="样式 标题 3标题 3 Char Char + (西文) Times New Roman (中文) 仿宋_GB2312 加..."/>
    <w:basedOn w:val="32"/>
    <w:uiPriority w:val="99"/>
    <w:qFormat/>
    <w:pPr>
      <w:spacing w:before="120" w:after="120" w:line="498" w:lineRule="exact"/>
      <w:jc w:val="center"/>
    </w:pPr>
    <w:rPr>
      <w:rFonts w:ascii="Times New Roman" w:eastAsia="宋体" w:cs="宋体"/>
      <w:b w:val="0"/>
      <w:sz w:val="30"/>
      <w:szCs w:val="21"/>
    </w:rPr>
  </w:style>
  <w:style w:type="paragraph" w:customStyle="1" w:styleId="CharTimesNewRoman15">
    <w:name w:val="样式 表格内容 Char + Times New Roman 黑色 居中 行距: 1.5 倍行距"/>
    <w:basedOn w:val="a2"/>
    <w:uiPriority w:val="99"/>
    <w:qFormat/>
    <w:pPr>
      <w:tabs>
        <w:tab w:val="left" w:pos="-65"/>
      </w:tabs>
      <w:snapToGrid w:val="0"/>
      <w:spacing w:line="360" w:lineRule="auto"/>
      <w:ind w:firstLineChars="200" w:firstLine="420"/>
      <w:jc w:val="center"/>
    </w:pPr>
    <w:rPr>
      <w:rFonts w:cs="宋体"/>
      <w:color w:val="000000"/>
    </w:rPr>
  </w:style>
  <w:style w:type="paragraph" w:customStyle="1" w:styleId="CharCharChar1CharCharCharCharChar">
    <w:name w:val="Char Char Char1 Char Char Char Char Char"/>
    <w:basedOn w:val="a2"/>
    <w:pPr>
      <w:widowControl/>
      <w:autoSpaceDE/>
      <w:autoSpaceDN/>
      <w:adjustRightInd/>
    </w:pPr>
    <w:rPr>
      <w:rFonts w:ascii="宋体" w:hAnsi="宋体" w:cs="宋体"/>
    </w:rPr>
  </w:style>
  <w:style w:type="paragraph" w:customStyle="1" w:styleId="Normal24">
    <w:name w:val="Normal_24"/>
    <w:qFormat/>
    <w:pPr>
      <w:spacing w:before="120" w:after="240"/>
      <w:jc w:val="both"/>
    </w:pPr>
    <w:rPr>
      <w:rFonts w:ascii="Times New Roman" w:eastAsia="Calibri" w:hAnsi="Times New Roman" w:cs="Times New Roman"/>
      <w:sz w:val="22"/>
      <w:szCs w:val="21"/>
      <w:lang w:val="ru-RU" w:eastAsia="en-US"/>
    </w:rPr>
  </w:style>
  <w:style w:type="paragraph" w:customStyle="1" w:styleId="reader-word-layerreader-word-s1-4">
    <w:name w:val="reader-word-layer reader-word-s1-4"/>
    <w:basedOn w:val="a2"/>
    <w:uiPriority w:val="99"/>
    <w:qFormat/>
    <w:pPr>
      <w:spacing w:before="100" w:beforeAutospacing="1" w:after="100" w:afterAutospacing="1"/>
    </w:pPr>
    <w:rPr>
      <w:rFonts w:ascii="宋体" w:hAnsi="宋体" w:cs="宋体"/>
      <w:sz w:val="24"/>
    </w:rPr>
  </w:style>
  <w:style w:type="paragraph" w:customStyle="1" w:styleId="33H3h33rdlevel3Char3Char1">
    <w:name w:val="样式 标题 3头标题3H3h33rd level第二层条标题 3 Char小标题小节标题标题 3 Char ...1"/>
    <w:basedOn w:val="32"/>
    <w:uiPriority w:val="99"/>
    <w:qFormat/>
    <w:pPr>
      <w:keepLines w:val="0"/>
      <w:tabs>
        <w:tab w:val="left" w:pos="1740"/>
      </w:tabs>
      <w:spacing w:before="120" w:after="120" w:line="264" w:lineRule="auto"/>
      <w:ind w:left="1740" w:hanging="420"/>
      <w:textAlignment w:val="baseline"/>
    </w:pPr>
    <w:rPr>
      <w:rFonts w:ascii="Times New Roman" w:eastAsia="仿宋_GB2312"/>
      <w:b w:val="0"/>
      <w:sz w:val="24"/>
      <w:szCs w:val="20"/>
    </w:rPr>
  </w:style>
  <w:style w:type="paragraph" w:customStyle="1" w:styleId="headi">
    <w:name w:val="headi"/>
    <w:basedOn w:val="a2"/>
    <w:next w:val="a2"/>
    <w:uiPriority w:val="99"/>
    <w:qFormat/>
    <w:pPr>
      <w:keepNext/>
      <w:keepLines/>
      <w:spacing w:line="360" w:lineRule="auto"/>
      <w:jc w:val="both"/>
      <w:textAlignment w:val="baseline"/>
    </w:pPr>
    <w:rPr>
      <w:rFonts w:ascii="宋体" w:hAnsi="Arial Black"/>
      <w:sz w:val="24"/>
    </w:rPr>
  </w:style>
  <w:style w:type="paragraph" w:customStyle="1" w:styleId="afffffffffffffffff5">
    <w:name w:val="文本框文字"/>
    <w:basedOn w:val="af8"/>
    <w:uiPriority w:val="99"/>
    <w:qFormat/>
    <w:pPr>
      <w:jc w:val="center"/>
    </w:pPr>
    <w:rPr>
      <w:rFonts w:ascii="Times New Roman" w:hAnsi="Times New Roman"/>
      <w:spacing w:val="10"/>
      <w:kern w:val="2"/>
      <w:sz w:val="21"/>
    </w:rPr>
  </w:style>
  <w:style w:type="paragraph" w:customStyle="1" w:styleId="152">
    <w:name w:val="15"/>
    <w:basedOn w:val="a2"/>
    <w:next w:val="39"/>
    <w:qFormat/>
    <w:pPr>
      <w:spacing w:line="500" w:lineRule="exact"/>
      <w:ind w:firstLineChars="200" w:firstLine="560"/>
      <w:jc w:val="both"/>
    </w:pPr>
    <w:rPr>
      <w:rFonts w:ascii="仿宋_GB2312" w:eastAsia="仿宋_GB2312"/>
    </w:rPr>
  </w:style>
  <w:style w:type="paragraph" w:customStyle="1" w:styleId="reader-word-layerreader-word-s1-18">
    <w:name w:val="reader-word-layer reader-word-s1-18"/>
    <w:basedOn w:val="a2"/>
    <w:uiPriority w:val="99"/>
    <w:qFormat/>
    <w:pPr>
      <w:spacing w:before="100" w:beforeAutospacing="1" w:after="100" w:afterAutospacing="1"/>
    </w:pPr>
    <w:rPr>
      <w:rFonts w:ascii="宋体" w:hAnsi="宋体" w:cs="宋体"/>
      <w:sz w:val="24"/>
    </w:rPr>
  </w:style>
  <w:style w:type="paragraph" w:customStyle="1" w:styleId="a12">
    <w:name w:val="a1"/>
    <w:basedOn w:val="a2"/>
    <w:uiPriority w:val="99"/>
    <w:qFormat/>
    <w:pPr>
      <w:spacing w:before="100" w:beforeAutospacing="1" w:after="100" w:afterAutospacing="1"/>
    </w:pPr>
    <w:rPr>
      <w:rFonts w:ascii="Arial Unicode MS" w:eastAsia="Arial Unicode MS" w:hAnsi="Arial Unicode MS" w:cs="Arial Unicode MS"/>
      <w:color w:val="000000"/>
      <w:sz w:val="24"/>
    </w:rPr>
  </w:style>
  <w:style w:type="paragraph" w:customStyle="1" w:styleId="ParaCharCharCharCharCharCharCharCharCharCharCharCharChar1">
    <w:name w:val="默认段落字体 Para Char Char Char Char Char Char Char Char Char Char Char Char Char1"/>
    <w:basedOn w:val="a2"/>
    <w:qFormat/>
    <w:rPr>
      <w:sz w:val="24"/>
    </w:rPr>
  </w:style>
  <w:style w:type="paragraph" w:customStyle="1" w:styleId="05">
    <w:name w:val="标题0"/>
    <w:basedOn w:val="a2"/>
    <w:next w:val="a2"/>
    <w:uiPriority w:val="99"/>
    <w:qFormat/>
    <w:pPr>
      <w:spacing w:beforeLines="200" w:before="624" w:afterLines="200" w:after="624" w:line="240" w:lineRule="atLeast"/>
      <w:jc w:val="center"/>
    </w:pPr>
    <w:rPr>
      <w:rFonts w:eastAsia="黑体"/>
      <w:sz w:val="36"/>
    </w:rPr>
  </w:style>
  <w:style w:type="paragraph" w:customStyle="1" w:styleId="CharChar110">
    <w:name w:val="Char Char110"/>
    <w:basedOn w:val="a2"/>
    <w:uiPriority w:val="99"/>
    <w:qFormat/>
    <w:pPr>
      <w:jc w:val="both"/>
    </w:pPr>
    <w:rPr>
      <w:sz w:val="24"/>
    </w:rPr>
  </w:style>
  <w:style w:type="paragraph" w:customStyle="1" w:styleId="077203">
    <w:name w:val="样式 首行缩进:  0.77 厘米 行距: 固定值 20 磅3"/>
    <w:basedOn w:val="a2"/>
    <w:uiPriority w:val="99"/>
    <w:qFormat/>
    <w:pPr>
      <w:spacing w:line="360" w:lineRule="auto"/>
      <w:ind w:firstLine="435"/>
      <w:jc w:val="both"/>
    </w:pPr>
    <w:rPr>
      <w:rFonts w:cs="宋体"/>
      <w:sz w:val="24"/>
    </w:rPr>
  </w:style>
  <w:style w:type="paragraph" w:customStyle="1" w:styleId="CharCharChar1CharCharCharCharCharCharChar2">
    <w:name w:val="Char Char Char1 Char Char Char Char Char Char Char2"/>
    <w:basedOn w:val="a2"/>
    <w:uiPriority w:val="99"/>
    <w:qFormat/>
    <w:rPr>
      <w:rFonts w:ascii="Times New Roman"/>
    </w:rPr>
  </w:style>
  <w:style w:type="paragraph" w:customStyle="1" w:styleId="zhang0">
    <w:name w:val="样式 zhang正文 + (中文) 宋体"/>
    <w:basedOn w:val="a2"/>
    <w:pPr>
      <w:snapToGrid w:val="0"/>
      <w:spacing w:line="360" w:lineRule="auto"/>
      <w:ind w:firstLine="539"/>
      <w:jc w:val="both"/>
      <w:textAlignment w:val="baseline"/>
    </w:pPr>
    <w:rPr>
      <w:rFonts w:ascii="Times New Roman"/>
      <w:color w:val="000000"/>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2"/>
    <w:pPr>
      <w:jc w:val="both"/>
    </w:pPr>
    <w:rPr>
      <w:sz w:val="24"/>
    </w:rPr>
  </w:style>
  <w:style w:type="paragraph" w:customStyle="1" w:styleId="1fffff4">
    <w:name w:val="列表1"/>
    <w:basedOn w:val="a2"/>
    <w:uiPriority w:val="99"/>
    <w:qFormat/>
    <w:pPr>
      <w:spacing w:line="360" w:lineRule="exact"/>
      <w:jc w:val="center"/>
    </w:pPr>
    <w:rPr>
      <w:rFonts w:eastAsia="仿宋_GB2312" w:hint="eastAsia"/>
      <w:sz w:val="24"/>
    </w:rPr>
  </w:style>
  <w:style w:type="paragraph" w:customStyle="1" w:styleId="240">
    <w:name w:val="样式 正文文本 + 首行缩进:  2 字符4"/>
    <w:basedOn w:val="af4"/>
    <w:uiPriority w:val="99"/>
    <w:qFormat/>
    <w:pPr>
      <w:spacing w:after="0"/>
      <w:jc w:val="both"/>
      <w:textAlignment w:val="baseline"/>
    </w:pPr>
    <w:rPr>
      <w:rFonts w:eastAsia="仿宋_GB2312" w:cs="宋体"/>
      <w:color w:val="000000"/>
      <w:kern w:val="0"/>
      <w:szCs w:val="21"/>
    </w:rPr>
  </w:style>
  <w:style w:type="paragraph" w:customStyle="1" w:styleId="3ff3">
    <w:name w:val="页眉3"/>
    <w:basedOn w:val="a2"/>
    <w:uiPriority w:val="99"/>
    <w:qFormat/>
    <w:pPr>
      <w:spacing w:before="100" w:beforeAutospacing="1" w:after="100" w:afterAutospacing="1"/>
    </w:pPr>
    <w:rPr>
      <w:rFonts w:ascii="宋体" w:hAnsi="宋体"/>
      <w:b/>
      <w:bCs/>
      <w:color w:val="CC3300"/>
      <w:sz w:val="24"/>
    </w:rPr>
  </w:style>
  <w:style w:type="paragraph" w:customStyle="1" w:styleId="label">
    <w:name w:val="label"/>
    <w:basedOn w:val="a2"/>
    <w:pPr>
      <w:spacing w:before="100" w:beforeAutospacing="1" w:after="100" w:afterAutospacing="1"/>
    </w:pPr>
  </w:style>
  <w:style w:type="paragraph" w:customStyle="1" w:styleId="CharChar2CharCharCharChar1">
    <w:name w:val="Char Char2 Char Char Char Char1"/>
    <w:basedOn w:val="a2"/>
    <w:uiPriority w:val="99"/>
    <w:qFormat/>
    <w:pPr>
      <w:keepNext/>
      <w:tabs>
        <w:tab w:val="left" w:pos="425"/>
      </w:tabs>
      <w:spacing w:before="80" w:after="80"/>
      <w:ind w:hanging="425"/>
      <w:jc w:val="both"/>
    </w:pPr>
    <w:rPr>
      <w:rFonts w:hAnsi="Arial" w:cs="Arial"/>
      <w:sz w:val="20"/>
    </w:rPr>
  </w:style>
  <w:style w:type="paragraph" w:customStyle="1" w:styleId="Style40">
    <w:name w:val="Style4"/>
    <w:basedOn w:val="a2"/>
    <w:uiPriority w:val="99"/>
    <w:qFormat/>
    <w:pPr>
      <w:snapToGrid w:val="0"/>
      <w:spacing w:before="120" w:after="120" w:line="360" w:lineRule="auto"/>
      <w:ind w:left="360" w:firstLineChars="200" w:hanging="360"/>
    </w:pPr>
    <w:rPr>
      <w:sz w:val="24"/>
      <w:lang w:val="en-GB" w:eastAsia="en-US"/>
    </w:rPr>
  </w:style>
  <w:style w:type="paragraph" w:customStyle="1" w:styleId="f14">
    <w:name w:val="f14"/>
    <w:basedOn w:val="a2"/>
    <w:uiPriority w:val="99"/>
    <w:qFormat/>
    <w:pPr>
      <w:spacing w:before="100" w:beforeAutospacing="1" w:after="100" w:afterAutospacing="1"/>
      <w:ind w:left="225" w:right="225"/>
    </w:pPr>
    <w:rPr>
      <w:rFonts w:eastAsia="仿宋_GB2312"/>
    </w:rPr>
  </w:style>
  <w:style w:type="paragraph" w:customStyle="1" w:styleId="xl745">
    <w:name w:val="xl745"/>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eastAsia="Arial Unicode MS" w:hAnsi="Courier New"/>
      <w:b/>
      <w:bCs/>
      <w:sz w:val="24"/>
    </w:rPr>
  </w:style>
  <w:style w:type="paragraph" w:customStyle="1" w:styleId="Char3CharChar1Char12">
    <w:name w:val="Char3 Char Char1 Char12"/>
    <w:basedOn w:val="a2"/>
    <w:pPr>
      <w:jc w:val="both"/>
    </w:pPr>
  </w:style>
  <w:style w:type="paragraph" w:customStyle="1" w:styleId="325">
    <w:name w:val="样式 标题 3 + 行距: 最小值 25 磅"/>
    <w:basedOn w:val="32"/>
    <w:uiPriority w:val="99"/>
    <w:qFormat/>
    <w:pPr>
      <w:keepLines w:val="0"/>
      <w:snapToGrid w:val="0"/>
      <w:spacing w:before="0" w:after="0" w:line="490" w:lineRule="atLeast"/>
    </w:pPr>
    <w:rPr>
      <w:rFonts w:ascii="Times New Roman" w:eastAsia="宋体"/>
      <w:b w:val="0"/>
      <w:bCs w:val="0"/>
      <w:sz w:val="28"/>
      <w:szCs w:val="28"/>
    </w:rPr>
  </w:style>
  <w:style w:type="paragraph" w:customStyle="1" w:styleId="xl82">
    <w:name w:val="xl82"/>
    <w:basedOn w:val="a2"/>
    <w:qFormat/>
    <w:pPr>
      <w:pBdr>
        <w:left w:val="single" w:sz="4" w:space="0" w:color="auto"/>
        <w:bottom w:val="single" w:sz="4" w:space="0" w:color="auto"/>
      </w:pBdr>
      <w:spacing w:before="100" w:beforeAutospacing="1" w:after="100" w:afterAutospacing="1"/>
      <w:jc w:val="center"/>
      <w:textAlignment w:val="center"/>
    </w:pPr>
    <w:rPr>
      <w:rFonts w:ascii="宋体" w:hAnsi="宋体" w:cs="宋体"/>
      <w:sz w:val="24"/>
    </w:rPr>
  </w:style>
  <w:style w:type="paragraph" w:customStyle="1" w:styleId="CharCharChar1CharCharCharCharCharCharChar1">
    <w:name w:val="Char Char Char1 Char Char Char Char Char Char Char1"/>
    <w:basedOn w:val="a2"/>
    <w:qFormat/>
    <w:pPr>
      <w:jc w:val="both"/>
    </w:pPr>
    <w:rPr>
      <w:rFonts w:ascii="Tahoma" w:hAnsi="Tahoma"/>
      <w:sz w:val="24"/>
    </w:rPr>
  </w:style>
  <w:style w:type="paragraph" w:customStyle="1" w:styleId="CharCharfffffd">
    <w:name w:val="批注框文本 Char Char"/>
    <w:basedOn w:val="a2"/>
    <w:qFormat/>
    <w:rPr>
      <w:rFonts w:hAnsi="宋体"/>
      <w:sz w:val="18"/>
    </w:rPr>
  </w:style>
  <w:style w:type="paragraph" w:customStyle="1" w:styleId="3ff4">
    <w:name w:val="标题  3"/>
    <w:basedOn w:val="32"/>
    <w:uiPriority w:val="99"/>
    <w:qFormat/>
    <w:pPr>
      <w:spacing w:before="480" w:after="480" w:line="500" w:lineRule="exact"/>
      <w:ind w:firstLineChars="200" w:firstLine="721"/>
      <w:jc w:val="center"/>
    </w:pPr>
    <w:rPr>
      <w:rFonts w:ascii="华文仿宋" w:eastAsia="华文仿宋" w:hAnsi="华文仿宋" w:cs="宋体"/>
      <w:sz w:val="36"/>
      <w:szCs w:val="20"/>
    </w:rPr>
  </w:style>
  <w:style w:type="paragraph" w:customStyle="1" w:styleId="xl66">
    <w:name w:val="xl66"/>
    <w:basedOn w:val="a2"/>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afffffffffffffffff6">
    <w:name w:val="简单回函地址"/>
    <w:basedOn w:val="a2"/>
    <w:qFormat/>
  </w:style>
  <w:style w:type="paragraph" w:customStyle="1" w:styleId="Char1CharChar4">
    <w:name w:val="Char1 Char Char4"/>
    <w:basedOn w:val="a2"/>
    <w:uiPriority w:val="99"/>
    <w:qFormat/>
    <w:pPr>
      <w:jc w:val="both"/>
    </w:pPr>
  </w:style>
  <w:style w:type="paragraph" w:customStyle="1" w:styleId="11b">
    <w:name w:val="字元11"/>
    <w:basedOn w:val="a2"/>
    <w:uiPriority w:val="99"/>
    <w:qFormat/>
    <w:pPr>
      <w:jc w:val="both"/>
    </w:pPr>
  </w:style>
  <w:style w:type="paragraph" w:customStyle="1" w:styleId="3CharChara">
    <w:name w:val="样式 标题 3 + 宋体 Char Char"/>
    <w:basedOn w:val="32"/>
    <w:qFormat/>
    <w:pPr>
      <w:spacing w:line="360" w:lineRule="auto"/>
      <w:jc w:val="both"/>
    </w:pPr>
    <w:rPr>
      <w:rFonts w:ascii="宋体" w:eastAsia="宋体" w:hAnsi="宋体"/>
      <w:sz w:val="30"/>
      <w:szCs w:val="30"/>
    </w:rPr>
  </w:style>
  <w:style w:type="paragraph" w:customStyle="1" w:styleId="afffffffffffffffff7">
    <w:name w:val="表名图名"/>
    <w:basedOn w:val="a2"/>
    <w:uiPriority w:val="99"/>
    <w:qFormat/>
    <w:pPr>
      <w:spacing w:beforeLines="50" w:afterLines="20"/>
      <w:jc w:val="center"/>
    </w:pPr>
    <w:rPr>
      <w:b/>
      <w:bCs/>
      <w:sz w:val="24"/>
    </w:rPr>
  </w:style>
  <w:style w:type="paragraph" w:customStyle="1" w:styleId="33CharCharh3H3level3PIM3Level3HeadHeadin10">
    <w:name w:val="样式 样式 标题 3标题 3 Char Char头h3H3level_3PIM 3Level 3 HeadHeadin...1 ..."/>
    <w:basedOn w:val="33CharCharh3H3level3PIM3Level3HeadHeadin1"/>
    <w:uiPriority w:val="99"/>
    <w:qFormat/>
    <w:rPr>
      <w:color w:val="auto"/>
    </w:rPr>
  </w:style>
  <w:style w:type="paragraph" w:customStyle="1" w:styleId="2220">
    <w:name w:val="样式 样式 首行缩进:  2 字符 + 首行缩进:  2 字符2"/>
    <w:basedOn w:val="a2"/>
    <w:uiPriority w:val="99"/>
    <w:qFormat/>
    <w:pPr>
      <w:spacing w:line="440" w:lineRule="exact"/>
      <w:ind w:firstLineChars="200" w:firstLine="584"/>
      <w:jc w:val="both"/>
    </w:pPr>
    <w:rPr>
      <w:spacing w:val="6"/>
    </w:rPr>
  </w:style>
  <w:style w:type="paragraph" w:customStyle="1" w:styleId="1fffff5">
    <w:name w:val="字元1"/>
    <w:basedOn w:val="a2"/>
    <w:pPr>
      <w:jc w:val="both"/>
    </w:pPr>
  </w:style>
  <w:style w:type="paragraph" w:customStyle="1" w:styleId="font13">
    <w:name w:val="font13"/>
    <w:basedOn w:val="a2"/>
    <w:qFormat/>
    <w:pPr>
      <w:spacing w:before="100" w:beforeAutospacing="1" w:after="100" w:afterAutospacing="1"/>
    </w:pPr>
    <w:rPr>
      <w:color w:val="0000FF"/>
      <w:sz w:val="24"/>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2"/>
    <w:uiPriority w:val="99"/>
    <w:qFormat/>
    <w:pPr>
      <w:jc w:val="both"/>
    </w:pPr>
    <w:rPr>
      <w:sz w:val="24"/>
    </w:rPr>
  </w:style>
  <w:style w:type="paragraph" w:customStyle="1" w:styleId="afffffffffffffffff8">
    <w:name w:val="主要条文"/>
    <w:basedOn w:val="a2"/>
    <w:uiPriority w:val="99"/>
    <w:qFormat/>
    <w:pPr>
      <w:tabs>
        <w:tab w:val="left" w:pos="1260"/>
      </w:tabs>
      <w:ind w:left="360" w:hanging="360"/>
      <w:jc w:val="both"/>
    </w:pPr>
    <w:rPr>
      <w:sz w:val="24"/>
    </w:rPr>
  </w:style>
  <w:style w:type="paragraph" w:customStyle="1" w:styleId="1fffff6">
    <w:name w:val="公式样式1"/>
    <w:basedOn w:val="a2"/>
    <w:qFormat/>
    <w:pPr>
      <w:snapToGrid w:val="0"/>
      <w:jc w:val="center"/>
    </w:pPr>
    <w:rPr>
      <w:rFonts w:ascii="仿宋_GB2312" w:eastAsia="仿宋_GB2312"/>
    </w:rPr>
  </w:style>
  <w:style w:type="paragraph" w:customStyle="1" w:styleId="a32">
    <w:name w:val="a3"/>
    <w:basedOn w:val="a2"/>
    <w:qFormat/>
    <w:pPr>
      <w:spacing w:before="100" w:beforeAutospacing="1" w:after="100" w:afterAutospacing="1"/>
    </w:pPr>
    <w:rPr>
      <w:rFonts w:ascii="宋体" w:hAnsi="宋体"/>
      <w:color w:val="000000"/>
      <w:sz w:val="24"/>
    </w:rPr>
  </w:style>
  <w:style w:type="paragraph" w:customStyle="1" w:styleId="TableHead">
    <w:name w:val="Table Head"/>
    <w:basedOn w:val="a2"/>
    <w:uiPriority w:val="99"/>
    <w:qFormat/>
    <w:pPr>
      <w:spacing w:before="80" w:after="80"/>
      <w:jc w:val="center"/>
    </w:pPr>
    <w:rPr>
      <w:rFonts w:eastAsia="Times New Roman"/>
      <w:b/>
      <w:sz w:val="22"/>
      <w:lang w:eastAsia="en-US"/>
    </w:rPr>
  </w:style>
  <w:style w:type="paragraph" w:customStyle="1" w:styleId="xl738">
    <w:name w:val="xl738"/>
    <w:basedOn w:val="a2"/>
    <w:uiPriority w:val="99"/>
    <w:qFormat/>
    <w:pPr>
      <w:spacing w:before="100" w:beforeAutospacing="1" w:after="100" w:afterAutospacing="1"/>
      <w:textAlignment w:val="center"/>
    </w:pPr>
    <w:rPr>
      <w:rFonts w:ascii="Courier New" w:eastAsia="Arial Unicode MS" w:hAnsi="Courier New"/>
      <w:sz w:val="24"/>
    </w:rPr>
  </w:style>
  <w:style w:type="paragraph" w:customStyle="1" w:styleId="138">
    <w:name w:val="样式13"/>
    <w:basedOn w:val="a2"/>
    <w:uiPriority w:val="99"/>
    <w:qFormat/>
    <w:pPr>
      <w:spacing w:line="320" w:lineRule="exact"/>
      <w:jc w:val="center"/>
    </w:pPr>
    <w:rPr>
      <w:rFonts w:ascii="宋体" w:hAnsi="宋体"/>
      <w:sz w:val="24"/>
    </w:rPr>
  </w:style>
  <w:style w:type="paragraph" w:customStyle="1" w:styleId="CharCharChar2CharCharCharCharCharCharCharCharCharChar3">
    <w:name w:val="Char Char Char2 Char Char Char Char Char Char Char Char Char Char3"/>
    <w:basedOn w:val="a2"/>
    <w:uiPriority w:val="99"/>
    <w:qFormat/>
    <w:pPr>
      <w:jc w:val="both"/>
    </w:pPr>
  </w:style>
  <w:style w:type="paragraph" w:customStyle="1" w:styleId="4f1">
    <w:name w:val="4级标题"/>
    <w:basedOn w:val="aff7"/>
    <w:uiPriority w:val="99"/>
    <w:qFormat/>
    <w:pPr>
      <w:spacing w:before="60" w:line="440" w:lineRule="exact"/>
      <w:ind w:firstLine="425"/>
      <w:jc w:val="left"/>
      <w:outlineLvl w:val="3"/>
    </w:pPr>
    <w:rPr>
      <w:rFonts w:ascii="Times New Roman" w:hAnsi="Times New Roman"/>
      <w:sz w:val="24"/>
      <w:szCs w:val="24"/>
    </w:rPr>
  </w:style>
  <w:style w:type="paragraph" w:customStyle="1" w:styleId="1fffff7">
    <w:name w:val="列出段落1"/>
    <w:basedOn w:val="a2"/>
    <w:uiPriority w:val="99"/>
    <w:qFormat/>
    <w:pPr>
      <w:ind w:firstLineChars="200" w:firstLine="420"/>
      <w:jc w:val="both"/>
    </w:pPr>
    <w:rPr>
      <w:rFonts w:ascii="Calibri" w:hAnsi="Calibri"/>
      <w:szCs w:val="22"/>
    </w:rPr>
  </w:style>
  <w:style w:type="paragraph" w:customStyle="1" w:styleId="1fffff8">
    <w:name w:val="表中文字1"/>
    <w:qFormat/>
    <w:pPr>
      <w:widowControl w:val="0"/>
      <w:adjustRightInd w:val="0"/>
      <w:snapToGrid w:val="0"/>
      <w:spacing w:beforeLines="50" w:before="50" w:afterLines="50" w:after="50" w:line="360" w:lineRule="auto"/>
      <w:ind w:firstLineChars="40" w:firstLine="40"/>
      <w:jc w:val="center"/>
    </w:pPr>
    <w:rPr>
      <w:rFonts w:ascii="仿宋_GB2312" w:eastAsia="仿宋_GB2312" w:hAnsi="Times New Roman" w:cs="Times New Roman"/>
      <w:kern w:val="2"/>
      <w:sz w:val="24"/>
      <w:szCs w:val="24"/>
    </w:rPr>
  </w:style>
  <w:style w:type="paragraph" w:customStyle="1" w:styleId="afffffffffffffffff9">
    <w:name w:val="正"/>
    <w:basedOn w:val="22"/>
    <w:qFormat/>
    <w:pPr>
      <w:snapToGrid w:val="0"/>
      <w:spacing w:before="120" w:after="0" w:line="500" w:lineRule="exact"/>
    </w:pPr>
    <w:rPr>
      <w:rFonts w:ascii="Times New Roman" w:eastAsia="楷体" w:hAnsi="Times New Roman" w:cs="Times New Roman"/>
    </w:rPr>
  </w:style>
  <w:style w:type="paragraph" w:customStyle="1" w:styleId="69">
    <w:name w:val="6"/>
    <w:basedOn w:val="a2"/>
    <w:next w:val="25"/>
    <w:qFormat/>
    <w:pPr>
      <w:spacing w:line="500" w:lineRule="exact"/>
      <w:ind w:firstLineChars="200" w:firstLine="560"/>
    </w:pPr>
    <w:rPr>
      <w:rFonts w:ascii="仿宋_GB2312" w:eastAsia="仿宋_GB2312"/>
      <w:color w:val="000000"/>
    </w:rPr>
  </w:style>
  <w:style w:type="paragraph" w:customStyle="1" w:styleId="CharCharfffffe">
    <w:name w:val="页眉 Char Char"/>
    <w:basedOn w:val="a2"/>
    <w:qFormat/>
    <w:pPr>
      <w:tabs>
        <w:tab w:val="left" w:pos="4149"/>
        <w:tab w:val="left" w:pos="8016"/>
      </w:tabs>
      <w:spacing w:line="351" w:lineRule="atLeast"/>
      <w:ind w:firstLine="419"/>
      <w:jc w:val="center"/>
    </w:pPr>
    <w:rPr>
      <w:rFonts w:hAnsi="宋体"/>
      <w:sz w:val="18"/>
    </w:rPr>
  </w:style>
  <w:style w:type="paragraph" w:customStyle="1" w:styleId="Char1CharCharCharCharCharCharCharCharChar1CharCharCharCharCharChar">
    <w:name w:val="Char1 Char Char Char Char Char Char Char Char Char1 Char Char Char Char Char Char"/>
    <w:basedOn w:val="a2"/>
    <w:uiPriority w:val="99"/>
    <w:qFormat/>
    <w:pPr>
      <w:spacing w:before="100" w:beforeAutospacing="1" w:after="100" w:afterAutospacing="1"/>
      <w:ind w:firstLineChars="200" w:firstLine="200"/>
    </w:pPr>
    <w:rPr>
      <w:rFonts w:ascii="Verdana" w:eastAsia="仿宋_GB2312" w:hAnsi="Verdana"/>
      <w:sz w:val="20"/>
      <w:lang w:eastAsia="en-US"/>
    </w:rPr>
  </w:style>
  <w:style w:type="paragraph" w:customStyle="1" w:styleId="afffffffffffffffffa">
    <w:name w:val="正文 + 宋体 小四"/>
    <w:basedOn w:val="a2"/>
    <w:uiPriority w:val="99"/>
    <w:qFormat/>
    <w:pPr>
      <w:snapToGrid w:val="0"/>
      <w:spacing w:line="360" w:lineRule="auto"/>
      <w:jc w:val="both"/>
      <w:textAlignment w:val="baseline"/>
    </w:pPr>
    <w:rPr>
      <w:rFonts w:ascii="宋体" w:hAnsi="宋体" w:cs="华文行楷"/>
      <w:snapToGrid w:val="0"/>
      <w:sz w:val="24"/>
    </w:rPr>
  </w:style>
  <w:style w:type="paragraph" w:customStyle="1" w:styleId="xl88">
    <w:name w:val="xl88"/>
    <w:basedOn w:val="a2"/>
    <w:qFormat/>
    <w:pPr>
      <w:pBdr>
        <w:top w:val="single" w:sz="12" w:space="0" w:color="auto"/>
      </w:pBdr>
      <w:spacing w:before="100" w:beforeAutospacing="1" w:after="100" w:afterAutospacing="1"/>
      <w:jc w:val="center"/>
    </w:pPr>
    <w:rPr>
      <w:rFonts w:ascii="宋体" w:hAnsi="宋体" w:cs="宋体"/>
      <w:sz w:val="24"/>
    </w:rPr>
  </w:style>
  <w:style w:type="paragraph" w:customStyle="1" w:styleId="1fffff9">
    <w:name w:val="标题正1"/>
    <w:basedOn w:val="a2"/>
    <w:qFormat/>
    <w:pPr>
      <w:spacing w:before="60" w:after="60" w:line="500" w:lineRule="exact"/>
    </w:pPr>
    <w:rPr>
      <w:rFonts w:ascii="黑体" w:eastAsia="黑体"/>
      <w:sz w:val="32"/>
      <w:szCs w:val="28"/>
    </w:rPr>
  </w:style>
  <w:style w:type="paragraph" w:customStyle="1" w:styleId="Style42">
    <w:name w:val="_Style 4"/>
    <w:uiPriority w:val="1"/>
    <w:qFormat/>
    <w:pPr>
      <w:widowControl w:val="0"/>
      <w:jc w:val="center"/>
    </w:pPr>
    <w:rPr>
      <w:rFonts w:ascii="Times New Roman" w:eastAsia="宋体" w:hAnsi="Times New Roman" w:cs="Times New Roman"/>
      <w:kern w:val="2"/>
      <w:sz w:val="21"/>
      <w:szCs w:val="24"/>
    </w:rPr>
  </w:style>
  <w:style w:type="paragraph" w:customStyle="1" w:styleId="afffffffffffffffffb">
    <w:name w:val="环表"/>
    <w:basedOn w:val="a2"/>
    <w:qFormat/>
    <w:pPr>
      <w:tabs>
        <w:tab w:val="left" w:pos="5094"/>
      </w:tabs>
      <w:spacing w:before="120" w:after="120" w:line="312" w:lineRule="atLeast"/>
      <w:ind w:right="29"/>
      <w:jc w:val="center"/>
      <w:textAlignment w:val="baseline"/>
    </w:pPr>
    <w:rPr>
      <w:rFonts w:ascii="仿宋_GB2312" w:eastAsia="仿宋_GB2312" w:hAnsi="Courier New"/>
    </w:rPr>
  </w:style>
  <w:style w:type="paragraph" w:customStyle="1" w:styleId="xl755">
    <w:name w:val="xl755"/>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hint="eastAsia"/>
      <w:sz w:val="24"/>
    </w:rPr>
  </w:style>
  <w:style w:type="paragraph" w:customStyle="1" w:styleId="afffffffffffffffffc">
    <w:name w:val="表格下方正文"/>
    <w:basedOn w:val="50"/>
    <w:uiPriority w:val="99"/>
    <w:qFormat/>
    <w:pPr>
      <w:keepNext w:val="0"/>
      <w:keepLines w:val="0"/>
      <w:tabs>
        <w:tab w:val="clear" w:pos="1008"/>
      </w:tabs>
      <w:spacing w:before="400" w:after="0" w:line="460" w:lineRule="exact"/>
      <w:ind w:left="0" w:firstLineChars="200" w:firstLine="200"/>
      <w:jc w:val="both"/>
      <w:outlineLvl w:val="9"/>
    </w:pPr>
    <w:rPr>
      <w:b w:val="0"/>
      <w:bCs w:val="0"/>
      <w:sz w:val="24"/>
      <w:szCs w:val="24"/>
    </w:rPr>
  </w:style>
  <w:style w:type="paragraph" w:customStyle="1" w:styleId="CharCharCharCharCharCharCharCharCharCharCharCharCharCharChar0">
    <w:name w:val="Char Char Char Char Char Char Char Char Char Char Char Char Char Char Char"/>
    <w:basedOn w:val="a2"/>
    <w:qFormat/>
    <w:pPr>
      <w:spacing w:line="240" w:lineRule="exact"/>
      <w:ind w:firstLineChars="200" w:firstLine="200"/>
      <w:jc w:val="both"/>
    </w:pPr>
    <w:rPr>
      <w:szCs w:val="28"/>
    </w:rPr>
  </w:style>
  <w:style w:type="paragraph" w:customStyle="1" w:styleId="2fff4">
    <w:name w:val="正文文字 2"/>
    <w:basedOn w:val="a2"/>
    <w:qFormat/>
    <w:rPr>
      <w:szCs w:val="28"/>
    </w:rPr>
  </w:style>
  <w:style w:type="paragraph" w:customStyle="1" w:styleId="my1">
    <w:name w:val="my1"/>
    <w:basedOn w:val="13"/>
    <w:uiPriority w:val="99"/>
    <w:qFormat/>
    <w:pPr>
      <w:tabs>
        <w:tab w:val="left" w:pos="720"/>
        <w:tab w:val="right" w:leader="dot" w:pos="8296"/>
        <w:tab w:val="right" w:leader="dot" w:pos="8453"/>
      </w:tabs>
      <w:snapToGrid w:val="0"/>
      <w:spacing w:line="300" w:lineRule="auto"/>
      <w:ind w:left="720" w:hanging="720"/>
    </w:pPr>
    <w:rPr>
      <w:rFonts w:eastAsia="黑体"/>
      <w:b w:val="0"/>
      <w:caps w:val="0"/>
    </w:rPr>
  </w:style>
  <w:style w:type="paragraph" w:customStyle="1" w:styleId="TableTitle">
    <w:name w:val="Table Title"/>
    <w:basedOn w:val="a2"/>
    <w:qFormat/>
    <w:pPr>
      <w:widowControl/>
      <w:snapToGrid w:val="0"/>
      <w:spacing w:beforeLines="50" w:before="156" w:afterLines="50" w:after="156" w:line="400" w:lineRule="exact"/>
      <w:jc w:val="center"/>
    </w:pPr>
    <w:rPr>
      <w:sz w:val="24"/>
    </w:rPr>
  </w:style>
  <w:style w:type="paragraph" w:customStyle="1" w:styleId="afffffffffffffffffd">
    <w:name w:val="图头"/>
    <w:basedOn w:val="affffffff5"/>
    <w:qFormat/>
    <w:pPr>
      <w:snapToGrid w:val="0"/>
      <w:spacing w:beforeLines="50" w:before="156" w:afterLines="30" w:after="93" w:line="300" w:lineRule="auto"/>
      <w:ind w:left="562" w:hangingChars="200" w:hanging="562"/>
    </w:pPr>
    <w:rPr>
      <w:rFonts w:eastAsia="仿宋_GB2312"/>
      <w:b/>
      <w:sz w:val="28"/>
    </w:rPr>
  </w:style>
  <w:style w:type="paragraph" w:customStyle="1" w:styleId="1fffffa">
    <w:name w:val="正文文本缩进1"/>
    <w:basedOn w:val="a2"/>
    <w:uiPriority w:val="99"/>
    <w:qFormat/>
    <w:pPr>
      <w:spacing w:after="120"/>
      <w:ind w:leftChars="200" w:left="420"/>
      <w:jc w:val="both"/>
    </w:pPr>
    <w:rPr>
      <w:rFonts w:ascii="Calibri" w:hAnsi="Calibri"/>
    </w:rPr>
  </w:style>
  <w:style w:type="paragraph" w:customStyle="1" w:styleId="21202">
    <w:name w:val="样式 样式 首行缩进:  2 字符1 + 首行缩进:  2 字符 段前: 0.2 行"/>
    <w:basedOn w:val="a2"/>
    <w:uiPriority w:val="99"/>
    <w:qFormat/>
    <w:pPr>
      <w:spacing w:line="440" w:lineRule="exact"/>
      <w:ind w:firstLineChars="200" w:firstLine="200"/>
      <w:jc w:val="both"/>
    </w:pPr>
    <w:rPr>
      <w:sz w:val="24"/>
    </w:rPr>
  </w:style>
  <w:style w:type="paragraph" w:customStyle="1" w:styleId="y">
    <w:name w:val="y表格"/>
    <w:basedOn w:val="af4"/>
    <w:qFormat/>
    <w:pPr>
      <w:widowControl/>
      <w:snapToGrid w:val="0"/>
      <w:spacing w:after="0"/>
      <w:jc w:val="center"/>
    </w:pPr>
    <w:rPr>
      <w:rFonts w:ascii="宋体" w:hAnsi="宋体"/>
      <w:kern w:val="0"/>
      <w:sz w:val="24"/>
    </w:rPr>
  </w:style>
  <w:style w:type="paragraph" w:customStyle="1" w:styleId="xl32">
    <w:name w:val="xl32"/>
    <w:basedOn w:val="a2"/>
    <w:qFormat/>
    <w:pPr>
      <w:widowControl/>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eastAsia="Arial Unicode MS"/>
      <w:sz w:val="24"/>
    </w:rPr>
  </w:style>
  <w:style w:type="paragraph" w:customStyle="1" w:styleId="xl33">
    <w:name w:val="xl33"/>
    <w:basedOn w:val="a2"/>
    <w:qFormat/>
    <w:pPr>
      <w:widowControl/>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758">
    <w:name w:val="xl758"/>
    <w:basedOn w:val="a2"/>
    <w:uiPriority w:val="99"/>
    <w:qFormat/>
    <w:pPr>
      <w:spacing w:before="100" w:beforeAutospacing="1" w:after="100" w:afterAutospacing="1"/>
      <w:textAlignment w:val="center"/>
    </w:pPr>
    <w:rPr>
      <w:rFonts w:ascii="Arial Unicode MS" w:eastAsia="Arial Unicode MS" w:hAnsi="Arial Unicode MS"/>
      <w:sz w:val="24"/>
    </w:rPr>
  </w:style>
  <w:style w:type="paragraph" w:customStyle="1" w:styleId="1111">
    <w:name w:val="1111"/>
    <w:basedOn w:val="12"/>
    <w:uiPriority w:val="99"/>
    <w:qFormat/>
    <w:pPr>
      <w:keepNext w:val="0"/>
      <w:keepLines w:val="0"/>
      <w:tabs>
        <w:tab w:val="left" w:pos="432"/>
      </w:tabs>
      <w:spacing w:beforeLines="100" w:before="360" w:afterLines="100" w:after="312"/>
      <w:ind w:left="431" w:hanging="431"/>
      <w:textAlignment w:val="auto"/>
    </w:pPr>
    <w:rPr>
      <w:b/>
      <w:sz w:val="36"/>
      <w:szCs w:val="44"/>
    </w:rPr>
  </w:style>
  <w:style w:type="paragraph" w:customStyle="1" w:styleId="BodyTextIndent21">
    <w:name w:val="Body Text Indent 21"/>
    <w:basedOn w:val="a2"/>
    <w:qFormat/>
    <w:pPr>
      <w:spacing w:line="360" w:lineRule="auto"/>
      <w:ind w:firstLine="600"/>
      <w:textAlignment w:val="baseline"/>
    </w:pPr>
    <w:rPr>
      <w:rFonts w:eastAsia="仿宋_GB2312"/>
    </w:rPr>
  </w:style>
  <w:style w:type="paragraph" w:customStyle="1" w:styleId="Char4CharCharCharCharCharCharCharCharCharCharChar">
    <w:name w:val="Char4 Char Char Char Char Char Char Char Char Char Char Char"/>
    <w:basedOn w:val="a2"/>
    <w:uiPriority w:val="99"/>
    <w:qFormat/>
    <w:pPr>
      <w:tabs>
        <w:tab w:val="left" w:pos="980"/>
      </w:tabs>
      <w:jc w:val="both"/>
    </w:pPr>
    <w:rPr>
      <w:sz w:val="24"/>
    </w:rPr>
  </w:style>
  <w:style w:type="paragraph" w:customStyle="1" w:styleId="c">
    <w:name w:val="c_"/>
    <w:uiPriority w:val="99"/>
    <w:qFormat/>
    <w:pPr>
      <w:widowControl w:val="0"/>
      <w:autoSpaceDE w:val="0"/>
      <w:autoSpaceDN w:val="0"/>
      <w:adjustRightInd w:val="0"/>
      <w:jc w:val="both"/>
    </w:pPr>
    <w:rPr>
      <w:rFonts w:ascii="五" w:eastAsia="五" w:hAnsi="Times New Roman" w:cs="Times New Roman"/>
      <w:sz w:val="24"/>
    </w:rPr>
  </w:style>
  <w:style w:type="paragraph" w:customStyle="1" w:styleId="2fff5">
    <w:name w:val="无间隔2"/>
    <w:next w:val="a2"/>
    <w:uiPriority w:val="99"/>
    <w:qFormat/>
    <w:pPr>
      <w:widowControl w:val="0"/>
      <w:jc w:val="both"/>
    </w:pPr>
    <w:rPr>
      <w:rFonts w:ascii="Times New Roman" w:eastAsia="宋体" w:hAnsi="Times New Roman" w:cs="Times New Roman"/>
      <w:kern w:val="2"/>
      <w:sz w:val="21"/>
      <w:szCs w:val="21"/>
    </w:rPr>
  </w:style>
  <w:style w:type="paragraph" w:customStyle="1" w:styleId="afffffffffffffffffe">
    <w:name w:val="图题注"/>
    <w:basedOn w:val="ac"/>
    <w:uiPriority w:val="99"/>
    <w:qFormat/>
    <w:pPr>
      <w:jc w:val="center"/>
    </w:pPr>
    <w:rPr>
      <w:rFonts w:ascii="黑体" w:hAnsi="Arial" w:cs="宋体"/>
      <w:b/>
      <w:bCs/>
      <w:sz w:val="24"/>
      <w:szCs w:val="24"/>
    </w:rPr>
  </w:style>
  <w:style w:type="paragraph" w:customStyle="1" w:styleId="affffffffffffffffff">
    <w:name w:val="表格一"/>
    <w:basedOn w:val="a2"/>
    <w:qFormat/>
    <w:pPr>
      <w:keepNext/>
      <w:keepLines/>
      <w:jc w:val="center"/>
      <w:textAlignment w:val="baseline"/>
    </w:pPr>
    <w:rPr>
      <w:sz w:val="24"/>
    </w:rPr>
  </w:style>
  <w:style w:type="paragraph" w:customStyle="1" w:styleId="affffffffffffffffff0">
    <w:name w:val="佛表"/>
    <w:basedOn w:val="aff2"/>
    <w:uiPriority w:val="99"/>
    <w:qFormat/>
    <w:pPr>
      <w:spacing w:line="0" w:lineRule="atLeast"/>
      <w:jc w:val="both"/>
    </w:pPr>
    <w:rPr>
      <w:rFonts w:ascii="宋体" w:eastAsia="宋体" w:hAnsi="宋体"/>
      <w:sz w:val="21"/>
      <w:szCs w:val="24"/>
    </w:rPr>
  </w:style>
  <w:style w:type="paragraph" w:customStyle="1" w:styleId="3ff5">
    <w:name w:val="(文字) (文字)3"/>
    <w:basedOn w:val="a2"/>
    <w:uiPriority w:val="99"/>
    <w:qFormat/>
    <w:pPr>
      <w:jc w:val="both"/>
    </w:pPr>
  </w:style>
  <w:style w:type="paragraph" w:customStyle="1" w:styleId="Char1CharCharCharCharCharChar1">
    <w:name w:val="Char1 Char Char Char Char Char Char1"/>
    <w:basedOn w:val="a2"/>
    <w:next w:val="a2"/>
    <w:pPr>
      <w:spacing w:line="360" w:lineRule="auto"/>
      <w:ind w:firstLineChars="200" w:firstLine="200"/>
      <w:jc w:val="center"/>
    </w:pPr>
    <w:rPr>
      <w:rFonts w:eastAsia="黑体"/>
    </w:rPr>
  </w:style>
  <w:style w:type="paragraph" w:customStyle="1" w:styleId="GB231200">
    <w:name w:val="样式 (中文) 仿宋_GB2312 四号 首行缩进:  0 厘米"/>
    <w:basedOn w:val="a2"/>
    <w:uiPriority w:val="99"/>
    <w:qFormat/>
    <w:pPr>
      <w:ind w:firstLine="2"/>
      <w:jc w:val="both"/>
    </w:pPr>
    <w:rPr>
      <w:rFonts w:ascii="仿宋_GB2312" w:eastAsia="仿宋_GB2312" w:hAnsi="仿宋_GB2312" w:cs="仿宋_GB2312"/>
      <w:szCs w:val="28"/>
    </w:rPr>
  </w:style>
  <w:style w:type="paragraph" w:customStyle="1" w:styleId="Char2CharChar1CharCharChar">
    <w:name w:val="Char2 Char Char1 Char Char Char"/>
    <w:basedOn w:val="a2"/>
    <w:uiPriority w:val="99"/>
    <w:qFormat/>
    <w:pPr>
      <w:jc w:val="both"/>
    </w:pPr>
    <w:rPr>
      <w:sz w:val="24"/>
    </w:rPr>
  </w:style>
  <w:style w:type="paragraph" w:customStyle="1" w:styleId="Formatvorlage5">
    <w:name w:val="Formatvorlage5"/>
    <w:basedOn w:val="aff7"/>
    <w:uiPriority w:val="99"/>
    <w:qFormat/>
    <w:pPr>
      <w:spacing w:line="360" w:lineRule="auto"/>
      <w:ind w:firstLine="709"/>
      <w:textAlignment w:val="baseline"/>
      <w:outlineLvl w:val="9"/>
    </w:pPr>
    <w:rPr>
      <w:rFonts w:ascii="CorpoSLig" w:hAnsi="CorpoSLig"/>
      <w:bCs w:val="0"/>
      <w:kern w:val="28"/>
      <w:sz w:val="36"/>
      <w:szCs w:val="20"/>
      <w:lang w:val="en-GB"/>
    </w:rPr>
  </w:style>
  <w:style w:type="paragraph" w:customStyle="1" w:styleId="2111">
    <w:name w:val="正文文本缩进 211"/>
    <w:basedOn w:val="a2"/>
    <w:uiPriority w:val="99"/>
    <w:qFormat/>
    <w:pPr>
      <w:spacing w:after="120" w:line="480" w:lineRule="auto"/>
      <w:ind w:left="420"/>
      <w:jc w:val="both"/>
    </w:pPr>
    <w:rPr>
      <w:rFonts w:ascii="宋体" w:hAnsi="宋体"/>
      <w:sz w:val="24"/>
    </w:rPr>
  </w:style>
  <w:style w:type="paragraph" w:customStyle="1" w:styleId="GB23124">
    <w:name w:val="样式 楷体_GB2312 居中"/>
    <w:basedOn w:val="a2"/>
    <w:uiPriority w:val="99"/>
    <w:qFormat/>
    <w:pPr>
      <w:spacing w:line="360" w:lineRule="auto"/>
      <w:jc w:val="center"/>
    </w:pPr>
    <w:rPr>
      <w:rFonts w:ascii="楷体_GB2312"/>
    </w:rPr>
  </w:style>
  <w:style w:type="paragraph" w:customStyle="1" w:styleId="CharCharCharCharCharCharChar20">
    <w:name w:val="样式 正文缩进文本条款表格标题正文（首行缩进两字） Char Char Char Char Char Char Char...2"/>
    <w:basedOn w:val="a3"/>
    <w:uiPriority w:val="99"/>
    <w:qFormat/>
    <w:pPr>
      <w:tabs>
        <w:tab w:val="left" w:pos="283"/>
      </w:tabs>
      <w:snapToGrid w:val="0"/>
      <w:spacing w:line="500" w:lineRule="atLeast"/>
      <w:ind w:firstLine="200"/>
      <w:jc w:val="both"/>
    </w:pPr>
    <w:rPr>
      <w:rFonts w:cs="宋体"/>
      <w:sz w:val="28"/>
    </w:rPr>
  </w:style>
  <w:style w:type="paragraph" w:customStyle="1" w:styleId="0772032">
    <w:name w:val="样式 首行缩进:  0.77 厘米 行距: 固定值 20 磅32"/>
    <w:basedOn w:val="a2"/>
    <w:uiPriority w:val="99"/>
    <w:qFormat/>
    <w:pPr>
      <w:spacing w:line="360" w:lineRule="auto"/>
      <w:ind w:firstLine="435"/>
      <w:jc w:val="both"/>
    </w:pPr>
    <w:rPr>
      <w:rFonts w:cs="宋体"/>
      <w:sz w:val="24"/>
    </w:rPr>
  </w:style>
  <w:style w:type="paragraph" w:customStyle="1" w:styleId="HTML110">
    <w:name w:val="HTML 预设格式11"/>
    <w:basedOn w:val="a2"/>
    <w:uiPriority w:val="99"/>
    <w:qFormat/>
    <w:pPr>
      <w:jc w:val="both"/>
    </w:pPr>
    <w:rPr>
      <w:rFonts w:ascii="Courier New" w:hAnsi="Courier New"/>
      <w:szCs w:val="22"/>
    </w:rPr>
  </w:style>
  <w:style w:type="paragraph" w:customStyle="1" w:styleId="xl57">
    <w:name w:val="xl57"/>
    <w:basedOn w:val="a2"/>
    <w:qFormat/>
    <w:pPr>
      <w:widowControl/>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12a">
    <w:name w:val="日期12"/>
    <w:basedOn w:val="a2"/>
    <w:next w:val="a2"/>
    <w:uiPriority w:val="99"/>
    <w:qFormat/>
    <w:pPr>
      <w:snapToGrid w:val="0"/>
      <w:spacing w:before="120" w:after="120" w:line="360" w:lineRule="auto"/>
      <w:ind w:firstLineChars="200" w:firstLine="200"/>
      <w:jc w:val="both"/>
    </w:pPr>
    <w:rPr>
      <w:sz w:val="24"/>
    </w:rPr>
  </w:style>
  <w:style w:type="paragraph" w:customStyle="1" w:styleId="3ff6">
    <w:name w:val="表格文字3"/>
    <w:basedOn w:val="a2"/>
    <w:uiPriority w:val="99"/>
    <w:qFormat/>
    <w:pPr>
      <w:jc w:val="center"/>
    </w:pPr>
    <w:rPr>
      <w:rFonts w:ascii="宋体" w:hAnsi="宋体"/>
      <w:snapToGrid w:val="0"/>
    </w:rPr>
  </w:style>
  <w:style w:type="paragraph" w:customStyle="1" w:styleId="CharCharChar1CharCharCharCharCharCharChar">
    <w:name w:val="Char Char Char1 Char Char Char Char Char Char Char"/>
    <w:basedOn w:val="a2"/>
    <w:qFormat/>
  </w:style>
  <w:style w:type="paragraph" w:customStyle="1" w:styleId="CM5">
    <w:name w:val="CM5"/>
    <w:basedOn w:val="Default"/>
    <w:next w:val="Default"/>
    <w:uiPriority w:val="99"/>
    <w:qFormat/>
    <w:pPr>
      <w:spacing w:beforeLines="0" w:before="0" w:afterLines="0" w:after="0" w:line="240" w:lineRule="auto"/>
      <w:ind w:firstLineChars="0" w:firstLine="0"/>
    </w:pPr>
    <w:rPr>
      <w:rFonts w:ascii="新宋体" w:eastAsia="新宋体" w:cs="Times New Roman"/>
      <w:color w:val="auto"/>
    </w:rPr>
  </w:style>
  <w:style w:type="paragraph" w:customStyle="1" w:styleId="CharCharCharCharCharCharCharCharChar1CharCharChar">
    <w:name w:val="Char Char Char Char Char Char Char Char Char1 Char Char Char"/>
    <w:basedOn w:val="a2"/>
    <w:uiPriority w:val="99"/>
    <w:qFormat/>
    <w:pPr>
      <w:jc w:val="both"/>
    </w:pPr>
    <w:rPr>
      <w:sz w:val="24"/>
    </w:rPr>
  </w:style>
  <w:style w:type="paragraph" w:customStyle="1" w:styleId="1h1H1PIM1111SectionHeadHeader11stlevell11">
    <w:name w:val="样式 标题 1h1H1PIM 1标书11.标题 1Section HeadHeader11st levell1...1"/>
    <w:basedOn w:val="12"/>
    <w:qFormat/>
    <w:pPr>
      <w:tabs>
        <w:tab w:val="left" w:pos="1155"/>
      </w:tabs>
      <w:spacing w:before="360" w:after="360" w:line="500" w:lineRule="exact"/>
      <w:textAlignment w:val="auto"/>
    </w:pPr>
    <w:rPr>
      <w:rFonts w:ascii="宋体" w:eastAsia="宋体" w:hAnsi="宋体"/>
      <w:b/>
      <w:color w:val="000000"/>
      <w:sz w:val="28"/>
      <w:szCs w:val="44"/>
    </w:rPr>
  </w:style>
  <w:style w:type="paragraph" w:customStyle="1" w:styleId="5f">
    <w:name w:val="表内5"/>
    <w:basedOn w:val="50"/>
    <w:uiPriority w:val="99"/>
    <w:qFormat/>
    <w:pPr>
      <w:keepNext w:val="0"/>
      <w:keepLines w:val="0"/>
      <w:tabs>
        <w:tab w:val="clear" w:pos="1008"/>
        <w:tab w:val="left" w:pos="4305"/>
      </w:tabs>
      <w:snapToGrid w:val="0"/>
      <w:spacing w:before="0" w:after="0" w:line="240" w:lineRule="auto"/>
      <w:ind w:leftChars="-51" w:left="0" w:rightChars="-51" w:right="-107" w:hangingChars="51" w:hanging="107"/>
      <w:jc w:val="center"/>
      <w:outlineLvl w:val="9"/>
    </w:pPr>
    <w:rPr>
      <w:b w:val="0"/>
      <w:bCs w:val="0"/>
      <w:szCs w:val="21"/>
    </w:rPr>
  </w:style>
  <w:style w:type="paragraph" w:customStyle="1" w:styleId="1112">
    <w:name w:val="正文111"/>
    <w:basedOn w:val="a2"/>
    <w:uiPriority w:val="99"/>
    <w:qFormat/>
    <w:pPr>
      <w:spacing w:line="360" w:lineRule="auto"/>
      <w:jc w:val="both"/>
      <w:textAlignment w:val="baseline"/>
    </w:pPr>
    <w:rPr>
      <w:rFonts w:eastAsia="仿宋_GB2312"/>
      <w:b/>
      <w:spacing w:val="10"/>
      <w:szCs w:val="28"/>
    </w:rPr>
  </w:style>
  <w:style w:type="paragraph" w:customStyle="1" w:styleId="affffffffffffffffff1">
    <w:name w:val="样式 表名"/>
    <w:basedOn w:val="a2"/>
    <w:uiPriority w:val="99"/>
    <w:qFormat/>
    <w:pPr>
      <w:spacing w:after="60" w:line="560" w:lineRule="exact"/>
      <w:ind w:firstLineChars="100" w:firstLine="100"/>
    </w:pPr>
    <w:rPr>
      <w:rFonts w:eastAsia="黑体" w:hAnsi="Arial" w:cs="宋体"/>
      <w:snapToGrid w:val="0"/>
      <w:sz w:val="24"/>
    </w:rPr>
  </w:style>
  <w:style w:type="paragraph" w:customStyle="1" w:styleId="charcharcharrgb00160charchar1">
    <w:name w:val="charcharcharrgb00160charchar1"/>
    <w:basedOn w:val="a2"/>
    <w:qFormat/>
    <w:pPr>
      <w:widowControl/>
      <w:spacing w:before="100" w:beforeAutospacing="1" w:after="100" w:afterAutospacing="1"/>
    </w:pPr>
    <w:rPr>
      <w:rFonts w:ascii="宋体" w:hAnsi="宋体" w:cs="宋体"/>
      <w:sz w:val="24"/>
    </w:rPr>
  </w:style>
  <w:style w:type="paragraph" w:customStyle="1" w:styleId="2fff6">
    <w:name w:val="样式 首行缩进 + 四号 首行缩进:  2 字符 行距: 单倍行距"/>
    <w:basedOn w:val="afffffffffffffffff2"/>
    <w:uiPriority w:val="99"/>
    <w:qFormat/>
    <w:pPr>
      <w:snapToGrid w:val="0"/>
      <w:ind w:firstLine="560"/>
      <w:jc w:val="both"/>
    </w:pPr>
    <w:rPr>
      <w:sz w:val="28"/>
      <w:szCs w:val="28"/>
    </w:rPr>
  </w:style>
  <w:style w:type="paragraph" w:customStyle="1" w:styleId="xl99">
    <w:name w:val="xl99"/>
    <w:basedOn w:val="a2"/>
    <w:qFormat/>
    <w:pPr>
      <w:pBdr>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4H4H412">
    <w:name w:val="样式 标题 4四H4H41 + 首行缩进:  2 字符"/>
    <w:basedOn w:val="41"/>
    <w:uiPriority w:val="99"/>
    <w:qFormat/>
    <w:pPr>
      <w:spacing w:afterLines="50" w:after="156"/>
      <w:ind w:leftChars="0" w:left="0" w:rightChars="0" w:right="0"/>
      <w:jc w:val="both"/>
    </w:pPr>
    <w:rPr>
      <w:rFonts w:ascii="Arial" w:eastAsia="宋体" w:hAnsi="Arial" w:cs="宋体"/>
      <w:b/>
      <w:snapToGrid w:val="0"/>
      <w:sz w:val="24"/>
      <w:szCs w:val="20"/>
    </w:rPr>
  </w:style>
  <w:style w:type="paragraph" w:customStyle="1" w:styleId="Char1CharCharChar1CharCharChar">
    <w:name w:val="Char1 Char Char Char1 Char Char Char"/>
    <w:basedOn w:val="a2"/>
    <w:uiPriority w:val="99"/>
    <w:qFormat/>
    <w:pPr>
      <w:spacing w:line="360" w:lineRule="auto"/>
      <w:ind w:firstLineChars="200" w:firstLine="200"/>
      <w:jc w:val="both"/>
    </w:pPr>
  </w:style>
  <w:style w:type="paragraph" w:customStyle="1" w:styleId="CharChar35">
    <w:name w:val="Char Char35"/>
    <w:basedOn w:val="a2"/>
    <w:uiPriority w:val="99"/>
    <w:qFormat/>
    <w:pPr>
      <w:ind w:firstLineChars="200" w:firstLine="200"/>
      <w:jc w:val="both"/>
    </w:pPr>
    <w:rPr>
      <w:rFonts w:ascii="Times New Roman"/>
    </w:rPr>
  </w:style>
  <w:style w:type="paragraph" w:customStyle="1" w:styleId="1fffffb">
    <w:name w:val="表标题1"/>
    <w:basedOn w:val="a2"/>
    <w:next w:val="a2"/>
    <w:uiPriority w:val="99"/>
    <w:qFormat/>
    <w:pPr>
      <w:spacing w:beforeLines="50" w:before="156" w:after="120" w:line="300" w:lineRule="auto"/>
      <w:jc w:val="center"/>
    </w:pPr>
    <w:rPr>
      <w:sz w:val="24"/>
    </w:rPr>
  </w:style>
  <w:style w:type="paragraph" w:customStyle="1" w:styleId="xl49">
    <w:name w:val="xl4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color w:val="000000"/>
      <w:sz w:val="24"/>
    </w:rPr>
  </w:style>
  <w:style w:type="paragraph" w:customStyle="1" w:styleId="xl54">
    <w:name w:val="xl54"/>
    <w:basedOn w:val="a2"/>
    <w:qFormat/>
    <w:pPr>
      <w:widowControl/>
      <w:pBdr>
        <w:left w:val="single" w:sz="8" w:space="0" w:color="auto"/>
        <w:bottom w:val="single" w:sz="4" w:space="0" w:color="auto"/>
      </w:pBdr>
      <w:spacing w:before="100" w:beforeAutospacing="1" w:after="100" w:afterAutospacing="1"/>
    </w:pPr>
    <w:rPr>
      <w:rFonts w:ascii="Arial Unicode MS" w:eastAsia="Arial Unicode MS" w:hAnsi="Arial Unicode MS" w:cs="Arial Unicode MS"/>
      <w:b/>
      <w:bCs/>
      <w:sz w:val="24"/>
    </w:rPr>
  </w:style>
  <w:style w:type="paragraph" w:customStyle="1" w:styleId="Char4CharCharChar">
    <w:name w:val="Char4 Char Char Char"/>
    <w:basedOn w:val="a2"/>
    <w:uiPriority w:val="99"/>
    <w:qFormat/>
    <w:pPr>
      <w:jc w:val="both"/>
    </w:pPr>
    <w:rPr>
      <w:sz w:val="24"/>
    </w:rPr>
  </w:style>
  <w:style w:type="paragraph" w:customStyle="1" w:styleId="3ff7">
    <w:name w:val="报告标3"/>
    <w:basedOn w:val="a2"/>
    <w:uiPriority w:val="99"/>
    <w:qFormat/>
    <w:pPr>
      <w:snapToGrid w:val="0"/>
      <w:spacing w:line="300" w:lineRule="auto"/>
      <w:ind w:firstLineChars="200" w:firstLine="200"/>
      <w:jc w:val="both"/>
    </w:pPr>
    <w:rPr>
      <w:rFonts w:ascii="宋体"/>
      <w:snapToGrid w:val="0"/>
    </w:rPr>
  </w:style>
  <w:style w:type="paragraph" w:customStyle="1" w:styleId="170">
    <w:name w:val="17"/>
    <w:basedOn w:val="a2"/>
    <w:next w:val="39"/>
    <w:qFormat/>
    <w:pPr>
      <w:spacing w:line="500" w:lineRule="exact"/>
      <w:ind w:firstLineChars="200" w:firstLine="560"/>
      <w:jc w:val="both"/>
    </w:pPr>
    <w:rPr>
      <w:rFonts w:ascii="仿宋_GB2312" w:eastAsia="仿宋_GB2312"/>
    </w:rPr>
  </w:style>
  <w:style w:type="paragraph" w:customStyle="1" w:styleId="3ff8">
    <w:name w:val="标3"/>
    <w:basedOn w:val="32"/>
    <w:next w:val="a2"/>
    <w:pPr>
      <w:spacing w:beforeLines="50" w:after="0" w:line="360" w:lineRule="auto"/>
      <w:ind w:firstLineChars="200" w:firstLine="560"/>
      <w:jc w:val="both"/>
      <w:textAlignment w:val="baseline"/>
      <w:outlineLvl w:val="9"/>
    </w:pPr>
    <w:rPr>
      <w:rFonts w:ascii="Times New Roman" w:eastAsia="黑体"/>
      <w:b w:val="0"/>
      <w:bCs w:val="0"/>
      <w:sz w:val="28"/>
      <w:szCs w:val="20"/>
    </w:rPr>
  </w:style>
  <w:style w:type="paragraph" w:customStyle="1" w:styleId="2242">
    <w:name w:val="样式 样式 样式 样式 样式 样式 样式 正文文字缩进 2 + 行距: 固定值 24 磅 + 首行缩进:  2 字符 + 首行缩..."/>
    <w:basedOn w:val="a2"/>
    <w:uiPriority w:val="99"/>
    <w:qFormat/>
    <w:pPr>
      <w:spacing w:line="360" w:lineRule="auto"/>
      <w:ind w:firstLineChars="200" w:firstLine="720"/>
      <w:jc w:val="both"/>
    </w:pPr>
    <w:rPr>
      <w:sz w:val="44"/>
    </w:rPr>
  </w:style>
  <w:style w:type="paragraph" w:customStyle="1" w:styleId="2fff7">
    <w:name w:val="正文(首行缩进2字)"/>
    <w:basedOn w:val="a2"/>
    <w:uiPriority w:val="99"/>
    <w:qFormat/>
    <w:pPr>
      <w:overflowPunct w:val="0"/>
      <w:snapToGrid w:val="0"/>
      <w:spacing w:before="60" w:after="60" w:line="300" w:lineRule="auto"/>
      <w:ind w:firstLineChars="200" w:firstLine="200"/>
      <w:jc w:val="both"/>
      <w:textAlignment w:val="baseline"/>
    </w:pPr>
    <w:rPr>
      <w:sz w:val="24"/>
    </w:rPr>
  </w:style>
  <w:style w:type="paragraph" w:customStyle="1" w:styleId="3ff9">
    <w:name w:val="范式3"/>
    <w:basedOn w:val="32"/>
    <w:uiPriority w:val="99"/>
    <w:qFormat/>
    <w:pPr>
      <w:spacing w:before="120" w:after="120" w:line="500" w:lineRule="exact"/>
      <w:textAlignment w:val="baseline"/>
    </w:pPr>
    <w:rPr>
      <w:rFonts w:ascii="Times New Roman" w:eastAsia="黑体"/>
      <w:b w:val="0"/>
      <w:bCs w:val="0"/>
      <w:spacing w:val="20"/>
      <w:sz w:val="30"/>
      <w:szCs w:val="20"/>
    </w:rPr>
  </w:style>
  <w:style w:type="paragraph" w:customStyle="1" w:styleId="affffffffffffffffff2">
    <w:name w:val="样式表格内字体"/>
    <w:basedOn w:val="a2"/>
    <w:qFormat/>
    <w:pPr>
      <w:spacing w:line="400" w:lineRule="exact"/>
      <w:jc w:val="center"/>
    </w:pPr>
    <w:rPr>
      <w:rFonts w:eastAsia="仿宋_GB2312" w:cs="宋体"/>
      <w:sz w:val="24"/>
    </w:rPr>
  </w:style>
  <w:style w:type="paragraph" w:customStyle="1" w:styleId="11">
    <w:name w:val="陈标题1"/>
    <w:basedOn w:val="a2"/>
    <w:next w:val="a2"/>
    <w:uiPriority w:val="99"/>
    <w:qFormat/>
    <w:pPr>
      <w:numPr>
        <w:numId w:val="4"/>
      </w:numPr>
      <w:spacing w:line="360" w:lineRule="auto"/>
      <w:ind w:rightChars="45" w:right="94"/>
      <w:jc w:val="both"/>
      <w:outlineLvl w:val="0"/>
    </w:pPr>
    <w:rPr>
      <w:b/>
      <w:sz w:val="44"/>
      <w:szCs w:val="48"/>
    </w:rPr>
  </w:style>
  <w:style w:type="paragraph" w:customStyle="1" w:styleId="CM66">
    <w:name w:val="CM66"/>
    <w:basedOn w:val="Default"/>
    <w:next w:val="Default"/>
    <w:pPr>
      <w:spacing w:beforeLines="0" w:before="0" w:afterLines="0" w:after="0" w:line="500" w:lineRule="atLeast"/>
      <w:ind w:firstLineChars="0" w:firstLine="0"/>
      <w:jc w:val="both"/>
    </w:pPr>
    <w:rPr>
      <w:rFonts w:ascii="黑体" w:eastAsia="黑体" w:cs="Times New Roman"/>
      <w:color w:val="auto"/>
    </w:rPr>
  </w:style>
  <w:style w:type="paragraph" w:customStyle="1" w:styleId="1111CharCharCharChar111Char">
    <w:name w:val="样式 标题 11.标题 1一、标题 1 Char Char Char Char1 南陵标题 1标题 1 Char标题..."/>
    <w:basedOn w:val="12"/>
    <w:uiPriority w:val="99"/>
    <w:qFormat/>
    <w:pPr>
      <w:tabs>
        <w:tab w:val="left" w:pos="0"/>
      </w:tabs>
      <w:snapToGrid w:val="0"/>
      <w:spacing w:beforeLines="100" w:before="312" w:line="240" w:lineRule="auto"/>
      <w:textAlignment w:val="bottom"/>
    </w:pPr>
    <w:rPr>
      <w:rFonts w:ascii="Arial" w:eastAsia="宋体" w:cs="Arial"/>
      <w:b/>
      <w:bCs w:val="0"/>
      <w:color w:val="000000"/>
      <w:sz w:val="28"/>
      <w:szCs w:val="44"/>
    </w:rPr>
  </w:style>
  <w:style w:type="paragraph" w:customStyle="1" w:styleId="affffffffffffffffff3">
    <w:name w:val="多行表格样式(居中)"/>
    <w:uiPriority w:val="99"/>
    <w:qFormat/>
    <w:pPr>
      <w:spacing w:line="240" w:lineRule="exact"/>
      <w:jc w:val="center"/>
    </w:pPr>
    <w:rPr>
      <w:rFonts w:ascii="Times New Roman" w:eastAsia="宋体" w:hAnsi="Times New Roman" w:cs="Times New Roman"/>
      <w:kern w:val="2"/>
      <w:sz w:val="21"/>
      <w:szCs w:val="28"/>
    </w:rPr>
  </w:style>
  <w:style w:type="paragraph" w:customStyle="1" w:styleId="2121213">
    <w:name w:val="样式 标题 2 + 两端对齐 段前: 12 磅 段后: 12 磅 行距: 多倍行距 1.3 字行"/>
    <w:basedOn w:val="22"/>
    <w:uiPriority w:val="99"/>
    <w:qFormat/>
    <w:pPr>
      <w:keepNext w:val="0"/>
      <w:keepLines w:val="0"/>
      <w:tabs>
        <w:tab w:val="left" w:pos="432"/>
      </w:tabs>
      <w:spacing w:before="120" w:after="120" w:line="312" w:lineRule="auto"/>
      <w:ind w:left="432" w:hanging="432"/>
      <w:textAlignment w:val="baseline"/>
    </w:pPr>
    <w:rPr>
      <w:rFonts w:ascii="Times New Roman" w:eastAsia="仿宋_GB2312" w:hAnsi="Times New Roman" w:cs="Times New Roman"/>
      <w:b w:val="0"/>
      <w:bCs w:val="0"/>
      <w:color w:val="000000"/>
      <w:sz w:val="28"/>
      <w:szCs w:val="30"/>
    </w:rPr>
  </w:style>
  <w:style w:type="paragraph" w:customStyle="1" w:styleId="Char440">
    <w:name w:val="Char44"/>
    <w:basedOn w:val="a2"/>
    <w:uiPriority w:val="99"/>
    <w:qFormat/>
    <w:pPr>
      <w:jc w:val="both"/>
    </w:pPr>
    <w:rPr>
      <w:color w:val="000000"/>
    </w:rPr>
  </w:style>
  <w:style w:type="paragraph" w:customStyle="1" w:styleId="affffffffffffffffff4">
    <w:name w:val="自动表头"/>
    <w:basedOn w:val="a2"/>
    <w:uiPriority w:val="99"/>
    <w:qFormat/>
    <w:pPr>
      <w:spacing w:line="360" w:lineRule="auto"/>
      <w:jc w:val="both"/>
    </w:pPr>
    <w:rPr>
      <w:rFonts w:ascii="黑体" w:eastAsia="黑体" w:hAnsi="宋体"/>
      <w:color w:val="000000"/>
    </w:rPr>
  </w:style>
  <w:style w:type="paragraph" w:customStyle="1" w:styleId="CChar0">
    <w:name w:val="C Char"/>
    <w:basedOn w:val="BChar1"/>
    <w:next w:val="aaCharCharChar"/>
    <w:uiPriority w:val="99"/>
    <w:qFormat/>
    <w:pPr>
      <w:spacing w:beforeLines="0" w:before="0"/>
      <w:outlineLvl w:val="2"/>
    </w:pPr>
  </w:style>
  <w:style w:type="paragraph" w:customStyle="1" w:styleId="WPSPlain">
    <w:name w:val="WPS Plain"/>
    <w:qFormat/>
    <w:pPr>
      <w:spacing w:beforeLines="50" w:before="50" w:afterLines="50" w:after="50" w:line="360" w:lineRule="auto"/>
      <w:ind w:firstLineChars="40" w:firstLine="40"/>
    </w:pPr>
    <w:rPr>
      <w:rFonts w:ascii="Times New Roman" w:eastAsia="宋体" w:hAnsi="Times New Roman" w:cs="Times New Roman"/>
    </w:rPr>
  </w:style>
  <w:style w:type="paragraph" w:customStyle="1" w:styleId="CharChar1CharCharCharCharCharCharCharCharCharCharCharCharChar">
    <w:name w:val="Char Char1 Char Char Char Char Char Char Char Char Char Char Char Char Char"/>
    <w:basedOn w:val="a2"/>
    <w:pPr>
      <w:spacing w:line="360" w:lineRule="auto"/>
      <w:ind w:firstLineChars="200" w:firstLine="200"/>
      <w:jc w:val="both"/>
    </w:pPr>
    <w:rPr>
      <w:rFonts w:ascii="宋体" w:hAnsi="宋体" w:cs="宋体"/>
      <w:sz w:val="24"/>
    </w:rPr>
  </w:style>
  <w:style w:type="paragraph" w:customStyle="1" w:styleId="3ffa">
    <w:name w:val="列出段落3"/>
    <w:basedOn w:val="a2"/>
    <w:uiPriority w:val="99"/>
    <w:qFormat/>
    <w:pPr>
      <w:ind w:firstLineChars="200" w:firstLine="420"/>
      <w:jc w:val="both"/>
    </w:pPr>
    <w:rPr>
      <w:rFonts w:ascii="Calibri" w:hAnsi="Calibri"/>
      <w:szCs w:val="22"/>
    </w:rPr>
  </w:style>
  <w:style w:type="paragraph" w:customStyle="1" w:styleId="CharCharCharCharCharChar1CharCharCharCharCharCharChar">
    <w:name w:val="Char Char Char Char Char Char1 Char Char Char Char Char Char Char"/>
    <w:basedOn w:val="a2"/>
    <w:pPr>
      <w:jc w:val="both"/>
    </w:pPr>
    <w:rPr>
      <w:rFonts w:ascii="Times New Roman"/>
    </w:rPr>
  </w:style>
  <w:style w:type="paragraph" w:customStyle="1" w:styleId="CharCharCharCharCharChar1Char4">
    <w:name w:val="Char Char Char Char Char Char1 Char4"/>
    <w:basedOn w:val="a2"/>
    <w:qFormat/>
    <w:pPr>
      <w:spacing w:line="360" w:lineRule="auto"/>
      <w:ind w:firstLineChars="200" w:firstLine="200"/>
      <w:jc w:val="both"/>
    </w:pPr>
    <w:rPr>
      <w:rFonts w:ascii="宋体" w:hAnsi="宋体" w:cs="宋体"/>
      <w:sz w:val="24"/>
    </w:rPr>
  </w:style>
  <w:style w:type="paragraph" w:customStyle="1" w:styleId="CM81">
    <w:name w:val="CM81"/>
    <w:basedOn w:val="a2"/>
    <w:next w:val="a2"/>
    <w:qFormat/>
    <w:pPr>
      <w:spacing w:after="298"/>
    </w:pPr>
    <w:rPr>
      <w:rFonts w:ascii="Arial Unicode MS" w:eastAsia="Arial Unicode MS"/>
      <w:sz w:val="20"/>
    </w:rPr>
  </w:style>
  <w:style w:type="paragraph" w:customStyle="1" w:styleId="CharCharCharCharCharCharCharCharChar1CharCharCharCharCharCharCharCharChar1CharCharCharCharCharCharCharCharCharChar2">
    <w:name w:val="Char Char Char Char Char Char Char Char Char1 Char Char Char Char Char Char Char Char Char1 Char Char Char Char Char Char Char Char Char Char2"/>
    <w:basedOn w:val="a2"/>
    <w:uiPriority w:val="99"/>
    <w:qFormat/>
    <w:pPr>
      <w:jc w:val="both"/>
    </w:pPr>
    <w:rPr>
      <w:rFonts w:ascii="Times New Roman"/>
    </w:rPr>
  </w:style>
  <w:style w:type="paragraph" w:customStyle="1" w:styleId="GB231204">
    <w:name w:val="样式 (西文) 宋体 (中文) 仿宋_GB2312 五号 黑色 居中 首行缩进:  0 厘米 行距: 单倍行距4"/>
    <w:basedOn w:val="a2"/>
    <w:uiPriority w:val="99"/>
    <w:qFormat/>
    <w:pPr>
      <w:jc w:val="center"/>
    </w:pPr>
    <w:rPr>
      <w:rFonts w:ascii="宋体" w:hAnsi="宋体"/>
      <w:color w:val="000000"/>
    </w:rPr>
  </w:style>
  <w:style w:type="paragraph" w:customStyle="1" w:styleId="Tabletext16">
    <w:name w:val="Table text16"/>
    <w:basedOn w:val="a2"/>
    <w:uiPriority w:val="99"/>
    <w:qFormat/>
    <w:pPr>
      <w:spacing w:before="80" w:after="80"/>
    </w:pPr>
    <w:rPr>
      <w:sz w:val="22"/>
      <w:lang w:eastAsia="en-US"/>
    </w:rPr>
  </w:style>
  <w:style w:type="paragraph" w:customStyle="1" w:styleId="12b">
    <w:name w:val="表格内字体12"/>
    <w:basedOn w:val="affffffff6"/>
    <w:uiPriority w:val="99"/>
    <w:qFormat/>
    <w:pPr>
      <w:spacing w:line="240" w:lineRule="auto"/>
      <w:ind w:firstLine="0"/>
      <w:jc w:val="center"/>
    </w:pPr>
    <w:rPr>
      <w:sz w:val="21"/>
      <w:szCs w:val="20"/>
    </w:rPr>
  </w:style>
  <w:style w:type="paragraph" w:customStyle="1" w:styleId="affffffffffffffffff5">
    <w:name w:val="图形标题"/>
    <w:basedOn w:val="a2"/>
    <w:next w:val="a2"/>
    <w:uiPriority w:val="99"/>
    <w:qFormat/>
    <w:pPr>
      <w:spacing w:line="288" w:lineRule="auto"/>
      <w:jc w:val="center"/>
    </w:pPr>
    <w:rPr>
      <w:rFonts w:ascii="仿宋_GB2312" w:eastAsia="仿宋_GB2312" w:hAnsi="宋体"/>
      <w:sz w:val="24"/>
    </w:rPr>
  </w:style>
  <w:style w:type="paragraph" w:customStyle="1" w:styleId="Char2CharCharCharCharCharChar3">
    <w:name w:val="Char2 Char Char Char Char Char Char3"/>
    <w:basedOn w:val="a2"/>
    <w:uiPriority w:val="99"/>
    <w:qFormat/>
    <w:pPr>
      <w:jc w:val="both"/>
    </w:pPr>
  </w:style>
  <w:style w:type="paragraph" w:customStyle="1" w:styleId="affffffffffffffffff6">
    <w:name w:val="正方"/>
    <w:basedOn w:val="a2"/>
    <w:uiPriority w:val="99"/>
    <w:qFormat/>
    <w:pPr>
      <w:tabs>
        <w:tab w:val="left" w:pos="240"/>
      </w:tabs>
      <w:spacing w:line="360" w:lineRule="auto"/>
      <w:jc w:val="both"/>
    </w:pPr>
    <w:rPr>
      <w:rFonts w:ascii="Bookman Old Style" w:hAnsi="Bookman Old Style" w:cs="Arial"/>
      <w:sz w:val="24"/>
    </w:rPr>
  </w:style>
  <w:style w:type="paragraph" w:customStyle="1" w:styleId="xl67">
    <w:name w:val="xl67"/>
    <w:basedOn w:val="a2"/>
    <w:qFormat/>
    <w:pPr>
      <w:widowControl/>
      <w:pBdr>
        <w:left w:val="single" w:sz="4" w:space="0" w:color="auto"/>
      </w:pBdr>
      <w:spacing w:before="100" w:beforeAutospacing="1" w:after="100" w:afterAutospacing="1"/>
      <w:jc w:val="center"/>
    </w:pPr>
    <w:rPr>
      <w:rFonts w:ascii="宋体" w:hAnsi="宋体"/>
      <w:sz w:val="24"/>
    </w:rPr>
  </w:style>
  <w:style w:type="paragraph" w:customStyle="1" w:styleId="CharCharffffff">
    <w:name w:val="批注文字 Char Char"/>
    <w:basedOn w:val="a2"/>
    <w:qFormat/>
    <w:pPr>
      <w:spacing w:line="351" w:lineRule="atLeast"/>
      <w:ind w:firstLine="419"/>
    </w:pPr>
    <w:rPr>
      <w:rFonts w:hAnsi="宋体"/>
    </w:rPr>
  </w:style>
  <w:style w:type="paragraph" w:customStyle="1" w:styleId="4143104">
    <w:name w:val="样式 标题 4标题 14 + 加粗 无下划线 自动设置 段前: 3 磅 段后: 10 磅4"/>
    <w:basedOn w:val="41"/>
    <w:uiPriority w:val="99"/>
    <w:qFormat/>
    <w:pPr>
      <w:keepLines w:val="0"/>
      <w:tabs>
        <w:tab w:val="left" w:pos="2400"/>
      </w:tabs>
      <w:snapToGrid w:val="0"/>
      <w:spacing w:beforeLines="0" w:before="60" w:after="200" w:line="240" w:lineRule="auto"/>
      <w:ind w:leftChars="0" w:left="2400" w:rightChars="0" w:right="0" w:hanging="420"/>
      <w:jc w:val="both"/>
    </w:pPr>
    <w:rPr>
      <w:rFonts w:ascii="Times New Roman" w:eastAsia="宋体"/>
      <w:color w:val="000000"/>
      <w:sz w:val="24"/>
      <w:szCs w:val="20"/>
    </w:rPr>
  </w:style>
  <w:style w:type="paragraph" w:customStyle="1" w:styleId="Char2CharCharCharCharCharCharCharCharCharCharChar1CharCharCharCharCharCharChar3">
    <w:name w:val="Char2 Char Char Char Char Char Char Char Char Char Char Char1 Char Char Char Char Char Char Char3"/>
    <w:basedOn w:val="a2"/>
    <w:uiPriority w:val="99"/>
    <w:qFormat/>
    <w:pPr>
      <w:jc w:val="both"/>
    </w:pPr>
  </w:style>
  <w:style w:type="paragraph" w:customStyle="1" w:styleId="ParaCharCharChar1CharCharCharCharCharCharCharCharCharCharCharChar1">
    <w:name w:val="默认段落字体 Para Char Char Char1 Char Char Char Char Char Char Char Char Char Char Char Char1"/>
    <w:basedOn w:val="a2"/>
    <w:uiPriority w:val="99"/>
    <w:qFormat/>
    <w:pPr>
      <w:jc w:val="both"/>
    </w:pPr>
    <w:rPr>
      <w:sz w:val="24"/>
    </w:rPr>
  </w:style>
  <w:style w:type="paragraph" w:customStyle="1" w:styleId="Style48">
    <w:name w:val="_Style 48"/>
    <w:basedOn w:val="a2"/>
    <w:next w:val="aff6"/>
    <w:uiPriority w:val="99"/>
    <w:qFormat/>
    <w:pPr>
      <w:spacing w:before="100" w:beforeAutospacing="1" w:after="100" w:afterAutospacing="1"/>
    </w:pPr>
    <w:rPr>
      <w:rFonts w:ascii="宋体" w:hint="eastAsia"/>
      <w:color w:val="000000"/>
      <w:sz w:val="24"/>
    </w:rPr>
  </w:style>
  <w:style w:type="paragraph" w:customStyle="1" w:styleId="Char2CharChar1CharCharCharChar">
    <w:name w:val="Char2 Char Char1 Char Char Char Char"/>
    <w:basedOn w:val="a2"/>
    <w:semiHidden/>
    <w:pPr>
      <w:jc w:val="both"/>
    </w:pPr>
    <w:rPr>
      <w:sz w:val="24"/>
    </w:rPr>
  </w:style>
  <w:style w:type="paragraph" w:customStyle="1" w:styleId="2190">
    <w:name w:val="样式 列表 2 + 宋体 小四 行距: 固定值 19 磅"/>
    <w:basedOn w:val="24"/>
    <w:qFormat/>
    <w:pPr>
      <w:spacing w:line="400" w:lineRule="exact"/>
      <w:ind w:leftChars="0" w:left="0" w:firstLineChars="0" w:firstLine="0"/>
      <w:jc w:val="center"/>
    </w:pPr>
    <w:rPr>
      <w:rFonts w:ascii="宋体" w:hAnsi="宋体" w:cs="宋体"/>
      <w:sz w:val="24"/>
    </w:rPr>
  </w:style>
  <w:style w:type="paragraph" w:customStyle="1" w:styleId="21b">
    <w:name w:val="批注主题21"/>
    <w:basedOn w:val="af1"/>
    <w:next w:val="af1"/>
    <w:uiPriority w:val="99"/>
    <w:qFormat/>
    <w:rPr>
      <w:rFonts w:ascii="Courier New" w:eastAsia="宋体" w:hAnsi="Courier New" w:hint="eastAsia"/>
      <w:b/>
      <w:sz w:val="20"/>
    </w:rPr>
  </w:style>
  <w:style w:type="paragraph" w:customStyle="1" w:styleId="06">
    <w:name w:val="0正文"/>
    <w:basedOn w:val="a2"/>
    <w:qFormat/>
    <w:pPr>
      <w:snapToGrid w:val="0"/>
      <w:spacing w:line="360" w:lineRule="auto"/>
      <w:ind w:firstLineChars="200" w:firstLine="480"/>
      <w:jc w:val="both"/>
    </w:pPr>
    <w:rPr>
      <w:sz w:val="24"/>
      <w:szCs w:val="22"/>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2"/>
    <w:uiPriority w:val="99"/>
    <w:qFormat/>
    <w:pPr>
      <w:jc w:val="both"/>
    </w:pPr>
    <w:rPr>
      <w:sz w:val="24"/>
    </w:rPr>
  </w:style>
  <w:style w:type="paragraph" w:customStyle="1" w:styleId="affffffffffffffffff7">
    <w:name w:val="封面标准文稿编辑信息"/>
    <w:qFormat/>
    <w:pPr>
      <w:spacing w:before="180" w:line="180" w:lineRule="exact"/>
      <w:jc w:val="center"/>
    </w:pPr>
    <w:rPr>
      <w:rFonts w:ascii="Times New Roman" w:eastAsia="宋体" w:hAnsi="Times New Roman" w:cs="Times New Roman"/>
      <w:sz w:val="21"/>
    </w:rPr>
  </w:style>
  <w:style w:type="paragraph" w:customStyle="1" w:styleId="book11">
    <w:name w:val="book1_1"/>
    <w:basedOn w:val="22"/>
    <w:qFormat/>
    <w:pPr>
      <w:keepNext w:val="0"/>
      <w:numPr>
        <w:ilvl w:val="1"/>
        <w:numId w:val="13"/>
      </w:numPr>
      <w:tabs>
        <w:tab w:val="clear" w:pos="1275"/>
        <w:tab w:val="left" w:pos="622"/>
      </w:tabs>
      <w:spacing w:before="156" w:after="156" w:line="240" w:lineRule="auto"/>
      <w:ind w:left="0" w:firstLine="0"/>
    </w:pPr>
    <w:rPr>
      <w:rFonts w:ascii="Arial" w:eastAsia="黑体" w:hAnsi="Arial" w:cs="Times New Roman"/>
      <w:b w:val="0"/>
      <w:sz w:val="24"/>
      <w:shd w:val="pct10" w:color="auto" w:fill="FFFFFF"/>
    </w:rPr>
  </w:style>
  <w:style w:type="paragraph" w:customStyle="1" w:styleId="1fffffc">
    <w:name w:val="标1"/>
    <w:basedOn w:val="12"/>
    <w:next w:val="a2"/>
    <w:pPr>
      <w:spacing w:before="340" w:after="330" w:line="480" w:lineRule="auto"/>
      <w:ind w:right="11"/>
      <w:jc w:val="center"/>
      <w:textAlignment w:val="baseline"/>
      <w:outlineLvl w:val="9"/>
    </w:pPr>
    <w:rPr>
      <w:rFonts w:ascii="Verdana" w:eastAsia="Arial" w:hAnsi="Verdana" w:cs="Verdana"/>
      <w:bCs w:val="0"/>
      <w:sz w:val="36"/>
      <w:szCs w:val="20"/>
    </w:rPr>
  </w:style>
  <w:style w:type="paragraph" w:customStyle="1" w:styleId="11c">
    <w:name w:val="样式11"/>
    <w:basedOn w:val="a2"/>
    <w:qFormat/>
    <w:pPr>
      <w:tabs>
        <w:tab w:val="left" w:pos="720"/>
      </w:tabs>
      <w:snapToGrid w:val="0"/>
      <w:spacing w:line="312" w:lineRule="auto"/>
      <w:ind w:left="720" w:hanging="720"/>
      <w:jc w:val="both"/>
    </w:pPr>
    <w:rPr>
      <w:rFonts w:ascii="仿宋_GB2312" w:eastAsia="仿宋_GB2312"/>
    </w:rPr>
  </w:style>
  <w:style w:type="paragraph" w:customStyle="1" w:styleId="5f0">
    <w:name w:val="5"/>
    <w:basedOn w:val="a2"/>
    <w:next w:val="af5"/>
    <w:qFormat/>
    <w:pPr>
      <w:spacing w:line="500" w:lineRule="exact"/>
      <w:ind w:firstLineChars="200" w:firstLine="560"/>
      <w:jc w:val="both"/>
    </w:pPr>
    <w:rPr>
      <w:rFonts w:ascii="仿宋_GB2312" w:eastAsia="仿宋_GB2312"/>
      <w:color w:val="FF0000"/>
    </w:rPr>
  </w:style>
  <w:style w:type="paragraph" w:customStyle="1" w:styleId="MyList-4">
    <w:name w:val="MyList-4"/>
    <w:basedOn w:val="MyList-3"/>
    <w:uiPriority w:val="99"/>
    <w:qFormat/>
    <w:pPr>
      <w:numPr>
        <w:ilvl w:val="3"/>
      </w:numPr>
    </w:pPr>
  </w:style>
  <w:style w:type="paragraph" w:customStyle="1" w:styleId="MyList-3">
    <w:name w:val="MyList-3"/>
    <w:basedOn w:val="MyList-2"/>
    <w:uiPriority w:val="99"/>
    <w:qFormat/>
    <w:pPr>
      <w:numPr>
        <w:ilvl w:val="2"/>
      </w:numPr>
      <w:tabs>
        <w:tab w:val="clear" w:pos="794"/>
      </w:tabs>
      <w:spacing w:beforeLines="0" w:before="0"/>
      <w:outlineLvl w:val="2"/>
    </w:pPr>
    <w:rPr>
      <w:b w:val="0"/>
    </w:rPr>
  </w:style>
  <w:style w:type="paragraph" w:customStyle="1" w:styleId="reader-word-layerreader-word-s1-2">
    <w:name w:val="reader-word-layer reader-word-s1-2"/>
    <w:basedOn w:val="a2"/>
    <w:pPr>
      <w:widowControl/>
      <w:autoSpaceDE/>
      <w:autoSpaceDN/>
      <w:adjustRightInd/>
      <w:spacing w:before="100" w:beforeAutospacing="1" w:after="100" w:afterAutospacing="1"/>
    </w:pPr>
    <w:rPr>
      <w:rFonts w:ascii="宋体" w:hAnsi="宋体" w:cs="宋体"/>
    </w:rPr>
  </w:style>
  <w:style w:type="paragraph" w:customStyle="1" w:styleId="affffffffffffffffff8">
    <w:name w:val="！报告正文"/>
    <w:basedOn w:val="a2"/>
    <w:uiPriority w:val="99"/>
    <w:qFormat/>
    <w:pPr>
      <w:spacing w:after="200" w:line="360" w:lineRule="auto"/>
      <w:ind w:firstLineChars="200" w:firstLine="420"/>
    </w:pPr>
    <w:rPr>
      <w:rFonts w:ascii="Calibri" w:hAnsi="Calibri"/>
      <w:sz w:val="22"/>
      <w:szCs w:val="22"/>
      <w:lang w:eastAsia="en-US" w:bidi="en-US"/>
    </w:rPr>
  </w:style>
  <w:style w:type="paragraph" w:customStyle="1" w:styleId="CharCharCharChar30">
    <w:name w:val="Char Char Char Char3"/>
    <w:basedOn w:val="a2"/>
    <w:qFormat/>
    <w:pPr>
      <w:widowControl/>
      <w:shd w:val="clear" w:color="auto" w:fill="000080"/>
      <w:snapToGrid w:val="0"/>
      <w:spacing w:line="360" w:lineRule="auto"/>
    </w:pPr>
    <w:rPr>
      <w:rFonts w:ascii="Tahoma" w:hAnsi="Tahoma" w:cs="宋体"/>
      <w:shd w:val="clear" w:color="auto" w:fill="000080"/>
    </w:rPr>
  </w:style>
  <w:style w:type="paragraph" w:customStyle="1" w:styleId="Char2CharCharChar">
    <w:name w:val="Char2 Char Char Char"/>
    <w:basedOn w:val="a2"/>
    <w:semiHidden/>
    <w:pPr>
      <w:jc w:val="both"/>
    </w:pPr>
    <w:rPr>
      <w:sz w:val="24"/>
    </w:rPr>
  </w:style>
  <w:style w:type="paragraph" w:customStyle="1" w:styleId="3TimesNewRoman">
    <w:name w:val="样式 标题3 + Times New Roman"/>
    <w:basedOn w:val="32"/>
    <w:qFormat/>
    <w:pPr>
      <w:keepNext w:val="0"/>
      <w:keepLines w:val="0"/>
      <w:spacing w:before="0" w:after="0" w:line="500" w:lineRule="exact"/>
      <w:jc w:val="both"/>
      <w:textAlignment w:val="baseline"/>
      <w:outlineLvl w:val="9"/>
    </w:pPr>
    <w:rPr>
      <w:rFonts w:ascii="Times New Roman" w:eastAsia="宋体"/>
      <w:sz w:val="28"/>
      <w:szCs w:val="20"/>
    </w:rPr>
  </w:style>
  <w:style w:type="paragraph" w:customStyle="1" w:styleId="223">
    <w:name w:val="纯文本22"/>
    <w:basedOn w:val="a2"/>
    <w:uiPriority w:val="99"/>
    <w:qFormat/>
    <w:pPr>
      <w:jc w:val="both"/>
      <w:textAlignment w:val="baseline"/>
    </w:pPr>
    <w:rPr>
      <w:rFonts w:hAnsi="Courier New"/>
    </w:rPr>
  </w:style>
  <w:style w:type="paragraph" w:customStyle="1" w:styleId="2825">
    <w:name w:val="样式 样式 行距: 固定值 28 磅 + 首行缩进:  2.5 字符"/>
    <w:basedOn w:val="280"/>
    <w:uiPriority w:val="99"/>
    <w:qFormat/>
    <w:pPr>
      <w:spacing w:line="312" w:lineRule="auto"/>
    </w:pPr>
  </w:style>
  <w:style w:type="paragraph" w:customStyle="1" w:styleId="07715">
    <w:name w:val="样式 首行缩进:  0.77 厘米 行距: 1.5 倍行距"/>
    <w:basedOn w:val="a2"/>
    <w:uiPriority w:val="99"/>
    <w:qFormat/>
    <w:pPr>
      <w:spacing w:line="360" w:lineRule="auto"/>
      <w:ind w:firstLine="435"/>
      <w:jc w:val="both"/>
    </w:pPr>
    <w:rPr>
      <w:rFonts w:ascii="宋体" w:hAnsi="宋体" w:cs="宋体"/>
      <w:snapToGrid w:val="0"/>
      <w:sz w:val="24"/>
    </w:rPr>
  </w:style>
  <w:style w:type="paragraph" w:customStyle="1" w:styleId="Char1CharCharCharCharCharChar1CharCharChar4">
    <w:name w:val="Char1 Char Char Char Char Char Char1 Char Char Char4"/>
    <w:basedOn w:val="a2"/>
    <w:next w:val="a2"/>
    <w:pPr>
      <w:spacing w:line="360" w:lineRule="auto"/>
      <w:ind w:firstLineChars="200" w:firstLine="200"/>
      <w:jc w:val="center"/>
    </w:pPr>
    <w:rPr>
      <w:rFonts w:eastAsia="黑体"/>
    </w:rPr>
  </w:style>
  <w:style w:type="paragraph" w:customStyle="1" w:styleId="iceant">
    <w:name w:val="iceant内"/>
    <w:basedOn w:val="a2"/>
    <w:qFormat/>
    <w:pPr>
      <w:jc w:val="center"/>
    </w:pPr>
  </w:style>
  <w:style w:type="paragraph" w:customStyle="1" w:styleId="affffffffffffffffff9">
    <w:name w:val="表体"/>
    <w:basedOn w:val="a2"/>
    <w:qFormat/>
    <w:pPr>
      <w:spacing w:before="40" w:after="40"/>
      <w:jc w:val="center"/>
    </w:pPr>
  </w:style>
  <w:style w:type="paragraph" w:customStyle="1" w:styleId="1fffffd">
    <w:name w:val="批注主题1"/>
    <w:basedOn w:val="af1"/>
    <w:next w:val="af1"/>
    <w:uiPriority w:val="99"/>
    <w:qFormat/>
    <w:pPr>
      <w:textAlignment w:val="baseline"/>
    </w:pPr>
    <w:rPr>
      <w:rFonts w:ascii="宋体" w:eastAsia="宋体" w:hAnsi="宋体" w:hint="eastAsia"/>
      <w:b/>
      <w:sz w:val="24"/>
    </w:rPr>
  </w:style>
  <w:style w:type="paragraph" w:customStyle="1" w:styleId="4f2">
    <w:name w:val="论文标题4"/>
    <w:basedOn w:val="3ffb"/>
    <w:uiPriority w:val="99"/>
    <w:qFormat/>
    <w:pPr>
      <w:spacing w:afterLines="20" w:after="62"/>
    </w:pPr>
    <w:rPr>
      <w:rFonts w:ascii="Times New Roman" w:hAnsi="Times New Roman"/>
      <w:sz w:val="25"/>
    </w:rPr>
  </w:style>
  <w:style w:type="paragraph" w:customStyle="1" w:styleId="3ffb">
    <w:name w:val="论文标题3"/>
    <w:basedOn w:val="a2"/>
    <w:uiPriority w:val="99"/>
    <w:qFormat/>
    <w:pPr>
      <w:snapToGrid w:val="0"/>
      <w:spacing w:before="120" w:after="120" w:line="360" w:lineRule="auto"/>
      <w:ind w:firstLineChars="200" w:firstLine="200"/>
      <w:jc w:val="both"/>
    </w:pPr>
    <w:rPr>
      <w:rFonts w:eastAsia="黑体" w:hAnsi="Arial"/>
    </w:rPr>
  </w:style>
  <w:style w:type="paragraph" w:customStyle="1" w:styleId="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1"/>
    <w:basedOn w:val="a2"/>
    <w:uiPriority w:val="99"/>
    <w:qFormat/>
    <w:pPr>
      <w:jc w:val="both"/>
    </w:pPr>
    <w:rPr>
      <w:rFonts w:ascii="Times New Roman"/>
    </w:rPr>
  </w:style>
  <w:style w:type="paragraph" w:customStyle="1" w:styleId="003">
    <w:name w:val="标题003"/>
    <w:basedOn w:val="a2"/>
    <w:uiPriority w:val="99"/>
    <w:qFormat/>
    <w:pPr>
      <w:spacing w:before="120" w:line="440" w:lineRule="exact"/>
      <w:jc w:val="both"/>
      <w:outlineLvl w:val="2"/>
    </w:pPr>
    <w:rPr>
      <w:b/>
      <w:sz w:val="27"/>
    </w:rPr>
  </w:style>
  <w:style w:type="paragraph" w:customStyle="1" w:styleId="affffffffffffffffffa">
    <w:name w:val="小五"/>
    <w:basedOn w:val="a2"/>
    <w:uiPriority w:val="99"/>
    <w:qFormat/>
    <w:pPr>
      <w:snapToGrid w:val="0"/>
    </w:pPr>
    <w:rPr>
      <w:rFonts w:ascii="仿宋_GB2312" w:eastAsia="仿宋_GB2312"/>
      <w:bCs/>
      <w:snapToGrid w:val="0"/>
      <w:sz w:val="18"/>
    </w:rPr>
  </w:style>
  <w:style w:type="paragraph" w:customStyle="1" w:styleId="2CharCharf0">
    <w:name w:val="目录 2 Char Char"/>
    <w:basedOn w:val="a2"/>
    <w:next w:val="a2"/>
    <w:qFormat/>
    <w:pPr>
      <w:spacing w:line="351" w:lineRule="atLeast"/>
      <w:ind w:left="209" w:firstLine="419"/>
    </w:pPr>
    <w:rPr>
      <w:rFonts w:hAnsi="宋体"/>
    </w:rPr>
  </w:style>
  <w:style w:type="paragraph" w:customStyle="1" w:styleId="11d">
    <w:name w:val="批注框文本11"/>
    <w:basedOn w:val="a2"/>
    <w:uiPriority w:val="99"/>
    <w:qFormat/>
    <w:pPr>
      <w:spacing w:after="120" w:line="440" w:lineRule="exact"/>
      <w:jc w:val="both"/>
    </w:pPr>
    <w:rPr>
      <w:rFonts w:hAnsi="Arial" w:hint="eastAsia"/>
      <w:sz w:val="18"/>
    </w:rPr>
  </w:style>
  <w:style w:type="paragraph" w:customStyle="1" w:styleId="1fffffe">
    <w:name w:val="小四居中行1"/>
    <w:basedOn w:val="a2"/>
    <w:uiPriority w:val="99"/>
    <w:qFormat/>
    <w:pPr>
      <w:ind w:left="140"/>
      <w:jc w:val="center"/>
    </w:pPr>
    <w:rPr>
      <w:rFonts w:ascii="宋体" w:eastAsia="仿宋_GB2312"/>
      <w:sz w:val="24"/>
    </w:rPr>
  </w:style>
  <w:style w:type="paragraph" w:customStyle="1" w:styleId="331">
    <w:name w:val="字元 字元3 字元3"/>
    <w:basedOn w:val="a2"/>
    <w:next w:val="a2"/>
    <w:pPr>
      <w:spacing w:line="360" w:lineRule="auto"/>
      <w:ind w:firstLineChars="200" w:firstLine="200"/>
      <w:jc w:val="both"/>
    </w:pPr>
  </w:style>
  <w:style w:type="paragraph" w:customStyle="1" w:styleId="221121TimesNewRoman81">
    <w:name w:val="样式 标题 2标题 21标题 121 + Times New Roman 小三 非加粗 黑色 段前: 8 磅 段...1"/>
    <w:basedOn w:val="22"/>
    <w:uiPriority w:val="99"/>
    <w:qFormat/>
    <w:pPr>
      <w:spacing w:before="160" w:after="160" w:line="240" w:lineRule="auto"/>
      <w:ind w:left="2507" w:hanging="1247"/>
      <w:jc w:val="both"/>
    </w:pPr>
    <w:rPr>
      <w:rFonts w:ascii="Times New Roman" w:eastAsia="黑体" w:hAnsi="Times New Roman" w:cs="Times New Roman"/>
      <w:bCs w:val="0"/>
      <w:color w:val="000000"/>
      <w:sz w:val="30"/>
      <w:szCs w:val="30"/>
    </w:rPr>
  </w:style>
  <w:style w:type="paragraph" w:customStyle="1" w:styleId="Char1CharCharCharCharCharChar14">
    <w:name w:val="Char1 Char Char Char Char Char Char14"/>
    <w:basedOn w:val="a2"/>
    <w:qFormat/>
    <w:rPr>
      <w:sz w:val="24"/>
    </w:rPr>
  </w:style>
  <w:style w:type="paragraph" w:customStyle="1" w:styleId="affffffffffffffffffb">
    <w:name w:val="正文图标题"/>
    <w:next w:val="a2"/>
    <w:qFormat/>
    <w:pPr>
      <w:spacing w:beforeLines="50" w:before="50" w:afterLines="50" w:after="50" w:line="360" w:lineRule="auto"/>
      <w:ind w:firstLineChars="40" w:firstLine="40"/>
      <w:jc w:val="center"/>
    </w:pPr>
    <w:rPr>
      <w:rFonts w:ascii="黑体" w:eastAsia="黑体" w:hAnsi="Times New Roman" w:cs="Times New Roman"/>
      <w:sz w:val="21"/>
    </w:rPr>
  </w:style>
  <w:style w:type="paragraph" w:customStyle="1" w:styleId="26060">
    <w:name w:val="样式 标题 2 + 段前: 60 磅 段后: 60 磅"/>
    <w:basedOn w:val="22"/>
    <w:uiPriority w:val="99"/>
    <w:qFormat/>
    <w:pPr>
      <w:keepNext w:val="0"/>
      <w:keepLines w:val="0"/>
      <w:snapToGrid w:val="0"/>
      <w:spacing w:before="100" w:after="100" w:line="360" w:lineRule="auto"/>
      <w:jc w:val="both"/>
    </w:pPr>
    <w:rPr>
      <w:rFonts w:ascii="Times New Roman" w:eastAsia="黑体" w:hAnsi="Times New Roman" w:cs="宋体"/>
      <w:b w:val="0"/>
    </w:rPr>
  </w:style>
  <w:style w:type="paragraph" w:customStyle="1" w:styleId="CharCharCharCharCharCharChar40">
    <w:name w:val="样式 正文缩进正文（首行缩进两字） Char Char Char Char Char Char Char表格标题标题4文..."/>
    <w:basedOn w:val="a3"/>
    <w:qFormat/>
    <w:pPr>
      <w:overflowPunct w:val="0"/>
      <w:snapToGrid w:val="0"/>
      <w:spacing w:line="500" w:lineRule="exact"/>
      <w:ind w:firstLine="200"/>
      <w:jc w:val="both"/>
      <w:textAlignment w:val="baseline"/>
    </w:pPr>
    <w:rPr>
      <w:rFonts w:eastAsia="仿宋_GB2312" w:cs="宋体"/>
      <w:kern w:val="0"/>
      <w:sz w:val="28"/>
      <w:szCs w:val="20"/>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2"/>
    <w:pPr>
      <w:jc w:val="both"/>
    </w:pPr>
    <w:rPr>
      <w:sz w:val="24"/>
    </w:rPr>
  </w:style>
  <w:style w:type="paragraph" w:customStyle="1" w:styleId="CharCharCharCharCharCharCharCharChar1CharCharCharCharCharChar1">
    <w:name w:val="Char Char Char Char Char Char Char Char Char1 Char Char Char Char Char Char1"/>
    <w:basedOn w:val="a2"/>
    <w:qFormat/>
    <w:rPr>
      <w:sz w:val="24"/>
    </w:rPr>
  </w:style>
  <w:style w:type="paragraph" w:customStyle="1" w:styleId="1ffffff">
    <w:name w:val="文本框1"/>
    <w:basedOn w:val="xl28"/>
    <w:uiPriority w:val="99"/>
    <w:qFormat/>
    <w:pPr>
      <w:widowControl w:val="0"/>
      <w:pBdr>
        <w:top w:val="none" w:sz="0" w:space="0" w:color="auto"/>
        <w:left w:val="none" w:sz="0" w:space="0" w:color="auto"/>
        <w:bottom w:val="none" w:sz="0" w:space="0" w:color="auto"/>
        <w:right w:val="none" w:sz="0" w:space="0" w:color="auto"/>
      </w:pBdr>
      <w:spacing w:before="0" w:beforeAutospacing="0" w:afterLines="50" w:after="156" w:afterAutospacing="0" w:line="260" w:lineRule="exact"/>
    </w:pPr>
    <w:rPr>
      <w:rFonts w:ascii="宋体" w:eastAsia="宋体" w:hAnsi="Times New Roman" w:cs="Times New Roman"/>
      <w:color w:val="auto"/>
      <w:sz w:val="21"/>
    </w:rPr>
  </w:style>
  <w:style w:type="paragraph" w:customStyle="1" w:styleId="xl28">
    <w:name w:val="xl28"/>
    <w:basedOn w:val="a2"/>
    <w:qFormat/>
    <w:pPr>
      <w:widowControl/>
      <w:pBdr>
        <w:top w:val="single" w:sz="12" w:space="0" w:color="auto"/>
        <w:left w:val="single" w:sz="4" w:space="0" w:color="auto"/>
        <w:bottom w:val="single" w:sz="4" w:space="0" w:color="auto"/>
        <w:right w:val="single" w:sz="12" w:space="0" w:color="auto"/>
      </w:pBdr>
      <w:spacing w:before="100" w:beforeAutospacing="1" w:after="100" w:afterAutospacing="1"/>
      <w:jc w:val="center"/>
    </w:pPr>
    <w:rPr>
      <w:rFonts w:ascii="Arial Unicode MS" w:eastAsia="Arial Unicode MS" w:hAnsi="Arial Unicode MS" w:cs="Arial Unicode MS"/>
      <w:color w:val="000000"/>
      <w:sz w:val="24"/>
    </w:rPr>
  </w:style>
  <w:style w:type="paragraph" w:customStyle="1" w:styleId="105050">
    <w:name w:val="样式 题1 + 段前: 0.5 行 段后: 0.5 行"/>
    <w:basedOn w:val="1f4"/>
    <w:qFormat/>
    <w:pPr>
      <w:tabs>
        <w:tab w:val="clear" w:pos="1155"/>
      </w:tabs>
      <w:jc w:val="both"/>
    </w:pPr>
    <w:rPr>
      <w:rFonts w:ascii="宋体" w:eastAsia="宋体" w:hAnsi="宋体" w:cs="宋体"/>
      <w:b w:val="0"/>
      <w:bCs w:val="0"/>
      <w:szCs w:val="20"/>
    </w:rPr>
  </w:style>
  <w:style w:type="paragraph" w:customStyle="1" w:styleId="affffffffffffffffffc">
    <w:name w:val="管标标题"/>
    <w:basedOn w:val="a2"/>
    <w:uiPriority w:val="99"/>
    <w:qFormat/>
    <w:pPr>
      <w:spacing w:line="500" w:lineRule="atLeast"/>
      <w:jc w:val="both"/>
    </w:pPr>
    <w:rPr>
      <w:rFonts w:ascii="宋体" w:hAnsi="宋体"/>
      <w:b/>
    </w:rPr>
  </w:style>
  <w:style w:type="paragraph" w:customStyle="1" w:styleId="CharCharCharCharCharChar11">
    <w:name w:val="Char Char Char Char Char Char11"/>
    <w:basedOn w:val="a2"/>
    <w:uiPriority w:val="99"/>
    <w:qFormat/>
    <w:pPr>
      <w:jc w:val="both"/>
    </w:pPr>
    <w:rPr>
      <w:sz w:val="24"/>
    </w:rPr>
  </w:style>
  <w:style w:type="paragraph" w:customStyle="1" w:styleId="Char1CharCharCharCharCharCharCharCharCharCharCharCharCharCharChar1">
    <w:name w:val="Char1 Char Char Char Char Char Char Char Char Char Char Char Char Char Char Char1"/>
    <w:basedOn w:val="a2"/>
    <w:uiPriority w:val="99"/>
    <w:qFormat/>
    <w:pPr>
      <w:spacing w:line="360" w:lineRule="auto"/>
      <w:jc w:val="both"/>
    </w:pPr>
    <w:rPr>
      <w:sz w:val="24"/>
      <w:szCs w:val="22"/>
    </w:rPr>
  </w:style>
  <w:style w:type="paragraph" w:customStyle="1" w:styleId="166">
    <w:name w:val="样式 标题 1 + 段前: 6 磅 段后: 6 磅"/>
    <w:basedOn w:val="12"/>
    <w:uiPriority w:val="99"/>
    <w:qFormat/>
    <w:pPr>
      <w:spacing w:before="120" w:after="120" w:line="560" w:lineRule="exact"/>
      <w:jc w:val="center"/>
      <w:textAlignment w:val="auto"/>
    </w:pPr>
    <w:rPr>
      <w:rFonts w:eastAsia="宋体" w:cs="宋体"/>
      <w:b/>
      <w:sz w:val="44"/>
      <w:szCs w:val="20"/>
    </w:rPr>
  </w:style>
  <w:style w:type="paragraph" w:customStyle="1" w:styleId="099152">
    <w:name w:val="样式 首行缩进:  0.99 厘米 行距: 1.5 倍行距2"/>
    <w:basedOn w:val="a2"/>
    <w:uiPriority w:val="99"/>
    <w:qFormat/>
    <w:pPr>
      <w:spacing w:line="360" w:lineRule="auto"/>
      <w:ind w:firstLineChars="200" w:firstLine="560"/>
      <w:jc w:val="both"/>
    </w:pPr>
    <w:rPr>
      <w:rFonts w:ascii="仿宋_GB2312" w:eastAsia="仿宋_GB2312" w:hAnsi="宋体"/>
    </w:rPr>
  </w:style>
  <w:style w:type="paragraph" w:customStyle="1" w:styleId="10115">
    <w:name w:val="样式 小四 首行缩进:  1.01 厘米 行距: 1.5 倍行距"/>
    <w:basedOn w:val="a2"/>
    <w:uiPriority w:val="99"/>
    <w:qFormat/>
    <w:pPr>
      <w:spacing w:line="360" w:lineRule="auto"/>
      <w:ind w:firstLineChars="200" w:firstLine="570"/>
      <w:jc w:val="both"/>
    </w:pPr>
    <w:rPr>
      <w:rFonts w:cs="宋体"/>
      <w:snapToGrid w:val="0"/>
      <w:sz w:val="24"/>
    </w:rPr>
  </w:style>
  <w:style w:type="paragraph" w:customStyle="1" w:styleId="affffffffffffffffffd">
    <w:name w:val="样式（大表格）"/>
    <w:basedOn w:val="affffd"/>
    <w:qFormat/>
    <w:pPr>
      <w:widowControl w:val="0"/>
      <w:spacing w:line="240" w:lineRule="auto"/>
      <w:jc w:val="both"/>
      <w:textAlignment w:val="auto"/>
    </w:pPr>
    <w:rPr>
      <w:rFonts w:ascii="Times New Roman" w:hAnsi="Times New Roman"/>
      <w:color w:val="FF0000"/>
      <w:sz w:val="24"/>
    </w:rPr>
  </w:style>
  <w:style w:type="paragraph" w:customStyle="1" w:styleId="21c">
    <w:name w:val="正文21"/>
    <w:basedOn w:val="a2"/>
    <w:next w:val="a3"/>
    <w:uiPriority w:val="99"/>
    <w:qFormat/>
    <w:pPr>
      <w:snapToGrid w:val="0"/>
      <w:spacing w:line="360" w:lineRule="atLeast"/>
      <w:jc w:val="both"/>
      <w:textAlignment w:val="baseline"/>
    </w:pPr>
    <w:rPr>
      <w:rFonts w:ascii="宋体" w:eastAsia="黑体" w:hAnsi="宋体" w:hint="eastAsia"/>
      <w:spacing w:val="5"/>
      <w:sz w:val="32"/>
    </w:rPr>
  </w:style>
  <w:style w:type="paragraph" w:customStyle="1" w:styleId="T2">
    <w:name w:val="T表格"/>
    <w:qFormat/>
    <w:pPr>
      <w:jc w:val="center"/>
    </w:pPr>
    <w:rPr>
      <w:rFonts w:ascii="Times New Roman" w:eastAsia="宋体" w:hAnsi="Times New Roman" w:cs="Times New Roman"/>
      <w:sz w:val="21"/>
    </w:rPr>
  </w:style>
  <w:style w:type="paragraph" w:customStyle="1" w:styleId="2TimesNewRoman10630">
    <w:name w:val="样式 正文文本缩进 2 + Times New Roman 首行缩进:  1.06 厘米 行距: 固定值 30 磅"/>
    <w:basedOn w:val="25"/>
    <w:uiPriority w:val="99"/>
    <w:qFormat/>
    <w:pPr>
      <w:spacing w:after="0" w:line="540" w:lineRule="exact"/>
      <w:ind w:leftChars="0" w:left="0" w:firstLine="601"/>
      <w:jc w:val="both"/>
    </w:pPr>
    <w:rPr>
      <w:sz w:val="28"/>
      <w:szCs w:val="28"/>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2"/>
    <w:qFormat/>
    <w:pPr>
      <w:spacing w:line="360" w:lineRule="auto"/>
      <w:ind w:firstLineChars="200" w:firstLine="200"/>
      <w:jc w:val="both"/>
    </w:pPr>
  </w:style>
  <w:style w:type="paragraph" w:customStyle="1" w:styleId="222GB2312">
    <w:name w:val="样式 样式 样式 样式 样式 样式 首行缩进:  2 字符 + 首行缩进:  2 字符2 + 仿宋_GB2312 + 首行缩进:..."/>
    <w:basedOn w:val="a2"/>
    <w:uiPriority w:val="99"/>
    <w:qFormat/>
    <w:pPr>
      <w:spacing w:line="560" w:lineRule="exact"/>
      <w:ind w:firstLineChars="200" w:firstLine="624"/>
      <w:jc w:val="both"/>
    </w:pPr>
    <w:rPr>
      <w:spacing w:val="12"/>
    </w:rPr>
  </w:style>
  <w:style w:type="paragraph" w:customStyle="1" w:styleId="2fff8">
    <w:name w:val="表2"/>
    <w:basedOn w:val="a2"/>
    <w:qFormat/>
    <w:pPr>
      <w:snapToGrid w:val="0"/>
      <w:jc w:val="both"/>
    </w:pPr>
    <w:rPr>
      <w:rFonts w:ascii="宋体" w:hAnsi="宋体"/>
      <w:sz w:val="24"/>
    </w:rPr>
  </w:style>
  <w:style w:type="paragraph" w:customStyle="1" w:styleId="k">
    <w:name w:val="k正文"/>
    <w:basedOn w:val="a2"/>
    <w:qFormat/>
    <w:pPr>
      <w:snapToGrid w:val="0"/>
      <w:spacing w:line="360" w:lineRule="auto"/>
      <w:ind w:firstLine="539"/>
    </w:pPr>
    <w:rPr>
      <w:rFonts w:eastAsia="仿宋_GB2312"/>
    </w:rPr>
  </w:style>
  <w:style w:type="paragraph" w:customStyle="1" w:styleId="-10">
    <w:name w:val="框图-1"/>
    <w:basedOn w:val="a2"/>
    <w:qFormat/>
    <w:pPr>
      <w:jc w:val="center"/>
    </w:pPr>
    <w:rPr>
      <w:rFonts w:eastAsia="仿宋_GB2312" w:cs="宋体"/>
      <w:snapToGrid w:val="0"/>
    </w:rPr>
  </w:style>
  <w:style w:type="paragraph" w:customStyle="1" w:styleId="affffffffffffffffffe">
    <w:name w:val="预评价正文"/>
    <w:basedOn w:val="a2"/>
    <w:uiPriority w:val="99"/>
    <w:qFormat/>
    <w:pPr>
      <w:spacing w:line="360" w:lineRule="auto"/>
      <w:ind w:firstLineChars="200" w:firstLine="200"/>
      <w:jc w:val="both"/>
    </w:pPr>
    <w:rPr>
      <w:rFonts w:hAnsi="Arial" w:cs="Arial"/>
      <w:sz w:val="24"/>
    </w:rPr>
  </w:style>
  <w:style w:type="paragraph" w:customStyle="1" w:styleId="411">
    <w:name w:val="样式 标题 4 + 四号 段前: 1 行"/>
    <w:basedOn w:val="41"/>
    <w:qFormat/>
    <w:pPr>
      <w:tabs>
        <w:tab w:val="left" w:pos="2240"/>
      </w:tabs>
      <w:spacing w:beforeLines="100" w:before="312" w:line="420" w:lineRule="exact"/>
      <w:ind w:leftChars="0" w:left="560" w:rightChars="0" w:right="0"/>
      <w:jc w:val="both"/>
    </w:pPr>
    <w:rPr>
      <w:rFonts w:ascii="Arial" w:hAnsi="Arial"/>
      <w:bCs w:val="0"/>
      <w:szCs w:val="20"/>
    </w:rPr>
  </w:style>
  <w:style w:type="paragraph" w:customStyle="1" w:styleId="afffffffffffffffffff">
    <w:name w:val="表序号"/>
    <w:basedOn w:val="50"/>
    <w:qFormat/>
    <w:pPr>
      <w:tabs>
        <w:tab w:val="clear" w:pos="1008"/>
        <w:tab w:val="left" w:pos="2535"/>
      </w:tabs>
      <w:spacing w:before="0" w:after="0" w:line="360" w:lineRule="auto"/>
      <w:ind w:left="0" w:firstLine="0"/>
      <w:jc w:val="center"/>
    </w:pPr>
    <w:rPr>
      <w:rFonts w:ascii="仿宋_GB2312" w:eastAsia="仿宋_GB2312" w:hAnsi="Arial"/>
      <w:bCs w:val="0"/>
      <w:kern w:val="44"/>
      <w:szCs w:val="20"/>
    </w:rPr>
  </w:style>
  <w:style w:type="paragraph" w:customStyle="1" w:styleId="139">
    <w:name w:val="正文小四首缩1.3行距"/>
    <w:basedOn w:val="a2"/>
    <w:qFormat/>
    <w:pPr>
      <w:ind w:firstLine="480"/>
    </w:pPr>
    <w:rPr>
      <w:bCs/>
    </w:rPr>
  </w:style>
  <w:style w:type="paragraph" w:customStyle="1" w:styleId="CharCharCharCharCharCharCharCharCharCharCharCharCharCharCharCharCharCharCharCharCharChar4">
    <w:name w:val="Char Char Char Char Char Char Char Char Char Char Char Char Char Char Char Char Char Char Char Char Char Char4"/>
    <w:basedOn w:val="a2"/>
    <w:uiPriority w:val="99"/>
    <w:qFormat/>
    <w:pPr>
      <w:jc w:val="both"/>
    </w:pPr>
    <w:rPr>
      <w:sz w:val="24"/>
    </w:rPr>
  </w:style>
  <w:style w:type="paragraph" w:customStyle="1" w:styleId="Char1CharCharCharCharCharCharCharCharCharCharCharChar4">
    <w:name w:val="Char1 Char Char Char Char Char Char Char Char Char Char Char Char4"/>
    <w:basedOn w:val="a2"/>
    <w:pPr>
      <w:jc w:val="both"/>
    </w:pPr>
  </w:style>
  <w:style w:type="paragraph" w:customStyle="1" w:styleId="12c">
    <w:name w:val="文档结构图12"/>
    <w:basedOn w:val="a2"/>
    <w:uiPriority w:val="99"/>
    <w:qFormat/>
    <w:pPr>
      <w:spacing w:line="360" w:lineRule="auto"/>
      <w:jc w:val="both"/>
    </w:pPr>
    <w:rPr>
      <w:rFonts w:hAnsi="Calibri"/>
      <w:sz w:val="18"/>
      <w:szCs w:val="18"/>
    </w:rPr>
  </w:style>
  <w:style w:type="paragraph" w:customStyle="1" w:styleId="07">
    <w:name w:val="样式 首行缩进:  0 字符"/>
    <w:basedOn w:val="a2"/>
    <w:qFormat/>
    <w:pPr>
      <w:spacing w:line="360" w:lineRule="auto"/>
      <w:ind w:firstLineChars="200" w:firstLine="200"/>
    </w:pPr>
    <w:rPr>
      <w:sz w:val="24"/>
    </w:rPr>
  </w:style>
  <w:style w:type="paragraph" w:customStyle="1" w:styleId="Text0">
    <w:name w:val="Text"/>
    <w:uiPriority w:val="99"/>
    <w:qFormat/>
    <w:pPr>
      <w:spacing w:before="120"/>
      <w:ind w:left="851" w:right="567"/>
      <w:jc w:val="both"/>
    </w:pPr>
    <w:rPr>
      <w:rFonts w:ascii="Times New Roman" w:eastAsia="宋体" w:hAnsi="Times New Roman" w:cs="Times New Roman"/>
      <w:lang w:eastAsia="en-US"/>
    </w:rPr>
  </w:style>
  <w:style w:type="paragraph" w:customStyle="1" w:styleId="afffffffffffffffffff0">
    <w:name w:val="表格（居中）"/>
    <w:basedOn w:val="a2"/>
    <w:next w:val="a2"/>
    <w:uiPriority w:val="99"/>
    <w:qFormat/>
    <w:pPr>
      <w:snapToGrid w:val="0"/>
      <w:spacing w:before="24" w:after="24" w:line="360" w:lineRule="auto"/>
      <w:ind w:left="15" w:hanging="99"/>
      <w:jc w:val="center"/>
    </w:pPr>
  </w:style>
  <w:style w:type="paragraph" w:customStyle="1" w:styleId="Char3CharCharChar1CharChar1Char3">
    <w:name w:val="Char3 Char Char Char1 Char Char1 Char3"/>
    <w:basedOn w:val="a2"/>
    <w:uiPriority w:val="99"/>
    <w:qFormat/>
    <w:pPr>
      <w:jc w:val="both"/>
    </w:pPr>
  </w:style>
  <w:style w:type="paragraph" w:customStyle="1" w:styleId="CharCharChara">
    <w:name w:val="Char Char Char"/>
    <w:basedOn w:val="a2"/>
    <w:qFormat/>
    <w:rPr>
      <w:sz w:val="24"/>
    </w:rPr>
  </w:style>
  <w:style w:type="paragraph" w:customStyle="1" w:styleId="afffffffffffffffffff1">
    <w:name w:val="政府正文"/>
    <w:basedOn w:val="a2"/>
    <w:uiPriority w:val="99"/>
    <w:qFormat/>
    <w:pPr>
      <w:snapToGrid w:val="0"/>
      <w:spacing w:line="312" w:lineRule="auto"/>
      <w:ind w:firstLineChars="200" w:firstLine="560"/>
      <w:jc w:val="both"/>
    </w:pPr>
    <w:rPr>
      <w:rFonts w:ascii="仿宋_GB2312" w:eastAsia="仿宋_GB2312" w:hAnsi="宋体"/>
      <w:color w:val="000000"/>
      <w:szCs w:val="28"/>
    </w:rPr>
  </w:style>
  <w:style w:type="paragraph" w:customStyle="1" w:styleId="3ffc">
    <w:name w:val="样式 标题 3 + 四号"/>
    <w:basedOn w:val="32"/>
    <w:pPr>
      <w:autoSpaceDE/>
      <w:autoSpaceDN/>
      <w:spacing w:before="120" w:after="120" w:line="415" w:lineRule="auto"/>
      <w:ind w:leftChars="50" w:left="105"/>
      <w:jc w:val="both"/>
      <w:textAlignment w:val="baseline"/>
    </w:pPr>
    <w:rPr>
      <w:rFonts w:ascii="Verdana" w:eastAsia="宋体" w:hAnsi="Verdana" w:cs="Verdana"/>
      <w:kern w:val="44"/>
      <w:sz w:val="24"/>
      <w:szCs w:val="20"/>
    </w:rPr>
  </w:style>
  <w:style w:type="paragraph" w:customStyle="1" w:styleId="5f1">
    <w:name w:val="多行表格样式(5号)"/>
    <w:uiPriority w:val="99"/>
    <w:qFormat/>
    <w:pPr>
      <w:spacing w:line="240" w:lineRule="exact"/>
    </w:pPr>
    <w:rPr>
      <w:rFonts w:ascii="Times New Roman" w:eastAsia="宋体" w:hAnsi="Times New Roman" w:cs="Times New Roman"/>
      <w:kern w:val="2"/>
      <w:sz w:val="21"/>
      <w:szCs w:val="24"/>
    </w:rPr>
  </w:style>
  <w:style w:type="paragraph" w:customStyle="1" w:styleId="1527878">
    <w:name w:val="样式 样式 宋体 小四 行距: 1.5 倍行距 + 首行缩进:  2 字符 段前: 7.8 磅 段后: 7.8 磅"/>
    <w:basedOn w:val="a2"/>
    <w:uiPriority w:val="99"/>
    <w:qFormat/>
    <w:pPr>
      <w:snapToGrid w:val="0"/>
      <w:spacing w:beforeLines="50" w:afterLines="50" w:line="360" w:lineRule="auto"/>
      <w:ind w:firstLineChars="200" w:firstLine="200"/>
    </w:pPr>
    <w:rPr>
      <w:rFonts w:ascii="宋体" w:hAnsi="宋体"/>
      <w:sz w:val="24"/>
    </w:rPr>
  </w:style>
  <w:style w:type="paragraph" w:customStyle="1" w:styleId="Char1CharCharCharCharChar1Char1">
    <w:name w:val="Char1 Char Char Char Char Char1 Char1"/>
    <w:basedOn w:val="a2"/>
    <w:uiPriority w:val="99"/>
    <w:semiHidden/>
    <w:qFormat/>
    <w:pPr>
      <w:jc w:val="both"/>
    </w:pPr>
    <w:rPr>
      <w:rFonts w:ascii="Times New Roman"/>
    </w:rPr>
  </w:style>
  <w:style w:type="paragraph" w:customStyle="1" w:styleId="CharCharChar1CharCharCharCharCharChar1">
    <w:name w:val="Char Char Char1 Char Char Char Char Char Char1"/>
    <w:basedOn w:val="a2"/>
    <w:qFormat/>
    <w:rPr>
      <w:sz w:val="24"/>
    </w:rPr>
  </w:style>
  <w:style w:type="paragraph" w:customStyle="1" w:styleId="afffffffffffffffffff2">
    <w:name w:val="目录"/>
    <w:qFormat/>
    <w:pPr>
      <w:spacing w:beforeLines="150" w:before="468" w:afterLines="150" w:after="468" w:line="360" w:lineRule="auto"/>
      <w:ind w:firstLineChars="40" w:firstLine="40"/>
      <w:jc w:val="center"/>
    </w:pPr>
    <w:rPr>
      <w:rFonts w:ascii="Times New Roman" w:eastAsia="黑体" w:hAnsi="Times New Roman" w:cs="宋体"/>
      <w:b/>
      <w:bCs/>
      <w:spacing w:val="8"/>
      <w:sz w:val="48"/>
      <w:szCs w:val="48"/>
    </w:rPr>
  </w:style>
  <w:style w:type="paragraph" w:customStyle="1" w:styleId="Style7">
    <w:name w:val="_Style 7"/>
    <w:basedOn w:val="a2"/>
    <w:pPr>
      <w:tabs>
        <w:tab w:val="left" w:pos="1980"/>
        <w:tab w:val="left" w:pos="2040"/>
      </w:tabs>
      <w:autoSpaceDE/>
      <w:autoSpaceDN/>
      <w:adjustRightInd/>
      <w:spacing w:line="360" w:lineRule="auto"/>
      <w:ind w:left="2040" w:firstLineChars="200" w:hanging="360"/>
      <w:jc w:val="both"/>
    </w:pPr>
    <w:rPr>
      <w:rFonts w:ascii="Calibri" w:hAnsi="Calibri"/>
      <w:szCs w:val="22"/>
    </w:rPr>
  </w:style>
  <w:style w:type="paragraph" w:customStyle="1" w:styleId="5f2">
    <w:name w:val="表格内字体5"/>
    <w:basedOn w:val="affffffff6"/>
    <w:uiPriority w:val="99"/>
    <w:qFormat/>
    <w:pPr>
      <w:spacing w:line="240" w:lineRule="auto"/>
      <w:ind w:firstLine="0"/>
      <w:jc w:val="center"/>
    </w:pPr>
    <w:rPr>
      <w:sz w:val="21"/>
      <w:szCs w:val="20"/>
    </w:rPr>
  </w:style>
  <w:style w:type="paragraph" w:customStyle="1" w:styleId="1CharCharCharCharCharCharCharCharCharCharCharChar">
    <w:name w:val="1 Char Char Char Char Char Char Char Char Char Char Char Char"/>
    <w:basedOn w:val="a2"/>
    <w:qFormat/>
  </w:style>
  <w:style w:type="paragraph" w:customStyle="1" w:styleId="Charfffffffff8">
    <w:name w:val="公式段落 Char"/>
    <w:basedOn w:val="a2"/>
    <w:qFormat/>
    <w:pPr>
      <w:snapToGrid w:val="0"/>
      <w:spacing w:beforeLines="50" w:before="156" w:line="360" w:lineRule="auto"/>
      <w:ind w:firstLineChars="200" w:firstLine="480"/>
    </w:pPr>
    <w:rPr>
      <w:color w:val="000000"/>
      <w:sz w:val="24"/>
    </w:rPr>
  </w:style>
  <w:style w:type="paragraph" w:customStyle="1" w:styleId="afffffffffffffffffff3">
    <w:name w:val="封面单位"/>
    <w:basedOn w:val="a2"/>
    <w:uiPriority w:val="99"/>
    <w:qFormat/>
    <w:pPr>
      <w:tabs>
        <w:tab w:val="center" w:pos="8222"/>
      </w:tabs>
      <w:spacing w:line="360" w:lineRule="auto"/>
      <w:jc w:val="center"/>
    </w:pPr>
    <w:rPr>
      <w:rFonts w:ascii="楷体_GB2312" w:cs="楷体_GB2312"/>
      <w:b/>
      <w:bCs/>
      <w:sz w:val="36"/>
      <w:szCs w:val="36"/>
    </w:rPr>
  </w:style>
  <w:style w:type="paragraph" w:customStyle="1" w:styleId="12d">
    <w:name w:val="12"/>
    <w:basedOn w:val="a2"/>
    <w:next w:val="af5"/>
    <w:qFormat/>
    <w:pPr>
      <w:spacing w:line="500" w:lineRule="exact"/>
      <w:ind w:firstLineChars="200" w:firstLine="560"/>
      <w:jc w:val="both"/>
    </w:pPr>
    <w:rPr>
      <w:rFonts w:ascii="仿宋_GB2312" w:eastAsia="仿宋_GB2312"/>
      <w:color w:val="FF0000"/>
    </w:rPr>
  </w:style>
  <w:style w:type="paragraph" w:customStyle="1" w:styleId="afffffffffffffffffff4">
    <w:name w:val="五号字表格"/>
    <w:basedOn w:val="1ffd"/>
    <w:qFormat/>
    <w:pPr>
      <w:spacing w:line="240" w:lineRule="auto"/>
    </w:pPr>
    <w:rPr>
      <w:rFonts w:ascii="宋体" w:hAnsi="Times New Roman"/>
    </w:rPr>
  </w:style>
  <w:style w:type="paragraph" w:customStyle="1" w:styleId="Char2CharCharCharCharCharCharCharCharCharCharCharCharCharCharCharCharCharCharCharCharChar2">
    <w:name w:val="Char2 Char Char Char Char Char Char Char Char Char Char Char Char Char Char Char Char Char Char Char Char Char2"/>
    <w:basedOn w:val="a2"/>
    <w:uiPriority w:val="99"/>
    <w:qFormat/>
    <w:pPr>
      <w:spacing w:line="360" w:lineRule="auto"/>
      <w:ind w:firstLineChars="200" w:firstLine="200"/>
      <w:jc w:val="both"/>
    </w:pPr>
    <w:rPr>
      <w:rFonts w:ascii="Times New Roman" w:eastAsia="黑体"/>
      <w:szCs w:val="28"/>
    </w:rPr>
  </w:style>
  <w:style w:type="paragraph" w:customStyle="1" w:styleId="QIXIN">
    <w:name w:val="QIXIN"/>
    <w:basedOn w:val="a2"/>
    <w:uiPriority w:val="99"/>
    <w:qFormat/>
    <w:pPr>
      <w:spacing w:line="360" w:lineRule="auto"/>
      <w:ind w:firstLineChars="200" w:firstLine="600"/>
      <w:jc w:val="both"/>
    </w:pPr>
    <w:rPr>
      <w:sz w:val="30"/>
      <w:szCs w:val="30"/>
    </w:rPr>
  </w:style>
  <w:style w:type="paragraph" w:customStyle="1" w:styleId="afffffffffffffffffff5">
    <w:name w:val="表名"/>
    <w:basedOn w:val="a2"/>
    <w:qFormat/>
    <w:pPr>
      <w:spacing w:line="360" w:lineRule="auto"/>
      <w:jc w:val="center"/>
    </w:pPr>
    <w:rPr>
      <w:b/>
      <w:bCs/>
      <w:color w:val="000000"/>
    </w:rPr>
  </w:style>
  <w:style w:type="paragraph" w:customStyle="1" w:styleId="CharCharffffff0">
    <w:name w:val="海南化工城正文 Char Char"/>
    <w:basedOn w:val="a2"/>
    <w:uiPriority w:val="99"/>
    <w:qFormat/>
    <w:pPr>
      <w:spacing w:line="324" w:lineRule="auto"/>
      <w:ind w:firstLineChars="200" w:firstLine="480"/>
      <w:jc w:val="both"/>
    </w:pPr>
    <w:rPr>
      <w:rFonts w:ascii="宋体" w:hAnsi="宋体" w:cs="宋体"/>
      <w:sz w:val="24"/>
    </w:rPr>
  </w:style>
  <w:style w:type="paragraph" w:customStyle="1" w:styleId="222H2h22Char11Char2Cha2">
    <w:name w:val="样式 标题 2标题2二级 标题 2H2h2第一层条标题 2 Char节标题节11 Char标题 2 Cha...2"/>
    <w:basedOn w:val="22"/>
    <w:uiPriority w:val="99"/>
    <w:qFormat/>
    <w:pPr>
      <w:keepNext w:val="0"/>
      <w:keepLines w:val="0"/>
      <w:tabs>
        <w:tab w:val="left" w:pos="567"/>
        <w:tab w:val="left" w:pos="680"/>
      </w:tabs>
      <w:spacing w:before="60" w:after="60" w:line="240" w:lineRule="auto"/>
      <w:ind w:left="578" w:hanging="578"/>
      <w:textAlignment w:val="baseline"/>
    </w:pPr>
    <w:rPr>
      <w:rFonts w:ascii="Times New Roman" w:eastAsia="仿宋_GB2312" w:hAnsi="Times New Roman" w:cs="宋体"/>
      <w:b w:val="0"/>
      <w:bCs w:val="0"/>
      <w:sz w:val="24"/>
      <w:szCs w:val="30"/>
    </w:rPr>
  </w:style>
  <w:style w:type="paragraph" w:customStyle="1" w:styleId="reader-word-layerreader-word-s1-8">
    <w:name w:val="reader-word-layer reader-word-s1-8"/>
    <w:basedOn w:val="a2"/>
    <w:uiPriority w:val="99"/>
    <w:qFormat/>
    <w:pPr>
      <w:spacing w:before="100" w:beforeAutospacing="1" w:after="100" w:afterAutospacing="1"/>
    </w:pPr>
    <w:rPr>
      <w:rFonts w:ascii="宋体" w:hAnsi="宋体" w:cs="宋体"/>
      <w:sz w:val="24"/>
    </w:rPr>
  </w:style>
  <w:style w:type="paragraph" w:customStyle="1" w:styleId="font1">
    <w:name w:val="font1"/>
    <w:basedOn w:val="a2"/>
    <w:qFormat/>
    <w:pPr>
      <w:widowControl/>
      <w:spacing w:before="100" w:beforeAutospacing="1" w:after="100" w:afterAutospacing="1"/>
    </w:pPr>
    <w:rPr>
      <w:rFonts w:ascii="宋体" w:hAnsi="宋体" w:cs="Arial Unicode MS" w:hint="eastAsia"/>
      <w:sz w:val="24"/>
    </w:rPr>
  </w:style>
  <w:style w:type="paragraph" w:customStyle="1" w:styleId="-31">
    <w:name w:val="浅色网格 - 强调文字颜色 31"/>
    <w:basedOn w:val="a2"/>
    <w:qFormat/>
    <w:pPr>
      <w:ind w:firstLineChars="200" w:firstLine="420"/>
    </w:pPr>
    <w:rPr>
      <w:rFonts w:ascii="Calibri" w:hAnsi="Calibri"/>
      <w:szCs w:val="22"/>
    </w:rPr>
  </w:style>
  <w:style w:type="paragraph" w:customStyle="1" w:styleId="msonormalat7">
    <w:name w:val="msonormal at_7"/>
    <w:basedOn w:val="a2"/>
    <w:uiPriority w:val="99"/>
    <w:qFormat/>
    <w:pPr>
      <w:spacing w:before="100" w:beforeAutospacing="1" w:after="100" w:afterAutospacing="1"/>
    </w:pPr>
    <w:rPr>
      <w:rFonts w:ascii="宋体" w:hAnsi="宋体" w:cs="宋体"/>
      <w:sz w:val="24"/>
    </w:rPr>
  </w:style>
  <w:style w:type="paragraph" w:customStyle="1" w:styleId="1ffffff0">
    <w:name w:val="列表段落1"/>
    <w:basedOn w:val="a2"/>
    <w:uiPriority w:val="99"/>
    <w:qFormat/>
    <w:pPr>
      <w:ind w:firstLineChars="200" w:firstLine="420"/>
      <w:jc w:val="both"/>
    </w:pPr>
    <w:rPr>
      <w:rFonts w:ascii="Calibri" w:hAnsi="Calibri"/>
      <w:szCs w:val="22"/>
    </w:rPr>
  </w:style>
  <w:style w:type="paragraph" w:customStyle="1" w:styleId="afffffffffffffffffff6">
    <w:name w:val="公式"/>
    <w:qFormat/>
    <w:pPr>
      <w:spacing w:beforeLines="50" w:before="50" w:afterLines="50" w:after="50" w:line="360" w:lineRule="auto"/>
      <w:ind w:firstLineChars="40" w:firstLine="40"/>
      <w:jc w:val="right"/>
    </w:pPr>
    <w:rPr>
      <w:rFonts w:ascii="Times New Roman" w:eastAsia="宋体" w:hAnsi="Times New Roman" w:cs="Times New Roman"/>
      <w:spacing w:val="8"/>
      <w:sz w:val="28"/>
    </w:rPr>
  </w:style>
  <w:style w:type="paragraph" w:customStyle="1" w:styleId="2fff9">
    <w:name w:val="样式 环评正文 + 首行缩进:  2 字符"/>
    <w:basedOn w:val="affffff7"/>
    <w:uiPriority w:val="99"/>
    <w:qFormat/>
    <w:pPr>
      <w:widowControl/>
      <w:spacing w:line="440" w:lineRule="exact"/>
      <w:ind w:firstLine="200"/>
    </w:pPr>
    <w:rPr>
      <w:rFonts w:ascii="Calibri" w:eastAsia="宋体" w:hAnsi="Calibri" w:cs="宋体"/>
      <w:color w:val="000000"/>
      <w:kern w:val="21"/>
      <w:sz w:val="24"/>
      <w:szCs w:val="24"/>
    </w:rPr>
  </w:style>
  <w:style w:type="paragraph" w:customStyle="1" w:styleId="Char1CharChar">
    <w:name w:val="Char1 Char Char"/>
    <w:basedOn w:val="a2"/>
    <w:uiPriority w:val="99"/>
    <w:qFormat/>
    <w:pPr>
      <w:jc w:val="both"/>
    </w:pPr>
  </w:style>
  <w:style w:type="paragraph" w:customStyle="1" w:styleId="Char3CharCharChar2">
    <w:name w:val="Char3 Char Char Char2"/>
    <w:basedOn w:val="a2"/>
    <w:uiPriority w:val="99"/>
    <w:qFormat/>
    <w:pPr>
      <w:jc w:val="both"/>
    </w:pPr>
  </w:style>
  <w:style w:type="paragraph" w:customStyle="1" w:styleId="CharCharCharCharCharCharCharCharChar1">
    <w:name w:val="Char Char Char Char Char Char Char Char Char1"/>
    <w:basedOn w:val="a2"/>
    <w:qFormat/>
    <w:pPr>
      <w:jc w:val="both"/>
    </w:pPr>
  </w:style>
  <w:style w:type="paragraph" w:customStyle="1" w:styleId="ParaCharCharChar1CharChar">
    <w:name w:val="默认段落字体 Para Char Char Char1 Char Char"/>
    <w:basedOn w:val="a2"/>
    <w:qFormat/>
    <w:rPr>
      <w:sz w:val="24"/>
    </w:rPr>
  </w:style>
  <w:style w:type="paragraph" w:customStyle="1" w:styleId="afffffffffffffffffff7">
    <w:name w:val="项目编号文字"/>
    <w:basedOn w:val="a2"/>
    <w:next w:val="a3"/>
    <w:qFormat/>
    <w:pPr>
      <w:spacing w:before="120" w:after="120" w:line="360" w:lineRule="auto"/>
      <w:ind w:left="1077"/>
    </w:pPr>
    <w:rPr>
      <w:sz w:val="24"/>
    </w:rPr>
  </w:style>
  <w:style w:type="paragraph" w:customStyle="1" w:styleId="2fffa">
    <w:name w:val="正文缩进2"/>
    <w:basedOn w:val="a2"/>
    <w:qFormat/>
    <w:pPr>
      <w:spacing w:line="500" w:lineRule="exact"/>
      <w:ind w:firstLineChars="200" w:firstLine="560"/>
      <w:jc w:val="both"/>
    </w:pPr>
    <w:rPr>
      <w:rFonts w:ascii="宋体" w:hAnsi="宋体"/>
    </w:rPr>
  </w:style>
  <w:style w:type="paragraph" w:customStyle="1" w:styleId="4f3">
    <w:name w:val="正文4"/>
    <w:basedOn w:val="a2"/>
    <w:uiPriority w:val="99"/>
    <w:qFormat/>
    <w:pPr>
      <w:spacing w:line="480" w:lineRule="exact"/>
      <w:jc w:val="both"/>
      <w:textAlignment w:val="baseline"/>
    </w:pPr>
    <w:rPr>
      <w:spacing w:val="-2"/>
    </w:rPr>
  </w:style>
  <w:style w:type="paragraph" w:customStyle="1" w:styleId="1035">
    <w:name w:val="样式 图号1 + 段前: 0.35 行"/>
    <w:basedOn w:val="a2"/>
    <w:qFormat/>
    <w:pPr>
      <w:snapToGrid w:val="0"/>
      <w:spacing w:line="520" w:lineRule="atLeast"/>
      <w:jc w:val="center"/>
    </w:pPr>
    <w:rPr>
      <w:rFonts w:cs="宋体"/>
      <w:b/>
      <w:bCs/>
    </w:rPr>
  </w:style>
  <w:style w:type="paragraph" w:customStyle="1" w:styleId="CharCharCharCharCharCharCharCharCharCharChar3">
    <w:name w:val="Char Char Char Char Char Char Char Char Char Char Char3"/>
    <w:basedOn w:val="a2"/>
    <w:uiPriority w:val="99"/>
    <w:qFormat/>
    <w:pPr>
      <w:jc w:val="both"/>
    </w:pPr>
  </w:style>
  <w:style w:type="paragraph" w:customStyle="1" w:styleId="Char2CharChar1CharCharCharChar4">
    <w:name w:val="Char2 Char Char1 Char Char Char Char4"/>
    <w:basedOn w:val="a2"/>
    <w:uiPriority w:val="99"/>
    <w:qFormat/>
    <w:pPr>
      <w:jc w:val="both"/>
    </w:pPr>
    <w:rPr>
      <w:sz w:val="24"/>
    </w:rPr>
  </w:style>
  <w:style w:type="paragraph" w:customStyle="1" w:styleId="CharCharCharCharCharCharCharCharChar1Char3">
    <w:name w:val="Char Char Char Char Char Char Char Char Char1 Char3"/>
    <w:basedOn w:val="a2"/>
    <w:uiPriority w:val="99"/>
    <w:qFormat/>
    <w:pPr>
      <w:jc w:val="both"/>
    </w:pPr>
  </w:style>
  <w:style w:type="paragraph" w:customStyle="1" w:styleId="GB231205">
    <w:name w:val="样式 (西文) 宋体 (中文) 仿宋_GB2312 五号 黑色 居中 首行缩进:  0 厘米 行距: 单倍行距5"/>
    <w:basedOn w:val="a2"/>
    <w:uiPriority w:val="99"/>
    <w:qFormat/>
    <w:pPr>
      <w:jc w:val="center"/>
    </w:pPr>
    <w:rPr>
      <w:rFonts w:ascii="宋体" w:eastAsia="仿宋_GB2312" w:hAnsi="宋体"/>
      <w:color w:val="000000"/>
    </w:rPr>
  </w:style>
  <w:style w:type="paragraph" w:customStyle="1" w:styleId="afffffffffffffffffff8">
    <w:name w:val="表格内部"/>
    <w:basedOn w:val="a2"/>
    <w:uiPriority w:val="99"/>
    <w:qFormat/>
    <w:pPr>
      <w:snapToGrid w:val="0"/>
      <w:spacing w:line="240" w:lineRule="atLeast"/>
      <w:jc w:val="center"/>
      <w:textAlignment w:val="baseline"/>
    </w:pPr>
    <w:rPr>
      <w:rFonts w:hAnsi="Arial" w:cs="Arial"/>
    </w:rPr>
  </w:style>
  <w:style w:type="paragraph" w:customStyle="1" w:styleId="xl80">
    <w:name w:val="xl80"/>
    <w:basedOn w:val="a2"/>
    <w:qFormat/>
    <w:pPr>
      <w:pBdr>
        <w:top w:val="single" w:sz="4" w:space="0" w:color="auto"/>
        <w:bottom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CM11">
    <w:name w:val="CM11"/>
    <w:basedOn w:val="Default"/>
    <w:next w:val="Default"/>
    <w:uiPriority w:val="99"/>
    <w:qFormat/>
    <w:pPr>
      <w:spacing w:beforeLines="0" w:before="0" w:afterLines="0" w:after="198" w:line="240" w:lineRule="auto"/>
      <w:ind w:firstLineChars="0" w:firstLine="0"/>
    </w:pPr>
    <w:rPr>
      <w:rFonts w:ascii="新宋体" w:eastAsia="新宋体" w:cs="Times New Roman"/>
      <w:color w:val="auto"/>
    </w:rPr>
  </w:style>
  <w:style w:type="paragraph" w:customStyle="1" w:styleId="12e">
    <w:name w:val="样式 左 行距: 固定值 12 磅"/>
    <w:basedOn w:val="a2"/>
    <w:uiPriority w:val="99"/>
    <w:qFormat/>
    <w:pPr>
      <w:spacing w:line="240" w:lineRule="exact"/>
    </w:pPr>
    <w:rPr>
      <w:rFonts w:cs="宋体"/>
      <w:sz w:val="24"/>
    </w:rPr>
  </w:style>
  <w:style w:type="paragraph" w:customStyle="1" w:styleId="T20">
    <w:name w:val="T2"/>
    <w:basedOn w:val="22"/>
    <w:qFormat/>
    <w:pPr>
      <w:keepLines w:val="0"/>
      <w:spacing w:before="0" w:after="0" w:line="600" w:lineRule="auto"/>
    </w:pPr>
    <w:rPr>
      <w:rFonts w:ascii="Times New Roman" w:eastAsia="宋体" w:hAnsi="Times New Roman" w:cs="Times New Roman"/>
      <w:bCs w:val="0"/>
      <w:sz w:val="28"/>
      <w:szCs w:val="30"/>
    </w:rPr>
  </w:style>
  <w:style w:type="paragraph" w:customStyle="1" w:styleId="1H1NMPHeading1SectionHeadHeader1h11stleve0">
    <w:name w:val="样式 样式 标题 1章标题章节H1NMP Heading 1Section HeadHeader1h11st leve... +..."/>
    <w:basedOn w:val="1H1NMPHeading1SectionHeadHeader1h11stleve"/>
    <w:qFormat/>
    <w:pPr>
      <w:jc w:val="both"/>
    </w:pPr>
    <w:rPr>
      <w:rFonts w:eastAsia="方正黑体_GBK"/>
      <w:sz w:val="36"/>
    </w:rPr>
  </w:style>
  <w:style w:type="paragraph" w:customStyle="1" w:styleId="33H3h33rdlevel3CharChar33">
    <w:name w:val="样式 标题 3标题3H3h33rd level第二层条头标题 3 Char Char小标题小节标题标题 3 ...3"/>
    <w:basedOn w:val="32"/>
    <w:uiPriority w:val="99"/>
    <w:qFormat/>
    <w:pPr>
      <w:keepLines w:val="0"/>
      <w:tabs>
        <w:tab w:val="left" w:pos="709"/>
      </w:tabs>
      <w:spacing w:before="156" w:after="120" w:line="264" w:lineRule="auto"/>
      <w:ind w:left="709" w:hanging="709"/>
      <w:textAlignment w:val="baseline"/>
    </w:pPr>
    <w:rPr>
      <w:rFonts w:ascii="Times New Roman" w:eastAsia="仿宋_GB2312" w:cs="宋体"/>
      <w:b w:val="0"/>
      <w:bCs w:val="0"/>
      <w:sz w:val="24"/>
      <w:szCs w:val="20"/>
    </w:rPr>
  </w:style>
  <w:style w:type="paragraph" w:customStyle="1" w:styleId="xl121">
    <w:name w:val="xl121"/>
    <w:basedOn w:val="a2"/>
    <w:qFormat/>
    <w:pPr>
      <w:spacing w:before="100" w:beforeAutospacing="1" w:after="100" w:afterAutospacing="1"/>
    </w:pPr>
    <w:rPr>
      <w:rFonts w:ascii="Arial Unicode MS" w:hAnsi="Arial Unicode MS"/>
      <w:sz w:val="16"/>
    </w:rPr>
  </w:style>
  <w:style w:type="paragraph" w:customStyle="1" w:styleId="afffffffffffffffffff9">
    <w:name w:val="谏壁表头"/>
    <w:basedOn w:val="chen2"/>
    <w:qFormat/>
    <w:pPr>
      <w:ind w:firstLine="482"/>
      <w:jc w:val="center"/>
    </w:pPr>
    <w:rPr>
      <w:b/>
    </w:rPr>
  </w:style>
  <w:style w:type="paragraph" w:customStyle="1" w:styleId="T3">
    <w:name w:val="T表格小字"/>
    <w:basedOn w:val="af4"/>
    <w:uiPriority w:val="99"/>
    <w:qFormat/>
    <w:pPr>
      <w:tabs>
        <w:tab w:val="left" w:pos="900"/>
      </w:tabs>
      <w:spacing w:after="0" w:line="200" w:lineRule="exact"/>
      <w:jc w:val="both"/>
    </w:pPr>
    <w:rPr>
      <w:rFonts w:eastAsia="仿宋_GB2312"/>
      <w:kern w:val="0"/>
      <w:sz w:val="15"/>
      <w:szCs w:val="24"/>
      <w:lang w:val="zh-CN"/>
    </w:rPr>
  </w:style>
  <w:style w:type="paragraph" w:customStyle="1" w:styleId="CharCharCharChar1CharCharCharCharCharCharChar2">
    <w:name w:val="Char Char Char Char1 Char Char Char Char Char Char Char2"/>
    <w:basedOn w:val="a2"/>
    <w:uiPriority w:val="99"/>
    <w:qFormat/>
    <w:pPr>
      <w:tabs>
        <w:tab w:val="left" w:pos="360"/>
      </w:tabs>
      <w:snapToGrid w:val="0"/>
      <w:spacing w:line="360" w:lineRule="auto"/>
      <w:jc w:val="both"/>
    </w:pPr>
    <w:rPr>
      <w:rFonts w:ascii="Times New Roman" w:eastAsia="仿宋_GB2312"/>
    </w:rPr>
  </w:style>
  <w:style w:type="paragraph" w:customStyle="1" w:styleId="CharChar161">
    <w:name w:val="Char Char161"/>
    <w:basedOn w:val="a2"/>
    <w:uiPriority w:val="99"/>
    <w:qFormat/>
    <w:pPr>
      <w:jc w:val="both"/>
    </w:pPr>
    <w:rPr>
      <w:sz w:val="24"/>
    </w:rPr>
  </w:style>
  <w:style w:type="paragraph" w:customStyle="1" w:styleId="Char1CharCharCharCharCharChar13">
    <w:name w:val="Char1 Char Char Char Char Char Char13"/>
    <w:basedOn w:val="a2"/>
    <w:uiPriority w:val="99"/>
    <w:qFormat/>
  </w:style>
  <w:style w:type="paragraph" w:customStyle="1" w:styleId="afffffffffffffffffffa">
    <w:name w:val="表格的格式"/>
    <w:basedOn w:val="a2"/>
    <w:qFormat/>
    <w:pPr>
      <w:jc w:val="center"/>
    </w:pPr>
    <w:rPr>
      <w:rFonts w:ascii="Times New Roman"/>
    </w:rPr>
  </w:style>
  <w:style w:type="paragraph" w:customStyle="1" w:styleId="text-1">
    <w:name w:val="text-1"/>
    <w:basedOn w:val="a2"/>
    <w:uiPriority w:val="99"/>
    <w:qFormat/>
    <w:pPr>
      <w:ind w:firstLine="680"/>
      <w:jc w:val="both"/>
    </w:pPr>
  </w:style>
  <w:style w:type="paragraph" w:customStyle="1" w:styleId="CM45">
    <w:name w:val="CM45"/>
    <w:basedOn w:val="Default"/>
    <w:next w:val="Default"/>
    <w:pPr>
      <w:spacing w:beforeLines="0" w:before="0" w:afterLines="0" w:after="0" w:line="240" w:lineRule="auto"/>
      <w:ind w:firstLineChars="0" w:firstLine="0"/>
      <w:jc w:val="both"/>
    </w:pPr>
    <w:rPr>
      <w:rFonts w:ascii="黑体" w:eastAsia="黑体" w:cs="Times New Roman"/>
      <w:color w:val="auto"/>
    </w:rPr>
  </w:style>
  <w:style w:type="paragraph" w:customStyle="1" w:styleId="1CharCharCharCharCharCharChar">
    <w:name w:val="1 Char Char Char Char Char Char Char"/>
    <w:basedOn w:val="a2"/>
    <w:uiPriority w:val="99"/>
    <w:qFormat/>
    <w:pPr>
      <w:jc w:val="both"/>
    </w:pPr>
  </w:style>
  <w:style w:type="paragraph" w:customStyle="1" w:styleId="afffffffffffffffffffb">
    <w:name w:val="바탕글"/>
    <w:uiPriority w:val="99"/>
    <w:qFormat/>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Batang" w:eastAsia="Batang" w:hAnsi="Times New Roman" w:cs="Times New Roman"/>
      <w:color w:val="000000"/>
      <w:lang w:eastAsia="ko-KR"/>
    </w:rPr>
  </w:style>
  <w:style w:type="paragraph" w:customStyle="1" w:styleId="xl753">
    <w:name w:val="xl753"/>
    <w:basedOn w:val="a2"/>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Arial Unicode MS" w:hint="eastAsia"/>
      <w:sz w:val="24"/>
    </w:rPr>
  </w:style>
  <w:style w:type="paragraph" w:customStyle="1" w:styleId="11Char11-h11stlevelSectionHeadl1b1">
    <w:name w:val="样式 标题 1标题 1 Char文号1章标题 1-*+h11st levelSection Headl1b1..."/>
    <w:basedOn w:val="12"/>
    <w:next w:val="a2"/>
    <w:uiPriority w:val="99"/>
    <w:qFormat/>
    <w:pPr>
      <w:pageBreakBefore/>
      <w:tabs>
        <w:tab w:val="left" w:pos="425"/>
      </w:tabs>
      <w:snapToGrid w:val="0"/>
      <w:spacing w:before="240" w:after="240" w:line="578" w:lineRule="auto"/>
      <w:ind w:left="425" w:hanging="425"/>
      <w:jc w:val="both"/>
      <w:textAlignment w:val="auto"/>
    </w:pPr>
    <w:rPr>
      <w:b/>
      <w:bCs w:val="0"/>
      <w:sz w:val="36"/>
      <w:szCs w:val="32"/>
    </w:rPr>
  </w:style>
  <w:style w:type="paragraph" w:customStyle="1" w:styleId="1ffffff1">
    <w:name w:val="质表正文1"/>
    <w:basedOn w:val="a2"/>
    <w:uiPriority w:val="99"/>
    <w:qFormat/>
    <w:pPr>
      <w:snapToGrid w:val="0"/>
      <w:spacing w:line="360" w:lineRule="auto"/>
      <w:jc w:val="center"/>
    </w:pPr>
    <w:rPr>
      <w:rFonts w:ascii="宋体" w:hAnsi="宋体"/>
    </w:rPr>
  </w:style>
  <w:style w:type="paragraph" w:customStyle="1" w:styleId="316">
    <w:name w:val="标题 31"/>
    <w:basedOn w:val="a2"/>
    <w:next w:val="a2"/>
    <w:uiPriority w:val="99"/>
    <w:qFormat/>
    <w:pPr>
      <w:keepNext/>
      <w:keepLines/>
      <w:spacing w:before="120" w:after="120" w:line="500" w:lineRule="exact"/>
      <w:jc w:val="both"/>
      <w:textAlignment w:val="baseline"/>
    </w:pPr>
    <w:rPr>
      <w:rFonts w:ascii="宋体" w:eastAsia="黑体" w:hAnsi="宋体" w:hint="eastAsia"/>
      <w:sz w:val="30"/>
    </w:rPr>
  </w:style>
  <w:style w:type="paragraph" w:customStyle="1" w:styleId="1130">
    <w:name w:val="样式 首行缩进:  1.13 厘米"/>
    <w:basedOn w:val="a2"/>
    <w:uiPriority w:val="99"/>
    <w:qFormat/>
    <w:pPr>
      <w:spacing w:line="500" w:lineRule="exact"/>
    </w:pPr>
    <w:rPr>
      <w:rFonts w:ascii="华文中宋" w:eastAsia="仿宋_GB2312" w:hAnsi="华文中宋"/>
      <w:sz w:val="32"/>
    </w:rPr>
  </w:style>
  <w:style w:type="paragraph" w:customStyle="1" w:styleId="1h1H1PIM1111SectionHeadHeader11stlevell1">
    <w:name w:val="样式 标题 1h1H1PIM 1标书11.标题 1Section HeadHeader11st levell1..."/>
    <w:basedOn w:val="12"/>
    <w:qFormat/>
    <w:pPr>
      <w:tabs>
        <w:tab w:val="left" w:pos="1155"/>
      </w:tabs>
      <w:spacing w:before="240" w:after="240" w:line="500" w:lineRule="exact"/>
      <w:textAlignment w:val="auto"/>
    </w:pPr>
    <w:rPr>
      <w:rFonts w:ascii="宋体" w:eastAsia="宋体" w:hAnsi="宋体"/>
      <w:b/>
      <w:color w:val="000000"/>
      <w:sz w:val="28"/>
      <w:szCs w:val="28"/>
    </w:rPr>
  </w:style>
  <w:style w:type="paragraph" w:customStyle="1" w:styleId="CM83">
    <w:name w:val="CM83"/>
    <w:basedOn w:val="Default"/>
    <w:next w:val="Default"/>
    <w:qFormat/>
    <w:pPr>
      <w:spacing w:afterLines="0" w:after="138"/>
    </w:pPr>
    <w:rPr>
      <w:rFonts w:cs="Times New Roman"/>
      <w:color w:val="auto"/>
      <w:sz w:val="20"/>
    </w:rPr>
  </w:style>
  <w:style w:type="paragraph" w:customStyle="1" w:styleId="Char2CharChar1CharCharCharCharCharCharCharCharCharChar3">
    <w:name w:val="Char2 Char Char1 Char Char Char Char Char Char Char Char Char Char3"/>
    <w:basedOn w:val="a2"/>
    <w:uiPriority w:val="99"/>
    <w:qFormat/>
    <w:pPr>
      <w:jc w:val="both"/>
    </w:pPr>
  </w:style>
  <w:style w:type="paragraph" w:customStyle="1" w:styleId="z-2">
    <w:name w:val="z-窗体顶端2"/>
    <w:basedOn w:val="a2"/>
    <w:next w:val="a2"/>
    <w:uiPriority w:val="99"/>
    <w:qFormat/>
    <w:pPr>
      <w:pBdr>
        <w:bottom w:val="single" w:sz="6" w:space="1" w:color="auto"/>
      </w:pBdr>
      <w:jc w:val="center"/>
      <w:textAlignment w:val="baseline"/>
    </w:pPr>
    <w:rPr>
      <w:rFonts w:hAnsi="Arial"/>
      <w:vanish/>
      <w:sz w:val="16"/>
    </w:rPr>
  </w:style>
  <w:style w:type="paragraph" w:customStyle="1" w:styleId="ParaCharCharChar1Char">
    <w:name w:val="默认段落字体 Para Char Char Char1 Char"/>
    <w:basedOn w:val="a2"/>
    <w:qFormat/>
    <w:pPr>
      <w:spacing w:line="240" w:lineRule="atLeast"/>
      <w:ind w:left="420" w:firstLine="420"/>
      <w:jc w:val="both"/>
    </w:pPr>
  </w:style>
  <w:style w:type="paragraph" w:customStyle="1" w:styleId="CharCharChar1CharCharCharCharCharCharCharCharCharCharCharCharChar">
    <w:name w:val="Char Char Char1 Char Char Char Char Char Char Char Char Char Char Char Char Char"/>
    <w:basedOn w:val="a2"/>
    <w:pPr>
      <w:jc w:val="both"/>
    </w:pPr>
    <w:rPr>
      <w:sz w:val="24"/>
    </w:rPr>
  </w:style>
  <w:style w:type="paragraph" w:customStyle="1" w:styleId="Char310">
    <w:name w:val="Char31"/>
    <w:basedOn w:val="a2"/>
    <w:qFormat/>
    <w:rPr>
      <w:sz w:val="30"/>
    </w:rPr>
  </w:style>
  <w:style w:type="paragraph" w:customStyle="1" w:styleId="1ffffff2">
    <w:name w:val="表体1"/>
    <w:basedOn w:val="a2"/>
    <w:pPr>
      <w:autoSpaceDE/>
      <w:autoSpaceDN/>
      <w:snapToGrid w:val="0"/>
      <w:spacing w:line="360" w:lineRule="atLeast"/>
      <w:ind w:left="-96" w:right="-85"/>
      <w:jc w:val="center"/>
      <w:textAlignment w:val="baseline"/>
    </w:pPr>
    <w:rPr>
      <w:rFonts w:ascii="仿宋_GB2312" w:eastAsia="仿宋_GB2312" w:hAnsi="Courier New"/>
    </w:rPr>
  </w:style>
  <w:style w:type="paragraph" w:customStyle="1" w:styleId="xl78">
    <w:name w:val="xl78"/>
    <w:basedOn w:val="a2"/>
    <w:qFormat/>
    <w:pPr>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11e">
    <w:name w:val="11"/>
    <w:basedOn w:val="a2"/>
    <w:next w:val="a3"/>
    <w:qFormat/>
    <w:pPr>
      <w:ind w:firstLineChars="200" w:firstLine="420"/>
      <w:jc w:val="both"/>
    </w:pPr>
  </w:style>
  <w:style w:type="paragraph" w:customStyle="1" w:styleId="Char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 Char4"/>
    <w:basedOn w:val="a2"/>
    <w:uiPriority w:val="99"/>
    <w:qFormat/>
    <w:pPr>
      <w:jc w:val="both"/>
    </w:pPr>
  </w:style>
  <w:style w:type="paragraph" w:customStyle="1" w:styleId="CharChar1CharCharCharCharCharCharCharCharCharCharCharCharCharCharCharCharCharCharCharChar1Char5">
    <w:name w:val="Char Char1 Char Char Char Char Char Char Char Char Char Char Char Char Char Char Char Char Char Char Char Char1 Char5"/>
    <w:basedOn w:val="a2"/>
    <w:qFormat/>
    <w:pPr>
      <w:spacing w:line="360" w:lineRule="auto"/>
      <w:ind w:firstLineChars="200" w:firstLine="200"/>
    </w:pPr>
    <w:rPr>
      <w:rFonts w:ascii="宋体" w:hAnsi="宋体" w:cs="宋体"/>
      <w:sz w:val="24"/>
    </w:rPr>
  </w:style>
  <w:style w:type="paragraph" w:customStyle="1" w:styleId="Char1CharCharCharCharChar1Char3">
    <w:name w:val="Char1 Char Char Char Char Char1 Char3"/>
    <w:basedOn w:val="a2"/>
    <w:semiHidden/>
    <w:qFormat/>
    <w:pPr>
      <w:jc w:val="both"/>
    </w:pPr>
    <w:rPr>
      <w:rFonts w:ascii="Times New Roman"/>
    </w:rPr>
  </w:style>
  <w:style w:type="paragraph" w:customStyle="1" w:styleId="afffffffffffffffffffc">
    <w:name w:val="表粗"/>
    <w:basedOn w:val="afffffffffff5"/>
    <w:uiPriority w:val="99"/>
    <w:qFormat/>
    <w:pPr>
      <w:spacing w:line="360" w:lineRule="exact"/>
    </w:pPr>
    <w:rPr>
      <w:rFonts w:ascii="Arial" w:eastAsia="仿宋_GB2312" w:hAnsi="Arial"/>
      <w:b/>
      <w:color w:val="000000"/>
      <w:sz w:val="21"/>
      <w:szCs w:val="21"/>
    </w:rPr>
  </w:style>
  <w:style w:type="paragraph" w:customStyle="1" w:styleId="afffffffffffffffffffd">
    <w:name w:val="深圳"/>
    <w:basedOn w:val="CM6"/>
    <w:uiPriority w:val="99"/>
    <w:qFormat/>
    <w:pPr>
      <w:snapToGrid w:val="0"/>
      <w:spacing w:beforeLines="50" w:before="156" w:afterLines="50" w:after="156" w:line="360" w:lineRule="auto"/>
      <w:ind w:firstLineChars="200" w:firstLine="425"/>
      <w:jc w:val="both"/>
    </w:pPr>
    <w:rPr>
      <w:rFonts w:ascii="Times New Roman" w:eastAsia="宋体" w:cs="..ì."/>
      <w:color w:val="000000"/>
      <w:sz w:val="21"/>
      <w:szCs w:val="21"/>
    </w:rPr>
  </w:style>
  <w:style w:type="paragraph" w:customStyle="1" w:styleId="CM6">
    <w:name w:val="CM6"/>
    <w:basedOn w:val="Default"/>
    <w:next w:val="Default"/>
    <w:uiPriority w:val="99"/>
    <w:qFormat/>
    <w:pPr>
      <w:spacing w:beforeLines="0" w:before="0" w:afterLines="0" w:after="0" w:line="240" w:lineRule="auto"/>
      <w:ind w:firstLineChars="0" w:firstLine="0"/>
    </w:pPr>
    <w:rPr>
      <w:rFonts w:ascii="新宋体" w:eastAsia="新宋体" w:cs="Times New Roman"/>
      <w:color w:val="auto"/>
    </w:rPr>
  </w:style>
  <w:style w:type="paragraph" w:customStyle="1" w:styleId="1ffffff3">
    <w:name w:val="段落1"/>
    <w:basedOn w:val="a2"/>
    <w:pPr>
      <w:autoSpaceDE/>
      <w:autoSpaceDN/>
      <w:spacing w:line="360" w:lineRule="auto"/>
      <w:ind w:firstLineChars="200" w:firstLine="504"/>
      <w:jc w:val="both"/>
      <w:textAlignment w:val="baseline"/>
    </w:pPr>
    <w:rPr>
      <w:rFonts w:ascii="宋体" w:hAnsi="宋体"/>
      <w:spacing w:val="6"/>
    </w:rPr>
  </w:style>
  <w:style w:type="paragraph" w:customStyle="1" w:styleId="2fffb">
    <w:name w:val="正文首行缩进  2字符"/>
    <w:basedOn w:val="a2"/>
    <w:uiPriority w:val="99"/>
    <w:qFormat/>
    <w:pPr>
      <w:spacing w:line="360" w:lineRule="auto"/>
      <w:ind w:firstLineChars="200" w:firstLine="480"/>
      <w:jc w:val="both"/>
    </w:pPr>
    <w:rPr>
      <w:sz w:val="24"/>
    </w:rPr>
  </w:style>
  <w:style w:type="paragraph" w:customStyle="1" w:styleId="CharCharCharCharCharCharCharCharCharCharChar1CharCharCharCharCharCharCharCharCharCharCharCharCharCharCharChar1">
    <w:name w:val="Char Char Char Char Char Char Char Char Char Char Char1 Char Char Char Char Char Char Char Char Char Char Char Char Char Char Char Char1"/>
    <w:basedOn w:val="a2"/>
    <w:uiPriority w:val="99"/>
    <w:qFormat/>
    <w:pPr>
      <w:jc w:val="both"/>
    </w:pPr>
  </w:style>
  <w:style w:type="paragraph" w:customStyle="1" w:styleId="1113">
    <w:name w:val="正文1.1.1"/>
    <w:basedOn w:val="a2"/>
    <w:uiPriority w:val="99"/>
    <w:qFormat/>
    <w:pPr>
      <w:jc w:val="both"/>
    </w:pPr>
    <w:rPr>
      <w:rFonts w:ascii="仿宋_GB2312" w:eastAsia="仿宋_GB2312"/>
      <w:color w:val="000000"/>
      <w:spacing w:val="-8"/>
      <w:w w:val="90"/>
    </w:rPr>
  </w:style>
  <w:style w:type="paragraph" w:customStyle="1" w:styleId="2fffc">
    <w:name w:val="列出段落2"/>
    <w:basedOn w:val="a2"/>
    <w:qFormat/>
    <w:pPr>
      <w:spacing w:line="460" w:lineRule="atLeast"/>
      <w:ind w:firstLineChars="200" w:firstLine="420"/>
      <w:jc w:val="both"/>
    </w:pPr>
    <w:rPr>
      <w:rFonts w:ascii="宋体"/>
      <w:bCs/>
      <w:kern w:val="44"/>
      <w:szCs w:val="44"/>
    </w:rPr>
  </w:style>
  <w:style w:type="paragraph" w:customStyle="1" w:styleId="17113">
    <w:name w:val="样式 首行缩进:  1.71 字符13"/>
    <w:basedOn w:val="aff9"/>
    <w:uiPriority w:val="99"/>
    <w:qFormat/>
    <w:pPr>
      <w:spacing w:line="360" w:lineRule="auto"/>
      <w:ind w:firstLineChars="171" w:firstLine="359"/>
      <w:jc w:val="both"/>
    </w:pPr>
    <w:rPr>
      <w:rFonts w:cs="宋体"/>
      <w:sz w:val="24"/>
      <w:szCs w:val="20"/>
    </w:rPr>
  </w:style>
  <w:style w:type="paragraph" w:customStyle="1" w:styleId="CharCharCharCharCharCharCharCharCharChar2">
    <w:name w:val="图名称 Char Char Char Char Char Char Char Char Char Char"/>
    <w:basedOn w:val="a2"/>
    <w:uiPriority w:val="99"/>
    <w:qFormat/>
    <w:pPr>
      <w:tabs>
        <w:tab w:val="left" w:pos="-120"/>
      </w:tabs>
      <w:spacing w:before="60" w:line="310" w:lineRule="atLeast"/>
      <w:jc w:val="center"/>
    </w:pPr>
    <w:rPr>
      <w:rFonts w:ascii="黑体" w:eastAsia="黑体"/>
      <w:b/>
      <w:bCs/>
      <w:szCs w:val="28"/>
    </w:rPr>
  </w:style>
  <w:style w:type="paragraph" w:customStyle="1" w:styleId="382">
    <w:name w:val="样式 样式 样式38 + 黑色 + 首行缩进:  2 字符"/>
    <w:basedOn w:val="a2"/>
    <w:qFormat/>
    <w:pPr>
      <w:snapToGrid w:val="0"/>
      <w:spacing w:line="355" w:lineRule="auto"/>
      <w:ind w:firstLineChars="200" w:firstLine="200"/>
      <w:jc w:val="both"/>
    </w:pPr>
    <w:rPr>
      <w:rFonts w:ascii="宋体" w:eastAsia="仿宋_GB2312" w:hAnsi="宋体" w:cs="宋体"/>
      <w:color w:val="000000"/>
    </w:rPr>
  </w:style>
  <w:style w:type="paragraph" w:customStyle="1" w:styleId="CharCharChar1Char">
    <w:name w:val="Char Char Char1 Char"/>
    <w:basedOn w:val="a2"/>
    <w:pPr>
      <w:jc w:val="both"/>
    </w:pPr>
  </w:style>
  <w:style w:type="paragraph" w:customStyle="1" w:styleId="CharChar3Char">
    <w:name w:val="Char Char3 Char"/>
    <w:basedOn w:val="a2"/>
    <w:next w:val="a2"/>
    <w:uiPriority w:val="99"/>
    <w:qFormat/>
    <w:pPr>
      <w:spacing w:line="360" w:lineRule="auto"/>
      <w:ind w:firstLineChars="200" w:firstLine="200"/>
      <w:jc w:val="center"/>
    </w:pPr>
    <w:rPr>
      <w:rFonts w:eastAsia="黑体"/>
    </w:rPr>
  </w:style>
  <w:style w:type="paragraph" w:customStyle="1" w:styleId="cjh">
    <w:name w:val="cjh"/>
    <w:basedOn w:val="a2"/>
    <w:next w:val="a2"/>
    <w:qFormat/>
    <w:pPr>
      <w:keepLines/>
      <w:suppressLineNumbers/>
      <w:suppressAutoHyphens/>
      <w:jc w:val="center"/>
      <w:outlineLvl w:val="0"/>
    </w:pPr>
    <w:rPr>
      <w:rFonts w:ascii="宋体" w:hint="eastAsia"/>
      <w:kern w:val="24"/>
    </w:rPr>
  </w:style>
  <w:style w:type="paragraph" w:customStyle="1" w:styleId="afffffffffffffffffffe">
    <w:name w:val="可研正文"/>
    <w:basedOn w:val="a3"/>
    <w:uiPriority w:val="99"/>
    <w:qFormat/>
    <w:pPr>
      <w:tabs>
        <w:tab w:val="center" w:pos="567"/>
        <w:tab w:val="left" w:pos="1134"/>
        <w:tab w:val="right" w:leader="middleDot" w:pos="7938"/>
      </w:tabs>
      <w:spacing w:line="360" w:lineRule="auto"/>
      <w:ind w:firstLine="504"/>
      <w:jc w:val="both"/>
    </w:pPr>
    <w:rPr>
      <w:rFonts w:ascii="仿宋_GB2312" w:eastAsia="仿宋_GB2312"/>
      <w:snapToGrid w:val="0"/>
      <w:spacing w:val="-14"/>
      <w:kern w:val="0"/>
      <w:sz w:val="28"/>
      <w:szCs w:val="28"/>
    </w:rPr>
  </w:style>
  <w:style w:type="paragraph" w:customStyle="1" w:styleId="GB-11">
    <w:name w:val="GB-1.1"/>
    <w:pPr>
      <w:keepNext/>
      <w:numPr>
        <w:ilvl w:val="1"/>
        <w:numId w:val="14"/>
      </w:numPr>
      <w:spacing w:beforeLines="50" w:before="158" w:afterLines="50" w:after="158"/>
      <w:outlineLvl w:val="1"/>
    </w:pPr>
    <w:rPr>
      <w:rFonts w:ascii="黑体" w:eastAsia="黑体" w:hAnsi="Times New Roman" w:cs="Times New Roman"/>
      <w:sz w:val="21"/>
    </w:rPr>
  </w:style>
  <w:style w:type="paragraph" w:customStyle="1" w:styleId="affffffffffffffffffff">
    <w:name w:val="注×："/>
    <w:qFormat/>
    <w:pPr>
      <w:widowControl w:val="0"/>
      <w:tabs>
        <w:tab w:val="left" w:pos="630"/>
      </w:tabs>
      <w:autoSpaceDE w:val="0"/>
      <w:autoSpaceDN w:val="0"/>
      <w:spacing w:beforeLines="50" w:before="50" w:afterLines="50" w:after="50" w:line="360" w:lineRule="auto"/>
      <w:ind w:left="900" w:firstLineChars="40" w:hanging="500"/>
      <w:jc w:val="both"/>
    </w:pPr>
    <w:rPr>
      <w:rFonts w:ascii="Times New Roman" w:eastAsia="宋体" w:hAnsi="Times New Roman" w:cs="Times New Roman"/>
      <w:sz w:val="18"/>
    </w:rPr>
  </w:style>
  <w:style w:type="paragraph" w:customStyle="1" w:styleId="font12">
    <w:name w:val="font12"/>
    <w:basedOn w:val="a2"/>
    <w:qFormat/>
    <w:pPr>
      <w:spacing w:before="100" w:beforeAutospacing="1" w:after="100" w:afterAutospacing="1"/>
    </w:pPr>
    <w:rPr>
      <w:rFonts w:ascii="宋体" w:hAnsi="宋体" w:cs="Arial Unicode MS" w:hint="eastAsia"/>
      <w:color w:val="FF0000"/>
      <w:sz w:val="20"/>
    </w:rPr>
  </w:style>
  <w:style w:type="paragraph" w:customStyle="1" w:styleId="E">
    <w:name w:val="E"/>
    <w:basedOn w:val="D"/>
    <w:uiPriority w:val="99"/>
    <w:qFormat/>
    <w:pPr>
      <w:numPr>
        <w:ilvl w:val="4"/>
        <w:numId w:val="15"/>
      </w:numPr>
      <w:tabs>
        <w:tab w:val="clear" w:pos="360"/>
        <w:tab w:val="left" w:pos="2040"/>
      </w:tabs>
      <w:ind w:left="2040" w:hanging="360"/>
      <w:outlineLvl w:val="4"/>
    </w:pPr>
  </w:style>
  <w:style w:type="paragraph" w:customStyle="1" w:styleId="2212">
    <w:name w:val="样式 小四 行距: 固定值 22 磅1"/>
    <w:basedOn w:val="a2"/>
    <w:uiPriority w:val="99"/>
    <w:qFormat/>
    <w:pPr>
      <w:spacing w:beforeLines="100" w:before="312" w:line="560" w:lineRule="exact"/>
      <w:ind w:firstLineChars="200" w:firstLine="562"/>
      <w:jc w:val="both"/>
      <w:outlineLvl w:val="0"/>
    </w:pPr>
    <w:rPr>
      <w:rFonts w:cs="宋体"/>
      <w:b/>
      <w:szCs w:val="28"/>
    </w:rPr>
  </w:style>
  <w:style w:type="paragraph" w:customStyle="1" w:styleId="WW-1">
    <w:name w:val="WW-表格1"/>
    <w:basedOn w:val="a2"/>
    <w:uiPriority w:val="99"/>
    <w:qFormat/>
    <w:pPr>
      <w:suppressAutoHyphens/>
      <w:snapToGrid w:val="0"/>
      <w:spacing w:before="20" w:after="20"/>
      <w:jc w:val="center"/>
    </w:pPr>
    <w:rPr>
      <w:kern w:val="1"/>
      <w:lang w:eastAsia="ar-SA"/>
    </w:rPr>
  </w:style>
  <w:style w:type="paragraph" w:customStyle="1" w:styleId="75">
    <w:name w:val="样式 标题 7表标题 + 居中"/>
    <w:basedOn w:val="7"/>
    <w:uiPriority w:val="99"/>
    <w:qFormat/>
    <w:pPr>
      <w:tabs>
        <w:tab w:val="clear" w:pos="165"/>
      </w:tabs>
      <w:spacing w:line="240" w:lineRule="auto"/>
      <w:ind w:left="0" w:firstLine="0"/>
      <w:jc w:val="center"/>
    </w:pPr>
    <w:rPr>
      <w:rFonts w:eastAsia="文鼎CS中宋" w:cs="宋体"/>
      <w:b w:val="0"/>
      <w:bCs/>
      <w:kern w:val="0"/>
    </w:rPr>
  </w:style>
  <w:style w:type="paragraph" w:customStyle="1" w:styleId="xl89">
    <w:name w:val="xl89"/>
    <w:basedOn w:val="a2"/>
    <w:qFormat/>
    <w:pPr>
      <w:pBdr>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224">
    <w:name w:val="样式 正文文本 + 首行缩进:  2 字符2"/>
    <w:basedOn w:val="af4"/>
    <w:uiPriority w:val="99"/>
    <w:qFormat/>
    <w:pPr>
      <w:spacing w:after="60" w:line="264" w:lineRule="auto"/>
      <w:ind w:firstLineChars="200" w:firstLine="480"/>
      <w:jc w:val="both"/>
      <w:textAlignment w:val="baseline"/>
    </w:pPr>
    <w:rPr>
      <w:rFonts w:eastAsia="仿宋_GB2312" w:cs="宋体"/>
      <w:kern w:val="0"/>
      <w:sz w:val="24"/>
    </w:rPr>
  </w:style>
  <w:style w:type="paragraph" w:customStyle="1" w:styleId="33H3h33rdlevel3CharChar1">
    <w:name w:val="样式 标题 3标题3H3h33rd level第二层条头小标题小节标题标题 3 Char Char一海港标...1"/>
    <w:basedOn w:val="32"/>
    <w:uiPriority w:val="99"/>
    <w:qFormat/>
    <w:pPr>
      <w:keepLines w:val="0"/>
      <w:spacing w:before="120" w:after="120" w:line="264" w:lineRule="auto"/>
      <w:textAlignment w:val="baseline"/>
    </w:pPr>
    <w:rPr>
      <w:rFonts w:ascii="Times New Roman" w:eastAsia="仿宋_GB2312"/>
      <w:b w:val="0"/>
      <w:bCs w:val="0"/>
      <w:sz w:val="24"/>
      <w:szCs w:val="20"/>
    </w:rPr>
  </w:style>
  <w:style w:type="paragraph" w:customStyle="1" w:styleId="Charfffffffff9">
    <w:name w:val="样式 正文格式 Char"/>
    <w:basedOn w:val="CharCharCharCharCharCharCharCharCharCharCharCharChar"/>
    <w:uiPriority w:val="99"/>
    <w:qFormat/>
    <w:pPr>
      <w:ind w:firstLine="200"/>
    </w:pPr>
    <w:rPr>
      <w:rFonts w:ascii="宋体" w:hAnsi="宋体"/>
    </w:rPr>
  </w:style>
  <w:style w:type="paragraph" w:customStyle="1" w:styleId="105051">
    <w:name w:val="样式 标题 1 + 段前: 0.5 行 段后: 0.5 行"/>
    <w:basedOn w:val="12"/>
    <w:uiPriority w:val="99"/>
    <w:qFormat/>
    <w:pPr>
      <w:tabs>
        <w:tab w:val="left" w:pos="360"/>
      </w:tabs>
      <w:spacing w:beforeLines="50" w:before="156" w:afterLines="50" w:after="156"/>
      <w:jc w:val="both"/>
      <w:textAlignment w:val="auto"/>
    </w:pPr>
    <w:rPr>
      <w:rFonts w:eastAsia="宋体" w:cs="宋体"/>
      <w:b/>
      <w:bCs w:val="0"/>
      <w:sz w:val="28"/>
      <w:szCs w:val="44"/>
    </w:rPr>
  </w:style>
  <w:style w:type="paragraph" w:customStyle="1" w:styleId="A15">
    <w:name w:val="A标题1"/>
    <w:next w:val="a2"/>
    <w:uiPriority w:val="99"/>
    <w:qFormat/>
    <w:pPr>
      <w:spacing w:beforeLines="100" w:before="312" w:afterLines="100" w:after="312" w:line="360" w:lineRule="auto"/>
      <w:jc w:val="both"/>
      <w:outlineLvl w:val="0"/>
    </w:pPr>
    <w:rPr>
      <w:rFonts w:ascii="Times New Roman" w:eastAsia="黑体" w:hAnsi="Times New Roman" w:cs="宋体"/>
      <w:b/>
      <w:kern w:val="44"/>
      <w:sz w:val="32"/>
    </w:rPr>
  </w:style>
  <w:style w:type="paragraph" w:customStyle="1" w:styleId="affffffffffffffffffff0">
    <w:name w:val="图框"/>
    <w:basedOn w:val="a2"/>
    <w:qFormat/>
    <w:pPr>
      <w:jc w:val="center"/>
    </w:pPr>
  </w:style>
  <w:style w:type="paragraph" w:customStyle="1" w:styleId="2fffd">
    <w:name w:val="表题 2"/>
    <w:basedOn w:val="a2"/>
    <w:uiPriority w:val="99"/>
    <w:qFormat/>
    <w:pPr>
      <w:spacing w:before="120" w:after="120"/>
      <w:jc w:val="center"/>
      <w:textAlignment w:val="baseline"/>
    </w:pPr>
  </w:style>
  <w:style w:type="paragraph" w:customStyle="1" w:styleId="2fffe">
    <w:name w:val="封面标准号2"/>
    <w:basedOn w:val="a2"/>
    <w:qFormat/>
    <w:pPr>
      <w:framePr w:w="9138" w:h="1244" w:hRule="exact" w:wrap="around" w:vAnchor="page" w:hAnchor="margin" w:y="2908" w:anchorLock="1"/>
      <w:kinsoku w:val="0"/>
      <w:overflowPunct w:val="0"/>
      <w:spacing w:before="357" w:line="280" w:lineRule="exact"/>
      <w:jc w:val="right"/>
      <w:textAlignment w:val="center"/>
    </w:pPr>
  </w:style>
  <w:style w:type="paragraph" w:customStyle="1" w:styleId="CharChar12CharChar">
    <w:name w:val="Char Char12 Char Char"/>
    <w:basedOn w:val="a2"/>
    <w:qFormat/>
    <w:pPr>
      <w:autoSpaceDE/>
      <w:autoSpaceDN/>
      <w:adjustRightInd/>
      <w:jc w:val="both"/>
    </w:pPr>
    <w:rPr>
      <w:rFonts w:ascii="Tahoma" w:hAnsi="Tahoma"/>
    </w:rPr>
  </w:style>
  <w:style w:type="paragraph" w:customStyle="1" w:styleId="308221">
    <w:name w:val="样式 标题 3 + 段前: 0 磅 段后: 8 磅 行距: 固定值 22 磅1"/>
    <w:basedOn w:val="32"/>
    <w:uiPriority w:val="99"/>
    <w:qFormat/>
    <w:pPr>
      <w:tabs>
        <w:tab w:val="left" w:pos="720"/>
      </w:tabs>
      <w:spacing w:before="0" w:after="0" w:line="360" w:lineRule="auto"/>
      <w:ind w:left="720" w:hanging="720"/>
      <w:jc w:val="both"/>
    </w:pPr>
    <w:rPr>
      <w:rFonts w:ascii="Times New Roman" w:eastAsia="宋体"/>
      <w:sz w:val="28"/>
      <w:szCs w:val="28"/>
    </w:rPr>
  </w:style>
  <w:style w:type="paragraph" w:customStyle="1" w:styleId="DecimalAligned">
    <w:name w:val="Decimal Aligned"/>
    <w:basedOn w:val="a2"/>
    <w:qFormat/>
    <w:pPr>
      <w:widowControl/>
      <w:tabs>
        <w:tab w:val="decimal" w:pos="360"/>
      </w:tabs>
      <w:autoSpaceDE/>
      <w:autoSpaceDN/>
      <w:adjustRightInd/>
      <w:spacing w:after="200" w:line="276" w:lineRule="auto"/>
    </w:pPr>
    <w:rPr>
      <w:rFonts w:ascii="Calibri" w:hAnsi="Calibri"/>
      <w:sz w:val="22"/>
      <w:szCs w:val="22"/>
    </w:rPr>
  </w:style>
  <w:style w:type="paragraph" w:customStyle="1" w:styleId="CharCharCharCharCharCharCharCharCharCharCharCharCharCharCharCharCharCharChar1">
    <w:name w:val="Char Char Char Char Char Char Char Char Char Char Char Char Char Char Char Char Char Char Char1"/>
    <w:basedOn w:val="a2"/>
    <w:uiPriority w:val="99"/>
    <w:qFormat/>
    <w:pPr>
      <w:jc w:val="both"/>
    </w:pPr>
    <w:rPr>
      <w:rFonts w:ascii="Times New Roman"/>
    </w:rPr>
  </w:style>
  <w:style w:type="paragraph" w:customStyle="1" w:styleId="2150">
    <w:name w:val="样式 宋体 首行缩进:  2 字符 行距: 1.5 倍行距"/>
    <w:basedOn w:val="a2"/>
    <w:uiPriority w:val="99"/>
    <w:qFormat/>
    <w:pPr>
      <w:spacing w:line="360" w:lineRule="auto"/>
      <w:ind w:firstLineChars="200" w:firstLine="480"/>
      <w:jc w:val="both"/>
    </w:pPr>
    <w:rPr>
      <w:sz w:val="24"/>
    </w:rPr>
  </w:style>
  <w:style w:type="paragraph" w:customStyle="1" w:styleId="1240">
    <w:name w:val="样式 标题 1 + 三号 行距: 最小值 24 磅"/>
    <w:basedOn w:val="12"/>
    <w:uiPriority w:val="99"/>
    <w:qFormat/>
    <w:pPr>
      <w:tabs>
        <w:tab w:val="left" w:pos="238"/>
      </w:tabs>
      <w:spacing w:line="480" w:lineRule="auto"/>
      <w:jc w:val="both"/>
      <w:textAlignment w:val="auto"/>
    </w:pPr>
    <w:rPr>
      <w:rFonts w:eastAsia="宋体"/>
      <w:b/>
      <w:bCs w:val="0"/>
      <w:kern w:val="0"/>
      <w:sz w:val="30"/>
      <w:szCs w:val="30"/>
    </w:rPr>
  </w:style>
  <w:style w:type="paragraph" w:customStyle="1" w:styleId="201">
    <w:name w:val="样式 标题 2 + 段前: 0 磅"/>
    <w:basedOn w:val="22"/>
    <w:qFormat/>
    <w:pPr>
      <w:snapToGrid w:val="0"/>
      <w:spacing w:before="0" w:after="120" w:line="520" w:lineRule="exact"/>
      <w:jc w:val="both"/>
    </w:pPr>
    <w:rPr>
      <w:rFonts w:ascii="Arial" w:eastAsia="宋体" w:hAnsi="Arial" w:cs="宋体"/>
      <w:bCs w:val="0"/>
      <w:sz w:val="24"/>
      <w:szCs w:val="20"/>
    </w:rPr>
  </w:style>
  <w:style w:type="paragraph" w:customStyle="1" w:styleId="010">
    <w:name w:val="样式_正文_01"/>
    <w:basedOn w:val="a2"/>
    <w:uiPriority w:val="99"/>
    <w:qFormat/>
    <w:pPr>
      <w:spacing w:line="360" w:lineRule="auto"/>
      <w:ind w:left="-10" w:firstLineChars="225" w:firstLine="540"/>
      <w:jc w:val="both"/>
    </w:pPr>
    <w:rPr>
      <w:rFonts w:ascii="Garamond" w:hAnsi="Garamond"/>
      <w:sz w:val="24"/>
    </w:rPr>
  </w:style>
  <w:style w:type="paragraph" w:customStyle="1" w:styleId="CharCharChar1CharCharCharCharCharCharCharCharCharCharCharCharCharCharCharCharCharCharChar4">
    <w:name w:val="Char Char Char1 Char Char Char Char Char Char Char Char Char Char Char Char Char Char Char Char Char Char Char4"/>
    <w:basedOn w:val="a2"/>
    <w:pPr>
      <w:jc w:val="both"/>
    </w:pPr>
    <w:rPr>
      <w:sz w:val="24"/>
    </w:rPr>
  </w:style>
  <w:style w:type="paragraph" w:customStyle="1" w:styleId="CharChar1Char">
    <w:name w:val="Char Char1 Char"/>
    <w:basedOn w:val="a2"/>
    <w:pPr>
      <w:jc w:val="both"/>
    </w:pPr>
  </w:style>
  <w:style w:type="paragraph" w:customStyle="1" w:styleId="Char4CharCharCharCharCharCharCharCharChar">
    <w:name w:val="Char4 Char Char Char Char Char Char Char Char Char"/>
    <w:basedOn w:val="a2"/>
    <w:pPr>
      <w:jc w:val="both"/>
    </w:pPr>
    <w:rPr>
      <w:sz w:val="24"/>
    </w:rPr>
  </w:style>
  <w:style w:type="paragraph" w:customStyle="1" w:styleId="reader-word-layerreader-word-s2-1">
    <w:name w:val="reader-word-layer reader-word-s2-1"/>
    <w:basedOn w:val="a2"/>
    <w:pPr>
      <w:widowControl/>
      <w:autoSpaceDE/>
      <w:autoSpaceDN/>
      <w:adjustRightInd/>
      <w:spacing w:before="100" w:beforeAutospacing="1" w:after="100" w:afterAutospacing="1"/>
    </w:pPr>
    <w:rPr>
      <w:rFonts w:ascii="宋体" w:hAnsi="宋体" w:cs="宋体"/>
    </w:rPr>
  </w:style>
  <w:style w:type="paragraph" w:customStyle="1" w:styleId="Charfffffffffa">
    <w:name w:val="表格文字居中 Char"/>
    <w:basedOn w:val="aff9"/>
    <w:qFormat/>
    <w:pPr>
      <w:keepNext/>
      <w:tabs>
        <w:tab w:val="left" w:pos="628"/>
        <w:tab w:val="left" w:pos="1727"/>
        <w:tab w:val="left" w:pos="1884"/>
        <w:tab w:val="left" w:pos="2660"/>
        <w:tab w:val="left" w:pos="5460"/>
      </w:tabs>
      <w:spacing w:before="100" w:beforeAutospacing="1" w:after="0"/>
      <w:ind w:firstLineChars="0" w:firstLine="0"/>
      <w:jc w:val="center"/>
    </w:pPr>
    <w:rPr>
      <w:rFonts w:ascii="宋体"/>
      <w:bCs/>
      <w:color w:val="000000"/>
      <w:kern w:val="0"/>
      <w:sz w:val="24"/>
      <w:szCs w:val="20"/>
    </w:rPr>
  </w:style>
  <w:style w:type="paragraph" w:customStyle="1" w:styleId="6a">
    <w:name w:val="日期6"/>
    <w:basedOn w:val="a2"/>
    <w:next w:val="a2"/>
    <w:uiPriority w:val="99"/>
    <w:qFormat/>
    <w:pPr>
      <w:spacing w:line="312" w:lineRule="atLeast"/>
      <w:jc w:val="both"/>
      <w:textAlignment w:val="baseline"/>
    </w:pPr>
    <w:rPr>
      <w:rFonts w:ascii="宋体" w:hAnsi="Courier New"/>
      <w:sz w:val="20"/>
    </w:rPr>
  </w:style>
  <w:style w:type="paragraph" w:customStyle="1" w:styleId="1ffffff4">
    <w:name w:val="引用1"/>
    <w:basedOn w:val="a2"/>
    <w:next w:val="a2"/>
    <w:qFormat/>
    <w:pPr>
      <w:widowControl/>
      <w:autoSpaceDE/>
      <w:autoSpaceDN/>
      <w:adjustRightInd/>
      <w:ind w:leftChars="-20" w:left="-20" w:rightChars="-20" w:right="-20"/>
      <w:jc w:val="center"/>
    </w:pPr>
    <w:rPr>
      <w:rFonts w:hAnsi="Arial"/>
      <w:iCs/>
      <w:spacing w:val="-5"/>
      <w:lang w:bidi="he-IL"/>
    </w:rPr>
  </w:style>
  <w:style w:type="paragraph" w:customStyle="1" w:styleId="affffffffffffffffffff1">
    <w:name w:val="表芯"/>
    <w:basedOn w:val="a2"/>
    <w:next w:val="a2"/>
    <w:uiPriority w:val="99"/>
    <w:qFormat/>
    <w:pPr>
      <w:keepNext/>
      <w:spacing w:before="20" w:line="0" w:lineRule="atLeast"/>
      <w:jc w:val="center"/>
      <w:textAlignment w:val="baseline"/>
    </w:pPr>
    <w:rPr>
      <w:kern w:val="21"/>
    </w:rPr>
  </w:style>
  <w:style w:type="paragraph" w:customStyle="1" w:styleId="76">
    <w:name w:val="样式7"/>
    <w:basedOn w:val="22"/>
    <w:qFormat/>
    <w:pPr>
      <w:spacing w:before="0" w:after="0" w:line="360" w:lineRule="auto"/>
    </w:pPr>
    <w:rPr>
      <w:rFonts w:ascii="黑体" w:eastAsia="黑体" w:hAnsi="Arial" w:cs="Times New Roman"/>
      <w:b w:val="0"/>
      <w:sz w:val="36"/>
    </w:rPr>
  </w:style>
  <w:style w:type="paragraph" w:customStyle="1" w:styleId="affffffffffffffffffff2">
    <w:name w:val="封面日期"/>
    <w:basedOn w:val="a2"/>
    <w:pPr>
      <w:autoSpaceDE/>
      <w:autoSpaceDN/>
      <w:adjustRightInd/>
      <w:spacing w:line="400" w:lineRule="exact"/>
      <w:ind w:firstLineChars="200" w:firstLine="560"/>
      <w:jc w:val="center"/>
    </w:pPr>
    <w:rPr>
      <w:rFonts w:ascii="仿宋_GB2312" w:eastAsia="仿宋_GB2312"/>
    </w:rPr>
  </w:style>
  <w:style w:type="paragraph" w:customStyle="1" w:styleId="Char2CharChar1CharCharCharChar1">
    <w:name w:val="Char2 Char Char1 Char Char Char Char1"/>
    <w:basedOn w:val="a2"/>
    <w:uiPriority w:val="99"/>
    <w:qFormat/>
    <w:pPr>
      <w:jc w:val="both"/>
    </w:pPr>
    <w:rPr>
      <w:sz w:val="24"/>
    </w:rPr>
  </w:style>
  <w:style w:type="paragraph" w:customStyle="1" w:styleId="xl757">
    <w:name w:val="xl757"/>
    <w:basedOn w:val="a2"/>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hint="eastAsia"/>
      <w:sz w:val="24"/>
    </w:rPr>
  </w:style>
  <w:style w:type="paragraph" w:customStyle="1" w:styleId="2ffff">
    <w:name w:val="批注框文本2"/>
    <w:basedOn w:val="a2"/>
    <w:uiPriority w:val="99"/>
    <w:qFormat/>
    <w:rPr>
      <w:rFonts w:ascii="Times New Roman"/>
      <w:sz w:val="18"/>
    </w:rPr>
  </w:style>
  <w:style w:type="paragraph" w:customStyle="1" w:styleId="xl91">
    <w:name w:val="xl91"/>
    <w:basedOn w:val="a2"/>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宋体" w:hAnsi="宋体"/>
      <w:sz w:val="20"/>
    </w:rPr>
  </w:style>
  <w:style w:type="paragraph" w:customStyle="1" w:styleId="Char2CharChar1CharCharChar4">
    <w:name w:val="Char2 Char Char1 Char Char Char4"/>
    <w:basedOn w:val="a2"/>
    <w:pPr>
      <w:jc w:val="both"/>
    </w:pPr>
    <w:rPr>
      <w:sz w:val="24"/>
    </w:rPr>
  </w:style>
  <w:style w:type="paragraph" w:customStyle="1" w:styleId="CharCharChar1CharChar">
    <w:name w:val="Char Char Char1 Char Char"/>
    <w:basedOn w:val="a2"/>
    <w:uiPriority w:val="99"/>
    <w:qFormat/>
    <w:pPr>
      <w:jc w:val="both"/>
    </w:pPr>
    <w:rPr>
      <w:rFonts w:ascii="宋体" w:hAnsi="宋体" w:cs="宋体"/>
      <w:color w:val="000000"/>
      <w:sz w:val="24"/>
    </w:rPr>
  </w:style>
  <w:style w:type="paragraph" w:customStyle="1" w:styleId="161">
    <w:name w:val="16"/>
    <w:basedOn w:val="a2"/>
    <w:next w:val="af8"/>
    <w:qFormat/>
    <w:pPr>
      <w:spacing w:line="500" w:lineRule="exact"/>
      <w:jc w:val="both"/>
    </w:pPr>
    <w:rPr>
      <w:rFonts w:ascii="宋体" w:eastAsia="仿宋_GB2312" w:hAnsi="Courier New"/>
    </w:rPr>
  </w:style>
  <w:style w:type="paragraph" w:customStyle="1" w:styleId="77">
    <w:name w:val="表格内字体7"/>
    <w:basedOn w:val="a2"/>
    <w:uiPriority w:val="99"/>
    <w:qFormat/>
    <w:pPr>
      <w:jc w:val="center"/>
    </w:pPr>
    <w:rPr>
      <w:rFonts w:ascii="宋体" w:cs="宋体"/>
    </w:rPr>
  </w:style>
  <w:style w:type="paragraph" w:customStyle="1" w:styleId="12f">
    <w:name w:val="纯文本12"/>
    <w:basedOn w:val="a2"/>
    <w:qFormat/>
    <w:pPr>
      <w:spacing w:line="300" w:lineRule="auto"/>
      <w:textAlignment w:val="baseline"/>
    </w:pPr>
    <w:rPr>
      <w:rFonts w:ascii="Courier New" w:hAnsi="Courier New"/>
    </w:rPr>
  </w:style>
  <w:style w:type="paragraph" w:customStyle="1" w:styleId="table1">
    <w:name w:val="table1"/>
    <w:basedOn w:val="a2"/>
    <w:uiPriority w:val="99"/>
    <w:qFormat/>
    <w:pPr>
      <w:spacing w:line="240" w:lineRule="atLeast"/>
      <w:jc w:val="center"/>
      <w:textAlignment w:val="baseline"/>
    </w:pPr>
    <w:rPr>
      <w:rFonts w:eastAsia="黑体"/>
      <w:sz w:val="24"/>
    </w:rPr>
  </w:style>
  <w:style w:type="paragraph" w:customStyle="1" w:styleId="pvc11">
    <w:name w:val="pvc1.1"/>
    <w:basedOn w:val="22"/>
    <w:next w:val="22"/>
    <w:uiPriority w:val="99"/>
    <w:qFormat/>
    <w:pPr>
      <w:tabs>
        <w:tab w:val="left" w:pos="576"/>
        <w:tab w:val="left" w:pos="768"/>
      </w:tabs>
      <w:spacing w:beforeLines="100" w:before="120" w:afterLines="100" w:after="120" w:line="324" w:lineRule="auto"/>
      <w:ind w:left="576" w:hanging="576"/>
      <w:jc w:val="both"/>
    </w:pPr>
    <w:rPr>
      <w:rFonts w:ascii="黑体" w:eastAsia="华文中宋" w:hAnsi="Arial" w:cs="宋体"/>
      <w:b w:val="0"/>
      <w:bCs w:val="0"/>
      <w:sz w:val="44"/>
      <w:szCs w:val="44"/>
    </w:rPr>
  </w:style>
  <w:style w:type="paragraph" w:customStyle="1" w:styleId="z">
    <w:name w:val="z正文"/>
    <w:basedOn w:val="a2"/>
    <w:uiPriority w:val="99"/>
    <w:qFormat/>
    <w:pPr>
      <w:kinsoku w:val="0"/>
      <w:snapToGrid w:val="0"/>
      <w:spacing w:line="360" w:lineRule="auto"/>
      <w:ind w:firstLineChars="200" w:firstLine="480"/>
      <w:jc w:val="both"/>
    </w:pPr>
    <w:rPr>
      <w:rFonts w:hAnsi="Arial" w:cs="Arial"/>
      <w:bCs/>
      <w:sz w:val="24"/>
    </w:rPr>
  </w:style>
  <w:style w:type="paragraph" w:customStyle="1" w:styleId="CharCharCharCharCharCharCharChar1CharCharCharCharCharCharCharCharCharCharCharChar1Char2">
    <w:name w:val="Char Char Char Char Char Char Char Char1 Char Char Char Char Char Char Char Char Char Char Char Char1 Char2"/>
    <w:basedOn w:val="a2"/>
    <w:uiPriority w:val="99"/>
    <w:qFormat/>
    <w:pPr>
      <w:jc w:val="both"/>
    </w:pPr>
    <w:rPr>
      <w:rFonts w:ascii="Times New Roman"/>
    </w:rPr>
  </w:style>
  <w:style w:type="paragraph" w:customStyle="1" w:styleId="affffffffffffffffffff3">
    <w:name w:val="表名和图名"/>
    <w:uiPriority w:val="99"/>
    <w:qFormat/>
    <w:pPr>
      <w:jc w:val="center"/>
    </w:pPr>
    <w:rPr>
      <w:rFonts w:ascii="Times New Roman" w:eastAsia="宋体" w:hAnsi="Times New Roman" w:cs="Times New Roman"/>
      <w:b/>
      <w:sz w:val="24"/>
    </w:rPr>
  </w:style>
  <w:style w:type="paragraph" w:customStyle="1" w:styleId="CM1">
    <w:name w:val="CM1"/>
    <w:basedOn w:val="a2"/>
    <w:next w:val="a2"/>
    <w:qFormat/>
    <w:pPr>
      <w:spacing w:line="360" w:lineRule="auto"/>
      <w:jc w:val="center"/>
    </w:pPr>
    <w:rPr>
      <w:rFonts w:ascii="宋体" w:hAnsi="宋体" w:cs="宋体"/>
      <w:szCs w:val="28"/>
    </w:rPr>
  </w:style>
  <w:style w:type="paragraph" w:customStyle="1" w:styleId="affffffffffffffffffff4">
    <w:name w:val="样式 列表"/>
    <w:basedOn w:val="aff2"/>
    <w:qFormat/>
    <w:pPr>
      <w:spacing w:line="280" w:lineRule="exact"/>
    </w:pPr>
    <w:rPr>
      <w:rFonts w:ascii="Times New Roman" w:eastAsia="方正仿宋_GBK" w:cs="宋体"/>
      <w:sz w:val="21"/>
    </w:rPr>
  </w:style>
  <w:style w:type="paragraph" w:customStyle="1" w:styleId="affffffffffffffffffff5">
    <w:name w:val="内容"/>
    <w:basedOn w:val="a2"/>
    <w:uiPriority w:val="99"/>
    <w:qFormat/>
    <w:pPr>
      <w:overflowPunct w:val="0"/>
      <w:spacing w:line="360" w:lineRule="auto"/>
      <w:ind w:firstLineChars="200" w:firstLine="560"/>
      <w:textAlignment w:val="baseline"/>
    </w:pPr>
    <w:rPr>
      <w:rFonts w:ascii="宋体" w:hAnsi="Garamond"/>
    </w:rPr>
  </w:style>
  <w:style w:type="paragraph" w:customStyle="1" w:styleId="4CharCharChar1CharCharCharChar">
    <w:name w:val="4 Char Char Char1 Char Char Char Char"/>
    <w:basedOn w:val="a2"/>
    <w:pPr>
      <w:autoSpaceDE/>
      <w:autoSpaceDN/>
      <w:adjustRightInd/>
      <w:spacing w:line="360" w:lineRule="auto"/>
      <w:ind w:firstLineChars="200" w:firstLine="200"/>
      <w:jc w:val="both"/>
    </w:pPr>
    <w:rPr>
      <w:rFonts w:ascii="宋体" w:hAnsi="宋体" w:cs="宋体"/>
    </w:rPr>
  </w:style>
  <w:style w:type="paragraph" w:customStyle="1" w:styleId="xl81">
    <w:name w:val="xl81"/>
    <w:basedOn w:val="a2"/>
    <w:qFormat/>
    <w:pPr>
      <w:pBdr>
        <w:top w:val="single" w:sz="4" w:space="0" w:color="auto"/>
        <w:lef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CharCharCharCharCharCharCharCharCharCharCharCharCharCharCharCharCharCharChar3">
    <w:name w:val="Char Char Char Char Char Char Char Char Char Char Char Char Char Char Char Char Char Char Char3"/>
    <w:basedOn w:val="a2"/>
    <w:qFormat/>
    <w:pPr>
      <w:jc w:val="both"/>
    </w:pPr>
    <w:rPr>
      <w:sz w:val="24"/>
    </w:rPr>
  </w:style>
  <w:style w:type="paragraph" w:customStyle="1" w:styleId="Char1CharCharCharCharCharChar2">
    <w:name w:val="Char1 Char Char Char Char Char Char2"/>
    <w:basedOn w:val="a2"/>
    <w:qFormat/>
    <w:pPr>
      <w:jc w:val="both"/>
    </w:pPr>
  </w:style>
  <w:style w:type="paragraph" w:customStyle="1" w:styleId="1ffffff5">
    <w:name w:val="我的标题1"/>
    <w:basedOn w:val="a2"/>
    <w:uiPriority w:val="99"/>
    <w:qFormat/>
    <w:pPr>
      <w:spacing w:line="460" w:lineRule="exact"/>
      <w:ind w:firstLineChars="192" w:firstLine="192"/>
      <w:jc w:val="both"/>
      <w:outlineLvl w:val="0"/>
    </w:pPr>
    <w:rPr>
      <w:rFonts w:ascii="黑体" w:eastAsia="黑体"/>
      <w:sz w:val="32"/>
    </w:rPr>
  </w:style>
  <w:style w:type="paragraph" w:customStyle="1" w:styleId="affffffffffffffffffff6">
    <w:name w:val="正文条目a"/>
    <w:basedOn w:val="a2"/>
    <w:uiPriority w:val="99"/>
    <w:qFormat/>
    <w:pPr>
      <w:ind w:leftChars="300" w:left="400" w:hangingChars="100" w:hanging="100"/>
      <w:jc w:val="both"/>
    </w:pPr>
    <w:rPr>
      <w:rFonts w:ascii="宋体"/>
      <w:sz w:val="24"/>
    </w:rPr>
  </w:style>
  <w:style w:type="paragraph" w:customStyle="1" w:styleId="3111H3BOD0Heading3-oldLevel3Head">
    <w:name w:val="样式 标题 3小标题小节标题条标题1.1.1H3BOD 0Heading 3 - oldLevel 3 Head..."/>
    <w:basedOn w:val="32"/>
    <w:uiPriority w:val="99"/>
    <w:qFormat/>
    <w:pPr>
      <w:tabs>
        <w:tab w:val="left" w:pos="1129"/>
      </w:tabs>
      <w:snapToGrid w:val="0"/>
      <w:spacing w:beforeLines="50" w:afterLines="50" w:line="300" w:lineRule="auto"/>
      <w:ind w:left="1129" w:hanging="709"/>
      <w:jc w:val="both"/>
    </w:pPr>
    <w:rPr>
      <w:rFonts w:ascii="仿宋_GB2312" w:eastAsia="宋体"/>
      <w:b w:val="0"/>
      <w:bCs w:val="0"/>
      <w:sz w:val="28"/>
      <w:szCs w:val="20"/>
    </w:rPr>
  </w:style>
  <w:style w:type="paragraph" w:customStyle="1" w:styleId="affffffffffffffffffff7">
    <w:name w:val="大"/>
    <w:basedOn w:val="12"/>
    <w:uiPriority w:val="99"/>
    <w:qFormat/>
    <w:pPr>
      <w:keepNext w:val="0"/>
      <w:keepLines w:val="0"/>
      <w:tabs>
        <w:tab w:val="left" w:pos="432"/>
      </w:tabs>
      <w:spacing w:beforeLines="250" w:before="360" w:afterLines="100" w:after="312"/>
      <w:ind w:left="432" w:hanging="432"/>
      <w:textAlignment w:val="auto"/>
    </w:pPr>
    <w:rPr>
      <w:b/>
      <w:sz w:val="36"/>
      <w:szCs w:val="44"/>
    </w:rPr>
  </w:style>
  <w:style w:type="paragraph" w:customStyle="1" w:styleId="Style10">
    <w:name w:val="Style1"/>
    <w:basedOn w:val="a2"/>
    <w:uiPriority w:val="99"/>
    <w:qFormat/>
    <w:pPr>
      <w:tabs>
        <w:tab w:val="left" w:pos="-720"/>
      </w:tabs>
      <w:spacing w:after="120"/>
      <w:jc w:val="both"/>
    </w:pPr>
    <w:rPr>
      <w:spacing w:val="-3"/>
      <w:sz w:val="24"/>
      <w:lang w:val="en-AU" w:eastAsia="en-US"/>
    </w:rPr>
  </w:style>
  <w:style w:type="paragraph" w:customStyle="1" w:styleId="CharCharCharCharCharCharCharCharChar1CharCharCharCharCharChar">
    <w:name w:val="Char Char Char Char Char Char Char Char Char1 Char Char Char Char Char Char"/>
    <w:basedOn w:val="a2"/>
    <w:qFormat/>
    <w:rPr>
      <w:sz w:val="24"/>
    </w:rPr>
  </w:style>
  <w:style w:type="paragraph" w:customStyle="1" w:styleId="CM14">
    <w:name w:val="CM14"/>
    <w:basedOn w:val="Default"/>
    <w:next w:val="Default"/>
    <w:qFormat/>
    <w:pPr>
      <w:spacing w:beforeLines="0" w:before="0" w:afterLines="0" w:after="145" w:line="240" w:lineRule="auto"/>
      <w:ind w:firstLineChars="0" w:firstLine="0"/>
    </w:pPr>
    <w:rPr>
      <w:rFonts w:eastAsia="宋体" w:hAnsi="Arial Unicode MS" w:cs="Times New Roman"/>
      <w:color w:val="auto"/>
    </w:rPr>
  </w:style>
  <w:style w:type="paragraph" w:customStyle="1" w:styleId="affffffffffffffffffff8">
    <w:name w:val="四级条标题"/>
    <w:basedOn w:val="afffffffffffff"/>
    <w:next w:val="a2"/>
    <w:qFormat/>
    <w:pPr>
      <w:tabs>
        <w:tab w:val="clear" w:pos="360"/>
        <w:tab w:val="clear" w:pos="1820"/>
        <w:tab w:val="clear" w:pos="2100"/>
        <w:tab w:val="clear" w:pos="2240"/>
        <w:tab w:val="clear" w:pos="2660"/>
        <w:tab w:val="left" w:pos="2520"/>
        <w:tab w:val="left" w:pos="3080"/>
      </w:tabs>
      <w:ind w:left="3080"/>
      <w:outlineLvl w:val="5"/>
    </w:pPr>
  </w:style>
  <w:style w:type="paragraph" w:customStyle="1" w:styleId="2252252">
    <w:name w:val="样式 样式 样式 小四 首行缩进:  2.25 字符 + 首行缩进:  2.25 字符 + 首行缩进:  2 字符"/>
    <w:basedOn w:val="a2"/>
    <w:pPr>
      <w:autoSpaceDE/>
      <w:autoSpaceDN/>
      <w:adjustRightInd/>
      <w:spacing w:line="440" w:lineRule="exact"/>
      <w:ind w:firstLineChars="200" w:firstLine="200"/>
      <w:jc w:val="both"/>
    </w:pPr>
  </w:style>
  <w:style w:type="paragraph" w:customStyle="1" w:styleId="CharCharCharCharCharCharCharChar3">
    <w:name w:val="Char Char Char Char Char Char Char Char"/>
    <w:basedOn w:val="a2"/>
    <w:pPr>
      <w:jc w:val="both"/>
    </w:pPr>
    <w:rPr>
      <w:sz w:val="24"/>
    </w:rPr>
  </w:style>
  <w:style w:type="paragraph" w:customStyle="1" w:styleId="T10">
    <w:name w:val="T1"/>
    <w:basedOn w:val="12"/>
    <w:qFormat/>
    <w:pPr>
      <w:keepLines w:val="0"/>
      <w:tabs>
        <w:tab w:val="left" w:pos="1155"/>
      </w:tabs>
      <w:spacing w:line="600" w:lineRule="auto"/>
      <w:textAlignment w:val="auto"/>
    </w:pPr>
    <w:rPr>
      <w:rFonts w:eastAsia="宋体" w:hAnsi="宋体"/>
      <w:b/>
      <w:bCs w:val="0"/>
      <w:kern w:val="2"/>
      <w:sz w:val="32"/>
      <w:szCs w:val="32"/>
    </w:rPr>
  </w:style>
  <w:style w:type="paragraph" w:customStyle="1" w:styleId="Char1CharCharChar13">
    <w:name w:val="Char1 Char Char Char13"/>
    <w:basedOn w:val="a2"/>
    <w:uiPriority w:val="99"/>
    <w:qFormat/>
    <w:pPr>
      <w:jc w:val="both"/>
    </w:pPr>
  </w:style>
  <w:style w:type="paragraph" w:customStyle="1" w:styleId="Charfffffffffb">
    <w:name w:val="表中文字 Char"/>
    <w:basedOn w:val="a2"/>
    <w:uiPriority w:val="99"/>
    <w:qFormat/>
    <w:pPr>
      <w:jc w:val="center"/>
    </w:pPr>
  </w:style>
  <w:style w:type="paragraph" w:customStyle="1" w:styleId="CharCharChar1CharCharCharCharCharCharCharCharCharCharCharCharCharCharCharCharCharCharChar3">
    <w:name w:val="Char Char Char1 Char Char Char Char Char Char Char Char Char Char Char Char Char Char Char Char Char Char Char3"/>
    <w:basedOn w:val="a2"/>
    <w:uiPriority w:val="99"/>
    <w:qFormat/>
    <w:pPr>
      <w:jc w:val="both"/>
    </w:pPr>
  </w:style>
  <w:style w:type="paragraph" w:customStyle="1" w:styleId="Char350">
    <w:name w:val="Char35"/>
    <w:basedOn w:val="a2"/>
    <w:uiPriority w:val="99"/>
    <w:qFormat/>
  </w:style>
  <w:style w:type="paragraph" w:customStyle="1" w:styleId="xl110">
    <w:name w:val="xl110"/>
    <w:basedOn w:val="a2"/>
    <w:qFormat/>
    <w:pPr>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sz w:val="18"/>
      <w:szCs w:val="18"/>
    </w:rPr>
  </w:style>
  <w:style w:type="paragraph" w:customStyle="1" w:styleId="Char1CharChar5">
    <w:name w:val="Char1 Char Char5"/>
    <w:basedOn w:val="a2"/>
    <w:pPr>
      <w:jc w:val="both"/>
    </w:pPr>
  </w:style>
  <w:style w:type="paragraph" w:customStyle="1" w:styleId="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2"/>
    <w:basedOn w:val="a2"/>
    <w:uiPriority w:val="99"/>
    <w:qFormat/>
    <w:pPr>
      <w:jc w:val="both"/>
    </w:pPr>
  </w:style>
  <w:style w:type="paragraph" w:customStyle="1" w:styleId="affffffffffffffffffff9">
    <w:name w:val="大表格"/>
    <w:basedOn w:val="affffffffffffffffffffa"/>
    <w:uiPriority w:val="99"/>
    <w:qFormat/>
    <w:pPr>
      <w:spacing w:line="480" w:lineRule="exact"/>
    </w:pPr>
    <w:rPr>
      <w:sz w:val="28"/>
      <w:szCs w:val="28"/>
    </w:rPr>
  </w:style>
  <w:style w:type="paragraph" w:customStyle="1" w:styleId="affffffffffffffffffffa">
    <w:name w:val="中表格"/>
    <w:basedOn w:val="a2"/>
    <w:uiPriority w:val="99"/>
    <w:qFormat/>
    <w:pPr>
      <w:spacing w:line="420" w:lineRule="exact"/>
      <w:jc w:val="center"/>
    </w:pPr>
    <w:rPr>
      <w:rFonts w:ascii="宋体" w:hAnsi="Arial"/>
      <w:sz w:val="24"/>
    </w:rPr>
  </w:style>
  <w:style w:type="paragraph" w:customStyle="1" w:styleId="CharCharCharChar9">
    <w:name w:val="样式 题注 + 居中 Char Char Char Char"/>
    <w:basedOn w:val="ac"/>
    <w:next w:val="a2"/>
    <w:uiPriority w:val="99"/>
    <w:qFormat/>
    <w:pPr>
      <w:spacing w:before="120" w:after="120"/>
      <w:jc w:val="center"/>
    </w:pPr>
    <w:rPr>
      <w:rFonts w:ascii="Times New Roman" w:hAnsi="Times New Roman" w:cs="宋体"/>
      <w:sz w:val="24"/>
      <w:szCs w:val="24"/>
    </w:rPr>
  </w:style>
  <w:style w:type="paragraph" w:customStyle="1" w:styleId="2ffff0">
    <w:name w:val="标2"/>
    <w:basedOn w:val="22"/>
    <w:next w:val="a2"/>
    <w:pPr>
      <w:spacing w:beforeLines="100" w:after="40" w:line="360" w:lineRule="auto"/>
      <w:ind w:firstLineChars="200" w:firstLine="600"/>
      <w:jc w:val="both"/>
      <w:textAlignment w:val="baseline"/>
      <w:outlineLvl w:val="9"/>
    </w:pPr>
    <w:rPr>
      <w:rFonts w:ascii="Times New Roman" w:eastAsia="黑体" w:hAnsi="Times New Roman" w:cs="Times New Roman"/>
      <w:b w:val="0"/>
      <w:bCs w:val="0"/>
      <w:sz w:val="30"/>
      <w:szCs w:val="20"/>
    </w:rPr>
  </w:style>
  <w:style w:type="paragraph" w:customStyle="1" w:styleId="1chen">
    <w:name w:val="谏壁标题1(chen）"/>
    <w:basedOn w:val="a2"/>
    <w:qFormat/>
    <w:pPr>
      <w:keepNext/>
      <w:keepLines/>
      <w:pageBreakBefore/>
      <w:spacing w:after="300" w:line="360" w:lineRule="auto"/>
      <w:outlineLvl w:val="0"/>
    </w:pPr>
    <w:rPr>
      <w:rFonts w:eastAsia="黑体"/>
      <w:bCs/>
      <w:kern w:val="44"/>
      <w:sz w:val="36"/>
      <w:szCs w:val="44"/>
    </w:rPr>
  </w:style>
  <w:style w:type="paragraph" w:customStyle="1" w:styleId="Char320">
    <w:name w:val="Char32"/>
    <w:basedOn w:val="a2"/>
    <w:qFormat/>
    <w:rPr>
      <w:sz w:val="24"/>
    </w:rPr>
  </w:style>
  <w:style w:type="paragraph" w:customStyle="1" w:styleId="GB-1111">
    <w:name w:val="GB-1.1.1.1"/>
    <w:basedOn w:val="GB-111"/>
    <w:pPr>
      <w:numPr>
        <w:ilvl w:val="3"/>
      </w:numPr>
      <w:adjustRightInd/>
      <w:outlineLvl w:val="3"/>
    </w:pPr>
  </w:style>
  <w:style w:type="paragraph" w:customStyle="1" w:styleId="GB-111">
    <w:name w:val="GB-1.1.1"/>
    <w:basedOn w:val="GB-11"/>
    <w:pPr>
      <w:numPr>
        <w:ilvl w:val="2"/>
      </w:numPr>
      <w:adjustRightInd w:val="0"/>
      <w:snapToGrid w:val="0"/>
      <w:spacing w:beforeLines="0" w:before="0" w:afterLines="0" w:after="0" w:line="360" w:lineRule="auto"/>
      <w:ind w:left="0"/>
      <w:outlineLvl w:val="2"/>
    </w:pPr>
    <w:rPr>
      <w:rFonts w:ascii="宋体" w:eastAsia="宋体"/>
    </w:rPr>
  </w:style>
  <w:style w:type="paragraph" w:customStyle="1" w:styleId="5f3">
    <w:name w:val="正文5"/>
    <w:basedOn w:val="a2"/>
    <w:uiPriority w:val="99"/>
    <w:qFormat/>
    <w:pPr>
      <w:spacing w:before="100" w:after="100"/>
      <w:jc w:val="center"/>
      <w:textAlignment w:val="baseline"/>
    </w:pPr>
    <w:rPr>
      <w:rFonts w:ascii="Times New Roman"/>
      <w:sz w:val="17"/>
    </w:rPr>
  </w:style>
  <w:style w:type="paragraph" w:customStyle="1" w:styleId="affffffffffffffffffffb">
    <w:name w:val="小节标题"/>
    <w:basedOn w:val="a2"/>
    <w:next w:val="a2"/>
    <w:qFormat/>
    <w:pPr>
      <w:spacing w:before="175" w:after="102" w:line="351" w:lineRule="atLeast"/>
      <w:jc w:val="both"/>
      <w:textAlignment w:val="baseline"/>
    </w:pPr>
    <w:rPr>
      <w:rFonts w:eastAsia="黑体"/>
      <w:color w:val="000000"/>
      <w:u w:color="000000"/>
    </w:rPr>
  </w:style>
  <w:style w:type="paragraph" w:customStyle="1" w:styleId="xl749">
    <w:name w:val="xl749"/>
    <w:basedOn w:val="a2"/>
    <w:uiPriority w:val="99"/>
    <w:qFormat/>
    <w:pPr>
      <w:spacing w:before="100" w:beforeAutospacing="1" w:after="100" w:afterAutospacing="1"/>
      <w:jc w:val="center"/>
    </w:pPr>
    <w:rPr>
      <w:rFonts w:ascii="Courier New" w:eastAsia="Arial Unicode MS" w:hAnsi="Courier New"/>
      <w:b/>
      <w:bCs/>
      <w:sz w:val="44"/>
      <w:szCs w:val="44"/>
    </w:rPr>
  </w:style>
  <w:style w:type="paragraph" w:customStyle="1" w:styleId="0772046">
    <w:name w:val="样式 首行缩进:  0.77 厘米 行距: 固定值 20 磅46"/>
    <w:basedOn w:val="a2"/>
    <w:uiPriority w:val="99"/>
    <w:qFormat/>
    <w:pPr>
      <w:spacing w:line="360" w:lineRule="auto"/>
      <w:ind w:rightChars="12" w:right="25" w:firstLineChars="200" w:firstLine="480"/>
      <w:jc w:val="both"/>
    </w:pPr>
    <w:rPr>
      <w:rFonts w:cs="宋体"/>
      <w:sz w:val="24"/>
    </w:rPr>
  </w:style>
  <w:style w:type="paragraph" w:customStyle="1" w:styleId="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2"/>
    <w:basedOn w:val="a2"/>
    <w:uiPriority w:val="99"/>
    <w:qFormat/>
    <w:pPr>
      <w:jc w:val="both"/>
    </w:pPr>
    <w:rPr>
      <w:sz w:val="24"/>
    </w:rPr>
  </w:style>
  <w:style w:type="paragraph" w:customStyle="1" w:styleId="xl40">
    <w:name w:val="xl4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rPr>
  </w:style>
  <w:style w:type="paragraph" w:customStyle="1" w:styleId="CharCharChar1CharCharCharCharCharCharCharCharCharCharCharCharCharCharCharCharCharCharCharCharCharCharCharCharCharCharChar4">
    <w:name w:val="Char Char Char1 Char Char Char Char Char Char Char Char Char Char Char Char Char Char Char Char Char Char Char Char Char Char Char Char Char Char Char4"/>
    <w:basedOn w:val="a2"/>
    <w:uiPriority w:val="99"/>
    <w:qFormat/>
    <w:pPr>
      <w:spacing w:line="360" w:lineRule="auto"/>
    </w:pPr>
    <w:rPr>
      <w:sz w:val="24"/>
    </w:rPr>
  </w:style>
  <w:style w:type="paragraph" w:customStyle="1" w:styleId="Char110">
    <w:name w:val="Char11"/>
    <w:basedOn w:val="a2"/>
    <w:qFormat/>
    <w:rPr>
      <w:sz w:val="24"/>
    </w:rPr>
  </w:style>
  <w:style w:type="paragraph" w:customStyle="1" w:styleId="1ffffff6">
    <w:name w:val="目录1"/>
    <w:basedOn w:val="a2"/>
    <w:next w:val="a2"/>
    <w:qFormat/>
    <w:pPr>
      <w:tabs>
        <w:tab w:val="left" w:leader="dot" w:pos="8503"/>
      </w:tabs>
      <w:spacing w:after="102" w:line="215" w:lineRule="atLeast"/>
      <w:ind w:firstLine="419"/>
    </w:pPr>
    <w:rPr>
      <w:rFonts w:hAnsi="宋体"/>
    </w:rPr>
  </w:style>
  <w:style w:type="paragraph" w:customStyle="1" w:styleId="CharCharffffff1">
    <w:name w:val="环评正文 Char Char"/>
    <w:uiPriority w:val="99"/>
    <w:qFormat/>
    <w:pPr>
      <w:spacing w:line="360" w:lineRule="exact"/>
      <w:ind w:firstLineChars="200" w:firstLine="200"/>
    </w:pPr>
    <w:rPr>
      <w:rFonts w:ascii="Times New Roman" w:eastAsia="宋体" w:hAnsi="Times New Roman" w:cs="Times New Roman"/>
      <w:snapToGrid w:val="0"/>
      <w:color w:val="000000"/>
      <w:kern w:val="21"/>
      <w:sz w:val="24"/>
      <w:szCs w:val="24"/>
    </w:rPr>
  </w:style>
  <w:style w:type="paragraph" w:customStyle="1" w:styleId="XYF1">
    <w:name w:val="XYF1"/>
    <w:basedOn w:val="a2"/>
    <w:qFormat/>
    <w:pPr>
      <w:tabs>
        <w:tab w:val="left" w:pos="1080"/>
      </w:tabs>
      <w:spacing w:line="440" w:lineRule="exact"/>
      <w:ind w:firstLineChars="195" w:firstLine="195"/>
      <w:jc w:val="both"/>
    </w:pPr>
    <w:rPr>
      <w:sz w:val="24"/>
    </w:rPr>
  </w:style>
  <w:style w:type="paragraph" w:customStyle="1" w:styleId="affffffffffffffffffffc">
    <w:name w:val="图编号"/>
    <w:basedOn w:val="afffffffffd"/>
    <w:uiPriority w:val="99"/>
    <w:qFormat/>
    <w:pPr>
      <w:tabs>
        <w:tab w:val="left" w:pos="763"/>
      </w:tabs>
      <w:adjustRightInd/>
      <w:snapToGrid/>
      <w:spacing w:before="300" w:after="300" w:line="360" w:lineRule="auto"/>
      <w:ind w:leftChars="800" w:left="800" w:hangingChars="200" w:hanging="200"/>
    </w:pPr>
    <w:rPr>
      <w:rFonts w:ascii="Calibri" w:eastAsia="宋体" w:hAnsi="Calibri"/>
      <w:kern w:val="2"/>
    </w:rPr>
  </w:style>
  <w:style w:type="paragraph" w:customStyle="1" w:styleId="GB231201">
    <w:name w:val="样式 (西文) 宋体 (中文) 仿宋_GB2312 五号 黑色 居中 首行缩进:  0 厘米 行距: 单倍行距"/>
    <w:basedOn w:val="a2"/>
    <w:uiPriority w:val="99"/>
    <w:qFormat/>
    <w:pPr>
      <w:jc w:val="center"/>
    </w:pPr>
    <w:rPr>
      <w:rFonts w:ascii="宋体" w:hAnsi="宋体"/>
      <w:color w:val="000000"/>
      <w:spacing w:val="5"/>
    </w:rPr>
  </w:style>
  <w:style w:type="paragraph" w:customStyle="1" w:styleId="CharCharChar1CharCharCharChar9">
    <w:name w:val="Char Char Char1 Char Char Char Char9"/>
    <w:basedOn w:val="a2"/>
    <w:uiPriority w:val="99"/>
    <w:qFormat/>
    <w:pPr>
      <w:spacing w:line="360" w:lineRule="auto"/>
      <w:jc w:val="both"/>
    </w:pPr>
    <w:rPr>
      <w:rFonts w:ascii="Times New Roman"/>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2"/>
    <w:uiPriority w:val="99"/>
    <w:qFormat/>
    <w:pPr>
      <w:jc w:val="both"/>
    </w:pPr>
    <w:rPr>
      <w:sz w:val="24"/>
    </w:rPr>
  </w:style>
  <w:style w:type="paragraph" w:customStyle="1" w:styleId="CharChar3Char2">
    <w:name w:val="Char Char3 Char2"/>
    <w:basedOn w:val="a2"/>
    <w:next w:val="a2"/>
    <w:uiPriority w:val="99"/>
    <w:qFormat/>
    <w:pPr>
      <w:spacing w:line="360" w:lineRule="auto"/>
      <w:ind w:firstLineChars="200" w:firstLine="200"/>
      <w:jc w:val="center"/>
    </w:pPr>
    <w:rPr>
      <w:rFonts w:ascii="Times New Roman" w:eastAsia="黑体"/>
    </w:rPr>
  </w:style>
  <w:style w:type="paragraph" w:customStyle="1" w:styleId="CharCharChar1CharCharCharCharCharCharCharCharCharCharCharCharCharCharChar1CharCharCharCharCharCharCharCharChar">
    <w:name w:val="Char Char Char1 Char Char Char Char Char Char Char Char Char Char Char Char Char Char Char1 Char Char Char Char Char Char Char Char Char"/>
    <w:basedOn w:val="a2"/>
    <w:uiPriority w:val="99"/>
    <w:qFormat/>
    <w:pPr>
      <w:jc w:val="both"/>
    </w:pPr>
  </w:style>
  <w:style w:type="paragraph" w:customStyle="1" w:styleId="affffffffffffffffffffd">
    <w:name w:val="標準（日本語）"/>
    <w:basedOn w:val="a2"/>
    <w:uiPriority w:val="99"/>
    <w:qFormat/>
    <w:pPr>
      <w:overflowPunct w:val="0"/>
      <w:spacing w:afterLines="50"/>
      <w:jc w:val="both"/>
    </w:pPr>
    <w:rPr>
      <w:rFonts w:eastAsia="MS Mincho"/>
      <w:snapToGrid w:val="0"/>
      <w:sz w:val="24"/>
      <w:lang w:eastAsia="ja-JP"/>
    </w:rPr>
  </w:style>
  <w:style w:type="paragraph" w:customStyle="1" w:styleId="Char2CharCharCharCharCharCharCharCharCharCharChar1CharCharCharCharCharCharCharCharChar4">
    <w:name w:val="Char2 Char Char Char Char Char Char Char Char Char Char Char1 Char Char Char Char Char Char Char Char Char4"/>
    <w:basedOn w:val="a2"/>
    <w:pPr>
      <w:jc w:val="both"/>
    </w:pPr>
    <w:rPr>
      <w:sz w:val="24"/>
    </w:rPr>
  </w:style>
  <w:style w:type="paragraph" w:customStyle="1" w:styleId="CharCharChar1CharCharCharCharCharCharCharChar1">
    <w:name w:val="Char Char Char1 Char Char Char Char Char Char Char Char1"/>
    <w:basedOn w:val="a2"/>
    <w:uiPriority w:val="99"/>
    <w:qFormat/>
    <w:pPr>
      <w:jc w:val="both"/>
    </w:pPr>
  </w:style>
  <w:style w:type="paragraph" w:customStyle="1" w:styleId="affffffffffffffffffffe">
    <w:name w:val="小标题@"/>
    <w:basedOn w:val="a2"/>
    <w:uiPriority w:val="99"/>
    <w:qFormat/>
    <w:pPr>
      <w:tabs>
        <w:tab w:val="left" w:pos="576"/>
        <w:tab w:val="left" w:pos="840"/>
      </w:tabs>
      <w:spacing w:before="60" w:after="60"/>
      <w:ind w:left="828" w:hanging="348"/>
      <w:jc w:val="both"/>
      <w:textAlignment w:val="baseline"/>
    </w:pPr>
    <w:rPr>
      <w:sz w:val="24"/>
    </w:rPr>
  </w:style>
  <w:style w:type="paragraph" w:customStyle="1" w:styleId="07720416">
    <w:name w:val="样式 首行缩进:  0.77 厘米 行距: 固定值 20 磅416"/>
    <w:basedOn w:val="a2"/>
    <w:uiPriority w:val="99"/>
    <w:qFormat/>
    <w:pPr>
      <w:spacing w:line="360" w:lineRule="auto"/>
      <w:ind w:firstLineChars="200" w:firstLine="480"/>
      <w:jc w:val="both"/>
    </w:pPr>
    <w:rPr>
      <w:sz w:val="24"/>
    </w:rPr>
  </w:style>
  <w:style w:type="paragraph" w:customStyle="1" w:styleId="12f0">
    <w:name w:val="字元12"/>
    <w:basedOn w:val="a2"/>
    <w:uiPriority w:val="99"/>
    <w:qFormat/>
    <w:pPr>
      <w:jc w:val="both"/>
    </w:pPr>
    <w:rPr>
      <w:rFonts w:ascii="Times New Roman"/>
    </w:rPr>
  </w:style>
  <w:style w:type="paragraph" w:customStyle="1" w:styleId="Char2CharCharChar3">
    <w:name w:val="Char2 Char Char Char3"/>
    <w:basedOn w:val="a2"/>
    <w:uiPriority w:val="99"/>
    <w:semiHidden/>
    <w:qFormat/>
    <w:pPr>
      <w:jc w:val="both"/>
    </w:pPr>
  </w:style>
  <w:style w:type="paragraph" w:customStyle="1" w:styleId="afffffffffffffffffffff">
    <w:name w:val="图件头"/>
    <w:basedOn w:val="a2"/>
    <w:uiPriority w:val="99"/>
    <w:qFormat/>
    <w:pPr>
      <w:spacing w:line="360" w:lineRule="auto"/>
      <w:jc w:val="both"/>
    </w:pPr>
    <w:rPr>
      <w:b/>
      <w:bCs/>
      <w:sz w:val="24"/>
    </w:rPr>
  </w:style>
  <w:style w:type="paragraph" w:customStyle="1" w:styleId="Char4CharCharCharCharCharChar1CharCharCharCharCharCharCharCharChar">
    <w:name w:val="Char4 Char Char Char Char Char Char1 Char Char Char Char Char Char Char Char Char"/>
    <w:basedOn w:val="a2"/>
    <w:uiPriority w:val="99"/>
    <w:qFormat/>
    <w:pPr>
      <w:jc w:val="both"/>
    </w:pPr>
    <w:rPr>
      <w:rFonts w:ascii="黑体" w:eastAsia="黑体" w:hAnsi="黑体"/>
      <w:b/>
      <w:spacing w:val="10"/>
    </w:rPr>
  </w:style>
  <w:style w:type="paragraph" w:customStyle="1" w:styleId="3ffd">
    <w:name w:val="注释标题3"/>
    <w:basedOn w:val="a2"/>
    <w:next w:val="a2"/>
    <w:uiPriority w:val="99"/>
    <w:qFormat/>
    <w:pPr>
      <w:jc w:val="center"/>
    </w:pPr>
    <w:rPr>
      <w:rFonts w:ascii="Times New Roman"/>
      <w:sz w:val="20"/>
    </w:rPr>
  </w:style>
  <w:style w:type="paragraph" w:customStyle="1" w:styleId="afffffffffffffffffffff0">
    <w:name w:val="正文表标题"/>
    <w:next w:val="a2"/>
    <w:qFormat/>
    <w:pPr>
      <w:spacing w:beforeLines="50" w:before="50" w:afterLines="50" w:after="50" w:line="360" w:lineRule="auto"/>
      <w:ind w:firstLineChars="40" w:firstLine="40"/>
      <w:jc w:val="center"/>
    </w:pPr>
    <w:rPr>
      <w:rFonts w:ascii="黑体" w:eastAsia="黑体" w:hAnsi="Times New Roman" w:cs="Times New Roman"/>
      <w:sz w:val="21"/>
    </w:rPr>
  </w:style>
  <w:style w:type="paragraph" w:customStyle="1" w:styleId="153">
    <w:name w:val="正文 宋体 小四 行距: 1.5 倍行距"/>
    <w:basedOn w:val="a2"/>
    <w:uiPriority w:val="99"/>
    <w:qFormat/>
    <w:pPr>
      <w:snapToGrid w:val="0"/>
      <w:spacing w:line="360" w:lineRule="auto"/>
      <w:ind w:firstLineChars="200" w:firstLine="200"/>
      <w:jc w:val="both"/>
    </w:pPr>
    <w:rPr>
      <w:rFonts w:ascii="宋体"/>
      <w:sz w:val="24"/>
    </w:rPr>
  </w:style>
  <w:style w:type="paragraph" w:customStyle="1" w:styleId="2112">
    <w:name w:val="标题 2标题 1.1"/>
    <w:basedOn w:val="22"/>
    <w:uiPriority w:val="99"/>
    <w:qFormat/>
    <w:pPr>
      <w:tabs>
        <w:tab w:val="left" w:pos="540"/>
        <w:tab w:val="left" w:pos="936"/>
      </w:tabs>
      <w:spacing w:beforeLines="100" w:before="312" w:afterLines="60" w:after="187" w:line="560" w:lineRule="exact"/>
      <w:ind w:left="936" w:hanging="936"/>
    </w:pPr>
    <w:rPr>
      <w:rFonts w:ascii="仿宋_GB2312" w:eastAsia="宋体" w:hAnsi="宋体" w:cs="宋体"/>
      <w:b w:val="0"/>
      <w:sz w:val="30"/>
      <w:szCs w:val="30"/>
    </w:rPr>
  </w:style>
  <w:style w:type="paragraph" w:customStyle="1" w:styleId="afffffffffffffffffffff1">
    <w:name w:val="四级"/>
    <w:basedOn w:val="41"/>
    <w:uiPriority w:val="99"/>
    <w:qFormat/>
    <w:pPr>
      <w:keepNext w:val="0"/>
      <w:keepLines w:val="0"/>
      <w:snapToGrid w:val="0"/>
      <w:spacing w:beforeLines="0" w:before="0"/>
      <w:ind w:leftChars="0" w:left="0" w:rightChars="0" w:right="0"/>
    </w:pPr>
    <w:rPr>
      <w:rFonts w:ascii="Times New Roman" w:eastAsia="宋体"/>
      <w:b/>
      <w:bCs w:val="0"/>
      <w:iCs/>
      <w:szCs w:val="21"/>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2"/>
    <w:qFormat/>
  </w:style>
  <w:style w:type="paragraph" w:customStyle="1" w:styleId="3070925">
    <w:name w:val="样式 标题 3 + 左侧:  0 毫米 悬挂缩进: 7.09 字符 行距: 最小值 25 磅"/>
    <w:basedOn w:val="32"/>
    <w:uiPriority w:val="99"/>
    <w:qFormat/>
    <w:pPr>
      <w:keepLines w:val="0"/>
      <w:spacing w:before="0" w:after="0" w:line="500" w:lineRule="atLeast"/>
      <w:ind w:left="709" w:hanging="709"/>
    </w:pPr>
    <w:rPr>
      <w:rFonts w:ascii="Times New Roman" w:eastAsia="宋体" w:cs="宋体"/>
      <w:b w:val="0"/>
      <w:bCs w:val="0"/>
      <w:sz w:val="28"/>
      <w:szCs w:val="28"/>
    </w:rPr>
  </w:style>
  <w:style w:type="paragraph" w:customStyle="1" w:styleId="211H2Underrubrik1prop2Heading2Hidden">
    <w:name w:val="样式 标题 2节标题节标题 1.1节H2（一）Underrubrik1prop2Heading 2 Hidden..."/>
    <w:basedOn w:val="22"/>
    <w:uiPriority w:val="99"/>
    <w:qFormat/>
    <w:pPr>
      <w:snapToGrid w:val="0"/>
      <w:spacing w:before="360" w:after="360" w:line="420" w:lineRule="exact"/>
      <w:ind w:left="578" w:hanging="578"/>
      <w:jc w:val="both"/>
    </w:pPr>
    <w:rPr>
      <w:rFonts w:ascii="黑体" w:eastAsia="黑体" w:hAnsi="宋体" w:cs="Times New Roman"/>
      <w:bCs w:val="0"/>
      <w:color w:val="000000"/>
      <w:sz w:val="30"/>
      <w:szCs w:val="30"/>
    </w:rPr>
  </w:style>
  <w:style w:type="paragraph" w:customStyle="1" w:styleId="xl68">
    <w:name w:val="xl68"/>
    <w:basedOn w:val="a2"/>
    <w:qFormat/>
    <w:pPr>
      <w:spacing w:before="100" w:beforeAutospacing="1" w:after="100" w:afterAutospacing="1"/>
      <w:jc w:val="center"/>
      <w:textAlignment w:val="center"/>
    </w:pPr>
    <w:rPr>
      <w:rFonts w:ascii="宋体" w:hAnsi="宋体" w:cs="宋体"/>
      <w:sz w:val="24"/>
    </w:rPr>
  </w:style>
  <w:style w:type="paragraph" w:customStyle="1" w:styleId="022">
    <w:name w:val="正文02"/>
    <w:basedOn w:val="a3"/>
    <w:qFormat/>
    <w:pPr>
      <w:spacing w:before="400" w:line="460" w:lineRule="exact"/>
      <w:ind w:firstLine="200"/>
      <w:jc w:val="both"/>
    </w:pPr>
    <w:rPr>
      <w:sz w:val="24"/>
    </w:rPr>
  </w:style>
  <w:style w:type="paragraph" w:customStyle="1" w:styleId="Char1CharCharCharCharCharChar1CharCharChar3">
    <w:name w:val="Char1 Char Char Char Char Char Char1 Char Char Char3"/>
    <w:basedOn w:val="a2"/>
    <w:next w:val="a2"/>
    <w:uiPriority w:val="99"/>
    <w:qFormat/>
    <w:pPr>
      <w:spacing w:line="360" w:lineRule="auto"/>
      <w:ind w:firstLineChars="200" w:firstLine="200"/>
      <w:jc w:val="center"/>
    </w:pPr>
    <w:rPr>
      <w:rFonts w:eastAsia="黑体"/>
    </w:rPr>
  </w:style>
  <w:style w:type="paragraph" w:customStyle="1" w:styleId="3313Char1CharCharChar31CharCharChar0">
    <w:name w:val="样式 样式 样式 标题 3标题 31标题 3 Char1 Char Char Char标题 31 Char Char Char标..."/>
    <w:basedOn w:val="3313Char1CharCharChar31CharCharChar"/>
    <w:uiPriority w:val="99"/>
    <w:qFormat/>
    <w:pPr>
      <w:ind w:firstLineChars="0" w:firstLine="0"/>
    </w:pPr>
  </w:style>
  <w:style w:type="paragraph" w:customStyle="1" w:styleId="afffffffffffffffffffff2">
    <w:name w:val="新正文样式"/>
    <w:basedOn w:val="a2"/>
    <w:qFormat/>
    <w:pPr>
      <w:tabs>
        <w:tab w:val="left" w:pos="567"/>
      </w:tabs>
      <w:spacing w:line="360" w:lineRule="auto"/>
      <w:ind w:firstLine="567"/>
    </w:pPr>
    <w:rPr>
      <w:rFonts w:hAnsi="宋体"/>
      <w:spacing w:val="20"/>
      <w:sz w:val="24"/>
    </w:rPr>
  </w:style>
  <w:style w:type="paragraph" w:customStyle="1" w:styleId="CharCharCharCharCharCharCharCharCharChar20">
    <w:name w:val="Char Char Char Char Char Char Char Char Char Char2"/>
    <w:basedOn w:val="a2"/>
    <w:uiPriority w:val="99"/>
    <w:qFormat/>
    <w:pPr>
      <w:jc w:val="both"/>
    </w:pPr>
    <w:rPr>
      <w:rFonts w:ascii="Times New Roman"/>
    </w:rPr>
  </w:style>
  <w:style w:type="paragraph" w:customStyle="1" w:styleId="1ffffff7">
    <w:name w:val="纯文本1"/>
    <w:basedOn w:val="a2"/>
    <w:qFormat/>
    <w:pPr>
      <w:spacing w:line="300" w:lineRule="auto"/>
      <w:textAlignment w:val="baseline"/>
    </w:pPr>
    <w:rPr>
      <w:rFonts w:ascii="Courier New" w:hAnsi="Courier New"/>
    </w:rPr>
  </w:style>
  <w:style w:type="paragraph" w:customStyle="1" w:styleId="DE7B8801F2B1483F98D539CC92927118">
    <w:name w:val="DE7B8801F2B1483F98D539CC92927118"/>
    <w:pPr>
      <w:spacing w:after="200" w:line="276" w:lineRule="auto"/>
      <w:jc w:val="both"/>
    </w:pPr>
    <w:rPr>
      <w:rFonts w:ascii="Times New Roman" w:eastAsia="宋体" w:hAnsi="Times New Roman" w:cs="Times New Roman"/>
      <w:sz w:val="22"/>
      <w:szCs w:val="21"/>
    </w:rPr>
  </w:style>
  <w:style w:type="paragraph" w:customStyle="1" w:styleId="11f">
    <w:name w:val="标题11"/>
    <w:basedOn w:val="a2"/>
    <w:next w:val="a2"/>
    <w:qFormat/>
    <w:pPr>
      <w:tabs>
        <w:tab w:val="left" w:pos="9193"/>
        <w:tab w:val="left" w:pos="9827"/>
      </w:tabs>
      <w:snapToGrid w:val="0"/>
      <w:spacing w:line="700" w:lineRule="atLeast"/>
      <w:jc w:val="center"/>
    </w:pPr>
    <w:rPr>
      <w:rFonts w:eastAsia="方正小标宋_GBK"/>
      <w:sz w:val="44"/>
    </w:rPr>
  </w:style>
  <w:style w:type="paragraph" w:customStyle="1" w:styleId="afffffffffffffffffffff3">
    <w:name w:val="正文仿宋"/>
    <w:basedOn w:val="a2"/>
    <w:uiPriority w:val="99"/>
    <w:qFormat/>
    <w:pPr>
      <w:spacing w:line="312" w:lineRule="atLeast"/>
      <w:textAlignment w:val="baseline"/>
    </w:pPr>
    <w:rPr>
      <w:rFonts w:ascii="仿宋体" w:eastAsia="仿宋体"/>
      <w:sz w:val="24"/>
    </w:rPr>
  </w:style>
  <w:style w:type="paragraph" w:customStyle="1" w:styleId="afffffffffffffffffffff4">
    <w:name w:val="正文标准格式"/>
    <w:basedOn w:val="a2"/>
    <w:uiPriority w:val="99"/>
    <w:qFormat/>
    <w:pPr>
      <w:spacing w:line="500" w:lineRule="exact"/>
      <w:ind w:leftChars="200" w:left="200"/>
    </w:pPr>
    <w:rPr>
      <w:rFonts w:eastAsia="仿宋_GB2312"/>
      <w:color w:val="000000"/>
      <w:szCs w:val="28"/>
    </w:rPr>
  </w:style>
  <w:style w:type="paragraph" w:customStyle="1" w:styleId="095063">
    <w:name w:val="样式 正文文本缩进 + 左侧:  0.95 厘米 首行缩进:  0.63 厘米"/>
    <w:basedOn w:val="af5"/>
    <w:qFormat/>
    <w:pPr>
      <w:spacing w:after="0" w:line="320" w:lineRule="exact"/>
      <w:ind w:leftChars="0" w:left="0"/>
      <w:jc w:val="center"/>
    </w:pPr>
    <w:rPr>
      <w:color w:val="000000"/>
      <w:szCs w:val="21"/>
    </w:rPr>
  </w:style>
  <w:style w:type="paragraph" w:customStyle="1" w:styleId="afffffffffffffffffffff5">
    <w:name w:val="表号"/>
    <w:basedOn w:val="a2"/>
    <w:qFormat/>
  </w:style>
  <w:style w:type="paragraph" w:customStyle="1" w:styleId="afffffffffffffffffffff6">
    <w:name w:val="??"/>
    <w:basedOn w:val="a2"/>
    <w:uiPriority w:val="99"/>
    <w:qFormat/>
    <w:pPr>
      <w:spacing w:line="312" w:lineRule="atLeast"/>
      <w:ind w:firstLine="425"/>
    </w:pPr>
    <w:rPr>
      <w:rFonts w:ascii="楷体" w:eastAsia="楷体"/>
      <w:kern w:val="30"/>
      <w:sz w:val="3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2"/>
    <w:next w:val="a2"/>
    <w:uiPriority w:val="99"/>
    <w:qFormat/>
    <w:pPr>
      <w:spacing w:line="360" w:lineRule="auto"/>
      <w:ind w:firstLineChars="200" w:firstLine="200"/>
      <w:jc w:val="center"/>
    </w:pPr>
    <w:rPr>
      <w:rFonts w:eastAsia="黑体"/>
    </w:rPr>
  </w:style>
  <w:style w:type="paragraph" w:customStyle="1" w:styleId="1ffffff8">
    <w:name w:val="环标1"/>
    <w:basedOn w:val="12"/>
    <w:qFormat/>
    <w:pPr>
      <w:keepNext w:val="0"/>
      <w:keepLines w:val="0"/>
      <w:spacing w:after="120" w:line="312" w:lineRule="atLeast"/>
      <w:textAlignment w:val="baseline"/>
    </w:pPr>
    <w:rPr>
      <w:rFonts w:eastAsia="仿宋_GB2312"/>
      <w:bCs w:val="0"/>
      <w:sz w:val="28"/>
      <w:szCs w:val="28"/>
    </w:rPr>
  </w:style>
  <w:style w:type="paragraph" w:customStyle="1" w:styleId="1ffffff9">
    <w:name w:val="表图1"/>
    <w:basedOn w:val="a2"/>
    <w:qFormat/>
    <w:pPr>
      <w:spacing w:line="0" w:lineRule="atLeast"/>
      <w:jc w:val="both"/>
    </w:pPr>
  </w:style>
  <w:style w:type="paragraph" w:customStyle="1" w:styleId="Char1CharCharCharCharChar1Char2">
    <w:name w:val="Char1 Char Char Char Char Char1 Char2"/>
    <w:basedOn w:val="a2"/>
    <w:uiPriority w:val="99"/>
    <w:semiHidden/>
    <w:qFormat/>
    <w:pPr>
      <w:jc w:val="both"/>
    </w:pPr>
    <w:rPr>
      <w:rFonts w:ascii="Times New Roman"/>
    </w:rPr>
  </w:style>
  <w:style w:type="paragraph" w:customStyle="1" w:styleId="PlainText1">
    <w:name w:val="Plain Text1"/>
    <w:basedOn w:val="a2"/>
    <w:qFormat/>
    <w:pPr>
      <w:textAlignment w:val="baseline"/>
    </w:pPr>
    <w:rPr>
      <w:rFonts w:ascii="宋体" w:hAnsi="Courier New"/>
    </w:rPr>
  </w:style>
  <w:style w:type="paragraph" w:customStyle="1" w:styleId="abstractmore">
    <w:name w:val="abstract_more"/>
    <w:basedOn w:val="a2"/>
    <w:pPr>
      <w:spacing w:before="100" w:beforeAutospacing="1" w:after="100" w:afterAutospacing="1"/>
    </w:pPr>
  </w:style>
  <w:style w:type="paragraph" w:customStyle="1" w:styleId="bg2">
    <w:name w:val="bg2"/>
    <w:basedOn w:val="a2"/>
    <w:uiPriority w:val="99"/>
    <w:qFormat/>
    <w:rPr>
      <w:rFonts w:eastAsia="仿宋_GB2312" w:cs="宋体"/>
      <w:spacing w:val="-4"/>
    </w:rPr>
  </w:style>
  <w:style w:type="paragraph" w:customStyle="1" w:styleId="afffffffffffffffffffff7">
    <w:name w:val="四级无标题条"/>
    <w:basedOn w:val="a2"/>
    <w:qFormat/>
    <w:rPr>
      <w:rFonts w:hAnsi="宋体"/>
    </w:rPr>
  </w:style>
  <w:style w:type="paragraph" w:customStyle="1" w:styleId="afffffffffffffffffffff8">
    <w:name w:val="样式 表格内容 + (中文) 宋体 居中"/>
    <w:basedOn w:val="a2"/>
    <w:uiPriority w:val="99"/>
    <w:qFormat/>
    <w:pPr>
      <w:overflowPunct w:val="0"/>
      <w:snapToGrid w:val="0"/>
      <w:spacing w:after="120" w:line="440" w:lineRule="exact"/>
      <w:jc w:val="center"/>
      <w:textAlignment w:val="baseline"/>
    </w:pPr>
    <w:rPr>
      <w:rFonts w:hAnsi="Arial" w:cs="宋体"/>
    </w:rPr>
  </w:style>
  <w:style w:type="paragraph" w:customStyle="1" w:styleId="CharCharChar1CharCharCharChar">
    <w:name w:val="Char Char Char1 Char Char Char Char"/>
    <w:basedOn w:val="a2"/>
    <w:pPr>
      <w:spacing w:line="360" w:lineRule="auto"/>
      <w:jc w:val="both"/>
    </w:pPr>
  </w:style>
  <w:style w:type="paragraph" w:customStyle="1" w:styleId="p0">
    <w:name w:val="p0"/>
    <w:basedOn w:val="a2"/>
    <w:qFormat/>
    <w:pPr>
      <w:widowControl/>
    </w:pPr>
  </w:style>
  <w:style w:type="paragraph" w:customStyle="1" w:styleId="104">
    <w:name w:val="10"/>
    <w:basedOn w:val="a2"/>
    <w:next w:val="af5"/>
    <w:qFormat/>
    <w:pPr>
      <w:spacing w:line="500" w:lineRule="exact"/>
      <w:ind w:firstLineChars="200" w:firstLine="560"/>
      <w:jc w:val="both"/>
    </w:pPr>
    <w:rPr>
      <w:rFonts w:ascii="仿宋_GB2312" w:eastAsia="仿宋_GB2312"/>
      <w:color w:val="FF0000"/>
    </w:rPr>
  </w:style>
  <w:style w:type="paragraph" w:customStyle="1" w:styleId="p22">
    <w:name w:val="p22"/>
    <w:basedOn w:val="a2"/>
    <w:qFormat/>
    <w:pPr>
      <w:widowControl/>
      <w:spacing w:line="360" w:lineRule="atLeast"/>
      <w:jc w:val="center"/>
    </w:pPr>
    <w:rPr>
      <w:rFonts w:ascii="仿宋_GB2312" w:eastAsia="仿宋_GB2312" w:hAnsi="宋体" w:cs="宋体"/>
      <w:sz w:val="24"/>
    </w:rPr>
  </w:style>
  <w:style w:type="paragraph" w:customStyle="1" w:styleId="xl750">
    <w:name w:val="xl750"/>
    <w:basedOn w:val="a2"/>
    <w:uiPriority w:val="99"/>
    <w:qFormat/>
    <w:pPr>
      <w:pBdr>
        <w:left w:val="single" w:sz="4" w:space="0" w:color="auto"/>
        <w:bottom w:val="single" w:sz="4" w:space="0" w:color="auto"/>
        <w:right w:val="single" w:sz="4" w:space="0" w:color="auto"/>
      </w:pBdr>
      <w:spacing w:before="100" w:beforeAutospacing="1" w:after="100" w:afterAutospacing="1"/>
    </w:pPr>
    <w:rPr>
      <w:rFonts w:ascii="Courier New" w:eastAsia="Arial Unicode MS" w:hAnsi="Courier New"/>
      <w:sz w:val="24"/>
    </w:rPr>
  </w:style>
  <w:style w:type="paragraph" w:customStyle="1" w:styleId="Char1CharCharCharCharCharChar4">
    <w:name w:val="Char1 Char Char Char Char Char Char4"/>
    <w:basedOn w:val="a2"/>
    <w:uiPriority w:val="99"/>
    <w:qFormat/>
    <w:pPr>
      <w:spacing w:before="100" w:beforeAutospacing="1" w:after="100" w:afterAutospacing="1"/>
      <w:ind w:firstLineChars="200" w:firstLine="200"/>
    </w:pPr>
    <w:rPr>
      <w:rFonts w:ascii="Verdana" w:eastAsia="仿宋_GB2312" w:hAnsi="Verdana"/>
      <w:sz w:val="20"/>
      <w:lang w:eastAsia="en-US"/>
    </w:rPr>
  </w:style>
  <w:style w:type="paragraph" w:customStyle="1" w:styleId="12f1">
    <w:name w:val="样式 目录 1 + 首行缩进:  2 字符"/>
    <w:basedOn w:val="13"/>
    <w:qFormat/>
    <w:pPr>
      <w:spacing w:line="480" w:lineRule="exact"/>
    </w:pPr>
    <w:rPr>
      <w:rFonts w:eastAsia="方正仿宋_GBK" w:cs="宋体"/>
      <w:sz w:val="28"/>
    </w:rPr>
  </w:style>
  <w:style w:type="paragraph" w:customStyle="1" w:styleId="xl95">
    <w:name w:val="xl95"/>
    <w:basedOn w:val="a2"/>
    <w:qFormat/>
    <w:pPr>
      <w:pBdr>
        <w:top w:val="single" w:sz="8" w:space="0" w:color="auto"/>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afffffffffffffffffffff9">
    <w:name w:val="表格居中"/>
    <w:basedOn w:val="a2"/>
    <w:qFormat/>
    <w:pPr>
      <w:jc w:val="center"/>
    </w:pPr>
    <w:rPr>
      <w:rFonts w:ascii="宋体" w:hAnsi="宋体"/>
      <w:bCs/>
      <w:snapToGrid w:val="0"/>
      <w:kern w:val="18"/>
      <w:u w:color="FF0000"/>
    </w:rPr>
  </w:style>
  <w:style w:type="paragraph" w:customStyle="1" w:styleId="CharCharChar1CharCharCharCharCharChar">
    <w:name w:val="Char Char Char1 Char Char Char Char Char Char"/>
    <w:basedOn w:val="a2"/>
    <w:qFormat/>
    <w:rPr>
      <w:sz w:val="24"/>
    </w:rPr>
  </w:style>
  <w:style w:type="paragraph" w:customStyle="1" w:styleId="ChapterNum">
    <w:name w:val="ChapterNum"/>
    <w:basedOn w:val="22"/>
    <w:uiPriority w:val="99"/>
    <w:qFormat/>
    <w:pPr>
      <w:keepLines w:val="0"/>
      <w:tabs>
        <w:tab w:val="left" w:pos="426"/>
        <w:tab w:val="left" w:pos="570"/>
        <w:tab w:val="left" w:pos="1620"/>
      </w:tabs>
      <w:spacing w:before="0" w:after="0" w:line="240" w:lineRule="auto"/>
      <w:ind w:left="570" w:hanging="570"/>
      <w:jc w:val="both"/>
      <w:outlineLvl w:val="9"/>
    </w:pPr>
    <w:rPr>
      <w:rFonts w:ascii="Arial" w:eastAsia="宋体" w:hAnsi="Arial" w:cs="Times New Roman"/>
      <w:sz w:val="28"/>
      <w:szCs w:val="28"/>
      <w:lang w:eastAsia="en-US"/>
    </w:rPr>
  </w:style>
  <w:style w:type="paragraph" w:customStyle="1" w:styleId="CharChar11CharChar">
    <w:name w:val="Char Char11 Char Char"/>
    <w:basedOn w:val="a2"/>
    <w:uiPriority w:val="99"/>
    <w:qFormat/>
    <w:pPr>
      <w:jc w:val="both"/>
    </w:pPr>
  </w:style>
  <w:style w:type="paragraph" w:customStyle="1" w:styleId="afffffffffffffffffffffa">
    <w:name w:val="小四表格"/>
    <w:basedOn w:val="a2"/>
    <w:qFormat/>
    <w:pPr>
      <w:keepNext/>
      <w:spacing w:line="480" w:lineRule="atLeast"/>
      <w:jc w:val="center"/>
    </w:pPr>
    <w:rPr>
      <w:color w:val="000000"/>
      <w:sz w:val="24"/>
    </w:rPr>
  </w:style>
  <w:style w:type="paragraph" w:customStyle="1" w:styleId="afffffffffffffffffffffb">
    <w:name w:val="居中+ 三号"/>
    <w:basedOn w:val="a2"/>
    <w:uiPriority w:val="99"/>
    <w:qFormat/>
    <w:pPr>
      <w:jc w:val="center"/>
    </w:pPr>
    <w:rPr>
      <w:b/>
      <w:bCs/>
      <w:sz w:val="32"/>
      <w:szCs w:val="30"/>
    </w:rPr>
  </w:style>
  <w:style w:type="paragraph" w:customStyle="1" w:styleId="afffffffffffffffffffffc">
    <w:name w:val="陈表格中内容"/>
    <w:basedOn w:val="a2"/>
    <w:next w:val="a2"/>
    <w:uiPriority w:val="99"/>
    <w:qFormat/>
    <w:pPr>
      <w:spacing w:line="400" w:lineRule="exact"/>
      <w:jc w:val="center"/>
    </w:pPr>
    <w:rPr>
      <w:rFonts w:ascii="仿宋_GB2312" w:eastAsia="仿宋_GB2312"/>
      <w:color w:val="FF00FF"/>
      <w:sz w:val="24"/>
      <w:lang w:val="en-GB"/>
    </w:rPr>
  </w:style>
  <w:style w:type="paragraph" w:customStyle="1" w:styleId="CharCharCharChar1CharCharChar">
    <w:name w:val="Char Char Char Char1 Char Char Char"/>
    <w:basedOn w:val="a2"/>
    <w:uiPriority w:val="99"/>
    <w:qFormat/>
    <w:pPr>
      <w:jc w:val="both"/>
    </w:pPr>
    <w:rPr>
      <w:sz w:val="24"/>
    </w:rPr>
  </w:style>
  <w:style w:type="paragraph" w:customStyle="1" w:styleId="afffffffffffffffffffffd">
    <w:name w:val="+正文"/>
    <w:basedOn w:val="a2"/>
    <w:uiPriority w:val="99"/>
    <w:qFormat/>
    <w:pPr>
      <w:spacing w:line="360" w:lineRule="auto"/>
      <w:ind w:firstLineChars="200" w:firstLine="200"/>
      <w:jc w:val="both"/>
    </w:pPr>
    <w:rPr>
      <w:rFonts w:hAnsi="宋体"/>
      <w:szCs w:val="28"/>
    </w:rPr>
  </w:style>
  <w:style w:type="paragraph" w:customStyle="1" w:styleId="1ffffffa">
    <w:name w:val="1表格"/>
    <w:basedOn w:val="a2"/>
    <w:qFormat/>
    <w:pPr>
      <w:snapToGrid w:val="0"/>
      <w:jc w:val="center"/>
      <w:outlineLvl w:val="4"/>
    </w:pPr>
    <w:rPr>
      <w:spacing w:val="4"/>
    </w:rPr>
  </w:style>
  <w:style w:type="paragraph" w:customStyle="1" w:styleId="A21">
    <w:name w:val="A标题2"/>
    <w:next w:val="a2"/>
    <w:uiPriority w:val="99"/>
    <w:qFormat/>
    <w:pPr>
      <w:spacing w:beforeLines="100" w:before="312" w:afterLines="100" w:after="312"/>
      <w:outlineLvl w:val="1"/>
    </w:pPr>
    <w:rPr>
      <w:rFonts w:ascii="黑体" w:eastAsia="黑体" w:hAnsi="Arial" w:cs="宋体"/>
      <w:b/>
      <w:kern w:val="2"/>
      <w:sz w:val="30"/>
    </w:rPr>
  </w:style>
  <w:style w:type="paragraph" w:customStyle="1" w:styleId="Char330">
    <w:name w:val="Char33"/>
    <w:basedOn w:val="a2"/>
    <w:qFormat/>
    <w:rPr>
      <w:rFonts w:ascii="Times New Roman"/>
    </w:rPr>
  </w:style>
  <w:style w:type="paragraph" w:customStyle="1" w:styleId="CharCharChar140">
    <w:name w:val="Char Char Char14"/>
    <w:basedOn w:val="a2"/>
    <w:uiPriority w:val="99"/>
    <w:qFormat/>
    <w:pPr>
      <w:jc w:val="both"/>
    </w:pPr>
    <w:rPr>
      <w:rFonts w:ascii="Times New Roman"/>
    </w:rPr>
  </w:style>
  <w:style w:type="paragraph" w:customStyle="1" w:styleId="317">
    <w:name w:val="正文文本缩进 31"/>
    <w:basedOn w:val="a2"/>
    <w:uiPriority w:val="99"/>
    <w:qFormat/>
    <w:pPr>
      <w:spacing w:line="360" w:lineRule="auto"/>
      <w:ind w:firstLine="480"/>
      <w:jc w:val="both"/>
    </w:pPr>
    <w:rPr>
      <w:rFonts w:ascii="华文仿宋" w:eastAsia="华文仿宋" w:hAnsi="华文仿宋"/>
      <w:color w:val="000000"/>
      <w:sz w:val="24"/>
    </w:rPr>
  </w:style>
  <w:style w:type="paragraph" w:customStyle="1" w:styleId="CharCharCharCharCharCharCharCharChar1CharCharCharCharCharChar9">
    <w:name w:val="Char Char Char Char Char Char Char Char Char1 Char Char Char Char Char Char9"/>
    <w:basedOn w:val="a2"/>
    <w:uiPriority w:val="99"/>
    <w:qFormat/>
    <w:pPr>
      <w:jc w:val="both"/>
    </w:pPr>
  </w:style>
  <w:style w:type="paragraph" w:customStyle="1" w:styleId="afffffffffffffffffffffe">
    <w:name w:val="红线"/>
    <w:basedOn w:val="12"/>
    <w:qFormat/>
    <w:pPr>
      <w:keepNext w:val="0"/>
      <w:keepLines w:val="0"/>
      <w:spacing w:after="851" w:line="227" w:lineRule="atLeast"/>
      <w:ind w:right="-142"/>
      <w:jc w:val="center"/>
      <w:textAlignment w:val="auto"/>
      <w:outlineLvl w:val="9"/>
    </w:pPr>
    <w:rPr>
      <w:rFonts w:ascii="宋体" w:eastAsia="宋体"/>
      <w:b/>
      <w:bCs w:val="0"/>
      <w:snapToGrid w:val="0"/>
      <w:kern w:val="0"/>
      <w:sz w:val="10"/>
      <w:szCs w:val="20"/>
    </w:rPr>
  </w:style>
  <w:style w:type="paragraph" w:customStyle="1" w:styleId="4f4">
    <w:name w:val="表格内字体4"/>
    <w:basedOn w:val="affffffff6"/>
    <w:uiPriority w:val="99"/>
    <w:qFormat/>
    <w:pPr>
      <w:spacing w:line="240" w:lineRule="auto"/>
      <w:ind w:firstLine="0"/>
      <w:jc w:val="center"/>
    </w:pPr>
    <w:rPr>
      <w:sz w:val="21"/>
      <w:szCs w:val="20"/>
    </w:rPr>
  </w:style>
  <w:style w:type="paragraph" w:customStyle="1" w:styleId="04">
    <w:name w:val="样式_正文_04"/>
    <w:uiPriority w:val="99"/>
    <w:qFormat/>
    <w:pPr>
      <w:numPr>
        <w:numId w:val="16"/>
      </w:numPr>
      <w:tabs>
        <w:tab w:val="clear" w:pos="1701"/>
        <w:tab w:val="right" w:leader="dot" w:pos="7407"/>
        <w:tab w:val="left" w:pos="7587"/>
      </w:tabs>
      <w:spacing w:line="360" w:lineRule="auto"/>
    </w:pPr>
    <w:rPr>
      <w:rFonts w:ascii="Garamond" w:eastAsia="楷体_GB2312" w:hAnsi="Garamond" w:cs="Times New Roman"/>
      <w:kern w:val="28"/>
      <w:sz w:val="24"/>
      <w:szCs w:val="24"/>
    </w:rPr>
  </w:style>
  <w:style w:type="paragraph" w:customStyle="1" w:styleId="publishtext">
    <w:name w:val="publish_text"/>
    <w:basedOn w:val="a2"/>
    <w:pPr>
      <w:spacing w:before="100" w:beforeAutospacing="1" w:after="100" w:afterAutospacing="1"/>
    </w:pPr>
  </w:style>
  <w:style w:type="paragraph" w:customStyle="1" w:styleId="13a">
    <w:name w:val="正文首行缩进13"/>
    <w:basedOn w:val="a2"/>
    <w:next w:val="a2"/>
    <w:uiPriority w:val="99"/>
    <w:qFormat/>
    <w:pPr>
      <w:tabs>
        <w:tab w:val="left" w:pos="540"/>
        <w:tab w:val="left" w:pos="1440"/>
        <w:tab w:val="left" w:pos="2448"/>
        <w:tab w:val="left" w:pos="3000"/>
        <w:tab w:val="left" w:pos="3888"/>
        <w:tab w:val="left" w:pos="4800"/>
        <w:tab w:val="left" w:pos="5040"/>
        <w:tab w:val="left" w:pos="5883"/>
        <w:tab w:val="left" w:pos="6300"/>
        <w:tab w:val="left" w:pos="7353"/>
        <w:tab w:val="left" w:pos="8613"/>
      </w:tabs>
      <w:snapToGrid w:val="0"/>
      <w:spacing w:line="300" w:lineRule="auto"/>
      <w:ind w:firstLine="561"/>
      <w:jc w:val="both"/>
      <w:textAlignment w:val="baseline"/>
    </w:pPr>
  </w:style>
  <w:style w:type="paragraph" w:customStyle="1" w:styleId="xl90">
    <w:name w:val="xl90"/>
    <w:basedOn w:val="a2"/>
    <w:qFormat/>
    <w:pPr>
      <w:pBdr>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affffffffffffffffffffff">
    <w:name w:val="正文报告"/>
    <w:basedOn w:val="a2"/>
    <w:uiPriority w:val="99"/>
    <w:qFormat/>
    <w:pPr>
      <w:tabs>
        <w:tab w:val="left" w:pos="510"/>
      </w:tabs>
      <w:spacing w:line="460" w:lineRule="exact"/>
      <w:ind w:firstLine="482"/>
      <w:jc w:val="both"/>
      <w:textAlignment w:val="baseline"/>
    </w:pPr>
    <w:rPr>
      <w:sz w:val="24"/>
    </w:rPr>
  </w:style>
  <w:style w:type="paragraph" w:customStyle="1" w:styleId="09915">
    <w:name w:val="样式 小四 首行缩进:  0.99 厘米 行距: 1.5 倍行距"/>
    <w:basedOn w:val="a2"/>
    <w:uiPriority w:val="99"/>
    <w:qFormat/>
    <w:pPr>
      <w:tabs>
        <w:tab w:val="left" w:pos="352"/>
      </w:tabs>
      <w:overflowPunct w:val="0"/>
      <w:spacing w:line="360" w:lineRule="auto"/>
      <w:ind w:firstLine="560"/>
      <w:jc w:val="both"/>
      <w:textAlignment w:val="bottom"/>
    </w:pPr>
    <w:rPr>
      <w:rFonts w:cs="宋体"/>
      <w:sz w:val="24"/>
    </w:rPr>
  </w:style>
  <w:style w:type="paragraph" w:customStyle="1" w:styleId="CharCharCharCharCharChar1CharCharCharCharCharCharChar2">
    <w:name w:val="Char Char Char Char Char Char1 Char Char Char Char Char Char Char2"/>
    <w:basedOn w:val="a2"/>
    <w:uiPriority w:val="99"/>
    <w:qFormat/>
    <w:pPr>
      <w:jc w:val="both"/>
    </w:pPr>
    <w:rPr>
      <w:rFonts w:ascii="Times New Roman"/>
    </w:rPr>
  </w:style>
  <w:style w:type="paragraph" w:customStyle="1" w:styleId="085">
    <w:name w:val="样式 首行缩进:  0.85 厘米"/>
    <w:basedOn w:val="a2"/>
    <w:pPr>
      <w:autoSpaceDE/>
      <w:autoSpaceDN/>
      <w:adjustRightInd/>
      <w:spacing w:line="360" w:lineRule="auto"/>
      <w:ind w:firstLine="482"/>
      <w:jc w:val="both"/>
    </w:pPr>
    <w:rPr>
      <w:rFonts w:cs="宋体"/>
    </w:rPr>
  </w:style>
  <w:style w:type="paragraph" w:customStyle="1" w:styleId="2ffff1">
    <w:name w:val="样式 (符号) 宋体 首行缩进:  2 字符"/>
    <w:basedOn w:val="a2"/>
    <w:uiPriority w:val="99"/>
    <w:qFormat/>
    <w:pPr>
      <w:spacing w:line="520" w:lineRule="atLeast"/>
      <w:ind w:firstLineChars="200" w:firstLine="200"/>
      <w:jc w:val="both"/>
    </w:pPr>
    <w:rPr>
      <w:rFonts w:ascii="宋体" w:eastAsia="仿宋_GB2312" w:hAnsi="宋体" w:hint="eastAsia"/>
      <w:szCs w:val="28"/>
    </w:rPr>
  </w:style>
  <w:style w:type="paragraph" w:customStyle="1" w:styleId="CharCharCharCharCharChar1CharCharCharChar1">
    <w:name w:val="Char Char Char Char Char Char1 Char Char Char Char1"/>
    <w:basedOn w:val="a2"/>
    <w:pPr>
      <w:autoSpaceDE/>
      <w:autoSpaceDN/>
      <w:adjustRightInd/>
      <w:spacing w:line="360" w:lineRule="auto"/>
      <w:ind w:firstLineChars="200" w:firstLine="200"/>
      <w:jc w:val="both"/>
    </w:pPr>
  </w:style>
  <w:style w:type="paragraph" w:customStyle="1" w:styleId="affffffffffffffffffffff0">
    <w:name w:val="正文（仿宋）"/>
    <w:basedOn w:val="a2"/>
    <w:uiPriority w:val="99"/>
    <w:qFormat/>
    <w:pPr>
      <w:spacing w:line="500" w:lineRule="exact"/>
      <w:ind w:firstLineChars="200" w:firstLine="560"/>
      <w:jc w:val="center"/>
    </w:pPr>
    <w:rPr>
      <w:rFonts w:ascii="仿宋_GB2312" w:eastAsia="仿宋_GB2312" w:hAnsi="宋体" w:cs="宋体"/>
      <w:szCs w:val="28"/>
    </w:rPr>
  </w:style>
  <w:style w:type="paragraph" w:customStyle="1" w:styleId="affffffffffffffffffffff1">
    <w:name w:val="图"/>
    <w:basedOn w:val="a2"/>
    <w:qFormat/>
    <w:pPr>
      <w:jc w:val="center"/>
    </w:pPr>
  </w:style>
  <w:style w:type="paragraph" w:customStyle="1" w:styleId="318">
    <w:name w:val="字元 字元3 字元1"/>
    <w:basedOn w:val="a2"/>
    <w:next w:val="a2"/>
    <w:uiPriority w:val="99"/>
    <w:qFormat/>
    <w:pPr>
      <w:spacing w:line="360" w:lineRule="auto"/>
      <w:ind w:firstLineChars="200" w:firstLine="200"/>
      <w:jc w:val="both"/>
    </w:pPr>
    <w:rPr>
      <w:rFonts w:ascii="Times New Roman"/>
    </w:rPr>
  </w:style>
  <w:style w:type="paragraph" w:customStyle="1" w:styleId="21d">
    <w:name w:val="列出段落21"/>
    <w:basedOn w:val="a2"/>
    <w:uiPriority w:val="99"/>
    <w:qFormat/>
    <w:pPr>
      <w:spacing w:line="460" w:lineRule="atLeast"/>
      <w:ind w:firstLineChars="200" w:firstLine="420"/>
      <w:jc w:val="both"/>
    </w:pPr>
    <w:rPr>
      <w:bCs/>
      <w:kern w:val="44"/>
      <w:szCs w:val="44"/>
    </w:rPr>
  </w:style>
  <w:style w:type="paragraph" w:customStyle="1" w:styleId="affffffffffffffffffffff2">
    <w:name w:val="样式一"/>
    <w:basedOn w:val="a2"/>
    <w:uiPriority w:val="99"/>
    <w:qFormat/>
    <w:pPr>
      <w:tabs>
        <w:tab w:val="left" w:pos="720"/>
      </w:tabs>
      <w:spacing w:beforeLines="50" w:afterLines="50" w:line="300" w:lineRule="auto"/>
      <w:ind w:left="720" w:hanging="720"/>
      <w:jc w:val="both"/>
    </w:pPr>
    <w:rPr>
      <w:rFonts w:eastAsia="黑体"/>
    </w:rPr>
  </w:style>
  <w:style w:type="paragraph" w:customStyle="1" w:styleId="xl747">
    <w:name w:val="xl747"/>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sz w:val="24"/>
    </w:rPr>
  </w:style>
  <w:style w:type="paragraph" w:customStyle="1" w:styleId="P3">
    <w:name w:val="P3"/>
    <w:uiPriority w:val="99"/>
    <w:qFormat/>
    <w:pPr>
      <w:widowControl w:val="0"/>
      <w:adjustRightInd w:val="0"/>
      <w:spacing w:after="240" w:line="0" w:lineRule="atLeast"/>
      <w:ind w:left="2160" w:hanging="720"/>
      <w:jc w:val="both"/>
      <w:textAlignment w:val="baseline"/>
    </w:pPr>
    <w:rPr>
      <w:rFonts w:ascii="Times New Roman" w:eastAsia="宋体" w:hAnsi="Times New Roman" w:cs="Times New Roman"/>
      <w:spacing w:val="20"/>
      <w:sz w:val="24"/>
      <w:lang w:val="en-GB"/>
    </w:rPr>
  </w:style>
  <w:style w:type="paragraph" w:customStyle="1" w:styleId="CharCharCharCharCharCharCharCharCharCharCharChar3">
    <w:name w:val="Char Char Char Char Char Char Char Char Char Char Char Char3"/>
    <w:basedOn w:val="a2"/>
    <w:uiPriority w:val="99"/>
    <w:qFormat/>
    <w:pPr>
      <w:jc w:val="both"/>
    </w:pPr>
  </w:style>
  <w:style w:type="paragraph" w:customStyle="1" w:styleId="Mercedes">
    <w:name w:val="Mercedes"/>
    <w:basedOn w:val="a2"/>
    <w:uiPriority w:val="99"/>
    <w:qFormat/>
    <w:pPr>
      <w:overflowPunct w:val="0"/>
      <w:spacing w:line="360" w:lineRule="auto"/>
      <w:textAlignment w:val="baseline"/>
    </w:pPr>
    <w:rPr>
      <w:rFonts w:ascii="CorporateS-Regular" w:hAnsi="CorporateS-Regular"/>
      <w:sz w:val="24"/>
      <w:lang w:val="de-DE"/>
    </w:rPr>
  </w:style>
  <w:style w:type="paragraph" w:customStyle="1" w:styleId="192">
    <w:name w:val="样式 四号 首行缩进:  1.92 字符"/>
    <w:basedOn w:val="a2"/>
    <w:pPr>
      <w:widowControl/>
      <w:autoSpaceDE/>
      <w:autoSpaceDN/>
      <w:adjustRightInd/>
      <w:ind w:firstLineChars="200" w:firstLine="560"/>
      <w:jc w:val="both"/>
    </w:pPr>
    <w:rPr>
      <w:rFonts w:ascii="Verdana" w:hAnsi="Verdana" w:cs="Verdana"/>
      <w:szCs w:val="28"/>
    </w:rPr>
  </w:style>
  <w:style w:type="paragraph" w:customStyle="1" w:styleId="CharCharCharCharCharCharCharCharChar0">
    <w:name w:val="Char Char Char Char Char Char Char Char Char"/>
    <w:basedOn w:val="a2"/>
    <w:rPr>
      <w:sz w:val="24"/>
    </w:rPr>
  </w:style>
  <w:style w:type="paragraph" w:customStyle="1" w:styleId="2ffff2">
    <w:name w:val="日期2"/>
    <w:basedOn w:val="a2"/>
    <w:next w:val="a2"/>
    <w:qFormat/>
    <w:pPr>
      <w:snapToGrid w:val="0"/>
      <w:spacing w:before="120" w:after="120" w:line="360" w:lineRule="auto"/>
      <w:ind w:firstLineChars="200" w:firstLine="200"/>
      <w:jc w:val="both"/>
      <w:textAlignment w:val="baseline"/>
    </w:pPr>
    <w:rPr>
      <w:sz w:val="24"/>
    </w:rPr>
  </w:style>
  <w:style w:type="paragraph" w:customStyle="1" w:styleId="affffffffffffffffffffff3">
    <w:name w:val="段"/>
    <w:qFormat/>
    <w:pPr>
      <w:autoSpaceDE w:val="0"/>
      <w:autoSpaceDN w:val="0"/>
      <w:spacing w:beforeLines="50" w:before="50" w:afterLines="50" w:after="50" w:line="360" w:lineRule="auto"/>
      <w:ind w:firstLineChars="200" w:firstLine="200"/>
      <w:jc w:val="both"/>
    </w:pPr>
    <w:rPr>
      <w:rFonts w:ascii="Times New Roman" w:eastAsia="宋体" w:hAnsi="Times New Roman" w:cs="Times New Roman"/>
      <w:sz w:val="21"/>
    </w:rPr>
  </w:style>
  <w:style w:type="paragraph" w:customStyle="1" w:styleId="affffffffffffffffffffff4">
    <w:name w:val="样式 表格 + 宋体 居中"/>
    <w:basedOn w:val="a2"/>
    <w:uiPriority w:val="99"/>
    <w:qFormat/>
    <w:pPr>
      <w:jc w:val="center"/>
      <w:textAlignment w:val="center"/>
    </w:pPr>
    <w:rPr>
      <w:rFonts w:ascii="Calibri" w:hAnsi="Calibri"/>
      <w:sz w:val="24"/>
    </w:rPr>
  </w:style>
  <w:style w:type="paragraph" w:customStyle="1" w:styleId="CharCharCharCharChar5">
    <w:name w:val="Char Char Char Char Char"/>
    <w:basedOn w:val="a2"/>
    <w:pPr>
      <w:jc w:val="both"/>
    </w:pPr>
    <w:rPr>
      <w:sz w:val="24"/>
    </w:rPr>
  </w:style>
  <w:style w:type="paragraph" w:customStyle="1" w:styleId="HL22">
    <w:name w:val="HL22"/>
    <w:basedOn w:val="a2"/>
    <w:uiPriority w:val="99"/>
    <w:qFormat/>
    <w:pPr>
      <w:keepNext/>
      <w:keepLines/>
      <w:spacing w:before="120" w:after="120" w:line="500" w:lineRule="exact"/>
      <w:jc w:val="both"/>
      <w:outlineLvl w:val="1"/>
    </w:pPr>
    <w:rPr>
      <w:rFonts w:eastAsia="仿宋_GB2312"/>
      <w:b/>
      <w:bCs/>
      <w:color w:val="000000"/>
      <w:szCs w:val="32"/>
    </w:rPr>
  </w:style>
  <w:style w:type="paragraph" w:customStyle="1" w:styleId="gy">
    <w:name w:val="gy"/>
    <w:basedOn w:val="a2"/>
    <w:qFormat/>
    <w:pPr>
      <w:widowControl/>
      <w:spacing w:before="100" w:beforeAutospacing="1" w:after="100" w:afterAutospacing="1" w:line="360" w:lineRule="auto"/>
      <w:ind w:left="150" w:right="150" w:firstLine="520"/>
    </w:pPr>
    <w:rPr>
      <w:rFonts w:ascii="Arial Unicode MS" w:eastAsia="Arial Unicode MS" w:hAnsi="Arial Unicode MS"/>
      <w:sz w:val="18"/>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2"/>
    <w:uiPriority w:val="99"/>
    <w:qFormat/>
    <w:pPr>
      <w:jc w:val="both"/>
    </w:pPr>
    <w:rPr>
      <w:sz w:val="24"/>
    </w:rPr>
  </w:style>
  <w:style w:type="paragraph" w:customStyle="1" w:styleId="CharCharCharCharCharCharCharCharChar2">
    <w:name w:val="Char Char Char Char Char Char Char Char Char2"/>
    <w:basedOn w:val="a2"/>
    <w:uiPriority w:val="99"/>
    <w:qFormat/>
    <w:rPr>
      <w:rFonts w:ascii="Times New Roman"/>
    </w:rPr>
  </w:style>
  <w:style w:type="paragraph" w:customStyle="1" w:styleId="3031">
    <w:name w:val="样式 标题 3 + 段前: 0.3 行1"/>
    <w:basedOn w:val="32"/>
    <w:uiPriority w:val="99"/>
    <w:qFormat/>
    <w:pPr>
      <w:snapToGrid w:val="0"/>
      <w:spacing w:before="0" w:after="0" w:line="360" w:lineRule="auto"/>
    </w:pPr>
    <w:rPr>
      <w:rFonts w:ascii="Times New Roman" w:eastAsia="黑体" w:cs="宋体"/>
      <w:b w:val="0"/>
      <w:bCs w:val="0"/>
      <w:szCs w:val="20"/>
    </w:rPr>
  </w:style>
  <w:style w:type="paragraph" w:customStyle="1" w:styleId="059628">
    <w:name w:val="样式 左侧:  0 厘米 悬挂缩进: 5.96 字符 行距: 固定值 28 磅"/>
    <w:basedOn w:val="a2"/>
    <w:uiPriority w:val="99"/>
    <w:qFormat/>
    <w:pPr>
      <w:spacing w:line="500" w:lineRule="exact"/>
      <w:jc w:val="both"/>
    </w:pPr>
    <w:rPr>
      <w:rFonts w:cs="宋体"/>
    </w:rPr>
  </w:style>
  <w:style w:type="paragraph" w:customStyle="1" w:styleId="CharChar5CharCharCharChar">
    <w:name w:val="Char Char5 Char Char Char Char"/>
    <w:basedOn w:val="a2"/>
    <w:uiPriority w:val="99"/>
    <w:qFormat/>
    <w:pPr>
      <w:jc w:val="both"/>
    </w:pPr>
    <w:rPr>
      <w:szCs w:val="28"/>
    </w:rPr>
  </w:style>
  <w:style w:type="paragraph" w:customStyle="1" w:styleId="p23">
    <w:name w:val="p23"/>
    <w:basedOn w:val="a2"/>
    <w:qFormat/>
    <w:pPr>
      <w:widowControl/>
      <w:snapToGrid w:val="0"/>
      <w:spacing w:line="500" w:lineRule="atLeast"/>
    </w:pPr>
    <w:rPr>
      <w:rFonts w:ascii="仿宋_GB2312" w:eastAsia="仿宋_GB2312" w:hAnsi="宋体" w:cs="宋体"/>
      <w:szCs w:val="28"/>
    </w:rPr>
  </w:style>
  <w:style w:type="paragraph" w:customStyle="1" w:styleId="1CharCharCharCharCharCharCharCharCharCharCharCharCharCharCharCharCharCharCharCharCharCharCharCharChar">
    <w:name w:val="1 Char Char Char Char Char Char Char Char Char Char Char Char Char Char Char Char Char Char Char Char Char Char Char Char Char"/>
    <w:basedOn w:val="a2"/>
    <w:qFormat/>
  </w:style>
  <w:style w:type="paragraph" w:customStyle="1" w:styleId="21e">
    <w:name w:val="21"/>
    <w:basedOn w:val="a2"/>
    <w:next w:val="af5"/>
    <w:qFormat/>
    <w:pPr>
      <w:spacing w:line="500" w:lineRule="exact"/>
      <w:ind w:firstLineChars="200" w:firstLine="560"/>
      <w:jc w:val="both"/>
    </w:pPr>
    <w:rPr>
      <w:rFonts w:ascii="仿宋_GB2312" w:eastAsia="仿宋_GB2312"/>
      <w:color w:val="FF0000"/>
    </w:rPr>
  </w:style>
  <w:style w:type="paragraph" w:customStyle="1" w:styleId="321">
    <w:name w:val="字元 字元3 字元2"/>
    <w:basedOn w:val="a2"/>
    <w:next w:val="a2"/>
    <w:uiPriority w:val="99"/>
    <w:qFormat/>
    <w:pPr>
      <w:spacing w:line="360" w:lineRule="auto"/>
      <w:ind w:firstLineChars="200" w:firstLine="200"/>
      <w:jc w:val="both"/>
    </w:pPr>
  </w:style>
  <w:style w:type="paragraph" w:customStyle="1" w:styleId="CharCharCharChar11">
    <w:name w:val="Char Char Char Char11"/>
    <w:basedOn w:val="a2"/>
    <w:qFormat/>
    <w:rPr>
      <w:sz w:val="24"/>
    </w:rPr>
  </w:style>
  <w:style w:type="paragraph" w:customStyle="1" w:styleId="CharChar3Char4">
    <w:name w:val="Char Char3 Char4"/>
    <w:basedOn w:val="a2"/>
    <w:next w:val="a2"/>
    <w:pPr>
      <w:spacing w:line="360" w:lineRule="auto"/>
      <w:ind w:firstLineChars="200" w:firstLine="200"/>
      <w:jc w:val="center"/>
    </w:pPr>
    <w:rPr>
      <w:rFonts w:eastAsia="黑体"/>
    </w:rPr>
  </w:style>
  <w:style w:type="paragraph" w:customStyle="1" w:styleId="affffffffffffffffffffff5">
    <w:name w:val="前言、引言标题"/>
    <w:next w:val="a2"/>
    <w:qFormat/>
    <w:pPr>
      <w:shd w:val="clear" w:color="FFFFFF" w:fill="FFFFFF"/>
      <w:tabs>
        <w:tab w:val="left" w:pos="903"/>
      </w:tabs>
      <w:spacing w:beforeLines="50" w:before="640" w:afterLines="50" w:after="560" w:line="360" w:lineRule="auto"/>
      <w:ind w:left="903" w:firstLineChars="40" w:hanging="315"/>
      <w:jc w:val="center"/>
      <w:outlineLvl w:val="0"/>
    </w:pPr>
    <w:rPr>
      <w:rFonts w:ascii="黑体" w:eastAsia="黑体" w:hAnsi="Times New Roman" w:cs="Times New Roman"/>
      <w:sz w:val="32"/>
    </w:rPr>
  </w:style>
  <w:style w:type="paragraph" w:customStyle="1" w:styleId="INDEX">
    <w:name w:val="INDEX"/>
    <w:basedOn w:val="a2"/>
    <w:uiPriority w:val="99"/>
    <w:qFormat/>
    <w:pPr>
      <w:spacing w:line="360" w:lineRule="atLeast"/>
      <w:ind w:left="1080" w:hanging="1080"/>
      <w:textAlignment w:val="bottom"/>
    </w:pPr>
    <w:rPr>
      <w:rFonts w:ascii="CF-簡秀宋體" w:eastAsia="CF-簡秀宋體"/>
      <w:sz w:val="24"/>
      <w:lang w:eastAsia="zh-TW"/>
    </w:rPr>
  </w:style>
  <w:style w:type="paragraph" w:customStyle="1" w:styleId="affffffffffffffffffffff6">
    <w:name w:val="內文１"/>
    <w:basedOn w:val="a2"/>
    <w:qFormat/>
    <w:pPr>
      <w:snapToGrid w:val="0"/>
      <w:spacing w:line="360" w:lineRule="auto"/>
      <w:ind w:leftChars="225" w:left="540" w:firstLineChars="321" w:firstLine="899"/>
    </w:pPr>
    <w:rPr>
      <w:rFonts w:eastAsia="DFKai-SB"/>
      <w:lang w:eastAsia="zh-TW"/>
    </w:rPr>
  </w:style>
  <w:style w:type="paragraph" w:customStyle="1" w:styleId="1135">
    <w:name w:val="样式 标题 1 + (中文) 宋体 小三 行距: 多倍行距 1.35 字行"/>
    <w:basedOn w:val="12"/>
    <w:qFormat/>
    <w:pPr>
      <w:tabs>
        <w:tab w:val="left" w:pos="432"/>
      </w:tabs>
      <w:snapToGrid w:val="0"/>
      <w:ind w:left="432" w:hanging="432"/>
      <w:textAlignment w:val="auto"/>
    </w:pPr>
    <w:rPr>
      <w:rFonts w:ascii="仿宋_GB2312" w:eastAsia="仿宋_GB2312" w:hAnsi="宋体" w:cs="宋体"/>
      <w:b/>
      <w:sz w:val="30"/>
      <w:szCs w:val="30"/>
    </w:rPr>
  </w:style>
  <w:style w:type="paragraph" w:customStyle="1" w:styleId="CharChar2a">
    <w:name w:val="样式 环评正文 Char Char + 首行缩进:  2 字符"/>
    <w:basedOn w:val="CharCharffffff1"/>
    <w:uiPriority w:val="99"/>
    <w:qFormat/>
    <w:pPr>
      <w:spacing w:line="440" w:lineRule="exact"/>
      <w:jc w:val="both"/>
    </w:pPr>
    <w:rPr>
      <w:rFonts w:cs="宋体"/>
      <w:snapToGrid/>
      <w:szCs w:val="20"/>
    </w:rPr>
  </w:style>
  <w:style w:type="paragraph" w:customStyle="1" w:styleId="CharCharChar1CharCharCharChar11">
    <w:name w:val="Char Char Char1 Char Char Char Char11"/>
    <w:basedOn w:val="a2"/>
    <w:uiPriority w:val="99"/>
    <w:qFormat/>
    <w:pPr>
      <w:spacing w:line="360" w:lineRule="auto"/>
      <w:jc w:val="both"/>
    </w:pPr>
  </w:style>
  <w:style w:type="paragraph" w:customStyle="1" w:styleId="21f">
    <w:name w:val="标题21"/>
    <w:basedOn w:val="a2"/>
    <w:pPr>
      <w:snapToGrid w:val="0"/>
      <w:spacing w:line="360" w:lineRule="auto"/>
      <w:jc w:val="both"/>
    </w:pPr>
  </w:style>
  <w:style w:type="paragraph" w:customStyle="1" w:styleId="1CharCharCharCharCharCharCharCharCharCharCharChar1CharCharCharCharCharChar1CharCharChar">
    <w:name w:val="1 Char Char Char Char Char Char Char Char Char Char Char Char1 Char Char Char Char Char Char1 Char Char Char"/>
    <w:basedOn w:val="a2"/>
    <w:qFormat/>
  </w:style>
  <w:style w:type="paragraph" w:customStyle="1" w:styleId="CharCharCharCharCharCharCharCharChar1CharCharChar3">
    <w:name w:val="Char Char Char Char Char Char Char Char Char1 Char Char Char3"/>
    <w:basedOn w:val="a2"/>
    <w:uiPriority w:val="99"/>
    <w:qFormat/>
    <w:pPr>
      <w:jc w:val="both"/>
    </w:p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a2"/>
    <w:pPr>
      <w:jc w:val="both"/>
    </w:pPr>
    <w:rPr>
      <w:rFonts w:ascii="Times New Roman"/>
    </w:rPr>
  </w:style>
  <w:style w:type="paragraph" w:customStyle="1" w:styleId="affffffffffffffffffffff7">
    <w:name w:val="表中正文"/>
    <w:basedOn w:val="a2"/>
    <w:uiPriority w:val="99"/>
    <w:qFormat/>
    <w:pPr>
      <w:snapToGrid w:val="0"/>
      <w:spacing w:line="280" w:lineRule="exact"/>
      <w:jc w:val="center"/>
    </w:pPr>
    <w:rPr>
      <w:rFonts w:ascii="宋体"/>
    </w:rPr>
  </w:style>
  <w:style w:type="paragraph" w:customStyle="1" w:styleId="font0">
    <w:name w:val="font0"/>
    <w:basedOn w:val="a2"/>
    <w:qFormat/>
    <w:pPr>
      <w:widowControl/>
      <w:spacing w:before="100" w:beforeAutospacing="1" w:after="100" w:afterAutospacing="1"/>
    </w:pPr>
    <w:rPr>
      <w:rFonts w:ascii="宋体" w:hAnsi="宋体" w:cs="Arial Unicode MS" w:hint="eastAsia"/>
      <w:sz w:val="24"/>
    </w:rPr>
  </w:style>
  <w:style w:type="paragraph" w:customStyle="1" w:styleId="CharCharCharCharCharChar1CharCharCharCharCharCharChar1">
    <w:name w:val="Char Char Char Char Char Char1 Char Char Char Char Char Char Char1"/>
    <w:basedOn w:val="a2"/>
    <w:uiPriority w:val="99"/>
    <w:qFormat/>
    <w:pPr>
      <w:jc w:val="both"/>
    </w:pPr>
    <w:rPr>
      <w:rFonts w:ascii="Times New Roman"/>
    </w:rPr>
  </w:style>
  <w:style w:type="paragraph" w:customStyle="1" w:styleId="Char3CharCharCharCharCharChar1">
    <w:name w:val="Char3 Char Char Char Char Char Char1"/>
    <w:basedOn w:val="a2"/>
    <w:uiPriority w:val="99"/>
    <w:qFormat/>
    <w:pPr>
      <w:jc w:val="both"/>
    </w:pPr>
  </w:style>
  <w:style w:type="paragraph" w:customStyle="1" w:styleId="CharCharCharCharCharCharCharChar4">
    <w:name w:val="Char Char Char Char Char Char Char Char4"/>
    <w:basedOn w:val="a2"/>
    <w:qFormat/>
    <w:pPr>
      <w:jc w:val="both"/>
    </w:pPr>
    <w:rPr>
      <w:rFonts w:ascii="Times New Roman"/>
    </w:rPr>
  </w:style>
  <w:style w:type="paragraph" w:customStyle="1" w:styleId="z-20">
    <w:name w:val="z-窗体底端2"/>
    <w:basedOn w:val="a2"/>
    <w:next w:val="a2"/>
    <w:uiPriority w:val="99"/>
    <w:qFormat/>
    <w:pPr>
      <w:pBdr>
        <w:top w:val="single" w:sz="6" w:space="1" w:color="auto"/>
      </w:pBdr>
      <w:jc w:val="center"/>
      <w:textAlignment w:val="baseline"/>
    </w:pPr>
    <w:rPr>
      <w:rFonts w:hAnsi="Arial"/>
      <w:vanish/>
      <w:sz w:val="16"/>
    </w:rPr>
  </w:style>
  <w:style w:type="paragraph" w:customStyle="1" w:styleId="3111">
    <w:name w:val="标题 311"/>
    <w:basedOn w:val="a2"/>
    <w:next w:val="a2"/>
    <w:uiPriority w:val="99"/>
    <w:qFormat/>
    <w:pPr>
      <w:keepNext/>
      <w:keepLines/>
      <w:spacing w:before="120" w:after="120" w:line="500" w:lineRule="exact"/>
      <w:jc w:val="both"/>
    </w:pPr>
    <w:rPr>
      <w:rFonts w:ascii="宋体" w:eastAsia="黑体" w:hAnsi="宋体"/>
      <w:sz w:val="30"/>
    </w:rPr>
  </w:style>
  <w:style w:type="paragraph" w:customStyle="1" w:styleId="reader-word-layerreader-word-s2-3">
    <w:name w:val="reader-word-layer reader-word-s2-3"/>
    <w:basedOn w:val="a2"/>
    <w:pPr>
      <w:widowControl/>
      <w:autoSpaceDE/>
      <w:autoSpaceDN/>
      <w:adjustRightInd/>
      <w:spacing w:before="100" w:beforeAutospacing="1" w:after="100" w:afterAutospacing="1"/>
    </w:pPr>
    <w:rPr>
      <w:rFonts w:ascii="宋体" w:hAnsi="宋体" w:cs="宋体"/>
    </w:rPr>
  </w:style>
  <w:style w:type="paragraph" w:customStyle="1" w:styleId="CharCharCharCharCharCharCharCharCharCharCharCharChar1">
    <w:name w:val="Char Char Char Char Char Char Char Char Char Char Char Char Char1"/>
    <w:basedOn w:val="a2"/>
    <w:uiPriority w:val="99"/>
    <w:qFormat/>
    <w:pPr>
      <w:snapToGrid w:val="0"/>
      <w:spacing w:before="120" w:after="120" w:line="360" w:lineRule="auto"/>
      <w:ind w:firstLineChars="200" w:firstLine="200"/>
      <w:jc w:val="both"/>
    </w:pPr>
    <w:rPr>
      <w:sz w:val="24"/>
    </w:rPr>
  </w:style>
  <w:style w:type="paragraph" w:customStyle="1" w:styleId="affffffffffffffffffffff8">
    <w:name w:val="正文小四"/>
    <w:basedOn w:val="a2"/>
    <w:uiPriority w:val="99"/>
    <w:qFormat/>
    <w:pPr>
      <w:spacing w:line="360" w:lineRule="auto"/>
      <w:jc w:val="both"/>
    </w:pPr>
    <w:rPr>
      <w:sz w:val="24"/>
    </w:rPr>
  </w:style>
  <w:style w:type="paragraph" w:customStyle="1" w:styleId="CharCharCharCharCharCharCharChar10">
    <w:name w:val="Char Char Char Char Char Char Char Char1"/>
    <w:basedOn w:val="a2"/>
    <w:uiPriority w:val="99"/>
    <w:qFormat/>
    <w:pPr>
      <w:jc w:val="both"/>
    </w:pPr>
    <w:rPr>
      <w:rFonts w:ascii="Times New Roman"/>
    </w:rPr>
  </w:style>
  <w:style w:type="paragraph" w:customStyle="1" w:styleId="table">
    <w:name w:val="table"/>
    <w:basedOn w:val="a2"/>
    <w:qFormat/>
    <w:pPr>
      <w:overflowPunct w:val="0"/>
      <w:spacing w:before="60" w:after="60"/>
      <w:jc w:val="center"/>
      <w:textAlignment w:val="baseline"/>
    </w:pPr>
    <w:rPr>
      <w:rFonts w:ascii="仿宋体" w:eastAsia="仿宋体"/>
      <w:sz w:val="24"/>
    </w:rPr>
  </w:style>
  <w:style w:type="paragraph" w:customStyle="1" w:styleId="099">
    <w:name w:val="样式 首行缩进:  0.99 厘米"/>
    <w:basedOn w:val="a2"/>
    <w:uiPriority w:val="99"/>
    <w:qFormat/>
    <w:pPr>
      <w:tabs>
        <w:tab w:val="left" w:pos="280"/>
      </w:tabs>
      <w:spacing w:before="120" w:line="360" w:lineRule="auto"/>
      <w:ind w:firstLine="560"/>
      <w:jc w:val="both"/>
    </w:pPr>
    <w:rPr>
      <w:rFonts w:ascii="宋体" w:eastAsia="华文仿宋" w:hAnsi="宋体" w:cs="宋体"/>
      <w:sz w:val="24"/>
    </w:rPr>
  </w:style>
  <w:style w:type="paragraph" w:customStyle="1" w:styleId="Char1CharCharCharCharCharChar">
    <w:name w:val="Char1 Char Char Char Char Char Char"/>
    <w:basedOn w:val="a2"/>
    <w:qFormat/>
    <w:pPr>
      <w:widowControl/>
      <w:spacing w:before="100" w:beforeAutospacing="1" w:after="100" w:afterAutospacing="1"/>
      <w:ind w:firstLineChars="200" w:firstLine="200"/>
    </w:pPr>
    <w:rPr>
      <w:rFonts w:ascii="Verdana" w:eastAsia="仿宋_GB2312" w:hAnsi="Verdana"/>
      <w:sz w:val="20"/>
      <w:lang w:eastAsia="en-US"/>
    </w:rPr>
  </w:style>
  <w:style w:type="paragraph" w:customStyle="1" w:styleId="affffffffffffffffffffff9">
    <w:name w:val="四级标题"/>
    <w:basedOn w:val="affffffffffffff7"/>
    <w:next w:val="afffffffffffffff5"/>
    <w:uiPriority w:val="99"/>
    <w:qFormat/>
    <w:pPr>
      <w:keepNext/>
      <w:keepLines/>
      <w:widowControl w:val="0"/>
      <w:tabs>
        <w:tab w:val="left" w:pos="851"/>
      </w:tabs>
      <w:ind w:left="851" w:hanging="851"/>
      <w:jc w:val="both"/>
      <w:outlineLvl w:val="3"/>
    </w:pPr>
    <w:rPr>
      <w:rFonts w:ascii="黑体"/>
      <w:b/>
      <w:bCs/>
      <w:sz w:val="30"/>
      <w:szCs w:val="30"/>
    </w:rPr>
  </w:style>
  <w:style w:type="paragraph" w:customStyle="1" w:styleId="reader-word-layerreader-word-s1-12">
    <w:name w:val="reader-word-layer reader-word-s1-12"/>
    <w:basedOn w:val="a2"/>
    <w:uiPriority w:val="99"/>
    <w:qFormat/>
    <w:pPr>
      <w:spacing w:before="100" w:beforeAutospacing="1" w:after="100" w:afterAutospacing="1"/>
    </w:pPr>
    <w:rPr>
      <w:rFonts w:ascii="宋体" w:hAnsi="宋体" w:cs="宋体"/>
      <w:sz w:val="24"/>
    </w:rPr>
  </w:style>
  <w:style w:type="paragraph" w:customStyle="1" w:styleId="affffffffffffffffffffffa">
    <w:name w:val="图片"/>
    <w:basedOn w:val="a2"/>
    <w:uiPriority w:val="99"/>
    <w:qFormat/>
    <w:pPr>
      <w:spacing w:line="440" w:lineRule="exact"/>
      <w:jc w:val="both"/>
    </w:pPr>
    <w:rPr>
      <w:sz w:val="24"/>
    </w:rPr>
  </w:style>
  <w:style w:type="paragraph" w:customStyle="1" w:styleId="Blocklabel">
    <w:name w:val="Block label"/>
    <w:basedOn w:val="a2"/>
    <w:uiPriority w:val="99"/>
    <w:qFormat/>
    <w:pPr>
      <w:spacing w:before="100"/>
    </w:pPr>
    <w:rPr>
      <w:rFonts w:eastAsia="Times New Roman"/>
      <w:b/>
      <w:sz w:val="22"/>
      <w:lang w:eastAsia="en-US"/>
    </w:rPr>
  </w:style>
  <w:style w:type="paragraph" w:customStyle="1" w:styleId="chenbb">
    <w:name w:val="表格chenbb"/>
    <w:basedOn w:val="a2"/>
    <w:uiPriority w:val="99"/>
    <w:qFormat/>
    <w:pPr>
      <w:spacing w:line="320" w:lineRule="exact"/>
      <w:jc w:val="center"/>
    </w:pPr>
    <w:rPr>
      <w:rFonts w:eastAsia="仿宋_GB2312"/>
      <w:b/>
    </w:rPr>
  </w:style>
  <w:style w:type="paragraph" w:customStyle="1" w:styleId="Date2">
    <w:name w:val="Date2"/>
    <w:basedOn w:val="a2"/>
    <w:next w:val="a2"/>
    <w:qFormat/>
    <w:pPr>
      <w:jc w:val="both"/>
      <w:textAlignment w:val="baseline"/>
    </w:pPr>
    <w:rPr>
      <w:rFonts w:ascii="宋体"/>
      <w:sz w:val="24"/>
    </w:rPr>
  </w:style>
  <w:style w:type="paragraph" w:customStyle="1" w:styleId="GB2312074">
    <w:name w:val="样式 仿宋_GB2312 四号 首行缩进:  0.74 厘米"/>
    <w:basedOn w:val="a2"/>
    <w:uiPriority w:val="99"/>
    <w:qFormat/>
    <w:pPr>
      <w:spacing w:line="560" w:lineRule="exact"/>
      <w:ind w:firstLineChars="200" w:firstLine="200"/>
      <w:jc w:val="both"/>
    </w:pPr>
    <w:rPr>
      <w:rFonts w:eastAsia="仿宋_GB2312" w:cs="宋体"/>
      <w:szCs w:val="28"/>
    </w:rPr>
  </w:style>
  <w:style w:type="paragraph" w:customStyle="1" w:styleId="GB231220">
    <w:name w:val="样式 仿宋_GB2312 小四 居中 行距: 固定值 20 磅"/>
    <w:basedOn w:val="a2"/>
    <w:qFormat/>
    <w:pPr>
      <w:spacing w:line="400" w:lineRule="exact"/>
      <w:jc w:val="center"/>
    </w:pPr>
    <w:rPr>
      <w:rFonts w:ascii="仿宋_GB2312" w:eastAsia="仿宋_GB2312" w:hAnsi="宋体" w:cs="宋体"/>
      <w:sz w:val="24"/>
    </w:rPr>
  </w:style>
  <w:style w:type="paragraph" w:customStyle="1" w:styleId="p9l">
    <w:name w:val="p9l"/>
    <w:basedOn w:val="a2"/>
    <w:qFormat/>
    <w:pPr>
      <w:spacing w:before="100" w:beforeAutospacing="1" w:after="100" w:afterAutospacing="1" w:line="200" w:lineRule="atLeast"/>
    </w:pPr>
    <w:rPr>
      <w:rFonts w:ascii="宋体" w:hAnsi="宋体" w:cs="宋体"/>
      <w:color w:val="000000"/>
      <w:sz w:val="18"/>
      <w:szCs w:val="18"/>
    </w:rPr>
  </w:style>
  <w:style w:type="paragraph" w:customStyle="1" w:styleId="xl83">
    <w:name w:val="xl83"/>
    <w:basedOn w:val="a2"/>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style30">
    <w:name w:val="style3"/>
    <w:basedOn w:val="a2"/>
    <w:uiPriority w:val="99"/>
    <w:qFormat/>
    <w:pPr>
      <w:spacing w:before="100" w:beforeAutospacing="1" w:after="100" w:afterAutospacing="1" w:line="360" w:lineRule="auto"/>
      <w:ind w:firstLine="360"/>
    </w:pPr>
    <w:rPr>
      <w:rFonts w:ascii="宋体" w:hAnsi="宋体" w:cs="宋体"/>
      <w:color w:val="FFFFFF"/>
      <w:sz w:val="18"/>
      <w:szCs w:val="18"/>
    </w:rPr>
  </w:style>
  <w:style w:type="paragraph" w:customStyle="1" w:styleId="CharCharCharCharCharCharCharChar1CharCharCharChar1">
    <w:name w:val="Char Char Char Char Char Char Char Char1 Char Char Char Char1"/>
    <w:basedOn w:val="a2"/>
    <w:uiPriority w:val="99"/>
    <w:qFormat/>
    <w:pPr>
      <w:jc w:val="both"/>
    </w:pPr>
  </w:style>
  <w:style w:type="paragraph" w:customStyle="1" w:styleId="1CharCharCharCharCharCharCharCharCharCharCharCharCharCharCharCharCharCharCharCharCharChar">
    <w:name w:val="1 Char Char Char Char Char Char Char Char Char Char Char Char Char Char Char Char Char Char Char Char Char Char"/>
    <w:basedOn w:val="a2"/>
    <w:qFormat/>
  </w:style>
  <w:style w:type="paragraph" w:customStyle="1" w:styleId="3112">
    <w:name w:val="正文文本缩进 311"/>
    <w:basedOn w:val="a2"/>
    <w:uiPriority w:val="99"/>
    <w:qFormat/>
    <w:pPr>
      <w:spacing w:line="360" w:lineRule="auto"/>
      <w:ind w:firstLine="480"/>
      <w:jc w:val="both"/>
    </w:pPr>
    <w:rPr>
      <w:rFonts w:ascii="华文仿宋" w:eastAsia="华文仿宋" w:hAnsi="华文仿宋"/>
      <w:color w:val="000000"/>
      <w:sz w:val="24"/>
    </w:rPr>
  </w:style>
  <w:style w:type="paragraph" w:customStyle="1" w:styleId="affffffffffffffffffffffb">
    <w:name w:val="首缩"/>
    <w:basedOn w:val="a2"/>
    <w:qFormat/>
    <w:pPr>
      <w:snapToGrid w:val="0"/>
      <w:spacing w:line="500" w:lineRule="exact"/>
      <w:ind w:firstLine="200"/>
      <w:jc w:val="both"/>
    </w:pPr>
    <w:rPr>
      <w:rFonts w:eastAsia="仿宋_GB2312"/>
      <w:snapToGrid w:val="0"/>
    </w:rPr>
  </w:style>
  <w:style w:type="paragraph" w:customStyle="1" w:styleId="3CharCharCharChar0">
    <w:name w:val="样式 标题 3 + 黑色 Char Char Char Char"/>
    <w:basedOn w:val="32"/>
    <w:uiPriority w:val="99"/>
    <w:qFormat/>
    <w:pPr>
      <w:keepNext w:val="0"/>
      <w:keepLines w:val="0"/>
      <w:tabs>
        <w:tab w:val="left" w:pos="993"/>
        <w:tab w:val="left" w:pos="1260"/>
      </w:tabs>
      <w:snapToGrid w:val="0"/>
      <w:spacing w:before="0" w:after="0" w:line="500" w:lineRule="exact"/>
      <w:jc w:val="both"/>
      <w:outlineLvl w:val="9"/>
    </w:pPr>
    <w:rPr>
      <w:rFonts w:ascii="Times New Roman" w:eastAsia="宋体"/>
      <w:b w:val="0"/>
      <w:color w:val="000000"/>
      <w:sz w:val="28"/>
    </w:rPr>
  </w:style>
  <w:style w:type="paragraph" w:customStyle="1" w:styleId="21051">
    <w:name w:val="样式 标题 2节 + 段前: 1 行 段后: 0.5 行1"/>
    <w:basedOn w:val="a2"/>
    <w:qFormat/>
    <w:pPr>
      <w:tabs>
        <w:tab w:val="left" w:pos="567"/>
      </w:tabs>
      <w:ind w:left="567" w:hanging="567"/>
      <w:jc w:val="both"/>
    </w:pPr>
  </w:style>
  <w:style w:type="paragraph" w:customStyle="1" w:styleId="CharCharCharChar1CharCharCharCharCharCharCharCharCharCharCharChar1">
    <w:name w:val="Char Char Char Char1 Char Char Char Char Char Char Char Char Char Char Char Char1"/>
    <w:basedOn w:val="a2"/>
    <w:uiPriority w:val="99"/>
    <w:qFormat/>
    <w:pPr>
      <w:tabs>
        <w:tab w:val="left" w:pos="0"/>
      </w:tabs>
    </w:pPr>
    <w:rPr>
      <w:sz w:val="24"/>
    </w:rPr>
  </w:style>
  <w:style w:type="paragraph" w:customStyle="1" w:styleId="11f0">
    <w:name w:val="日期11"/>
    <w:basedOn w:val="a2"/>
    <w:next w:val="a2"/>
    <w:uiPriority w:val="99"/>
    <w:qFormat/>
    <w:pPr>
      <w:snapToGrid w:val="0"/>
      <w:spacing w:before="120" w:after="120" w:line="360" w:lineRule="auto"/>
      <w:ind w:firstLineChars="200" w:firstLine="200"/>
      <w:jc w:val="both"/>
      <w:textAlignment w:val="baseline"/>
    </w:pPr>
    <w:rPr>
      <w:sz w:val="24"/>
    </w:rPr>
  </w:style>
  <w:style w:type="paragraph" w:customStyle="1" w:styleId="xl47">
    <w:name w:val="xl47"/>
    <w:basedOn w:val="a2"/>
    <w:qFormat/>
    <w:pPr>
      <w:widowControl/>
      <w:pBdr>
        <w:left w:val="single" w:sz="4" w:space="0" w:color="auto"/>
        <w:right w:val="single" w:sz="12" w:space="0" w:color="auto"/>
      </w:pBdr>
      <w:spacing w:before="100" w:beforeAutospacing="1" w:after="100" w:afterAutospacing="1" w:line="540" w:lineRule="exact"/>
      <w:jc w:val="center"/>
    </w:pPr>
    <w:rPr>
      <w:rFonts w:ascii="Arial Unicode MS" w:eastAsia="Arial Unicode MS" w:hAnsi="Arial Unicode MS"/>
      <w:b/>
      <w:bCs/>
      <w:sz w:val="24"/>
    </w:rPr>
  </w:style>
  <w:style w:type="paragraph" w:customStyle="1" w:styleId="Char71">
    <w:name w:val="Char71"/>
    <w:basedOn w:val="a2"/>
    <w:uiPriority w:val="99"/>
    <w:qFormat/>
    <w:pPr>
      <w:tabs>
        <w:tab w:val="right" w:leader="middleDot" w:pos="600"/>
      </w:tabs>
      <w:jc w:val="both"/>
    </w:pPr>
    <w:rPr>
      <w:rFonts w:ascii="仿宋_GB2312" w:eastAsia="仿宋_GB2312"/>
      <w:sz w:val="30"/>
      <w:szCs w:val="30"/>
    </w:rPr>
  </w:style>
  <w:style w:type="paragraph" w:customStyle="1" w:styleId="Pa12">
    <w:name w:val="Pa12"/>
    <w:basedOn w:val="Default"/>
    <w:next w:val="Default"/>
    <w:qFormat/>
    <w:pPr>
      <w:spacing w:line="201" w:lineRule="atLeast"/>
    </w:pPr>
    <w:rPr>
      <w:rFonts w:ascii="方正黑体简体" w:eastAsia="方正黑体简体" w:cs="Times New Roman"/>
      <w:color w:val="auto"/>
    </w:rPr>
  </w:style>
  <w:style w:type="paragraph" w:customStyle="1" w:styleId="GB2312101250">
    <w:name w:val="样式 样式 普通(网站) + 仿宋_GB2312 四号 两端对齐 首行缩进:  1.01 厘米 行距: 固定值 25 磅 +"/>
    <w:basedOn w:val="GB231210125"/>
    <w:uiPriority w:val="99"/>
    <w:qFormat/>
    <w:pPr>
      <w:spacing w:line="520" w:lineRule="exact"/>
      <w:ind w:firstLine="573"/>
    </w:pPr>
    <w:rPr>
      <w:szCs w:val="24"/>
    </w:rPr>
  </w:style>
  <w:style w:type="paragraph" w:customStyle="1" w:styleId="reader-word-layerreader-word-s1-29">
    <w:name w:val="reader-word-layer reader-word-s1-29"/>
    <w:basedOn w:val="a2"/>
    <w:uiPriority w:val="99"/>
    <w:qFormat/>
    <w:pPr>
      <w:spacing w:before="100" w:beforeAutospacing="1" w:after="100" w:afterAutospacing="1"/>
    </w:pPr>
    <w:rPr>
      <w:rFonts w:ascii="宋体" w:hAnsi="宋体" w:cs="宋体"/>
      <w:sz w:val="24"/>
    </w:rPr>
  </w:style>
  <w:style w:type="paragraph" w:customStyle="1" w:styleId="F">
    <w:name w:val="F正文"/>
    <w:uiPriority w:val="99"/>
    <w:qFormat/>
    <w:pPr>
      <w:widowControl w:val="0"/>
      <w:adjustRightInd w:val="0"/>
      <w:spacing w:line="360" w:lineRule="atLeast"/>
      <w:textAlignment w:val="baseline"/>
    </w:pPr>
    <w:rPr>
      <w:rFonts w:ascii="Times New Roman" w:eastAsia="宋体" w:hAnsi="Times New Roman" w:cs="Times New Roman"/>
      <w:spacing w:val="12"/>
      <w:sz w:val="24"/>
    </w:rPr>
  </w:style>
  <w:style w:type="paragraph" w:customStyle="1" w:styleId="6b">
    <w:name w:val="样式 正文缩进 + 宋体 段后: 6 磅 行距: 单倍行距"/>
    <w:basedOn w:val="a3"/>
    <w:uiPriority w:val="99"/>
    <w:qFormat/>
    <w:pPr>
      <w:spacing w:after="120" w:line="300" w:lineRule="auto"/>
      <w:ind w:firstLine="200"/>
    </w:pPr>
    <w:rPr>
      <w:rFonts w:ascii="宋体" w:hAnsi="宋体" w:cs="宋体"/>
      <w:color w:val="000000"/>
      <w:sz w:val="24"/>
      <w:szCs w:val="20"/>
    </w:rPr>
  </w:style>
  <w:style w:type="paragraph" w:customStyle="1" w:styleId="CharChar3CharCharCharChar">
    <w:name w:val="Char Char3 Char Char Char Char"/>
    <w:basedOn w:val="a2"/>
    <w:uiPriority w:val="99"/>
    <w:qFormat/>
    <w:pPr>
      <w:snapToGrid w:val="0"/>
      <w:spacing w:line="360" w:lineRule="auto"/>
      <w:ind w:firstLineChars="200" w:firstLine="200"/>
      <w:jc w:val="both"/>
    </w:pPr>
    <w:rPr>
      <w:rFonts w:eastAsia="仿宋_GB2312"/>
      <w:sz w:val="24"/>
      <w:szCs w:val="30"/>
    </w:rPr>
  </w:style>
  <w:style w:type="paragraph" w:customStyle="1" w:styleId="4f5">
    <w:name w:val="标题　4"/>
    <w:basedOn w:val="41"/>
    <w:uiPriority w:val="99"/>
    <w:qFormat/>
    <w:pPr>
      <w:ind w:leftChars="0" w:left="0" w:rightChars="0" w:right="0"/>
    </w:pPr>
    <w:rPr>
      <w:rFonts w:ascii="Times New Roman" w:eastAsia="宋体"/>
      <w:b/>
      <w:snapToGrid w:val="0"/>
      <w:sz w:val="24"/>
      <w:szCs w:val="20"/>
    </w:rPr>
  </w:style>
  <w:style w:type="paragraph" w:customStyle="1" w:styleId="0990">
    <w:name w:val="样式 表号 + 首行缩进:  0.99 厘米"/>
    <w:basedOn w:val="a2"/>
    <w:uiPriority w:val="99"/>
    <w:qFormat/>
    <w:pPr>
      <w:snapToGrid w:val="0"/>
      <w:spacing w:line="240" w:lineRule="atLeast"/>
      <w:ind w:firstLine="420"/>
      <w:jc w:val="both"/>
      <w:outlineLvl w:val="4"/>
    </w:pPr>
    <w:rPr>
      <w:rFonts w:ascii="宋体" w:hAnsi="宋体" w:cs="宋体"/>
      <w:sz w:val="24"/>
    </w:rPr>
  </w:style>
  <w:style w:type="paragraph" w:customStyle="1" w:styleId="CharCharChar1CharCharCharCharCharCharCharChar2">
    <w:name w:val="Char Char Char1 Char Char Char Char Char Char Char Char2"/>
    <w:basedOn w:val="a2"/>
    <w:uiPriority w:val="99"/>
    <w:qFormat/>
    <w:pPr>
      <w:jc w:val="both"/>
    </w:pPr>
    <w:rPr>
      <w:rFonts w:ascii="Times New Roman"/>
    </w:rPr>
  </w:style>
  <w:style w:type="paragraph" w:customStyle="1" w:styleId="xl39">
    <w:name w:val="xl3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3xi1">
    <w:name w:val="3xi1"/>
    <w:basedOn w:val="a2"/>
    <w:uiPriority w:val="99"/>
    <w:qFormat/>
    <w:pPr>
      <w:spacing w:before="100" w:beforeAutospacing="1" w:after="100" w:afterAutospacing="1"/>
    </w:pPr>
    <w:rPr>
      <w:rFonts w:ascii="宋体" w:hAnsi="宋体" w:cs="宋体"/>
      <w:sz w:val="24"/>
    </w:rPr>
  </w:style>
  <w:style w:type="paragraph" w:customStyle="1" w:styleId="CharCharChar110">
    <w:name w:val="Char Char Char11"/>
    <w:basedOn w:val="a2"/>
    <w:uiPriority w:val="99"/>
    <w:qFormat/>
    <w:pPr>
      <w:jc w:val="both"/>
    </w:pPr>
    <w:rPr>
      <w:sz w:val="24"/>
    </w:rPr>
  </w:style>
  <w:style w:type="paragraph" w:customStyle="1" w:styleId="reader-word-layerreader-word-s1-11">
    <w:name w:val="reader-word-layer reader-word-s1-11"/>
    <w:basedOn w:val="a2"/>
    <w:uiPriority w:val="99"/>
    <w:qFormat/>
    <w:pPr>
      <w:spacing w:before="100" w:beforeAutospacing="1" w:after="100" w:afterAutospacing="1"/>
    </w:pPr>
    <w:rPr>
      <w:rFonts w:ascii="宋体" w:hAnsi="宋体" w:cs="宋体"/>
      <w:sz w:val="24"/>
    </w:rPr>
  </w:style>
  <w:style w:type="paragraph" w:customStyle="1" w:styleId="Char2CharCharChar4">
    <w:name w:val="Char2 Char Char Char4"/>
    <w:basedOn w:val="a2"/>
    <w:uiPriority w:val="99"/>
    <w:qFormat/>
    <w:pPr>
      <w:snapToGrid w:val="0"/>
      <w:spacing w:line="360" w:lineRule="auto"/>
      <w:ind w:firstLineChars="200" w:firstLine="200"/>
      <w:jc w:val="both"/>
    </w:pPr>
    <w:rPr>
      <w:rFonts w:eastAsia="仿宋_GB2312"/>
      <w:sz w:val="24"/>
    </w:rPr>
  </w:style>
  <w:style w:type="paragraph" w:customStyle="1" w:styleId="reader-word-layerreader-word-s1-28">
    <w:name w:val="reader-word-layer reader-word-s1-28"/>
    <w:basedOn w:val="a2"/>
    <w:uiPriority w:val="99"/>
    <w:qFormat/>
    <w:pPr>
      <w:spacing w:before="100" w:beforeAutospacing="1" w:after="100" w:afterAutospacing="1"/>
    </w:pPr>
    <w:rPr>
      <w:rFonts w:ascii="宋体" w:hAnsi="宋体" w:cs="宋体"/>
      <w:sz w:val="24"/>
    </w:rPr>
  </w:style>
  <w:style w:type="paragraph" w:customStyle="1" w:styleId="CharCharCharCharCharCharCharCharCharChar3">
    <w:name w:val="Char Char Char Char Char Char Char Char Char Char3"/>
    <w:basedOn w:val="a2"/>
    <w:uiPriority w:val="99"/>
    <w:qFormat/>
    <w:pPr>
      <w:jc w:val="both"/>
    </w:pPr>
  </w:style>
  <w:style w:type="paragraph" w:customStyle="1" w:styleId="Char051">
    <w:name w:val="样式 公式段落 Char + 段前: 0.5 行1"/>
    <w:basedOn w:val="a2"/>
    <w:qFormat/>
    <w:pPr>
      <w:snapToGrid w:val="0"/>
      <w:jc w:val="center"/>
      <w:textAlignment w:val="center"/>
    </w:pPr>
    <w:rPr>
      <w:bCs/>
    </w:rPr>
  </w:style>
  <w:style w:type="paragraph" w:customStyle="1" w:styleId="9css2">
    <w:name w:val="9css2"/>
    <w:basedOn w:val="a2"/>
    <w:qFormat/>
    <w:pPr>
      <w:spacing w:before="100" w:beforeAutospacing="1" w:after="100" w:afterAutospacing="1" w:line="240" w:lineRule="atLeast"/>
    </w:pPr>
    <w:rPr>
      <w:rFonts w:ascii="宋体" w:hAnsi="宋体"/>
      <w:color w:val="000000"/>
      <w:sz w:val="18"/>
      <w:szCs w:val="18"/>
    </w:rPr>
  </w:style>
  <w:style w:type="paragraph" w:customStyle="1" w:styleId="GB2312250">
    <w:name w:val="样式 普通(网站) + 仿宋_GB2312 四号 加粗 行距: 固定值 25 磅"/>
    <w:basedOn w:val="aff6"/>
    <w:uiPriority w:val="99"/>
    <w:qFormat/>
    <w:pPr>
      <w:spacing w:line="500" w:lineRule="exact"/>
    </w:pPr>
    <w:rPr>
      <w:rFonts w:ascii="仿宋_GB2312" w:hAnsi="宋体" w:cs="宋体"/>
      <w:b/>
      <w:bCs/>
      <w:sz w:val="28"/>
    </w:rPr>
  </w:style>
  <w:style w:type="paragraph" w:customStyle="1" w:styleId="Char1CharCharChar1">
    <w:name w:val="Char1 Char Char Char1"/>
    <w:basedOn w:val="a2"/>
    <w:qFormat/>
    <w:pPr>
      <w:jc w:val="both"/>
    </w:pPr>
    <w:rPr>
      <w:sz w:val="24"/>
    </w:rPr>
  </w:style>
  <w:style w:type="paragraph" w:customStyle="1" w:styleId="affffffffffffffffffffffc">
    <w:name w:val="表格文字+"/>
    <w:basedOn w:val="a2"/>
    <w:uiPriority w:val="99"/>
    <w:qFormat/>
    <w:pPr>
      <w:tabs>
        <w:tab w:val="left" w:pos="3720"/>
      </w:tabs>
      <w:jc w:val="center"/>
      <w:textAlignment w:val="bottom"/>
    </w:pPr>
    <w:rPr>
      <w:rFonts w:cs="宋体"/>
    </w:rPr>
  </w:style>
  <w:style w:type="paragraph" w:customStyle="1" w:styleId="1ffffffb">
    <w:name w:val="1文章"/>
    <w:basedOn w:val="a2"/>
    <w:qFormat/>
    <w:pPr>
      <w:snapToGrid w:val="0"/>
      <w:spacing w:line="420" w:lineRule="auto"/>
      <w:ind w:firstLine="454"/>
      <w:jc w:val="both"/>
      <w:outlineLvl w:val="4"/>
    </w:pPr>
    <w:rPr>
      <w:spacing w:val="4"/>
      <w:sz w:val="24"/>
    </w:rPr>
  </w:style>
  <w:style w:type="paragraph" w:customStyle="1" w:styleId="reader-word-layerreader-word-s1-13">
    <w:name w:val="reader-word-layer reader-word-s1-13"/>
    <w:basedOn w:val="a2"/>
    <w:uiPriority w:val="99"/>
    <w:qFormat/>
    <w:pPr>
      <w:spacing w:before="100" w:beforeAutospacing="1" w:after="100" w:afterAutospacing="1"/>
    </w:pPr>
    <w:rPr>
      <w:rFonts w:ascii="宋体" w:hAnsi="宋体" w:cs="宋体"/>
      <w:sz w:val="24"/>
    </w:rPr>
  </w:style>
  <w:style w:type="paragraph" w:customStyle="1" w:styleId="affffffffffffffffffffffd">
    <w:name w:val="论文正文"/>
    <w:basedOn w:val="a3"/>
    <w:qFormat/>
    <w:pPr>
      <w:ind w:firstLine="480"/>
    </w:pPr>
    <w:rPr>
      <w:rFonts w:ascii="宋体" w:hAnsi="宋体"/>
      <w:sz w:val="28"/>
    </w:rPr>
  </w:style>
  <w:style w:type="paragraph" w:customStyle="1" w:styleId="2ffff3">
    <w:name w:val="(文字) (文字)2"/>
    <w:basedOn w:val="a2"/>
    <w:uiPriority w:val="99"/>
    <w:qFormat/>
    <w:pPr>
      <w:jc w:val="both"/>
    </w:pPr>
    <w:rPr>
      <w:rFonts w:ascii="Times New Roman"/>
    </w:rPr>
  </w:style>
  <w:style w:type="paragraph" w:customStyle="1" w:styleId="221121H2SeHeadwsa211125">
    <w:name w:val="样式 标题 2标题 21标题 121H2SeHead wsa2标题 1.1 + 小三 非加粗 段前: 12.5..."/>
    <w:basedOn w:val="22"/>
    <w:uiPriority w:val="99"/>
    <w:qFormat/>
    <w:pPr>
      <w:tabs>
        <w:tab w:val="left" w:pos="1320"/>
      </w:tabs>
      <w:spacing w:before="0" w:after="0" w:line="480" w:lineRule="auto"/>
      <w:jc w:val="both"/>
    </w:pPr>
    <w:rPr>
      <w:rFonts w:ascii="宋体" w:eastAsia="宋体" w:hAnsi="宋体" w:cs="TimesNewRomanPSMT"/>
      <w:b w:val="0"/>
      <w:bCs w:val="0"/>
      <w:sz w:val="28"/>
      <w:szCs w:val="28"/>
    </w:rPr>
  </w:style>
  <w:style w:type="paragraph" w:customStyle="1" w:styleId="2Charf7">
    <w:name w:val="正文缩进 2字符 Char"/>
    <w:basedOn w:val="a2"/>
    <w:uiPriority w:val="99"/>
    <w:qFormat/>
    <w:pPr>
      <w:snapToGrid w:val="0"/>
      <w:spacing w:after="120"/>
      <w:ind w:leftChars="-75" w:left="-75" w:hangingChars="75" w:hanging="180"/>
      <w:jc w:val="both"/>
    </w:pPr>
    <w:rPr>
      <w:rFonts w:eastAsia="仿宋_GB2312"/>
      <w:sz w:val="24"/>
    </w:rPr>
  </w:style>
  <w:style w:type="paragraph" w:customStyle="1" w:styleId="xl29">
    <w:name w:val="xl2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rPr>
  </w:style>
  <w:style w:type="paragraph" w:customStyle="1" w:styleId="3ffe">
    <w:name w:val="目录3"/>
    <w:basedOn w:val="a2"/>
    <w:next w:val="a2"/>
    <w:qFormat/>
    <w:pPr>
      <w:tabs>
        <w:tab w:val="left" w:leader="dot" w:pos="8503"/>
      </w:tabs>
      <w:spacing w:line="317" w:lineRule="atLeast"/>
      <w:ind w:left="419" w:firstLine="419"/>
    </w:pPr>
    <w:rPr>
      <w:rFonts w:hAnsi="宋体"/>
    </w:rPr>
  </w:style>
  <w:style w:type="paragraph" w:customStyle="1" w:styleId="affffffffffffffffffffffe">
    <w:name w:val="一级"/>
    <w:basedOn w:val="22"/>
    <w:uiPriority w:val="99"/>
    <w:qFormat/>
    <w:pPr>
      <w:keepNext w:val="0"/>
      <w:keepLines w:val="0"/>
      <w:spacing w:before="0" w:after="0" w:line="360" w:lineRule="auto"/>
      <w:ind w:left="425" w:hanging="425"/>
    </w:pPr>
    <w:rPr>
      <w:rFonts w:ascii="Times New Roman" w:eastAsia="宋体" w:hAnsi="Times New Roman" w:cs="Times New Roman"/>
      <w:bCs w:val="0"/>
      <w:kern w:val="44"/>
      <w:sz w:val="30"/>
      <w:szCs w:val="28"/>
    </w:rPr>
  </w:style>
  <w:style w:type="paragraph" w:customStyle="1" w:styleId="2GB2312">
    <w:name w:val="标题 2 + 楷体_GB2312"/>
    <w:basedOn w:val="12"/>
    <w:qFormat/>
    <w:pPr>
      <w:spacing w:before="240" w:after="240" w:line="440" w:lineRule="exact"/>
      <w:jc w:val="both"/>
      <w:textAlignment w:val="auto"/>
    </w:pPr>
    <w:rPr>
      <w:rFonts w:ascii="楷体_GB2312" w:eastAsia="楷体_GB2312" w:hAnsi="Arial"/>
      <w:b/>
      <w:kern w:val="2"/>
      <w:sz w:val="24"/>
      <w:szCs w:val="32"/>
    </w:rPr>
  </w:style>
  <w:style w:type="paragraph" w:customStyle="1" w:styleId="xl105">
    <w:name w:val="xl105"/>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afffffffffffffffffffffff">
    <w:name w:val="表项"/>
    <w:basedOn w:val="a2"/>
    <w:qFormat/>
    <w:pPr>
      <w:spacing w:line="360" w:lineRule="auto"/>
      <w:jc w:val="center"/>
    </w:pPr>
    <w:rPr>
      <w:szCs w:val="28"/>
    </w:rPr>
  </w:style>
  <w:style w:type="paragraph" w:customStyle="1" w:styleId="2ffff4">
    <w:name w:val="首行缩进:  2 字符"/>
    <w:basedOn w:val="a2"/>
    <w:uiPriority w:val="99"/>
    <w:qFormat/>
    <w:pPr>
      <w:ind w:firstLine="480"/>
      <w:jc w:val="both"/>
      <w:textAlignment w:val="baseline"/>
    </w:pPr>
    <w:rPr>
      <w:rFonts w:ascii="Times New Roman"/>
    </w:rPr>
  </w:style>
  <w:style w:type="paragraph" w:customStyle="1" w:styleId="afffffffffffffffffffffff0">
    <w:name w:val="题目样式"/>
    <w:basedOn w:val="a2"/>
    <w:uiPriority w:val="99"/>
    <w:qFormat/>
    <w:pPr>
      <w:snapToGrid w:val="0"/>
      <w:spacing w:before="480" w:after="240" w:line="360" w:lineRule="auto"/>
      <w:ind w:firstLineChars="200" w:firstLine="200"/>
      <w:jc w:val="center"/>
    </w:pPr>
    <w:rPr>
      <w:rFonts w:ascii="黑体" w:eastAsia="黑体"/>
      <w:b/>
      <w:bCs/>
      <w:sz w:val="44"/>
    </w:rPr>
  </w:style>
  <w:style w:type="paragraph" w:customStyle="1" w:styleId="GB2312010">
    <w:name w:val="样式 (西文) 宋体 (中文) 仿宋_GB2312 五号 黑色 居中 首行缩进:  0 厘米 行距: 单倍行距1"/>
    <w:basedOn w:val="a2"/>
    <w:uiPriority w:val="99"/>
    <w:qFormat/>
    <w:pPr>
      <w:jc w:val="center"/>
    </w:pPr>
    <w:rPr>
      <w:rFonts w:ascii="宋体" w:hAnsi="宋体"/>
      <w:color w:val="000000"/>
      <w:spacing w:val="5"/>
    </w:rPr>
  </w:style>
  <w:style w:type="paragraph" w:customStyle="1" w:styleId="144">
    <w:name w:val="样式 黑色14"/>
    <w:basedOn w:val="a2"/>
    <w:uiPriority w:val="99"/>
    <w:qFormat/>
    <w:pPr>
      <w:spacing w:line="360" w:lineRule="auto"/>
      <w:ind w:firstLineChars="171" w:firstLine="359"/>
      <w:jc w:val="both"/>
    </w:pPr>
    <w:rPr>
      <w:rFonts w:cs="宋体"/>
      <w:color w:val="000000"/>
      <w:sz w:val="24"/>
    </w:rPr>
  </w:style>
  <w:style w:type="paragraph" w:customStyle="1" w:styleId="GB231203">
    <w:name w:val="样式 (西文) 宋体 (中文) 仿宋_GB2312 五号 黑色 居中 首行缩进:  0 厘米 行距: 单倍行距3"/>
    <w:basedOn w:val="a2"/>
    <w:uiPriority w:val="99"/>
    <w:qFormat/>
    <w:pPr>
      <w:jc w:val="center"/>
    </w:pPr>
    <w:rPr>
      <w:rFonts w:ascii="宋体" w:hAnsi="宋体"/>
      <w:color w:val="000000"/>
    </w:rPr>
  </w:style>
  <w:style w:type="paragraph" w:customStyle="1" w:styleId="h">
    <w:name w:val="h"/>
    <w:basedOn w:val="a2"/>
    <w:qFormat/>
    <w:pPr>
      <w:spacing w:before="60"/>
      <w:ind w:firstLine="482"/>
    </w:pPr>
    <w:rPr>
      <w:rFonts w:eastAsia="仿宋_GB2312" w:hAnsi="Arial"/>
      <w:sz w:val="24"/>
    </w:rPr>
  </w:style>
  <w:style w:type="paragraph" w:customStyle="1" w:styleId="GB23125">
    <w:name w:val="样式 仿宋_GB2312 小四 加粗 居中"/>
    <w:basedOn w:val="a2"/>
    <w:qFormat/>
    <w:pPr>
      <w:jc w:val="center"/>
    </w:pPr>
    <w:rPr>
      <w:rFonts w:ascii="宋体" w:hAnsi="宋体" w:cs="宋体"/>
      <w:bCs/>
      <w:sz w:val="24"/>
    </w:rPr>
  </w:style>
  <w:style w:type="paragraph" w:customStyle="1" w:styleId="xl61">
    <w:name w:val="xl61"/>
    <w:basedOn w:val="a2"/>
    <w:qFormat/>
    <w:pPr>
      <w:widowControl/>
      <w:pBdr>
        <w:bottom w:val="single" w:sz="4" w:space="0" w:color="auto"/>
      </w:pBdr>
      <w:spacing w:before="100" w:beforeAutospacing="1" w:after="100" w:afterAutospacing="1"/>
      <w:textAlignment w:val="center"/>
    </w:pPr>
    <w:rPr>
      <w:rFonts w:ascii="Arial Unicode MS" w:eastAsia="Arial Unicode MS" w:hAnsi="Arial Unicode MS"/>
      <w:sz w:val="22"/>
      <w:szCs w:val="22"/>
    </w:rPr>
  </w:style>
  <w:style w:type="paragraph" w:customStyle="1" w:styleId="CharCharCharCharCharCharChar6">
    <w:name w:val="Char Char Char Char Char Char Char6"/>
    <w:basedOn w:val="a2"/>
    <w:uiPriority w:val="99"/>
    <w:qFormat/>
    <w:pPr>
      <w:spacing w:line="360" w:lineRule="auto"/>
      <w:ind w:firstLineChars="200" w:firstLine="200"/>
      <w:jc w:val="both"/>
    </w:pPr>
  </w:style>
  <w:style w:type="paragraph" w:customStyle="1" w:styleId="17119">
    <w:name w:val="样式 首行缩进:  1.71 字符19"/>
    <w:basedOn w:val="a2"/>
    <w:uiPriority w:val="99"/>
    <w:qFormat/>
    <w:pPr>
      <w:spacing w:line="360" w:lineRule="auto"/>
      <w:jc w:val="both"/>
    </w:pPr>
    <w:rPr>
      <w:rFonts w:cs="宋体"/>
      <w:color w:val="FF0000"/>
      <w:sz w:val="24"/>
    </w:rPr>
  </w:style>
  <w:style w:type="paragraph" w:customStyle="1" w:styleId="Char3CharCharChar1">
    <w:name w:val="Char3 Char Char Char1"/>
    <w:basedOn w:val="a2"/>
    <w:uiPriority w:val="99"/>
    <w:qFormat/>
    <w:pPr>
      <w:jc w:val="both"/>
    </w:pPr>
    <w:rPr>
      <w:rFonts w:ascii="Times New Roman"/>
    </w:rPr>
  </w:style>
  <w:style w:type="paragraph" w:customStyle="1" w:styleId="12f2">
    <w:name w:val="批注主题12"/>
    <w:basedOn w:val="af1"/>
    <w:next w:val="af1"/>
    <w:uiPriority w:val="99"/>
    <w:qFormat/>
    <w:pPr>
      <w:textAlignment w:val="baseline"/>
    </w:pPr>
    <w:rPr>
      <w:rFonts w:ascii="宋体" w:eastAsia="宋体" w:hAnsi="宋体" w:hint="eastAsia"/>
      <w:b/>
      <w:sz w:val="24"/>
    </w:rPr>
  </w:style>
  <w:style w:type="paragraph" w:customStyle="1" w:styleId="CharCharCharChar70">
    <w:name w:val="Char Char Char Char7"/>
    <w:basedOn w:val="a2"/>
    <w:uiPriority w:val="99"/>
    <w:qFormat/>
    <w:pPr>
      <w:snapToGrid w:val="0"/>
      <w:spacing w:line="360" w:lineRule="auto"/>
      <w:ind w:firstLineChars="200" w:firstLine="200"/>
    </w:pPr>
    <w:rPr>
      <w:rFonts w:eastAsia="仿宋_GB2312"/>
    </w:rPr>
  </w:style>
  <w:style w:type="paragraph" w:customStyle="1" w:styleId="GB231210">
    <w:name w:val="样式 样式 (中文) 仿宋_GB2312 居中1 + 小四"/>
    <w:basedOn w:val="GB231211"/>
    <w:uiPriority w:val="99"/>
    <w:qFormat/>
    <w:rPr>
      <w:rFonts w:ascii="宋体" w:eastAsia="宋体" w:hAnsi="宋体"/>
    </w:rPr>
  </w:style>
  <w:style w:type="paragraph" w:customStyle="1" w:styleId="GB231211">
    <w:name w:val="样式 (中文) 仿宋_GB2312 居中1"/>
    <w:basedOn w:val="a2"/>
    <w:uiPriority w:val="99"/>
    <w:qFormat/>
    <w:pPr>
      <w:jc w:val="center"/>
    </w:pPr>
    <w:rPr>
      <w:rFonts w:eastAsia="仿宋_GB2312" w:cs="宋体"/>
    </w:rPr>
  </w:style>
  <w:style w:type="paragraph" w:customStyle="1" w:styleId="CharCharCharCharCharChar70">
    <w:name w:val="Char Char Char Char Char Char7"/>
    <w:basedOn w:val="a2"/>
    <w:qFormat/>
    <w:rPr>
      <w:sz w:val="24"/>
    </w:rPr>
  </w:style>
  <w:style w:type="paragraph" w:customStyle="1" w:styleId="xl759">
    <w:name w:val="xl759"/>
    <w:basedOn w:val="a2"/>
    <w:uiPriority w:val="99"/>
    <w:qFormat/>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sz w:val="24"/>
    </w:rPr>
  </w:style>
  <w:style w:type="paragraph" w:customStyle="1" w:styleId="3210">
    <w:name w:val="正文文本 321"/>
    <w:basedOn w:val="a2"/>
    <w:uiPriority w:val="99"/>
    <w:qFormat/>
    <w:pPr>
      <w:spacing w:line="360" w:lineRule="auto"/>
      <w:jc w:val="both"/>
      <w:textAlignment w:val="baseline"/>
    </w:pPr>
    <w:rPr>
      <w:sz w:val="30"/>
    </w:rPr>
  </w:style>
  <w:style w:type="paragraph" w:customStyle="1" w:styleId="6c">
    <w:name w:val="表题6"/>
    <w:basedOn w:val="a2"/>
    <w:uiPriority w:val="99"/>
    <w:qFormat/>
    <w:pPr>
      <w:snapToGrid w:val="0"/>
      <w:spacing w:before="180" w:after="60"/>
      <w:jc w:val="center"/>
    </w:pPr>
    <w:rPr>
      <w:b/>
    </w:rPr>
  </w:style>
  <w:style w:type="paragraph" w:customStyle="1" w:styleId="Char3CharCharChar3">
    <w:name w:val="Char3 Char Char Char3"/>
    <w:basedOn w:val="a2"/>
    <w:uiPriority w:val="99"/>
    <w:qFormat/>
    <w:pPr>
      <w:jc w:val="both"/>
    </w:pPr>
    <w:rPr>
      <w:sz w:val="24"/>
    </w:rPr>
  </w:style>
  <w:style w:type="paragraph" w:customStyle="1" w:styleId="3fff">
    <w:name w:val="正文（3仿）"/>
    <w:uiPriority w:val="99"/>
    <w:qFormat/>
    <w:pPr>
      <w:spacing w:line="500" w:lineRule="exact"/>
      <w:ind w:firstLine="510"/>
      <w:jc w:val="both"/>
    </w:pPr>
    <w:rPr>
      <w:rFonts w:ascii="Times New Roman" w:eastAsia="仿宋_GB2312" w:hAnsi="Times New Roman" w:cs="Times New Roman"/>
      <w:sz w:val="32"/>
    </w:rPr>
  </w:style>
  <w:style w:type="paragraph" w:customStyle="1" w:styleId="Char4CharCharCharCharCharCharCharCharChar3">
    <w:name w:val="Char4 Char Char Char Char Char Char Char Char Char3"/>
    <w:basedOn w:val="a2"/>
    <w:uiPriority w:val="99"/>
    <w:qFormat/>
    <w:pPr>
      <w:jc w:val="both"/>
    </w:pPr>
  </w:style>
  <w:style w:type="paragraph" w:customStyle="1" w:styleId="afffffffffffffffffffffff1">
    <w:name w:val="－列表"/>
    <w:basedOn w:val="aff2"/>
    <w:uiPriority w:val="99"/>
    <w:qFormat/>
    <w:pPr>
      <w:snapToGrid w:val="0"/>
      <w:spacing w:line="360" w:lineRule="atLeast"/>
      <w:jc w:val="both"/>
      <w:textAlignment w:val="baseline"/>
    </w:pPr>
    <w:rPr>
      <w:rFonts w:ascii="宋体" w:eastAsia="宋体" w:hAnsi="宋体"/>
      <w:snapToGrid w:val="0"/>
      <w:kern w:val="0"/>
      <w:sz w:val="22"/>
    </w:rPr>
  </w:style>
  <w:style w:type="paragraph" w:customStyle="1" w:styleId="CharCharCharChar1CharCharCharCharCharChar3">
    <w:name w:val="Char Char Char Char1 Char Char Char Char Char Char3"/>
    <w:basedOn w:val="a2"/>
    <w:next w:val="a2"/>
    <w:uiPriority w:val="99"/>
    <w:qFormat/>
    <w:pPr>
      <w:spacing w:line="360" w:lineRule="auto"/>
      <w:ind w:firstLineChars="200" w:firstLine="200"/>
      <w:jc w:val="both"/>
    </w:pPr>
  </w:style>
  <w:style w:type="paragraph" w:customStyle="1" w:styleId="Style0">
    <w:name w:val="_Style 0"/>
    <w:uiPriority w:val="1"/>
    <w:qFormat/>
    <w:pPr>
      <w:widowControl w:val="0"/>
      <w:jc w:val="center"/>
    </w:pPr>
    <w:rPr>
      <w:rFonts w:ascii="Times New Roman" w:eastAsia="宋体" w:hAnsi="Times New Roman" w:cs="Times New Roman"/>
      <w:kern w:val="2"/>
      <w:sz w:val="21"/>
      <w:szCs w:val="24"/>
    </w:rPr>
  </w:style>
  <w:style w:type="paragraph" w:customStyle="1" w:styleId="CharCharCharChar1CharCharCharCharCharCharCharCharCharCharCharChar3">
    <w:name w:val="Char Char Char Char1 Char Char Char Char Char Char Char Char Char Char Char Char3"/>
    <w:basedOn w:val="a2"/>
    <w:uiPriority w:val="99"/>
    <w:qFormat/>
    <w:pPr>
      <w:tabs>
        <w:tab w:val="left" w:pos="0"/>
      </w:tabs>
    </w:pPr>
  </w:style>
  <w:style w:type="paragraph" w:customStyle="1" w:styleId="2151">
    <w:name w:val="样式 样式 正文文本 + 首行缩进:  2 字符 + 首行缩进:  1.5 字符"/>
    <w:basedOn w:val="a2"/>
    <w:uiPriority w:val="99"/>
    <w:qFormat/>
    <w:pPr>
      <w:spacing w:line="360" w:lineRule="auto"/>
      <w:ind w:firstLineChars="150" w:firstLine="420"/>
      <w:jc w:val="both"/>
    </w:pPr>
    <w:rPr>
      <w:rFonts w:ascii="仿宋_GB2312" w:eastAsia="仿宋_GB2312" w:hAnsi="宋体"/>
      <w:color w:val="0000FF"/>
    </w:rPr>
  </w:style>
  <w:style w:type="paragraph" w:customStyle="1" w:styleId="xl22">
    <w:name w:val="xl22"/>
    <w:basedOn w:val="a2"/>
    <w:qFormat/>
    <w:pPr>
      <w:widowControl/>
      <w:spacing w:before="100" w:beforeAutospacing="1" w:after="100" w:afterAutospacing="1"/>
      <w:jc w:val="center"/>
    </w:pPr>
    <w:rPr>
      <w:rFonts w:ascii="Arial Unicode MS" w:eastAsia="Arial Unicode MS" w:hAnsi="Arial Unicode MS"/>
    </w:rPr>
  </w:style>
  <w:style w:type="paragraph" w:customStyle="1" w:styleId="CharChar12ZchnZchnCharChar">
    <w:name w:val="Char Char12 Zchn Zchn Char Char"/>
    <w:basedOn w:val="a2"/>
    <w:uiPriority w:val="99"/>
    <w:qFormat/>
    <w:pPr>
      <w:jc w:val="both"/>
    </w:pPr>
    <w:rPr>
      <w:sz w:val="24"/>
    </w:rPr>
  </w:style>
  <w:style w:type="paragraph" w:customStyle="1" w:styleId="reader-word-layerreader-word-s1-1">
    <w:name w:val="reader-word-layer reader-word-s1-1"/>
    <w:basedOn w:val="a2"/>
    <w:uiPriority w:val="99"/>
    <w:qFormat/>
    <w:pPr>
      <w:spacing w:before="100" w:beforeAutospacing="1" w:after="100" w:afterAutospacing="1"/>
    </w:pPr>
    <w:rPr>
      <w:rFonts w:ascii="宋体" w:hAnsi="宋体" w:cs="宋体"/>
      <w:sz w:val="24"/>
    </w:rPr>
  </w:style>
  <w:style w:type="paragraph" w:customStyle="1" w:styleId="Char4CharCharCharCharCharCharCharCharChar1CharCharChar">
    <w:name w:val="Char4 Char Char Char Char Char Char Char Char Char1 Char Char Char"/>
    <w:basedOn w:val="a2"/>
    <w:uiPriority w:val="99"/>
    <w:qFormat/>
    <w:pPr>
      <w:jc w:val="both"/>
    </w:pPr>
    <w:rPr>
      <w:sz w:val="24"/>
    </w:rPr>
  </w:style>
  <w:style w:type="paragraph" w:customStyle="1" w:styleId="afffffffffffffffffffffff2">
    <w:name w:val="图名"/>
    <w:basedOn w:val="a2"/>
    <w:qFormat/>
    <w:pPr>
      <w:spacing w:line="480" w:lineRule="exact"/>
      <w:jc w:val="center"/>
    </w:pPr>
    <w:rPr>
      <w:spacing w:val="2"/>
    </w:rPr>
  </w:style>
  <w:style w:type="paragraph" w:customStyle="1" w:styleId="xl752">
    <w:name w:val="xl752"/>
    <w:basedOn w:val="a2"/>
    <w:uiPriority w:val="99"/>
    <w:qFormat/>
    <w:pPr>
      <w:spacing w:before="100" w:beforeAutospacing="1" w:after="100" w:afterAutospacing="1"/>
      <w:textAlignment w:val="center"/>
    </w:pPr>
    <w:rPr>
      <w:rFonts w:ascii="仿宋_GB2312" w:eastAsia="仿宋_GB2312" w:hAnsi="Arial Unicode MS" w:hint="eastAsia"/>
      <w:sz w:val="24"/>
    </w:rPr>
  </w:style>
  <w:style w:type="paragraph" w:customStyle="1" w:styleId="Char2CharCharCharCharCharCharCharCharCharCharCharCharCharCharCharCharCharCharCharCharChar3">
    <w:name w:val="Char2 Char Char Char Char Char Char Char Char Char Char Char Char Char Char Char Char Char Char Char Char Char3"/>
    <w:basedOn w:val="a2"/>
    <w:uiPriority w:val="99"/>
    <w:qFormat/>
    <w:pPr>
      <w:spacing w:line="360" w:lineRule="auto"/>
      <w:ind w:firstLineChars="200" w:firstLine="200"/>
      <w:jc w:val="both"/>
    </w:pPr>
    <w:rPr>
      <w:rFonts w:eastAsia="黑体"/>
      <w:szCs w:val="28"/>
    </w:rPr>
  </w:style>
  <w:style w:type="paragraph" w:customStyle="1" w:styleId="MainParanoChapter">
    <w:name w:val="Main Para no Chapter #"/>
    <w:basedOn w:val="a2"/>
    <w:qFormat/>
    <w:pPr>
      <w:widowControl/>
      <w:spacing w:after="240"/>
      <w:outlineLvl w:val="1"/>
    </w:pPr>
    <w:rPr>
      <w:rFonts w:eastAsia="Times New Roman"/>
      <w:sz w:val="24"/>
    </w:rPr>
  </w:style>
  <w:style w:type="paragraph" w:customStyle="1" w:styleId="8CharChar">
    <w:name w:val="目录 8 Char Char"/>
    <w:basedOn w:val="a2"/>
    <w:next w:val="a2"/>
    <w:qFormat/>
    <w:pPr>
      <w:spacing w:line="351" w:lineRule="atLeast"/>
      <w:ind w:left="1468" w:firstLine="419"/>
    </w:pPr>
    <w:rPr>
      <w:rFonts w:hAnsi="宋体"/>
    </w:rPr>
  </w:style>
  <w:style w:type="paragraph" w:customStyle="1" w:styleId="93">
    <w:name w:val="表格内字体9"/>
    <w:basedOn w:val="a2"/>
    <w:uiPriority w:val="99"/>
    <w:qFormat/>
    <w:pPr>
      <w:jc w:val="center"/>
    </w:pPr>
    <w:rPr>
      <w:rFonts w:ascii="宋体"/>
    </w:rPr>
  </w:style>
  <w:style w:type="paragraph" w:customStyle="1" w:styleId="33CharCharH3h33rdlevel305">
    <w:name w:val="样式 标题 3标题 3 Char CharH3h33rd level标题3 + 段前: 0.5 行"/>
    <w:basedOn w:val="32"/>
    <w:uiPriority w:val="99"/>
    <w:qFormat/>
    <w:pPr>
      <w:keepNext w:val="0"/>
      <w:keepLines w:val="0"/>
      <w:spacing w:before="0" w:after="0" w:line="500" w:lineRule="exact"/>
      <w:ind w:firstLineChars="200" w:firstLine="466"/>
      <w:jc w:val="both"/>
      <w:outlineLvl w:val="9"/>
    </w:pPr>
    <w:rPr>
      <w:rFonts w:ascii="楷体_GB2312" w:hAnsi="宋体"/>
      <w:spacing w:val="-4"/>
      <w:sz w:val="24"/>
      <w:szCs w:val="24"/>
    </w:rPr>
  </w:style>
  <w:style w:type="paragraph" w:customStyle="1" w:styleId="afffffffffffffffffffffff3">
    <w:name w:val="晓丹"/>
    <w:basedOn w:val="aff9"/>
    <w:uiPriority w:val="99"/>
    <w:qFormat/>
    <w:pPr>
      <w:snapToGrid w:val="0"/>
      <w:spacing w:after="0" w:line="360" w:lineRule="auto"/>
      <w:ind w:firstLineChars="200" w:firstLine="200"/>
      <w:jc w:val="both"/>
      <w:textAlignment w:val="baseline"/>
    </w:pPr>
    <w:rPr>
      <w:rFonts w:ascii="宋体" w:hAnsi="宋体"/>
      <w:snapToGrid w:val="0"/>
      <w:color w:val="000000"/>
      <w:spacing w:val="6"/>
      <w:kern w:val="0"/>
      <w:sz w:val="24"/>
    </w:rPr>
  </w:style>
  <w:style w:type="paragraph" w:customStyle="1" w:styleId="2213">
    <w:name w:val="正文文本 221"/>
    <w:basedOn w:val="a2"/>
    <w:uiPriority w:val="99"/>
    <w:qFormat/>
    <w:pPr>
      <w:spacing w:line="460" w:lineRule="exact"/>
      <w:ind w:firstLine="510"/>
    </w:pPr>
    <w:rPr>
      <w:rFonts w:ascii="宋体"/>
      <w:sz w:val="24"/>
    </w:rPr>
  </w:style>
  <w:style w:type="paragraph" w:customStyle="1" w:styleId="Char410">
    <w:name w:val="Char41"/>
    <w:basedOn w:val="a2"/>
    <w:uiPriority w:val="99"/>
    <w:qFormat/>
    <w:pPr>
      <w:jc w:val="both"/>
    </w:pPr>
    <w:rPr>
      <w:rFonts w:ascii="宋体" w:hAnsi="宋体" w:cs="宋体"/>
      <w:color w:val="000000"/>
      <w:sz w:val="24"/>
    </w:rPr>
  </w:style>
  <w:style w:type="paragraph" w:customStyle="1" w:styleId="4CharCharChar2">
    <w:name w:val="字元4 Char Char Char 字元 字元 字元2"/>
    <w:basedOn w:val="a2"/>
    <w:uiPriority w:val="99"/>
    <w:qFormat/>
    <w:pPr>
      <w:spacing w:line="400" w:lineRule="exact"/>
      <w:ind w:firstLine="601"/>
      <w:jc w:val="both"/>
      <w:textAlignment w:val="baseline"/>
    </w:pPr>
    <w:rPr>
      <w:rFonts w:ascii="Times New Roman"/>
      <w:spacing w:val="8"/>
    </w:rPr>
  </w:style>
  <w:style w:type="paragraph" w:customStyle="1" w:styleId="221TimesNewRoman24">
    <w:name w:val="样式 标题 2标题 21 + Times New Roman 小三 非加粗 行距: 最小值 24 磅"/>
    <w:basedOn w:val="22"/>
    <w:uiPriority w:val="99"/>
    <w:qFormat/>
    <w:pPr>
      <w:tabs>
        <w:tab w:val="left" w:pos="1320"/>
      </w:tabs>
      <w:spacing w:before="120" w:after="120" w:line="480" w:lineRule="atLeast"/>
      <w:ind w:left="1320" w:hanging="420"/>
      <w:jc w:val="both"/>
    </w:pPr>
    <w:rPr>
      <w:rFonts w:ascii="Times New Roman" w:eastAsia="黑体" w:hAnsi="Times New Roman" w:cs="宋体"/>
      <w:bCs w:val="0"/>
      <w:sz w:val="30"/>
      <w:szCs w:val="30"/>
    </w:rPr>
  </w:style>
  <w:style w:type="paragraph" w:customStyle="1" w:styleId="TimesNewRoman15">
    <w:name w:val="样式 纯文本普通文字 + Times New Roman 小四 两端对齐 行距: 1.5 倍行距"/>
    <w:basedOn w:val="af8"/>
    <w:uiPriority w:val="99"/>
    <w:qFormat/>
    <w:pPr>
      <w:spacing w:line="360" w:lineRule="auto"/>
      <w:ind w:firstLineChars="200" w:firstLine="480"/>
      <w:jc w:val="both"/>
    </w:pPr>
    <w:rPr>
      <w:rFonts w:ascii="Times New Roman" w:hAnsi="Times New Roman"/>
      <w:kern w:val="2"/>
      <w:szCs w:val="20"/>
    </w:rPr>
  </w:style>
  <w:style w:type="paragraph" w:customStyle="1" w:styleId="1ffffffc">
    <w:name w:val="1"/>
    <w:basedOn w:val="a2"/>
    <w:next w:val="af8"/>
    <w:qFormat/>
    <w:rPr>
      <w:rFonts w:ascii="宋体" w:hAnsi="Courier New" w:cs="Arial Narrow"/>
    </w:rPr>
  </w:style>
  <w:style w:type="paragraph" w:customStyle="1" w:styleId="font3">
    <w:name w:val="font3"/>
    <w:basedOn w:val="a2"/>
    <w:uiPriority w:val="99"/>
    <w:qFormat/>
    <w:pPr>
      <w:spacing w:before="100" w:beforeAutospacing="1" w:after="100" w:afterAutospacing="1"/>
    </w:pPr>
    <w:rPr>
      <w:rFonts w:ascii="黑体" w:eastAsia="黑体" w:hAnsi="宋体" w:hint="eastAsia"/>
      <w:sz w:val="22"/>
      <w:szCs w:val="22"/>
    </w:rPr>
  </w:style>
  <w:style w:type="paragraph" w:customStyle="1" w:styleId="022778">
    <w:name w:val="样式 样式 样式 样式 样式 样式 样式 样式 样式 表标题 + 左侧:  0 厘米 悬挂缩进: 2.27 字符 段前: 7.8..."/>
    <w:basedOn w:val="a2"/>
    <w:qFormat/>
    <w:pPr>
      <w:snapToGrid w:val="0"/>
      <w:spacing w:before="140" w:afterLines="20" w:after="62" w:line="420" w:lineRule="exact"/>
      <w:jc w:val="center"/>
    </w:pPr>
    <w:rPr>
      <w:rFonts w:hAnsi="宋体" w:cs="宋体"/>
      <w:b/>
      <w:bCs/>
      <w:color w:val="000000"/>
    </w:rPr>
  </w:style>
  <w:style w:type="paragraph" w:customStyle="1" w:styleId="478">
    <w:name w:val="样式 标题 4 + 段前: 7.8 磅"/>
    <w:basedOn w:val="41"/>
    <w:uiPriority w:val="99"/>
    <w:qFormat/>
    <w:pPr>
      <w:spacing w:beforeLines="0" w:line="240" w:lineRule="exact"/>
      <w:ind w:leftChars="0" w:left="0" w:rightChars="0" w:right="0"/>
      <w:jc w:val="both"/>
    </w:pPr>
    <w:rPr>
      <w:rFonts w:ascii="Arial" w:eastAsia="仿宋_GB2312" w:hAnsi="Arial" w:cs="Arial"/>
      <w:b/>
      <w:bCs w:val="0"/>
      <w:sz w:val="24"/>
      <w:szCs w:val="21"/>
    </w:rPr>
  </w:style>
  <w:style w:type="paragraph" w:customStyle="1" w:styleId="CharCharCharCharCharCharChar21">
    <w:name w:val="样式 样式 正文缩进文本条款表格标题正文（首行缩进两字） Char Char Char Char Char Char Char....2"/>
    <w:basedOn w:val="a2"/>
    <w:uiPriority w:val="99"/>
    <w:qFormat/>
    <w:pPr>
      <w:tabs>
        <w:tab w:val="left" w:pos="283"/>
        <w:tab w:val="left" w:pos="840"/>
      </w:tabs>
      <w:snapToGrid w:val="0"/>
      <w:spacing w:line="500" w:lineRule="atLeast"/>
      <w:ind w:firstLineChars="200" w:firstLine="200"/>
      <w:jc w:val="both"/>
    </w:pPr>
    <w:rPr>
      <w:rFonts w:cs="宋体"/>
    </w:rPr>
  </w:style>
  <w:style w:type="paragraph" w:customStyle="1" w:styleId="afffffffffffffffffffffff4">
    <w:name w:val="正文新"/>
    <w:basedOn w:val="a2"/>
    <w:uiPriority w:val="99"/>
    <w:qFormat/>
    <w:pPr>
      <w:spacing w:before="80" w:after="60" w:line="300" w:lineRule="auto"/>
      <w:ind w:firstLine="510"/>
      <w:jc w:val="both"/>
    </w:pPr>
    <w:rPr>
      <w:snapToGrid w:val="0"/>
      <w:sz w:val="24"/>
    </w:rPr>
  </w:style>
  <w:style w:type="paragraph" w:customStyle="1" w:styleId="T30">
    <w:name w:val="T3"/>
    <w:basedOn w:val="32"/>
    <w:qFormat/>
    <w:pPr>
      <w:keepLines w:val="0"/>
      <w:spacing w:before="0" w:after="0" w:line="480" w:lineRule="auto"/>
    </w:pPr>
    <w:rPr>
      <w:rFonts w:ascii="Times New Roman" w:eastAsia="宋体"/>
      <w:bCs w:val="0"/>
      <w:sz w:val="24"/>
      <w:szCs w:val="28"/>
    </w:rPr>
  </w:style>
  <w:style w:type="paragraph" w:customStyle="1" w:styleId="afffffffffffffffffffffff5">
    <w:name w:val="正文 + 宋体"/>
    <w:basedOn w:val="af9"/>
    <w:qFormat/>
    <w:pPr>
      <w:tabs>
        <w:tab w:val="left" w:pos="420"/>
        <w:tab w:val="left" w:pos="1260"/>
      </w:tabs>
      <w:spacing w:line="360" w:lineRule="auto"/>
      <w:ind w:leftChars="0" w:left="1260" w:hanging="60"/>
      <w:jc w:val="both"/>
    </w:pPr>
    <w:rPr>
      <w:rFonts w:ascii="宋体" w:eastAsia="宋体" w:hAnsi="宋体"/>
      <w:sz w:val="24"/>
      <w:szCs w:val="24"/>
    </w:rPr>
  </w:style>
  <w:style w:type="paragraph" w:customStyle="1" w:styleId="Char2CharCharCharCharCharCharCharCharCharCharChar1CharCharCharCharCharCharCharCharChar1">
    <w:name w:val="Char2 Char Char Char Char Char Char Char Char Char Char Char1 Char Char Char Char Char Char Char Char Char1"/>
    <w:basedOn w:val="a2"/>
    <w:qFormat/>
    <w:pPr>
      <w:jc w:val="both"/>
    </w:pPr>
    <w:rPr>
      <w:rFonts w:ascii="Times New Roman"/>
    </w:rPr>
  </w:style>
  <w:style w:type="paragraph" w:customStyle="1" w:styleId="CharCharffffff2">
    <w:name w:val="日期 Char Char"/>
    <w:basedOn w:val="a2"/>
    <w:next w:val="a2"/>
    <w:qFormat/>
    <w:pPr>
      <w:spacing w:line="351" w:lineRule="atLeast"/>
      <w:ind w:firstLine="419"/>
    </w:pPr>
    <w:rPr>
      <w:rFonts w:hAnsi="宋体"/>
      <w:sz w:val="31"/>
    </w:rPr>
  </w:style>
  <w:style w:type="paragraph" w:customStyle="1" w:styleId="042">
    <w:name w:val="样式 首行缩进 + 首行缩进:  0 厘米 左  4 字符"/>
    <w:basedOn w:val="a2"/>
    <w:uiPriority w:val="99"/>
    <w:qFormat/>
    <w:pPr>
      <w:spacing w:line="480" w:lineRule="exact"/>
      <w:ind w:left="840"/>
      <w:jc w:val="both"/>
    </w:pPr>
    <w:rPr>
      <w:sz w:val="24"/>
    </w:rPr>
  </w:style>
  <w:style w:type="paragraph" w:customStyle="1" w:styleId="5f4">
    <w:name w:val="我的样式5"/>
    <w:basedOn w:val="a2"/>
    <w:next w:val="a2"/>
    <w:qFormat/>
    <w:pPr>
      <w:tabs>
        <w:tab w:val="left" w:pos="360"/>
        <w:tab w:val="left" w:pos="900"/>
      </w:tabs>
      <w:spacing w:line="520" w:lineRule="exact"/>
    </w:pPr>
    <w:rPr>
      <w:sz w:val="24"/>
    </w:rPr>
  </w:style>
  <w:style w:type="paragraph" w:customStyle="1" w:styleId="xl44">
    <w:name w:val="xl44"/>
    <w:basedOn w:val="a2"/>
    <w:qFormat/>
    <w:pPr>
      <w:widowControl/>
      <w:pBdr>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1ffffffd">
    <w:name w:val="(1)"/>
    <w:basedOn w:val="a2"/>
    <w:qFormat/>
    <w:pPr>
      <w:autoSpaceDE/>
      <w:autoSpaceDN/>
      <w:adjustRightInd/>
      <w:spacing w:line="360" w:lineRule="auto"/>
      <w:jc w:val="both"/>
    </w:pPr>
    <w:rPr>
      <w:rFonts w:ascii="Times New Roman" w:eastAsia="宋体"/>
      <w:szCs w:val="24"/>
    </w:rPr>
  </w:style>
  <w:style w:type="paragraph" w:customStyle="1" w:styleId="xl55">
    <w:name w:val="xl55"/>
    <w:basedOn w:val="a2"/>
    <w:qFormat/>
    <w:pPr>
      <w:widowControl/>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b/>
      <w:bCs/>
      <w:sz w:val="24"/>
    </w:rPr>
  </w:style>
  <w:style w:type="paragraph" w:customStyle="1" w:styleId="CharCharCharCharCharCharCharCharChar1CharCharCharCharCharCharCharCharCharChar1">
    <w:name w:val="Char Char Char Char Char Char Char Char Char1 Char Char Char Char Char Char Char Char Char Char1"/>
    <w:basedOn w:val="a2"/>
    <w:uiPriority w:val="99"/>
    <w:qFormat/>
    <w:pPr>
      <w:jc w:val="both"/>
    </w:pPr>
  </w:style>
  <w:style w:type="paragraph" w:customStyle="1" w:styleId="CharChar1CharCharCharChar1">
    <w:name w:val="Char Char1 Char Char Char Char1"/>
    <w:basedOn w:val="a2"/>
    <w:pPr>
      <w:jc w:val="both"/>
    </w:pPr>
  </w:style>
  <w:style w:type="paragraph" w:customStyle="1" w:styleId="afffffffffffffffffffffff6">
    <w:name w:val="投标表格"/>
    <w:basedOn w:val="a2"/>
    <w:qFormat/>
    <w:pPr>
      <w:snapToGrid w:val="0"/>
      <w:spacing w:line="360" w:lineRule="auto"/>
      <w:jc w:val="center"/>
    </w:pPr>
    <w:rPr>
      <w:rFonts w:ascii="宋体" w:hAnsi="宋体"/>
      <w:sz w:val="24"/>
    </w:rPr>
  </w:style>
  <w:style w:type="paragraph" w:customStyle="1" w:styleId="test">
    <w:name w:val="test"/>
    <w:basedOn w:val="a2"/>
    <w:uiPriority w:val="99"/>
    <w:qFormat/>
    <w:pPr>
      <w:overflowPunct w:val="0"/>
      <w:spacing w:before="60" w:after="60"/>
      <w:jc w:val="both"/>
      <w:textAlignment w:val="baseline"/>
    </w:pPr>
    <w:rPr>
      <w:rFonts w:ascii="楷体_GB2312"/>
      <w:spacing w:val="-30"/>
      <w:sz w:val="22"/>
    </w:rPr>
  </w:style>
  <w:style w:type="paragraph" w:customStyle="1" w:styleId="0772041">
    <w:name w:val="样式 首行缩进:  0.77 厘米 行距: 固定值 20 磅41"/>
    <w:basedOn w:val="a2"/>
    <w:uiPriority w:val="99"/>
    <w:qFormat/>
    <w:pPr>
      <w:spacing w:line="360" w:lineRule="auto"/>
      <w:ind w:firstLineChars="195" w:firstLine="468"/>
    </w:pPr>
    <w:rPr>
      <w:sz w:val="24"/>
    </w:rPr>
  </w:style>
  <w:style w:type="paragraph" w:customStyle="1" w:styleId="CharCharCharCharCharCharCharCharCharCharCharCharCharCharCharChar3">
    <w:name w:val="Char Char Char Char Char Char Char Char Char Char Char Char Char Char Char Char3"/>
    <w:basedOn w:val="a2"/>
    <w:uiPriority w:val="99"/>
    <w:qFormat/>
    <w:pPr>
      <w:jc w:val="both"/>
    </w:pPr>
    <w:rPr>
      <w:rFonts w:ascii="Times New Roman"/>
    </w:rPr>
  </w:style>
  <w:style w:type="paragraph" w:customStyle="1" w:styleId="21f0">
    <w:name w:val="正文文本 21"/>
    <w:basedOn w:val="a2"/>
    <w:qFormat/>
    <w:pPr>
      <w:spacing w:line="460" w:lineRule="atLeast"/>
      <w:ind w:firstLine="510"/>
    </w:pPr>
    <w:rPr>
      <w:rFonts w:ascii="宋体" w:hint="eastAsia"/>
      <w:sz w:val="24"/>
    </w:rPr>
  </w:style>
  <w:style w:type="paragraph" w:customStyle="1" w:styleId="Char2CharChar1Char3">
    <w:name w:val="Char2 Char Char1 Char3"/>
    <w:basedOn w:val="a2"/>
    <w:uiPriority w:val="99"/>
    <w:qFormat/>
    <w:pPr>
      <w:jc w:val="both"/>
    </w:pPr>
  </w:style>
  <w:style w:type="paragraph" w:customStyle="1" w:styleId="CharCharChar1CharChar4">
    <w:name w:val="Char Char Char1 Char Char4"/>
    <w:basedOn w:val="a2"/>
    <w:pPr>
      <w:jc w:val="both"/>
    </w:pPr>
    <w:rPr>
      <w:rFonts w:ascii="宋体" w:hAnsi="宋体" w:cs="宋体"/>
      <w:color w:val="000000"/>
      <w:sz w:val="24"/>
    </w:rPr>
  </w:style>
  <w:style w:type="paragraph" w:customStyle="1" w:styleId="340">
    <w:name w:val="正文文本 34"/>
    <w:basedOn w:val="a2"/>
    <w:uiPriority w:val="99"/>
    <w:qFormat/>
    <w:pPr>
      <w:spacing w:line="312" w:lineRule="atLeast"/>
      <w:jc w:val="center"/>
      <w:textAlignment w:val="baseline"/>
    </w:pPr>
    <w:rPr>
      <w:rFonts w:ascii="楷体" w:eastAsia="楷体"/>
    </w:rPr>
  </w:style>
  <w:style w:type="paragraph" w:customStyle="1" w:styleId="CharCharCharChara">
    <w:name w:val="Char Char Char Char"/>
    <w:basedOn w:val="a2"/>
    <w:qFormat/>
    <w:pPr>
      <w:snapToGrid w:val="0"/>
      <w:spacing w:line="360" w:lineRule="auto"/>
      <w:ind w:firstLineChars="200" w:firstLine="200"/>
    </w:pPr>
    <w:rPr>
      <w:rFonts w:eastAsia="仿宋_GB2312"/>
      <w:sz w:val="24"/>
    </w:rPr>
  </w:style>
  <w:style w:type="paragraph" w:customStyle="1" w:styleId="025025">
    <w:name w:val="样式 文本 + 段前: 0.25 行 段后: 0.25 行"/>
    <w:basedOn w:val="afffff"/>
    <w:qFormat/>
    <w:pPr>
      <w:spacing w:beforeLines="25" w:before="78" w:afterLines="25" w:after="78" w:line="300" w:lineRule="auto"/>
      <w:ind w:firstLineChars="0" w:firstLine="567"/>
    </w:pPr>
    <w:rPr>
      <w:rFonts w:eastAsia="仿宋_GB2312" w:cs="宋体"/>
      <w:sz w:val="28"/>
      <w:szCs w:val="28"/>
    </w:rPr>
  </w:style>
  <w:style w:type="paragraph" w:customStyle="1" w:styleId="11f1">
    <w:name w:val="文档结构图11"/>
    <w:basedOn w:val="a2"/>
    <w:uiPriority w:val="99"/>
    <w:qFormat/>
    <w:pPr>
      <w:spacing w:line="360" w:lineRule="auto"/>
      <w:jc w:val="both"/>
    </w:pPr>
    <w:rPr>
      <w:rFonts w:ascii="宋体" w:hAnsi="Calibri"/>
      <w:sz w:val="18"/>
      <w:szCs w:val="18"/>
    </w:rPr>
  </w:style>
  <w:style w:type="paragraph" w:customStyle="1" w:styleId="xl63">
    <w:name w:val="xl63"/>
    <w:basedOn w:val="a2"/>
    <w:qFormat/>
    <w:pPr>
      <w:spacing w:before="100" w:beforeAutospacing="1" w:after="100" w:afterAutospacing="1" w:line="500" w:lineRule="exact"/>
      <w:jc w:val="center"/>
    </w:pPr>
    <w:rPr>
      <w:rFonts w:ascii="宋体" w:eastAsia="仿宋_GB2312" w:hAnsi="宋体" w:cs="宋体"/>
      <w:b/>
      <w:bCs/>
      <w:sz w:val="24"/>
    </w:rPr>
  </w:style>
  <w:style w:type="paragraph" w:customStyle="1" w:styleId="-4">
    <w:name w:val="列表-4"/>
    <w:basedOn w:val="a2"/>
    <w:uiPriority w:val="99"/>
    <w:qFormat/>
    <w:pPr>
      <w:spacing w:line="400" w:lineRule="atLeast"/>
      <w:jc w:val="both"/>
    </w:pPr>
    <w:rPr>
      <w:sz w:val="24"/>
    </w:rPr>
  </w:style>
  <w:style w:type="paragraph" w:customStyle="1" w:styleId="105">
    <w:name w:val="小四宋居中1.0"/>
    <w:basedOn w:val="a2"/>
    <w:next w:val="a2"/>
    <w:qFormat/>
    <w:pPr>
      <w:jc w:val="center"/>
    </w:pPr>
    <w:rPr>
      <w:rFonts w:ascii="仿宋_GB2312" w:eastAsia="仿宋_GB2312"/>
      <w:sz w:val="24"/>
    </w:rPr>
  </w:style>
  <w:style w:type="paragraph" w:customStyle="1" w:styleId="afffffffffffffffffffffff7">
    <w:name w:val="框图文字"/>
    <w:basedOn w:val="a2"/>
    <w:qFormat/>
    <w:pPr>
      <w:jc w:val="center"/>
    </w:pPr>
    <w:rPr>
      <w:sz w:val="24"/>
    </w:rPr>
  </w:style>
  <w:style w:type="paragraph" w:customStyle="1" w:styleId="xl103">
    <w:name w:val="xl103"/>
    <w:basedOn w:val="a2"/>
    <w:qFormat/>
    <w:pPr>
      <w:pBdr>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CharCharChar1CharCharCharCharCharCharCharCharCharCharChar3">
    <w:name w:val="Char Char Char1 Char Char Char Char Char Char Char Char Char Char Char3"/>
    <w:basedOn w:val="a2"/>
    <w:uiPriority w:val="99"/>
    <w:qFormat/>
    <w:pPr>
      <w:jc w:val="both"/>
    </w:pPr>
  </w:style>
  <w:style w:type="paragraph" w:customStyle="1" w:styleId="Char1CharCharCharCharCharChar11">
    <w:name w:val="Char1 Char Char Char Char Char Char11"/>
    <w:basedOn w:val="a2"/>
    <w:next w:val="a2"/>
    <w:uiPriority w:val="99"/>
    <w:qFormat/>
    <w:pPr>
      <w:spacing w:line="360" w:lineRule="auto"/>
      <w:ind w:firstLineChars="200" w:firstLine="200"/>
      <w:jc w:val="center"/>
    </w:pPr>
    <w:rPr>
      <w:rFonts w:eastAsia="黑体"/>
    </w:rPr>
  </w:style>
  <w:style w:type="paragraph" w:customStyle="1" w:styleId="Char2CharChar1Char4">
    <w:name w:val="Char2 Char Char1 Char4"/>
    <w:basedOn w:val="a2"/>
    <w:pPr>
      <w:jc w:val="both"/>
    </w:pPr>
    <w:rPr>
      <w:sz w:val="24"/>
    </w:rPr>
  </w:style>
  <w:style w:type="paragraph" w:customStyle="1" w:styleId="0772047">
    <w:name w:val="样式 首行缩进:  0.77 厘米 行距: 固定值 20 磅47"/>
    <w:basedOn w:val="a2"/>
    <w:uiPriority w:val="99"/>
    <w:qFormat/>
    <w:pPr>
      <w:spacing w:line="360" w:lineRule="auto"/>
      <w:ind w:firstLineChars="200" w:firstLine="480"/>
    </w:pPr>
    <w:rPr>
      <w:rFonts w:cs="宋体"/>
      <w:sz w:val="24"/>
    </w:rPr>
  </w:style>
  <w:style w:type="paragraph" w:customStyle="1" w:styleId="Char2CharChar3">
    <w:name w:val="Char2 Char Char3"/>
    <w:basedOn w:val="a2"/>
    <w:uiPriority w:val="99"/>
    <w:qFormat/>
    <w:pPr>
      <w:jc w:val="both"/>
    </w:pPr>
  </w:style>
  <w:style w:type="paragraph" w:customStyle="1" w:styleId="12f3">
    <w:name w:val="样式 标题 1 + 首行缩进:  2 字符"/>
    <w:basedOn w:val="12"/>
    <w:uiPriority w:val="99"/>
    <w:qFormat/>
    <w:pPr>
      <w:tabs>
        <w:tab w:val="left" w:pos="360"/>
      </w:tabs>
      <w:spacing w:line="300" w:lineRule="auto"/>
      <w:ind w:left="360" w:hanging="360"/>
      <w:jc w:val="both"/>
      <w:textAlignment w:val="auto"/>
    </w:pPr>
    <w:rPr>
      <w:rFonts w:cs="宋体"/>
      <w:sz w:val="32"/>
      <w:szCs w:val="32"/>
    </w:rPr>
  </w:style>
  <w:style w:type="paragraph" w:customStyle="1" w:styleId="afffffffffffffffffffffff8">
    <w:name w:val="海港表格文字"/>
    <w:basedOn w:val="9"/>
    <w:uiPriority w:val="99"/>
    <w:qFormat/>
    <w:pPr>
      <w:keepNext w:val="0"/>
      <w:keepLines w:val="0"/>
      <w:tabs>
        <w:tab w:val="clear" w:pos="165"/>
      </w:tabs>
      <w:snapToGrid w:val="0"/>
      <w:spacing w:before="0" w:after="0" w:line="300" w:lineRule="exact"/>
      <w:ind w:leftChars="-30" w:left="-56" w:rightChars="-30" w:right="-56" w:firstLine="19"/>
      <w:jc w:val="center"/>
      <w:textAlignment w:val="baseline"/>
      <w:outlineLvl w:val="9"/>
    </w:pPr>
    <w:rPr>
      <w:rFonts w:eastAsia="仿宋_GB2312" w:cs="Arial"/>
      <w:kern w:val="21"/>
    </w:rPr>
  </w:style>
  <w:style w:type="paragraph" w:customStyle="1" w:styleId="11f2">
    <w:name w:val="1.1"/>
    <w:qFormat/>
    <w:pPr>
      <w:widowControl w:val="0"/>
      <w:tabs>
        <w:tab w:val="left" w:pos="920"/>
      </w:tabs>
      <w:ind w:left="920" w:hanging="360"/>
      <w:jc w:val="both"/>
    </w:pPr>
    <w:rPr>
      <w:rFonts w:ascii="Times New Roman" w:eastAsia="宋体" w:hAnsi="Times New Roman" w:cs="Times New Roman"/>
      <w:kern w:val="2"/>
      <w:sz w:val="24"/>
    </w:rPr>
  </w:style>
  <w:style w:type="paragraph" w:customStyle="1" w:styleId="3130">
    <w:name w:val="标题 313"/>
    <w:basedOn w:val="a2"/>
    <w:next w:val="a2"/>
    <w:uiPriority w:val="99"/>
    <w:qFormat/>
    <w:pPr>
      <w:keepNext/>
      <w:keepLines/>
      <w:spacing w:before="120" w:after="120" w:line="500" w:lineRule="exact"/>
      <w:jc w:val="both"/>
      <w:textAlignment w:val="baseline"/>
    </w:pPr>
    <w:rPr>
      <w:rFonts w:eastAsia="黑体" w:hint="eastAsia"/>
      <w:sz w:val="30"/>
    </w:rPr>
  </w:style>
  <w:style w:type="paragraph" w:customStyle="1" w:styleId="050">
    <w:name w:val="样式 列表 + 段前: 0.5 行"/>
    <w:basedOn w:val="aff2"/>
    <w:uiPriority w:val="99"/>
    <w:qFormat/>
    <w:pPr>
      <w:tabs>
        <w:tab w:val="left" w:pos="283"/>
      </w:tabs>
      <w:snapToGrid w:val="0"/>
      <w:spacing w:beforeLines="50" w:before="156" w:line="500" w:lineRule="atLeast"/>
      <w:jc w:val="left"/>
    </w:pPr>
    <w:rPr>
      <w:rFonts w:ascii="Times New Roman" w:eastAsia="宋体" w:cs="宋体"/>
      <w:b/>
      <w:bCs/>
      <w:sz w:val="28"/>
    </w:rPr>
  </w:style>
  <w:style w:type="paragraph" w:customStyle="1" w:styleId="afffffffffffffffffffffff9">
    <w:name w:val="正文居中"/>
    <w:basedOn w:val="a2"/>
    <w:next w:val="a2"/>
    <w:qFormat/>
    <w:pPr>
      <w:spacing w:line="320" w:lineRule="atLeast"/>
      <w:jc w:val="both"/>
    </w:pPr>
    <w:rPr>
      <w:rFonts w:ascii="宋体" w:hAnsi="宋体"/>
      <w:color w:val="000000"/>
    </w:rPr>
  </w:style>
  <w:style w:type="paragraph" w:customStyle="1" w:styleId="fuxi">
    <w:name w:val="目录fuxi"/>
    <w:basedOn w:val="a2"/>
    <w:qFormat/>
    <w:pPr>
      <w:snapToGrid w:val="0"/>
      <w:spacing w:before="60" w:after="60"/>
      <w:jc w:val="center"/>
    </w:pPr>
    <w:rPr>
      <w:rFonts w:ascii="宋体" w:hAnsi="宋体"/>
      <w:outline/>
      <w:color w:val="000000"/>
      <w14:textOutline w14:w="9525" w14:cap="flat" w14:cmpd="sng" w14:algn="ctr">
        <w14:solidFill>
          <w14:srgbClr w14:val="000000"/>
        </w14:solidFill>
        <w14:prstDash w14:val="solid"/>
        <w14:round/>
      </w14:textOutline>
      <w14:textFill>
        <w14:noFill/>
      </w14:textFill>
    </w:rPr>
  </w:style>
  <w:style w:type="paragraph" w:customStyle="1" w:styleId="Char1CharCharCharCharCharCharCharCharChar">
    <w:name w:val="Char1 Char Char Char Char Char Char Char Char Char"/>
    <w:basedOn w:val="a2"/>
    <w:uiPriority w:val="99"/>
    <w:qFormat/>
    <w:pPr>
      <w:jc w:val="both"/>
    </w:pPr>
  </w:style>
  <w:style w:type="paragraph" w:customStyle="1" w:styleId="Pa8">
    <w:name w:val="Pa8"/>
    <w:basedOn w:val="Default"/>
    <w:next w:val="Default"/>
    <w:qFormat/>
    <w:pPr>
      <w:spacing w:line="241" w:lineRule="atLeast"/>
    </w:pPr>
    <w:rPr>
      <w:rFonts w:ascii="H Ya 6gj" w:eastAsia="H Ya 6gj" w:cs="Times New Roman"/>
      <w:color w:val="auto"/>
    </w:rPr>
  </w:style>
  <w:style w:type="paragraph" w:customStyle="1" w:styleId="xl87">
    <w:name w:val="xl87"/>
    <w:basedOn w:val="a2"/>
    <w:qFormat/>
    <w:pPr>
      <w:pBdr>
        <w:bottom w:val="single" w:sz="12" w:space="0" w:color="auto"/>
        <w:right w:val="single" w:sz="8" w:space="0" w:color="auto"/>
      </w:pBdr>
      <w:spacing w:before="100" w:beforeAutospacing="1" w:after="100" w:afterAutospacing="1"/>
      <w:jc w:val="center"/>
    </w:pPr>
    <w:rPr>
      <w:rFonts w:ascii="宋体" w:hAnsi="宋体" w:cs="宋体"/>
      <w:sz w:val="24"/>
    </w:rPr>
  </w:style>
  <w:style w:type="paragraph" w:customStyle="1" w:styleId="CharCharCharCharCharCharCharCharChar1CharCharCharCharCharChar7">
    <w:name w:val="Char Char Char Char Char Char Char Char Char1 Char Char Char Char Char Char7"/>
    <w:basedOn w:val="a2"/>
    <w:qFormat/>
    <w:rPr>
      <w:sz w:val="24"/>
    </w:rPr>
  </w:style>
  <w:style w:type="paragraph" w:customStyle="1" w:styleId="12f4">
    <w:name w:val="列表12"/>
    <w:basedOn w:val="a2"/>
    <w:qFormat/>
    <w:pPr>
      <w:spacing w:line="360" w:lineRule="exact"/>
      <w:jc w:val="center"/>
    </w:pPr>
    <w:rPr>
      <w:rFonts w:eastAsia="仿宋_GB2312" w:hint="eastAsia"/>
    </w:rPr>
  </w:style>
  <w:style w:type="paragraph" w:customStyle="1" w:styleId="1ffffffe">
    <w:name w:val="正文样式1"/>
    <w:basedOn w:val="a2"/>
    <w:qFormat/>
    <w:pPr>
      <w:spacing w:line="360" w:lineRule="auto"/>
      <w:ind w:firstLineChars="200" w:firstLine="480"/>
      <w:textAlignment w:val="baseline"/>
    </w:pPr>
    <w:rPr>
      <w:rFonts w:hAnsi="Arial" w:cs="Arial"/>
      <w:sz w:val="24"/>
    </w:rPr>
  </w:style>
  <w:style w:type="paragraph" w:customStyle="1" w:styleId="afffffffffffffffffffffffa">
    <w:name w:val="目录标题"/>
    <w:basedOn w:val="a2"/>
    <w:next w:val="a2"/>
    <w:qFormat/>
    <w:pPr>
      <w:spacing w:before="215" w:after="419" w:line="436" w:lineRule="atLeast"/>
      <w:ind w:firstLine="419"/>
      <w:jc w:val="center"/>
    </w:pPr>
    <w:rPr>
      <w:rFonts w:eastAsia="黑体" w:hAnsi="宋体"/>
      <w:spacing w:val="283"/>
      <w:sz w:val="42"/>
    </w:rPr>
  </w:style>
  <w:style w:type="paragraph" w:customStyle="1" w:styleId="brdrw15brsp20tqctx4153t">
    <w:name w:val="brdrw15brsp20 tqctx4153t"/>
    <w:qFormat/>
    <w:pPr>
      <w:widowControl w:val="0"/>
      <w:pBdr>
        <w:bottom w:val="single" w:sz="6" w:space="0" w:color="auto"/>
      </w:pBdr>
      <w:adjustRightInd w:val="0"/>
      <w:spacing w:line="360" w:lineRule="atLeast"/>
      <w:jc w:val="center"/>
    </w:pPr>
    <w:rPr>
      <w:rFonts w:ascii="Times New Roman" w:eastAsia="宋体" w:hAnsi="Times New Roman" w:cs="Times New Roman"/>
      <w:sz w:val="24"/>
    </w:rPr>
  </w:style>
  <w:style w:type="paragraph" w:customStyle="1" w:styleId="222H2h22Char11Char2Cha3">
    <w:name w:val="样式 标题 2标题2二级 标题 2H2h2第一层条标题 2 Char节标题节11 Char标题 2 Cha...3"/>
    <w:basedOn w:val="22"/>
    <w:uiPriority w:val="99"/>
    <w:qFormat/>
    <w:pPr>
      <w:keepNext w:val="0"/>
      <w:keepLines w:val="0"/>
      <w:tabs>
        <w:tab w:val="left" w:pos="567"/>
        <w:tab w:val="left" w:pos="680"/>
      </w:tabs>
      <w:spacing w:before="60" w:after="60" w:line="240" w:lineRule="auto"/>
      <w:ind w:left="680" w:hanging="680"/>
      <w:textAlignment w:val="baseline"/>
    </w:pPr>
    <w:rPr>
      <w:rFonts w:ascii="Times New Roman" w:eastAsia="宋体" w:hAnsi="Times New Roman" w:cs="Times New Roman"/>
      <w:b w:val="0"/>
      <w:bCs w:val="0"/>
      <w:sz w:val="21"/>
      <w:szCs w:val="30"/>
    </w:rPr>
  </w:style>
  <w:style w:type="paragraph" w:customStyle="1" w:styleId="2152">
    <w:name w:val="样式 首行缩进:  2 字符 行距: 1.5 倍行距"/>
    <w:basedOn w:val="a2"/>
    <w:uiPriority w:val="99"/>
    <w:qFormat/>
    <w:pPr>
      <w:snapToGrid w:val="0"/>
      <w:spacing w:line="360" w:lineRule="auto"/>
      <w:ind w:firstLineChars="200" w:firstLine="592"/>
      <w:jc w:val="both"/>
    </w:pPr>
    <w:rPr>
      <w:rFonts w:cs="宋体"/>
      <w:szCs w:val="28"/>
    </w:rPr>
  </w:style>
  <w:style w:type="paragraph" w:customStyle="1" w:styleId="style24">
    <w:name w:val="style24"/>
    <w:basedOn w:val="a2"/>
    <w:uiPriority w:val="99"/>
    <w:qFormat/>
    <w:pPr>
      <w:spacing w:before="100" w:beforeAutospacing="1" w:after="100" w:afterAutospacing="1"/>
    </w:pPr>
    <w:rPr>
      <w:rFonts w:ascii="宋体" w:hAnsi="宋体" w:cs="宋体"/>
      <w:szCs w:val="28"/>
    </w:rPr>
  </w:style>
  <w:style w:type="paragraph" w:customStyle="1" w:styleId="TimesNewRoman2">
    <w:name w:val="样式 表头 + Times New Roman 黑色"/>
    <w:basedOn w:val="affffffff5"/>
    <w:uiPriority w:val="99"/>
    <w:qFormat/>
    <w:pPr>
      <w:spacing w:beforeLines="30" w:before="93"/>
    </w:pPr>
    <w:rPr>
      <w:rFonts w:eastAsia="宋体"/>
      <w:b/>
      <w:bCs/>
      <w:color w:val="000000"/>
    </w:rPr>
  </w:style>
  <w:style w:type="paragraph" w:customStyle="1" w:styleId="CharCharCharCharCharCharCharCharCharCharCharCharCharCharCharCharCharCharCharCharCharCharCharCharCharCharCharChar3">
    <w:name w:val="Char Char Char Char Char Char Char Char Char Char Char Char Char Char Char Char Char Char Char Char Char Char Char Char Char Char Char Char3"/>
    <w:basedOn w:val="a2"/>
    <w:uiPriority w:val="99"/>
    <w:qFormat/>
    <w:pPr>
      <w:spacing w:after="160" w:line="240" w:lineRule="exact"/>
    </w:pPr>
    <w:rPr>
      <w:rFonts w:ascii="Verdana" w:hAnsi="Verdana"/>
      <w:sz w:val="20"/>
      <w:lang w:eastAsia="en-US"/>
    </w:rPr>
  </w:style>
  <w:style w:type="paragraph" w:customStyle="1" w:styleId="afffffffffffffffffffffffb">
    <w:name w:val="正文王"/>
    <w:basedOn w:val="af8"/>
    <w:qFormat/>
    <w:pPr>
      <w:spacing w:line="440" w:lineRule="exact"/>
    </w:pPr>
    <w:rPr>
      <w:rFonts w:ascii="Arial" w:hAnsi="Arial"/>
      <w:kern w:val="0"/>
      <w:szCs w:val="20"/>
    </w:rPr>
  </w:style>
  <w:style w:type="paragraph" w:customStyle="1" w:styleId="225">
    <w:name w:val="样式 标题 2 + 首行缩进:  2 字符"/>
    <w:basedOn w:val="12"/>
    <w:uiPriority w:val="99"/>
    <w:qFormat/>
    <w:pPr>
      <w:keepLines w:val="0"/>
      <w:snapToGrid w:val="0"/>
      <w:spacing w:beforeLines="300" w:before="936" w:afterLines="150" w:after="468" w:line="520" w:lineRule="exact"/>
      <w:jc w:val="center"/>
      <w:textAlignment w:val="auto"/>
    </w:pPr>
    <w:rPr>
      <w:rFonts w:eastAsia="华文隶书"/>
      <w:spacing w:val="-22"/>
    </w:rPr>
  </w:style>
  <w:style w:type="paragraph" w:customStyle="1" w:styleId="077207">
    <w:name w:val="样式 首行缩进:  0.77 厘米 行距: 固定值 20 磅7"/>
    <w:basedOn w:val="a2"/>
    <w:uiPriority w:val="99"/>
    <w:qFormat/>
    <w:pPr>
      <w:spacing w:line="360" w:lineRule="auto"/>
      <w:ind w:firstLineChars="200" w:firstLine="480"/>
      <w:jc w:val="both"/>
    </w:pPr>
    <w:rPr>
      <w:sz w:val="24"/>
    </w:rPr>
  </w:style>
  <w:style w:type="paragraph" w:customStyle="1" w:styleId="xl74">
    <w:name w:val="xl74"/>
    <w:basedOn w:val="a2"/>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4"/>
    </w:rPr>
  </w:style>
  <w:style w:type="paragraph" w:customStyle="1" w:styleId="CharCharCharCharCharChar13">
    <w:name w:val="Char Char Char Char Char Char13"/>
    <w:basedOn w:val="a2"/>
    <w:uiPriority w:val="99"/>
    <w:qFormat/>
    <w:rPr>
      <w:rFonts w:ascii="Calibri" w:eastAsia="宋体"/>
      <w:szCs w:val="22"/>
    </w:rPr>
  </w:style>
  <w:style w:type="paragraph" w:customStyle="1" w:styleId="afffffffffffffffffffffffc">
    <w:name w:val="正文（左悬挂）"/>
    <w:basedOn w:val="a2"/>
    <w:uiPriority w:val="99"/>
    <w:qFormat/>
    <w:pPr>
      <w:spacing w:line="360" w:lineRule="auto"/>
      <w:ind w:firstLineChars="200" w:firstLine="480"/>
      <w:jc w:val="both"/>
    </w:pPr>
    <w:rPr>
      <w:rFonts w:ascii="宋体" w:hAnsi="宋体"/>
      <w:snapToGrid w:val="0"/>
      <w:kern w:val="15"/>
      <w:sz w:val="24"/>
    </w:rPr>
  </w:style>
  <w:style w:type="paragraph" w:customStyle="1" w:styleId="169">
    <w:name w:val="样式 首行缩进:  1.69 厘米"/>
    <w:basedOn w:val="a2"/>
    <w:uiPriority w:val="99"/>
    <w:qFormat/>
    <w:pPr>
      <w:spacing w:before="60"/>
      <w:ind w:firstLine="960"/>
      <w:jc w:val="both"/>
      <w:textAlignment w:val="baseline"/>
    </w:pPr>
    <w:rPr>
      <w:rFonts w:eastAsia="Times New Roman" w:cs="宋体"/>
      <w:sz w:val="24"/>
    </w:rPr>
  </w:style>
  <w:style w:type="paragraph" w:customStyle="1" w:styleId="Normal10">
    <w:name w:val="Normal1"/>
    <w:qFormat/>
    <w:pPr>
      <w:widowControl w:val="0"/>
      <w:adjustRightInd w:val="0"/>
      <w:spacing w:line="360" w:lineRule="atLeast"/>
      <w:textAlignment w:val="baseline"/>
    </w:pPr>
    <w:rPr>
      <w:rFonts w:ascii="Times New Roman" w:eastAsia="宋体" w:hAnsi="Times New Roman" w:cs="宋体"/>
      <w:sz w:val="34"/>
      <w:szCs w:val="34"/>
    </w:rPr>
  </w:style>
  <w:style w:type="paragraph" w:customStyle="1" w:styleId="4f6">
    <w:name w:val="正文首行缩进4"/>
    <w:basedOn w:val="af4"/>
    <w:uiPriority w:val="99"/>
    <w:qFormat/>
    <w:pPr>
      <w:ind w:firstLineChars="100" w:firstLine="420"/>
      <w:jc w:val="both"/>
    </w:pPr>
    <w:rPr>
      <w:rFonts w:ascii="宋体" w:hAnsi="宋体"/>
      <w:spacing w:val="-20"/>
      <w:kern w:val="0"/>
      <w:sz w:val="18"/>
      <w:szCs w:val="24"/>
    </w:rPr>
  </w:style>
  <w:style w:type="paragraph" w:customStyle="1" w:styleId="CharCharCharCharCharCharCharCharCharCharCharChar1">
    <w:name w:val="Char Char Char Char Char Char Char Char Char Char Char Char1"/>
    <w:basedOn w:val="a2"/>
    <w:uiPriority w:val="99"/>
    <w:qFormat/>
    <w:pPr>
      <w:jc w:val="both"/>
    </w:pPr>
    <w:rPr>
      <w:sz w:val="24"/>
    </w:rPr>
  </w:style>
  <w:style w:type="paragraph" w:customStyle="1" w:styleId="Char1CharCharCharCharCharCharCharCharChar2">
    <w:name w:val="Char1 Char Char Char Char Char Char Char Char Char2"/>
    <w:basedOn w:val="a2"/>
    <w:uiPriority w:val="99"/>
    <w:qFormat/>
    <w:pPr>
      <w:jc w:val="both"/>
    </w:pPr>
    <w:rPr>
      <w:rFonts w:ascii="Times New Roman"/>
    </w:rPr>
  </w:style>
  <w:style w:type="paragraph" w:customStyle="1" w:styleId="reader-word-layer">
    <w:name w:val="reader-word-layer"/>
    <w:basedOn w:val="a2"/>
    <w:qFormat/>
    <w:pPr>
      <w:spacing w:before="100" w:beforeAutospacing="1" w:after="100" w:afterAutospacing="1"/>
    </w:pPr>
    <w:rPr>
      <w:rFonts w:ascii="宋体" w:hAnsi="宋体" w:cs="宋体"/>
      <w:sz w:val="24"/>
    </w:rPr>
  </w:style>
  <w:style w:type="paragraph" w:customStyle="1" w:styleId="afffffffffffffffffffffffd">
    <w:name w:val="方框图"/>
    <w:basedOn w:val="a2"/>
    <w:qFormat/>
    <w:pPr>
      <w:spacing w:line="240" w:lineRule="exact"/>
      <w:jc w:val="center"/>
    </w:pPr>
    <w:rPr>
      <w:rFonts w:eastAsia="方正仿宋_GBK"/>
    </w:rPr>
  </w:style>
  <w:style w:type="paragraph" w:customStyle="1" w:styleId="Char1CharCharCharCharCharCharCharCharCharCharCharCharCharCharChar2">
    <w:name w:val="Char1 Char Char Char Char Char Char Char Char Char Char Char Char Char Char Char2"/>
    <w:basedOn w:val="a2"/>
    <w:uiPriority w:val="99"/>
    <w:qFormat/>
    <w:pPr>
      <w:jc w:val="both"/>
    </w:pPr>
  </w:style>
  <w:style w:type="paragraph" w:customStyle="1" w:styleId="CM112">
    <w:name w:val="CM112"/>
    <w:basedOn w:val="Default"/>
    <w:next w:val="Default"/>
    <w:pPr>
      <w:spacing w:beforeLines="0" w:before="0" w:afterLines="0" w:after="0" w:line="240" w:lineRule="auto"/>
      <w:ind w:firstLineChars="0" w:firstLine="0"/>
      <w:jc w:val="both"/>
    </w:pPr>
    <w:rPr>
      <w:rFonts w:ascii="黑体" w:eastAsia="黑体" w:cs="Times New Roman"/>
      <w:color w:val="auto"/>
    </w:rPr>
  </w:style>
  <w:style w:type="paragraph" w:customStyle="1" w:styleId="1CharCharCharCharChar">
    <w:name w:val="1 Char Char Char Char Char"/>
    <w:basedOn w:val="a2"/>
    <w:qFormat/>
    <w:rPr>
      <w:sz w:val="24"/>
    </w:rPr>
  </w:style>
  <w:style w:type="paragraph" w:customStyle="1" w:styleId="6d">
    <w:name w:val="表格内字体6"/>
    <w:basedOn w:val="a2"/>
    <w:uiPriority w:val="99"/>
    <w:qFormat/>
    <w:pPr>
      <w:jc w:val="center"/>
    </w:pPr>
    <w:rPr>
      <w:rFonts w:ascii="宋体" w:cs="宋体"/>
    </w:rPr>
  </w:style>
  <w:style w:type="paragraph" w:customStyle="1" w:styleId="2214">
    <w:name w:val="正文文本缩进 221"/>
    <w:basedOn w:val="a2"/>
    <w:uiPriority w:val="99"/>
    <w:qFormat/>
    <w:pPr>
      <w:spacing w:after="120" w:line="480" w:lineRule="auto"/>
      <w:ind w:leftChars="200" w:left="200"/>
      <w:jc w:val="both"/>
    </w:pPr>
    <w:rPr>
      <w:sz w:val="20"/>
    </w:rPr>
  </w:style>
  <w:style w:type="paragraph" w:customStyle="1" w:styleId="2ffff5">
    <w:name w:val="普通(网站)2"/>
    <w:basedOn w:val="a2"/>
    <w:uiPriority w:val="99"/>
    <w:qFormat/>
    <w:pPr>
      <w:spacing w:before="100" w:after="100"/>
      <w:textAlignment w:val="baseline"/>
    </w:pPr>
    <w:rPr>
      <w:rFonts w:ascii="宋体" w:hAnsi="宋体"/>
      <w:sz w:val="24"/>
    </w:rPr>
  </w:style>
  <w:style w:type="paragraph" w:customStyle="1" w:styleId="CharCharCharCharCharCharCharCharCharCharCharChar2">
    <w:name w:val="Char Char Char Char Char Char Char Char Char Char Char Char2"/>
    <w:basedOn w:val="a2"/>
    <w:uiPriority w:val="99"/>
    <w:qFormat/>
    <w:pPr>
      <w:spacing w:line="480" w:lineRule="exact"/>
      <w:jc w:val="both"/>
    </w:pPr>
    <w:rPr>
      <w:rFonts w:ascii="Times New Roman"/>
    </w:rPr>
  </w:style>
  <w:style w:type="paragraph" w:customStyle="1" w:styleId="510">
    <w:name w:val="标题51"/>
    <w:basedOn w:val="a2"/>
    <w:uiPriority w:val="99"/>
    <w:qFormat/>
    <w:pPr>
      <w:snapToGrid w:val="0"/>
      <w:spacing w:line="360" w:lineRule="auto"/>
      <w:jc w:val="both"/>
    </w:pPr>
    <w:rPr>
      <w:rFonts w:ascii="仿宋_GB2312" w:eastAsia="仿宋_GB2312" w:hint="eastAsia"/>
    </w:rPr>
  </w:style>
  <w:style w:type="paragraph" w:customStyle="1" w:styleId="afffffffffffffffffffffffe">
    <w:name w:val="样式 纯文本 + (符号) 宋体 加粗 居中"/>
    <w:basedOn w:val="af8"/>
    <w:uiPriority w:val="99"/>
    <w:qFormat/>
    <w:pPr>
      <w:jc w:val="center"/>
    </w:pPr>
    <w:rPr>
      <w:rFonts w:hAnsi="宋体" w:cs="宋体"/>
      <w:b/>
      <w:bCs/>
      <w:kern w:val="0"/>
      <w:sz w:val="21"/>
    </w:rPr>
  </w:style>
  <w:style w:type="paragraph" w:customStyle="1" w:styleId="CharCharCharCharCharCharCharCharChar1CharCharCharCharCharChar1CharCharCharChar">
    <w:name w:val="Char Char Char Char Char Char Char Char Char1 Char Char Char Char Char Char1 Char Char Char Char"/>
    <w:basedOn w:val="a2"/>
    <w:qFormat/>
    <w:pPr>
      <w:jc w:val="both"/>
    </w:pPr>
  </w:style>
  <w:style w:type="paragraph" w:customStyle="1" w:styleId="affffffffffffffffffffffff">
    <w:name w:val="图标标题"/>
    <w:basedOn w:val="afffffffffffffff5"/>
    <w:next w:val="afffffffffffffff5"/>
    <w:uiPriority w:val="99"/>
    <w:qFormat/>
    <w:pPr>
      <w:ind w:firstLineChars="0" w:firstLine="0"/>
      <w:jc w:val="center"/>
    </w:pPr>
    <w:rPr>
      <w:b/>
      <w:sz w:val="21"/>
    </w:rPr>
  </w:style>
  <w:style w:type="paragraph" w:customStyle="1" w:styleId="Char2CharCharChar2">
    <w:name w:val="Char2 Char Char Char2"/>
    <w:basedOn w:val="a2"/>
    <w:uiPriority w:val="99"/>
    <w:semiHidden/>
    <w:qFormat/>
    <w:pPr>
      <w:jc w:val="both"/>
    </w:pPr>
    <w:rPr>
      <w:rFonts w:ascii="Times New Roman"/>
    </w:rPr>
  </w:style>
  <w:style w:type="paragraph" w:customStyle="1" w:styleId="1fffffff">
    <w:name w:val="范式1"/>
    <w:basedOn w:val="12"/>
    <w:uiPriority w:val="99"/>
    <w:qFormat/>
    <w:pPr>
      <w:snapToGrid w:val="0"/>
      <w:spacing w:after="360"/>
      <w:jc w:val="both"/>
      <w:textAlignment w:val="auto"/>
    </w:pPr>
    <w:rPr>
      <w:rFonts w:eastAsia="宋体"/>
      <w:sz w:val="44"/>
      <w:szCs w:val="44"/>
    </w:rPr>
  </w:style>
  <w:style w:type="paragraph" w:customStyle="1" w:styleId="21f1">
    <w:name w:val="日期21"/>
    <w:basedOn w:val="a2"/>
    <w:next w:val="a2"/>
    <w:uiPriority w:val="99"/>
    <w:qFormat/>
    <w:pPr>
      <w:snapToGrid w:val="0"/>
      <w:spacing w:before="120" w:after="120" w:line="360" w:lineRule="auto"/>
      <w:ind w:firstLineChars="200" w:firstLine="200"/>
      <w:jc w:val="both"/>
      <w:textAlignment w:val="baseline"/>
    </w:pPr>
    <w:rPr>
      <w:rFonts w:ascii="Times New Roman"/>
    </w:rPr>
  </w:style>
  <w:style w:type="paragraph" w:customStyle="1" w:styleId="1420">
    <w:name w:val="样式 样式 宋体 小四 行距: 多倍行距 1.4 字行 + 首行缩进:  2 字符"/>
    <w:basedOn w:val="a2"/>
    <w:uiPriority w:val="99"/>
    <w:qFormat/>
    <w:pPr>
      <w:spacing w:line="360" w:lineRule="auto"/>
      <w:ind w:firstLineChars="200" w:firstLine="200"/>
      <w:jc w:val="both"/>
    </w:pPr>
    <w:rPr>
      <w:rFonts w:ascii="宋体" w:hAnsi="宋体"/>
      <w:kern w:val="28"/>
    </w:rPr>
  </w:style>
  <w:style w:type="paragraph" w:customStyle="1" w:styleId="Char1CharCharChar5">
    <w:name w:val="Char1 Char Char Char5"/>
    <w:basedOn w:val="a2"/>
    <w:uiPriority w:val="99"/>
    <w:qFormat/>
    <w:pPr>
      <w:jc w:val="both"/>
    </w:pPr>
  </w:style>
  <w:style w:type="paragraph" w:customStyle="1" w:styleId="12f5">
    <w:name w:val="12点"/>
    <w:basedOn w:val="a2"/>
    <w:uiPriority w:val="99"/>
    <w:qFormat/>
    <w:pPr>
      <w:snapToGrid w:val="0"/>
      <w:spacing w:line="300" w:lineRule="auto"/>
      <w:ind w:firstLineChars="200" w:firstLine="560"/>
      <w:jc w:val="both"/>
    </w:pPr>
    <w:rPr>
      <w:rFonts w:ascii="宋体" w:hAnsi="宋体"/>
      <w:szCs w:val="28"/>
    </w:rPr>
  </w:style>
  <w:style w:type="paragraph" w:customStyle="1" w:styleId="CharChar1CharCharCharChar">
    <w:name w:val="Char Char1 Char Char Char Char"/>
    <w:basedOn w:val="a2"/>
    <w:pPr>
      <w:jc w:val="both"/>
    </w:pPr>
    <w:rPr>
      <w:sz w:val="24"/>
    </w:rPr>
  </w:style>
  <w:style w:type="paragraph" w:customStyle="1" w:styleId="ctitle">
    <w:name w:val="ctitle"/>
    <w:basedOn w:val="a2"/>
    <w:uiPriority w:val="99"/>
    <w:qFormat/>
    <w:pPr>
      <w:snapToGrid w:val="0"/>
      <w:spacing w:before="100" w:beforeAutospacing="1" w:after="100" w:afterAutospacing="1" w:line="360" w:lineRule="auto"/>
      <w:ind w:firstLineChars="200" w:firstLine="200"/>
    </w:pPr>
    <w:rPr>
      <w:rFonts w:hAnsi="Arial" w:cs="Arial"/>
      <w:b/>
      <w:bCs/>
      <w:color w:val="990000"/>
      <w:sz w:val="30"/>
      <w:szCs w:val="30"/>
    </w:rPr>
  </w:style>
  <w:style w:type="paragraph" w:customStyle="1" w:styleId="CharChar1Char2">
    <w:name w:val="Char Char1 Char2"/>
    <w:basedOn w:val="a2"/>
    <w:uiPriority w:val="99"/>
    <w:qFormat/>
    <w:pPr>
      <w:jc w:val="both"/>
    </w:pPr>
    <w:rPr>
      <w:rFonts w:ascii="Times New Roman"/>
    </w:rPr>
  </w:style>
  <w:style w:type="paragraph" w:customStyle="1" w:styleId="SectionNum">
    <w:name w:val="SectionNum"/>
    <w:basedOn w:val="a2"/>
    <w:uiPriority w:val="99"/>
    <w:qFormat/>
    <w:pPr>
      <w:keepNext/>
      <w:tabs>
        <w:tab w:val="left" w:pos="570"/>
      </w:tabs>
      <w:ind w:left="570" w:hanging="570"/>
      <w:jc w:val="both"/>
    </w:pPr>
    <w:rPr>
      <w:rFonts w:hAnsi="Arial"/>
      <w:b/>
      <w:bCs/>
      <w:sz w:val="24"/>
      <w:lang w:eastAsia="en-US"/>
    </w:rPr>
  </w:style>
  <w:style w:type="paragraph" w:customStyle="1" w:styleId="chen3">
    <w:name w:val="谏壁表头（chen）"/>
    <w:basedOn w:val="afffffffffffffffffff9"/>
    <w:qFormat/>
    <w:pPr>
      <w:ind w:firstLine="200"/>
    </w:pPr>
    <w:rPr>
      <w:bCs/>
    </w:rPr>
  </w:style>
  <w:style w:type="paragraph" w:customStyle="1" w:styleId="1fffffff0">
    <w:name w:val="(文字) (文字)1"/>
    <w:basedOn w:val="a2"/>
    <w:uiPriority w:val="99"/>
    <w:qFormat/>
    <w:pPr>
      <w:jc w:val="both"/>
    </w:pPr>
  </w:style>
  <w:style w:type="paragraph" w:customStyle="1" w:styleId="affffffffffffffffffffffff0">
    <w:name w:val="正式表格"/>
    <w:basedOn w:val="a2"/>
    <w:uiPriority w:val="99"/>
    <w:qFormat/>
    <w:pPr>
      <w:tabs>
        <w:tab w:val="center" w:pos="4422"/>
      </w:tabs>
      <w:snapToGrid w:val="0"/>
      <w:spacing w:before="100" w:beforeAutospacing="1" w:after="100" w:afterAutospacing="1" w:line="240" w:lineRule="exact"/>
      <w:jc w:val="center"/>
    </w:pPr>
    <w:rPr>
      <w:rFonts w:hAnsi="Arial" w:cs="Arial"/>
      <w:snapToGrid w:val="0"/>
    </w:rPr>
  </w:style>
  <w:style w:type="paragraph" w:customStyle="1" w:styleId="TableTitleChar1Char">
    <w:name w:val="Table Title Char1 Char"/>
    <w:basedOn w:val="a2"/>
    <w:uiPriority w:val="99"/>
    <w:qFormat/>
    <w:pPr>
      <w:snapToGrid w:val="0"/>
      <w:spacing w:before="120" w:after="120" w:line="400" w:lineRule="exact"/>
      <w:jc w:val="center"/>
    </w:pPr>
    <w:rPr>
      <w:sz w:val="24"/>
      <w:lang w:eastAsia="en-US"/>
    </w:rPr>
  </w:style>
  <w:style w:type="paragraph" w:customStyle="1" w:styleId="affffffffffffffffffffffff1">
    <w:name w:val="黑点"/>
    <w:basedOn w:val="a2"/>
    <w:qFormat/>
    <w:pPr>
      <w:tabs>
        <w:tab w:val="left" w:pos="425"/>
        <w:tab w:val="left" w:pos="600"/>
        <w:tab w:val="left" w:pos="2100"/>
      </w:tabs>
      <w:spacing w:line="360" w:lineRule="auto"/>
      <w:ind w:left="2100" w:hanging="425"/>
      <w:textAlignment w:val="baseline"/>
    </w:pPr>
    <w:rPr>
      <w:rFonts w:ascii="宋体" w:hAnsi="宋体"/>
      <w:color w:val="000000"/>
      <w:sz w:val="24"/>
    </w:rPr>
  </w:style>
  <w:style w:type="paragraph" w:customStyle="1" w:styleId="4035">
    <w:name w:val="样式 表头4 + 段前: 0.35 行"/>
    <w:basedOn w:val="a2"/>
    <w:uiPriority w:val="99"/>
    <w:qFormat/>
    <w:pPr>
      <w:snapToGrid w:val="0"/>
      <w:spacing w:beforeLines="50" w:line="520" w:lineRule="atLeast"/>
    </w:pPr>
    <w:rPr>
      <w:rFonts w:cs="宋体"/>
      <w:b/>
      <w:bCs/>
    </w:rPr>
  </w:style>
  <w:style w:type="paragraph" w:customStyle="1" w:styleId="Char1CharCharCharCharCharCharCharCharCharCharCharChar3">
    <w:name w:val="Char1 Char Char Char Char Char Char Char Char Char Char Char Char3"/>
    <w:basedOn w:val="a2"/>
    <w:uiPriority w:val="99"/>
    <w:qFormat/>
    <w:pPr>
      <w:jc w:val="both"/>
    </w:pPr>
  </w:style>
  <w:style w:type="paragraph" w:customStyle="1" w:styleId="Affffffffffffffffffffffff2">
    <w:name w:val="A标题"/>
    <w:next w:val="a2"/>
    <w:uiPriority w:val="99"/>
    <w:qFormat/>
    <w:pPr>
      <w:spacing w:before="100" w:beforeAutospacing="1" w:after="100" w:afterAutospacing="1" w:line="360" w:lineRule="auto"/>
      <w:jc w:val="center"/>
      <w:outlineLvl w:val="0"/>
    </w:pPr>
    <w:rPr>
      <w:rFonts w:ascii="Times New Roman" w:eastAsia="黑体" w:hAnsi="Times New Roman" w:cs="Times New Roman"/>
      <w:b/>
      <w:sz w:val="32"/>
    </w:rPr>
  </w:style>
  <w:style w:type="paragraph" w:customStyle="1" w:styleId="xl50">
    <w:name w:val="xl50"/>
    <w:basedOn w:val="a2"/>
    <w:qFormat/>
    <w:pPr>
      <w:widowControl/>
      <w:pBdr>
        <w:top w:val="single" w:sz="4" w:space="0" w:color="auto"/>
        <w:left w:val="single" w:sz="12" w:space="0" w:color="auto"/>
        <w:bottom w:val="single" w:sz="12"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sz w:val="24"/>
    </w:rPr>
  </w:style>
  <w:style w:type="paragraph" w:customStyle="1" w:styleId="11f3">
    <w:name w:val="纯文本11"/>
    <w:basedOn w:val="a2"/>
    <w:qFormat/>
    <w:pPr>
      <w:tabs>
        <w:tab w:val="left" w:pos="360"/>
      </w:tabs>
      <w:snapToGrid w:val="0"/>
      <w:spacing w:line="300" w:lineRule="auto"/>
      <w:ind w:firstLineChars="199" w:firstLine="558"/>
      <w:textAlignment w:val="baseline"/>
    </w:pPr>
    <w:rPr>
      <w:rFonts w:hAnsi="宋体"/>
      <w:b/>
      <w:color w:val="000000"/>
      <w:sz w:val="24"/>
    </w:rPr>
  </w:style>
  <w:style w:type="paragraph" w:customStyle="1" w:styleId="CharCharCharChar1CharCharCharCharCharCharChar">
    <w:name w:val="Char Char Char Char1 Char Char Char Char Char Char Char"/>
    <w:basedOn w:val="a2"/>
    <w:uiPriority w:val="99"/>
    <w:qFormat/>
    <w:pPr>
      <w:tabs>
        <w:tab w:val="left" w:pos="360"/>
      </w:tabs>
      <w:snapToGrid w:val="0"/>
      <w:spacing w:line="360" w:lineRule="auto"/>
      <w:jc w:val="both"/>
    </w:pPr>
    <w:rPr>
      <w:rFonts w:eastAsia="仿宋_GB2312" w:cs="宋体"/>
      <w:sz w:val="24"/>
    </w:rPr>
  </w:style>
  <w:style w:type="paragraph" w:customStyle="1" w:styleId="CharCharChar1CharCharCharChar8">
    <w:name w:val="Char Char Char1 Char Char Char Char8"/>
    <w:basedOn w:val="a2"/>
    <w:uiPriority w:val="99"/>
    <w:qFormat/>
    <w:pPr>
      <w:spacing w:line="360" w:lineRule="auto"/>
      <w:jc w:val="both"/>
    </w:pPr>
  </w:style>
  <w:style w:type="paragraph" w:customStyle="1" w:styleId="21f2">
    <w:name w:val="正文文本缩进 21"/>
    <w:basedOn w:val="a2"/>
    <w:qFormat/>
    <w:pPr>
      <w:spacing w:after="120" w:line="480" w:lineRule="auto"/>
      <w:ind w:left="420"/>
      <w:jc w:val="both"/>
      <w:textAlignment w:val="baseline"/>
    </w:pPr>
    <w:rPr>
      <w:rFonts w:ascii="宋体" w:hAnsi="宋体" w:hint="eastAsia"/>
      <w:sz w:val="24"/>
    </w:rPr>
  </w:style>
  <w:style w:type="paragraph" w:customStyle="1" w:styleId="1fffffff1">
    <w:name w:val="样式 标题 1 + 两端对齐"/>
    <w:basedOn w:val="12"/>
    <w:qFormat/>
    <w:pPr>
      <w:keepNext w:val="0"/>
      <w:keepLines w:val="0"/>
      <w:pageBreakBefore/>
      <w:tabs>
        <w:tab w:val="left" w:pos="420"/>
      </w:tabs>
      <w:snapToGrid w:val="0"/>
      <w:spacing w:line="300" w:lineRule="auto"/>
      <w:jc w:val="center"/>
      <w:textAlignment w:val="auto"/>
    </w:pPr>
    <w:rPr>
      <w:rFonts w:ascii="仿宋_GB2312" w:eastAsia="仿宋_GB2312" w:cs="宋体"/>
      <w:bCs w:val="0"/>
      <w:snapToGrid w:val="0"/>
      <w:kern w:val="0"/>
      <w:sz w:val="32"/>
      <w:szCs w:val="32"/>
    </w:rPr>
  </w:style>
  <w:style w:type="paragraph" w:customStyle="1" w:styleId="CharChar37">
    <w:name w:val="Char Char37"/>
    <w:basedOn w:val="a2"/>
    <w:uiPriority w:val="99"/>
    <w:qFormat/>
    <w:pPr>
      <w:ind w:firstLineChars="200" w:firstLine="200"/>
      <w:jc w:val="both"/>
    </w:pPr>
  </w:style>
  <w:style w:type="paragraph" w:customStyle="1" w:styleId="xl84">
    <w:name w:val="xl84"/>
    <w:basedOn w:val="a2"/>
    <w:qFormat/>
    <w:pPr>
      <w:pBdr>
        <w:left w:val="single" w:sz="4" w:space="0" w:color="auto"/>
        <w:right w:val="single" w:sz="4" w:space="0" w:color="auto"/>
      </w:pBdr>
      <w:spacing w:before="100" w:beforeAutospacing="1" w:after="100" w:afterAutospacing="1"/>
      <w:jc w:val="center"/>
      <w:textAlignment w:val="center"/>
    </w:pPr>
    <w:rPr>
      <w:rFonts w:ascii="宋体" w:hAnsi="宋体" w:cs="宋体"/>
      <w:sz w:val="24"/>
    </w:rPr>
  </w:style>
  <w:style w:type="paragraph" w:customStyle="1" w:styleId="ParaCharCharCharChar">
    <w:name w:val="默认段落字体 Para Char Char Char Char"/>
    <w:basedOn w:val="a2"/>
    <w:qFormat/>
    <w:pPr>
      <w:spacing w:line="360" w:lineRule="auto"/>
      <w:ind w:firstLineChars="200" w:firstLine="200"/>
    </w:pPr>
    <w:rPr>
      <w:rFonts w:ascii="宋体" w:hAnsi="宋体" w:cs="宋体"/>
      <w:sz w:val="24"/>
    </w:rPr>
  </w:style>
  <w:style w:type="paragraph" w:customStyle="1" w:styleId="CharCharCharCharCharCharCharCharChar1Char1">
    <w:name w:val="Char Char Char Char Char Char Char Char Char1 Char1"/>
    <w:basedOn w:val="a2"/>
    <w:uiPriority w:val="99"/>
    <w:qFormat/>
    <w:pPr>
      <w:jc w:val="both"/>
    </w:pPr>
    <w:rPr>
      <w:sz w:val="24"/>
    </w:rPr>
  </w:style>
  <w:style w:type="paragraph" w:customStyle="1" w:styleId="3fff0">
    <w:name w:val="3标题(治)"/>
    <w:basedOn w:val="32"/>
    <w:uiPriority w:val="99"/>
    <w:qFormat/>
    <w:pPr>
      <w:spacing w:before="0" w:after="0" w:line="360" w:lineRule="auto"/>
      <w:textAlignment w:val="baseline"/>
    </w:pPr>
    <w:rPr>
      <w:rFonts w:ascii="Times New Roman" w:eastAsia="黑体"/>
      <w:bCs w:val="0"/>
      <w:sz w:val="28"/>
      <w:szCs w:val="28"/>
    </w:rPr>
  </w:style>
  <w:style w:type="paragraph" w:customStyle="1" w:styleId="3fff1">
    <w:name w:val="标题3*"/>
    <w:basedOn w:val="32"/>
    <w:uiPriority w:val="99"/>
    <w:qFormat/>
    <w:pPr>
      <w:keepNext w:val="0"/>
      <w:keepLines w:val="0"/>
      <w:tabs>
        <w:tab w:val="left" w:pos="-315"/>
        <w:tab w:val="left" w:pos="1260"/>
      </w:tabs>
      <w:overflowPunct w:val="0"/>
      <w:spacing w:before="120" w:after="120" w:line="420" w:lineRule="atLeast"/>
      <w:ind w:left="1260" w:hanging="420"/>
      <w:textAlignment w:val="baseline"/>
    </w:pPr>
    <w:rPr>
      <w:rFonts w:ascii="黑体" w:eastAsia="黑体"/>
      <w:b w:val="0"/>
      <w:bCs w:val="0"/>
      <w:sz w:val="26"/>
      <w:szCs w:val="20"/>
    </w:rPr>
  </w:style>
  <w:style w:type="paragraph" w:customStyle="1" w:styleId="q4">
    <w:name w:val="q4"/>
    <w:basedOn w:val="a2"/>
    <w:uiPriority w:val="99"/>
    <w:qFormat/>
    <w:pPr>
      <w:keepNext/>
      <w:keepLines/>
      <w:tabs>
        <w:tab w:val="left" w:pos="851"/>
      </w:tabs>
      <w:spacing w:before="120" w:after="120" w:line="300" w:lineRule="exact"/>
      <w:ind w:firstLine="510"/>
      <w:textAlignment w:val="baseline"/>
    </w:pPr>
    <w:rPr>
      <w:rFonts w:hAnsi="Arial"/>
      <w:b/>
      <w:color w:val="000000"/>
      <w:kern w:val="44"/>
      <w:sz w:val="24"/>
    </w:rPr>
  </w:style>
  <w:style w:type="paragraph" w:customStyle="1" w:styleId="affffffffffffffffffffffff3">
    <w:name w:val="样式 列表 + 居中"/>
    <w:basedOn w:val="aff2"/>
    <w:uiPriority w:val="99"/>
    <w:qFormat/>
    <w:pPr>
      <w:snapToGrid w:val="0"/>
      <w:spacing w:line="240" w:lineRule="auto"/>
    </w:pPr>
    <w:rPr>
      <w:rFonts w:ascii="Times New Roman" w:eastAsia="宋体"/>
      <w:sz w:val="21"/>
    </w:rPr>
  </w:style>
  <w:style w:type="paragraph" w:customStyle="1" w:styleId="fahrw">
    <w:name w:val="fahrw"/>
    <w:basedOn w:val="Lauftext"/>
    <w:uiPriority w:val="99"/>
    <w:qFormat/>
    <w:pPr>
      <w:tabs>
        <w:tab w:val="left" w:pos="993"/>
        <w:tab w:val="left" w:pos="7655"/>
      </w:tabs>
    </w:pPr>
  </w:style>
  <w:style w:type="paragraph" w:customStyle="1" w:styleId="Lauftext">
    <w:name w:val="Lauftext"/>
    <w:uiPriority w:val="99"/>
    <w:qFormat/>
    <w:pPr>
      <w:tabs>
        <w:tab w:val="left" w:pos="2268"/>
        <w:tab w:val="left" w:pos="3402"/>
        <w:tab w:val="left" w:pos="4962"/>
        <w:tab w:val="left" w:pos="6521"/>
      </w:tabs>
      <w:overflowPunct w:val="0"/>
      <w:autoSpaceDE w:val="0"/>
      <w:autoSpaceDN w:val="0"/>
      <w:adjustRightInd w:val="0"/>
      <w:spacing w:line="194" w:lineRule="atLeast"/>
      <w:textAlignment w:val="baseline"/>
    </w:pPr>
    <w:rPr>
      <w:rFonts w:ascii="CorpoSLig" w:eastAsia="宋体" w:hAnsi="CorpoSLig" w:cs="Times New Roman"/>
      <w:sz w:val="16"/>
      <w:lang w:val="de-DE"/>
    </w:rPr>
  </w:style>
  <w:style w:type="paragraph" w:customStyle="1" w:styleId="4MHZ">
    <w:name w:val="标题4_MHZ"/>
    <w:basedOn w:val="a2"/>
    <w:next w:val="a2"/>
    <w:qFormat/>
    <w:pPr>
      <w:snapToGrid w:val="0"/>
      <w:spacing w:line="360" w:lineRule="auto"/>
      <w:ind w:firstLineChars="200" w:firstLine="482"/>
      <w:jc w:val="both"/>
    </w:pPr>
    <w:rPr>
      <w:b/>
      <w:bCs/>
      <w:sz w:val="24"/>
    </w:rPr>
  </w:style>
  <w:style w:type="paragraph" w:customStyle="1" w:styleId="CharCharCharCharCharCharCharCharChar1CharCharCharCharCharCharChar1">
    <w:name w:val="Char Char Char Char Char Char Char Char Char1 Char Char Char Char Char Char Char1"/>
    <w:basedOn w:val="a2"/>
    <w:uiPriority w:val="99"/>
    <w:qFormat/>
    <w:pPr>
      <w:snapToGrid w:val="0"/>
      <w:spacing w:line="360" w:lineRule="auto"/>
      <w:ind w:firstLineChars="200" w:firstLine="200"/>
      <w:jc w:val="both"/>
    </w:pPr>
    <w:rPr>
      <w:rFonts w:eastAsia="仿宋_GB2312"/>
      <w:sz w:val="24"/>
    </w:rPr>
  </w:style>
  <w:style w:type="paragraph" w:customStyle="1" w:styleId="2ffff6">
    <w:name w:val="样式 标题2宋体黑色 + 三号"/>
    <w:basedOn w:val="a2"/>
    <w:uiPriority w:val="99"/>
    <w:qFormat/>
    <w:pPr>
      <w:keepNext/>
      <w:keepLines/>
      <w:spacing w:before="240"/>
      <w:outlineLvl w:val="1"/>
    </w:pPr>
    <w:rPr>
      <w:rFonts w:eastAsia="黑体"/>
      <w:bCs/>
      <w:sz w:val="32"/>
      <w:szCs w:val="32"/>
    </w:rPr>
  </w:style>
  <w:style w:type="paragraph" w:customStyle="1" w:styleId="0772049">
    <w:name w:val="样式 首行缩进:  0.77 厘米 行距: 固定值 20 磅49"/>
    <w:basedOn w:val="a2"/>
    <w:uiPriority w:val="99"/>
    <w:qFormat/>
    <w:pPr>
      <w:spacing w:line="360" w:lineRule="auto"/>
      <w:ind w:firstLineChars="150" w:firstLine="360"/>
    </w:pPr>
    <w:rPr>
      <w:color w:val="FF0000"/>
      <w:sz w:val="24"/>
    </w:rPr>
  </w:style>
  <w:style w:type="paragraph" w:customStyle="1" w:styleId="6e">
    <w:name w:val="样式 题注 + 小四 居中 段前: 6 磅"/>
    <w:basedOn w:val="ac"/>
    <w:uiPriority w:val="99"/>
    <w:qFormat/>
    <w:pPr>
      <w:snapToGrid w:val="0"/>
      <w:spacing w:before="240"/>
      <w:jc w:val="center"/>
    </w:pPr>
    <w:rPr>
      <w:rFonts w:ascii="Arial" w:hAnsi="Arial" w:cs="宋体"/>
      <w:kern w:val="0"/>
      <w:sz w:val="24"/>
      <w:szCs w:val="20"/>
    </w:rPr>
  </w:style>
  <w:style w:type="paragraph" w:customStyle="1" w:styleId="Char2CharCharCharCharCharCharCharCharCharCharChar1CharCharCharCharCharCharChar4">
    <w:name w:val="Char2 Char Char Char Char Char Char Char Char Char Char Char1 Char Char Char Char Char Char Char4"/>
    <w:basedOn w:val="a2"/>
    <w:uiPriority w:val="99"/>
    <w:qFormat/>
    <w:pPr>
      <w:jc w:val="both"/>
    </w:pPr>
    <w:rPr>
      <w:sz w:val="24"/>
    </w:rPr>
  </w:style>
  <w:style w:type="paragraph" w:customStyle="1" w:styleId="affffffffffffffffffffffff4">
    <w:name w:val="条目"/>
    <w:basedOn w:val="af8"/>
    <w:next w:val="af4"/>
    <w:qFormat/>
    <w:pPr>
      <w:ind w:firstLine="567"/>
      <w:jc w:val="both"/>
      <w:outlineLvl w:val="4"/>
    </w:pPr>
    <w:rPr>
      <w:kern w:val="2"/>
      <w:szCs w:val="20"/>
    </w:rPr>
  </w:style>
  <w:style w:type="paragraph" w:customStyle="1" w:styleId="zw">
    <w:name w:val="zw"/>
    <w:basedOn w:val="a2"/>
    <w:qFormat/>
    <w:pPr>
      <w:spacing w:before="100" w:beforeAutospacing="1" w:after="100" w:afterAutospacing="1" w:line="440" w:lineRule="atLeast"/>
    </w:pPr>
    <w:rPr>
      <w:rFonts w:ascii="宋体" w:hAnsi="宋体" w:cs="宋体"/>
      <w:sz w:val="22"/>
      <w:szCs w:val="22"/>
    </w:rPr>
  </w:style>
  <w:style w:type="paragraph" w:customStyle="1" w:styleId="CharCharCharCharCharCharChar7">
    <w:name w:val="Char Char Char Char Char Char Char"/>
    <w:basedOn w:val="a2"/>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2">
    <w:name w:val="Char Char Char Char Char Char Char Char Char Char Char Char Char Char Char Char Char Char Char2"/>
    <w:basedOn w:val="a2"/>
    <w:uiPriority w:val="99"/>
    <w:qFormat/>
    <w:pPr>
      <w:jc w:val="both"/>
    </w:pPr>
  </w:style>
  <w:style w:type="paragraph" w:customStyle="1" w:styleId="Char4CharCharCharCharCharCharCharCharCharCharCharCharCharCharCharCharChar1CharCharCharCharCharChar1CharCharCharCharCharCharCharCharCharCharCharCharCharCharCharCharCharCharChar2">
    <w:name w:val="Char4 Char Char Char Char Char Char Char Char Char Char Char Char Char Char Char Char Char1 Char Char Char Char Char Char1 Char Char Char Char Char Char Char Char Char Char Char Char Char Char Char Char Char Char Char2"/>
    <w:basedOn w:val="a2"/>
    <w:uiPriority w:val="99"/>
    <w:qFormat/>
    <w:pPr>
      <w:spacing w:line="240" w:lineRule="exact"/>
      <w:ind w:firstLineChars="200" w:firstLine="200"/>
      <w:jc w:val="both"/>
    </w:pPr>
    <w:rPr>
      <w:rFonts w:ascii="Times New Roman"/>
      <w:szCs w:val="28"/>
    </w:rPr>
  </w:style>
  <w:style w:type="paragraph" w:customStyle="1" w:styleId="affffffffffffffffffffffff5">
    <w:name w:val="五号表格"/>
    <w:next w:val="a2"/>
    <w:qFormat/>
    <w:rPr>
      <w:rFonts w:ascii="Times New Roman" w:eastAsia="宋体" w:hAnsi="Times New Roman" w:cs="Times New Roman"/>
      <w:sz w:val="21"/>
    </w:rPr>
  </w:style>
  <w:style w:type="paragraph" w:customStyle="1" w:styleId="p2">
    <w:name w:val="p2"/>
    <w:basedOn w:val="a2"/>
    <w:uiPriority w:val="99"/>
    <w:qFormat/>
    <w:pPr>
      <w:spacing w:line="540" w:lineRule="atLeast"/>
      <w:ind w:firstLine="596"/>
      <w:jc w:val="both"/>
    </w:pPr>
    <w:rPr>
      <w:rFonts w:ascii="華康中楷體" w:eastAsia="華康中楷體" w:hint="eastAsia"/>
      <w:spacing w:val="20"/>
      <w:szCs w:val="28"/>
      <w:lang w:eastAsia="zh-TW"/>
    </w:rPr>
  </w:style>
  <w:style w:type="paragraph" w:customStyle="1" w:styleId="1fffffff2">
    <w:name w:val="样式 样式1 + 黑色"/>
    <w:basedOn w:val="a2"/>
    <w:uiPriority w:val="99"/>
    <w:qFormat/>
    <w:pPr>
      <w:spacing w:line="480" w:lineRule="exact"/>
      <w:ind w:firstLineChars="200" w:firstLine="480"/>
      <w:jc w:val="both"/>
    </w:pPr>
    <w:rPr>
      <w:color w:val="000000"/>
      <w:sz w:val="24"/>
    </w:rPr>
  </w:style>
  <w:style w:type="paragraph" w:customStyle="1" w:styleId="Char3CharCharCharCharCharChar4">
    <w:name w:val="Char3 Char Char Char Char Char Char4"/>
    <w:basedOn w:val="a2"/>
    <w:pPr>
      <w:jc w:val="both"/>
    </w:p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2"/>
    <w:uiPriority w:val="99"/>
    <w:qFormat/>
    <w:pPr>
      <w:spacing w:line="360" w:lineRule="auto"/>
      <w:ind w:firstLineChars="200" w:firstLine="200"/>
      <w:jc w:val="both"/>
    </w:pPr>
  </w:style>
  <w:style w:type="paragraph" w:customStyle="1" w:styleId="Char4CharCharCharCharCharCharCharCharChar4">
    <w:name w:val="Char4 Char Char Char Char Char Char Char Char Char4"/>
    <w:basedOn w:val="a2"/>
    <w:uiPriority w:val="99"/>
    <w:qFormat/>
    <w:pPr>
      <w:jc w:val="both"/>
    </w:pPr>
    <w:rPr>
      <w:sz w:val="24"/>
    </w:rPr>
  </w:style>
  <w:style w:type="paragraph" w:customStyle="1" w:styleId="421">
    <w:name w:val="标题 42"/>
    <w:basedOn w:val="a2"/>
    <w:next w:val="a2"/>
    <w:uiPriority w:val="99"/>
    <w:qFormat/>
    <w:pPr>
      <w:snapToGrid w:val="0"/>
      <w:jc w:val="both"/>
      <w:textAlignment w:val="baseline"/>
    </w:pPr>
    <w:rPr>
      <w:rFonts w:hint="eastAsia"/>
      <w:sz w:val="32"/>
    </w:rPr>
  </w:style>
  <w:style w:type="paragraph" w:customStyle="1" w:styleId="CS95">
    <w:name w:val="样式 样式 表头 + (中文) 文鼎CS中宋 小四 段后: 9.5 磅 + 两端对齐"/>
    <w:basedOn w:val="a2"/>
    <w:qFormat/>
    <w:pPr>
      <w:snapToGrid w:val="0"/>
      <w:spacing w:beforeLines="40" w:before="124" w:after="80" w:line="320" w:lineRule="atLeast"/>
      <w:ind w:firstLineChars="300" w:firstLine="300"/>
      <w:textAlignment w:val="baseline"/>
    </w:pPr>
    <w:rPr>
      <w:rFonts w:eastAsia="文鼎CS中宋" w:cs="宋体"/>
      <w:spacing w:val="8"/>
      <w:sz w:val="24"/>
    </w:rPr>
  </w:style>
  <w:style w:type="paragraph" w:customStyle="1" w:styleId="Char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 Char2"/>
    <w:basedOn w:val="a2"/>
    <w:uiPriority w:val="99"/>
    <w:qFormat/>
    <w:pPr>
      <w:jc w:val="both"/>
    </w:pPr>
  </w:style>
  <w:style w:type="paragraph" w:customStyle="1" w:styleId="1660">
    <w:name w:val="样式 标题1 + 段前: 6 磅 段后: 6 磅"/>
    <w:basedOn w:val="a2"/>
    <w:qFormat/>
    <w:pPr>
      <w:keepNext/>
      <w:keepLines/>
      <w:spacing w:before="120" w:after="120" w:line="500" w:lineRule="exact"/>
      <w:jc w:val="both"/>
      <w:outlineLvl w:val="0"/>
    </w:pPr>
    <w:rPr>
      <w:rFonts w:eastAsia="黑体" w:cs="宋体"/>
      <w:b/>
      <w:bCs/>
      <w:kern w:val="44"/>
      <w:sz w:val="30"/>
    </w:rPr>
  </w:style>
  <w:style w:type="paragraph" w:customStyle="1" w:styleId="CharChar3CharChar1">
    <w:name w:val="Char Char3 Char Char1"/>
    <w:basedOn w:val="a2"/>
    <w:uiPriority w:val="99"/>
    <w:qFormat/>
    <w:pPr>
      <w:jc w:val="both"/>
    </w:pPr>
    <w:rPr>
      <w:rFonts w:ascii="Times New Roman"/>
    </w:rPr>
  </w:style>
  <w:style w:type="paragraph" w:customStyle="1" w:styleId="Style20">
    <w:name w:val="_Style 2"/>
    <w:basedOn w:val="a2"/>
    <w:next w:val="39"/>
    <w:uiPriority w:val="99"/>
    <w:qFormat/>
    <w:pPr>
      <w:ind w:firstLine="576"/>
      <w:jc w:val="both"/>
      <w:textAlignment w:val="baseline"/>
    </w:pPr>
    <w:rPr>
      <w:rFonts w:ascii="宋体" w:hAnsi="宋体" w:hint="eastAsia"/>
      <w:sz w:val="24"/>
    </w:rPr>
  </w:style>
  <w:style w:type="paragraph" w:customStyle="1" w:styleId="CharCharCharChar1CharCharChar3">
    <w:name w:val="Char Char Char Char1 Char Char Char3"/>
    <w:basedOn w:val="a2"/>
    <w:uiPriority w:val="99"/>
    <w:qFormat/>
    <w:pPr>
      <w:jc w:val="both"/>
    </w:pPr>
  </w:style>
  <w:style w:type="paragraph" w:customStyle="1" w:styleId="affffffffffffffffffffffff6">
    <w:name w:val="报告正文文字"/>
    <w:basedOn w:val="a2"/>
    <w:uiPriority w:val="99"/>
    <w:qFormat/>
    <w:pPr>
      <w:spacing w:line="360" w:lineRule="auto"/>
      <w:ind w:firstLineChars="200" w:firstLine="560"/>
      <w:jc w:val="both"/>
    </w:pPr>
    <w:rPr>
      <w:rFonts w:ascii="仿宋_GB2312" w:eastAsia="仿宋_GB2312"/>
    </w:rPr>
  </w:style>
  <w:style w:type="paragraph" w:customStyle="1" w:styleId="Char1CharCharChar12">
    <w:name w:val="Char1 Char Char Char12"/>
    <w:basedOn w:val="a2"/>
    <w:uiPriority w:val="99"/>
    <w:qFormat/>
    <w:pPr>
      <w:jc w:val="both"/>
    </w:pPr>
    <w:rPr>
      <w:rFonts w:ascii="Times New Roman"/>
    </w:rPr>
  </w:style>
  <w:style w:type="paragraph" w:customStyle="1" w:styleId="Tabletext">
    <w:name w:val="Table text"/>
    <w:basedOn w:val="a2"/>
    <w:uiPriority w:val="99"/>
    <w:qFormat/>
    <w:pPr>
      <w:spacing w:before="80" w:after="80"/>
    </w:pPr>
    <w:rPr>
      <w:rFonts w:eastAsia="Times New Roman"/>
      <w:sz w:val="22"/>
      <w:lang w:eastAsia="en-US"/>
    </w:rPr>
  </w:style>
  <w:style w:type="paragraph" w:customStyle="1" w:styleId="023">
    <w:name w:val="样式 样式 列表 + 左侧:  0 厘米 悬挂缩进: 2 字符 + 红色 行距: 单倍行距"/>
    <w:basedOn w:val="020"/>
    <w:qFormat/>
    <w:pPr>
      <w:spacing w:line="240" w:lineRule="auto"/>
      <w:jc w:val="both"/>
    </w:pPr>
    <w:rPr>
      <w:b/>
    </w:rPr>
  </w:style>
  <w:style w:type="paragraph" w:customStyle="1" w:styleId="2250">
    <w:name w:val="样式 正文文本缩进正文文字缩进 + 四号 首行缩进:  2 字符 行距: 最小值 25 磅"/>
    <w:basedOn w:val="af5"/>
    <w:qFormat/>
    <w:pPr>
      <w:spacing w:after="0" w:line="500" w:lineRule="exact"/>
      <w:ind w:leftChars="0" w:left="0" w:firstLineChars="200" w:firstLine="200"/>
      <w:jc w:val="both"/>
    </w:pPr>
    <w:rPr>
      <w:rFonts w:cs="宋体"/>
      <w:sz w:val="28"/>
      <w:szCs w:val="20"/>
    </w:rPr>
  </w:style>
  <w:style w:type="paragraph" w:customStyle="1" w:styleId="ZW0">
    <w:name w:val="ZW"/>
    <w:basedOn w:val="a2"/>
    <w:uiPriority w:val="99"/>
    <w:qFormat/>
    <w:pPr>
      <w:spacing w:line="500" w:lineRule="exact"/>
      <w:ind w:firstLineChars="200" w:firstLine="200"/>
      <w:jc w:val="both"/>
      <w:textAlignment w:val="baseline"/>
    </w:pPr>
    <w:rPr>
      <w:color w:val="000000"/>
      <w:szCs w:val="28"/>
    </w:rPr>
  </w:style>
  <w:style w:type="paragraph" w:customStyle="1" w:styleId="106">
    <w:name w:val="表格内字体10"/>
    <w:basedOn w:val="a2"/>
    <w:uiPriority w:val="99"/>
    <w:qFormat/>
    <w:pPr>
      <w:jc w:val="center"/>
    </w:pPr>
    <w:rPr>
      <w:rFonts w:ascii="宋体" w:cs="宋体"/>
    </w:rPr>
  </w:style>
  <w:style w:type="paragraph" w:customStyle="1" w:styleId="Char3CharCharCharCharCharChar3">
    <w:name w:val="Char3 Char Char Char Char Char Char3"/>
    <w:basedOn w:val="a2"/>
    <w:uiPriority w:val="99"/>
    <w:qFormat/>
    <w:pPr>
      <w:jc w:val="both"/>
    </w:pPr>
  </w:style>
  <w:style w:type="paragraph" w:customStyle="1" w:styleId="CharCharCharCharCharCharCharCharChar1CharCharCharCharCharCharCharCharCharChar4">
    <w:name w:val="Char Char Char Char Char Char Char Char Char1 Char Char Char Char Char Char Char Char Char Char4"/>
    <w:basedOn w:val="a2"/>
    <w:pPr>
      <w:jc w:val="both"/>
    </w:pPr>
  </w:style>
  <w:style w:type="paragraph" w:customStyle="1" w:styleId="2ffff7">
    <w:name w:val="样式 正文 + 首行缩进:  2 字符 + 宋体 四号"/>
    <w:basedOn w:val="2ffff8"/>
    <w:uiPriority w:val="99"/>
    <w:qFormat/>
    <w:rPr>
      <w:rFonts w:ascii="宋体" w:hAnsi="宋体"/>
      <w:sz w:val="28"/>
    </w:rPr>
  </w:style>
  <w:style w:type="paragraph" w:customStyle="1" w:styleId="2ffff8">
    <w:name w:val="正文 + 首行缩进:  2 字符"/>
    <w:basedOn w:val="a2"/>
    <w:uiPriority w:val="99"/>
    <w:qFormat/>
    <w:pPr>
      <w:ind w:firstLineChars="200" w:firstLine="480"/>
      <w:jc w:val="both"/>
    </w:pPr>
    <w:rPr>
      <w:rFonts w:cs="宋体"/>
      <w:sz w:val="24"/>
    </w:rPr>
  </w:style>
  <w:style w:type="paragraph" w:customStyle="1" w:styleId="Char1CharCharChar11">
    <w:name w:val="Char1 Char Char Char11"/>
    <w:basedOn w:val="a2"/>
    <w:uiPriority w:val="99"/>
    <w:qFormat/>
    <w:pPr>
      <w:jc w:val="both"/>
    </w:pPr>
    <w:rPr>
      <w:sz w:val="24"/>
    </w:rPr>
  </w:style>
  <w:style w:type="paragraph" w:customStyle="1" w:styleId="4-001001">
    <w:name w:val="样式 标题 4 + 黑色 左侧:  -0.01 厘米 首行缩进:  0.01 厘米"/>
    <w:basedOn w:val="41"/>
    <w:qFormat/>
    <w:pPr>
      <w:tabs>
        <w:tab w:val="left" w:pos="2160"/>
      </w:tabs>
      <w:spacing w:before="120" w:line="312" w:lineRule="auto"/>
      <w:ind w:leftChars="0" w:left="2160" w:rightChars="0" w:right="0" w:hanging="420"/>
      <w:jc w:val="both"/>
    </w:pPr>
    <w:rPr>
      <w:rFonts w:ascii="仿宋_GB2312" w:eastAsia="仿宋_GB2312" w:hAnsi="Arial"/>
      <w:bCs w:val="0"/>
      <w:color w:val="000000"/>
      <w:szCs w:val="20"/>
    </w:rPr>
  </w:style>
  <w:style w:type="paragraph" w:customStyle="1" w:styleId="Char2CharChar1CharCharChar1">
    <w:name w:val="Char2 Char Char1 Char Char Char1"/>
    <w:basedOn w:val="a2"/>
    <w:uiPriority w:val="99"/>
    <w:qFormat/>
    <w:pPr>
      <w:jc w:val="both"/>
    </w:pPr>
    <w:rPr>
      <w:sz w:val="24"/>
    </w:rPr>
  </w:style>
  <w:style w:type="paragraph" w:customStyle="1" w:styleId="xl26">
    <w:name w:val="xl26"/>
    <w:basedOn w:val="a2"/>
    <w:qFormat/>
    <w:pPr>
      <w:widowControl/>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sz w:val="24"/>
    </w:rPr>
  </w:style>
  <w:style w:type="paragraph" w:customStyle="1" w:styleId="zhenwen">
    <w:name w:val="zhenwen"/>
    <w:basedOn w:val="a2"/>
    <w:qFormat/>
    <w:pPr>
      <w:spacing w:before="100" w:beforeAutospacing="1" w:after="100" w:afterAutospacing="1" w:line="360" w:lineRule="atLeast"/>
    </w:pPr>
    <w:rPr>
      <w:rFonts w:ascii="Բ" w:hAnsi="Բ"/>
      <w:color w:val="000000"/>
      <w:sz w:val="18"/>
      <w:szCs w:val="18"/>
    </w:rPr>
  </w:style>
  <w:style w:type="paragraph" w:customStyle="1" w:styleId="xl104">
    <w:name w:val="xl104"/>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reader-word-layerreader-word-s1-20">
    <w:name w:val="reader-word-layer reader-word-s1-20"/>
    <w:basedOn w:val="a2"/>
    <w:uiPriority w:val="99"/>
    <w:qFormat/>
    <w:pPr>
      <w:spacing w:before="100" w:beforeAutospacing="1" w:after="100" w:afterAutospacing="1"/>
    </w:pPr>
    <w:rPr>
      <w:rFonts w:ascii="宋体" w:hAnsi="宋体" w:cs="宋体"/>
      <w:sz w:val="24"/>
    </w:rPr>
  </w:style>
  <w:style w:type="paragraph" w:customStyle="1" w:styleId="241">
    <w:name w:val="样式 小四 行距: 固定值 24 磅"/>
    <w:basedOn w:val="a2"/>
    <w:qFormat/>
    <w:pPr>
      <w:spacing w:line="500" w:lineRule="exact"/>
      <w:ind w:firstLineChars="200" w:firstLine="200"/>
      <w:jc w:val="both"/>
    </w:pPr>
    <w:rPr>
      <w:sz w:val="24"/>
    </w:rPr>
  </w:style>
  <w:style w:type="paragraph" w:customStyle="1" w:styleId="226">
    <w:name w:val="正文文本 22"/>
    <w:basedOn w:val="a2"/>
    <w:next w:val="af5"/>
    <w:uiPriority w:val="99"/>
    <w:qFormat/>
    <w:pPr>
      <w:spacing w:after="120" w:line="500" w:lineRule="exact"/>
      <w:ind w:leftChars="200" w:left="420"/>
      <w:jc w:val="both"/>
    </w:pPr>
    <w:rPr>
      <w:rFonts w:ascii="仿宋_GB2312" w:eastAsia="仿宋_GB2312"/>
      <w:szCs w:val="28"/>
    </w:rPr>
  </w:style>
  <w:style w:type="paragraph" w:customStyle="1" w:styleId="CharCharCharChar1CharCharChar1">
    <w:name w:val="Char Char Char Char1 Char Char Char1"/>
    <w:basedOn w:val="a2"/>
    <w:uiPriority w:val="99"/>
    <w:qFormat/>
    <w:pPr>
      <w:jc w:val="both"/>
    </w:pPr>
    <w:rPr>
      <w:sz w:val="24"/>
    </w:rPr>
  </w:style>
  <w:style w:type="paragraph" w:customStyle="1" w:styleId="xl35">
    <w:name w:val="xl3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color w:val="000000"/>
      <w:sz w:val="24"/>
    </w:rPr>
  </w:style>
  <w:style w:type="paragraph" w:customStyle="1" w:styleId="2TimesNewRoman0500">
    <w:name w:val="样式 样式 样式 标题2 + (西文) Times New Roman (中文) 宋体 加粗 + 段前: 0.5 行 段后: 0..."/>
    <w:basedOn w:val="2TimesNewRoman0505"/>
    <w:qFormat/>
    <w:rPr>
      <w:color w:val="000000"/>
    </w:rPr>
  </w:style>
  <w:style w:type="paragraph" w:customStyle="1" w:styleId="2TimesNewRoman0505">
    <w:name w:val="样式 样式 标题2 + (西文) Times New Roman (中文) 宋体 加粗 + 段前: 0.5 行 段后: 0.5..."/>
    <w:basedOn w:val="2TimesNewRoman0"/>
    <w:qFormat/>
    <w:rPr>
      <w:rFonts w:eastAsia="仿宋_GB2312" w:cs="宋体"/>
    </w:rPr>
  </w:style>
  <w:style w:type="paragraph" w:customStyle="1" w:styleId="2TimesNewRoman0">
    <w:name w:val="样式 标题2 + (西文) Times New Roman (中文) 宋体 加粗"/>
    <w:basedOn w:val="22"/>
    <w:qFormat/>
    <w:pPr>
      <w:keepNext w:val="0"/>
      <w:keepLines w:val="0"/>
      <w:spacing w:beforeLines="50" w:before="50" w:afterLines="50" w:after="50" w:line="500" w:lineRule="exact"/>
      <w:jc w:val="both"/>
      <w:outlineLvl w:val="0"/>
    </w:pPr>
    <w:rPr>
      <w:rFonts w:ascii="Times New Roman" w:eastAsia="宋体" w:hAnsi="Times New Roman" w:cs="Times New Roman"/>
      <w:sz w:val="28"/>
      <w:szCs w:val="20"/>
    </w:rPr>
  </w:style>
  <w:style w:type="paragraph" w:customStyle="1" w:styleId="xl34">
    <w:name w:val="xl34"/>
    <w:basedOn w:val="a2"/>
    <w:qFormat/>
    <w:pPr>
      <w:widowControl/>
      <w:spacing w:before="100" w:beforeAutospacing="1" w:after="100" w:afterAutospacing="1"/>
      <w:jc w:val="center"/>
    </w:pPr>
    <w:rPr>
      <w:rFonts w:ascii="Arial Unicode MS" w:eastAsia="Arial Unicode MS" w:hAnsi="Arial Unicode MS"/>
      <w:sz w:val="24"/>
    </w:rPr>
  </w:style>
  <w:style w:type="paragraph" w:customStyle="1" w:styleId="CharCharChar1CharCharCharCharCharCharCharChar3">
    <w:name w:val="Char Char Char1 Char Char Char Char Char Char Char Char3"/>
    <w:basedOn w:val="a2"/>
    <w:uiPriority w:val="99"/>
    <w:qFormat/>
    <w:pPr>
      <w:jc w:val="both"/>
    </w:pPr>
  </w:style>
  <w:style w:type="paragraph" w:customStyle="1" w:styleId="affffffffffffffffffffffff7">
    <w:name w:val="福建表格"/>
    <w:basedOn w:val="a2"/>
    <w:next w:val="a2"/>
    <w:uiPriority w:val="99"/>
    <w:qFormat/>
    <w:pPr>
      <w:spacing w:line="300" w:lineRule="auto"/>
      <w:jc w:val="center"/>
      <w:outlineLvl w:val="8"/>
    </w:pPr>
    <w:rPr>
      <w:rFonts w:ascii="宋体" w:hAnsi="宋体"/>
      <w:sz w:val="24"/>
    </w:rPr>
  </w:style>
  <w:style w:type="paragraph" w:customStyle="1" w:styleId="Char2CharCharCharCharCharCharCharCharCharCharChar1CharCharCharCharCharCharCharCharChar3">
    <w:name w:val="Char2 Char Char Char Char Char Char Char Char Char Char Char1 Char Char Char Char Char Char Char Char Char3"/>
    <w:basedOn w:val="a2"/>
    <w:uiPriority w:val="99"/>
    <w:qFormat/>
  </w:style>
  <w:style w:type="paragraph" w:customStyle="1" w:styleId="4CharChar4">
    <w:name w:val="目录 4 Char Char"/>
    <w:basedOn w:val="a2"/>
    <w:next w:val="a2"/>
    <w:qFormat/>
    <w:pPr>
      <w:spacing w:line="351" w:lineRule="atLeast"/>
      <w:ind w:left="629" w:firstLine="419"/>
    </w:pPr>
    <w:rPr>
      <w:rFonts w:hAnsi="宋体"/>
    </w:rPr>
  </w:style>
  <w:style w:type="paragraph" w:customStyle="1" w:styleId="CharCharChar1CharCharCharCharCharCharCharCharCharCharChar">
    <w:name w:val="Char Char Char1 Char Char Char Char Char Char Char Char Char Char Char"/>
    <w:basedOn w:val="a2"/>
    <w:uiPriority w:val="99"/>
    <w:qFormat/>
    <w:pPr>
      <w:jc w:val="both"/>
    </w:pPr>
  </w:style>
  <w:style w:type="paragraph" w:customStyle="1" w:styleId="Char150">
    <w:name w:val="Char15"/>
    <w:basedOn w:val="a2"/>
    <w:uiPriority w:val="99"/>
    <w:qFormat/>
  </w:style>
  <w:style w:type="paragraph" w:customStyle="1" w:styleId="Char2CharChar1CharCharCharCharCharCharCharCharCharChar1">
    <w:name w:val="Char2 Char Char1 Char Char Char Char Char Char Char Char Char Char1"/>
    <w:basedOn w:val="a2"/>
    <w:uiPriority w:val="99"/>
    <w:qFormat/>
    <w:pPr>
      <w:jc w:val="both"/>
    </w:pPr>
    <w:rPr>
      <w:sz w:val="24"/>
    </w:rPr>
  </w:style>
  <w:style w:type="paragraph" w:customStyle="1" w:styleId="affffffffffffffffffffffff8">
    <w:name w:val="图号"/>
    <w:basedOn w:val="a2"/>
    <w:uiPriority w:val="99"/>
    <w:qFormat/>
    <w:pPr>
      <w:snapToGrid w:val="0"/>
      <w:spacing w:line="360" w:lineRule="auto"/>
      <w:jc w:val="center"/>
    </w:pPr>
    <w:rPr>
      <w:rFonts w:ascii="宋体" w:hAnsi="宋体"/>
      <w:b/>
      <w:bCs/>
      <w:lang w:val="zh-CN"/>
    </w:rPr>
  </w:style>
  <w:style w:type="paragraph" w:customStyle="1" w:styleId="ZW00">
    <w:name w:val="ZW(00)"/>
    <w:basedOn w:val="ZW0"/>
    <w:uiPriority w:val="99"/>
    <w:qFormat/>
    <w:pPr>
      <w:ind w:firstLineChars="0" w:firstLine="0"/>
    </w:pPr>
  </w:style>
  <w:style w:type="paragraph" w:customStyle="1" w:styleId="CharCharCharCharCharCharCharCharCharCharChar2">
    <w:name w:val="Char Char Char Char Char Char Char Char Char Char Char2"/>
    <w:basedOn w:val="a2"/>
    <w:uiPriority w:val="99"/>
    <w:qFormat/>
    <w:pPr>
      <w:jc w:val="both"/>
    </w:pPr>
    <w:rPr>
      <w:rFonts w:ascii="Times New Roman"/>
    </w:rPr>
  </w:style>
  <w:style w:type="paragraph" w:customStyle="1" w:styleId="Char4CharCharCharCharCharCharCharCharCharCharCharCharCharCharCharCharChar1CharCharCharCharCharChar1CharCharCharCharCharCharCharCharCharCharCharCharCharCharCharCharCharCharChar3">
    <w:name w:val="Char4 Char Char Char Char Char Char Char Char Char Char Char Char Char Char Char Char Char1 Char Char Char Char Char Char1 Char Char Char Char Char Char Char Char Char Char Char Char Char Char Char Char Char Char Char3"/>
    <w:basedOn w:val="a2"/>
    <w:uiPriority w:val="99"/>
    <w:qFormat/>
    <w:pPr>
      <w:spacing w:line="240" w:lineRule="exact"/>
      <w:ind w:firstLineChars="200" w:firstLine="200"/>
      <w:jc w:val="both"/>
    </w:pPr>
    <w:rPr>
      <w:szCs w:val="28"/>
    </w:rPr>
  </w:style>
  <w:style w:type="paragraph" w:customStyle="1" w:styleId="affffffffffffffffffffffff9">
    <w:name w:val="表内容中"/>
    <w:basedOn w:val="af9"/>
    <w:qFormat/>
    <w:pPr>
      <w:snapToGrid w:val="0"/>
      <w:spacing w:line="360" w:lineRule="exact"/>
      <w:ind w:leftChars="0" w:left="0"/>
      <w:jc w:val="center"/>
    </w:pPr>
    <w:rPr>
      <w:rFonts w:eastAsia="宋体" w:hAnsi="Arial"/>
      <w:color w:val="000000"/>
      <w:kern w:val="16"/>
    </w:rPr>
  </w:style>
  <w:style w:type="paragraph" w:customStyle="1" w:styleId="21510">
    <w:name w:val="样式 宋体 小四 黑色 首行缩进:  2字符 行距: 1.5 倍行距1"/>
    <w:basedOn w:val="a2"/>
    <w:uiPriority w:val="99"/>
    <w:qFormat/>
    <w:pPr>
      <w:snapToGrid w:val="0"/>
      <w:spacing w:line="360" w:lineRule="auto"/>
      <w:ind w:firstLineChars="200" w:firstLine="480"/>
      <w:jc w:val="both"/>
    </w:pPr>
    <w:rPr>
      <w:rFonts w:ascii="宋体" w:hAnsi="宋体"/>
      <w:color w:val="000000"/>
      <w:sz w:val="24"/>
    </w:rPr>
  </w:style>
  <w:style w:type="paragraph" w:customStyle="1" w:styleId="affffffffffffffffffffffffa">
    <w:name w:val="正文(不缩进)"/>
    <w:basedOn w:val="af4"/>
    <w:uiPriority w:val="99"/>
    <w:qFormat/>
    <w:pPr>
      <w:tabs>
        <w:tab w:val="left" w:pos="2460"/>
      </w:tabs>
      <w:spacing w:after="0" w:line="360" w:lineRule="auto"/>
      <w:jc w:val="both"/>
    </w:pPr>
    <w:rPr>
      <w:rFonts w:ascii="宋体" w:hAnsi="宋体"/>
      <w:spacing w:val="-5"/>
      <w:kern w:val="0"/>
      <w:sz w:val="24"/>
      <w:szCs w:val="24"/>
      <w:lang w:bidi="he-IL"/>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2"/>
    <w:semiHidden/>
    <w:pPr>
      <w:autoSpaceDE/>
      <w:autoSpaceDN/>
      <w:adjustRightInd/>
      <w:jc w:val="both"/>
    </w:pPr>
  </w:style>
  <w:style w:type="paragraph" w:customStyle="1" w:styleId="TableTitleChar1Char1">
    <w:name w:val="Table Title Char1 Char1"/>
    <w:basedOn w:val="a2"/>
    <w:qFormat/>
    <w:pPr>
      <w:widowControl/>
      <w:snapToGrid w:val="0"/>
      <w:spacing w:beforeLines="50" w:before="156" w:afterLines="50" w:after="156" w:line="400" w:lineRule="exact"/>
      <w:jc w:val="center"/>
    </w:pPr>
    <w:rPr>
      <w:sz w:val="24"/>
      <w:lang w:eastAsia="en-US"/>
    </w:rPr>
  </w:style>
  <w:style w:type="paragraph" w:customStyle="1" w:styleId="CharCharCharChar21">
    <w:name w:val="Char Char Char Char2"/>
    <w:basedOn w:val="a2"/>
    <w:qFormat/>
  </w:style>
  <w:style w:type="paragraph" w:customStyle="1" w:styleId="3fff2">
    <w:name w:val="正文样式3"/>
    <w:basedOn w:val="a2"/>
    <w:uiPriority w:val="99"/>
    <w:qFormat/>
    <w:pPr>
      <w:spacing w:line="20" w:lineRule="atLeast"/>
      <w:jc w:val="center"/>
      <w:textAlignment w:val="baseline"/>
    </w:pPr>
    <w:rPr>
      <w:sz w:val="24"/>
    </w:rPr>
  </w:style>
  <w:style w:type="paragraph" w:customStyle="1" w:styleId="affffffffffffffffffffffffb">
    <w:name w:val="资料来源"/>
    <w:next w:val="a2"/>
    <w:pPr>
      <w:tabs>
        <w:tab w:val="left" w:pos="4860"/>
      </w:tabs>
      <w:snapToGrid w:val="0"/>
      <w:ind w:firstLineChars="200" w:firstLine="360"/>
      <w:jc w:val="both"/>
    </w:pPr>
    <w:rPr>
      <w:rFonts w:ascii="Times New Roman" w:eastAsia="宋体" w:hAnsi="Times New Roman" w:cs="Times New Roman"/>
      <w:color w:val="000000"/>
      <w:sz w:val="18"/>
      <w:szCs w:val="21"/>
    </w:rPr>
  </w:style>
  <w:style w:type="paragraph" w:customStyle="1" w:styleId="234">
    <w:name w:val="样式 行距: 固定值 23 磅"/>
    <w:basedOn w:val="a2"/>
    <w:uiPriority w:val="99"/>
    <w:qFormat/>
    <w:pPr>
      <w:spacing w:line="360" w:lineRule="auto"/>
      <w:ind w:firstLineChars="200" w:firstLine="200"/>
      <w:jc w:val="both"/>
    </w:pPr>
    <w:rPr>
      <w:rFonts w:cs="宋体"/>
      <w:sz w:val="24"/>
    </w:rPr>
  </w:style>
  <w:style w:type="paragraph" w:customStyle="1" w:styleId="chen111">
    <w:name w:val="chen正文111"/>
    <w:basedOn w:val="a2"/>
    <w:uiPriority w:val="99"/>
    <w:qFormat/>
    <w:pPr>
      <w:snapToGrid w:val="0"/>
      <w:spacing w:line="500" w:lineRule="exact"/>
      <w:ind w:firstLineChars="200" w:firstLine="560"/>
      <w:jc w:val="both"/>
    </w:pPr>
    <w:rPr>
      <w:rFonts w:eastAsia="仿宋_GB2312"/>
      <w:bCs/>
      <w:color w:val="000000"/>
      <w:szCs w:val="28"/>
    </w:rPr>
  </w:style>
  <w:style w:type="paragraph" w:customStyle="1" w:styleId="78">
    <w:name w:val="样式 图表名称 + 段前: 7.8 磅"/>
    <w:basedOn w:val="a2"/>
    <w:uiPriority w:val="99"/>
    <w:qFormat/>
    <w:pPr>
      <w:spacing w:beforeLines="50" w:line="360" w:lineRule="auto"/>
      <w:jc w:val="center"/>
    </w:pPr>
    <w:rPr>
      <w:rFonts w:cs="宋体"/>
      <w:sz w:val="24"/>
    </w:rPr>
  </w:style>
  <w:style w:type="paragraph" w:customStyle="1" w:styleId="222CharH2h211122">
    <w:name w:val="样式 标题 2标题2标题 2 Char节标题H2h2第一层条节标题 1.11二级 标题 2标题 2（修改）..."/>
    <w:basedOn w:val="22"/>
    <w:uiPriority w:val="99"/>
    <w:qFormat/>
    <w:pPr>
      <w:snapToGrid w:val="0"/>
      <w:spacing w:beforeLines="50" w:before="156" w:after="240" w:line="360" w:lineRule="auto"/>
      <w:jc w:val="both"/>
      <w:textAlignment w:val="baseline"/>
    </w:pPr>
    <w:rPr>
      <w:rFonts w:ascii="Arial" w:eastAsia="仿宋_GB2312" w:hAnsi="Arial" w:cs="宋体"/>
      <w:b w:val="0"/>
      <w:sz w:val="24"/>
      <w:szCs w:val="30"/>
    </w:rPr>
  </w:style>
  <w:style w:type="paragraph" w:customStyle="1" w:styleId="CharCharChar1Char6">
    <w:name w:val="Char Char Char1 Char6"/>
    <w:basedOn w:val="a2"/>
    <w:qFormat/>
    <w:pPr>
      <w:jc w:val="both"/>
      <w:textAlignment w:val="baseline"/>
    </w:pPr>
    <w:rPr>
      <w:rFonts w:ascii="仿宋_GB2312" w:eastAsia="仿宋_GB2312"/>
    </w:rPr>
  </w:style>
  <w:style w:type="paragraph" w:customStyle="1" w:styleId="CharCharCharCharCharCharChar8">
    <w:name w:val="表格头 Char Char Char Char Char Char Char"/>
    <w:basedOn w:val="a2"/>
    <w:qFormat/>
    <w:pPr>
      <w:snapToGrid w:val="0"/>
      <w:spacing w:line="360" w:lineRule="auto"/>
      <w:jc w:val="center"/>
    </w:pPr>
    <w:rPr>
      <w:b/>
      <w:sz w:val="24"/>
    </w:rPr>
  </w:style>
  <w:style w:type="paragraph" w:customStyle="1" w:styleId="affffffffffffffffffffffffc">
    <w:name w:val="正文中对齐"/>
    <w:basedOn w:val="a2"/>
    <w:uiPriority w:val="99"/>
    <w:qFormat/>
    <w:pPr>
      <w:snapToGrid w:val="0"/>
      <w:spacing w:before="60" w:after="60" w:line="60" w:lineRule="atLeast"/>
      <w:jc w:val="center"/>
      <w:textAlignment w:val="baseline"/>
    </w:pPr>
    <w:rPr>
      <w:rFonts w:ascii="宋体" w:hAnsi="宋体" w:hint="eastAsia"/>
      <w:sz w:val="24"/>
    </w:rPr>
  </w:style>
  <w:style w:type="paragraph" w:customStyle="1" w:styleId="CharCharCharCharChar6">
    <w:name w:val="样式 正文缩进文本条款表正文正文非缩进表格标题正文（首行缩进两字） Char Char Char Char Char ..."/>
    <w:basedOn w:val="a3"/>
    <w:qFormat/>
    <w:pPr>
      <w:tabs>
        <w:tab w:val="left" w:pos="283"/>
      </w:tabs>
      <w:snapToGrid w:val="0"/>
      <w:spacing w:line="500" w:lineRule="atLeast"/>
      <w:ind w:firstLine="549"/>
      <w:jc w:val="both"/>
    </w:pPr>
    <w:rPr>
      <w:rFonts w:cs="宋体"/>
      <w:sz w:val="28"/>
      <w:szCs w:val="20"/>
    </w:rPr>
  </w:style>
  <w:style w:type="paragraph" w:customStyle="1" w:styleId="4f7">
    <w:name w:val="标题4"/>
    <w:basedOn w:val="a2"/>
    <w:qFormat/>
    <w:pPr>
      <w:spacing w:line="300" w:lineRule="auto"/>
      <w:ind w:firstLineChars="200" w:firstLine="200"/>
      <w:textAlignment w:val="baseline"/>
    </w:pPr>
    <w:rPr>
      <w:rFonts w:ascii="宋体" w:eastAsia="仿宋_GB2312"/>
    </w:rPr>
  </w:style>
  <w:style w:type="paragraph" w:customStyle="1" w:styleId="CharCharCharChar1CharCharCharCharCharCharCharCharCharCharCharChar">
    <w:name w:val="Char Char Char Char1 Char Char Char Char Char Char Char Char Char Char Char Char"/>
    <w:basedOn w:val="a2"/>
    <w:uiPriority w:val="99"/>
    <w:qFormat/>
    <w:pPr>
      <w:tabs>
        <w:tab w:val="left" w:pos="0"/>
      </w:tabs>
    </w:pPr>
    <w:rPr>
      <w:sz w:val="24"/>
    </w:rPr>
  </w:style>
  <w:style w:type="paragraph" w:customStyle="1" w:styleId="0836">
    <w:name w:val="样式 宋体 四号 首行缩进:  0.83 厘米 行距: 最小值 6 磅"/>
    <w:basedOn w:val="a2"/>
    <w:qFormat/>
    <w:pPr>
      <w:spacing w:line="480" w:lineRule="exact"/>
      <w:ind w:firstLine="567"/>
      <w:jc w:val="both"/>
    </w:pPr>
  </w:style>
  <w:style w:type="paragraph" w:customStyle="1" w:styleId="CharCharCharChar1CharCharCharCharCharChar2">
    <w:name w:val="Char Char Char Char1 Char Char Char Char Char Char2"/>
    <w:basedOn w:val="a2"/>
    <w:next w:val="a2"/>
    <w:uiPriority w:val="99"/>
    <w:qFormat/>
    <w:pPr>
      <w:spacing w:line="360" w:lineRule="auto"/>
      <w:ind w:firstLineChars="200" w:firstLine="200"/>
      <w:jc w:val="both"/>
    </w:pPr>
  </w:style>
  <w:style w:type="paragraph" w:customStyle="1" w:styleId="affffffffffffffffffffffffd">
    <w:name w:val="本文正文"/>
    <w:basedOn w:val="a2"/>
    <w:qFormat/>
    <w:pPr>
      <w:spacing w:line="300" w:lineRule="auto"/>
      <w:ind w:firstLineChars="200" w:firstLine="560"/>
      <w:textAlignment w:val="baseline"/>
    </w:pPr>
  </w:style>
  <w:style w:type="paragraph" w:customStyle="1" w:styleId="3fff3">
    <w:name w:val="正文文字 3"/>
    <w:basedOn w:val="a2"/>
    <w:qFormat/>
    <w:pPr>
      <w:jc w:val="center"/>
    </w:pPr>
  </w:style>
  <w:style w:type="paragraph" w:customStyle="1" w:styleId="1fffffff3">
    <w:name w:val="表格内字体1"/>
    <w:basedOn w:val="a2"/>
    <w:uiPriority w:val="99"/>
    <w:qFormat/>
    <w:pPr>
      <w:jc w:val="center"/>
    </w:pPr>
    <w:rPr>
      <w:rFonts w:ascii="宋体" w:cs="宋体"/>
    </w:rPr>
  </w:style>
  <w:style w:type="paragraph" w:customStyle="1" w:styleId="CharCharCharCharCharCharCharCharChar1CharCharCharCharCharCharChar3">
    <w:name w:val="Char Char Char Char Char Char Char Char Char1 Char Char Char Char Char Char Char3"/>
    <w:basedOn w:val="a2"/>
    <w:uiPriority w:val="99"/>
    <w:qFormat/>
    <w:pPr>
      <w:snapToGrid w:val="0"/>
      <w:spacing w:line="360" w:lineRule="auto"/>
      <w:ind w:firstLineChars="200" w:firstLine="200"/>
      <w:jc w:val="both"/>
    </w:pPr>
    <w:rPr>
      <w:rFonts w:eastAsia="仿宋_GB2312"/>
    </w:rPr>
  </w:style>
  <w:style w:type="paragraph" w:customStyle="1" w:styleId="ParaCharCharCharCharCharCharCharCharCharCharCharCharChar1Char">
    <w:name w:val="默认段落字体 Para Char Char Char Char Char Char Char Char Char Char Char Char Char1 Char"/>
    <w:basedOn w:val="a2"/>
    <w:uiPriority w:val="99"/>
    <w:qFormat/>
    <w:pPr>
      <w:shd w:val="clear" w:color="auto" w:fill="000080"/>
      <w:snapToGrid w:val="0"/>
      <w:spacing w:line="360" w:lineRule="auto"/>
      <w:jc w:val="both"/>
    </w:pPr>
    <w:rPr>
      <w:rFonts w:ascii="Tahoma" w:eastAsia="仿宋_GB2312" w:hAnsi="Tahoma"/>
      <w:szCs w:val="18"/>
    </w:rPr>
  </w:style>
  <w:style w:type="paragraph" w:customStyle="1" w:styleId="2230">
    <w:name w:val="正文文本 223"/>
    <w:basedOn w:val="a2"/>
    <w:uiPriority w:val="99"/>
    <w:qFormat/>
    <w:pPr>
      <w:spacing w:line="460" w:lineRule="exact"/>
      <w:ind w:firstLine="510"/>
      <w:textAlignment w:val="baseline"/>
    </w:pPr>
    <w:rPr>
      <w:rFonts w:ascii="宋体"/>
      <w:sz w:val="24"/>
    </w:rPr>
  </w:style>
  <w:style w:type="paragraph" w:customStyle="1" w:styleId="CharCharCharCharb">
    <w:name w:val="表格头 Char Char Char Char"/>
    <w:basedOn w:val="a2"/>
    <w:uiPriority w:val="99"/>
    <w:qFormat/>
    <w:pPr>
      <w:snapToGrid w:val="0"/>
      <w:spacing w:line="360" w:lineRule="auto"/>
      <w:jc w:val="center"/>
    </w:pPr>
    <w:rPr>
      <w:b/>
      <w:sz w:val="24"/>
    </w:rPr>
  </w:style>
  <w:style w:type="paragraph" w:customStyle="1" w:styleId="affffffffffffffffffffffffe">
    <w:name w:val="(文字) (文字)"/>
    <w:basedOn w:val="a2"/>
    <w:pPr>
      <w:jc w:val="both"/>
    </w:pPr>
    <w:rPr>
      <w:sz w:val="24"/>
    </w:rPr>
  </w:style>
  <w:style w:type="paragraph" w:customStyle="1" w:styleId="1520">
    <w:name w:val="淮安正文样式 小四 行距: 1.5 倍行距 首行缩进:  2 字符"/>
    <w:basedOn w:val="a2"/>
    <w:uiPriority w:val="99"/>
    <w:qFormat/>
    <w:pPr>
      <w:snapToGrid w:val="0"/>
      <w:ind w:firstLineChars="200" w:firstLine="480"/>
      <w:jc w:val="both"/>
    </w:pPr>
    <w:rPr>
      <w:snapToGrid w:val="0"/>
      <w:color w:val="0000FF"/>
      <w:sz w:val="24"/>
      <w:szCs w:val="28"/>
    </w:rPr>
  </w:style>
  <w:style w:type="paragraph" w:customStyle="1" w:styleId="Style27">
    <w:name w:val="_Style 27"/>
    <w:basedOn w:val="a2"/>
    <w:next w:val="a3"/>
    <w:uiPriority w:val="99"/>
    <w:qFormat/>
    <w:pPr>
      <w:ind w:firstLine="420"/>
      <w:jc w:val="both"/>
    </w:pPr>
  </w:style>
  <w:style w:type="paragraph" w:customStyle="1" w:styleId="Formatvorlage1">
    <w:name w:val="Formatvorlage1"/>
    <w:basedOn w:val="22"/>
    <w:uiPriority w:val="99"/>
    <w:qFormat/>
    <w:pPr>
      <w:keepLines w:val="0"/>
      <w:tabs>
        <w:tab w:val="left" w:pos="840"/>
      </w:tabs>
      <w:spacing w:before="240" w:after="60" w:line="360" w:lineRule="auto"/>
      <w:ind w:left="840" w:hanging="420"/>
      <w:jc w:val="both"/>
      <w:textAlignment w:val="baseline"/>
      <w:outlineLvl w:val="9"/>
    </w:pPr>
    <w:rPr>
      <w:rFonts w:ascii="CorpoSLig" w:eastAsia="宋体" w:hAnsi="CorpoSLig" w:cs="Times New Roman"/>
      <w:bCs w:val="0"/>
      <w:i/>
      <w:color w:val="FF0000"/>
      <w:sz w:val="24"/>
      <w:szCs w:val="20"/>
    </w:rPr>
  </w:style>
  <w:style w:type="paragraph" w:customStyle="1" w:styleId="Char1CharCharCharCharCharCharCharCharCharCharCharCharCharCharChar3">
    <w:name w:val="Char1 Char Char Char Char Char Char Char Char Char Char Char Char Char Char Char3"/>
    <w:basedOn w:val="a2"/>
    <w:uiPriority w:val="99"/>
    <w:qFormat/>
    <w:pPr>
      <w:spacing w:line="360" w:lineRule="auto"/>
      <w:jc w:val="both"/>
    </w:pPr>
    <w:rPr>
      <w:rFonts w:ascii="Times New Roman"/>
      <w:szCs w:val="22"/>
    </w:rPr>
  </w:style>
  <w:style w:type="paragraph" w:customStyle="1" w:styleId="CharChar2CharCharCharChar">
    <w:name w:val="Char Char2 Char Char Char Char"/>
    <w:basedOn w:val="a2"/>
    <w:uiPriority w:val="99"/>
    <w:qFormat/>
    <w:pPr>
      <w:keepNext/>
      <w:tabs>
        <w:tab w:val="left" w:pos="425"/>
      </w:tabs>
      <w:spacing w:before="80" w:after="80"/>
      <w:ind w:hanging="425"/>
      <w:jc w:val="both"/>
    </w:pPr>
    <w:rPr>
      <w:rFonts w:hAnsi="Arial" w:cs="Arial"/>
      <w:sz w:val="20"/>
    </w:rPr>
  </w:style>
  <w:style w:type="paragraph" w:customStyle="1" w:styleId="CharCharCharCharCharCharCharCharChar1CharCharCharChar3">
    <w:name w:val="Char Char Char Char Char Char Char Char Char1 Char Char Char Char3"/>
    <w:basedOn w:val="a2"/>
    <w:uiPriority w:val="99"/>
    <w:semiHidden/>
    <w:qFormat/>
    <w:pPr>
      <w:jc w:val="both"/>
    </w:pPr>
  </w:style>
  <w:style w:type="paragraph" w:customStyle="1" w:styleId="CharChar3Char3">
    <w:name w:val="Char Char3 Char3"/>
    <w:basedOn w:val="a2"/>
    <w:next w:val="a2"/>
    <w:uiPriority w:val="99"/>
    <w:qFormat/>
    <w:pPr>
      <w:spacing w:line="360" w:lineRule="auto"/>
      <w:ind w:firstLineChars="200" w:firstLine="200"/>
      <w:jc w:val="center"/>
    </w:pPr>
    <w:rPr>
      <w:rFonts w:eastAsia="黑体"/>
    </w:rPr>
  </w:style>
  <w:style w:type="paragraph" w:customStyle="1" w:styleId="1fffffff4">
    <w:name w:val="小标题(1)"/>
    <w:basedOn w:val="af4"/>
    <w:uiPriority w:val="99"/>
    <w:qFormat/>
    <w:pPr>
      <w:snapToGrid w:val="0"/>
      <w:spacing w:before="60" w:after="60" w:line="264" w:lineRule="auto"/>
      <w:ind w:firstLineChars="100" w:firstLine="240"/>
      <w:jc w:val="both"/>
      <w:textAlignment w:val="baseline"/>
    </w:pPr>
    <w:rPr>
      <w:rFonts w:eastAsia="仿宋_GB2312"/>
      <w:snapToGrid w:val="0"/>
      <w:kern w:val="0"/>
      <w:sz w:val="24"/>
      <w:szCs w:val="24"/>
    </w:rPr>
  </w:style>
  <w:style w:type="paragraph" w:customStyle="1" w:styleId="94">
    <w:name w:val="9"/>
    <w:next w:val="a2"/>
    <w:qFormat/>
    <w:rPr>
      <w:rFonts w:ascii="Times New Roman" w:eastAsia="宋体" w:hAnsi="Times New Roman" w:cs="Times New Roman"/>
      <w:kern w:val="2"/>
      <w:sz w:val="21"/>
      <w:szCs w:val="24"/>
    </w:rPr>
  </w:style>
  <w:style w:type="paragraph" w:customStyle="1" w:styleId="B2">
    <w:name w:val="标题B"/>
    <w:uiPriority w:val="99"/>
    <w:qFormat/>
    <w:pPr>
      <w:adjustRightInd w:val="0"/>
      <w:spacing w:line="720" w:lineRule="auto"/>
      <w:outlineLvl w:val="1"/>
    </w:pPr>
    <w:rPr>
      <w:rFonts w:ascii="Times New Roman" w:eastAsia="宋体" w:hAnsi="Times New Roman" w:cs="Times New Roman"/>
      <w:b/>
      <w:sz w:val="30"/>
    </w:rPr>
  </w:style>
  <w:style w:type="paragraph" w:customStyle="1" w:styleId="unnamed2">
    <w:name w:val="unnamed2"/>
    <w:basedOn w:val="a2"/>
    <w:uiPriority w:val="99"/>
    <w:qFormat/>
    <w:pPr>
      <w:snapToGrid w:val="0"/>
      <w:spacing w:before="100" w:beforeAutospacing="1" w:after="100" w:afterAutospacing="1" w:line="255" w:lineRule="atLeast"/>
      <w:ind w:firstLineChars="200" w:firstLine="200"/>
    </w:pPr>
    <w:rPr>
      <w:rFonts w:ascii="宋体" w:hAnsi="宋体"/>
      <w:sz w:val="20"/>
    </w:rPr>
  </w:style>
  <w:style w:type="paragraph" w:customStyle="1" w:styleId="Charfffffffffc">
    <w:name w:val="正文新 Char"/>
    <w:basedOn w:val="a2"/>
    <w:qFormat/>
    <w:pPr>
      <w:spacing w:line="360" w:lineRule="auto"/>
      <w:ind w:firstLineChars="200" w:firstLine="480"/>
    </w:pPr>
    <w:rPr>
      <w:rFonts w:hAnsi="宋体"/>
      <w:sz w:val="24"/>
    </w:rPr>
  </w:style>
  <w:style w:type="paragraph" w:customStyle="1" w:styleId="4f8">
    <w:name w:val="4"/>
    <w:basedOn w:val="a2"/>
    <w:next w:val="af5"/>
    <w:qFormat/>
    <w:pPr>
      <w:spacing w:line="500" w:lineRule="exact"/>
      <w:ind w:firstLineChars="200" w:firstLine="560"/>
    </w:pPr>
    <w:rPr>
      <w:rFonts w:ascii="仿宋_GB2312" w:eastAsia="仿宋_GB2312"/>
    </w:rPr>
  </w:style>
  <w:style w:type="paragraph" w:customStyle="1" w:styleId="xl69">
    <w:name w:val="xl69"/>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rPr>
  </w:style>
  <w:style w:type="paragraph" w:customStyle="1" w:styleId="CharCharCharCharChar1Char">
    <w:name w:val="Char Char Char Char Char1 Char"/>
    <w:basedOn w:val="a2"/>
    <w:uiPriority w:val="99"/>
    <w:qFormat/>
    <w:pPr>
      <w:jc w:val="both"/>
    </w:pPr>
  </w:style>
  <w:style w:type="paragraph" w:customStyle="1" w:styleId="154">
    <w:name w:val="样式 宋体 小四 居中 行距: 1.5 倍行距"/>
    <w:basedOn w:val="a2"/>
    <w:uiPriority w:val="99"/>
    <w:qFormat/>
    <w:pPr>
      <w:jc w:val="center"/>
    </w:pPr>
    <w:rPr>
      <w:rFonts w:ascii="宋体"/>
      <w:sz w:val="24"/>
    </w:rPr>
  </w:style>
  <w:style w:type="paragraph" w:customStyle="1" w:styleId="MTDisplayEquation">
    <w:name w:val="MTDisplayEquation"/>
    <w:basedOn w:val="a2"/>
    <w:next w:val="a2"/>
    <w:qFormat/>
    <w:pPr>
      <w:tabs>
        <w:tab w:val="center" w:pos="4160"/>
        <w:tab w:val="right" w:pos="8300"/>
      </w:tabs>
      <w:spacing w:line="360" w:lineRule="auto"/>
      <w:ind w:firstLineChars="200" w:firstLine="480"/>
    </w:pPr>
    <w:rPr>
      <w:rFonts w:ascii="宋体" w:hAnsi="宋体"/>
      <w:sz w:val="24"/>
    </w:rPr>
  </w:style>
  <w:style w:type="paragraph" w:customStyle="1" w:styleId="y0">
    <w:name w:val="?y??"/>
    <w:uiPriority w:val="99"/>
    <w:qFormat/>
    <w:pPr>
      <w:widowControl w:val="0"/>
      <w:overflowPunct w:val="0"/>
      <w:autoSpaceDE w:val="0"/>
      <w:autoSpaceDN w:val="0"/>
      <w:adjustRightInd w:val="0"/>
      <w:spacing w:line="357" w:lineRule="atLeast"/>
      <w:jc w:val="both"/>
      <w:textAlignment w:val="baseline"/>
    </w:pPr>
    <w:rPr>
      <w:rFonts w:ascii="Times New Roman" w:eastAsia="宋体" w:hAnsi="Times New Roman" w:cs="Times New Roman"/>
      <w:color w:val="000000"/>
      <w:sz w:val="21"/>
    </w:rPr>
  </w:style>
  <w:style w:type="paragraph" w:customStyle="1" w:styleId="navitext">
    <w:name w:val="navitext"/>
    <w:basedOn w:val="a2"/>
    <w:uiPriority w:val="99"/>
    <w:qFormat/>
    <w:pPr>
      <w:snapToGrid w:val="0"/>
      <w:spacing w:before="100" w:beforeAutospacing="1" w:after="100" w:afterAutospacing="1" w:line="360" w:lineRule="auto"/>
      <w:ind w:firstLineChars="200" w:firstLine="200"/>
    </w:pPr>
    <w:rPr>
      <w:rFonts w:ascii="宋体" w:hAnsi="宋体"/>
      <w:color w:val="000000"/>
      <w:sz w:val="18"/>
      <w:szCs w:val="18"/>
    </w:rPr>
  </w:style>
  <w:style w:type="paragraph" w:customStyle="1" w:styleId="12212">
    <w:name w:val="样式 样式 样式 +中文正文 文字 1 首行缩进:  2 字符 + 首行缩进:  2 字符 + 文字 1 首行缩进:  2 字符"/>
    <w:basedOn w:val="1221"/>
    <w:uiPriority w:val="99"/>
    <w:qFormat/>
    <w:pPr>
      <w:ind w:firstLine="560"/>
    </w:pPr>
    <w:rPr>
      <w:color w:val="000000"/>
    </w:rPr>
  </w:style>
  <w:style w:type="paragraph" w:customStyle="1" w:styleId="CharCharCharChar60">
    <w:name w:val="Char Char Char Char6"/>
    <w:basedOn w:val="a2"/>
    <w:uiPriority w:val="99"/>
    <w:qFormat/>
    <w:rPr>
      <w:rFonts w:ascii="Times New Roman"/>
    </w:rPr>
  </w:style>
  <w:style w:type="paragraph" w:customStyle="1" w:styleId="afffffffffffffffffffffffff">
    <w:name w:val="表目录"/>
    <w:basedOn w:val="a2"/>
    <w:qFormat/>
    <w:pPr>
      <w:snapToGrid w:val="0"/>
      <w:spacing w:beforeLines="50" w:before="50"/>
      <w:jc w:val="center"/>
    </w:pPr>
    <w:rPr>
      <w:rFonts w:ascii="宋体"/>
    </w:rPr>
  </w:style>
  <w:style w:type="paragraph" w:customStyle="1" w:styleId="CharCharChar4CharCharCharCharCharChar1CharCharCharCharCharChar1CharCharCharCharCharCharCharCharCharChar">
    <w:name w:val="Char Char Char4 Char Char Char Char Char Char1 Char Char Char Char Char Char1 Char Char Char Char Char Char Char Char Char Char"/>
    <w:basedOn w:val="a2"/>
    <w:pPr>
      <w:autoSpaceDE/>
      <w:autoSpaceDN/>
      <w:adjustRightInd/>
      <w:jc w:val="both"/>
    </w:pPr>
    <w:rPr>
      <w:rFonts w:eastAsia="黑体"/>
    </w:rPr>
  </w:style>
  <w:style w:type="paragraph" w:customStyle="1" w:styleId="CharCharChar1CharCharCharCharCharCharCharCharCharCharChar4">
    <w:name w:val="Char Char Char1 Char Char Char Char Char Char Char Char Char Char Char4"/>
    <w:basedOn w:val="a2"/>
    <w:pPr>
      <w:jc w:val="both"/>
    </w:pPr>
  </w:style>
  <w:style w:type="paragraph" w:customStyle="1" w:styleId="CharCharChar1Char1">
    <w:name w:val="Char Char Char1 Char1"/>
    <w:basedOn w:val="a2"/>
    <w:qFormat/>
    <w:rPr>
      <w:sz w:val="24"/>
    </w:rPr>
  </w:style>
  <w:style w:type="paragraph" w:customStyle="1" w:styleId="3fff4">
    <w:name w:val="表题3"/>
    <w:basedOn w:val="a2"/>
    <w:uiPriority w:val="99"/>
    <w:qFormat/>
    <w:pPr>
      <w:snapToGrid w:val="0"/>
      <w:spacing w:before="180" w:after="60"/>
      <w:jc w:val="center"/>
    </w:pPr>
    <w:rPr>
      <w:b/>
    </w:rPr>
  </w:style>
  <w:style w:type="paragraph" w:customStyle="1" w:styleId="043">
    <w:name w:val="样式 样式 正文缩进正文（首行缩进两字）文本条款 + 段前: 0.4 行 + 非加粗"/>
    <w:basedOn w:val="041"/>
    <w:uiPriority w:val="99"/>
    <w:qFormat/>
    <w:pPr>
      <w:tabs>
        <w:tab w:val="left" w:pos="3360"/>
      </w:tabs>
      <w:ind w:left="-7" w:firstLine="567"/>
    </w:pPr>
    <w:rPr>
      <w:rFonts w:eastAsia="宋体"/>
      <w:b w:val="0"/>
      <w:sz w:val="24"/>
    </w:rPr>
  </w:style>
  <w:style w:type="paragraph" w:customStyle="1" w:styleId="2ffff9">
    <w:name w:val="样式 正文(缩进) + 首行缩进:  2 字符"/>
    <w:basedOn w:val="a2"/>
    <w:uiPriority w:val="99"/>
    <w:qFormat/>
    <w:pPr>
      <w:spacing w:line="360" w:lineRule="auto"/>
      <w:ind w:firstLineChars="200" w:firstLine="480"/>
      <w:jc w:val="both"/>
    </w:pPr>
    <w:rPr>
      <w:rFonts w:cs="宋体"/>
      <w:sz w:val="24"/>
    </w:rPr>
  </w:style>
  <w:style w:type="paragraph" w:customStyle="1" w:styleId="CharCharCharCharChar50">
    <w:name w:val="Char Char Char Char Char5"/>
    <w:basedOn w:val="a2"/>
    <w:uiPriority w:val="99"/>
    <w:qFormat/>
    <w:pPr>
      <w:jc w:val="both"/>
    </w:pPr>
  </w:style>
  <w:style w:type="paragraph" w:customStyle="1" w:styleId="2ffffa">
    <w:name w:val="字元 字元2"/>
    <w:basedOn w:val="a2"/>
    <w:uiPriority w:val="99"/>
    <w:qFormat/>
    <w:pPr>
      <w:jc w:val="both"/>
    </w:pPr>
    <w:rPr>
      <w:rFonts w:ascii="Times New Roman"/>
    </w:rPr>
  </w:style>
  <w:style w:type="paragraph" w:customStyle="1" w:styleId="Char1CharCharCharCharCharCharCharCharChar4">
    <w:name w:val="Char1 Char Char Char Char Char Char Char Char Char4"/>
    <w:basedOn w:val="a2"/>
    <w:pPr>
      <w:jc w:val="both"/>
    </w:pPr>
  </w:style>
  <w:style w:type="paragraph" w:customStyle="1" w:styleId="0010">
    <w:name w:val="表格001"/>
    <w:basedOn w:val="a2"/>
    <w:qFormat/>
    <w:pPr>
      <w:jc w:val="center"/>
    </w:pPr>
  </w:style>
  <w:style w:type="paragraph" w:customStyle="1" w:styleId="CM42">
    <w:name w:val="CM42"/>
    <w:basedOn w:val="Default"/>
    <w:next w:val="Default"/>
    <w:uiPriority w:val="99"/>
    <w:qFormat/>
    <w:pPr>
      <w:spacing w:beforeLines="0" w:before="0" w:afterLines="0" w:after="0" w:line="500" w:lineRule="atLeast"/>
      <w:ind w:firstLineChars="0" w:firstLine="0"/>
    </w:pPr>
    <w:rPr>
      <w:rFonts w:ascii="黑体" w:eastAsia="黑体" w:cs="Times New Roman"/>
      <w:color w:val="auto"/>
    </w:rPr>
  </w:style>
  <w:style w:type="paragraph" w:customStyle="1" w:styleId="Char1CharCharCharCharCharCharCharCharCharCharCharCharCharCharChar">
    <w:name w:val="Char1 Char Char Char Char Char Char Char Char Char Char Char Char Char Char Char"/>
    <w:basedOn w:val="a2"/>
    <w:uiPriority w:val="99"/>
    <w:qFormat/>
    <w:pPr>
      <w:jc w:val="both"/>
    </w:pPr>
  </w:style>
  <w:style w:type="paragraph" w:customStyle="1" w:styleId="Style25">
    <w:name w:val="_Style 25"/>
    <w:basedOn w:val="a2"/>
    <w:next w:val="1ffff9"/>
    <w:uiPriority w:val="99"/>
    <w:qFormat/>
    <w:pPr>
      <w:spacing w:before="100" w:beforeAutospacing="1" w:after="100" w:afterAutospacing="1"/>
    </w:pPr>
    <w:rPr>
      <w:rFonts w:hAnsi="宋体" w:hint="eastAsia"/>
      <w:color w:val="000000"/>
      <w:sz w:val="24"/>
    </w:rPr>
  </w:style>
  <w:style w:type="paragraph" w:customStyle="1" w:styleId="13b">
    <w:name w:val="字元13"/>
    <w:basedOn w:val="a2"/>
    <w:uiPriority w:val="99"/>
    <w:qFormat/>
    <w:pPr>
      <w:jc w:val="both"/>
    </w:pPr>
  </w:style>
  <w:style w:type="paragraph" w:customStyle="1" w:styleId="y1">
    <w:name w:val="y表头"/>
    <w:basedOn w:val="af4"/>
    <w:qFormat/>
    <w:pPr>
      <w:tabs>
        <w:tab w:val="left" w:pos="900"/>
      </w:tabs>
      <w:spacing w:after="0"/>
      <w:jc w:val="center"/>
    </w:pPr>
    <w:rPr>
      <w:rFonts w:ascii="宋体" w:eastAsia="楷体_GB2312" w:hAnsi="宋体"/>
      <w:b/>
      <w:sz w:val="24"/>
    </w:rPr>
  </w:style>
  <w:style w:type="paragraph" w:customStyle="1" w:styleId="09">
    <w:name w:val="样式 谏壁统稿表格内文字 + 左  0 字符"/>
    <w:basedOn w:val="a2"/>
    <w:qFormat/>
    <w:pPr>
      <w:snapToGrid w:val="0"/>
      <w:spacing w:line="0" w:lineRule="atLeast"/>
      <w:jc w:val="center"/>
    </w:pPr>
    <w:rPr>
      <w:rFonts w:cs="宋体"/>
    </w:rPr>
  </w:style>
  <w:style w:type="paragraph" w:customStyle="1" w:styleId="322">
    <w:name w:val="正文文本缩进 32"/>
    <w:basedOn w:val="a2"/>
    <w:uiPriority w:val="99"/>
    <w:qFormat/>
    <w:pPr>
      <w:spacing w:after="120" w:line="360" w:lineRule="auto"/>
      <w:ind w:firstLine="567"/>
      <w:jc w:val="both"/>
      <w:textAlignment w:val="baseline"/>
    </w:pPr>
    <w:rPr>
      <w:rFonts w:ascii="楷体_GB2312"/>
    </w:rPr>
  </w:style>
  <w:style w:type="paragraph" w:customStyle="1" w:styleId="xl75">
    <w:name w:val="xl75"/>
    <w:basedOn w:val="a2"/>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afffffffffffffffffffffffff0">
    <w:name w:val="一"/>
    <w:basedOn w:val="22"/>
    <w:uiPriority w:val="99"/>
    <w:qFormat/>
    <w:pPr>
      <w:keepNext w:val="0"/>
      <w:keepLines w:val="0"/>
      <w:spacing w:before="0" w:after="0" w:line="360" w:lineRule="auto"/>
      <w:ind w:left="425" w:hanging="425"/>
    </w:pPr>
    <w:rPr>
      <w:rFonts w:ascii="Times New Roman" w:eastAsia="宋体" w:hAnsi="Times New Roman" w:cs="Times New Roman"/>
      <w:bCs w:val="0"/>
      <w:kern w:val="44"/>
      <w:sz w:val="30"/>
      <w:szCs w:val="28"/>
    </w:rPr>
  </w:style>
  <w:style w:type="paragraph" w:customStyle="1" w:styleId="CM34">
    <w:name w:val="CM34"/>
    <w:basedOn w:val="Default"/>
    <w:next w:val="Default"/>
    <w:pPr>
      <w:spacing w:beforeLines="0" w:before="0" w:afterLines="0" w:after="0" w:line="500" w:lineRule="atLeast"/>
      <w:ind w:firstLineChars="0" w:firstLine="0"/>
      <w:jc w:val="both"/>
    </w:pPr>
    <w:rPr>
      <w:rFonts w:ascii="黑体" w:eastAsia="黑体" w:cs="Times New Roman"/>
      <w:color w:val="auto"/>
    </w:rPr>
  </w:style>
  <w:style w:type="paragraph" w:customStyle="1" w:styleId="CharCharChar1CharCharCharChar10">
    <w:name w:val="Char Char Char1 Char Char Char Char10"/>
    <w:basedOn w:val="a2"/>
    <w:uiPriority w:val="99"/>
    <w:qFormat/>
    <w:pPr>
      <w:spacing w:line="360" w:lineRule="auto"/>
      <w:jc w:val="both"/>
    </w:pPr>
  </w:style>
  <w:style w:type="paragraph" w:customStyle="1" w:styleId="1115">
    <w:name w:val="样式 标题 1章标题 1 + 黑色 行距: 1.5 倍行距"/>
    <w:basedOn w:val="12"/>
    <w:uiPriority w:val="99"/>
    <w:qFormat/>
    <w:pPr>
      <w:snapToGrid w:val="0"/>
      <w:spacing w:before="340" w:after="330"/>
      <w:jc w:val="both"/>
      <w:textAlignment w:val="auto"/>
    </w:pPr>
    <w:rPr>
      <w:rFonts w:eastAsia="宋体"/>
      <w:color w:val="000000"/>
      <w:sz w:val="44"/>
      <w:szCs w:val="44"/>
    </w:rPr>
  </w:style>
  <w:style w:type="paragraph" w:customStyle="1" w:styleId="CharCharCharChar80">
    <w:name w:val="Char Char Char Char8"/>
    <w:basedOn w:val="a2"/>
    <w:rPr>
      <w:sz w:val="24"/>
    </w:rPr>
  </w:style>
  <w:style w:type="paragraph" w:customStyle="1" w:styleId="CharCharChar1CharCharCharCharCharCharCharCharCharChar">
    <w:name w:val="Char Char Char1 Char Char Char Char Char Char Char Char Char Char"/>
    <w:basedOn w:val="a2"/>
    <w:pPr>
      <w:autoSpaceDE/>
      <w:autoSpaceDN/>
      <w:adjustRightInd/>
      <w:spacing w:line="440" w:lineRule="exact"/>
      <w:ind w:firstLineChars="200" w:firstLine="560"/>
      <w:jc w:val="both"/>
    </w:pPr>
    <w:rPr>
      <w:rFonts w:ascii="仿宋_GB2312" w:eastAsia="仿宋_GB2312"/>
      <w:szCs w:val="28"/>
    </w:rPr>
  </w:style>
  <w:style w:type="paragraph" w:customStyle="1" w:styleId="afffffffffffffffffffffffff1">
    <w:name w:val="样式 首行缩进正文 + 小四"/>
    <w:basedOn w:val="a2"/>
    <w:uiPriority w:val="99"/>
    <w:qFormat/>
    <w:pPr>
      <w:snapToGrid w:val="0"/>
      <w:spacing w:beforeLines="50" w:before="156" w:line="360" w:lineRule="auto"/>
      <w:ind w:firstLineChars="200" w:firstLine="480"/>
      <w:jc w:val="both"/>
    </w:pPr>
    <w:rPr>
      <w:sz w:val="24"/>
    </w:rPr>
  </w:style>
  <w:style w:type="paragraph" w:customStyle="1" w:styleId="3Charf">
    <w:name w:val="标题 3 Char ... + 段..."/>
    <w:basedOn w:val="a2"/>
    <w:uiPriority w:val="99"/>
    <w:semiHidden/>
    <w:qFormat/>
    <w:pPr>
      <w:keepNext/>
      <w:keepLines/>
      <w:spacing w:beforeLines="50" w:afterLines="50" w:line="360" w:lineRule="auto"/>
      <w:jc w:val="both"/>
      <w:outlineLvl w:val="2"/>
    </w:pPr>
    <w:rPr>
      <w:rFonts w:ascii="新宋体" w:eastAsia="新宋体" w:hAnsi="新宋体" w:cs="新宋体"/>
      <w:b/>
      <w:bCs/>
    </w:rPr>
  </w:style>
  <w:style w:type="paragraph" w:customStyle="1" w:styleId="202">
    <w:name w:val="样式 样式 小四 行距: 固定值 20 磅 + (符号) 宋体"/>
    <w:basedOn w:val="a2"/>
    <w:uiPriority w:val="99"/>
    <w:qFormat/>
    <w:pPr>
      <w:spacing w:line="400" w:lineRule="exact"/>
    </w:pPr>
    <w:rPr>
      <w:rFonts w:cs="宋体"/>
      <w:sz w:val="24"/>
    </w:rPr>
  </w:style>
  <w:style w:type="paragraph" w:customStyle="1" w:styleId="CM94">
    <w:name w:val="CM94"/>
    <w:basedOn w:val="Default"/>
    <w:next w:val="Default"/>
    <w:pPr>
      <w:spacing w:beforeLines="0" w:before="0" w:afterLines="0" w:after="0" w:line="240" w:lineRule="auto"/>
      <w:ind w:firstLineChars="0" w:firstLine="0"/>
      <w:jc w:val="both"/>
    </w:pPr>
    <w:rPr>
      <w:rFonts w:ascii="黑体" w:eastAsia="黑体" w:cs="Times New Roman"/>
      <w:color w:val="auto"/>
    </w:rPr>
  </w:style>
  <w:style w:type="paragraph" w:customStyle="1" w:styleId="Char120">
    <w:name w:val="Char12"/>
    <w:basedOn w:val="a2"/>
    <w:qFormat/>
    <w:pPr>
      <w:snapToGrid w:val="0"/>
      <w:spacing w:before="120" w:after="120" w:line="360" w:lineRule="auto"/>
      <w:ind w:firstLineChars="200" w:firstLine="200"/>
      <w:jc w:val="both"/>
    </w:pPr>
    <w:rPr>
      <w:rFonts w:ascii="仿宋_GB2312" w:eastAsia="仿宋_GB2312"/>
      <w:b/>
      <w:sz w:val="32"/>
      <w:szCs w:val="32"/>
    </w:rPr>
  </w:style>
  <w:style w:type="paragraph" w:customStyle="1" w:styleId="Char1CharCharCharCharChar4">
    <w:name w:val="Char1 Char Char Char Char Char4"/>
    <w:basedOn w:val="a2"/>
    <w:next w:val="a2"/>
    <w:pPr>
      <w:spacing w:line="360" w:lineRule="auto"/>
      <w:ind w:firstLineChars="200" w:firstLine="200"/>
      <w:jc w:val="center"/>
    </w:pPr>
    <w:rPr>
      <w:rFonts w:eastAsia="黑体"/>
    </w:rPr>
  </w:style>
  <w:style w:type="paragraph" w:customStyle="1" w:styleId="afffffffffffffffffffffffff2">
    <w:name w:val="条文"/>
    <w:basedOn w:val="50"/>
    <w:next w:val="a2"/>
    <w:qFormat/>
    <w:pPr>
      <w:keepNext w:val="0"/>
      <w:tabs>
        <w:tab w:val="clear" w:pos="1008"/>
      </w:tabs>
      <w:spacing w:before="120" w:after="0" w:line="240" w:lineRule="auto"/>
      <w:ind w:left="0" w:firstLine="454"/>
      <w:jc w:val="both"/>
    </w:pPr>
    <w:rPr>
      <w:b w:val="0"/>
      <w:bCs w:val="0"/>
      <w:sz w:val="24"/>
      <w:szCs w:val="20"/>
    </w:rPr>
  </w:style>
  <w:style w:type="paragraph" w:customStyle="1" w:styleId="afffffffffffffffffffffffff3">
    <w:name w:val="图文框"/>
    <w:basedOn w:val="a2"/>
    <w:qFormat/>
    <w:pPr>
      <w:snapToGrid w:val="0"/>
      <w:jc w:val="center"/>
    </w:pPr>
    <w:rPr>
      <w:rFonts w:ascii="宋体" w:hAnsi="宋体"/>
      <w:sz w:val="24"/>
    </w:rPr>
  </w:style>
  <w:style w:type="paragraph" w:customStyle="1" w:styleId="155">
    <w:name w:val="样式 宋体 小四 行距: 1.5 倍行距"/>
    <w:basedOn w:val="a2"/>
    <w:uiPriority w:val="99"/>
    <w:qFormat/>
    <w:pPr>
      <w:spacing w:line="360" w:lineRule="auto"/>
      <w:jc w:val="both"/>
    </w:pPr>
    <w:rPr>
      <w:rFonts w:ascii="宋体" w:hAnsi="宋体" w:cs="宋体"/>
      <w:sz w:val="24"/>
    </w:rPr>
  </w:style>
  <w:style w:type="paragraph" w:customStyle="1" w:styleId="sss">
    <w:name w:val="sss"/>
    <w:basedOn w:val="a2"/>
    <w:qFormat/>
    <w:pPr>
      <w:tabs>
        <w:tab w:val="left" w:pos="480"/>
        <w:tab w:val="left" w:pos="648"/>
      </w:tabs>
      <w:ind w:left="432" w:hanging="144"/>
    </w:pPr>
    <w:rPr>
      <w:rFonts w:ascii="Bookman Old Style" w:hAnsi="Bookman Old Style" w:cs="Arial"/>
      <w:bCs/>
      <w:sz w:val="22"/>
    </w:rPr>
  </w:style>
  <w:style w:type="paragraph" w:customStyle="1" w:styleId="Fu01">
    <w:name w:val="样式Fu01"/>
    <w:basedOn w:val="a2"/>
    <w:uiPriority w:val="99"/>
    <w:qFormat/>
    <w:pPr>
      <w:spacing w:before="40" w:after="40" w:line="0" w:lineRule="atLeast"/>
    </w:pPr>
    <w:rPr>
      <w:rFonts w:ascii="幼圆" w:eastAsia="幼圆"/>
      <w:snapToGrid w:val="0"/>
    </w:rPr>
  </w:style>
  <w:style w:type="paragraph" w:customStyle="1" w:styleId="CharCharCharCharChar40">
    <w:name w:val="Char Char Char Char Char4"/>
    <w:basedOn w:val="a2"/>
    <w:uiPriority w:val="99"/>
    <w:qFormat/>
    <w:pPr>
      <w:jc w:val="both"/>
    </w:pPr>
    <w:rPr>
      <w:rFonts w:ascii="Times New Roman"/>
    </w:rPr>
  </w:style>
  <w:style w:type="paragraph" w:customStyle="1" w:styleId="128014">
    <w:name w:val="样式 样式 左  1.28 字符 + 首行缩进:  0.14 字符"/>
    <w:basedOn w:val="a2"/>
    <w:uiPriority w:val="99"/>
    <w:qFormat/>
    <w:pPr>
      <w:spacing w:before="240" w:line="360" w:lineRule="auto"/>
      <w:ind w:rightChars="50" w:right="120"/>
      <w:jc w:val="both"/>
    </w:pPr>
    <w:rPr>
      <w:rFonts w:ascii="宋体" w:hAnsi="宋体" w:cs="宋体"/>
      <w:sz w:val="24"/>
    </w:rPr>
  </w:style>
  <w:style w:type="paragraph" w:customStyle="1" w:styleId="X">
    <w:name w:val="表X"/>
    <w:basedOn w:val="af8"/>
    <w:uiPriority w:val="99"/>
    <w:qFormat/>
    <w:pPr>
      <w:keepNext/>
      <w:tabs>
        <w:tab w:val="left" w:pos="1200"/>
        <w:tab w:val="left" w:pos="1680"/>
      </w:tabs>
      <w:spacing w:before="240"/>
      <w:ind w:left="1200" w:hanging="420"/>
    </w:pPr>
    <w:rPr>
      <w:rFonts w:ascii="Courier New"/>
      <w:kern w:val="2"/>
      <w:sz w:val="28"/>
      <w:szCs w:val="20"/>
    </w:rPr>
  </w:style>
  <w:style w:type="paragraph" w:customStyle="1" w:styleId="textblack15">
    <w:name w:val="text_black15"/>
    <w:basedOn w:val="a2"/>
    <w:pPr>
      <w:widowControl/>
      <w:autoSpaceDE/>
      <w:autoSpaceDN/>
      <w:adjustRightInd/>
      <w:spacing w:before="100" w:beforeAutospacing="1" w:after="100" w:afterAutospacing="1" w:line="450" w:lineRule="atLeast"/>
      <w:ind w:firstLineChars="200" w:firstLine="200"/>
    </w:pPr>
    <w:rPr>
      <w:rFonts w:ascii="ˎ̥" w:hAnsi="ˎ̥" w:cs="宋体"/>
      <w:color w:val="000000"/>
      <w:sz w:val="23"/>
      <w:szCs w:val="23"/>
    </w:rPr>
  </w:style>
  <w:style w:type="paragraph" w:customStyle="1" w:styleId="1fffffff5">
    <w:name w:val="表格正文1"/>
    <w:basedOn w:val="a2"/>
    <w:uiPriority w:val="99"/>
    <w:qFormat/>
    <w:pPr>
      <w:spacing w:line="360" w:lineRule="auto"/>
      <w:ind w:firstLineChars="200" w:firstLine="480"/>
      <w:jc w:val="center"/>
    </w:pPr>
    <w:rPr>
      <w:sz w:val="24"/>
    </w:rPr>
  </w:style>
  <w:style w:type="paragraph" w:customStyle="1" w:styleId="afffffffffffffffffffffffff4">
    <w:name w:val="表内"/>
    <w:basedOn w:val="a2"/>
    <w:pPr>
      <w:autoSpaceDE/>
      <w:autoSpaceDN/>
      <w:spacing w:line="240" w:lineRule="exact"/>
      <w:jc w:val="center"/>
      <w:textAlignment w:val="baseline"/>
    </w:pPr>
    <w:rPr>
      <w:rFonts w:ascii="Verdana" w:hAnsi="Verdana" w:cs="Verdana"/>
    </w:rPr>
  </w:style>
  <w:style w:type="paragraph" w:customStyle="1" w:styleId="DefinitionTerm">
    <w:name w:val="Definition Term"/>
    <w:basedOn w:val="a2"/>
    <w:next w:val="a2"/>
    <w:uiPriority w:val="99"/>
    <w:qFormat/>
    <w:pPr>
      <w:overflowPunct w:val="0"/>
      <w:textAlignment w:val="baseline"/>
    </w:pPr>
    <w:rPr>
      <w:sz w:val="24"/>
      <w:lang w:val="en-GB"/>
    </w:rPr>
  </w:style>
  <w:style w:type="paragraph" w:customStyle="1" w:styleId="HLZW">
    <w:name w:val="HLZW + (中文)"/>
    <w:basedOn w:val="a2"/>
    <w:uiPriority w:val="99"/>
    <w:qFormat/>
    <w:pPr>
      <w:spacing w:line="500" w:lineRule="exact"/>
      <w:ind w:firstLineChars="200" w:firstLine="480"/>
      <w:jc w:val="both"/>
    </w:pPr>
    <w:rPr>
      <w:rFonts w:eastAsia="仿宋_GB2312" w:cs="宋体"/>
      <w:color w:val="000000"/>
    </w:rPr>
  </w:style>
  <w:style w:type="paragraph" w:customStyle="1" w:styleId="2ffffb">
    <w:name w:val="注释标题2"/>
    <w:basedOn w:val="a2"/>
    <w:next w:val="a2"/>
    <w:uiPriority w:val="99"/>
    <w:qFormat/>
    <w:pPr>
      <w:jc w:val="center"/>
    </w:pPr>
    <w:rPr>
      <w:sz w:val="20"/>
    </w:rPr>
  </w:style>
  <w:style w:type="paragraph" w:customStyle="1" w:styleId="40">
    <w:name w:val="陈标题4"/>
    <w:basedOn w:val="a2"/>
    <w:next w:val="a2"/>
    <w:uiPriority w:val="99"/>
    <w:qFormat/>
    <w:pPr>
      <w:keepNext/>
      <w:keepLines/>
      <w:numPr>
        <w:ilvl w:val="3"/>
        <w:numId w:val="4"/>
      </w:numPr>
      <w:spacing w:line="360" w:lineRule="auto"/>
      <w:ind w:left="0"/>
      <w:jc w:val="both"/>
      <w:outlineLvl w:val="3"/>
    </w:pPr>
    <w:rPr>
      <w:b/>
      <w:sz w:val="24"/>
      <w:szCs w:val="28"/>
    </w:rPr>
  </w:style>
  <w:style w:type="paragraph" w:customStyle="1" w:styleId="Char100">
    <w:name w:val="Char10"/>
    <w:basedOn w:val="a2"/>
    <w:uiPriority w:val="99"/>
    <w:qFormat/>
    <w:pPr>
      <w:jc w:val="both"/>
    </w:pPr>
    <w:rPr>
      <w:rFonts w:ascii="Times New Roman"/>
    </w:rPr>
  </w:style>
  <w:style w:type="paragraph" w:customStyle="1" w:styleId="11f4">
    <w:name w:val="正文缩进11"/>
    <w:basedOn w:val="a2"/>
    <w:uiPriority w:val="99"/>
    <w:qFormat/>
    <w:pPr>
      <w:ind w:firstLineChars="200" w:firstLine="420"/>
      <w:jc w:val="both"/>
    </w:pPr>
  </w:style>
  <w:style w:type="paragraph" w:customStyle="1" w:styleId="1fffffff6">
    <w:name w:val="宏文本1"/>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font14">
    <w:name w:val="font14"/>
    <w:basedOn w:val="a2"/>
    <w:qFormat/>
    <w:pPr>
      <w:spacing w:before="100" w:beforeAutospacing="1" w:after="100" w:afterAutospacing="1"/>
    </w:pPr>
    <w:rPr>
      <w:rFonts w:ascii="宋体" w:hAnsi="宋体" w:cs="宋体"/>
      <w:b/>
      <w:bCs/>
      <w:sz w:val="24"/>
    </w:rPr>
  </w:style>
  <w:style w:type="paragraph" w:customStyle="1" w:styleId="CharCharCharCharCharCharCharCharChar1CharCharCharCharCharCharCharCharChar1CharCharCharCharCharCharCharCharCharChar">
    <w:name w:val="Char Char Char Char Char Char Char Char Char1 Char Char Char Char Char Char Char Char Char1 Char Char Char Char Char Char Char Char Char Char"/>
    <w:basedOn w:val="a2"/>
    <w:pPr>
      <w:jc w:val="both"/>
    </w:pPr>
    <w:rPr>
      <w:sz w:val="24"/>
    </w:rPr>
  </w:style>
  <w:style w:type="paragraph" w:customStyle="1" w:styleId="CharCharCharCharCharCharCharCharChar1CharCharChar4">
    <w:name w:val="Char Char Char Char Char Char Char Char Char1 Char Char Char4"/>
    <w:basedOn w:val="a2"/>
    <w:pPr>
      <w:jc w:val="both"/>
    </w:pPr>
    <w:rPr>
      <w:sz w:val="24"/>
    </w:rPr>
  </w:style>
  <w:style w:type="paragraph" w:customStyle="1" w:styleId="afffffffffffffffffffffffff5">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3chen">
    <w:name w:val="谏壁标题3（chen）"/>
    <w:basedOn w:val="a2"/>
    <w:qFormat/>
    <w:pPr>
      <w:keepNext/>
      <w:keepLines/>
      <w:spacing w:before="100" w:after="120" w:line="360" w:lineRule="auto"/>
      <w:outlineLvl w:val="2"/>
    </w:pPr>
    <w:rPr>
      <w:rFonts w:eastAsia="黑体"/>
      <w:sz w:val="30"/>
      <w:szCs w:val="32"/>
    </w:rPr>
  </w:style>
  <w:style w:type="paragraph" w:customStyle="1" w:styleId="CharChar1CharCharCharChar11">
    <w:name w:val="Char Char1 Char Char Char Char11"/>
    <w:basedOn w:val="a2"/>
    <w:uiPriority w:val="99"/>
    <w:qFormat/>
    <w:pPr>
      <w:jc w:val="both"/>
    </w:pPr>
  </w:style>
  <w:style w:type="paragraph" w:customStyle="1" w:styleId="3h3H3level3PIM3Level3HeadHeading3-oldsect12">
    <w:name w:val="样式 标题 3h3H3level_3PIM 3Level 3 HeadHeading 3 - oldsect1.2..."/>
    <w:basedOn w:val="32"/>
    <w:uiPriority w:val="99"/>
    <w:qFormat/>
    <w:pPr>
      <w:keepNext w:val="0"/>
      <w:keepLines w:val="0"/>
      <w:spacing w:before="120" w:after="120" w:line="400" w:lineRule="exact"/>
      <w:ind w:firstLine="601"/>
      <w:jc w:val="both"/>
    </w:pPr>
    <w:rPr>
      <w:rFonts w:ascii="Times New Roman"/>
      <w:bCs w:val="0"/>
      <w:spacing w:val="8"/>
      <w:sz w:val="28"/>
      <w:szCs w:val="20"/>
    </w:rPr>
  </w:style>
  <w:style w:type="paragraph" w:customStyle="1" w:styleId="CharCharCharCharCharCharChar30">
    <w:name w:val="Char Char Char Char Char Char Char3"/>
    <w:basedOn w:val="a2"/>
    <w:qFormat/>
    <w:pPr>
      <w:spacing w:line="360" w:lineRule="atLeast"/>
      <w:jc w:val="both"/>
      <w:textAlignment w:val="baseline"/>
    </w:pPr>
    <w:rPr>
      <w:rFonts w:hAnsi="Arial" w:cs="Arial"/>
      <w:sz w:val="20"/>
    </w:rPr>
  </w:style>
  <w:style w:type="paragraph" w:customStyle="1" w:styleId="Char1CharCharCharCharChar1">
    <w:name w:val="Char1 Char Char Char Char Char1"/>
    <w:basedOn w:val="a2"/>
    <w:next w:val="a2"/>
    <w:uiPriority w:val="99"/>
    <w:qFormat/>
    <w:pPr>
      <w:spacing w:line="360" w:lineRule="auto"/>
      <w:ind w:firstLineChars="200" w:firstLine="200"/>
      <w:jc w:val="center"/>
    </w:pPr>
    <w:rPr>
      <w:rFonts w:eastAsia="黑体"/>
    </w:rPr>
  </w:style>
  <w:style w:type="paragraph" w:customStyle="1" w:styleId="3fff5">
    <w:name w:val="字元3"/>
    <w:basedOn w:val="a2"/>
    <w:pPr>
      <w:jc w:val="both"/>
    </w:pPr>
    <w:rPr>
      <w:sz w:val="24"/>
    </w:rPr>
  </w:style>
  <w:style w:type="paragraph" w:customStyle="1" w:styleId="CharCharCharChar1CharCharCharCharCharChar1">
    <w:name w:val="Char Char Char Char1 Char Char Char Char Char Char1"/>
    <w:basedOn w:val="a2"/>
    <w:next w:val="a2"/>
    <w:uiPriority w:val="99"/>
    <w:qFormat/>
    <w:pPr>
      <w:spacing w:line="360" w:lineRule="auto"/>
      <w:ind w:firstLineChars="200" w:firstLine="200"/>
      <w:jc w:val="both"/>
    </w:pPr>
    <w:rPr>
      <w:rFonts w:ascii="宋体" w:hAnsi="宋体" w:cs="宋体"/>
      <w:sz w:val="24"/>
    </w:rPr>
  </w:style>
  <w:style w:type="paragraph" w:customStyle="1" w:styleId="paragraphindent1">
    <w:name w:val="paragraphindent1"/>
    <w:basedOn w:val="a2"/>
    <w:uiPriority w:val="99"/>
    <w:qFormat/>
    <w:pPr>
      <w:ind w:firstLine="480"/>
    </w:pPr>
    <w:rPr>
      <w:rFonts w:ascii="ˎ̥" w:hAnsi="ˎ̥" w:cs="宋体"/>
      <w:sz w:val="24"/>
    </w:rPr>
  </w:style>
  <w:style w:type="paragraph" w:customStyle="1" w:styleId="CM77">
    <w:name w:val="CM77"/>
    <w:basedOn w:val="Default"/>
    <w:next w:val="Default"/>
    <w:uiPriority w:val="99"/>
    <w:qFormat/>
    <w:pPr>
      <w:spacing w:beforeLines="0" w:before="0" w:afterLines="0" w:after="205" w:line="240" w:lineRule="auto"/>
      <w:ind w:firstLineChars="0" w:firstLine="0"/>
    </w:pPr>
    <w:rPr>
      <w:rFonts w:ascii="IINFIO+TimesNewRoman" w:eastAsia="IINFIO+TimesNewRoman" w:cs="Times New Roman"/>
      <w:color w:val="auto"/>
    </w:rPr>
  </w:style>
  <w:style w:type="paragraph" w:customStyle="1" w:styleId="CharChar3Char1">
    <w:name w:val="Char Char3 Char1"/>
    <w:basedOn w:val="a2"/>
    <w:next w:val="a2"/>
    <w:uiPriority w:val="99"/>
    <w:qFormat/>
    <w:pPr>
      <w:spacing w:line="360" w:lineRule="auto"/>
      <w:ind w:firstLineChars="200" w:firstLine="200"/>
      <w:jc w:val="center"/>
    </w:pPr>
    <w:rPr>
      <w:rFonts w:eastAsia="黑体"/>
    </w:rPr>
  </w:style>
  <w:style w:type="paragraph" w:customStyle="1" w:styleId="CM38">
    <w:name w:val="CM38"/>
    <w:basedOn w:val="Default"/>
    <w:next w:val="Default"/>
    <w:uiPriority w:val="99"/>
    <w:qFormat/>
    <w:pPr>
      <w:spacing w:beforeLines="0" w:before="0" w:afterLines="0" w:after="0" w:line="500" w:lineRule="atLeast"/>
      <w:ind w:firstLineChars="0" w:firstLine="0"/>
    </w:pPr>
    <w:rPr>
      <w:rFonts w:ascii="黑体" w:eastAsia="黑体" w:cs="Times New Roman"/>
      <w:color w:val="auto"/>
    </w:rPr>
  </w:style>
  <w:style w:type="paragraph" w:customStyle="1" w:styleId="660">
    <w:name w:val="样式 (西文) 宋体 段前: 6 磅 段后: 6 磅"/>
    <w:basedOn w:val="a2"/>
    <w:qFormat/>
    <w:pPr>
      <w:spacing w:before="120" w:after="120" w:line="500" w:lineRule="exact"/>
      <w:jc w:val="both"/>
    </w:pPr>
    <w:rPr>
      <w:rFonts w:ascii="宋体" w:eastAsia="仿宋_GB2312" w:hAnsi="宋体" w:cs="宋体"/>
    </w:rPr>
  </w:style>
  <w:style w:type="paragraph" w:customStyle="1" w:styleId="afffffffffffffffffffffffff6">
    <w:name w:val="正文小四 标准"/>
    <w:basedOn w:val="a2"/>
    <w:uiPriority w:val="99"/>
    <w:qFormat/>
    <w:pPr>
      <w:spacing w:beforeLines="50" w:afterLines="50" w:line="360" w:lineRule="auto"/>
      <w:ind w:firstLineChars="200" w:firstLine="480"/>
      <w:jc w:val="both"/>
    </w:pPr>
    <w:rPr>
      <w:sz w:val="24"/>
    </w:rPr>
  </w:style>
  <w:style w:type="paragraph" w:customStyle="1" w:styleId="1fffffff7">
    <w:name w:val="表格样式1"/>
    <w:basedOn w:val="a2"/>
    <w:next w:val="a2"/>
    <w:qFormat/>
    <w:pPr>
      <w:spacing w:line="40" w:lineRule="atLeast"/>
      <w:jc w:val="center"/>
    </w:pPr>
    <w:rPr>
      <w:rFonts w:hAnsi="宋体"/>
      <w:sz w:val="24"/>
    </w:rPr>
  </w:style>
  <w:style w:type="paragraph" w:customStyle="1" w:styleId="221121H2SeHeadwsa211">
    <w:name w:val="样式 标题 2标题 21标题 121节H2SeHead wsa2标题 1.1 + 黑体 四号 非加粗"/>
    <w:basedOn w:val="22"/>
    <w:uiPriority w:val="99"/>
    <w:qFormat/>
    <w:pPr>
      <w:keepNext w:val="0"/>
      <w:keepLines w:val="0"/>
      <w:numPr>
        <w:ilvl w:val="1"/>
        <w:numId w:val="5"/>
      </w:numPr>
      <w:snapToGrid w:val="0"/>
      <w:jc w:val="both"/>
    </w:pPr>
    <w:rPr>
      <w:rFonts w:ascii="黑体" w:eastAsia="黑体" w:hAnsi="黑体" w:cs="Times New Roman"/>
      <w:b w:val="0"/>
      <w:bCs w:val="0"/>
      <w:color w:val="000000"/>
      <w:sz w:val="28"/>
    </w:rPr>
  </w:style>
  <w:style w:type="paragraph" w:customStyle="1" w:styleId="CharCharCharCharCharCharCharCharChar1CharCharCharCharCharChar13">
    <w:name w:val="Char Char Char Char Char Char Char Char Char1 Char Char Char Char Char Char13"/>
    <w:basedOn w:val="a2"/>
    <w:pPr>
      <w:jc w:val="both"/>
    </w:pPr>
  </w:style>
  <w:style w:type="paragraph" w:customStyle="1" w:styleId="2ffffc">
    <w:name w:val="纯文本2"/>
    <w:basedOn w:val="a2"/>
    <w:uiPriority w:val="99"/>
    <w:qFormat/>
    <w:pPr>
      <w:snapToGrid w:val="0"/>
      <w:spacing w:line="360" w:lineRule="auto"/>
      <w:ind w:firstLineChars="218" w:firstLine="523"/>
      <w:textAlignment w:val="baseline"/>
    </w:pPr>
    <w:rPr>
      <w:rFonts w:ascii="宋体" w:hAnsi="宋体"/>
      <w:color w:val="000000"/>
      <w:sz w:val="24"/>
    </w:rPr>
  </w:style>
  <w:style w:type="paragraph" w:customStyle="1" w:styleId="afffffffffffffffffffffffff7">
    <w:name w:val="项目编号"/>
    <w:basedOn w:val="a2"/>
    <w:next w:val="a2"/>
    <w:qFormat/>
    <w:pPr>
      <w:spacing w:before="120" w:after="120" w:line="360" w:lineRule="auto"/>
    </w:pPr>
    <w:rPr>
      <w:sz w:val="24"/>
    </w:rPr>
  </w:style>
  <w:style w:type="paragraph" w:customStyle="1" w:styleId="4TimesNewRoman">
    <w:name w:val="样式 标题 4 + (西文) Times New Roman (中文) 宋体 小四"/>
    <w:basedOn w:val="41"/>
    <w:qFormat/>
    <w:pPr>
      <w:tabs>
        <w:tab w:val="left" w:pos="1021"/>
        <w:tab w:val="left" w:pos="1247"/>
      </w:tabs>
      <w:snapToGrid w:val="0"/>
      <w:spacing w:beforeLines="25" w:before="78" w:afterLines="25" w:after="78"/>
      <w:ind w:left="964" w:rightChars="0" w:right="0" w:hanging="964"/>
    </w:pPr>
    <w:rPr>
      <w:rFonts w:ascii="华文中宋" w:eastAsia="华文中宋" w:hAnsi="华文中宋"/>
      <w:bCs w:val="0"/>
      <w:color w:val="0000FF"/>
      <w:sz w:val="24"/>
      <w:szCs w:val="24"/>
    </w:rPr>
  </w:style>
  <w:style w:type="paragraph" w:customStyle="1" w:styleId="afffffffffffffffffffffffff8">
    <w:name w:val="谏壁表"/>
    <w:basedOn w:val="TableTitle"/>
    <w:qFormat/>
    <w:pPr>
      <w:spacing w:beforeLines="0" w:afterLines="0" w:after="0"/>
    </w:pPr>
    <w:rPr>
      <w:b/>
    </w:rPr>
  </w:style>
  <w:style w:type="paragraph" w:customStyle="1" w:styleId="font6">
    <w:name w:val="font6"/>
    <w:basedOn w:val="a2"/>
    <w:qFormat/>
    <w:pPr>
      <w:widowControl/>
      <w:spacing w:before="100" w:beforeAutospacing="1" w:after="100" w:afterAutospacing="1"/>
    </w:pPr>
    <w:rPr>
      <w:rFonts w:ascii="宋体" w:hAnsi="宋体" w:cs="Arial Unicode MS" w:hint="eastAsia"/>
      <w:sz w:val="18"/>
      <w:szCs w:val="18"/>
    </w:rPr>
  </w:style>
  <w:style w:type="paragraph" w:customStyle="1" w:styleId="33H3h33rdlevel3CharChar35">
    <w:name w:val="样式 标题 3标题3H3h33rd level第二层条头标题 3 Char Char小标题小节标题标题 3 ...5"/>
    <w:basedOn w:val="32"/>
    <w:uiPriority w:val="99"/>
    <w:qFormat/>
    <w:pPr>
      <w:keepLines w:val="0"/>
      <w:tabs>
        <w:tab w:val="left" w:pos="1260"/>
      </w:tabs>
      <w:spacing w:before="156" w:after="120" w:line="264" w:lineRule="auto"/>
      <w:ind w:left="1260" w:hanging="720"/>
      <w:textAlignment w:val="baseline"/>
    </w:pPr>
    <w:rPr>
      <w:rFonts w:ascii="Times New Roman" w:eastAsia="仿宋_GB2312" w:cs="宋体"/>
      <w:b w:val="0"/>
      <w:bCs w:val="0"/>
      <w:sz w:val="24"/>
      <w:szCs w:val="20"/>
    </w:rPr>
  </w:style>
  <w:style w:type="paragraph" w:customStyle="1" w:styleId="3fff6">
    <w:name w:val="表格 3"/>
    <w:basedOn w:val="a2"/>
    <w:qFormat/>
    <w:pPr>
      <w:jc w:val="center"/>
    </w:pPr>
  </w:style>
  <w:style w:type="paragraph" w:customStyle="1" w:styleId="3BookmanOldStyle">
    <w:name w:val="标题 3 + (西文) Bookman Old Style"/>
    <w:basedOn w:val="22"/>
    <w:uiPriority w:val="99"/>
    <w:qFormat/>
    <w:pPr>
      <w:keepLines w:val="0"/>
      <w:spacing w:before="0" w:after="0" w:line="560" w:lineRule="exact"/>
      <w:jc w:val="both"/>
    </w:pPr>
    <w:rPr>
      <w:rFonts w:ascii="Bookman Old Style" w:eastAsia="宋体" w:hAnsi="Bookman Old Style" w:cs="Times New Roman"/>
      <w:b w:val="0"/>
      <w:sz w:val="30"/>
      <w:szCs w:val="30"/>
    </w:rPr>
  </w:style>
  <w:style w:type="paragraph" w:customStyle="1" w:styleId="11f5">
    <w:name w:val="宏文本11"/>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kern w:val="2"/>
      <w:sz w:val="24"/>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2"/>
    <w:uiPriority w:val="99"/>
    <w:qFormat/>
    <w:pPr>
      <w:spacing w:line="240" w:lineRule="exact"/>
      <w:ind w:firstLineChars="200" w:firstLine="200"/>
      <w:jc w:val="both"/>
    </w:pPr>
    <w:rPr>
      <w:szCs w:val="28"/>
    </w:rPr>
  </w:style>
  <w:style w:type="paragraph" w:customStyle="1" w:styleId="CharCharCharCharCharCharCharCharChar3">
    <w:name w:val="样式 纯文本纯文本 Char Char Char纯文本 Char Char纯文本 Char Char Char Char ..."/>
    <w:basedOn w:val="af8"/>
    <w:uiPriority w:val="99"/>
    <w:qFormat/>
    <w:pPr>
      <w:spacing w:line="360" w:lineRule="auto"/>
      <w:ind w:firstLineChars="200" w:firstLine="200"/>
      <w:jc w:val="both"/>
    </w:pPr>
    <w:rPr>
      <w:rFonts w:hAnsi="宋体" w:cs="宋体"/>
      <w:kern w:val="2"/>
      <w:szCs w:val="24"/>
    </w:rPr>
  </w:style>
  <w:style w:type="paragraph" w:customStyle="1" w:styleId="afffffffffffffffffffffffff9">
    <w:name w:val="图注"/>
    <w:basedOn w:val="a2"/>
    <w:next w:val="a2"/>
    <w:qFormat/>
    <w:pPr>
      <w:spacing w:before="60"/>
      <w:jc w:val="center"/>
    </w:pPr>
    <w:rPr>
      <w:rFonts w:ascii="宋体" w:hAnsi="宋体"/>
      <w:color w:val="0000FF"/>
      <w:sz w:val="24"/>
    </w:rPr>
  </w:style>
  <w:style w:type="paragraph" w:customStyle="1" w:styleId="xl73">
    <w:name w:val="xl73"/>
    <w:basedOn w:val="a2"/>
    <w:qFormat/>
    <w:pPr>
      <w:pBdr>
        <w:top w:val="single" w:sz="4" w:space="0" w:color="auto"/>
        <w:right w:val="single" w:sz="4" w:space="0" w:color="auto"/>
      </w:pBdr>
      <w:spacing w:before="100" w:beforeAutospacing="1" w:after="100" w:afterAutospacing="1"/>
      <w:jc w:val="center"/>
      <w:textAlignment w:val="center"/>
    </w:pPr>
    <w:rPr>
      <w:rFonts w:ascii="宋体" w:hAnsi="宋体" w:cs="宋体"/>
      <w:sz w:val="24"/>
    </w:rPr>
  </w:style>
  <w:style w:type="paragraph" w:customStyle="1" w:styleId="227">
    <w:name w:val="正文22"/>
    <w:basedOn w:val="a2"/>
    <w:next w:val="a3"/>
    <w:uiPriority w:val="99"/>
    <w:qFormat/>
    <w:pPr>
      <w:snapToGrid w:val="0"/>
      <w:spacing w:line="360" w:lineRule="atLeast"/>
      <w:jc w:val="both"/>
    </w:pPr>
    <w:rPr>
      <w:rFonts w:ascii="宋体" w:eastAsia="黑体" w:hAnsi="宋体"/>
      <w:spacing w:val="5"/>
      <w:sz w:val="32"/>
    </w:rPr>
  </w:style>
  <w:style w:type="paragraph" w:customStyle="1" w:styleId="afffffffffffffffffffffffffa">
    <w:name w:val="表字"/>
    <w:basedOn w:val="a2"/>
    <w:qFormat/>
    <w:pPr>
      <w:jc w:val="center"/>
    </w:pPr>
    <w:rPr>
      <w:rFonts w:ascii="宋体"/>
    </w:rPr>
  </w:style>
  <w:style w:type="paragraph" w:customStyle="1" w:styleId="CharCharChar1CharCharCharCharCharCharChar4">
    <w:name w:val="Char Char Char1 Char Char Char Char Char Char Char4"/>
    <w:basedOn w:val="a2"/>
  </w:style>
  <w:style w:type="paragraph" w:customStyle="1" w:styleId="afffffffffffffffffffffffffb">
    <w:name w:val="正文表格文字"/>
    <w:basedOn w:val="a2"/>
    <w:uiPriority w:val="99"/>
    <w:qFormat/>
    <w:pPr>
      <w:spacing w:line="400" w:lineRule="exact"/>
    </w:pPr>
  </w:style>
  <w:style w:type="paragraph" w:customStyle="1" w:styleId="afffffffffffffffffffffffffc">
    <w:name w:val="表前文"/>
    <w:basedOn w:val="a2"/>
    <w:qFormat/>
    <w:pPr>
      <w:spacing w:after="120" w:line="400" w:lineRule="exact"/>
      <w:ind w:firstLine="601"/>
      <w:textAlignment w:val="baseline"/>
    </w:pPr>
    <w:rPr>
      <w:spacing w:val="8"/>
      <w:szCs w:val="28"/>
    </w:rPr>
  </w:style>
  <w:style w:type="paragraph" w:customStyle="1" w:styleId="CharCharCharCharCharCharCharCharCharCharCharChar1CharCharCharCharCharCharCharCharChar">
    <w:name w:val="Char Char Char Char Char Char Char Char Char Char Char Char1 Char Char Char Char Char Char Char Char Char"/>
    <w:basedOn w:val="a2"/>
    <w:uiPriority w:val="99"/>
    <w:qFormat/>
    <w:pPr>
      <w:spacing w:line="240" w:lineRule="exact"/>
      <w:ind w:firstLineChars="200" w:firstLine="200"/>
      <w:jc w:val="both"/>
    </w:pPr>
    <w:rPr>
      <w:szCs w:val="28"/>
    </w:rPr>
  </w:style>
  <w:style w:type="paragraph" w:customStyle="1" w:styleId="gh">
    <w:name w:val="gh"/>
    <w:basedOn w:val="a2"/>
    <w:qFormat/>
    <w:pPr>
      <w:spacing w:line="360" w:lineRule="auto"/>
      <w:ind w:firstLine="425"/>
    </w:pPr>
    <w:rPr>
      <w:sz w:val="24"/>
    </w:rPr>
  </w:style>
  <w:style w:type="paragraph" w:customStyle="1" w:styleId="CharCharCharCharCharCharCharCharCharCharChar1CharCharCharCharCharCharCharCharCharCharCharCharCharCharCharChar2">
    <w:name w:val="Char Char Char Char Char Char Char Char Char Char Char1 Char Char Char Char Char Char Char Char Char Char Char Char Char Char Char Char2"/>
    <w:basedOn w:val="a2"/>
    <w:uiPriority w:val="99"/>
    <w:qFormat/>
    <w:pPr>
      <w:jc w:val="both"/>
    </w:pPr>
    <w:rPr>
      <w:rFonts w:ascii="Times New Roman"/>
    </w:rPr>
  </w:style>
  <w:style w:type="paragraph" w:customStyle="1" w:styleId="CharChar1CharCharCharChar3">
    <w:name w:val="Char Char1 Char Char Char Char3"/>
    <w:basedOn w:val="a2"/>
    <w:uiPriority w:val="99"/>
    <w:qFormat/>
    <w:pPr>
      <w:jc w:val="both"/>
    </w:pPr>
    <w:rPr>
      <w:rFonts w:ascii="Times New Roman"/>
    </w:rPr>
  </w:style>
  <w:style w:type="paragraph" w:customStyle="1" w:styleId="1fffffff8">
    <w:name w:val="修订1"/>
    <w:uiPriority w:val="99"/>
    <w:qFormat/>
    <w:rPr>
      <w:rFonts w:ascii="Times New Roman" w:eastAsia="宋体" w:hAnsi="Times New Roman" w:cs="Times New Roman"/>
      <w:kern w:val="2"/>
      <w:sz w:val="21"/>
      <w:szCs w:val="24"/>
    </w:rPr>
  </w:style>
  <w:style w:type="paragraph" w:customStyle="1" w:styleId="CharCharChar2CharCharCharCharCharCharCharCharCharChar4">
    <w:name w:val="Char Char Char2 Char Char Char Char Char Char Char Char Char Char4"/>
    <w:basedOn w:val="a2"/>
    <w:uiPriority w:val="99"/>
    <w:qFormat/>
    <w:pPr>
      <w:jc w:val="both"/>
    </w:pPr>
  </w:style>
  <w:style w:type="paragraph" w:customStyle="1" w:styleId="2ffffd">
    <w:name w:val="列表2"/>
    <w:basedOn w:val="a2"/>
    <w:uiPriority w:val="99"/>
    <w:qFormat/>
    <w:pPr>
      <w:spacing w:line="360" w:lineRule="exact"/>
      <w:jc w:val="center"/>
    </w:pPr>
    <w:rPr>
      <w:rFonts w:eastAsia="仿宋_GB2312" w:hint="eastAsia"/>
      <w:sz w:val="24"/>
    </w:rPr>
  </w:style>
  <w:style w:type="paragraph" w:customStyle="1" w:styleId="xl51">
    <w:name w:val="xl51"/>
    <w:basedOn w:val="a2"/>
    <w:qFormat/>
    <w:pPr>
      <w:widowControl/>
      <w:pBdr>
        <w:top w:val="single" w:sz="4" w:space="0" w:color="auto"/>
        <w:left w:val="single" w:sz="4" w:space="0" w:color="auto"/>
        <w:bottom w:val="single" w:sz="12"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sz w:val="24"/>
    </w:rPr>
  </w:style>
  <w:style w:type="paragraph" w:customStyle="1" w:styleId="17111">
    <w:name w:val="样式 首行缩进:  1.71 字符11"/>
    <w:basedOn w:val="a2"/>
    <w:uiPriority w:val="99"/>
    <w:qFormat/>
    <w:pPr>
      <w:spacing w:line="360" w:lineRule="auto"/>
      <w:ind w:firstLineChars="171" w:firstLine="359"/>
      <w:jc w:val="both"/>
    </w:pPr>
    <w:rPr>
      <w:rFonts w:cs="宋体"/>
      <w:sz w:val="24"/>
    </w:rPr>
  </w:style>
  <w:style w:type="paragraph" w:customStyle="1" w:styleId="000">
    <w:name w:val="正文00"/>
    <w:basedOn w:val="a2"/>
    <w:qFormat/>
    <w:pPr>
      <w:snapToGrid w:val="0"/>
      <w:spacing w:before="120" w:line="300" w:lineRule="auto"/>
      <w:ind w:firstLineChars="200" w:firstLine="480"/>
    </w:pPr>
    <w:rPr>
      <w:rFonts w:hAnsi="宋体"/>
      <w:color w:val="000000"/>
      <w:sz w:val="24"/>
    </w:rPr>
  </w:style>
  <w:style w:type="paragraph" w:customStyle="1" w:styleId="11f6">
    <w:name w:val="表格内字体11"/>
    <w:basedOn w:val="a2"/>
    <w:uiPriority w:val="99"/>
    <w:qFormat/>
    <w:pPr>
      <w:jc w:val="center"/>
    </w:pPr>
    <w:rPr>
      <w:rFonts w:ascii="宋体" w:cs="宋体"/>
    </w:rPr>
  </w:style>
  <w:style w:type="paragraph" w:customStyle="1" w:styleId="afffffffffffffffffffffffffd">
    <w:name w:val="正文（首行缩进）"/>
    <w:basedOn w:val="a2"/>
    <w:qFormat/>
    <w:pPr>
      <w:snapToGrid w:val="0"/>
      <w:spacing w:line="360" w:lineRule="auto"/>
      <w:ind w:firstLineChars="200" w:firstLine="200"/>
    </w:pPr>
    <w:rPr>
      <w:sz w:val="24"/>
    </w:rPr>
  </w:style>
  <w:style w:type="paragraph" w:customStyle="1" w:styleId="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w:basedOn w:val="a2"/>
    <w:next w:val="a3"/>
    <w:qFormat/>
    <w:pPr>
      <w:ind w:firstLineChars="200" w:firstLine="420"/>
    </w:pPr>
  </w:style>
  <w:style w:type="paragraph" w:customStyle="1" w:styleId="3fff7">
    <w:name w:val="样式 标题 3 + 宋体 小四"/>
    <w:basedOn w:val="headi"/>
    <w:uiPriority w:val="99"/>
    <w:qFormat/>
    <w:pPr>
      <w:adjustRightInd/>
      <w:textAlignment w:val="auto"/>
    </w:pPr>
    <w:rPr>
      <w:rFonts w:eastAsia="黑体" w:hAnsi="宋体"/>
      <w:sz w:val="32"/>
    </w:rPr>
  </w:style>
  <w:style w:type="paragraph" w:customStyle="1" w:styleId="afffffffffffffffffffffffffe">
    <w:name w:val="电镀表"/>
    <w:basedOn w:val="a2"/>
    <w:uiPriority w:val="99"/>
    <w:qFormat/>
    <w:pPr>
      <w:snapToGrid w:val="0"/>
      <w:ind w:firstLineChars="99" w:firstLine="211"/>
      <w:jc w:val="both"/>
      <w:textAlignment w:val="center"/>
    </w:pPr>
  </w:style>
  <w:style w:type="paragraph" w:customStyle="1" w:styleId="11f7">
    <w:name w:val="正文11"/>
    <w:basedOn w:val="a2"/>
    <w:qFormat/>
    <w:rPr>
      <w:rFonts w:ascii="仿宋_GB2312" w:eastAsia="仿宋_GB2312" w:hAnsi="Calibri"/>
      <w:color w:val="000000"/>
      <w:szCs w:val="28"/>
    </w:rPr>
  </w:style>
  <w:style w:type="paragraph" w:customStyle="1" w:styleId="affffffffffffffffffffffffff">
    <w:name w:val="表格内容格式"/>
    <w:basedOn w:val="a2"/>
    <w:qFormat/>
    <w:pPr>
      <w:spacing w:line="240" w:lineRule="atLeast"/>
      <w:jc w:val="both"/>
      <w:textAlignment w:val="baseline"/>
    </w:pPr>
    <w:rPr>
      <w:rFonts w:ascii="宋体" w:hAnsi="宋体"/>
      <w:snapToGrid w:val="0"/>
      <w:color w:val="000000"/>
    </w:rPr>
  </w:style>
  <w:style w:type="paragraph" w:customStyle="1" w:styleId="CharCharCharCharCharCharCharCharCharCharCharCharCharCharCharChar1">
    <w:name w:val="Char Char Char Char Char Char Char Char Char Char Char Char Char Char Char Char1"/>
    <w:basedOn w:val="a2"/>
    <w:uiPriority w:val="99"/>
    <w:qFormat/>
    <w:pPr>
      <w:jc w:val="both"/>
    </w:pPr>
    <w:rPr>
      <w:sz w:val="24"/>
    </w:rPr>
  </w:style>
  <w:style w:type="paragraph" w:customStyle="1" w:styleId="2ffffe">
    <w:name w:val="+列表2"/>
    <w:basedOn w:val="a2"/>
    <w:uiPriority w:val="99"/>
    <w:qFormat/>
    <w:pPr>
      <w:jc w:val="center"/>
    </w:pPr>
  </w:style>
  <w:style w:type="paragraph" w:customStyle="1" w:styleId="CharCharCharCharCharCharCharCharChar1CharCharCharChar1">
    <w:name w:val="Char Char Char Char Char Char Char Char Char1 Char Char Char Char1"/>
    <w:basedOn w:val="a2"/>
    <w:uiPriority w:val="99"/>
    <w:qFormat/>
    <w:pPr>
      <w:jc w:val="both"/>
    </w:pPr>
  </w:style>
  <w:style w:type="paragraph" w:customStyle="1" w:styleId="a16">
    <w:name w:val="a新标题1"/>
    <w:basedOn w:val="12"/>
    <w:next w:val="22"/>
    <w:uiPriority w:val="99"/>
    <w:qFormat/>
    <w:pPr>
      <w:spacing w:before="340" w:after="330" w:line="240" w:lineRule="exact"/>
      <w:textAlignment w:val="auto"/>
    </w:pPr>
    <w:rPr>
      <w:rFonts w:eastAsia="宋体"/>
      <w:bCs w:val="0"/>
      <w:sz w:val="28"/>
      <w:szCs w:val="44"/>
    </w:rPr>
  </w:style>
  <w:style w:type="paragraph" w:customStyle="1" w:styleId="GB231224">
    <w:name w:val="样式 普通(网站) + 仿宋_GB2312 四号 黑色 行距: 固定值 24 磅"/>
    <w:basedOn w:val="aff6"/>
    <w:uiPriority w:val="99"/>
    <w:qFormat/>
    <w:pPr>
      <w:spacing w:line="480" w:lineRule="exact"/>
      <w:ind w:firstLineChars="200" w:firstLine="560"/>
    </w:pPr>
    <w:rPr>
      <w:rFonts w:ascii="仿宋_GB2312" w:hAnsi="宋体" w:cs="宋体"/>
      <w:color w:val="000000"/>
      <w:sz w:val="28"/>
    </w:rPr>
  </w:style>
  <w:style w:type="paragraph" w:customStyle="1" w:styleId="2fffff">
    <w:name w:val="样式 标题 2节 + 宋体 加粗"/>
    <w:basedOn w:val="22"/>
    <w:qFormat/>
    <w:pPr>
      <w:tabs>
        <w:tab w:val="left" w:pos="1275"/>
        <w:tab w:val="left" w:pos="1505"/>
      </w:tabs>
      <w:snapToGrid w:val="0"/>
      <w:spacing w:before="0" w:after="0" w:line="360" w:lineRule="auto"/>
      <w:ind w:left="200" w:hangingChars="200" w:hanging="200"/>
    </w:pPr>
    <w:rPr>
      <w:rFonts w:ascii="宋体" w:eastAsia="宋体" w:hAnsi="宋体" w:cs="Times New Roman"/>
      <w:sz w:val="28"/>
      <w:szCs w:val="20"/>
    </w:rPr>
  </w:style>
  <w:style w:type="paragraph" w:customStyle="1" w:styleId="Char2CharChar1CharCharCharCharCharCharCharCharCharChar">
    <w:name w:val="Char2 Char Char1 Char Char Char Char Char Char Char Char Char Char"/>
    <w:basedOn w:val="a2"/>
    <w:pPr>
      <w:jc w:val="both"/>
    </w:pPr>
    <w:rPr>
      <w:sz w:val="24"/>
    </w:rPr>
  </w:style>
  <w:style w:type="paragraph" w:customStyle="1" w:styleId="affffffffffffffffffffffffff0">
    <w:name w:val="正文 居中"/>
    <w:basedOn w:val="a2"/>
    <w:qFormat/>
    <w:pPr>
      <w:spacing w:before="48" w:after="48" w:line="360" w:lineRule="auto"/>
      <w:jc w:val="center"/>
    </w:pPr>
    <w:rPr>
      <w:rFonts w:ascii="宋体" w:hAnsi="宋体"/>
      <w:bCs/>
      <w:snapToGrid w:val="0"/>
      <w:sz w:val="24"/>
    </w:rPr>
  </w:style>
  <w:style w:type="paragraph" w:customStyle="1" w:styleId="xl45">
    <w:name w:val="xl4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rPr>
  </w:style>
  <w:style w:type="paragraph" w:customStyle="1" w:styleId="affffffffffffffffffffffffff1">
    <w:name w:val="基准页眉样式"/>
    <w:basedOn w:val="af4"/>
    <w:qFormat/>
    <w:pPr>
      <w:spacing w:before="80" w:after="80"/>
      <w:jc w:val="center"/>
    </w:pPr>
    <w:rPr>
      <w:color w:val="000000"/>
      <w:szCs w:val="21"/>
    </w:rPr>
  </w:style>
  <w:style w:type="paragraph" w:customStyle="1" w:styleId="affffffffffffffffffffffffff2">
    <w:name w:val="文档二级标题"/>
    <w:basedOn w:val="a2"/>
    <w:uiPriority w:val="99"/>
    <w:qFormat/>
    <w:pPr>
      <w:jc w:val="both"/>
    </w:pPr>
    <w:rPr>
      <w:rFonts w:ascii="楷体_GB2312" w:hAnsi="华文仿宋"/>
    </w:rPr>
  </w:style>
  <w:style w:type="paragraph" w:customStyle="1" w:styleId="ParaCharCharChar1CharCharCharChar">
    <w:name w:val="默认段落字体 Para Char Char Char1 Char Char Char Char"/>
    <w:basedOn w:val="a2"/>
    <w:qFormat/>
    <w:rPr>
      <w:sz w:val="24"/>
    </w:rPr>
  </w:style>
  <w:style w:type="paragraph" w:customStyle="1" w:styleId="1CharCharCharCharCharCharCharCharCharCharCharCharCharCharCharCharCharCharChar">
    <w:name w:val="1 Char Char Char Char Char Char Char Char Char Char Char Char Char Char Char Char Char Char Char"/>
    <w:basedOn w:val="a2"/>
    <w:qFormat/>
  </w:style>
  <w:style w:type="paragraph" w:customStyle="1" w:styleId="affffffffffffffffffffffffff3">
    <w:name w:val="小节"/>
    <w:basedOn w:val="a2"/>
    <w:next w:val="af4"/>
    <w:pPr>
      <w:autoSpaceDE/>
      <w:autoSpaceDN/>
      <w:adjustRightInd/>
      <w:spacing w:before="120" w:line="360" w:lineRule="auto"/>
    </w:pPr>
  </w:style>
  <w:style w:type="paragraph" w:customStyle="1" w:styleId="xl58">
    <w:name w:val="xl58"/>
    <w:basedOn w:val="a2"/>
    <w:qFormat/>
    <w:pPr>
      <w:pBdr>
        <w:bottom w:val="single" w:sz="4" w:space="0" w:color="auto"/>
      </w:pBdr>
      <w:shd w:val="clear" w:color="auto" w:fill="FFFFFF"/>
      <w:spacing w:before="100" w:beforeAutospacing="1" w:after="100" w:afterAutospacing="1"/>
    </w:pPr>
    <w:rPr>
      <w:rFonts w:ascii="Arial Unicode MS" w:eastAsia="Arial Unicode MS" w:hAnsi="Arial Unicode MS"/>
      <w:color w:val="000080"/>
      <w:szCs w:val="28"/>
    </w:rPr>
  </w:style>
  <w:style w:type="paragraph" w:customStyle="1" w:styleId="2fffff0">
    <w:name w:val="样式 正文首行缩进正文应用 + 首行缩进:  2 字符"/>
    <w:basedOn w:val="aff9"/>
    <w:qFormat/>
    <w:pPr>
      <w:spacing w:after="0" w:line="360" w:lineRule="auto"/>
      <w:ind w:firstLineChars="200" w:firstLine="480"/>
      <w:jc w:val="both"/>
    </w:pPr>
    <w:rPr>
      <w:sz w:val="28"/>
      <w:szCs w:val="20"/>
    </w:rPr>
  </w:style>
  <w:style w:type="paragraph" w:customStyle="1" w:styleId="CM9">
    <w:name w:val="CM9"/>
    <w:basedOn w:val="Default"/>
    <w:next w:val="Default"/>
    <w:uiPriority w:val="99"/>
    <w:qFormat/>
    <w:pPr>
      <w:spacing w:beforeLines="0" w:before="0" w:afterLines="0" w:after="420" w:line="240" w:lineRule="auto"/>
      <w:ind w:firstLineChars="0" w:firstLine="0"/>
    </w:pPr>
    <w:rPr>
      <w:rFonts w:ascii="新宋体" w:eastAsia="新宋体" w:cs="Times New Roman"/>
      <w:color w:val="auto"/>
    </w:rPr>
  </w:style>
  <w:style w:type="paragraph" w:customStyle="1" w:styleId="affffffffffffffffffffffffff4">
    <w:name w:val="广西炼油"/>
    <w:basedOn w:val="a3"/>
    <w:uiPriority w:val="99"/>
    <w:qFormat/>
    <w:pPr>
      <w:spacing w:before="5" w:line="360" w:lineRule="auto"/>
      <w:ind w:firstLineChars="0" w:firstLine="480"/>
      <w:jc w:val="both"/>
    </w:pPr>
    <w:rPr>
      <w:sz w:val="24"/>
      <w:szCs w:val="28"/>
    </w:rPr>
  </w:style>
  <w:style w:type="paragraph" w:customStyle="1" w:styleId="-0161">
    <w:name w:val="样式 左侧:  -0.16 厘米1"/>
    <w:basedOn w:val="a2"/>
    <w:uiPriority w:val="99"/>
    <w:qFormat/>
    <w:pPr>
      <w:ind w:left="-90"/>
      <w:jc w:val="both"/>
    </w:pPr>
    <w:rPr>
      <w:rFonts w:ascii="宋体" w:hAnsi="宋体" w:cs="宋体"/>
      <w:snapToGrid w:val="0"/>
      <w:sz w:val="24"/>
    </w:rPr>
  </w:style>
  <w:style w:type="paragraph" w:customStyle="1" w:styleId="211305055">
    <w:name w:val="样式 样式 标题 2 + 首行缩进:  1.13 厘米 + 段前: 0.5 行 段后: 0.5 行5"/>
    <w:basedOn w:val="2113"/>
    <w:uiPriority w:val="99"/>
    <w:qFormat/>
    <w:pPr>
      <w:spacing w:afterLines="0"/>
    </w:pPr>
  </w:style>
  <w:style w:type="paragraph" w:customStyle="1" w:styleId="CharCharCharCharCharCharCharCharCharCharCharChar1CharCharChar">
    <w:name w:val="Char Char Char Char Char Char Char Char Char Char Char Char1 Char Char Char"/>
    <w:basedOn w:val="a2"/>
    <w:pPr>
      <w:spacing w:after="160" w:line="240" w:lineRule="exact"/>
    </w:pPr>
    <w:rPr>
      <w:rFonts w:ascii="Verdana" w:hAnsi="Verdana"/>
      <w:sz w:val="20"/>
      <w:lang w:eastAsia="en-US"/>
    </w:rPr>
  </w:style>
  <w:style w:type="paragraph" w:customStyle="1" w:styleId="affffffffffffffffffffffffff5">
    <w:name w:val="密级编号"/>
    <w:basedOn w:val="a2"/>
    <w:uiPriority w:val="99"/>
    <w:qFormat/>
    <w:pPr>
      <w:jc w:val="center"/>
      <w:textAlignment w:val="baseline"/>
    </w:pPr>
    <w:rPr>
      <w:rFonts w:ascii="仿宋_GB2312" w:eastAsia="仿宋_GB2312"/>
      <w:sz w:val="24"/>
    </w:rPr>
  </w:style>
  <w:style w:type="paragraph" w:customStyle="1" w:styleId="affffffffffffffffffffffffff6">
    <w:name w:val="居中四号"/>
    <w:uiPriority w:val="99"/>
    <w:qFormat/>
    <w:pPr>
      <w:spacing w:line="300" w:lineRule="auto"/>
      <w:jc w:val="center"/>
    </w:pPr>
    <w:rPr>
      <w:rFonts w:ascii="Times New Roman" w:eastAsia="宋体" w:hAnsi="Times New Roman" w:cs="Times New Roman"/>
      <w:sz w:val="28"/>
    </w:rPr>
  </w:style>
  <w:style w:type="paragraph" w:customStyle="1" w:styleId="1fffffff9">
    <w:name w:val="项目符号1"/>
    <w:basedOn w:val="a2"/>
    <w:qFormat/>
    <w:pPr>
      <w:tabs>
        <w:tab w:val="left" w:pos="360"/>
        <w:tab w:val="left" w:pos="935"/>
      </w:tabs>
      <w:snapToGrid w:val="0"/>
      <w:spacing w:before="120" w:after="120" w:line="312" w:lineRule="auto"/>
      <w:ind w:left="935" w:hangingChars="200" w:hanging="360"/>
    </w:pPr>
    <w:rPr>
      <w:rFonts w:hAnsi="Arial"/>
      <w:b/>
    </w:rPr>
  </w:style>
  <w:style w:type="paragraph" w:customStyle="1" w:styleId="Char4CharCharCharCharCharCharCharCharChar1">
    <w:name w:val="Char4 Char Char Char Char Char Char Char Char Char1"/>
    <w:basedOn w:val="a2"/>
    <w:uiPriority w:val="99"/>
    <w:qFormat/>
    <w:pPr>
      <w:jc w:val="both"/>
    </w:pPr>
    <w:rPr>
      <w:sz w:val="24"/>
    </w:rPr>
  </w:style>
  <w:style w:type="paragraph" w:customStyle="1" w:styleId="3CharCharb">
    <w:name w:val="目录 3 Char Char"/>
    <w:basedOn w:val="a2"/>
    <w:next w:val="a2"/>
    <w:qFormat/>
    <w:pPr>
      <w:spacing w:line="351" w:lineRule="atLeast"/>
      <w:ind w:left="419" w:firstLine="419"/>
    </w:pPr>
    <w:rPr>
      <w:rFonts w:hAnsi="宋体"/>
      <w:i/>
    </w:rPr>
  </w:style>
  <w:style w:type="paragraph" w:customStyle="1" w:styleId="235">
    <w:name w:val="正文文本缩进 23"/>
    <w:basedOn w:val="a2"/>
    <w:uiPriority w:val="99"/>
    <w:qFormat/>
    <w:pPr>
      <w:spacing w:after="120" w:line="480" w:lineRule="auto"/>
      <w:ind w:left="420"/>
      <w:jc w:val="both"/>
      <w:textAlignment w:val="baseline"/>
    </w:pPr>
    <w:rPr>
      <w:rFonts w:hint="eastAsia"/>
    </w:rPr>
  </w:style>
  <w:style w:type="paragraph" w:customStyle="1" w:styleId="0a">
    <w:name w:val="0"/>
    <w:basedOn w:val="a2"/>
    <w:uiPriority w:val="99"/>
    <w:qFormat/>
    <w:pPr>
      <w:snapToGrid w:val="0"/>
      <w:jc w:val="both"/>
    </w:pPr>
  </w:style>
  <w:style w:type="paragraph" w:customStyle="1" w:styleId="affffffffffffffffffffffffff7">
    <w:name w:val="样式 表头"/>
    <w:uiPriority w:val="99"/>
    <w:qFormat/>
    <w:pPr>
      <w:spacing w:beforeLines="50"/>
      <w:jc w:val="center"/>
    </w:pPr>
    <w:rPr>
      <w:rFonts w:ascii="Times New Roman" w:eastAsia="黑体" w:hAnsi="Times New Roman" w:cs="Times New Roman"/>
      <w:b/>
      <w:bCs/>
      <w:kern w:val="2"/>
      <w:sz w:val="24"/>
      <w:szCs w:val="24"/>
    </w:rPr>
  </w:style>
  <w:style w:type="paragraph" w:customStyle="1" w:styleId="statement">
    <w:name w:val="statement"/>
    <w:basedOn w:val="a2"/>
    <w:qFormat/>
    <w:pPr>
      <w:spacing w:before="100" w:beforeAutospacing="1" w:after="100" w:afterAutospacing="1"/>
    </w:pPr>
    <w:rPr>
      <w:rFonts w:eastAsia="Arial Unicode MS" w:hAnsi="Arial" w:cs="Arial"/>
      <w:color w:val="003366"/>
      <w:sz w:val="14"/>
      <w:szCs w:val="14"/>
    </w:rPr>
  </w:style>
  <w:style w:type="paragraph" w:customStyle="1" w:styleId="getriebe">
    <w:name w:val="getriebe"/>
    <w:basedOn w:val="fahrw"/>
    <w:uiPriority w:val="99"/>
    <w:qFormat/>
    <w:pPr>
      <w:tabs>
        <w:tab w:val="clear" w:pos="993"/>
      </w:tabs>
    </w:p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2"/>
    <w:uiPriority w:val="99"/>
    <w:qFormat/>
    <w:pPr>
      <w:spacing w:line="240" w:lineRule="exact"/>
      <w:ind w:firstLineChars="200" w:firstLine="200"/>
      <w:jc w:val="both"/>
    </w:pPr>
    <w:rPr>
      <w:szCs w:val="28"/>
    </w:rPr>
  </w:style>
  <w:style w:type="paragraph" w:customStyle="1" w:styleId="145">
    <w:name w:val="文本块14"/>
    <w:basedOn w:val="a2"/>
    <w:qFormat/>
    <w:pPr>
      <w:spacing w:before="100" w:after="100"/>
    </w:pPr>
    <w:rPr>
      <w:rFonts w:eastAsia="Times New Roman"/>
      <w:sz w:val="22"/>
      <w:lang w:eastAsia="en-US"/>
    </w:rPr>
  </w:style>
  <w:style w:type="paragraph" w:customStyle="1" w:styleId="pic3">
    <w:name w:val="pic3"/>
    <w:basedOn w:val="a2"/>
    <w:uiPriority w:val="99"/>
    <w:qFormat/>
    <w:pPr>
      <w:pBdr>
        <w:top w:val="double" w:sz="6" w:space="0" w:color="999999"/>
        <w:left w:val="double" w:sz="6" w:space="0" w:color="999999"/>
        <w:bottom w:val="double" w:sz="6" w:space="0" w:color="999999"/>
        <w:right w:val="double" w:sz="6" w:space="0" w:color="999999"/>
      </w:pBdr>
      <w:spacing w:before="100" w:beforeAutospacing="1" w:after="100" w:afterAutospacing="1"/>
    </w:pPr>
    <w:rPr>
      <w:rFonts w:ascii="Arial Unicode MS" w:eastAsia="Arial Unicode MS" w:hAnsi="Arial Unicode MS" w:cs="楷体_GB2312"/>
      <w:sz w:val="24"/>
    </w:rPr>
  </w:style>
  <w:style w:type="paragraph" w:customStyle="1" w:styleId="CharCharChar1CharCharCharCharCharCharCharChar">
    <w:name w:val="Char Char Char1 Char Char Char Char Char Char Char Char"/>
    <w:basedOn w:val="a2"/>
    <w:uiPriority w:val="99"/>
    <w:qFormat/>
    <w:pPr>
      <w:jc w:val="both"/>
    </w:pPr>
  </w:style>
  <w:style w:type="paragraph" w:customStyle="1" w:styleId="affffffffffffffffffffffffff8">
    <w:name w:val="方案正文样式"/>
    <w:basedOn w:val="a2"/>
    <w:pPr>
      <w:autoSpaceDE/>
      <w:autoSpaceDN/>
      <w:snapToGrid w:val="0"/>
      <w:spacing w:line="360" w:lineRule="auto"/>
      <w:ind w:firstLineChars="200" w:firstLine="454"/>
      <w:jc w:val="both"/>
      <w:textAlignment w:val="baseline"/>
    </w:pPr>
    <w:rPr>
      <w:snapToGrid w:val="0"/>
    </w:rPr>
  </w:style>
  <w:style w:type="paragraph" w:customStyle="1" w:styleId="1fffffffa">
    <w:name w:val="环评正文1"/>
    <w:basedOn w:val="affffff7"/>
    <w:uiPriority w:val="99"/>
    <w:qFormat/>
    <w:pPr>
      <w:ind w:firstLineChars="0" w:firstLine="0"/>
    </w:pPr>
    <w:rPr>
      <w:rFonts w:ascii="Calibri" w:eastAsia="宋体" w:hAnsi="Calibri"/>
      <w:color w:val="000000"/>
      <w:kern w:val="21"/>
      <w:sz w:val="24"/>
      <w:szCs w:val="24"/>
    </w:rPr>
  </w:style>
  <w:style w:type="paragraph" w:customStyle="1" w:styleId="2fffff1">
    <w:name w:val="样式 正文标准格式 + 左侧:  2 字符"/>
    <w:basedOn w:val="afffffffffffffffffffff4"/>
    <w:uiPriority w:val="99"/>
    <w:qFormat/>
  </w:style>
  <w:style w:type="paragraph" w:customStyle="1" w:styleId="2fffff2">
    <w:name w:val="样式 标题 2"/>
    <w:basedOn w:val="22"/>
    <w:uiPriority w:val="99"/>
    <w:qFormat/>
    <w:pPr>
      <w:keepLines w:val="0"/>
      <w:snapToGrid w:val="0"/>
      <w:spacing w:beforeLines="50" w:before="156" w:after="0" w:line="360" w:lineRule="auto"/>
    </w:pPr>
    <w:rPr>
      <w:rFonts w:ascii="Arial" w:eastAsia="黑体" w:hAnsi="Arial" w:cs="宋体"/>
      <w:bCs w:val="0"/>
      <w:sz w:val="30"/>
      <w:szCs w:val="30"/>
    </w:rPr>
  </w:style>
  <w:style w:type="paragraph" w:customStyle="1" w:styleId="GB231206">
    <w:name w:val="样式 (西文) 宋体 (中文) 仿宋_GB2312 五号 黑色 居中 首行缩进:  0 厘米 行距: 单倍行距6"/>
    <w:basedOn w:val="a2"/>
    <w:uiPriority w:val="99"/>
    <w:qFormat/>
    <w:pPr>
      <w:jc w:val="center"/>
    </w:pPr>
    <w:rPr>
      <w:rFonts w:ascii="宋体" w:hAnsi="宋体"/>
      <w:color w:val="000000"/>
    </w:rPr>
  </w:style>
  <w:style w:type="paragraph" w:customStyle="1" w:styleId="xl96">
    <w:name w:val="xl96"/>
    <w:basedOn w:val="a2"/>
    <w:qFormat/>
    <w:pPr>
      <w:pBdr>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affffffffffffffffffffffffff9">
    <w:name w:val="王向东正文"/>
    <w:uiPriority w:val="99"/>
    <w:qFormat/>
    <w:pPr>
      <w:ind w:rightChars="8" w:right="22" w:firstLineChars="200" w:firstLine="560"/>
    </w:pPr>
    <w:rPr>
      <w:rFonts w:ascii="Times New Roman" w:eastAsia="仿宋_GB2312" w:hAnsi="Times New Roman" w:cs="幼圆"/>
      <w:kern w:val="2"/>
      <w:sz w:val="28"/>
      <w:szCs w:val="28"/>
    </w:rPr>
  </w:style>
  <w:style w:type="paragraph" w:customStyle="1" w:styleId="CharChar1Char3">
    <w:name w:val="Char Char1 Char3"/>
    <w:basedOn w:val="a2"/>
    <w:uiPriority w:val="99"/>
    <w:qFormat/>
    <w:pPr>
      <w:jc w:val="both"/>
    </w:pPr>
  </w:style>
  <w:style w:type="paragraph" w:customStyle="1" w:styleId="1352">
    <w:name w:val="样式 13.5 磅 首行缩进:  2 字符"/>
    <w:basedOn w:val="a2"/>
    <w:uiPriority w:val="99"/>
    <w:qFormat/>
    <w:pPr>
      <w:ind w:leftChars="1" w:left="2" w:firstLineChars="200" w:firstLine="480"/>
    </w:pPr>
    <w:rPr>
      <w:rFonts w:cs="宋体"/>
      <w:kern w:val="10"/>
      <w:sz w:val="24"/>
    </w:rPr>
  </w:style>
  <w:style w:type="paragraph" w:customStyle="1" w:styleId="GB2312251">
    <w:name w:val="样式 普通(网站) + 仿宋_GB2312 四号 行距: 固定值 25 磅"/>
    <w:basedOn w:val="46"/>
    <w:uiPriority w:val="99"/>
    <w:qFormat/>
    <w:pPr>
      <w:spacing w:line="500" w:lineRule="exact"/>
    </w:pPr>
    <w:rPr>
      <w:rFonts w:ascii="仿宋_GB2312" w:eastAsia="仿宋_GB2312" w:hAnsi="宋体" w:cs="宋体"/>
      <w:sz w:val="28"/>
    </w:rPr>
  </w:style>
  <w:style w:type="paragraph" w:customStyle="1" w:styleId="HTML21">
    <w:name w:val="HTML 预设格式2"/>
    <w:basedOn w:val="a2"/>
    <w:uiPriority w:val="99"/>
    <w:qFormat/>
    <w:pPr>
      <w:jc w:val="both"/>
    </w:pPr>
    <w:rPr>
      <w:rFonts w:ascii="Courier New" w:hAnsi="Courier New"/>
      <w:sz w:val="20"/>
    </w:rPr>
  </w:style>
  <w:style w:type="paragraph" w:customStyle="1" w:styleId="CharCharCharChar50">
    <w:name w:val="Char Char Char Char5"/>
    <w:basedOn w:val="a2"/>
    <w:qFormat/>
    <w:pPr>
      <w:jc w:val="both"/>
    </w:pPr>
  </w:style>
  <w:style w:type="paragraph" w:customStyle="1" w:styleId="1fffffffb">
    <w:name w:val="ü1"/>
    <w:basedOn w:val="a2"/>
    <w:uiPriority w:val="99"/>
    <w:qFormat/>
    <w:pPr>
      <w:spacing w:before="480" w:after="120" w:line="480" w:lineRule="auto"/>
      <w:jc w:val="both"/>
      <w:textAlignment w:val="baseline"/>
    </w:pPr>
    <w:rPr>
      <w:rFonts w:ascii="CorpoSLig" w:hAnsi="CorpoSLig"/>
      <w:b/>
    </w:rPr>
  </w:style>
  <w:style w:type="paragraph" w:customStyle="1" w:styleId="reader-word-layerreader-word-s1-21">
    <w:name w:val="reader-word-layer reader-word-s1-21"/>
    <w:basedOn w:val="a2"/>
    <w:uiPriority w:val="99"/>
    <w:qFormat/>
    <w:pPr>
      <w:spacing w:before="100" w:beforeAutospacing="1" w:after="100" w:afterAutospacing="1"/>
    </w:pPr>
    <w:rPr>
      <w:rFonts w:ascii="宋体" w:hAnsi="宋体" w:cs="宋体"/>
      <w:sz w:val="24"/>
    </w:rPr>
  </w:style>
  <w:style w:type="paragraph" w:customStyle="1" w:styleId="chen4">
    <w:name w:val="chen表格内字体"/>
    <w:basedOn w:val="a2"/>
    <w:qFormat/>
    <w:pPr>
      <w:spacing w:line="400" w:lineRule="exact"/>
      <w:jc w:val="center"/>
    </w:pPr>
    <w:rPr>
      <w:rFonts w:eastAsia="仿宋_GB2312" w:cs="宋体"/>
      <w:sz w:val="24"/>
    </w:rPr>
  </w:style>
  <w:style w:type="paragraph" w:customStyle="1" w:styleId="CharCharCharCharCharChar40">
    <w:name w:val="Char Char Char Char Char Char4"/>
    <w:basedOn w:val="a2"/>
    <w:qFormat/>
    <w:rPr>
      <w:rFonts w:ascii="Times New Roman"/>
    </w:rPr>
  </w:style>
  <w:style w:type="paragraph" w:customStyle="1" w:styleId="affffffffffffffffffffffffffa">
    <w:name w:val="国函"/>
    <w:next w:val="a2"/>
    <w:qFormat/>
    <w:pPr>
      <w:adjustRightInd w:val="0"/>
      <w:spacing w:beforeLines="50" w:before="50" w:afterLines="50" w:after="300" w:line="360" w:lineRule="auto"/>
      <w:ind w:firstLineChars="40" w:firstLine="40"/>
      <w:jc w:val="center"/>
    </w:pPr>
    <w:rPr>
      <w:rFonts w:ascii="Times New Roman" w:eastAsia="楷体_GB2312" w:hAnsi="Times New Roman" w:cs="Times New Roman"/>
    </w:rPr>
  </w:style>
  <w:style w:type="paragraph" w:customStyle="1" w:styleId="CM10">
    <w:name w:val="CM10"/>
    <w:basedOn w:val="Default"/>
    <w:next w:val="Default"/>
    <w:uiPriority w:val="99"/>
    <w:qFormat/>
    <w:pPr>
      <w:spacing w:beforeLines="0" w:before="0" w:afterLines="0" w:after="150" w:line="240" w:lineRule="auto"/>
      <w:ind w:firstLineChars="0" w:firstLine="0"/>
    </w:pPr>
    <w:rPr>
      <w:rFonts w:ascii="新宋体" w:eastAsia="新宋体" w:cs="Times New Roman"/>
      <w:color w:val="auto"/>
    </w:rPr>
  </w:style>
  <w:style w:type="paragraph" w:customStyle="1" w:styleId="211H2Underrubrik1prop2Heading2HiddenHeadi">
    <w:name w:val="样式 标题 2节标题 1.1H2（一）Underrubrik1prop2Heading 2 HiddenHeadi..."/>
    <w:basedOn w:val="22"/>
    <w:qFormat/>
    <w:pPr>
      <w:snapToGrid w:val="0"/>
      <w:spacing w:before="120" w:after="120" w:line="240" w:lineRule="auto"/>
      <w:jc w:val="both"/>
    </w:pPr>
    <w:rPr>
      <w:rFonts w:ascii="宋体" w:eastAsia="宋体" w:hAnsi="宋体" w:cs="宋体"/>
      <w:snapToGrid w:val="0"/>
      <w:sz w:val="28"/>
      <w:szCs w:val="20"/>
    </w:rPr>
  </w:style>
  <w:style w:type="paragraph" w:customStyle="1" w:styleId="2fffff3">
    <w:name w:val="正文文本2"/>
    <w:basedOn w:val="a2"/>
    <w:uiPriority w:val="99"/>
    <w:qFormat/>
    <w:pPr>
      <w:spacing w:after="120"/>
      <w:jc w:val="both"/>
    </w:pPr>
    <w:rPr>
      <w:rFonts w:hint="eastAsia"/>
    </w:rPr>
  </w:style>
  <w:style w:type="paragraph" w:customStyle="1" w:styleId="3TimesNewRoman0">
    <w:name w:val="样式 标题 3 + (西文) Times New Roman (中文) 宋体 小四 加粗"/>
    <w:basedOn w:val="32"/>
    <w:qFormat/>
    <w:pPr>
      <w:tabs>
        <w:tab w:val="left" w:pos="1021"/>
      </w:tabs>
      <w:snapToGrid w:val="0"/>
      <w:spacing w:before="0" w:after="0" w:line="360" w:lineRule="auto"/>
      <w:ind w:leftChars="50" w:left="1021" w:hanging="1021"/>
    </w:pPr>
    <w:rPr>
      <w:rFonts w:ascii="仿宋_GB2312" w:eastAsia="仿宋_GB2312"/>
      <w:sz w:val="24"/>
      <w:szCs w:val="24"/>
    </w:rPr>
  </w:style>
  <w:style w:type="paragraph" w:customStyle="1" w:styleId="Char3CharCharChar1CharChar1Char1">
    <w:name w:val="Char3 Char Char Char1 Char Char1 Char1"/>
    <w:basedOn w:val="a2"/>
    <w:uiPriority w:val="99"/>
    <w:qFormat/>
    <w:pPr>
      <w:jc w:val="both"/>
    </w:pPr>
  </w:style>
  <w:style w:type="paragraph" w:customStyle="1" w:styleId="79">
    <w:name w:val="表题7"/>
    <w:basedOn w:val="a2"/>
    <w:uiPriority w:val="99"/>
    <w:qFormat/>
    <w:pPr>
      <w:snapToGrid w:val="0"/>
      <w:spacing w:before="180" w:after="60"/>
      <w:jc w:val="center"/>
    </w:pPr>
    <w:rPr>
      <w:b/>
    </w:rPr>
  </w:style>
  <w:style w:type="paragraph" w:customStyle="1" w:styleId="affffffffffffffffffffffffffb">
    <w:name w:val="正文(黑体)"/>
    <w:basedOn w:val="a2"/>
    <w:qFormat/>
    <w:pPr>
      <w:spacing w:line="288" w:lineRule="auto"/>
      <w:ind w:firstLine="482"/>
      <w:textAlignment w:val="baseline"/>
    </w:pPr>
    <w:rPr>
      <w:rFonts w:ascii="黑体" w:hAnsi="宋体"/>
      <w:sz w:val="24"/>
    </w:rPr>
  </w:style>
  <w:style w:type="paragraph" w:customStyle="1" w:styleId="1710">
    <w:name w:val="样式 首行缩进:  1.71 字符"/>
    <w:basedOn w:val="a2"/>
    <w:uiPriority w:val="99"/>
    <w:qFormat/>
    <w:pPr>
      <w:spacing w:line="360" w:lineRule="auto"/>
      <w:jc w:val="both"/>
    </w:pPr>
    <w:rPr>
      <w:rFonts w:cs="宋体"/>
      <w:color w:val="FF0000"/>
      <w:sz w:val="24"/>
    </w:rPr>
  </w:style>
  <w:style w:type="paragraph" w:customStyle="1" w:styleId="Title5">
    <w:name w:val="Title 5"/>
    <w:basedOn w:val="50"/>
    <w:next w:val="a2"/>
    <w:uiPriority w:val="99"/>
    <w:qFormat/>
    <w:pPr>
      <w:keepNext w:val="0"/>
      <w:keepLines w:val="0"/>
      <w:tabs>
        <w:tab w:val="clear" w:pos="1008"/>
      </w:tabs>
      <w:snapToGrid w:val="0"/>
      <w:spacing w:before="0" w:after="0" w:line="500" w:lineRule="exact"/>
      <w:ind w:leftChars="67" w:left="141" w:firstLine="0"/>
    </w:pPr>
    <w:rPr>
      <w:b w:val="0"/>
      <w:bCs w:val="0"/>
      <w:kern w:val="0"/>
      <w:sz w:val="24"/>
      <w:szCs w:val="24"/>
    </w:rPr>
  </w:style>
  <w:style w:type="paragraph" w:customStyle="1" w:styleId="xl31">
    <w:name w:val="xl3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rPr>
  </w:style>
  <w:style w:type="paragraph" w:customStyle="1" w:styleId="Char4CharCharCharCharCharCharCharCharChar2">
    <w:name w:val="Char4 Char Char Char Char Char Char Char Char Char2"/>
    <w:basedOn w:val="a2"/>
    <w:uiPriority w:val="99"/>
    <w:qFormat/>
    <w:pPr>
      <w:jc w:val="both"/>
    </w:pPr>
    <w:rPr>
      <w:rFonts w:ascii="Times New Roman"/>
    </w:rPr>
  </w:style>
  <w:style w:type="paragraph" w:customStyle="1" w:styleId="CharCharChar1CharChar1">
    <w:name w:val="Char Char Char1 Char Char1"/>
    <w:basedOn w:val="a2"/>
    <w:uiPriority w:val="99"/>
    <w:qFormat/>
    <w:pPr>
      <w:jc w:val="both"/>
    </w:pPr>
    <w:rPr>
      <w:rFonts w:ascii="宋体" w:hAnsi="宋体" w:cs="宋体"/>
      <w:color w:val="000000"/>
      <w:sz w:val="24"/>
    </w:rPr>
  </w:style>
  <w:style w:type="paragraph" w:customStyle="1" w:styleId="21122CharH2h21221">
    <w:name w:val="样式 标题 2节标题 1.1标题2标题 2 Char节标题H2h2第一层条1二级 标题 2标题 2（修改）...1"/>
    <w:basedOn w:val="22"/>
    <w:uiPriority w:val="99"/>
    <w:qFormat/>
    <w:pPr>
      <w:tabs>
        <w:tab w:val="left" w:pos="575"/>
      </w:tabs>
      <w:snapToGrid w:val="0"/>
      <w:spacing w:beforeLines="50" w:before="156" w:afterLines="50" w:after="156" w:line="312" w:lineRule="auto"/>
      <w:jc w:val="both"/>
    </w:pPr>
    <w:rPr>
      <w:rFonts w:ascii="Arial" w:eastAsia="仿宋_GB2312" w:hAnsi="Arial" w:cs="Times New Roman"/>
      <w:bCs w:val="0"/>
      <w:sz w:val="24"/>
      <w:szCs w:val="30"/>
    </w:rPr>
  </w:style>
  <w:style w:type="paragraph" w:customStyle="1" w:styleId="affffffffffffffffffffffffffc">
    <w:name w:val="a"/>
    <w:basedOn w:val="a2"/>
    <w:uiPriority w:val="99"/>
    <w:qFormat/>
    <w:pPr>
      <w:snapToGrid w:val="0"/>
      <w:spacing w:before="100" w:beforeAutospacing="1" w:after="100" w:afterAutospacing="1" w:line="360" w:lineRule="auto"/>
      <w:ind w:firstLineChars="200" w:firstLine="200"/>
    </w:pPr>
    <w:rPr>
      <w:rFonts w:ascii="宋体" w:hAnsi="宋体"/>
      <w:color w:val="000000"/>
      <w:sz w:val="24"/>
    </w:rPr>
  </w:style>
  <w:style w:type="paragraph" w:customStyle="1" w:styleId="4f9">
    <w:name w:val="注释标题4"/>
    <w:basedOn w:val="a2"/>
    <w:next w:val="a2"/>
    <w:uiPriority w:val="99"/>
    <w:qFormat/>
    <w:pPr>
      <w:jc w:val="center"/>
    </w:pPr>
    <w:rPr>
      <w:sz w:val="20"/>
    </w:rPr>
  </w:style>
  <w:style w:type="paragraph" w:customStyle="1" w:styleId="Char2CharCharCharCharCharCharCharCharCharCharChar1CharCharCharCharCharCharChar2">
    <w:name w:val="Char2 Char Char Char Char Char Char Char Char Char Char Char1 Char Char Char Char Char Char Char2"/>
    <w:basedOn w:val="a2"/>
    <w:uiPriority w:val="99"/>
    <w:qFormat/>
    <w:pPr>
      <w:jc w:val="both"/>
    </w:pPr>
    <w:rPr>
      <w:rFonts w:ascii="Times New Roman"/>
    </w:rPr>
  </w:style>
  <w:style w:type="paragraph" w:customStyle="1" w:styleId="affffffffffffffffffffffffffd">
    <w:name w:val="编号下正文"/>
    <w:basedOn w:val="a2"/>
    <w:uiPriority w:val="99"/>
    <w:qFormat/>
    <w:pPr>
      <w:spacing w:afterLines="50" w:after="156" w:line="288" w:lineRule="auto"/>
      <w:ind w:firstLineChars="200" w:firstLine="200"/>
      <w:jc w:val="both"/>
    </w:pPr>
    <w:rPr>
      <w:bCs/>
      <w:sz w:val="24"/>
    </w:rPr>
  </w:style>
  <w:style w:type="paragraph" w:customStyle="1" w:styleId="CharCharCharCharCharCharCharCharChar1CharCharCharChar4">
    <w:name w:val="Char Char Char Char Char Char Char Char Char1 Char Char Char Char4"/>
    <w:basedOn w:val="a2"/>
    <w:semiHidden/>
    <w:pPr>
      <w:jc w:val="both"/>
    </w:pPr>
  </w:style>
  <w:style w:type="paragraph" w:customStyle="1" w:styleId="412">
    <w:name w:val="标题 41"/>
    <w:basedOn w:val="a2"/>
    <w:next w:val="a2"/>
    <w:uiPriority w:val="99"/>
    <w:qFormat/>
    <w:pPr>
      <w:snapToGrid w:val="0"/>
      <w:jc w:val="both"/>
      <w:textAlignment w:val="baseline"/>
    </w:pPr>
    <w:rPr>
      <w:rFonts w:ascii="宋体" w:hAnsi="宋体" w:hint="eastAsia"/>
      <w:sz w:val="32"/>
    </w:rPr>
  </w:style>
  <w:style w:type="paragraph" w:customStyle="1" w:styleId="11f8">
    <w:name w:val="正文首行缩进11"/>
    <w:basedOn w:val="aff9"/>
    <w:uiPriority w:val="99"/>
    <w:qFormat/>
    <w:pPr>
      <w:spacing w:line="360" w:lineRule="auto"/>
      <w:ind w:leftChars="11" w:left="23" w:firstLineChars="183" w:firstLine="439"/>
      <w:jc w:val="both"/>
    </w:pPr>
    <w:rPr>
      <w:rFonts w:hAnsi="Calibri"/>
      <w:kern w:val="0"/>
      <w:sz w:val="24"/>
    </w:rPr>
  </w:style>
  <w:style w:type="paragraph" w:customStyle="1" w:styleId="Char1CharCharCharCharCharChar5">
    <w:name w:val="Char1 Char Char Char Char Char Char5"/>
    <w:basedOn w:val="a2"/>
    <w:pPr>
      <w:spacing w:before="100" w:beforeAutospacing="1" w:after="100" w:afterAutospacing="1"/>
      <w:ind w:firstLineChars="200" w:firstLine="200"/>
    </w:pPr>
    <w:rPr>
      <w:rFonts w:ascii="Verdana" w:eastAsia="仿宋_GB2312" w:hAnsi="Verdana"/>
      <w:sz w:val="20"/>
      <w:lang w:eastAsia="en-US"/>
    </w:rPr>
  </w:style>
  <w:style w:type="paragraph" w:customStyle="1" w:styleId="xl76">
    <w:name w:val="xl76"/>
    <w:basedOn w:val="a2"/>
    <w:qFormat/>
    <w:pPr>
      <w:pBdr>
        <w:top w:val="single" w:sz="4" w:space="0" w:color="auto"/>
        <w:bottom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3140">
    <w:name w:val="标题 314"/>
    <w:basedOn w:val="a2"/>
    <w:next w:val="a2"/>
    <w:uiPriority w:val="99"/>
    <w:qFormat/>
    <w:pPr>
      <w:keepNext/>
      <w:keepLines/>
      <w:spacing w:before="120" w:after="120" w:line="500" w:lineRule="exact"/>
      <w:jc w:val="both"/>
      <w:textAlignment w:val="baseline"/>
    </w:pPr>
    <w:rPr>
      <w:rFonts w:ascii="宋体" w:eastAsia="黑体" w:hAnsi="宋体" w:hint="eastAsia"/>
      <w:sz w:val="30"/>
    </w:rPr>
  </w:style>
  <w:style w:type="paragraph" w:customStyle="1" w:styleId="CharCharChar1CharCharCharChar7">
    <w:name w:val="Char Char Char1 Char Char Char Char7"/>
    <w:basedOn w:val="a2"/>
    <w:uiPriority w:val="99"/>
    <w:qFormat/>
    <w:pPr>
      <w:spacing w:line="360" w:lineRule="auto"/>
      <w:jc w:val="both"/>
    </w:pPr>
  </w:style>
  <w:style w:type="paragraph" w:customStyle="1" w:styleId="CharCharChar1CharCharCharCharCharChar3">
    <w:name w:val="Char Char Char1 Char Char Char Char Char Char3"/>
    <w:basedOn w:val="a2"/>
    <w:uiPriority w:val="99"/>
    <w:qFormat/>
    <w:pPr>
      <w:jc w:val="both"/>
    </w:pPr>
    <w:rPr>
      <w:rFonts w:ascii="Times New Roman"/>
    </w:rPr>
  </w:style>
  <w:style w:type="paragraph" w:customStyle="1" w:styleId="xl41">
    <w:name w:val="xl4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211305053">
    <w:name w:val="样式 样式 标题 2 + 首行缩进:  1.13 厘米 + 段前: 0.5 行 段后: 0.5 行3"/>
    <w:basedOn w:val="2113"/>
    <w:uiPriority w:val="99"/>
    <w:qFormat/>
    <w:pPr>
      <w:spacing w:line="500" w:lineRule="exact"/>
    </w:pPr>
  </w:style>
  <w:style w:type="paragraph" w:customStyle="1" w:styleId="12f6">
    <w:name w:val="样式 表名 + 段后: 12 磅"/>
    <w:basedOn w:val="afffffffffffffffffff5"/>
    <w:uiPriority w:val="99"/>
    <w:qFormat/>
    <w:pPr>
      <w:keepNext/>
      <w:spacing w:before="120" w:after="120" w:line="420" w:lineRule="exact"/>
      <w:ind w:firstLineChars="200" w:firstLine="200"/>
      <w:outlineLvl w:val="4"/>
    </w:pPr>
    <w:rPr>
      <w:rFonts w:cs="宋体"/>
      <w:snapToGrid w:val="0"/>
      <w:color w:val="auto"/>
      <w:sz w:val="24"/>
      <w:szCs w:val="24"/>
    </w:rPr>
  </w:style>
  <w:style w:type="paragraph" w:customStyle="1" w:styleId="2fffff4">
    <w:name w:val="正文文本缩进2"/>
    <w:basedOn w:val="a2"/>
    <w:uiPriority w:val="99"/>
    <w:qFormat/>
    <w:pPr>
      <w:spacing w:after="120"/>
      <w:ind w:leftChars="200" w:left="200"/>
      <w:jc w:val="both"/>
    </w:pPr>
    <w:rPr>
      <w:sz w:val="20"/>
    </w:rPr>
  </w:style>
  <w:style w:type="paragraph" w:customStyle="1" w:styleId="affffffffffffffffffffffffffe">
    <w:name w:val="报告正文朱"/>
    <w:basedOn w:val="a2"/>
    <w:uiPriority w:val="99"/>
    <w:qFormat/>
    <w:pPr>
      <w:snapToGrid w:val="0"/>
      <w:spacing w:line="360" w:lineRule="auto"/>
      <w:ind w:firstLineChars="200" w:firstLine="200"/>
    </w:pPr>
    <w:rPr>
      <w:bCs/>
      <w:kern w:val="44"/>
      <w:sz w:val="24"/>
      <w:szCs w:val="44"/>
    </w:rPr>
  </w:style>
  <w:style w:type="paragraph" w:customStyle="1" w:styleId="afffffffffffffffffffffffffff">
    <w:name w:val="参加人员"/>
    <w:basedOn w:val="a2"/>
    <w:qFormat/>
    <w:pPr>
      <w:jc w:val="both"/>
    </w:pPr>
    <w:rPr>
      <w:sz w:val="24"/>
    </w:rPr>
  </w:style>
  <w:style w:type="paragraph" w:customStyle="1" w:styleId="319">
    <w:name w:val="样式 标题 3条 + 两端对齐1"/>
    <w:basedOn w:val="32"/>
    <w:qFormat/>
    <w:pPr>
      <w:keepNext w:val="0"/>
      <w:keepLines w:val="0"/>
      <w:tabs>
        <w:tab w:val="left" w:pos="290"/>
        <w:tab w:val="left" w:pos="500"/>
        <w:tab w:val="left" w:pos="1130"/>
        <w:tab w:val="left" w:pos="3229"/>
      </w:tabs>
      <w:snapToGrid w:val="0"/>
      <w:spacing w:before="156" w:after="156" w:line="440" w:lineRule="exact"/>
      <w:ind w:leftChars="50" w:left="480" w:hanging="480"/>
    </w:pPr>
    <w:rPr>
      <w:rFonts w:ascii="宋体" w:eastAsia="宋体" w:hAnsi="宋体" w:cs="宋体"/>
      <w:b w:val="0"/>
      <w:bCs w:val="0"/>
      <w:sz w:val="24"/>
      <w:szCs w:val="20"/>
    </w:rPr>
  </w:style>
  <w:style w:type="paragraph" w:customStyle="1" w:styleId="21111yjm22Heading2HiddenHeading1">
    <w:name w:val="样式 标题 2节标题 1.1标题 1.1标题 yjm2第一章 标题 2Heading 2 HiddenHeading...1"/>
    <w:basedOn w:val="22"/>
    <w:uiPriority w:val="99"/>
    <w:qFormat/>
    <w:pPr>
      <w:keepLines w:val="0"/>
      <w:snapToGrid w:val="0"/>
      <w:spacing w:beforeLines="50" w:before="156" w:after="0" w:line="360" w:lineRule="auto"/>
    </w:pPr>
    <w:rPr>
      <w:rFonts w:ascii="Arial" w:eastAsia="黑体" w:hAnsi="Arial" w:cs="宋体"/>
      <w:bCs w:val="0"/>
      <w:sz w:val="30"/>
      <w:szCs w:val="30"/>
    </w:rPr>
  </w:style>
  <w:style w:type="paragraph" w:customStyle="1" w:styleId="3TimesNewRoman1">
    <w:name w:val="样式 标题3 + Times New Roman 黑色"/>
    <w:basedOn w:val="32"/>
    <w:uiPriority w:val="99"/>
    <w:qFormat/>
    <w:pPr>
      <w:spacing w:before="80" w:after="0" w:line="360" w:lineRule="auto"/>
      <w:ind w:left="180"/>
    </w:pPr>
    <w:rPr>
      <w:rFonts w:ascii="Times New Roman" w:eastAsia="黑体"/>
      <w:b w:val="0"/>
      <w:bCs w:val="0"/>
      <w:color w:val="000000"/>
      <w:sz w:val="24"/>
      <w:szCs w:val="20"/>
      <w:lang w:val="zh-CN"/>
    </w:rPr>
  </w:style>
  <w:style w:type="paragraph" w:customStyle="1" w:styleId="afffffffffffffffffffffffffff0">
    <w:name w:val="条题"/>
    <w:basedOn w:val="a2"/>
    <w:qFormat/>
    <w:pPr>
      <w:tabs>
        <w:tab w:val="left" w:pos="1400"/>
      </w:tabs>
      <w:spacing w:line="420" w:lineRule="exact"/>
      <w:ind w:left="1400" w:hanging="840"/>
    </w:pPr>
    <w:rPr>
      <w:rFonts w:hAnsi="宋体"/>
      <w:b/>
      <w:bCs/>
      <w:color w:val="000000"/>
      <w:sz w:val="24"/>
    </w:rPr>
  </w:style>
  <w:style w:type="paragraph" w:customStyle="1" w:styleId="CharCharCharCharCharCharCharCharCharChar4">
    <w:name w:val="Char Char Char Char Char Char Char Char Char Char4"/>
    <w:basedOn w:val="a2"/>
    <w:qFormat/>
    <w:pPr>
      <w:jc w:val="both"/>
    </w:pPr>
    <w:rPr>
      <w:rFonts w:ascii="黑体" w:eastAsia="黑体" w:hAnsi="黑体"/>
      <w:b/>
      <w:spacing w:val="10"/>
    </w:rPr>
  </w:style>
  <w:style w:type="paragraph" w:customStyle="1" w:styleId="Char1CharCharCharCharCharChar1CharCharChar1">
    <w:name w:val="Char1 Char Char Char Char Char Char1 Char Char Char1"/>
    <w:basedOn w:val="a2"/>
    <w:next w:val="a2"/>
    <w:uiPriority w:val="99"/>
    <w:qFormat/>
    <w:pPr>
      <w:spacing w:line="360" w:lineRule="auto"/>
      <w:ind w:firstLineChars="200" w:firstLine="200"/>
      <w:jc w:val="center"/>
    </w:pPr>
    <w:rPr>
      <w:rFonts w:eastAsia="黑体"/>
    </w:rPr>
  </w:style>
  <w:style w:type="paragraph" w:customStyle="1" w:styleId="3fff8">
    <w:name w:val="正文3"/>
    <w:basedOn w:val="a2"/>
    <w:uiPriority w:val="99"/>
    <w:qFormat/>
    <w:pPr>
      <w:spacing w:before="100" w:after="100"/>
      <w:jc w:val="center"/>
      <w:textAlignment w:val="baseline"/>
    </w:pPr>
    <w:rPr>
      <w:sz w:val="17"/>
    </w:rPr>
  </w:style>
  <w:style w:type="paragraph" w:customStyle="1" w:styleId="SubSectionNum">
    <w:name w:val="SubSectionNum"/>
    <w:basedOn w:val="a2"/>
    <w:uiPriority w:val="99"/>
    <w:qFormat/>
    <w:pPr>
      <w:tabs>
        <w:tab w:val="left" w:pos="720"/>
      </w:tabs>
      <w:ind w:left="720" w:hanging="720"/>
      <w:jc w:val="both"/>
    </w:pPr>
    <w:rPr>
      <w:rFonts w:hAnsi="Arial"/>
      <w:b/>
      <w:bCs/>
      <w:sz w:val="24"/>
      <w:lang w:eastAsia="en-US"/>
    </w:rPr>
  </w:style>
  <w:style w:type="paragraph" w:customStyle="1" w:styleId="1fffffffc">
    <w:name w:val="正文文本首行缩进1"/>
    <w:basedOn w:val="af4"/>
    <w:uiPriority w:val="99"/>
    <w:qFormat/>
    <w:pPr>
      <w:ind w:firstLineChars="100" w:firstLine="420"/>
      <w:jc w:val="both"/>
    </w:pPr>
    <w:rPr>
      <w:rFonts w:hAnsi="Calibri"/>
      <w:sz w:val="28"/>
      <w:szCs w:val="24"/>
    </w:rPr>
  </w:style>
  <w:style w:type="paragraph" w:customStyle="1" w:styleId="afffffffffffffffffffffffffff1">
    <w:name w:val="杠式表格"/>
    <w:basedOn w:val="a2"/>
    <w:uiPriority w:val="99"/>
    <w:qFormat/>
    <w:pPr>
      <w:spacing w:after="60" w:line="312" w:lineRule="atLeast"/>
      <w:jc w:val="center"/>
      <w:textAlignment w:val="baseline"/>
    </w:pPr>
  </w:style>
  <w:style w:type="paragraph" w:customStyle="1" w:styleId="HTML30">
    <w:name w:val="HTML 预设格式3"/>
    <w:basedOn w:val="a2"/>
    <w:uiPriority w:val="99"/>
    <w:qFormat/>
    <w:pPr>
      <w:jc w:val="both"/>
    </w:pPr>
    <w:rPr>
      <w:rFonts w:ascii="Courier New" w:hAnsi="Courier New"/>
      <w:sz w:val="20"/>
    </w:rPr>
  </w:style>
  <w:style w:type="paragraph" w:customStyle="1" w:styleId="CharChar1CharCharCharCharCharCharCharChar">
    <w:name w:val="Char Char1 Char Char Char Char Char Char Char Char"/>
    <w:basedOn w:val="a2"/>
    <w:semiHidden/>
    <w:pPr>
      <w:autoSpaceDE/>
      <w:autoSpaceDN/>
      <w:adjustRightInd/>
      <w:spacing w:line="360" w:lineRule="auto"/>
      <w:ind w:firstLineChars="200" w:firstLine="200"/>
      <w:jc w:val="both"/>
    </w:pPr>
    <w:rPr>
      <w:rFonts w:cs="黑体"/>
    </w:rPr>
  </w:style>
  <w:style w:type="paragraph" w:customStyle="1" w:styleId="afffffffffffffffffffffffffff2">
    <w:name w:val="a封面－项目名称"/>
    <w:basedOn w:val="a2"/>
    <w:next w:val="a2"/>
    <w:uiPriority w:val="99"/>
    <w:qFormat/>
    <w:pPr>
      <w:spacing w:beforeLines="50" w:before="120" w:afterLines="50" w:after="120" w:line="360" w:lineRule="auto"/>
      <w:jc w:val="center"/>
    </w:pPr>
    <w:rPr>
      <w:rFonts w:eastAsia="黑体"/>
      <w:b/>
      <w:sz w:val="48"/>
    </w:rPr>
  </w:style>
  <w:style w:type="paragraph" w:customStyle="1" w:styleId="2fffff5">
    <w:name w:val="样式 正文格式 + 宋体 首行缩进:  2 字符"/>
    <w:basedOn w:val="a2"/>
    <w:qFormat/>
    <w:pPr>
      <w:spacing w:line="360" w:lineRule="auto"/>
    </w:pPr>
    <w:rPr>
      <w:rFonts w:ascii="宋体" w:eastAsia="宋体" w:cs="宋体"/>
      <w:sz w:val="24"/>
    </w:rPr>
  </w:style>
  <w:style w:type="paragraph" w:customStyle="1" w:styleId="11f9">
    <w:name w:val="访问过的超链接11"/>
    <w:next w:val="a2"/>
    <w:uiPriority w:val="99"/>
    <w:qFormat/>
    <w:rPr>
      <w:rFonts w:ascii="Times New Roman" w:eastAsia="宋体" w:hAnsi="Times New Roman" w:cs="Times New Roman"/>
      <w:kern w:val="2"/>
      <w:sz w:val="21"/>
      <w:szCs w:val="24"/>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2"/>
    <w:pPr>
      <w:spacing w:after="160" w:line="240" w:lineRule="exact"/>
    </w:pPr>
    <w:rPr>
      <w:rFonts w:ascii="Verdana" w:hAnsi="Verdana"/>
      <w:sz w:val="20"/>
      <w:lang w:eastAsia="en-US"/>
    </w:rPr>
  </w:style>
  <w:style w:type="paragraph" w:customStyle="1" w:styleId="afffffffffffffffffffffffffff3">
    <w:name w:val="总题"/>
    <w:next w:val="aff7"/>
    <w:uiPriority w:val="99"/>
    <w:qFormat/>
    <w:pPr>
      <w:spacing w:before="100" w:beforeAutospacing="1" w:after="100" w:afterAutospacing="1" w:line="480" w:lineRule="auto"/>
      <w:jc w:val="center"/>
    </w:pPr>
    <w:rPr>
      <w:rFonts w:ascii="Times New Roman" w:eastAsia="黑体" w:hAnsi="Times New Roman" w:cs="Times New Roman"/>
      <w:b/>
      <w:spacing w:val="20"/>
      <w:sz w:val="44"/>
    </w:rPr>
  </w:style>
  <w:style w:type="paragraph" w:customStyle="1" w:styleId="CM4">
    <w:name w:val="CM4"/>
    <w:basedOn w:val="Default"/>
    <w:next w:val="Default"/>
    <w:uiPriority w:val="99"/>
    <w:qFormat/>
    <w:pPr>
      <w:spacing w:beforeLines="0" w:before="0" w:afterLines="0" w:after="0" w:line="240" w:lineRule="auto"/>
      <w:ind w:firstLineChars="0" w:firstLine="0"/>
    </w:pPr>
    <w:rPr>
      <w:rFonts w:ascii="新宋体" w:eastAsia="新宋体" w:cs="Times New Roman"/>
      <w:color w:val="auto"/>
    </w:rPr>
  </w:style>
  <w:style w:type="paragraph" w:customStyle="1" w:styleId="Char4CharCharCharCharChar2">
    <w:name w:val="Char4 Char Char Char Char Char2"/>
    <w:basedOn w:val="a2"/>
    <w:uiPriority w:val="99"/>
    <w:qFormat/>
    <w:pPr>
      <w:jc w:val="both"/>
    </w:pPr>
    <w:rPr>
      <w:rFonts w:ascii="Times New Roman"/>
    </w:rPr>
  </w:style>
  <w:style w:type="paragraph" w:customStyle="1" w:styleId="CharCharChar1CharCharCharChar6">
    <w:name w:val="Char Char Char1 Char Char Char Char6"/>
    <w:basedOn w:val="a2"/>
    <w:uiPriority w:val="99"/>
    <w:qFormat/>
    <w:pPr>
      <w:spacing w:line="360" w:lineRule="auto"/>
      <w:jc w:val="both"/>
    </w:pPr>
  </w:style>
  <w:style w:type="paragraph" w:customStyle="1" w:styleId="07720">
    <w:name w:val="样式 首行缩进:  0.77 厘米 行距: 固定值 20 磅"/>
    <w:basedOn w:val="a2"/>
    <w:uiPriority w:val="99"/>
    <w:qFormat/>
    <w:pPr>
      <w:spacing w:line="360" w:lineRule="auto"/>
      <w:ind w:firstLineChars="200" w:firstLine="480"/>
      <w:jc w:val="both"/>
    </w:pPr>
    <w:rPr>
      <w:rFonts w:ascii="宋体" w:cs="宋体"/>
      <w:sz w:val="24"/>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2"/>
    <w:uiPriority w:val="99"/>
    <w:qFormat/>
    <w:pPr>
      <w:jc w:val="both"/>
    </w:pPr>
    <w:rPr>
      <w:rFonts w:ascii="Times New Roman"/>
    </w:rPr>
  </w:style>
  <w:style w:type="paragraph" w:customStyle="1" w:styleId="Char3CharChar1Char11">
    <w:name w:val="Char3 Char Char1 Char11"/>
    <w:basedOn w:val="a2"/>
    <w:uiPriority w:val="99"/>
    <w:qFormat/>
    <w:pPr>
      <w:jc w:val="both"/>
    </w:pPr>
    <w:rPr>
      <w:rFonts w:ascii="Times New Roman"/>
    </w:rPr>
  </w:style>
  <w:style w:type="paragraph" w:customStyle="1" w:styleId="CharCharCharCharCharCharCharCharChar4">
    <w:name w:val="Char Char Char Char Char Char Char Char Char4"/>
    <w:basedOn w:val="a2"/>
    <w:qFormat/>
    <w:rPr>
      <w:sz w:val="24"/>
    </w:rPr>
  </w:style>
  <w:style w:type="paragraph" w:customStyle="1" w:styleId="2fffff6">
    <w:name w:val="环标2"/>
    <w:basedOn w:val="22"/>
    <w:qFormat/>
    <w:pPr>
      <w:spacing w:before="60" w:after="60" w:line="312" w:lineRule="atLeast"/>
      <w:textAlignment w:val="baseline"/>
    </w:pPr>
    <w:rPr>
      <w:rFonts w:ascii="黑体" w:eastAsia="黑体" w:hAnsi="Arial" w:cs="Times New Roman"/>
      <w:b w:val="0"/>
      <w:bCs w:val="0"/>
      <w:sz w:val="28"/>
      <w:szCs w:val="20"/>
    </w:rPr>
  </w:style>
  <w:style w:type="paragraph" w:customStyle="1" w:styleId="xl70">
    <w:name w:val="xl70"/>
    <w:basedOn w:val="a2"/>
    <w:qFormat/>
    <w:pPr>
      <w:spacing w:before="100" w:beforeAutospacing="1" w:after="100" w:afterAutospacing="1"/>
      <w:jc w:val="center"/>
      <w:textAlignment w:val="center"/>
    </w:pPr>
    <w:rPr>
      <w:rFonts w:ascii="宋体" w:hAnsi="宋体" w:cs="宋体"/>
      <w:b/>
      <w:bCs/>
      <w:sz w:val="24"/>
    </w:rPr>
  </w:style>
  <w:style w:type="paragraph" w:customStyle="1" w:styleId="xl85">
    <w:name w:val="xl85"/>
    <w:basedOn w:val="a2"/>
    <w:qFormat/>
    <w:pPr>
      <w:spacing w:before="100" w:beforeAutospacing="1" w:after="100" w:afterAutospacing="1"/>
      <w:jc w:val="center"/>
    </w:pPr>
    <w:rPr>
      <w:sz w:val="18"/>
      <w:szCs w:val="18"/>
    </w:rPr>
  </w:style>
  <w:style w:type="paragraph" w:customStyle="1" w:styleId="CharCharCharCharCharCharCharCharCharCharCharCharCharCharCharCharCharChar2">
    <w:name w:val="Char Char Char Char Char Char Char Char Char Char Char Char Char Char Char Char Char Char2"/>
    <w:basedOn w:val="a2"/>
    <w:uiPriority w:val="99"/>
    <w:qFormat/>
  </w:style>
  <w:style w:type="paragraph" w:customStyle="1" w:styleId="Char2CharChar1">
    <w:name w:val="Char2 Char Char1"/>
    <w:basedOn w:val="a2"/>
    <w:uiPriority w:val="99"/>
    <w:qFormat/>
    <w:pPr>
      <w:jc w:val="both"/>
    </w:pPr>
    <w:rPr>
      <w:sz w:val="24"/>
    </w:rPr>
  </w:style>
  <w:style w:type="paragraph" w:customStyle="1" w:styleId="CharCharCharCharCharCharChar41">
    <w:name w:val="Char Char Char Char Char Char Char4"/>
    <w:basedOn w:val="a2"/>
    <w:uiPriority w:val="99"/>
    <w:qFormat/>
    <w:pPr>
      <w:spacing w:line="360" w:lineRule="auto"/>
      <w:ind w:firstLineChars="200" w:firstLine="200"/>
      <w:jc w:val="both"/>
    </w:pPr>
  </w:style>
  <w:style w:type="paragraph" w:customStyle="1" w:styleId="21130505">
    <w:name w:val="样式 样式 标题 2 + 首行缩进:  1.13 厘米 + 段前: 0.5 行 段后: 0.5 行"/>
    <w:basedOn w:val="2113"/>
    <w:uiPriority w:val="99"/>
    <w:qFormat/>
  </w:style>
  <w:style w:type="paragraph" w:customStyle="1" w:styleId="afffffffffffffffffffffffffff4">
    <w:name w:val="表头、图尾"/>
    <w:basedOn w:val="a2"/>
    <w:next w:val="a2"/>
    <w:qFormat/>
    <w:pPr>
      <w:wordWrap w:val="0"/>
      <w:autoSpaceDE/>
      <w:autoSpaceDN/>
      <w:adjustRightInd/>
      <w:spacing w:beforeLines="20" w:before="48" w:afterLines="10" w:after="24"/>
      <w:jc w:val="center"/>
      <w:outlineLvl w:val="3"/>
    </w:pPr>
    <w:rPr>
      <w:b/>
    </w:rPr>
  </w:style>
  <w:style w:type="paragraph" w:customStyle="1" w:styleId="afffffffffffffffffffffffffff5">
    <w:name w:val="标题一"/>
    <w:basedOn w:val="12"/>
    <w:qFormat/>
    <w:pPr>
      <w:widowControl/>
      <w:tabs>
        <w:tab w:val="left" w:pos="1155"/>
      </w:tabs>
      <w:spacing w:beforeLines="100" w:before="312" w:afterLines="100" w:after="312"/>
      <w:textAlignment w:val="auto"/>
    </w:pPr>
    <w:rPr>
      <w:rFonts w:cs="Arial"/>
      <w:b/>
      <w:color w:val="FF0000"/>
      <w:sz w:val="36"/>
      <w:szCs w:val="36"/>
    </w:rPr>
  </w:style>
  <w:style w:type="paragraph" w:customStyle="1" w:styleId="ParaCharCharCharCharCharCharCharCharCharCharCharCharCharCharCharChar">
    <w:name w:val="默认段落字体 Para Char Char Char Char Char Char Char Char Char Char Char Char Char Char Char Char"/>
    <w:basedOn w:val="a2"/>
    <w:qFormat/>
    <w:pPr>
      <w:jc w:val="both"/>
    </w:pPr>
  </w:style>
  <w:style w:type="paragraph" w:customStyle="1" w:styleId="22Heading2HiddenHeading2CCBSheading2H2h21">
    <w:name w:val="样式 标题 2第一章 标题 2Heading 2 HiddenHeading 2 CCBSheading 2H2h2...1"/>
    <w:basedOn w:val="22"/>
    <w:qFormat/>
    <w:pPr>
      <w:spacing w:before="120" w:after="120" w:line="500" w:lineRule="exact"/>
      <w:jc w:val="both"/>
    </w:pPr>
    <w:rPr>
      <w:rFonts w:ascii="Times New Roman" w:eastAsia="仿宋_GB2312" w:hAnsi="Times New Roman" w:cs="宋体"/>
      <w:sz w:val="28"/>
      <w:szCs w:val="20"/>
    </w:rPr>
  </w:style>
  <w:style w:type="paragraph" w:customStyle="1" w:styleId="1121">
    <w:name w:val="样式 目录 1 + 行距: 最小值 12 磅1"/>
    <w:basedOn w:val="13"/>
    <w:uiPriority w:val="99"/>
    <w:qFormat/>
    <w:pPr>
      <w:tabs>
        <w:tab w:val="right" w:leader="dot" w:pos="8296"/>
        <w:tab w:val="left" w:leader="dot" w:pos="8461"/>
        <w:tab w:val="right" w:leader="dot" w:pos="9100"/>
      </w:tabs>
      <w:snapToGrid w:val="0"/>
      <w:spacing w:line="500" w:lineRule="atLeast"/>
    </w:pPr>
    <w:rPr>
      <w:rFonts w:eastAsia="黑体"/>
      <w:b w:val="0"/>
      <w:bCs w:val="0"/>
      <w:caps w:val="0"/>
    </w:rPr>
  </w:style>
  <w:style w:type="paragraph" w:customStyle="1" w:styleId="CharCharCharChar1CharCharCharCharCharCharChar4">
    <w:name w:val="Char Char Char Char1 Char Char Char Char Char Char Char4"/>
    <w:basedOn w:val="a2"/>
    <w:pPr>
      <w:tabs>
        <w:tab w:val="left" w:pos="360"/>
      </w:tabs>
      <w:snapToGrid w:val="0"/>
      <w:spacing w:line="360" w:lineRule="auto"/>
      <w:jc w:val="both"/>
    </w:pPr>
    <w:rPr>
      <w:rFonts w:eastAsia="仿宋_GB2312" w:cs="宋体"/>
      <w:sz w:val="24"/>
    </w:rPr>
  </w:style>
  <w:style w:type="paragraph" w:customStyle="1" w:styleId="xl101">
    <w:name w:val="xl101"/>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afffffffffffffffffffffffffff6">
    <w:name w:val="自动表格内部"/>
    <w:basedOn w:val="a2"/>
    <w:uiPriority w:val="99"/>
    <w:qFormat/>
    <w:pPr>
      <w:snapToGrid w:val="0"/>
      <w:jc w:val="center"/>
    </w:pPr>
  </w:style>
  <w:style w:type="paragraph" w:customStyle="1" w:styleId="Char2CharCharCharCharCharCharCharCharCharCharCharCharCharCharCharCharCharCharCharCharChar4">
    <w:name w:val="Char2 Char Char Char Char Char Char Char Char Char Char Char Char Char Char Char Char Char Char Char Char Char4"/>
    <w:basedOn w:val="a2"/>
    <w:uiPriority w:val="99"/>
    <w:qFormat/>
    <w:pPr>
      <w:snapToGrid w:val="0"/>
      <w:spacing w:line="360" w:lineRule="auto"/>
      <w:ind w:firstLineChars="200" w:firstLine="200"/>
      <w:jc w:val="both"/>
    </w:pPr>
    <w:rPr>
      <w:rFonts w:eastAsia="仿宋_GB2312"/>
      <w:sz w:val="24"/>
    </w:rPr>
  </w:style>
  <w:style w:type="paragraph" w:customStyle="1" w:styleId="e0">
    <w:name w:val="正文e"/>
    <w:basedOn w:val="a2"/>
    <w:qFormat/>
    <w:pPr>
      <w:jc w:val="both"/>
    </w:pPr>
    <w:rPr>
      <w:rFonts w:hAnsi="Arial" w:cs="Arial"/>
      <w:sz w:val="24"/>
    </w:rPr>
  </w:style>
  <w:style w:type="paragraph" w:customStyle="1" w:styleId="5f5">
    <w:name w:val="5号表文"/>
    <w:uiPriority w:val="99"/>
    <w:qFormat/>
    <w:pPr>
      <w:widowControl w:val="0"/>
      <w:adjustRightInd w:val="0"/>
      <w:snapToGrid w:val="0"/>
      <w:spacing w:line="360" w:lineRule="auto"/>
      <w:jc w:val="both"/>
    </w:pPr>
    <w:rPr>
      <w:rFonts w:ascii="仿宋_GB2312" w:eastAsia="仿宋_GB2312" w:hAnsi="Times New Roman" w:cs="Times New Roman"/>
      <w:kern w:val="2"/>
      <w:sz w:val="28"/>
    </w:rPr>
  </w:style>
  <w:style w:type="paragraph" w:customStyle="1" w:styleId="5f6">
    <w:name w:val="表格（5号）"/>
    <w:basedOn w:val="a2"/>
    <w:pPr>
      <w:tabs>
        <w:tab w:val="left" w:pos="900"/>
      </w:tabs>
      <w:spacing w:line="240" w:lineRule="exact"/>
      <w:jc w:val="center"/>
    </w:pPr>
    <w:rPr>
      <w:rFonts w:hAnsi="Arial"/>
      <w:color w:val="000000"/>
      <w:kern w:val="18"/>
      <w:sz w:val="18"/>
    </w:rPr>
  </w:style>
  <w:style w:type="paragraph" w:customStyle="1" w:styleId="236">
    <w:name w:val="纯文本23"/>
    <w:basedOn w:val="a2"/>
    <w:qFormat/>
    <w:pPr>
      <w:jc w:val="both"/>
      <w:textAlignment w:val="baseline"/>
    </w:pPr>
    <w:rPr>
      <w:rFonts w:ascii="宋体" w:hAnsi="Courier New"/>
    </w:rPr>
  </w:style>
  <w:style w:type="paragraph" w:customStyle="1" w:styleId="GB-1">
    <w:name w:val="GB-1"/>
    <w:pPr>
      <w:keepNext/>
      <w:numPr>
        <w:numId w:val="14"/>
      </w:numPr>
      <w:autoSpaceDE w:val="0"/>
      <w:autoSpaceDN w:val="0"/>
      <w:spacing w:line="480" w:lineRule="auto"/>
      <w:outlineLvl w:val="0"/>
    </w:pPr>
    <w:rPr>
      <w:rFonts w:ascii="黑体" w:eastAsia="黑体" w:hAnsi="Times New Roman" w:cs="Times New Roman"/>
      <w:sz w:val="24"/>
      <w:szCs w:val="21"/>
    </w:rPr>
  </w:style>
  <w:style w:type="paragraph" w:customStyle="1" w:styleId="afffffffffffffffffffffffffff7">
    <w:name w:val="小表格"/>
    <w:basedOn w:val="affffd"/>
    <w:qFormat/>
    <w:pPr>
      <w:widowControl w:val="0"/>
      <w:overflowPunct w:val="0"/>
      <w:spacing w:line="240" w:lineRule="auto"/>
      <w:textAlignment w:val="auto"/>
    </w:pPr>
    <w:rPr>
      <w:rFonts w:ascii="仿宋_GB2312" w:hAnsi="Times New Roman"/>
      <w:szCs w:val="20"/>
    </w:rPr>
  </w:style>
  <w:style w:type="paragraph" w:customStyle="1" w:styleId="2fffff7">
    <w:name w:val="样式 标题 2节 + 宋体 加粗 左"/>
    <w:basedOn w:val="22"/>
    <w:qFormat/>
    <w:pPr>
      <w:tabs>
        <w:tab w:val="left" w:pos="1275"/>
      </w:tabs>
      <w:spacing w:before="0" w:after="0" w:line="360" w:lineRule="auto"/>
    </w:pPr>
    <w:rPr>
      <w:rFonts w:ascii="宋体" w:eastAsia="宋体" w:hAnsi="宋体" w:cs="Times New Roman"/>
      <w:sz w:val="28"/>
      <w:szCs w:val="20"/>
    </w:rPr>
  </w:style>
  <w:style w:type="paragraph" w:customStyle="1" w:styleId="41111h4H4Fab-4T5PIM4RefHeading1rh1Headin">
    <w:name w:val="样式 标题 4款标题1.1.1.1h4H4Fab-4T5PIM 4Ref Heading 1rh1Headin..."/>
    <w:basedOn w:val="41"/>
    <w:uiPriority w:val="99"/>
    <w:qFormat/>
    <w:pPr>
      <w:keepNext w:val="0"/>
      <w:keepLines w:val="0"/>
      <w:spacing w:beforeLines="0" w:before="0"/>
      <w:ind w:leftChars="0" w:left="0" w:rightChars="0" w:right="0"/>
    </w:pPr>
    <w:rPr>
      <w:rFonts w:ascii="Times New Roman" w:eastAsia="宋体"/>
      <w:b/>
      <w:szCs w:val="21"/>
    </w:rPr>
  </w:style>
  <w:style w:type="paragraph" w:customStyle="1" w:styleId="CharChar1CharCharCharChar14">
    <w:name w:val="Char Char1 Char Char Char Char14"/>
    <w:basedOn w:val="a2"/>
    <w:qFormat/>
    <w:rPr>
      <w:sz w:val="24"/>
    </w:rPr>
  </w:style>
  <w:style w:type="paragraph" w:customStyle="1" w:styleId="33CharCharh3H3level3PIM3Level3HeadHeadin">
    <w:name w:val="样式 标题 3标题 3 Char Char头h3H3level_3PIM 3Level 3 HeadHeadin..."/>
    <w:basedOn w:val="32"/>
    <w:uiPriority w:val="99"/>
    <w:qFormat/>
    <w:pPr>
      <w:spacing w:before="0" w:after="0" w:line="500" w:lineRule="exact"/>
      <w:jc w:val="center"/>
    </w:pPr>
    <w:rPr>
      <w:rFonts w:ascii="仿宋_GB2312" w:eastAsia="仿宋_GB2312" w:cs="宋体"/>
      <w:sz w:val="28"/>
      <w:szCs w:val="20"/>
    </w:rPr>
  </w:style>
  <w:style w:type="paragraph" w:customStyle="1" w:styleId="xl53">
    <w:name w:val="xl53"/>
    <w:basedOn w:val="a2"/>
    <w:qFormat/>
    <w:pPr>
      <w:widowControl/>
      <w:pBdr>
        <w:left w:val="single" w:sz="8" w:space="0" w:color="auto"/>
      </w:pBdr>
      <w:spacing w:before="100" w:beforeAutospacing="1" w:after="100" w:afterAutospacing="1"/>
    </w:pPr>
    <w:rPr>
      <w:rFonts w:eastAsia="Arial Unicode MS"/>
    </w:rPr>
  </w:style>
  <w:style w:type="paragraph" w:customStyle="1" w:styleId="reader-word-layerreader-word-s1-10">
    <w:name w:val="reader-word-layer reader-word-s1-10"/>
    <w:basedOn w:val="a2"/>
    <w:uiPriority w:val="99"/>
    <w:qFormat/>
    <w:pPr>
      <w:spacing w:before="100" w:beforeAutospacing="1" w:after="100" w:afterAutospacing="1"/>
    </w:pPr>
    <w:rPr>
      <w:rFonts w:ascii="宋体" w:hAnsi="宋体" w:cs="宋体"/>
      <w:sz w:val="24"/>
    </w:rPr>
  </w:style>
  <w:style w:type="paragraph" w:customStyle="1" w:styleId="242">
    <w:name w:val="正文文本缩进 24"/>
    <w:basedOn w:val="a2"/>
    <w:uiPriority w:val="99"/>
    <w:qFormat/>
    <w:pPr>
      <w:spacing w:after="120" w:line="480" w:lineRule="auto"/>
      <w:ind w:left="420"/>
      <w:jc w:val="both"/>
      <w:textAlignment w:val="baseline"/>
    </w:pPr>
    <w:rPr>
      <w:rFonts w:ascii="宋体" w:hAnsi="宋体" w:hint="eastAsia"/>
      <w:sz w:val="24"/>
    </w:rPr>
  </w:style>
  <w:style w:type="paragraph" w:customStyle="1" w:styleId="CharCharCharCharCharCharCharCharChar1CharCharCharCharCharChar12">
    <w:name w:val="Char Char Char Char Char Char Char Char Char1 Char Char Char Char Char Char12"/>
    <w:basedOn w:val="a2"/>
    <w:uiPriority w:val="99"/>
    <w:qFormat/>
    <w:pPr>
      <w:jc w:val="both"/>
    </w:pPr>
  </w:style>
  <w:style w:type="paragraph" w:customStyle="1" w:styleId="afffffffffffffffffffffffffff8">
    <w:name w:val="论文表名"/>
    <w:basedOn w:val="a2"/>
    <w:uiPriority w:val="99"/>
    <w:qFormat/>
    <w:pPr>
      <w:snapToGrid w:val="0"/>
      <w:spacing w:beforeLines="50" w:before="156" w:afterLines="20" w:after="62" w:line="360" w:lineRule="auto"/>
      <w:ind w:firstLineChars="200" w:firstLine="200"/>
      <w:jc w:val="center"/>
    </w:pPr>
    <w:rPr>
      <w:rFonts w:eastAsia="黑体" w:hAnsi="Arial"/>
      <w:sz w:val="24"/>
    </w:rPr>
  </w:style>
  <w:style w:type="paragraph" w:customStyle="1" w:styleId="Style35">
    <w:name w:val="_Style 35"/>
    <w:basedOn w:val="a2"/>
    <w:uiPriority w:val="99"/>
    <w:qFormat/>
    <w:pPr>
      <w:jc w:val="both"/>
    </w:pPr>
  </w:style>
  <w:style w:type="paragraph" w:customStyle="1" w:styleId="CharCharChar1CharCharCharCharCharChar5">
    <w:name w:val="Char Char Char1 Char Char Char Char Char Char5"/>
    <w:basedOn w:val="a2"/>
    <w:pPr>
      <w:jc w:val="both"/>
    </w:pPr>
    <w:rPr>
      <w:sz w:val="24"/>
    </w:rPr>
  </w:style>
  <w:style w:type="paragraph" w:customStyle="1" w:styleId="afffffffffffffffffffffffffff9">
    <w:name w:val="环表头"/>
    <w:basedOn w:val="afffffffffffffffffffffffffffa"/>
    <w:next w:val="a2"/>
    <w:qFormat/>
    <w:pPr>
      <w:tabs>
        <w:tab w:val="left" w:pos="283"/>
      </w:tabs>
      <w:suppressAutoHyphens w:val="0"/>
      <w:spacing w:before="62" w:after="31"/>
      <w:ind w:left="0" w:right="0" w:firstLineChars="175" w:firstLine="420"/>
    </w:pPr>
    <w:rPr>
      <w:rFonts w:ascii="宋体" w:hAnsi="宋体"/>
      <w:bCs w:val="0"/>
      <w:color w:val="auto"/>
    </w:rPr>
  </w:style>
  <w:style w:type="paragraph" w:customStyle="1" w:styleId="afffffffffffffffffffffffffffa">
    <w:name w:val="环正文"/>
    <w:basedOn w:val="a2"/>
    <w:qFormat/>
    <w:pPr>
      <w:widowControl/>
      <w:suppressAutoHyphens/>
      <w:snapToGrid w:val="0"/>
      <w:spacing w:line="360" w:lineRule="auto"/>
      <w:ind w:left="-24" w:right="6" w:firstLineChars="200" w:firstLine="480"/>
      <w:textAlignment w:val="baseline"/>
    </w:pPr>
    <w:rPr>
      <w:bCs/>
      <w:color w:val="000000"/>
      <w:sz w:val="24"/>
    </w:rPr>
  </w:style>
  <w:style w:type="paragraph" w:customStyle="1" w:styleId="6f">
    <w:name w:val="正文6"/>
    <w:qFormat/>
    <w:pPr>
      <w:widowControl w:val="0"/>
      <w:adjustRightInd w:val="0"/>
      <w:spacing w:line="312" w:lineRule="atLeast"/>
      <w:jc w:val="both"/>
      <w:textAlignment w:val="baseline"/>
    </w:pPr>
    <w:rPr>
      <w:rFonts w:ascii="Arial" w:eastAsia="楷体_GB2312" w:hAnsi="Times New Roman" w:cs="Times New Roman"/>
      <w:spacing w:val="-6"/>
      <w:sz w:val="28"/>
    </w:rPr>
  </w:style>
  <w:style w:type="paragraph" w:customStyle="1" w:styleId="1fffffffd">
    <w:name w:val="正文文字缩进1"/>
    <w:basedOn w:val="a2"/>
    <w:next w:val="af5"/>
    <w:uiPriority w:val="99"/>
    <w:qFormat/>
    <w:pPr>
      <w:spacing w:line="360" w:lineRule="atLeast"/>
      <w:ind w:firstLine="425"/>
      <w:jc w:val="both"/>
      <w:textAlignment w:val="baseline"/>
    </w:pPr>
    <w:rPr>
      <w:rFonts w:ascii="宋体" w:hAnsi="Tms Rmn" w:cs="宋体"/>
      <w:szCs w:val="28"/>
    </w:rPr>
  </w:style>
  <w:style w:type="paragraph" w:customStyle="1" w:styleId="ft02">
    <w:name w:val="ft02"/>
    <w:basedOn w:val="a2"/>
    <w:uiPriority w:val="99"/>
    <w:qFormat/>
    <w:pPr>
      <w:spacing w:line="345" w:lineRule="atLeast"/>
    </w:pPr>
    <w:rPr>
      <w:rFonts w:ascii="Times" w:hAnsi="Times" w:cs="Times"/>
      <w:color w:val="000000"/>
    </w:rPr>
  </w:style>
  <w:style w:type="paragraph" w:customStyle="1" w:styleId="2fffff8">
    <w:name w:val="标题2级"/>
    <w:basedOn w:val="22"/>
    <w:uiPriority w:val="99"/>
    <w:qFormat/>
    <w:pPr>
      <w:spacing w:before="0" w:after="0" w:line="360" w:lineRule="auto"/>
    </w:pPr>
    <w:rPr>
      <w:rFonts w:ascii="Times New Roman" w:eastAsia="宋体" w:hAnsi="Times New Roman" w:cs="Times New Roman"/>
      <w:b w:val="0"/>
      <w:bCs w:val="0"/>
      <w:sz w:val="28"/>
      <w:szCs w:val="20"/>
    </w:rPr>
  </w:style>
  <w:style w:type="paragraph" w:customStyle="1" w:styleId="newstext">
    <w:name w:val="news_text"/>
    <w:basedOn w:val="a2"/>
    <w:uiPriority w:val="99"/>
    <w:qFormat/>
    <w:pPr>
      <w:spacing w:before="100" w:beforeAutospacing="1" w:after="100" w:afterAutospacing="1"/>
    </w:pPr>
    <w:rPr>
      <w:rFonts w:ascii="宋体" w:hAnsi="宋体" w:cs="宋体"/>
      <w:color w:val="000000"/>
      <w:sz w:val="22"/>
      <w:szCs w:val="22"/>
    </w:rPr>
  </w:style>
  <w:style w:type="paragraph" w:customStyle="1" w:styleId="3fff9">
    <w:name w:val="标题3级"/>
    <w:basedOn w:val="2fffff8"/>
    <w:uiPriority w:val="99"/>
    <w:qFormat/>
  </w:style>
  <w:style w:type="paragraph" w:customStyle="1" w:styleId="CharChar1CharCharCharCharCharCharCharCharCharCharCharCharChar4">
    <w:name w:val="Char Char1 Char Char Char Char Char Char Char Char Char Char Char Char Char4"/>
    <w:basedOn w:val="a2"/>
    <w:uiPriority w:val="99"/>
    <w:qFormat/>
    <w:pPr>
      <w:spacing w:line="360" w:lineRule="auto"/>
      <w:ind w:firstLineChars="200" w:firstLine="200"/>
      <w:jc w:val="both"/>
    </w:pPr>
    <w:rPr>
      <w:rFonts w:ascii="宋体" w:hAnsi="宋体" w:cs="宋体"/>
      <w:sz w:val="24"/>
    </w:rPr>
  </w:style>
  <w:style w:type="paragraph" w:customStyle="1" w:styleId="2tt">
    <w:name w:val="标题2tt"/>
    <w:basedOn w:val="a2"/>
    <w:qFormat/>
    <w:pPr>
      <w:spacing w:line="360" w:lineRule="auto"/>
    </w:pPr>
    <w:rPr>
      <w:b/>
      <w:szCs w:val="28"/>
    </w:rPr>
  </w:style>
  <w:style w:type="paragraph" w:customStyle="1" w:styleId="21f3">
    <w:name w:val="列表21"/>
    <w:basedOn w:val="a2"/>
    <w:uiPriority w:val="99"/>
    <w:qFormat/>
    <w:pPr>
      <w:spacing w:line="360" w:lineRule="exact"/>
      <w:jc w:val="center"/>
    </w:pPr>
    <w:rPr>
      <w:rFonts w:ascii="Times New Roman" w:eastAsia="仿宋_GB2312" w:hint="eastAsia"/>
    </w:rPr>
  </w:style>
  <w:style w:type="paragraph" w:customStyle="1" w:styleId="282525">
    <w:name w:val="样式 样式 样式 行距: 固定值 28 磅 + 首行缩进:  2.5 字符 + 首行缩进:  2.5 字符"/>
    <w:basedOn w:val="2825"/>
    <w:uiPriority w:val="99"/>
    <w:qFormat/>
    <w:pPr>
      <w:spacing w:line="500" w:lineRule="exact"/>
      <w:ind w:firstLine="250"/>
    </w:pPr>
  </w:style>
  <w:style w:type="paragraph" w:customStyle="1" w:styleId="f4235">
    <w:name w:val="f&lt;4&gt;23.5"/>
    <w:uiPriority w:val="99"/>
    <w:qFormat/>
    <w:pPr>
      <w:widowControl w:val="0"/>
      <w:adjustRightInd w:val="0"/>
      <w:spacing w:line="470" w:lineRule="atLeast"/>
      <w:textAlignment w:val="baseline"/>
    </w:pPr>
    <w:rPr>
      <w:rFonts w:ascii="仿宋体" w:eastAsia="仿宋体" w:hAnsi="Times New Roman" w:cs="Times New Roman"/>
      <w:kern w:val="24"/>
      <w:sz w:val="24"/>
    </w:rPr>
  </w:style>
  <w:style w:type="paragraph" w:customStyle="1" w:styleId="CharCharChar1Char4">
    <w:name w:val="Char Char Char1 Char4"/>
    <w:basedOn w:val="a2"/>
    <w:uiPriority w:val="99"/>
    <w:qFormat/>
    <w:pPr>
      <w:jc w:val="both"/>
    </w:pPr>
    <w:rPr>
      <w:rFonts w:ascii="Times New Roman"/>
    </w:rPr>
  </w:style>
  <w:style w:type="paragraph" w:customStyle="1" w:styleId="Char4CharCharCharCharCharCharCharCharCharCharCharCharCharCharCharCharChar1CharCharCharCharCharChar1CharCharCharCharCharCharCharCharCharCharCharCharCharCharCharCharCharCharChar4">
    <w:name w:val="Char4 Char Char Char Char Char Char Char Char Char Char Char Char Char Char Char Char Char1 Char Char Char Char Char Char1 Char Char Char Char Char Char Char Char Char Char Char Char Char Char Char Char Char Char Char4"/>
    <w:basedOn w:val="a2"/>
    <w:pPr>
      <w:spacing w:line="240" w:lineRule="exact"/>
      <w:ind w:firstLineChars="200" w:firstLine="200"/>
      <w:jc w:val="both"/>
    </w:pPr>
    <w:rPr>
      <w:szCs w:val="28"/>
    </w:rPr>
  </w:style>
  <w:style w:type="paragraph" w:customStyle="1" w:styleId="P5">
    <w:name w:val="P5"/>
    <w:uiPriority w:val="99"/>
    <w:qFormat/>
    <w:pPr>
      <w:widowControl w:val="0"/>
      <w:adjustRightInd w:val="0"/>
      <w:spacing w:after="240" w:line="0" w:lineRule="atLeast"/>
      <w:ind w:left="1440"/>
      <w:jc w:val="both"/>
      <w:textAlignment w:val="baseline"/>
    </w:pPr>
    <w:rPr>
      <w:rFonts w:ascii="Times New Roman" w:eastAsia="宋体" w:hAnsi="Times New Roman" w:cs="Times New Roman"/>
      <w:spacing w:val="20"/>
      <w:sz w:val="24"/>
      <w:lang w:val="en-GB"/>
    </w:rPr>
  </w:style>
  <w:style w:type="paragraph" w:customStyle="1" w:styleId="024">
    <w:name w:val="标题02"/>
    <w:basedOn w:val="a2"/>
    <w:next w:val="a2"/>
    <w:uiPriority w:val="99"/>
    <w:qFormat/>
    <w:pPr>
      <w:snapToGrid w:val="0"/>
      <w:spacing w:line="440" w:lineRule="atLeast"/>
      <w:jc w:val="both"/>
    </w:pPr>
    <w:rPr>
      <w:b/>
      <w:sz w:val="24"/>
    </w:rPr>
  </w:style>
  <w:style w:type="paragraph" w:customStyle="1" w:styleId="CharCharCharCharCharCharCharCharChar1CharCharCharCharCharCharCharCharCharChar2">
    <w:name w:val="Char Char Char Char Char Char Char Char Char1 Char Char Char Char Char Char Char Char Char Char2"/>
    <w:basedOn w:val="a2"/>
    <w:uiPriority w:val="99"/>
    <w:qFormat/>
    <w:pPr>
      <w:jc w:val="both"/>
    </w:pPr>
    <w:rPr>
      <w:rFonts w:ascii="Times New Roman"/>
    </w:rPr>
  </w:style>
  <w:style w:type="paragraph" w:customStyle="1" w:styleId="Char3CharCharChar">
    <w:name w:val="Char3 Char Char Char"/>
    <w:basedOn w:val="a2"/>
    <w:pPr>
      <w:jc w:val="both"/>
    </w:pPr>
    <w:rPr>
      <w:sz w:val="24"/>
    </w:rPr>
  </w:style>
  <w:style w:type="paragraph" w:customStyle="1" w:styleId="3120">
    <w:name w:val="标题 312"/>
    <w:basedOn w:val="a2"/>
    <w:next w:val="a2"/>
    <w:uiPriority w:val="99"/>
    <w:qFormat/>
    <w:pPr>
      <w:keepNext/>
      <w:keepLines/>
      <w:spacing w:before="120" w:after="120" w:line="500" w:lineRule="exact"/>
      <w:jc w:val="both"/>
      <w:textAlignment w:val="baseline"/>
    </w:pPr>
    <w:rPr>
      <w:rFonts w:eastAsia="黑体" w:hint="eastAsia"/>
      <w:sz w:val="30"/>
    </w:rPr>
  </w:style>
  <w:style w:type="paragraph" w:customStyle="1" w:styleId="P60">
    <w:name w:val="P6"/>
    <w:uiPriority w:val="99"/>
    <w:qFormat/>
    <w:pPr>
      <w:widowControl w:val="0"/>
      <w:adjustRightInd w:val="0"/>
      <w:spacing w:after="240" w:line="0" w:lineRule="atLeast"/>
      <w:ind w:left="3456" w:hanging="576"/>
      <w:jc w:val="both"/>
      <w:textAlignment w:val="baseline"/>
    </w:pPr>
    <w:rPr>
      <w:rFonts w:ascii="Times New Roman" w:eastAsia="全真中明體" w:hAnsi="Times New Roman" w:cs="Times New Roman"/>
      <w:spacing w:val="20"/>
      <w:sz w:val="24"/>
      <w:lang w:val="en-GB" w:eastAsia="zh-TW"/>
    </w:rPr>
  </w:style>
  <w:style w:type="paragraph" w:customStyle="1" w:styleId="reader-word-layerreader-word-s1-6">
    <w:name w:val="reader-word-layer reader-word-s1-6"/>
    <w:basedOn w:val="a2"/>
    <w:qFormat/>
    <w:pPr>
      <w:spacing w:before="100" w:beforeAutospacing="1" w:after="100" w:afterAutospacing="1"/>
    </w:pPr>
    <w:rPr>
      <w:rFonts w:ascii="宋体" w:hAnsi="宋体" w:cs="宋体"/>
      <w:sz w:val="24"/>
    </w:rPr>
  </w:style>
  <w:style w:type="character" w:customStyle="1" w:styleId="z-13">
    <w:name w:val="z-窗体顶端 字符1"/>
    <w:basedOn w:val="a4"/>
    <w:uiPriority w:val="99"/>
    <w:semiHidden/>
    <w:rPr>
      <w:rFonts w:ascii="Arial" w:eastAsia="楷体_GB2312" w:hAnsi="Arial" w:cs="Arial"/>
      <w:vanish/>
      <w:spacing w:val="-6"/>
      <w:kern w:val="0"/>
      <w:sz w:val="16"/>
      <w:szCs w:val="16"/>
    </w:rPr>
  </w:style>
  <w:style w:type="paragraph" w:customStyle="1" w:styleId="xl743">
    <w:name w:val="xl743"/>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eastAsia="Arial Unicode MS" w:hAnsi="Courier New"/>
      <w:sz w:val="24"/>
    </w:rPr>
  </w:style>
  <w:style w:type="paragraph" w:customStyle="1" w:styleId="CharCharChar2CharCharCharCharCharCharCharCharCharChar1">
    <w:name w:val="Char Char Char2 Char Char Char Char Char Char Char Char Char Char1"/>
    <w:basedOn w:val="a2"/>
    <w:uiPriority w:val="99"/>
    <w:qFormat/>
    <w:pPr>
      <w:jc w:val="both"/>
    </w:pPr>
  </w:style>
  <w:style w:type="paragraph" w:customStyle="1" w:styleId="afffffffffffffffffffffffffffb">
    <w:name w:val="新表"/>
    <w:basedOn w:val="a2"/>
    <w:qFormat/>
    <w:pPr>
      <w:spacing w:line="360" w:lineRule="exact"/>
    </w:pPr>
    <w:rPr>
      <w:rFonts w:eastAsia="仿宋_GB2312"/>
      <w:bCs/>
      <w:sz w:val="24"/>
    </w:rPr>
  </w:style>
  <w:style w:type="paragraph" w:customStyle="1" w:styleId="wtext">
    <w:name w:val="wtext"/>
    <w:basedOn w:val="a2"/>
    <w:uiPriority w:val="99"/>
    <w:qFormat/>
    <w:pPr>
      <w:spacing w:before="100" w:beforeAutospacing="1" w:after="100" w:afterAutospacing="1"/>
    </w:pPr>
    <w:rPr>
      <w:rFonts w:ascii="宋体" w:hAnsi="宋体" w:cs="宋体"/>
      <w:sz w:val="24"/>
    </w:rPr>
  </w:style>
  <w:style w:type="paragraph" w:customStyle="1" w:styleId="11fa">
    <w:name w:val="批注主题11"/>
    <w:basedOn w:val="af1"/>
    <w:next w:val="af1"/>
    <w:uiPriority w:val="99"/>
    <w:qFormat/>
    <w:pPr>
      <w:textAlignment w:val="baseline"/>
    </w:pPr>
    <w:rPr>
      <w:rFonts w:ascii="Calibri" w:eastAsia="宋体" w:hAnsi="Calibri" w:hint="eastAsia"/>
      <w:b/>
    </w:rPr>
  </w:style>
  <w:style w:type="paragraph" w:customStyle="1" w:styleId="CharCharCharCharCharCharCharChar1CharCharCharCharCharCharCharCharCharCharCharChar1Char1">
    <w:name w:val="Char Char Char Char Char Char Char Char1 Char Char Char Char Char Char Char Char Char Char Char Char1 Char1"/>
    <w:basedOn w:val="a2"/>
    <w:uiPriority w:val="99"/>
    <w:qFormat/>
    <w:pPr>
      <w:jc w:val="both"/>
    </w:pPr>
    <w:rPr>
      <w:sz w:val="24"/>
    </w:rPr>
  </w:style>
  <w:style w:type="paragraph" w:customStyle="1" w:styleId="Char130">
    <w:name w:val="Char13"/>
    <w:basedOn w:val="a2"/>
    <w:uiPriority w:val="99"/>
    <w:qFormat/>
    <w:pPr>
      <w:tabs>
        <w:tab w:val="left" w:pos="2040"/>
      </w:tabs>
      <w:snapToGrid w:val="0"/>
      <w:ind w:leftChars="800" w:left="2040" w:hanging="360"/>
      <w:jc w:val="both"/>
    </w:pPr>
    <w:rPr>
      <w:rFonts w:ascii="Times New Roman" w:eastAsia="仿宋_GB2312"/>
    </w:rPr>
  </w:style>
  <w:style w:type="paragraph" w:customStyle="1" w:styleId="afffffffffffffffffffffffffffc">
    <w:name w:val="敏感表"/>
    <w:basedOn w:val="a2"/>
    <w:next w:val="a2"/>
    <w:uiPriority w:val="99"/>
    <w:qFormat/>
    <w:pPr>
      <w:topLinePunct/>
      <w:spacing w:line="240" w:lineRule="atLeast"/>
      <w:jc w:val="center"/>
      <w:textAlignment w:val="bottom"/>
    </w:pPr>
  </w:style>
  <w:style w:type="paragraph" w:customStyle="1" w:styleId="17114">
    <w:name w:val="样式 首行缩进:  1.71 字符14"/>
    <w:basedOn w:val="aff9"/>
    <w:uiPriority w:val="99"/>
    <w:qFormat/>
    <w:pPr>
      <w:spacing w:line="360" w:lineRule="auto"/>
      <w:ind w:firstLineChars="171" w:firstLine="410"/>
      <w:jc w:val="both"/>
    </w:pPr>
    <w:rPr>
      <w:rFonts w:cs="宋体"/>
      <w:sz w:val="24"/>
      <w:szCs w:val="20"/>
    </w:rPr>
  </w:style>
  <w:style w:type="paragraph" w:customStyle="1" w:styleId="4-0010010">
    <w:name w:val="样式 样式 标题 4 + 黑色 左侧:  -0.01 厘米 首行缩进:  0.01 厘米 + 左侧:  0 厘米 首行缩进: ..."/>
    <w:basedOn w:val="4-001001"/>
    <w:qFormat/>
  </w:style>
  <w:style w:type="paragraph" w:customStyle="1" w:styleId="Char3CharCharChar1CharChar1Char">
    <w:name w:val="Char3 Char Char Char1 Char Char1 Char"/>
    <w:basedOn w:val="a2"/>
    <w:pPr>
      <w:jc w:val="both"/>
    </w:pPr>
  </w:style>
  <w:style w:type="paragraph" w:customStyle="1" w:styleId="afffffffffffffffffffffffffffd">
    <w:name w:val="表格文字（对中）"/>
    <w:basedOn w:val="a3"/>
    <w:uiPriority w:val="99"/>
    <w:qFormat/>
    <w:pPr>
      <w:snapToGrid w:val="0"/>
      <w:spacing w:line="240" w:lineRule="exact"/>
      <w:ind w:firstLineChars="0" w:firstLine="0"/>
      <w:jc w:val="center"/>
    </w:pPr>
    <w:rPr>
      <w:rFonts w:ascii="宋体" w:hAnsi="宋体"/>
      <w:snapToGrid w:val="0"/>
      <w:szCs w:val="22"/>
    </w:rPr>
  </w:style>
  <w:style w:type="paragraph" w:customStyle="1" w:styleId="afffffffffffffffffffffffffffe">
    <w:name w:val="正文说明"/>
    <w:basedOn w:val="a2"/>
    <w:uiPriority w:val="99"/>
    <w:qFormat/>
    <w:pPr>
      <w:spacing w:beforeLines="25" w:before="78" w:line="360" w:lineRule="auto"/>
      <w:ind w:firstLine="756"/>
      <w:jc w:val="both"/>
    </w:pPr>
    <w:rPr>
      <w:rFonts w:ascii="宋体" w:hAnsi="宋体"/>
      <w:color w:val="FF0000"/>
      <w:sz w:val="36"/>
      <w:szCs w:val="36"/>
      <w:bdr w:val="single" w:sz="4" w:space="0" w:color="auto"/>
    </w:rPr>
  </w:style>
  <w:style w:type="paragraph" w:customStyle="1" w:styleId="affffffffffffffffffffffffffff">
    <w:name w:val="表格本"/>
    <w:basedOn w:val="a3"/>
    <w:uiPriority w:val="99"/>
    <w:qFormat/>
    <w:pPr>
      <w:snapToGrid w:val="0"/>
      <w:ind w:firstLineChars="0" w:firstLine="0"/>
      <w:jc w:val="center"/>
      <w:textAlignment w:val="baseline"/>
    </w:pPr>
    <w:rPr>
      <w:kern w:val="0"/>
      <w:sz w:val="20"/>
      <w:szCs w:val="21"/>
    </w:rPr>
  </w:style>
  <w:style w:type="paragraph" w:customStyle="1" w:styleId="3fffa">
    <w:name w:val="普通(网站)3"/>
    <w:basedOn w:val="a2"/>
    <w:uiPriority w:val="99"/>
    <w:qFormat/>
    <w:pPr>
      <w:jc w:val="both"/>
      <w:textAlignment w:val="baseline"/>
    </w:pPr>
    <w:rPr>
      <w:sz w:val="24"/>
    </w:rPr>
  </w:style>
  <w:style w:type="paragraph" w:customStyle="1" w:styleId="P8">
    <w:name w:val="P8"/>
    <w:basedOn w:val="a2"/>
    <w:uiPriority w:val="99"/>
    <w:qFormat/>
    <w:pPr>
      <w:spacing w:line="360" w:lineRule="atLeast"/>
      <w:ind w:left="4032"/>
      <w:textAlignment w:val="baseline"/>
    </w:pPr>
    <w:rPr>
      <w:rFonts w:eastAsia="全真中明體"/>
      <w:spacing w:val="20"/>
      <w:sz w:val="24"/>
      <w:lang w:eastAsia="zh-TW"/>
    </w:rPr>
  </w:style>
  <w:style w:type="paragraph" w:customStyle="1" w:styleId="affffffffffffffffffffffffffff0">
    <w:name w:val="中文报告书样式"/>
    <w:basedOn w:val="a2"/>
    <w:pPr>
      <w:autoSpaceDE/>
      <w:autoSpaceDN/>
      <w:spacing w:line="480" w:lineRule="atLeast"/>
      <w:ind w:firstLineChars="200" w:firstLine="482"/>
      <w:jc w:val="both"/>
      <w:textAlignment w:val="baseline"/>
    </w:pPr>
    <w:rPr>
      <w:kern w:val="24"/>
    </w:rPr>
  </w:style>
  <w:style w:type="paragraph" w:customStyle="1" w:styleId="1230">
    <w:name w:val="样式 行距: 最小值 12 磅3"/>
    <w:basedOn w:val="a2"/>
    <w:uiPriority w:val="99"/>
    <w:qFormat/>
    <w:pPr>
      <w:spacing w:line="360" w:lineRule="auto"/>
      <w:ind w:firstLineChars="200" w:firstLine="480"/>
      <w:jc w:val="both"/>
    </w:pPr>
    <w:rPr>
      <w:rFonts w:ascii="宋体" w:hAnsi="宋体"/>
      <w:sz w:val="24"/>
    </w:rPr>
  </w:style>
  <w:style w:type="paragraph" w:customStyle="1" w:styleId="font9">
    <w:name w:val="font9"/>
    <w:basedOn w:val="a2"/>
    <w:qFormat/>
    <w:pPr>
      <w:widowControl/>
      <w:spacing w:before="100" w:beforeAutospacing="1" w:after="100" w:afterAutospacing="1"/>
    </w:pPr>
    <w:rPr>
      <w:rFonts w:ascii="宋体" w:hAnsi="宋体" w:cs="Arial Unicode MS" w:hint="eastAsia"/>
      <w:color w:val="000000"/>
      <w:sz w:val="24"/>
    </w:rPr>
  </w:style>
  <w:style w:type="paragraph" w:customStyle="1" w:styleId="203">
    <w:name w:val="样式 行距: 最小值 20 磅"/>
    <w:basedOn w:val="a2"/>
    <w:qFormat/>
    <w:pPr>
      <w:spacing w:line="360" w:lineRule="auto"/>
      <w:ind w:firstLine="567"/>
      <w:textAlignment w:val="baseline"/>
    </w:pPr>
    <w:rPr>
      <w:rFonts w:cs="宋体"/>
      <w:sz w:val="24"/>
    </w:rPr>
  </w:style>
  <w:style w:type="paragraph" w:customStyle="1" w:styleId="3205">
    <w:name w:val="样式 标题 3 + 左侧:  2 字符 段前: 0.5 行"/>
    <w:basedOn w:val="32"/>
    <w:uiPriority w:val="99"/>
    <w:qFormat/>
    <w:pPr>
      <w:spacing w:beforeLines="50" w:before="156" w:after="0" w:line="440" w:lineRule="exact"/>
      <w:ind w:firstLineChars="200" w:firstLine="200"/>
    </w:pPr>
    <w:rPr>
      <w:rFonts w:ascii="Times New Roman" w:eastAsia="华文细黑"/>
      <w:b w:val="0"/>
      <w:bCs w:val="0"/>
      <w:sz w:val="28"/>
      <w:szCs w:val="20"/>
    </w:rPr>
  </w:style>
  <w:style w:type="paragraph" w:customStyle="1" w:styleId="affffffffffffffffffffffffffff1">
    <w:name w:val=".."/>
    <w:basedOn w:val="Default"/>
    <w:next w:val="Default"/>
    <w:qFormat/>
    <w:pPr>
      <w:spacing w:beforeLines="0" w:before="0" w:afterLines="0" w:after="0" w:line="240" w:lineRule="auto"/>
      <w:ind w:firstLineChars="0" w:firstLine="0"/>
    </w:pPr>
    <w:rPr>
      <w:rFonts w:ascii=".." w:eastAsia=".." w:cs="Times New Roman"/>
      <w:color w:val="auto"/>
    </w:rPr>
  </w:style>
  <w:style w:type="paragraph" w:customStyle="1" w:styleId="051">
    <w:name w:val="样式 表标题 + 段前: 0.5 行1"/>
    <w:basedOn w:val="7"/>
    <w:uiPriority w:val="99"/>
    <w:qFormat/>
    <w:pPr>
      <w:keepNext w:val="0"/>
      <w:keepLines w:val="0"/>
      <w:tabs>
        <w:tab w:val="clear" w:pos="165"/>
        <w:tab w:val="left" w:pos="1757"/>
        <w:tab w:val="left" w:pos="3780"/>
      </w:tabs>
      <w:snapToGrid w:val="0"/>
      <w:spacing w:before="206" w:after="0" w:line="480" w:lineRule="exact"/>
      <w:ind w:left="0" w:firstLine="0"/>
      <w:jc w:val="center"/>
      <w:outlineLvl w:val="9"/>
    </w:pPr>
    <w:rPr>
      <w:rFonts w:eastAsia="黑体"/>
      <w:b w:val="0"/>
      <w:sz w:val="28"/>
    </w:rPr>
  </w:style>
  <w:style w:type="paragraph" w:customStyle="1" w:styleId="CharCharChar1CharCharCharCharCharCharCharCharCharCharCharCharCharCharChar1CharCharCharCharCharCharCharCharCharCharCharCharCharChar">
    <w:name w:val="Char Char Char1 Char Char Char Char Char Char Char Char Char Char Char Char Char Char Char1 Char Char Char Char Char Char Char Char Char Char Char Char Char Char"/>
    <w:basedOn w:val="a2"/>
    <w:uiPriority w:val="99"/>
    <w:qFormat/>
    <w:pPr>
      <w:jc w:val="both"/>
    </w:pPr>
  </w:style>
  <w:style w:type="paragraph" w:customStyle="1" w:styleId="yz">
    <w:name w:val="yz"/>
    <w:basedOn w:val="af4"/>
    <w:qFormat/>
    <w:pPr>
      <w:tabs>
        <w:tab w:val="left" w:pos="900"/>
      </w:tabs>
      <w:spacing w:after="0"/>
      <w:ind w:firstLineChars="200" w:firstLine="200"/>
      <w:textAlignment w:val="baseline"/>
    </w:pPr>
    <w:rPr>
      <w:rFonts w:ascii="宋体" w:hAnsi="宋体"/>
      <w:sz w:val="24"/>
    </w:rPr>
  </w:style>
  <w:style w:type="paragraph" w:customStyle="1" w:styleId="415">
    <w:name w:val="正文41"/>
    <w:basedOn w:val="a2"/>
    <w:uiPriority w:val="99"/>
    <w:qFormat/>
    <w:pPr>
      <w:spacing w:line="480" w:lineRule="exact"/>
      <w:jc w:val="both"/>
      <w:textAlignment w:val="baseline"/>
    </w:pPr>
    <w:rPr>
      <w:rFonts w:ascii="Times New Roman"/>
      <w:spacing w:val="-2"/>
    </w:rPr>
  </w:style>
  <w:style w:type="paragraph" w:customStyle="1" w:styleId="xl102">
    <w:name w:val="xl102"/>
    <w:basedOn w:val="a2"/>
    <w:qFormat/>
    <w:pPr>
      <w:pBdr>
        <w:top w:val="single" w:sz="8" w:space="0" w:color="auto"/>
        <w:bottom w:val="single" w:sz="8" w:space="0" w:color="auto"/>
        <w:right w:val="single" w:sz="8" w:space="0" w:color="auto"/>
      </w:pBdr>
      <w:spacing w:before="100" w:beforeAutospacing="1" w:after="100" w:afterAutospacing="1"/>
      <w:jc w:val="center"/>
    </w:pPr>
    <w:rPr>
      <w:color w:val="000000"/>
      <w:sz w:val="18"/>
      <w:szCs w:val="18"/>
    </w:rPr>
  </w:style>
  <w:style w:type="paragraph" w:customStyle="1" w:styleId="affffffffffffffffffffffffffff2">
    <w:name w:val="文本居中"/>
    <w:basedOn w:val="a2"/>
    <w:qFormat/>
    <w:pPr>
      <w:spacing w:line="360" w:lineRule="auto"/>
      <w:jc w:val="center"/>
    </w:pPr>
  </w:style>
  <w:style w:type="paragraph" w:customStyle="1" w:styleId="2TimesNewRoman1313173">
    <w:name w:val="样式 标题 2 + Times New Roman 黑色 段前: 13 磅 段后: 13 磅 行距: 多倍行距 1.73..."/>
    <w:basedOn w:val="22"/>
    <w:uiPriority w:val="99"/>
    <w:qFormat/>
    <w:pPr>
      <w:spacing w:beforeLines="100" w:before="312" w:afterLines="50" w:after="156" w:line="360" w:lineRule="auto"/>
      <w:jc w:val="both"/>
    </w:pPr>
    <w:rPr>
      <w:rFonts w:ascii="Times New Roman" w:eastAsia="黑体" w:hAnsi="Times New Roman" w:cs="Times New Roman"/>
      <w:bCs w:val="0"/>
      <w:color w:val="000000"/>
      <w:sz w:val="28"/>
      <w:szCs w:val="30"/>
    </w:rPr>
  </w:style>
  <w:style w:type="paragraph" w:customStyle="1" w:styleId="1fffffffe">
    <w:name w:val="正文首行缩进1"/>
    <w:basedOn w:val="a2"/>
    <w:next w:val="a2"/>
    <w:qFormat/>
    <w:pPr>
      <w:tabs>
        <w:tab w:val="left" w:pos="540"/>
        <w:tab w:val="left" w:pos="1440"/>
        <w:tab w:val="left" w:pos="2448"/>
        <w:tab w:val="left" w:pos="3000"/>
        <w:tab w:val="left" w:pos="3888"/>
        <w:tab w:val="left" w:pos="4800"/>
        <w:tab w:val="left" w:pos="5040"/>
        <w:tab w:val="left" w:pos="5883"/>
        <w:tab w:val="left" w:pos="6300"/>
        <w:tab w:val="left" w:pos="7353"/>
        <w:tab w:val="left" w:pos="8613"/>
      </w:tabs>
      <w:snapToGrid w:val="0"/>
      <w:spacing w:line="300" w:lineRule="auto"/>
      <w:ind w:firstLine="561"/>
      <w:jc w:val="both"/>
      <w:textAlignment w:val="baseline"/>
    </w:pPr>
  </w:style>
  <w:style w:type="paragraph" w:customStyle="1" w:styleId="CharCharChar1Char2">
    <w:name w:val="Char Char Char1 Char2"/>
    <w:basedOn w:val="a2"/>
    <w:uiPriority w:val="99"/>
    <w:qFormat/>
    <w:pPr>
      <w:jc w:val="both"/>
      <w:textAlignment w:val="baseline"/>
    </w:pPr>
    <w:rPr>
      <w:rFonts w:ascii="仿宋_GB2312" w:eastAsia="仿宋_GB2312"/>
    </w:rPr>
  </w:style>
  <w:style w:type="paragraph" w:customStyle="1" w:styleId="CharChar1CharCharCharChar13">
    <w:name w:val="Char Char1 Char Char Char Char13"/>
    <w:basedOn w:val="a2"/>
    <w:uiPriority w:val="99"/>
    <w:qFormat/>
    <w:pPr>
      <w:jc w:val="both"/>
    </w:pPr>
  </w:style>
  <w:style w:type="paragraph" w:customStyle="1" w:styleId="Char3CharCharChar1CharChar1Char4">
    <w:name w:val="Char3 Char Char Char1 Char Char1 Char4"/>
    <w:basedOn w:val="a2"/>
    <w:uiPriority w:val="99"/>
    <w:qFormat/>
    <w:pPr>
      <w:jc w:val="both"/>
    </w:pPr>
  </w:style>
  <w:style w:type="paragraph" w:customStyle="1" w:styleId="Normal27">
    <w:name w:val="Normal_27"/>
    <w:qFormat/>
    <w:pPr>
      <w:spacing w:before="120" w:after="240"/>
      <w:jc w:val="both"/>
    </w:pPr>
    <w:rPr>
      <w:rFonts w:ascii="Times New Roman" w:eastAsia="Calibri" w:hAnsi="Times New Roman" w:cs="Times New Roman"/>
      <w:sz w:val="22"/>
      <w:szCs w:val="21"/>
      <w:lang w:val="ru-RU" w:eastAsia="en-US"/>
    </w:rPr>
  </w:style>
  <w:style w:type="paragraph" w:customStyle="1" w:styleId="13c">
    <w:name w:val="文档结构图13"/>
    <w:basedOn w:val="a2"/>
    <w:uiPriority w:val="99"/>
    <w:qFormat/>
    <w:pPr>
      <w:spacing w:line="360" w:lineRule="auto"/>
      <w:jc w:val="both"/>
    </w:pPr>
    <w:rPr>
      <w:rFonts w:hAnsi="Calibri"/>
      <w:sz w:val="18"/>
      <w:szCs w:val="18"/>
    </w:rPr>
  </w:style>
  <w:style w:type="paragraph" w:customStyle="1" w:styleId="affffffffffffffffffffffffffff3">
    <w:name w:val="图形"/>
    <w:basedOn w:val="a3"/>
    <w:uiPriority w:val="99"/>
    <w:qFormat/>
    <w:pPr>
      <w:ind w:firstLineChars="0" w:firstLine="0"/>
      <w:jc w:val="both"/>
      <w:textAlignment w:val="baseline"/>
    </w:pPr>
    <w:rPr>
      <w:rFonts w:ascii="宋体" w:eastAsia="楷体_GB2312"/>
      <w:spacing w:val="8"/>
      <w:kern w:val="0"/>
      <w:sz w:val="28"/>
      <w:szCs w:val="20"/>
    </w:rPr>
  </w:style>
  <w:style w:type="paragraph" w:customStyle="1" w:styleId="Textopredeterminado">
    <w:name w:val="Texto predeterminado"/>
    <w:basedOn w:val="a2"/>
    <w:uiPriority w:val="99"/>
    <w:qFormat/>
    <w:pPr>
      <w:spacing w:line="240" w:lineRule="atLeast"/>
    </w:pPr>
    <w:rPr>
      <w:sz w:val="24"/>
    </w:rPr>
  </w:style>
  <w:style w:type="paragraph" w:customStyle="1" w:styleId="31113CharChar3Char3CharCharCharCha">
    <w:name w:val="样式 标题 31.1.1条标题 3 Char Char标题 3 Char标题 3 Char Char Char Cha..."/>
    <w:basedOn w:val="32"/>
    <w:uiPriority w:val="99"/>
    <w:qFormat/>
    <w:pPr>
      <w:spacing w:before="120" w:after="120" w:line="300" w:lineRule="auto"/>
    </w:pPr>
    <w:rPr>
      <w:rFonts w:ascii="宋体" w:eastAsia="宋体" w:cs="宋体"/>
      <w:color w:val="000000"/>
      <w:sz w:val="28"/>
      <w:szCs w:val="20"/>
    </w:rPr>
  </w:style>
  <w:style w:type="paragraph" w:customStyle="1" w:styleId="33H3h33rdlevel3Char3Char">
    <w:name w:val="样式 标题 3头标题3H3h33rd level第二层条标题 3 Char小标题小节标题标题 3 Char ..."/>
    <w:basedOn w:val="32"/>
    <w:uiPriority w:val="99"/>
    <w:qFormat/>
    <w:pPr>
      <w:keepLines w:val="0"/>
      <w:tabs>
        <w:tab w:val="left" w:pos="1742"/>
      </w:tabs>
      <w:spacing w:before="0" w:after="0" w:line="300" w:lineRule="auto"/>
      <w:ind w:right="-153"/>
      <w:jc w:val="both"/>
      <w:textAlignment w:val="baseline"/>
    </w:pPr>
    <w:rPr>
      <w:rFonts w:ascii="Times New Roman" w:eastAsia="仿宋_GB2312" w:cs="宋体"/>
      <w:b w:val="0"/>
      <w:bCs w:val="0"/>
      <w:color w:val="000000"/>
      <w:sz w:val="24"/>
      <w:szCs w:val="20"/>
    </w:rPr>
  </w:style>
  <w:style w:type="paragraph" w:customStyle="1" w:styleId="StandardWeb2">
    <w:name w:val="Standard (Web)2"/>
    <w:basedOn w:val="a2"/>
    <w:uiPriority w:val="99"/>
    <w:qFormat/>
    <w:pPr>
      <w:spacing w:before="100" w:beforeAutospacing="1" w:after="100" w:afterAutospacing="1"/>
      <w:ind w:left="851"/>
    </w:pPr>
    <w:rPr>
      <w:rFonts w:hAnsi="Arial" w:cs="Arial"/>
      <w:color w:val="000000"/>
      <w:sz w:val="17"/>
      <w:szCs w:val="17"/>
      <w:lang w:val="de-DE" w:eastAsia="de-DE"/>
    </w:rPr>
  </w:style>
  <w:style w:type="paragraph" w:customStyle="1" w:styleId="xl741">
    <w:name w:val="xl741"/>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Arial Unicode MS" w:hAnsi="Courier New"/>
      <w:sz w:val="24"/>
    </w:rPr>
  </w:style>
  <w:style w:type="paragraph" w:customStyle="1" w:styleId="affffffffffffffffffffffffffff4">
    <w:name w:val="列图"/>
    <w:basedOn w:val="aff2"/>
    <w:next w:val="a2"/>
    <w:qFormat/>
    <w:pPr>
      <w:tabs>
        <w:tab w:val="left" w:pos="3765"/>
      </w:tabs>
      <w:spacing w:line="240" w:lineRule="auto"/>
    </w:pPr>
    <w:rPr>
      <w:rFonts w:ascii="Times New Roman" w:eastAsia="宋体"/>
      <w:bCs/>
      <w:sz w:val="21"/>
      <w:szCs w:val="21"/>
    </w:rPr>
  </w:style>
  <w:style w:type="paragraph" w:customStyle="1" w:styleId="12f7">
    <w:name w:val="宏文本12"/>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3220">
    <w:name w:val="样式 表格 32 + 首行缩进:  2 字符"/>
    <w:basedOn w:val="a2"/>
    <w:qFormat/>
    <w:pPr>
      <w:snapToGrid w:val="0"/>
      <w:spacing w:line="240" w:lineRule="atLeast"/>
      <w:jc w:val="center"/>
      <w:textAlignment w:val="baseline"/>
    </w:p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2"/>
    <w:uiPriority w:val="99"/>
    <w:qFormat/>
    <w:pPr>
      <w:jc w:val="both"/>
    </w:pPr>
    <w:rPr>
      <w:rFonts w:ascii="Times New Roman"/>
    </w:rPr>
  </w:style>
  <w:style w:type="paragraph" w:customStyle="1" w:styleId="Char1CharCharCharCharCharCharCharCharCharCharCharCharCharCharChar5">
    <w:name w:val="Char1 Char Char Char Char Char Char Char Char Char Char Char Char Char Char Char5"/>
    <w:basedOn w:val="a2"/>
    <w:pPr>
      <w:spacing w:line="360" w:lineRule="auto"/>
      <w:jc w:val="both"/>
    </w:pPr>
    <w:rPr>
      <w:sz w:val="24"/>
      <w:szCs w:val="22"/>
    </w:rPr>
  </w:style>
  <w:style w:type="paragraph" w:customStyle="1" w:styleId="CM95">
    <w:name w:val="CM95"/>
    <w:basedOn w:val="Default"/>
    <w:next w:val="Default"/>
    <w:pPr>
      <w:spacing w:beforeLines="0" w:before="0" w:afterLines="0" w:after="0" w:line="240" w:lineRule="auto"/>
      <w:ind w:firstLineChars="0" w:firstLine="0"/>
      <w:jc w:val="both"/>
    </w:pPr>
    <w:rPr>
      <w:rFonts w:ascii="黑体" w:eastAsia="黑体" w:cs="Times New Roman"/>
      <w:color w:val="auto"/>
    </w:rPr>
  </w:style>
  <w:style w:type="paragraph" w:customStyle="1" w:styleId="Char420">
    <w:name w:val="Char42"/>
    <w:basedOn w:val="a2"/>
    <w:uiPriority w:val="99"/>
    <w:qFormat/>
    <w:pPr>
      <w:jc w:val="both"/>
    </w:pPr>
    <w:rPr>
      <w:color w:val="000000"/>
    </w:rPr>
  </w:style>
  <w:style w:type="paragraph" w:customStyle="1" w:styleId="affffffffffffffffffffffffffff5">
    <w:name w:val="表居中（中文）"/>
    <w:basedOn w:val="a2"/>
    <w:qFormat/>
    <w:pPr>
      <w:spacing w:line="380" w:lineRule="atLeast"/>
      <w:jc w:val="center"/>
      <w:textAlignment w:val="baseline"/>
    </w:pPr>
  </w:style>
  <w:style w:type="paragraph" w:customStyle="1" w:styleId="4143102">
    <w:name w:val="样式 标题 4标题 14 + 加粗 无下划线 自动设置 段前: 3 磅 段后: 10 磅2"/>
    <w:basedOn w:val="41"/>
    <w:uiPriority w:val="99"/>
    <w:qFormat/>
    <w:pPr>
      <w:keepLines w:val="0"/>
      <w:tabs>
        <w:tab w:val="left" w:pos="425"/>
      </w:tabs>
      <w:snapToGrid w:val="0"/>
      <w:spacing w:beforeLines="0" w:before="60" w:after="200" w:line="240" w:lineRule="auto"/>
      <w:ind w:leftChars="0" w:left="0" w:rightChars="0" w:right="0"/>
      <w:jc w:val="both"/>
    </w:pPr>
    <w:rPr>
      <w:rFonts w:ascii="Times New Roman" w:eastAsia="宋体"/>
      <w:color w:val="000000"/>
      <w:sz w:val="24"/>
      <w:szCs w:val="20"/>
    </w:rPr>
  </w:style>
  <w:style w:type="paragraph" w:customStyle="1" w:styleId="affffffffffffffffffffffffffff6">
    <w:name w:val="本文表文字"/>
    <w:basedOn w:val="a2"/>
    <w:qFormat/>
    <w:pPr>
      <w:jc w:val="center"/>
      <w:textAlignment w:val="baseline"/>
    </w:pPr>
    <w:rPr>
      <w:sz w:val="24"/>
    </w:rPr>
  </w:style>
  <w:style w:type="paragraph" w:customStyle="1" w:styleId="affffffffffffffffffffffffffff7">
    <w:name w:val="样式"/>
    <w:qFormat/>
    <w:pPr>
      <w:keepNext/>
      <w:keepLines/>
      <w:widowControl w:val="0"/>
      <w:adjustRightInd w:val="0"/>
      <w:spacing w:before="340" w:after="330" w:line="578" w:lineRule="atLeast"/>
      <w:jc w:val="both"/>
      <w:textAlignment w:val="baseline"/>
    </w:pPr>
    <w:rPr>
      <w:rFonts w:ascii="Times New Roman" w:eastAsia="宋体" w:hAnsi="Times New Roman" w:cs="Times New Roman"/>
      <w:b/>
      <w:sz w:val="24"/>
    </w:rPr>
  </w:style>
  <w:style w:type="paragraph" w:customStyle="1" w:styleId="PlainTe">
    <w:name w:val="Plain Te"/>
    <w:basedOn w:val="a2"/>
    <w:uiPriority w:val="99"/>
    <w:qFormat/>
    <w:rPr>
      <w:rFonts w:ascii="宋体" w:hAnsi="Courier New"/>
    </w:rPr>
  </w:style>
  <w:style w:type="paragraph" w:customStyle="1" w:styleId="xl46">
    <w:name w:val="xl46"/>
    <w:basedOn w:val="a2"/>
    <w:qFormat/>
    <w:pPr>
      <w:widowControl/>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color w:val="000000"/>
      <w:sz w:val="24"/>
    </w:rPr>
  </w:style>
  <w:style w:type="paragraph" w:customStyle="1" w:styleId="Formatvorlage4">
    <w:name w:val="Formatvorlage4"/>
    <w:basedOn w:val="a2"/>
    <w:uiPriority w:val="99"/>
    <w:qFormat/>
    <w:pPr>
      <w:spacing w:line="360" w:lineRule="auto"/>
      <w:ind w:firstLine="709"/>
      <w:jc w:val="both"/>
      <w:textAlignment w:val="baseline"/>
    </w:pPr>
    <w:rPr>
      <w:rFonts w:ascii="CorpoSLig" w:hAnsi="CorpoSLig"/>
      <w:sz w:val="24"/>
      <w:lang w:val="en-GB"/>
    </w:rPr>
  </w:style>
  <w:style w:type="paragraph" w:customStyle="1" w:styleId="CharCharCharChar1CharCharCharCharCharCharCharCharCharCharCharChar4">
    <w:name w:val="Char Char Char Char1 Char Char Char Char Char Char Char Char Char Char Char Char4"/>
    <w:basedOn w:val="a2"/>
    <w:pPr>
      <w:tabs>
        <w:tab w:val="left" w:pos="0"/>
      </w:tabs>
    </w:pPr>
    <w:rPr>
      <w:sz w:val="24"/>
    </w:rPr>
  </w:style>
  <w:style w:type="paragraph" w:customStyle="1" w:styleId="440">
    <w:name w:val="标题 44"/>
    <w:basedOn w:val="a2"/>
    <w:next w:val="a2"/>
    <w:uiPriority w:val="99"/>
    <w:qFormat/>
    <w:pPr>
      <w:snapToGrid w:val="0"/>
      <w:jc w:val="both"/>
      <w:textAlignment w:val="baseline"/>
    </w:pPr>
    <w:rPr>
      <w:rFonts w:ascii="宋体" w:hAnsi="宋体" w:hint="eastAsia"/>
      <w:sz w:val="32"/>
    </w:rPr>
  </w:style>
  <w:style w:type="paragraph" w:customStyle="1" w:styleId="407522">
    <w:name w:val="样式 样式 样式 样式 样式4 + 首行缩进:  0.75 字符 + 首行缩进:  2 字符 + 首行缩进:  2 字符 + 首..."/>
    <w:basedOn w:val="a2"/>
    <w:uiPriority w:val="99"/>
    <w:qFormat/>
    <w:pPr>
      <w:snapToGrid w:val="0"/>
      <w:spacing w:line="480" w:lineRule="exact"/>
      <w:ind w:firstLineChars="200" w:firstLine="480"/>
      <w:jc w:val="both"/>
    </w:pPr>
    <w:rPr>
      <w:rFonts w:ascii="华文中宋" w:eastAsia="华文中宋" w:hAnsi="华文中宋"/>
      <w:sz w:val="24"/>
    </w:rPr>
  </w:style>
  <w:style w:type="paragraph" w:customStyle="1" w:styleId="13d">
    <w:name w:val="样式 黑色13"/>
    <w:basedOn w:val="a2"/>
    <w:uiPriority w:val="99"/>
    <w:qFormat/>
    <w:pPr>
      <w:spacing w:line="360" w:lineRule="auto"/>
      <w:ind w:firstLineChars="171" w:firstLine="359"/>
      <w:jc w:val="both"/>
    </w:pPr>
    <w:rPr>
      <w:rFonts w:cs="宋体"/>
      <w:color w:val="000000"/>
      <w:sz w:val="24"/>
    </w:rPr>
  </w:style>
  <w:style w:type="paragraph" w:customStyle="1" w:styleId="1ffffffff">
    <w:name w:val="我的 标题 1.."/>
    <w:basedOn w:val="12"/>
    <w:uiPriority w:val="99"/>
    <w:qFormat/>
    <w:pPr>
      <w:keepLines w:val="0"/>
      <w:tabs>
        <w:tab w:val="left" w:pos="432"/>
      </w:tabs>
      <w:snapToGrid w:val="0"/>
      <w:spacing w:before="156" w:after="7"/>
      <w:ind w:left="432" w:hanging="432"/>
      <w:jc w:val="both"/>
      <w:textAlignment w:val="auto"/>
    </w:pPr>
    <w:rPr>
      <w:rFonts w:eastAsia="宋体"/>
      <w:sz w:val="44"/>
      <w:szCs w:val="44"/>
    </w:rPr>
  </w:style>
  <w:style w:type="paragraph" w:customStyle="1" w:styleId="1111CharCharCharChar111Char1">
    <w:name w:val="样式 标题 11.标题 1一、标题 1 Char Char Char Char1 南陵标题 1标题 1 Char标题...1"/>
    <w:basedOn w:val="12"/>
    <w:uiPriority w:val="99"/>
    <w:qFormat/>
    <w:pPr>
      <w:tabs>
        <w:tab w:val="left" w:pos="0"/>
      </w:tabs>
      <w:snapToGrid w:val="0"/>
      <w:spacing w:beforeLines="100" w:before="312" w:line="240" w:lineRule="auto"/>
      <w:textAlignment w:val="bottom"/>
    </w:pPr>
    <w:rPr>
      <w:rFonts w:ascii="Arial" w:eastAsia="宋体" w:cs="Arial"/>
      <w:b/>
      <w:bCs w:val="0"/>
      <w:sz w:val="28"/>
      <w:szCs w:val="44"/>
    </w:rPr>
  </w:style>
  <w:style w:type="paragraph" w:customStyle="1" w:styleId="21111yjm22Heading2HiddenHeading">
    <w:name w:val="样式 标题 2节标题 1.1标题 1.1标题 yjm2第一章 标题 2Heading 2 HiddenHeading..."/>
    <w:basedOn w:val="22"/>
    <w:uiPriority w:val="99"/>
    <w:qFormat/>
    <w:pPr>
      <w:keepLines w:val="0"/>
      <w:snapToGrid w:val="0"/>
      <w:spacing w:beforeLines="50" w:before="156" w:after="0" w:line="360" w:lineRule="auto"/>
    </w:pPr>
    <w:rPr>
      <w:rFonts w:ascii="Arial" w:eastAsia="黑体" w:hAnsi="Arial" w:cs="宋体"/>
      <w:bCs w:val="0"/>
      <w:sz w:val="30"/>
      <w:szCs w:val="30"/>
    </w:rPr>
  </w:style>
  <w:style w:type="paragraph" w:customStyle="1" w:styleId="4fa">
    <w:name w:val="正文缩进4"/>
    <w:basedOn w:val="a2"/>
    <w:uiPriority w:val="99"/>
    <w:qFormat/>
    <w:pPr>
      <w:spacing w:line="560" w:lineRule="exact"/>
      <w:ind w:firstLineChars="200" w:firstLine="560"/>
      <w:jc w:val="both"/>
      <w:textAlignment w:val="baseline"/>
    </w:pPr>
    <w:rPr>
      <w:rFonts w:ascii="宋体" w:hAnsi="宋体" w:hint="eastAsia"/>
    </w:rPr>
  </w:style>
  <w:style w:type="paragraph" w:customStyle="1" w:styleId="1h1H1PIM1111SectionHeadHeader11stlevell12">
    <w:name w:val="样式 标题 1h1H1PIM 1标书11.标题 1Section HeadHeader11st levell1...2"/>
    <w:basedOn w:val="12"/>
    <w:qFormat/>
    <w:pPr>
      <w:pageBreakBefore/>
      <w:numPr>
        <w:numId w:val="17"/>
      </w:numPr>
      <w:spacing w:before="120" w:after="120"/>
      <w:textAlignment w:val="auto"/>
    </w:pPr>
    <w:rPr>
      <w:rFonts w:eastAsia="宋体"/>
      <w:b/>
      <w:sz w:val="30"/>
      <w:szCs w:val="30"/>
    </w:rPr>
  </w:style>
  <w:style w:type="paragraph" w:customStyle="1" w:styleId="CharCharChar1CharCharCharCharCharChar4">
    <w:name w:val="Char Char Char1 Char Char Char Char Char Char4"/>
    <w:basedOn w:val="a2"/>
    <w:uiPriority w:val="99"/>
    <w:qFormat/>
    <w:pPr>
      <w:jc w:val="both"/>
    </w:pPr>
  </w:style>
  <w:style w:type="paragraph" w:customStyle="1" w:styleId="P1">
    <w:name w:val="P1"/>
    <w:uiPriority w:val="99"/>
    <w:qFormat/>
    <w:pPr>
      <w:widowControl w:val="0"/>
      <w:tabs>
        <w:tab w:val="left" w:pos="1440"/>
      </w:tabs>
      <w:adjustRightInd w:val="0"/>
      <w:spacing w:after="240" w:line="0" w:lineRule="atLeast"/>
      <w:ind w:left="1440" w:hanging="720"/>
      <w:jc w:val="both"/>
      <w:textAlignment w:val="baseline"/>
    </w:pPr>
    <w:rPr>
      <w:rFonts w:ascii="Times New Roman" w:eastAsia="PMingLiU" w:hAnsi="Times New Roman" w:cs="Times New Roman"/>
      <w:spacing w:val="20"/>
      <w:sz w:val="24"/>
      <w:lang w:val="en-GB"/>
    </w:rPr>
  </w:style>
  <w:style w:type="paragraph" w:customStyle="1" w:styleId="CharChar12ZchnZchnCharChar3">
    <w:name w:val="Char Char12 Zchn Zchn Char Char3"/>
    <w:basedOn w:val="a2"/>
    <w:pPr>
      <w:jc w:val="both"/>
    </w:pPr>
    <w:rPr>
      <w:sz w:val="24"/>
    </w:rPr>
  </w:style>
  <w:style w:type="paragraph" w:customStyle="1" w:styleId="xl106">
    <w:name w:val="xl106"/>
    <w:basedOn w:val="a2"/>
    <w:qFormat/>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宋体" w:hAnsi="宋体" w:cs="宋体"/>
      <w:color w:val="000000"/>
      <w:sz w:val="18"/>
      <w:szCs w:val="18"/>
    </w:rPr>
  </w:style>
  <w:style w:type="paragraph" w:customStyle="1" w:styleId="Char1CharCharCharCharCharCharCharCharCharCharCharCharCharCharCharCharCharCharCharCharChar">
    <w:name w:val="Char1 Char Char Char Char Char Char Char Char Char Char Char Char Char Char Char Char Char Char Char Char Char"/>
    <w:basedOn w:val="a2"/>
    <w:qFormat/>
  </w:style>
  <w:style w:type="paragraph" w:customStyle="1" w:styleId="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3"/>
    <w:basedOn w:val="a2"/>
    <w:pPr>
      <w:jc w:val="both"/>
    </w:pPr>
    <w:rPr>
      <w:sz w:val="24"/>
    </w:rPr>
  </w:style>
  <w:style w:type="paragraph" w:customStyle="1" w:styleId="3fffb">
    <w:name w:val="宏文本3"/>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eastAsia="宋体" w:hAnsi="Courier New" w:cs="Times New Roman" w:hint="eastAsia"/>
      <w:kern w:val="2"/>
      <w:sz w:val="24"/>
    </w:rPr>
  </w:style>
  <w:style w:type="paragraph" w:customStyle="1" w:styleId="xl751">
    <w:name w:val="xl751"/>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hAnsi="Arial Unicode MS" w:hint="eastAsia"/>
      <w:sz w:val="24"/>
    </w:rPr>
  </w:style>
  <w:style w:type="paragraph" w:customStyle="1" w:styleId="BT2">
    <w:name w:val="BT2"/>
    <w:basedOn w:val="22"/>
    <w:uiPriority w:val="99"/>
    <w:qFormat/>
    <w:pPr>
      <w:spacing w:before="0" w:after="0" w:line="413" w:lineRule="auto"/>
      <w:jc w:val="both"/>
    </w:pPr>
    <w:rPr>
      <w:rFonts w:ascii="Times New Roman" w:eastAsia="宋体" w:hAnsi="Times New Roman" w:cs="Times New Roman"/>
      <w:b w:val="0"/>
      <w:sz w:val="30"/>
    </w:rPr>
  </w:style>
  <w:style w:type="paragraph" w:customStyle="1" w:styleId="3fffc">
    <w:name w:val="小3黑顶"/>
    <w:basedOn w:val="22"/>
    <w:uiPriority w:val="99"/>
    <w:qFormat/>
    <w:pPr>
      <w:spacing w:before="440" w:after="240" w:line="500" w:lineRule="exact"/>
      <w:jc w:val="both"/>
    </w:pPr>
    <w:rPr>
      <w:rFonts w:ascii="黑体" w:eastAsia="黑体" w:hAnsi="Times New Roman" w:cs="Times New Roman"/>
      <w:sz w:val="30"/>
      <w:szCs w:val="30"/>
    </w:rPr>
  </w:style>
  <w:style w:type="paragraph" w:customStyle="1" w:styleId="3fffd">
    <w:name w:val="样式 标题 3 + 加粗"/>
    <w:basedOn w:val="32"/>
    <w:qFormat/>
    <w:pPr>
      <w:tabs>
        <w:tab w:val="left" w:pos="737"/>
      </w:tabs>
      <w:snapToGrid w:val="0"/>
      <w:spacing w:line="312" w:lineRule="auto"/>
      <w:ind w:leftChars="50" w:left="397" w:hanging="397"/>
    </w:pPr>
    <w:rPr>
      <w:rFonts w:ascii="仿宋_GB2312" w:eastAsia="仿宋_GB2312"/>
      <w:sz w:val="28"/>
    </w:rPr>
  </w:style>
  <w:style w:type="paragraph" w:customStyle="1" w:styleId="1-0">
    <w:name w:val="版式1-正文"/>
    <w:basedOn w:val="a2"/>
    <w:uiPriority w:val="99"/>
    <w:qFormat/>
    <w:pPr>
      <w:spacing w:line="440" w:lineRule="exact"/>
      <w:ind w:firstLineChars="200" w:firstLine="420"/>
      <w:jc w:val="both"/>
    </w:pPr>
    <w:rPr>
      <w:rFonts w:eastAsia="华文细黑" w:hAnsi="Arial" w:cs="宋体"/>
    </w:rPr>
  </w:style>
  <w:style w:type="paragraph" w:customStyle="1" w:styleId="dandan6-13">
    <w:name w:val="dandan6-13正文"/>
    <w:basedOn w:val="a2"/>
    <w:next w:val="a2"/>
    <w:uiPriority w:val="99"/>
    <w:qFormat/>
    <w:pPr>
      <w:keepNext/>
      <w:keepLines/>
      <w:spacing w:before="40" w:after="40" w:line="360" w:lineRule="auto"/>
      <w:ind w:firstLineChars="200" w:firstLine="200"/>
      <w:jc w:val="both"/>
    </w:pPr>
    <w:rPr>
      <w:rFonts w:cs="宋体"/>
      <w:sz w:val="24"/>
      <w:szCs w:val="28"/>
    </w:rPr>
  </w:style>
  <w:style w:type="paragraph" w:customStyle="1" w:styleId="xl36">
    <w:name w:val="xl36"/>
    <w:basedOn w:val="a2"/>
    <w:qFormat/>
    <w:pPr>
      <w:widowControl/>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eastAsia="Arial Unicode MS"/>
      <w:sz w:val="24"/>
    </w:rPr>
  </w:style>
  <w:style w:type="paragraph" w:customStyle="1" w:styleId="3fffe">
    <w:name w:val="标题 3 + 宋体"/>
    <w:basedOn w:val="32"/>
    <w:qFormat/>
    <w:pPr>
      <w:keepNext w:val="0"/>
      <w:keepLines w:val="0"/>
      <w:tabs>
        <w:tab w:val="left" w:pos="567"/>
      </w:tabs>
      <w:snapToGrid w:val="0"/>
      <w:spacing w:before="0" w:after="0" w:line="360" w:lineRule="auto"/>
      <w:ind w:left="567" w:hanging="567"/>
      <w:jc w:val="both"/>
    </w:pPr>
    <w:rPr>
      <w:rFonts w:ascii="宋体" w:eastAsia="宋体" w:hAnsi="宋体"/>
      <w:b w:val="0"/>
      <w:bCs w:val="0"/>
      <w:sz w:val="28"/>
      <w:szCs w:val="28"/>
    </w:rPr>
  </w:style>
  <w:style w:type="paragraph" w:customStyle="1" w:styleId="CharCharCharChar1CharCharCharCharCharChar4">
    <w:name w:val="Char Char Char Char1 Char Char Char Char Char Char4"/>
    <w:basedOn w:val="a2"/>
    <w:next w:val="a2"/>
    <w:uiPriority w:val="99"/>
    <w:qFormat/>
    <w:pPr>
      <w:spacing w:line="360" w:lineRule="auto"/>
      <w:ind w:firstLineChars="200" w:firstLine="200"/>
      <w:jc w:val="both"/>
    </w:pPr>
    <w:rPr>
      <w:rFonts w:ascii="宋体" w:hAnsi="宋体" w:cs="宋体"/>
      <w:sz w:val="24"/>
    </w:rPr>
  </w:style>
  <w:style w:type="paragraph" w:customStyle="1" w:styleId="3ffff">
    <w:name w:val="样式 标题 3 + (西文)粗体"/>
    <w:basedOn w:val="32"/>
    <w:uiPriority w:val="99"/>
    <w:qFormat/>
    <w:pPr>
      <w:spacing w:line="413" w:lineRule="auto"/>
      <w:jc w:val="both"/>
    </w:pPr>
    <w:rPr>
      <w:rFonts w:eastAsia="仿宋_GB2312" w:hAnsi="Arial" w:cs="Angsana New"/>
      <w:sz w:val="24"/>
      <w:lang w:bidi="th-TH"/>
    </w:rPr>
  </w:style>
  <w:style w:type="paragraph" w:customStyle="1" w:styleId="reader-word-layerreader-word-s1-16">
    <w:name w:val="reader-word-layer reader-word-s1-16"/>
    <w:basedOn w:val="a2"/>
    <w:uiPriority w:val="99"/>
    <w:qFormat/>
    <w:pPr>
      <w:spacing w:before="100" w:beforeAutospacing="1" w:after="100" w:afterAutospacing="1"/>
    </w:pPr>
    <w:rPr>
      <w:rFonts w:ascii="宋体" w:hAnsi="宋体" w:cs="宋体"/>
      <w:sz w:val="24"/>
    </w:rPr>
  </w:style>
  <w:style w:type="paragraph" w:customStyle="1" w:styleId="xl748">
    <w:name w:val="xl748"/>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sz w:val="24"/>
    </w:rPr>
  </w:style>
  <w:style w:type="paragraph" w:customStyle="1" w:styleId="affffffffffffffffffffffffffff8">
    <w:name w:val="四号正文 首行缩进"/>
    <w:basedOn w:val="a2"/>
    <w:uiPriority w:val="99"/>
    <w:qFormat/>
    <w:pPr>
      <w:snapToGrid w:val="0"/>
      <w:spacing w:line="360" w:lineRule="auto"/>
      <w:ind w:firstLineChars="200" w:firstLine="576"/>
      <w:jc w:val="both"/>
    </w:pPr>
    <w:rPr>
      <w:rFonts w:cs="宋体"/>
      <w:sz w:val="30"/>
      <w:szCs w:val="30"/>
    </w:rPr>
  </w:style>
  <w:style w:type="paragraph" w:customStyle="1" w:styleId="Char1CharCharCharCharChar2">
    <w:name w:val="Char1 Char Char Char Char Char2"/>
    <w:basedOn w:val="a2"/>
    <w:next w:val="a2"/>
    <w:uiPriority w:val="99"/>
    <w:qFormat/>
    <w:pPr>
      <w:spacing w:line="360" w:lineRule="auto"/>
      <w:ind w:firstLineChars="200" w:firstLine="200"/>
      <w:jc w:val="center"/>
    </w:pPr>
    <w:rPr>
      <w:rFonts w:ascii="Times New Roman" w:eastAsia="黑体"/>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2"/>
    <w:qFormat/>
    <w:pPr>
      <w:spacing w:after="160" w:line="240" w:lineRule="exact"/>
    </w:pPr>
    <w:rPr>
      <w:rFonts w:ascii="Verdana" w:hAnsi="Verdana"/>
      <w:sz w:val="20"/>
      <w:lang w:eastAsia="en-US"/>
    </w:rPr>
  </w:style>
  <w:style w:type="paragraph" w:customStyle="1" w:styleId="11fb">
    <w:name w:val="注释标题11"/>
    <w:basedOn w:val="a2"/>
    <w:next w:val="a2"/>
    <w:uiPriority w:val="99"/>
    <w:qFormat/>
    <w:pPr>
      <w:jc w:val="center"/>
    </w:pPr>
    <w:rPr>
      <w:rFonts w:ascii="Calibri" w:hAnsi="Calibri"/>
      <w:szCs w:val="22"/>
    </w:rPr>
  </w:style>
  <w:style w:type="paragraph" w:customStyle="1" w:styleId="31a">
    <w:name w:val="日期31"/>
    <w:basedOn w:val="a2"/>
    <w:next w:val="a2"/>
    <w:uiPriority w:val="99"/>
    <w:qFormat/>
    <w:pPr>
      <w:jc w:val="both"/>
      <w:textAlignment w:val="baseline"/>
    </w:pPr>
  </w:style>
  <w:style w:type="paragraph" w:customStyle="1" w:styleId="affffffffffffffffffffffffffff9">
    <w:name w:val="表格题"/>
    <w:basedOn w:val="af8"/>
    <w:uiPriority w:val="99"/>
    <w:qFormat/>
    <w:pPr>
      <w:jc w:val="both"/>
    </w:pPr>
    <w:rPr>
      <w:rFonts w:cs="Courier New" w:hint="eastAsia"/>
      <w:kern w:val="2"/>
      <w:sz w:val="21"/>
    </w:rPr>
  </w:style>
  <w:style w:type="paragraph" w:customStyle="1" w:styleId="CharCharCharCharCharChar1Char1">
    <w:name w:val="Char Char Char Char Char Char1 Char1"/>
    <w:basedOn w:val="a2"/>
    <w:uiPriority w:val="99"/>
    <w:qFormat/>
    <w:pPr>
      <w:spacing w:line="360" w:lineRule="auto"/>
      <w:ind w:firstLineChars="200" w:firstLine="200"/>
      <w:jc w:val="both"/>
    </w:pPr>
    <w:rPr>
      <w:rFonts w:ascii="宋体" w:hAnsi="宋体" w:cs="宋体"/>
      <w:sz w:val="24"/>
    </w:rPr>
  </w:style>
  <w:style w:type="paragraph" w:customStyle="1" w:styleId="Char1CharCharCharCharCharCharCharCharChar1CharCharCharCharCharChar2">
    <w:name w:val="Char1 Char Char Char Char Char Char Char Char Char1 Char Char Char Char Char Char2"/>
    <w:basedOn w:val="a2"/>
    <w:uiPriority w:val="99"/>
    <w:qFormat/>
    <w:pPr>
      <w:spacing w:before="100" w:beforeAutospacing="1" w:after="100" w:afterAutospacing="1"/>
      <w:ind w:firstLineChars="200" w:firstLine="200"/>
    </w:pPr>
    <w:rPr>
      <w:rFonts w:ascii="Verdana" w:eastAsia="仿宋_GB2312" w:hAnsi="Verdana"/>
      <w:sz w:val="20"/>
      <w:lang w:eastAsia="en-US"/>
    </w:rPr>
  </w:style>
  <w:style w:type="paragraph" w:customStyle="1" w:styleId="CharCharCharCharCharCharChar9">
    <w:name w:val="样式 正文缩进正文（首行缩进两字） Char Char Char Char Char Char Char表格标题文本条款..."/>
    <w:basedOn w:val="affffffffffffffffffffff0"/>
    <w:uiPriority w:val="99"/>
    <w:qFormat/>
  </w:style>
  <w:style w:type="paragraph" w:customStyle="1" w:styleId="3415151113h33rdlevelH3">
    <w:name w:val="样式 标题 34号宋体左齐行距1.5倍小标题四号宋体左齐行距1.5倍条标题1.1.13h33rd levelH3..."/>
    <w:basedOn w:val="41"/>
    <w:pPr>
      <w:tabs>
        <w:tab w:val="left" w:pos="864"/>
      </w:tabs>
      <w:spacing w:beforeLines="0" w:before="120" w:after="120"/>
      <w:ind w:left="864" w:rightChars="0" w:right="0" w:hanging="864"/>
      <w:jc w:val="both"/>
      <w:textAlignment w:val="baseline"/>
    </w:pPr>
    <w:rPr>
      <w:rFonts w:ascii="Times New Roman" w:eastAsia="ˎ̥" w:cs="宋体"/>
      <w:bCs w:val="0"/>
      <w:sz w:val="24"/>
      <w:szCs w:val="20"/>
    </w:rPr>
  </w:style>
  <w:style w:type="paragraph" w:customStyle="1" w:styleId="488">
    <w:name w:val="样式 标题 4 + 段前: 8 磅 段后: 8 磅"/>
    <w:basedOn w:val="41"/>
    <w:uiPriority w:val="99"/>
    <w:qFormat/>
    <w:pPr>
      <w:spacing w:before="160" w:afterLines="50" w:after="160" w:line="480" w:lineRule="exact"/>
      <w:ind w:leftChars="0" w:left="0" w:rightChars="0" w:right="0"/>
      <w:jc w:val="both"/>
      <w:textAlignment w:val="baseline"/>
    </w:pPr>
    <w:rPr>
      <w:rFonts w:ascii="Times New Roman" w:eastAsia="宋体" w:cs="宋体"/>
      <w:b/>
      <w:bCs w:val="0"/>
      <w:szCs w:val="20"/>
    </w:rPr>
  </w:style>
  <w:style w:type="paragraph" w:customStyle="1" w:styleId="affffffffffffffffffffffffffffa">
    <w:name w:val="段落正文"/>
    <w:basedOn w:val="a2"/>
    <w:pPr>
      <w:autoSpaceDE/>
      <w:autoSpaceDN/>
      <w:adjustRightInd/>
      <w:ind w:firstLineChars="200" w:firstLine="480"/>
      <w:jc w:val="both"/>
    </w:pPr>
    <w:rPr>
      <w:rFonts w:cs="宋体"/>
    </w:rPr>
  </w:style>
  <w:style w:type="paragraph" w:customStyle="1" w:styleId="P4">
    <w:name w:val="P4"/>
    <w:uiPriority w:val="99"/>
    <w:qFormat/>
    <w:pPr>
      <w:widowControl w:val="0"/>
      <w:adjustRightInd w:val="0"/>
      <w:spacing w:after="240" w:line="0" w:lineRule="atLeast"/>
      <w:ind w:left="2160"/>
      <w:jc w:val="both"/>
      <w:textAlignment w:val="baseline"/>
    </w:pPr>
    <w:rPr>
      <w:rFonts w:ascii="Times New Roman" w:eastAsia="宋体" w:hAnsi="Times New Roman" w:cs="Times New Roman"/>
      <w:spacing w:val="20"/>
      <w:sz w:val="24"/>
      <w:lang w:val="en-GB"/>
    </w:rPr>
  </w:style>
  <w:style w:type="paragraph" w:customStyle="1" w:styleId="CharChar39">
    <w:name w:val="Char Char39"/>
    <w:basedOn w:val="a2"/>
    <w:pPr>
      <w:ind w:firstLineChars="200" w:firstLine="200"/>
      <w:jc w:val="both"/>
    </w:pPr>
  </w:style>
  <w:style w:type="paragraph" w:customStyle="1" w:styleId="affffffffffffffffffffffffffffb">
    <w:name w:val="表格编号"/>
    <w:basedOn w:val="a2"/>
    <w:next w:val="a2"/>
    <w:qFormat/>
    <w:pPr>
      <w:tabs>
        <w:tab w:val="left" w:pos="720"/>
      </w:tabs>
      <w:spacing w:before="300" w:after="200"/>
      <w:jc w:val="center"/>
    </w:pPr>
    <w:rPr>
      <w:sz w:val="24"/>
    </w:rPr>
  </w:style>
  <w:style w:type="paragraph" w:customStyle="1" w:styleId="xl43">
    <w:name w:val="xl43"/>
    <w:basedOn w:val="a2"/>
    <w:qFormat/>
    <w:pPr>
      <w:widowControl/>
      <w:pBdr>
        <w:bottom w:val="single" w:sz="4" w:space="0" w:color="auto"/>
        <w:right w:val="single" w:sz="4" w:space="0" w:color="auto"/>
      </w:pBdr>
      <w:spacing w:before="100" w:beforeAutospacing="1" w:after="100" w:afterAutospacing="1"/>
    </w:pPr>
    <w:rPr>
      <w:rFonts w:eastAsia="Arial Unicode MS"/>
      <w:sz w:val="24"/>
    </w:rPr>
  </w:style>
  <w:style w:type="paragraph" w:customStyle="1" w:styleId="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2"/>
    <w:basedOn w:val="a2"/>
    <w:uiPriority w:val="99"/>
    <w:qFormat/>
    <w:pPr>
      <w:jc w:val="both"/>
    </w:pPr>
  </w:style>
  <w:style w:type="paragraph" w:customStyle="1" w:styleId="CharCharCharCharCharCharCharCharCharCharCharCharCharCharCharCharCharCharCharCharCharChar3">
    <w:name w:val="Char Char Char Char Char Char Char Char Char Char Char Char Char Char Char Char Char Char Char Char Char Char3"/>
    <w:basedOn w:val="a2"/>
    <w:uiPriority w:val="99"/>
    <w:qFormat/>
    <w:pPr>
      <w:jc w:val="both"/>
    </w:pPr>
  </w:style>
  <w:style w:type="paragraph" w:customStyle="1" w:styleId="2fffff9">
    <w:name w:val="样式 正文段落 + 首行缩进:  2 字符"/>
    <w:basedOn w:val="a2"/>
    <w:uiPriority w:val="99"/>
    <w:qFormat/>
    <w:pPr>
      <w:tabs>
        <w:tab w:val="left" w:pos="227"/>
      </w:tabs>
      <w:overflowPunct w:val="0"/>
      <w:spacing w:before="100" w:beforeAutospacing="1" w:after="100" w:afterAutospacing="1" w:line="360" w:lineRule="auto"/>
      <w:ind w:firstLineChars="200" w:firstLine="480"/>
      <w:jc w:val="both"/>
      <w:textAlignment w:val="baseline"/>
    </w:pPr>
    <w:rPr>
      <w:rFonts w:eastAsia="仿宋_GB2312"/>
      <w:sz w:val="24"/>
    </w:rPr>
  </w:style>
  <w:style w:type="paragraph" w:customStyle="1" w:styleId="3Char1Char1CharCharChar1Char111h3H3level3">
    <w:name w:val="样式 标题 3Char1Char1 Char CharChar1 Char条标题1.1.1h3H3level_3..."/>
    <w:basedOn w:val="32"/>
    <w:uiPriority w:val="99"/>
    <w:qFormat/>
    <w:pPr>
      <w:spacing w:before="0" w:after="0" w:line="360" w:lineRule="auto"/>
      <w:ind w:left="268" w:rightChars="100" w:right="210" w:hangingChars="99" w:hanging="268"/>
      <w:jc w:val="both"/>
    </w:pPr>
    <w:rPr>
      <w:rFonts w:ascii="Times New Roman" w:eastAsia="宋体" w:cs="宋体"/>
      <w:kern w:val="10"/>
      <w:sz w:val="27"/>
      <w:szCs w:val="27"/>
    </w:rPr>
  </w:style>
  <w:style w:type="paragraph" w:customStyle="1" w:styleId="-7">
    <w:name w:val="标-7"/>
    <w:basedOn w:val="a2"/>
    <w:qFormat/>
    <w:pPr>
      <w:tabs>
        <w:tab w:val="left" w:pos="360"/>
      </w:tabs>
      <w:spacing w:before="120"/>
      <w:ind w:left="1701" w:hanging="425"/>
    </w:pPr>
    <w:rPr>
      <w:sz w:val="24"/>
    </w:rPr>
  </w:style>
  <w:style w:type="paragraph" w:customStyle="1" w:styleId="211305054">
    <w:name w:val="样式 样式 标题 2 + 首行缩进:  1.13 厘米 + 段前: 0.5 行 段后: 0.5 行4"/>
    <w:basedOn w:val="2113"/>
    <w:uiPriority w:val="99"/>
    <w:qFormat/>
    <w:pPr>
      <w:spacing w:beforeLines="100" w:line="500" w:lineRule="exact"/>
    </w:pPr>
  </w:style>
  <w:style w:type="paragraph" w:customStyle="1" w:styleId="font7">
    <w:name w:val="font7"/>
    <w:basedOn w:val="a2"/>
    <w:qFormat/>
    <w:pPr>
      <w:widowControl/>
      <w:spacing w:before="100" w:beforeAutospacing="1" w:after="100" w:afterAutospacing="1"/>
    </w:pPr>
    <w:rPr>
      <w:rFonts w:eastAsia="Arial Unicode MS"/>
      <w:sz w:val="24"/>
    </w:rPr>
  </w:style>
  <w:style w:type="paragraph" w:customStyle="1" w:styleId="CharCharCharCharCharCharCharCharChar1Char">
    <w:name w:val="Char Char Char Char Char Char Char Char Char1 Char"/>
    <w:basedOn w:val="a2"/>
    <w:pPr>
      <w:jc w:val="both"/>
    </w:pPr>
    <w:rPr>
      <w:sz w:val="24"/>
    </w:rPr>
  </w:style>
  <w:style w:type="paragraph" w:customStyle="1" w:styleId="1690">
    <w:name w:val="样式 样式 首行缩进:  1.69 厘米 + (中文) 宋体"/>
    <w:basedOn w:val="169"/>
    <w:uiPriority w:val="99"/>
    <w:qFormat/>
    <w:pPr>
      <w:ind w:firstLine="0"/>
    </w:pPr>
    <w:rPr>
      <w:rFonts w:eastAsia="仿宋_GB2312"/>
      <w:szCs w:val="24"/>
    </w:rPr>
  </w:style>
  <w:style w:type="paragraph" w:customStyle="1" w:styleId="Char3f8">
    <w:name w:val="Char3"/>
    <w:basedOn w:val="a2"/>
    <w:qFormat/>
    <w:rPr>
      <w:sz w:val="24"/>
    </w:rPr>
  </w:style>
  <w:style w:type="paragraph" w:customStyle="1" w:styleId="Char1CharCharCharCharCharCharCharCharChar1CharCharCharCharCharChar5">
    <w:name w:val="Char1 Char Char Char Char Char Char Char Char Char1 Char Char Char Char Char Char5"/>
    <w:basedOn w:val="a2"/>
    <w:pPr>
      <w:spacing w:before="100" w:beforeAutospacing="1" w:after="100" w:afterAutospacing="1"/>
      <w:ind w:firstLineChars="200" w:firstLine="200"/>
    </w:pPr>
    <w:rPr>
      <w:rFonts w:ascii="Verdana" w:eastAsia="仿宋_GB2312" w:hAnsi="Verdana"/>
      <w:sz w:val="20"/>
      <w:lang w:eastAsia="en-US"/>
    </w:rPr>
  </w:style>
  <w:style w:type="paragraph" w:customStyle="1" w:styleId="1">
    <w:name w:val="样式1）"/>
    <w:basedOn w:val="50"/>
    <w:qFormat/>
    <w:pPr>
      <w:numPr>
        <w:ilvl w:val="4"/>
        <w:numId w:val="13"/>
      </w:numPr>
      <w:tabs>
        <w:tab w:val="clear" w:pos="2535"/>
        <w:tab w:val="left" w:pos="1226"/>
      </w:tabs>
      <w:spacing w:beforeLines="50" w:before="156" w:afterLines="50" w:after="156" w:line="400" w:lineRule="exact"/>
      <w:ind w:leftChars="213" w:left="821" w:hangingChars="156" w:hanging="374"/>
    </w:pPr>
    <w:rPr>
      <w:b w:val="0"/>
      <w:sz w:val="24"/>
    </w:rPr>
  </w:style>
  <w:style w:type="paragraph" w:customStyle="1" w:styleId="CharCharCharCharc">
    <w:name w:val="环评正文 Char Char Char Char"/>
    <w:uiPriority w:val="99"/>
    <w:qFormat/>
    <w:pPr>
      <w:spacing w:line="400" w:lineRule="exact"/>
      <w:ind w:firstLineChars="200" w:firstLine="200"/>
      <w:jc w:val="both"/>
    </w:pPr>
    <w:rPr>
      <w:rFonts w:ascii="Times New Roman" w:eastAsia="宋体" w:hAnsi="Times New Roman" w:cs="Times New Roman"/>
      <w:color w:val="000000"/>
      <w:kern w:val="21"/>
      <w:sz w:val="24"/>
      <w:szCs w:val="24"/>
    </w:rPr>
  </w:style>
  <w:style w:type="paragraph" w:customStyle="1" w:styleId="Char3CharCharChar4">
    <w:name w:val="Char3 Char Char Char4"/>
    <w:basedOn w:val="a2"/>
    <w:uiPriority w:val="99"/>
    <w:qFormat/>
    <w:pPr>
      <w:jc w:val="both"/>
    </w:pPr>
    <w:rPr>
      <w:sz w:val="24"/>
    </w:rPr>
  </w:style>
  <w:style w:type="paragraph" w:customStyle="1" w:styleId="Char2CharChar1CharCharCharCharCharCharCharCharCharChar4">
    <w:name w:val="Char2 Char Char1 Char Char Char Char Char Char Char Char Char Char4"/>
    <w:basedOn w:val="a2"/>
    <w:uiPriority w:val="99"/>
    <w:qFormat/>
    <w:pPr>
      <w:jc w:val="both"/>
    </w:pPr>
    <w:rPr>
      <w:sz w:val="24"/>
    </w:rPr>
  </w:style>
  <w:style w:type="paragraph" w:customStyle="1" w:styleId="list4">
    <w:name w:val="list4"/>
    <w:basedOn w:val="a2"/>
    <w:uiPriority w:val="99"/>
    <w:qFormat/>
    <w:pPr>
      <w:spacing w:line="360" w:lineRule="auto"/>
    </w:pPr>
    <w:rPr>
      <w:rFonts w:ascii="宋体"/>
      <w:spacing w:val="20"/>
      <w:sz w:val="22"/>
      <w:lang w:val="en-AU"/>
    </w:rPr>
  </w:style>
  <w:style w:type="paragraph" w:customStyle="1" w:styleId="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3"/>
    <w:basedOn w:val="a2"/>
    <w:uiPriority w:val="99"/>
    <w:qFormat/>
    <w:pPr>
      <w:jc w:val="both"/>
    </w:pPr>
    <w:rPr>
      <w:sz w:val="24"/>
    </w:rPr>
  </w:style>
  <w:style w:type="paragraph" w:customStyle="1" w:styleId="3111H3BOD0Heading3-oldLevel3Headh33rdle">
    <w:name w:val="样式 标题 3条标题1.1.1H3BOD 0Heading 3 - oldLevel 3 Headh33rd le..."/>
    <w:basedOn w:val="32"/>
    <w:qFormat/>
    <w:pPr>
      <w:tabs>
        <w:tab w:val="left" w:pos="0"/>
        <w:tab w:val="left" w:pos="1215"/>
      </w:tabs>
      <w:spacing w:before="0" w:after="0" w:line="500" w:lineRule="exact"/>
    </w:pPr>
    <w:rPr>
      <w:rFonts w:ascii="宋体" w:eastAsia="宋体" w:cs="宋体"/>
      <w:b w:val="0"/>
      <w:bCs w:val="0"/>
      <w:color w:val="FF0000"/>
      <w:sz w:val="28"/>
      <w:szCs w:val="20"/>
    </w:rPr>
  </w:style>
  <w:style w:type="paragraph" w:customStyle="1" w:styleId="1231">
    <w:name w:val="文本123"/>
    <w:basedOn w:val="a3"/>
    <w:uiPriority w:val="99"/>
    <w:qFormat/>
    <w:pPr>
      <w:tabs>
        <w:tab w:val="left" w:pos="360"/>
        <w:tab w:val="left" w:pos="3360"/>
      </w:tabs>
      <w:snapToGrid w:val="0"/>
      <w:spacing w:before="20" w:line="480" w:lineRule="exact"/>
      <w:ind w:left="3360" w:firstLineChars="0" w:hanging="420"/>
      <w:jc w:val="both"/>
    </w:pPr>
    <w:rPr>
      <w:sz w:val="24"/>
      <w:szCs w:val="20"/>
    </w:rPr>
  </w:style>
  <w:style w:type="paragraph" w:customStyle="1" w:styleId="CharCharCharCharCharCharCharCharCharChar1CharCharChar">
    <w:name w:val="Char Char Char Char Char Char Char Char Char Char1 Char Char Char"/>
    <w:basedOn w:val="a2"/>
    <w:pPr>
      <w:spacing w:line="240" w:lineRule="exact"/>
      <w:ind w:firstLineChars="200" w:firstLine="200"/>
      <w:jc w:val="both"/>
    </w:pPr>
    <w:rPr>
      <w:szCs w:val="28"/>
    </w:rPr>
  </w:style>
  <w:style w:type="paragraph" w:customStyle="1" w:styleId="affffffffffffffffffffffffffffc">
    <w:name w:val="表居中"/>
    <w:basedOn w:val="af4"/>
    <w:pPr>
      <w:autoSpaceDE/>
      <w:autoSpaceDN/>
      <w:adjustRightInd/>
      <w:spacing w:after="0" w:line="240" w:lineRule="exact"/>
      <w:jc w:val="both"/>
    </w:pPr>
    <w:rPr>
      <w:rFonts w:eastAsia="仿宋_GB2312"/>
      <w:kern w:val="1"/>
      <w:sz w:val="24"/>
      <w:szCs w:val="24"/>
      <w:lang w:eastAsia="ar-SA"/>
    </w:rPr>
  </w:style>
  <w:style w:type="paragraph" w:customStyle="1" w:styleId="332">
    <w:name w:val="正文文本 33"/>
    <w:basedOn w:val="a2"/>
    <w:uiPriority w:val="99"/>
    <w:qFormat/>
    <w:pPr>
      <w:spacing w:line="312" w:lineRule="atLeast"/>
      <w:jc w:val="center"/>
      <w:textAlignment w:val="baseline"/>
    </w:pPr>
    <w:rPr>
      <w:rFonts w:ascii="楷体" w:eastAsia="楷体"/>
    </w:rPr>
  </w:style>
  <w:style w:type="paragraph" w:customStyle="1" w:styleId="A17">
    <w:name w:val="A1"/>
    <w:basedOn w:val="12"/>
    <w:uiPriority w:val="99"/>
    <w:qFormat/>
    <w:pPr>
      <w:keepNext w:val="0"/>
      <w:keepLines w:val="0"/>
      <w:tabs>
        <w:tab w:val="left" w:pos="340"/>
        <w:tab w:val="left" w:pos="1872"/>
      </w:tabs>
      <w:spacing w:line="240" w:lineRule="auto"/>
      <w:jc w:val="both"/>
      <w:textAlignment w:val="auto"/>
    </w:pPr>
    <w:rPr>
      <w:rFonts w:eastAsia="宋体"/>
      <w:b/>
      <w:sz w:val="24"/>
      <w:szCs w:val="24"/>
    </w:rPr>
  </w:style>
  <w:style w:type="paragraph" w:customStyle="1" w:styleId="5f7">
    <w:name w:val="图中文字5号"/>
    <w:basedOn w:val="a2"/>
    <w:uiPriority w:val="99"/>
    <w:qFormat/>
    <w:pPr>
      <w:snapToGrid w:val="0"/>
      <w:jc w:val="center"/>
      <w:textAlignment w:val="baseline"/>
    </w:pPr>
    <w:rPr>
      <w:rFonts w:eastAsia="仿宋_GB2312"/>
      <w:kern w:val="28"/>
      <w:position w:val="-14"/>
    </w:rPr>
  </w:style>
  <w:style w:type="paragraph" w:customStyle="1" w:styleId="p14">
    <w:name w:val="p14"/>
    <w:basedOn w:val="a2"/>
    <w:uiPriority w:val="99"/>
    <w:qFormat/>
    <w:pPr>
      <w:snapToGrid w:val="0"/>
      <w:spacing w:before="100" w:beforeAutospacing="1" w:after="100" w:afterAutospacing="1" w:line="336" w:lineRule="auto"/>
      <w:ind w:firstLineChars="200" w:firstLine="200"/>
    </w:pPr>
    <w:rPr>
      <w:rFonts w:ascii="宋体" w:hAnsi="宋体"/>
      <w:sz w:val="24"/>
    </w:rPr>
  </w:style>
  <w:style w:type="paragraph" w:customStyle="1" w:styleId="3133Char1CharCharChar31ReHead3WSAh3B">
    <w:name w:val="样式 标题 3标题 13标题 3 Char1 Char Char Char标题 31ReHead 3 WSAh3B..."/>
    <w:basedOn w:val="32"/>
    <w:uiPriority w:val="99"/>
    <w:qFormat/>
    <w:pPr>
      <w:snapToGrid w:val="0"/>
      <w:spacing w:beforeLines="50" w:before="156" w:afterLines="20" w:after="62" w:line="360" w:lineRule="auto"/>
    </w:pPr>
    <w:rPr>
      <w:rFonts w:ascii="Times New Roman" w:eastAsia="宋体"/>
      <w:sz w:val="24"/>
      <w:szCs w:val="24"/>
      <w:lang w:val="zh-CN"/>
    </w:rPr>
  </w:style>
  <w:style w:type="paragraph" w:customStyle="1" w:styleId="biao2">
    <w:name w:val="biao2"/>
    <w:basedOn w:val="a2"/>
    <w:uiPriority w:val="99"/>
    <w:qFormat/>
    <w:pPr>
      <w:spacing w:before="100" w:after="100"/>
      <w:jc w:val="center"/>
      <w:textAlignment w:val="center"/>
    </w:pPr>
    <w:rPr>
      <w:rFonts w:ascii="??" w:hAnsi="??"/>
      <w:color w:val="000000"/>
      <w:sz w:val="27"/>
    </w:rPr>
  </w:style>
  <w:style w:type="paragraph" w:customStyle="1" w:styleId="GB231220TimesNewRoman">
    <w:name w:val="样式 样式 仿宋_GB2312 小四 居中 行距: 固定值 20 磅 + Times New Roman"/>
    <w:basedOn w:val="a2"/>
    <w:qFormat/>
    <w:pPr>
      <w:jc w:val="center"/>
    </w:pPr>
    <w:rPr>
      <w:rFonts w:eastAsia="仿宋_GB2312" w:cs="宋体"/>
    </w:rPr>
  </w:style>
  <w:style w:type="paragraph" w:customStyle="1" w:styleId="211305051">
    <w:name w:val="样式 样式 标题 2 + 首行缩进:  1.13 厘米 + 段前: 0.5 行 段后: 0.5 行1"/>
    <w:basedOn w:val="2113"/>
    <w:uiPriority w:val="99"/>
    <w:qFormat/>
    <w:pPr>
      <w:spacing w:line="360" w:lineRule="auto"/>
    </w:pPr>
  </w:style>
  <w:style w:type="paragraph" w:customStyle="1" w:styleId="CM96">
    <w:name w:val="CM96"/>
    <w:basedOn w:val="Default"/>
    <w:next w:val="Default"/>
    <w:pPr>
      <w:spacing w:beforeLines="0" w:before="0" w:afterLines="0" w:after="0" w:line="240" w:lineRule="auto"/>
      <w:ind w:firstLineChars="0" w:firstLine="0"/>
      <w:jc w:val="both"/>
    </w:pPr>
    <w:rPr>
      <w:rFonts w:ascii="黑体" w:eastAsia="黑体" w:cs="Times New Roman"/>
      <w:color w:val="auto"/>
    </w:rPr>
  </w:style>
  <w:style w:type="paragraph" w:customStyle="1" w:styleId="1ffffffff0">
    <w:name w:val="1表格头"/>
    <w:basedOn w:val="1ffffffa"/>
    <w:qFormat/>
    <w:pPr>
      <w:spacing w:line="420" w:lineRule="auto"/>
      <w:outlineLvl w:val="3"/>
    </w:pPr>
    <w:rPr>
      <w:rFonts w:eastAsia="黑体"/>
      <w:b/>
      <w:sz w:val="24"/>
    </w:rPr>
  </w:style>
  <w:style w:type="paragraph" w:customStyle="1" w:styleId="Char160">
    <w:name w:val="Char16"/>
    <w:basedOn w:val="a2"/>
    <w:uiPriority w:val="99"/>
    <w:qFormat/>
    <w:rPr>
      <w:rFonts w:ascii="Calibri" w:hAnsi="Calibri"/>
    </w:rPr>
  </w:style>
  <w:style w:type="paragraph" w:customStyle="1" w:styleId="10215">
    <w:name w:val="样式 四号 首行缩进:  1.02 厘米 行距: 1.5 倍行距"/>
    <w:basedOn w:val="a2"/>
    <w:uiPriority w:val="99"/>
    <w:qFormat/>
    <w:pPr>
      <w:tabs>
        <w:tab w:val="right" w:leader="dot" w:pos="8296"/>
      </w:tabs>
      <w:ind w:left="210"/>
    </w:pPr>
    <w:rPr>
      <w:rFonts w:ascii="黑体"/>
      <w:smallCaps/>
      <w:sz w:val="20"/>
    </w:rPr>
  </w:style>
  <w:style w:type="paragraph" w:customStyle="1" w:styleId="mytableheader">
    <w:name w:val="my table header"/>
    <w:basedOn w:val="affffffff5"/>
    <w:uiPriority w:val="99"/>
    <w:qFormat/>
    <w:locked/>
    <w:pPr>
      <w:overflowPunct w:val="0"/>
      <w:spacing w:before="0" w:line="360" w:lineRule="auto"/>
      <w:ind w:firstLine="495"/>
      <w:jc w:val="both"/>
      <w:textAlignment w:val="bottom"/>
    </w:pPr>
    <w:rPr>
      <w:rFonts w:ascii="黑体" w:eastAsia="宋体" w:hAnsi="黑体"/>
      <w:b/>
      <w:bCs/>
    </w:rPr>
  </w:style>
  <w:style w:type="paragraph" w:customStyle="1" w:styleId="CharCharCharChar1CharCharCharCharCharCharChar3">
    <w:name w:val="Char Char Char Char1 Char Char Char Char Char Char Char3"/>
    <w:basedOn w:val="a2"/>
    <w:uiPriority w:val="99"/>
    <w:qFormat/>
    <w:pPr>
      <w:tabs>
        <w:tab w:val="left" w:pos="360"/>
      </w:tabs>
      <w:snapToGrid w:val="0"/>
      <w:spacing w:line="360" w:lineRule="auto"/>
      <w:jc w:val="both"/>
    </w:pPr>
    <w:rPr>
      <w:rFonts w:eastAsia="仿宋_GB2312"/>
    </w:rPr>
  </w:style>
  <w:style w:type="paragraph" w:customStyle="1" w:styleId="Char221">
    <w:name w:val="Char22"/>
    <w:basedOn w:val="a2"/>
    <w:qFormat/>
    <w:rPr>
      <w:sz w:val="24"/>
    </w:rPr>
  </w:style>
  <w:style w:type="paragraph" w:customStyle="1" w:styleId="CharCharGB2312">
    <w:name w:val="样式 纯文本普通文字 Char表格文字表内文字纯文本 Char + 仿宋_GB2312 四号"/>
    <w:basedOn w:val="af8"/>
    <w:uiPriority w:val="99"/>
    <w:qFormat/>
    <w:rPr>
      <w:rFonts w:hAnsi="仿宋_GB2312" w:cs="Courier New"/>
      <w:kern w:val="0"/>
      <w:sz w:val="28"/>
      <w:szCs w:val="28"/>
    </w:rPr>
  </w:style>
  <w:style w:type="paragraph" w:customStyle="1" w:styleId="4CharCharChar0">
    <w:name w:val="字元4 Char Char Char 字元 字元 字元"/>
    <w:basedOn w:val="a2"/>
    <w:qFormat/>
    <w:pPr>
      <w:spacing w:line="400" w:lineRule="exact"/>
      <w:ind w:firstLine="601"/>
      <w:jc w:val="both"/>
      <w:textAlignment w:val="baseline"/>
    </w:pPr>
    <w:rPr>
      <w:rFonts w:ascii="Times New Roman"/>
      <w:spacing w:val="8"/>
    </w:rPr>
  </w:style>
  <w:style w:type="paragraph" w:customStyle="1" w:styleId="CharCharChar1CharCharChar1CharCharChar1Char">
    <w:name w:val="Char Char Char1 Char Char Char1 Char Char Char1 Char"/>
    <w:basedOn w:val="a2"/>
    <w:qFormat/>
    <w:pPr>
      <w:spacing w:line="400" w:lineRule="exact"/>
      <w:ind w:firstLineChars="200" w:firstLine="200"/>
      <w:jc w:val="both"/>
    </w:pPr>
    <w:rPr>
      <w:szCs w:val="28"/>
    </w:rPr>
  </w:style>
  <w:style w:type="paragraph" w:customStyle="1" w:styleId="head">
    <w:name w:val="head"/>
    <w:basedOn w:val="a2"/>
    <w:uiPriority w:val="99"/>
    <w:qFormat/>
    <w:pPr>
      <w:snapToGrid w:val="0"/>
      <w:spacing w:before="100" w:beforeAutospacing="1" w:after="100" w:afterAutospacing="1" w:line="400" w:lineRule="atLeast"/>
      <w:ind w:firstLineChars="200" w:firstLine="200"/>
    </w:pPr>
    <w:rPr>
      <w:rFonts w:ascii="宋体" w:hAnsi="宋体"/>
      <w:color w:val="000000"/>
      <w:szCs w:val="28"/>
    </w:rPr>
  </w:style>
  <w:style w:type="paragraph" w:customStyle="1" w:styleId="4106">
    <w:name w:val="样式 样式 标题4 + (中文) 宋体 + (中文) 宋体 首行缩进:  1.06 厘米"/>
    <w:basedOn w:val="a2"/>
    <w:qFormat/>
    <w:pPr>
      <w:keepNext/>
      <w:keepLines/>
      <w:spacing w:line="480" w:lineRule="exact"/>
      <w:jc w:val="both"/>
      <w:outlineLvl w:val="3"/>
    </w:pPr>
    <w:rPr>
      <w:rFonts w:cs="宋体"/>
      <w:b/>
      <w:bCs/>
      <w:sz w:val="30"/>
    </w:rPr>
  </w:style>
  <w:style w:type="character" w:customStyle="1" w:styleId="1ffffffff1">
    <w:name w:val="明显引用 字符1"/>
    <w:basedOn w:val="a4"/>
    <w:uiPriority w:val="30"/>
    <w:rPr>
      <w:rFonts w:ascii="Arial" w:eastAsia="楷体_GB2312" w:hAnsi="Times New Roman" w:cs="Times New Roman"/>
      <w:i/>
      <w:iCs/>
      <w:color w:val="4472C4" w:themeColor="accent1"/>
      <w:spacing w:val="-6"/>
      <w:kern w:val="0"/>
      <w:sz w:val="28"/>
      <w:szCs w:val="20"/>
    </w:rPr>
  </w:style>
  <w:style w:type="paragraph" w:customStyle="1" w:styleId="0772048">
    <w:name w:val="样式 首行缩进:  0.77 厘米 行距: 固定值 20 磅48"/>
    <w:basedOn w:val="a2"/>
    <w:uiPriority w:val="99"/>
    <w:qFormat/>
    <w:pPr>
      <w:spacing w:line="360" w:lineRule="auto"/>
      <w:ind w:firstLineChars="150" w:firstLine="360"/>
    </w:pPr>
    <w:rPr>
      <w:rFonts w:cs="宋体"/>
      <w:color w:val="FF0000"/>
      <w:sz w:val="24"/>
    </w:rPr>
  </w:style>
  <w:style w:type="paragraph" w:customStyle="1" w:styleId="xl23">
    <w:name w:val="xl23"/>
    <w:basedOn w:val="a2"/>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xl109">
    <w:name w:val="xl109"/>
    <w:basedOn w:val="a2"/>
    <w:qFormat/>
    <w:pPr>
      <w:pBdr>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2fffffa">
    <w:name w:val="样式 四号 首行缩进:  2 字符"/>
    <w:basedOn w:val="a2"/>
    <w:qFormat/>
    <w:pPr>
      <w:snapToGrid w:val="0"/>
      <w:spacing w:before="120" w:line="360" w:lineRule="auto"/>
      <w:ind w:firstLineChars="200" w:firstLine="560"/>
    </w:pPr>
    <w:rPr>
      <w:rFonts w:eastAsia="仿宋_GB2312"/>
      <w:bCs/>
      <w:iCs/>
      <w:color w:val="000000"/>
      <w:szCs w:val="28"/>
    </w:rPr>
  </w:style>
  <w:style w:type="paragraph" w:customStyle="1" w:styleId="GB231228">
    <w:name w:val="样式 正文文本缩进 + 仿宋_GB2312 蓝色 行距: 固定值 28 磅"/>
    <w:basedOn w:val="af5"/>
    <w:uiPriority w:val="99"/>
    <w:qFormat/>
    <w:pPr>
      <w:spacing w:after="0" w:line="560" w:lineRule="exact"/>
      <w:ind w:leftChars="0" w:left="0" w:firstLineChars="200" w:firstLine="200"/>
      <w:jc w:val="both"/>
    </w:pPr>
    <w:rPr>
      <w:rFonts w:ascii="仿宋_GB2312" w:eastAsia="仿宋_GB2312" w:cs="宋体"/>
      <w:color w:val="0000FF"/>
      <w:sz w:val="28"/>
      <w:szCs w:val="28"/>
    </w:rPr>
  </w:style>
  <w:style w:type="paragraph" w:customStyle="1" w:styleId="205050">
    <w:name w:val="样式 题2 + 非加粗 段前: 0.5 行 段后: 0.5 行"/>
    <w:basedOn w:val="2fd"/>
    <w:qFormat/>
    <w:pPr>
      <w:spacing w:beforeLines="0" w:afterLines="0"/>
    </w:pPr>
    <w:rPr>
      <w:rFonts w:cs="宋体"/>
      <w:bCs w:val="0"/>
      <w:szCs w:val="20"/>
    </w:rPr>
  </w:style>
  <w:style w:type="paragraph" w:customStyle="1" w:styleId="affffffffffffffffffffffffffffd">
    <w:name w:val="图标题"/>
    <w:next w:val="a2"/>
    <w:qFormat/>
    <w:pPr>
      <w:spacing w:beforeLines="50" w:before="50" w:afterLines="50" w:after="50" w:line="300" w:lineRule="auto"/>
      <w:ind w:firstLineChars="40" w:firstLine="40"/>
      <w:jc w:val="center"/>
    </w:pPr>
    <w:rPr>
      <w:rFonts w:ascii="Times New Roman" w:eastAsia="微软简标宋" w:hAnsi="Times New Roman" w:cs="Times New Roman"/>
      <w:spacing w:val="8"/>
      <w:sz w:val="24"/>
    </w:rPr>
  </w:style>
  <w:style w:type="paragraph" w:customStyle="1" w:styleId="CharCharCharCharCharChar30">
    <w:name w:val="Char Char Char Char Char Char3"/>
    <w:basedOn w:val="a2"/>
    <w:qFormat/>
    <w:rPr>
      <w:sz w:val="24"/>
    </w:rPr>
  </w:style>
  <w:style w:type="paragraph" w:customStyle="1" w:styleId="Char1CharCharCharCharCharCharCharCharCharCharCharChar1">
    <w:name w:val="Char1 Char Char Char Char Char Char Char Char Char Char Char Char1"/>
    <w:basedOn w:val="a2"/>
    <w:uiPriority w:val="99"/>
    <w:qFormat/>
    <w:pPr>
      <w:jc w:val="both"/>
    </w:pPr>
  </w:style>
  <w:style w:type="paragraph" w:customStyle="1" w:styleId="4150">
    <w:name w:val="样式 标题 4 + 行距: 1.5 倍行距"/>
    <w:basedOn w:val="41"/>
    <w:uiPriority w:val="99"/>
    <w:qFormat/>
    <w:pPr>
      <w:spacing w:beforeLines="0" w:before="0"/>
      <w:ind w:leftChars="0" w:left="0" w:rightChars="0" w:right="0"/>
      <w:jc w:val="both"/>
    </w:pPr>
    <w:rPr>
      <w:rFonts w:ascii="Arial" w:hAnsi="Arial" w:cs="宋体"/>
      <w:bCs w:val="0"/>
      <w:color w:val="000000"/>
      <w:sz w:val="24"/>
      <w:szCs w:val="20"/>
    </w:rPr>
  </w:style>
  <w:style w:type="paragraph" w:customStyle="1" w:styleId="CharCharCharCharCharCharCharChar1CharCharCharCharCharCharCharCharCharCharCharChar1Char4">
    <w:name w:val="Char Char Char Char Char Char Char Char1 Char Char Char Char Char Char Char Char Char Char Char Char1 Char4"/>
    <w:basedOn w:val="a2"/>
    <w:pPr>
      <w:jc w:val="both"/>
    </w:pPr>
    <w:rPr>
      <w:sz w:val="24"/>
    </w:rPr>
  </w:style>
  <w:style w:type="paragraph" w:customStyle="1" w:styleId="Char1CharChar1">
    <w:name w:val="Char1 Char Char1"/>
    <w:basedOn w:val="a2"/>
    <w:uiPriority w:val="99"/>
    <w:qFormat/>
    <w:pPr>
      <w:jc w:val="both"/>
    </w:pPr>
  </w:style>
  <w:style w:type="paragraph" w:customStyle="1" w:styleId="1ffffffff2">
    <w:name w:val="标题1级"/>
    <w:basedOn w:val="12"/>
    <w:uiPriority w:val="99"/>
    <w:qFormat/>
    <w:pPr>
      <w:spacing w:before="312" w:after="156"/>
      <w:jc w:val="center"/>
      <w:textAlignment w:val="auto"/>
    </w:pPr>
    <w:rPr>
      <w:rFonts w:eastAsia="宋体"/>
      <w:b/>
      <w:bCs w:val="0"/>
      <w:color w:val="000000"/>
      <w:sz w:val="28"/>
      <w:szCs w:val="20"/>
    </w:rPr>
  </w:style>
  <w:style w:type="paragraph" w:customStyle="1" w:styleId="affffffffffffffffffffffffffffe">
    <w:name w:val="已访问的超级链接"/>
    <w:next w:val="a2"/>
    <w:uiPriority w:val="99"/>
    <w:qFormat/>
    <w:pPr>
      <w:widowControl w:val="0"/>
      <w:jc w:val="both"/>
    </w:pPr>
    <w:rPr>
      <w:rFonts w:ascii="Times New Roman" w:eastAsia="宋体" w:hAnsi="Times New Roman" w:cs="Times New Roman"/>
      <w:kern w:val="2"/>
      <w:sz w:val="21"/>
      <w:szCs w:val="21"/>
    </w:rPr>
  </w:style>
  <w:style w:type="paragraph" w:customStyle="1" w:styleId="1ffffffff3">
    <w:name w:val="编号1"/>
    <w:basedOn w:val="a2"/>
    <w:uiPriority w:val="99"/>
    <w:qFormat/>
    <w:pPr>
      <w:tabs>
        <w:tab w:val="left" w:pos="900"/>
      </w:tabs>
      <w:spacing w:after="140" w:line="400" w:lineRule="exact"/>
      <w:ind w:left="900" w:hanging="420"/>
      <w:jc w:val="both"/>
    </w:pPr>
    <w:rPr>
      <w:sz w:val="24"/>
    </w:rPr>
  </w:style>
  <w:style w:type="paragraph" w:customStyle="1" w:styleId="CharCharCharCharCharChar10">
    <w:name w:val="Char Char Char Char Char Char1"/>
    <w:basedOn w:val="a2"/>
    <w:pPr>
      <w:jc w:val="both"/>
    </w:pPr>
    <w:rPr>
      <w:sz w:val="24"/>
    </w:rPr>
  </w:style>
  <w:style w:type="paragraph" w:customStyle="1" w:styleId="xl94">
    <w:name w:val="xl94"/>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2010">
    <w:name w:val="样式 黑体 小四 加粗 行距: 固定值 20 磅1"/>
    <w:basedOn w:val="a2"/>
    <w:uiPriority w:val="99"/>
    <w:qFormat/>
    <w:pPr>
      <w:spacing w:line="400" w:lineRule="exact"/>
      <w:jc w:val="both"/>
    </w:pPr>
    <w:rPr>
      <w:rFonts w:ascii="黑体" w:eastAsia="黑体" w:cs="宋体"/>
      <w:b/>
      <w:bCs/>
    </w:rPr>
  </w:style>
  <w:style w:type="paragraph" w:customStyle="1" w:styleId="840">
    <w:name w:val="河石管道 表头84"/>
    <w:uiPriority w:val="99"/>
    <w:qFormat/>
    <w:pPr>
      <w:spacing w:line="0" w:lineRule="atLeast"/>
      <w:jc w:val="both"/>
    </w:pPr>
    <w:rPr>
      <w:rFonts w:ascii="Times New Roman" w:eastAsia="宋体" w:hAnsi="Times New Roman" w:cs="Times New Roman"/>
      <w:b/>
      <w:bCs/>
      <w:sz w:val="18"/>
    </w:rPr>
  </w:style>
  <w:style w:type="paragraph" w:customStyle="1" w:styleId="Char2CharChar1CharCharChar3">
    <w:name w:val="Char2 Char Char1 Char Char Char3"/>
    <w:basedOn w:val="a2"/>
    <w:uiPriority w:val="99"/>
    <w:qFormat/>
    <w:pPr>
      <w:jc w:val="both"/>
    </w:pPr>
  </w:style>
  <w:style w:type="paragraph" w:customStyle="1" w:styleId="416">
    <w:name w:val="正文缩进41"/>
    <w:basedOn w:val="a2"/>
    <w:uiPriority w:val="99"/>
    <w:qFormat/>
    <w:pPr>
      <w:spacing w:line="560" w:lineRule="exact"/>
      <w:ind w:firstLineChars="200" w:firstLine="560"/>
      <w:jc w:val="both"/>
      <w:textAlignment w:val="baseline"/>
    </w:pPr>
    <w:rPr>
      <w:rFonts w:hint="eastAsia"/>
    </w:rPr>
  </w:style>
  <w:style w:type="paragraph" w:customStyle="1" w:styleId="xl56">
    <w:name w:val="xl56"/>
    <w:basedOn w:val="a2"/>
    <w:qFormat/>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rPr>
  </w:style>
  <w:style w:type="paragraph" w:customStyle="1" w:styleId="Char70">
    <w:name w:val="Char7"/>
    <w:basedOn w:val="a2"/>
    <w:qFormat/>
    <w:pPr>
      <w:tabs>
        <w:tab w:val="right" w:leader="middleDot" w:pos="600"/>
      </w:tabs>
      <w:jc w:val="both"/>
    </w:pPr>
    <w:rPr>
      <w:rFonts w:ascii="仿宋_GB2312" w:eastAsia="仿宋_GB2312"/>
      <w:sz w:val="30"/>
      <w:szCs w:val="30"/>
    </w:rPr>
  </w:style>
  <w:style w:type="paragraph" w:customStyle="1" w:styleId="afffffffffffffffffffffffffffff">
    <w:name w:val="表格头"/>
    <w:basedOn w:val="affffffff5"/>
    <w:uiPriority w:val="99"/>
    <w:qFormat/>
    <w:pPr>
      <w:snapToGrid w:val="0"/>
      <w:spacing w:beforeLines="20" w:before="0" w:line="300" w:lineRule="auto"/>
      <w:ind w:firstLineChars="200" w:firstLine="200"/>
      <w:textAlignment w:val="baseline"/>
    </w:pPr>
    <w:rPr>
      <w:rFonts w:eastAsia="仿宋_GB2312"/>
      <w:b/>
      <w:bCs/>
      <w:spacing w:val="-10"/>
      <w:sz w:val="28"/>
      <w:szCs w:val="28"/>
    </w:rPr>
  </w:style>
  <w:style w:type="paragraph" w:customStyle="1" w:styleId="afffffffffffffffffffffffffffff0">
    <w:name w:val="支标题 a)"/>
    <w:basedOn w:val="a2"/>
    <w:next w:val="a2"/>
    <w:uiPriority w:val="99"/>
    <w:qFormat/>
    <w:pPr>
      <w:tabs>
        <w:tab w:val="left" w:pos="510"/>
        <w:tab w:val="left" w:pos="1097"/>
      </w:tabs>
      <w:spacing w:before="120" w:after="120" w:line="460" w:lineRule="exact"/>
      <w:ind w:left="284" w:firstLine="453"/>
    </w:pPr>
    <w:rPr>
      <w:rFonts w:ascii="ZapfDingbats BT" w:hAnsi="ZapfDingbats BT"/>
      <w:sz w:val="23"/>
    </w:rPr>
  </w:style>
  <w:style w:type="paragraph" w:customStyle="1" w:styleId="afffffffffffffffffffffffffffff1">
    <w:name w:val="报告表正文"/>
    <w:basedOn w:val="a2"/>
    <w:pPr>
      <w:autoSpaceDE/>
      <w:autoSpaceDN/>
      <w:spacing w:line="312" w:lineRule="auto"/>
      <w:ind w:left="113" w:right="113" w:firstLineChars="200" w:firstLine="482"/>
      <w:textAlignment w:val="baseline"/>
    </w:pPr>
  </w:style>
  <w:style w:type="paragraph" w:customStyle="1" w:styleId="0772043">
    <w:name w:val="样式 首行缩进:  0.77 厘米 行距: 固定值 20 磅43"/>
    <w:basedOn w:val="a2"/>
    <w:uiPriority w:val="99"/>
    <w:qFormat/>
    <w:pPr>
      <w:spacing w:line="360" w:lineRule="auto"/>
      <w:ind w:firstLineChars="200" w:firstLine="480"/>
      <w:jc w:val="both"/>
    </w:pPr>
    <w:rPr>
      <w:rFonts w:cs="宋体"/>
      <w:sz w:val="24"/>
    </w:rPr>
  </w:style>
  <w:style w:type="paragraph" w:customStyle="1" w:styleId="--2">
    <w:name w:val="钢--2"/>
    <w:basedOn w:val="a2"/>
    <w:next w:val="a2"/>
    <w:pPr>
      <w:autoSpaceDE/>
      <w:autoSpaceDN/>
      <w:adjustRightInd/>
      <w:spacing w:before="240" w:after="240" w:line="520" w:lineRule="exact"/>
      <w:ind w:leftChars="100" w:left="210"/>
      <w:jc w:val="both"/>
      <w:outlineLvl w:val="1"/>
    </w:pPr>
    <w:rPr>
      <w:rFonts w:ascii="宋体" w:hAnsi="宋体"/>
      <w:b/>
    </w:rPr>
  </w:style>
  <w:style w:type="paragraph" w:customStyle="1" w:styleId="CharCharCharCharCharCharCharCharChar1CharCharCharCharCharCharCharCharChar1CharCharCharCharCharCharCharCharCharChar3">
    <w:name w:val="Char Char Char Char Char Char Char Char Char1 Char Char Char Char Char Char Char Char Char1 Char Char Char Char Char Char Char Char Char Char3"/>
    <w:basedOn w:val="a2"/>
    <w:qFormat/>
    <w:pPr>
      <w:jc w:val="both"/>
    </w:pPr>
    <w:rPr>
      <w:rFonts w:ascii="Times New Roman"/>
    </w:rPr>
  </w:style>
  <w:style w:type="paragraph" w:customStyle="1" w:styleId="2251">
    <w:name w:val="样式 样式 正文缩进 + 首行缩进:  2 字符 + 首行缩进:  2.5 字符"/>
    <w:basedOn w:val="a2"/>
    <w:uiPriority w:val="99"/>
    <w:qFormat/>
    <w:pPr>
      <w:tabs>
        <w:tab w:val="left" w:pos="0"/>
      </w:tabs>
      <w:overflowPunct w:val="0"/>
      <w:spacing w:line="360" w:lineRule="auto"/>
      <w:ind w:firstLineChars="200" w:firstLine="480"/>
      <w:jc w:val="both"/>
      <w:textAlignment w:val="bottom"/>
    </w:pPr>
    <w:rPr>
      <w:rFonts w:ascii="宋体" w:hAnsi="宋体" w:cs="宋体"/>
      <w:sz w:val="24"/>
    </w:rPr>
  </w:style>
  <w:style w:type="paragraph" w:customStyle="1" w:styleId="p16">
    <w:name w:val="p16"/>
    <w:basedOn w:val="a2"/>
    <w:qFormat/>
    <w:pPr>
      <w:widowControl/>
      <w:snapToGrid w:val="0"/>
      <w:spacing w:line="500" w:lineRule="atLeast"/>
    </w:pPr>
    <w:rPr>
      <w:rFonts w:ascii="宋体" w:hAnsi="宋体" w:cs="宋体"/>
    </w:rPr>
  </w:style>
  <w:style w:type="paragraph" w:customStyle="1" w:styleId="afffffffffffffffffffffffffffff2">
    <w:name w:val="字元 字元"/>
    <w:basedOn w:val="a2"/>
    <w:pPr>
      <w:jc w:val="both"/>
    </w:pPr>
    <w:rPr>
      <w:sz w:val="24"/>
    </w:rPr>
  </w:style>
  <w:style w:type="paragraph" w:customStyle="1" w:styleId="4">
    <w:name w:val="样式 标题 4 + 宋体 小四 非加粗"/>
    <w:basedOn w:val="41"/>
    <w:uiPriority w:val="99"/>
    <w:qFormat/>
    <w:pPr>
      <w:numPr>
        <w:ilvl w:val="3"/>
        <w:numId w:val="5"/>
      </w:numPr>
      <w:spacing w:beforeLines="0" w:before="280" w:after="290" w:line="376" w:lineRule="auto"/>
      <w:ind w:leftChars="0" w:left="0" w:rightChars="0" w:right="0"/>
      <w:jc w:val="both"/>
    </w:pPr>
    <w:rPr>
      <w:rFonts w:ascii="Times New Roman" w:eastAsia="宋体"/>
      <w:b/>
      <w:bCs w:val="0"/>
      <w:sz w:val="24"/>
    </w:rPr>
  </w:style>
  <w:style w:type="paragraph" w:customStyle="1" w:styleId="hang">
    <w:name w:val="hang"/>
    <w:basedOn w:val="a2"/>
    <w:uiPriority w:val="99"/>
    <w:qFormat/>
    <w:pPr>
      <w:spacing w:before="100" w:beforeAutospacing="1" w:after="100" w:afterAutospacing="1" w:line="480" w:lineRule="atLeast"/>
    </w:pPr>
    <w:rPr>
      <w:rFonts w:ascii="宋体" w:hAnsi="宋体" w:cs="宋体"/>
      <w:color w:val="000000"/>
      <w:sz w:val="19"/>
      <w:szCs w:val="19"/>
    </w:rPr>
  </w:style>
  <w:style w:type="paragraph" w:customStyle="1" w:styleId="CharChar1CharCharCharChar2">
    <w:name w:val="Char Char1 Char Char Char Char2"/>
    <w:basedOn w:val="a2"/>
    <w:qFormat/>
    <w:pPr>
      <w:jc w:val="both"/>
    </w:pPr>
    <w:rPr>
      <w:sz w:val="24"/>
    </w:rPr>
  </w:style>
  <w:style w:type="paragraph" w:customStyle="1" w:styleId="CharCharCharCharCharCharCharCharChar1CharCharCharCharCharCharChar2">
    <w:name w:val="Char Char Char Char Char Char Char Char Char1 Char Char Char Char Char Char Char2"/>
    <w:basedOn w:val="a2"/>
    <w:uiPriority w:val="99"/>
    <w:qFormat/>
    <w:pPr>
      <w:snapToGrid w:val="0"/>
      <w:spacing w:line="360" w:lineRule="auto"/>
      <w:ind w:firstLineChars="200" w:firstLine="200"/>
      <w:jc w:val="both"/>
    </w:pPr>
    <w:rPr>
      <w:rFonts w:ascii="Times New Roman" w:eastAsia="仿宋_GB2312"/>
    </w:rPr>
  </w:style>
  <w:style w:type="paragraph" w:customStyle="1" w:styleId="GB2312148">
    <w:name w:val="样式 样式 列出段落 + (西文) 宋体 (中文) 仿宋_GB2312 四号 行距: 多倍行距 1.48 字行 + 首行缩进: ..."/>
    <w:basedOn w:val="a2"/>
    <w:qFormat/>
    <w:pPr>
      <w:spacing w:line="355" w:lineRule="auto"/>
      <w:ind w:firstLineChars="200" w:firstLine="560"/>
      <w:jc w:val="both"/>
    </w:pPr>
    <w:rPr>
      <w:rFonts w:ascii="宋体" w:eastAsia="仿宋_GB2312" w:hAnsi="宋体" w:cs="宋体"/>
    </w:rPr>
  </w:style>
  <w:style w:type="paragraph" w:customStyle="1" w:styleId="CharCharChar1CharCharChar4">
    <w:name w:val="Char Char Char1 Char Char Char4"/>
    <w:basedOn w:val="a2"/>
    <w:qFormat/>
    <w:pPr>
      <w:tabs>
        <w:tab w:val="left" w:pos="0"/>
      </w:tabs>
    </w:pPr>
    <w:rPr>
      <w:sz w:val="24"/>
    </w:rPr>
  </w:style>
  <w:style w:type="paragraph" w:customStyle="1" w:styleId="4CharCharChar3">
    <w:name w:val="字元4 Char Char Char 字元 字元 字元3"/>
    <w:basedOn w:val="a2"/>
    <w:qFormat/>
    <w:pPr>
      <w:spacing w:line="400" w:lineRule="exact"/>
      <w:ind w:firstLine="601"/>
      <w:jc w:val="both"/>
      <w:textAlignment w:val="baseline"/>
    </w:pPr>
    <w:rPr>
      <w:spacing w:val="8"/>
      <w:sz w:val="24"/>
    </w:rPr>
  </w:style>
  <w:style w:type="paragraph" w:customStyle="1" w:styleId="xl52">
    <w:name w:val="xl52"/>
    <w:basedOn w:val="a2"/>
    <w:qFormat/>
    <w:pPr>
      <w:widowControl/>
      <w:pBdr>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rPr>
  </w:style>
  <w:style w:type="paragraph" w:customStyle="1" w:styleId="xl100">
    <w:name w:val="xl100"/>
    <w:basedOn w:val="a2"/>
    <w:qFormat/>
    <w:pPr>
      <w:spacing w:before="100" w:beforeAutospacing="1" w:after="100" w:afterAutospacing="1"/>
      <w:jc w:val="center"/>
    </w:pPr>
    <w:rPr>
      <w:rFonts w:ascii="宋体" w:hAnsi="宋体" w:cs="宋体"/>
      <w:sz w:val="24"/>
    </w:rPr>
  </w:style>
  <w:style w:type="paragraph" w:customStyle="1" w:styleId="Char1CharCharChar7">
    <w:name w:val="Char1 Char Char Char7"/>
    <w:basedOn w:val="a2"/>
    <w:qFormat/>
    <w:pPr>
      <w:jc w:val="both"/>
    </w:pPr>
    <w:rPr>
      <w:sz w:val="24"/>
    </w:rPr>
  </w:style>
  <w:style w:type="paragraph" w:customStyle="1" w:styleId="afffffffffffffffffffffffffffff3">
    <w:name w:val="论文图名"/>
    <w:basedOn w:val="a2"/>
    <w:uiPriority w:val="99"/>
    <w:qFormat/>
    <w:pPr>
      <w:snapToGrid w:val="0"/>
      <w:spacing w:beforeLines="30" w:before="93" w:after="120" w:line="360" w:lineRule="auto"/>
      <w:ind w:firstLineChars="200" w:firstLine="200"/>
      <w:jc w:val="center"/>
    </w:pPr>
    <w:rPr>
      <w:rFonts w:eastAsia="黑体" w:hAnsi="Arial"/>
      <w:sz w:val="24"/>
    </w:rPr>
  </w:style>
  <w:style w:type="paragraph" w:customStyle="1" w:styleId="CharCharChar1CharCharCharCharCharCharCharCharCharCharCharCharCharCharCharCharCharCharCharCharCharChar4">
    <w:name w:val="Char Char Char1 Char Char Char Char Char Char Char Char Char Char Char Char Char Char Char Char Char Char Char Char Char Char4"/>
    <w:basedOn w:val="a2"/>
    <w:qFormat/>
  </w:style>
  <w:style w:type="paragraph" w:customStyle="1" w:styleId="111h11212">
    <w:name w:val="样式 标题 11.标题 1h1 + 两端对齐 段前: 12 磅 段后: 12 磅"/>
    <w:basedOn w:val="12"/>
    <w:uiPriority w:val="99"/>
    <w:qFormat/>
    <w:pPr>
      <w:tabs>
        <w:tab w:val="left" w:pos="0"/>
        <w:tab w:val="left" w:pos="432"/>
      </w:tabs>
      <w:snapToGrid w:val="0"/>
      <w:spacing w:beforeLines="100" w:before="312" w:line="240" w:lineRule="auto"/>
      <w:ind w:left="432" w:hanging="432"/>
      <w:jc w:val="both"/>
      <w:textAlignment w:val="bottom"/>
    </w:pPr>
    <w:rPr>
      <w:rFonts w:ascii="Arial" w:eastAsia="宋体" w:cs="宋体"/>
      <w:b/>
      <w:bCs w:val="0"/>
      <w:sz w:val="28"/>
      <w:szCs w:val="44"/>
    </w:rPr>
  </w:style>
  <w:style w:type="paragraph" w:customStyle="1" w:styleId="CharCharCharCharChar60">
    <w:name w:val="Char Char Char Char Char6"/>
    <w:basedOn w:val="a2"/>
    <w:uiPriority w:val="99"/>
    <w:qFormat/>
    <w:pPr>
      <w:jc w:val="both"/>
    </w:pPr>
    <w:rPr>
      <w:sz w:val="24"/>
    </w:rPr>
  </w:style>
  <w:style w:type="paragraph" w:customStyle="1" w:styleId="3h361213">
    <w:name w:val="样式 标题 3h3 + 两端对齐 段前: 6 磅 段后: 12 磅 行距: 多倍行距 1.3 字行"/>
    <w:basedOn w:val="32"/>
    <w:uiPriority w:val="99"/>
    <w:qFormat/>
    <w:pPr>
      <w:keepLines w:val="0"/>
      <w:spacing w:before="120" w:after="120" w:line="312" w:lineRule="auto"/>
      <w:jc w:val="both"/>
      <w:textAlignment w:val="baseline"/>
    </w:pPr>
    <w:rPr>
      <w:rFonts w:ascii="Times New Roman" w:eastAsia="黑体" w:cs="宋体"/>
      <w:b w:val="0"/>
      <w:bCs w:val="0"/>
      <w:sz w:val="24"/>
      <w:szCs w:val="20"/>
    </w:rPr>
  </w:style>
  <w:style w:type="paragraph" w:customStyle="1" w:styleId="btBodyTextchGB2312">
    <w:name w:val="样式 正文文本btBody Text(ch) + 仿宋_GB2312 五号"/>
    <w:basedOn w:val="af4"/>
    <w:qFormat/>
    <w:pPr>
      <w:snapToGrid w:val="0"/>
      <w:spacing w:after="0" w:line="500" w:lineRule="exact"/>
      <w:jc w:val="both"/>
    </w:pPr>
    <w:rPr>
      <w:rFonts w:ascii="仿宋_GB2312" w:hAnsi="仿宋_GB2312"/>
      <w:sz w:val="28"/>
      <w:szCs w:val="24"/>
    </w:rPr>
  </w:style>
  <w:style w:type="paragraph" w:customStyle="1" w:styleId="3ffff0">
    <w:name w:val="宏福3"/>
    <w:basedOn w:val="32"/>
    <w:uiPriority w:val="99"/>
    <w:qFormat/>
    <w:pPr>
      <w:tabs>
        <w:tab w:val="left" w:pos="1021"/>
      </w:tabs>
      <w:snapToGrid w:val="0"/>
      <w:spacing w:before="240" w:after="0" w:line="240" w:lineRule="auto"/>
      <w:ind w:leftChars="50" w:left="105"/>
      <w:jc w:val="both"/>
    </w:pPr>
    <w:rPr>
      <w:rFonts w:ascii="Times New Roman" w:eastAsia="宋体"/>
      <w:b w:val="0"/>
      <w:bCs w:val="0"/>
      <w:sz w:val="28"/>
      <w:szCs w:val="20"/>
    </w:rPr>
  </w:style>
  <w:style w:type="paragraph" w:customStyle="1" w:styleId="z-14">
    <w:name w:val="z-窗体顶端1"/>
    <w:basedOn w:val="a2"/>
    <w:next w:val="a2"/>
    <w:uiPriority w:val="99"/>
    <w:qFormat/>
    <w:pPr>
      <w:pBdr>
        <w:bottom w:val="single" w:sz="6" w:space="1" w:color="auto"/>
      </w:pBdr>
      <w:jc w:val="center"/>
      <w:textAlignment w:val="baseline"/>
    </w:pPr>
    <w:rPr>
      <w:rFonts w:hAnsi="Arial"/>
      <w:vanish/>
      <w:sz w:val="16"/>
    </w:rPr>
  </w:style>
  <w:style w:type="paragraph" w:customStyle="1" w:styleId="Char460">
    <w:name w:val="Char46"/>
    <w:basedOn w:val="a2"/>
    <w:qFormat/>
    <w:pPr>
      <w:jc w:val="both"/>
    </w:pPr>
    <w:rPr>
      <w:rFonts w:ascii="宋体" w:hAnsi="宋体" w:cs="宋体"/>
      <w:color w:val="000000"/>
      <w:sz w:val="24"/>
    </w:rPr>
  </w:style>
  <w:style w:type="paragraph" w:customStyle="1" w:styleId="afffffffffffffffffffffffffffff4">
    <w:name w:val="样式 样式 题注 + 两端对齐 + 宋体"/>
    <w:basedOn w:val="a2"/>
    <w:qFormat/>
    <w:pPr>
      <w:keepNext/>
      <w:spacing w:line="360" w:lineRule="auto"/>
      <w:jc w:val="center"/>
    </w:pPr>
    <w:rPr>
      <w:rFonts w:ascii="宋体" w:eastAsia="仿宋_GB2312" w:hAnsi="宋体"/>
      <w:snapToGrid w:val="0"/>
    </w:rPr>
  </w:style>
  <w:style w:type="paragraph" w:customStyle="1" w:styleId="CharCharCharCharCharCharCharChar1CharCharCharChar">
    <w:name w:val="Char Char Char Char Char Char Char Char1 Char Char Char Char"/>
    <w:basedOn w:val="a2"/>
    <w:uiPriority w:val="99"/>
    <w:qFormat/>
    <w:pPr>
      <w:jc w:val="both"/>
    </w:pPr>
    <w:rPr>
      <w:rFonts w:ascii="Times New Roman"/>
    </w:rPr>
  </w:style>
  <w:style w:type="paragraph" w:customStyle="1" w:styleId="CharCharCharCharChar2CharCharCharCharCharCharCharCharChar">
    <w:name w:val="Char Char Char Char Char2 Char Char Char Char Char Char Char Char Char"/>
    <w:basedOn w:val="a2"/>
    <w:uiPriority w:val="99"/>
    <w:qFormat/>
    <w:pPr>
      <w:jc w:val="both"/>
    </w:pPr>
  </w:style>
  <w:style w:type="paragraph" w:customStyle="1" w:styleId="7a">
    <w:name w:val="7"/>
    <w:basedOn w:val="a2"/>
    <w:next w:val="af5"/>
    <w:qFormat/>
    <w:pPr>
      <w:spacing w:line="500" w:lineRule="exact"/>
      <w:ind w:firstLineChars="200" w:firstLine="560"/>
      <w:jc w:val="both"/>
    </w:pPr>
    <w:rPr>
      <w:rFonts w:ascii="仿宋_GB2312" w:eastAsia="仿宋_GB2312"/>
      <w:color w:val="FF0000"/>
    </w:rPr>
  </w:style>
  <w:style w:type="paragraph" w:customStyle="1" w:styleId="13e">
    <w:name w:val="普通(网站)13"/>
    <w:basedOn w:val="a2"/>
    <w:uiPriority w:val="99"/>
    <w:qFormat/>
    <w:pPr>
      <w:jc w:val="both"/>
      <w:textAlignment w:val="baseline"/>
    </w:pPr>
  </w:style>
  <w:style w:type="paragraph" w:customStyle="1" w:styleId="01501514">
    <w:name w:val="样式 正文文本 + 居中 段前: 0.15 行 段后: 0.15 行 行距: 最小值 14 磅"/>
    <w:basedOn w:val="af4"/>
    <w:uiPriority w:val="99"/>
    <w:qFormat/>
    <w:pPr>
      <w:tabs>
        <w:tab w:val="left" w:pos="283"/>
      </w:tabs>
      <w:snapToGrid w:val="0"/>
      <w:spacing w:after="0" w:line="280" w:lineRule="atLeast"/>
      <w:jc w:val="center"/>
    </w:pPr>
    <w:rPr>
      <w:rFonts w:cs="宋体"/>
      <w:kern w:val="0"/>
      <w:sz w:val="24"/>
    </w:rPr>
  </w:style>
  <w:style w:type="paragraph" w:customStyle="1" w:styleId="CharCharCharChar1CharCharChar4">
    <w:name w:val="Char Char Char Char1 Char Char Char4"/>
    <w:basedOn w:val="a2"/>
    <w:pPr>
      <w:jc w:val="both"/>
    </w:pPr>
    <w:rPr>
      <w:sz w:val="24"/>
    </w:rPr>
  </w:style>
  <w:style w:type="paragraph" w:customStyle="1" w:styleId="21111yjm22Heading2HiddenHeading2">
    <w:name w:val="样式 标题 2节标题 1.1标题 1.1标题 yjm2第一章 标题 2Heading 2 HiddenHeading...2"/>
    <w:basedOn w:val="22"/>
    <w:uiPriority w:val="99"/>
    <w:qFormat/>
    <w:pPr>
      <w:keepLines w:val="0"/>
      <w:snapToGrid w:val="0"/>
      <w:spacing w:beforeLines="50" w:before="156" w:after="0" w:line="360" w:lineRule="auto"/>
    </w:pPr>
    <w:rPr>
      <w:rFonts w:ascii="Arial" w:eastAsia="黑体" w:hAnsi="Arial" w:cs="宋体"/>
      <w:bCs w:val="0"/>
      <w:sz w:val="30"/>
      <w:szCs w:val="30"/>
    </w:rPr>
  </w:style>
  <w:style w:type="paragraph" w:customStyle="1" w:styleId="243">
    <w:name w:val="24"/>
    <w:basedOn w:val="a2"/>
    <w:next w:val="39"/>
    <w:qFormat/>
    <w:pPr>
      <w:spacing w:line="500" w:lineRule="exact"/>
      <w:ind w:firstLineChars="200" w:firstLine="560"/>
      <w:jc w:val="both"/>
    </w:pPr>
    <w:rPr>
      <w:rFonts w:ascii="仿宋_GB2312" w:eastAsia="仿宋_GB2312"/>
    </w:rPr>
  </w:style>
  <w:style w:type="paragraph" w:customStyle="1" w:styleId="1ffffffff4">
    <w:name w:val="样式 标题 1 + 宋体"/>
    <w:basedOn w:val="12"/>
    <w:uiPriority w:val="99"/>
    <w:qFormat/>
    <w:pPr>
      <w:tabs>
        <w:tab w:val="left" w:pos="574"/>
      </w:tabs>
      <w:spacing w:before="340" w:after="330" w:line="576" w:lineRule="auto"/>
      <w:jc w:val="both"/>
      <w:textAlignment w:val="auto"/>
    </w:pPr>
    <w:rPr>
      <w:rFonts w:ascii="宋体" w:eastAsia="方正姚体" w:hAnsi="宋体"/>
      <w:b/>
      <w:sz w:val="36"/>
      <w:szCs w:val="44"/>
    </w:rPr>
  </w:style>
  <w:style w:type="paragraph" w:customStyle="1" w:styleId="TOC1">
    <w:name w:val="TOC 标题1"/>
    <w:basedOn w:val="12"/>
    <w:next w:val="a2"/>
    <w:uiPriority w:val="39"/>
    <w:qFormat/>
    <w:pPr>
      <w:spacing w:before="480" w:line="276" w:lineRule="auto"/>
      <w:textAlignment w:val="auto"/>
      <w:outlineLvl w:val="9"/>
    </w:pPr>
    <w:rPr>
      <w:rFonts w:ascii="Cambria" w:eastAsia="宋体" w:hAnsi="Cambria"/>
      <w:b/>
      <w:bCs w:val="0"/>
      <w:color w:val="365F91"/>
      <w:kern w:val="0"/>
      <w:sz w:val="28"/>
      <w:szCs w:val="28"/>
    </w:rPr>
  </w:style>
  <w:style w:type="paragraph" w:customStyle="1" w:styleId="Charfffffffffd">
    <w:name w:val="册除格式 Char"/>
    <w:uiPriority w:val="99"/>
    <w:qFormat/>
    <w:pPr>
      <w:spacing w:line="360" w:lineRule="auto"/>
      <w:ind w:firstLine="482"/>
    </w:pPr>
    <w:rPr>
      <w:rFonts w:ascii="黑体" w:eastAsia="宋体" w:hAnsi="Arial" w:cs="Arial"/>
      <w:snapToGrid w:val="0"/>
      <w:spacing w:val="4"/>
      <w:kern w:val="18"/>
      <w:sz w:val="24"/>
      <w:szCs w:val="28"/>
    </w:rPr>
  </w:style>
  <w:style w:type="paragraph" w:customStyle="1" w:styleId="afffffffffffffffffffffffffffff5">
    <w:name w:val="表左"/>
    <w:next w:val="a2"/>
    <w:pPr>
      <w:widowControl w:val="0"/>
      <w:tabs>
        <w:tab w:val="left" w:pos="146"/>
      </w:tabs>
      <w:suppressAutoHyphens/>
      <w:snapToGrid w:val="0"/>
      <w:jc w:val="both"/>
      <w:textAlignment w:val="center"/>
    </w:pPr>
    <w:rPr>
      <w:rFonts w:ascii="Times New Roman" w:eastAsia="宋体" w:hAnsi="仿宋_GB2312" w:cs="Times New Roman"/>
      <w:sz w:val="18"/>
    </w:rPr>
  </w:style>
  <w:style w:type="paragraph" w:customStyle="1" w:styleId="afffffffffffffffffffffffffffff6">
    <w:name w:val="封面正文"/>
    <w:qFormat/>
    <w:pPr>
      <w:spacing w:beforeLines="50" w:before="50" w:afterLines="50" w:after="50" w:line="360" w:lineRule="auto"/>
      <w:ind w:firstLineChars="40" w:firstLine="40"/>
      <w:jc w:val="both"/>
    </w:pPr>
    <w:rPr>
      <w:rFonts w:ascii="Times New Roman" w:eastAsia="宋体" w:hAnsi="Times New Roman" w:cs="Times New Roman"/>
    </w:rPr>
  </w:style>
  <w:style w:type="paragraph" w:customStyle="1" w:styleId="CharCharCharCharChar7">
    <w:name w:val="纯文本 Char Char Char Char Char"/>
    <w:basedOn w:val="a2"/>
    <w:next w:val="af8"/>
    <w:pPr>
      <w:autoSpaceDE/>
      <w:autoSpaceDN/>
      <w:adjustRightInd/>
      <w:spacing w:line="360" w:lineRule="auto"/>
      <w:ind w:firstLineChars="200" w:firstLine="200"/>
      <w:jc w:val="both"/>
    </w:pPr>
    <w:rPr>
      <w:rFonts w:ascii="宋体" w:hAnsi="Courier New"/>
    </w:rPr>
  </w:style>
  <w:style w:type="paragraph" w:customStyle="1" w:styleId="charfffffffffe">
    <w:name w:val="char"/>
    <w:basedOn w:val="a2"/>
    <w:uiPriority w:val="99"/>
    <w:qFormat/>
    <w:pPr>
      <w:spacing w:after="160" w:line="240" w:lineRule="exact"/>
    </w:pPr>
    <w:rPr>
      <w:rFonts w:ascii="Verdana" w:eastAsia="仿宋_GB2312" w:hAnsi="Verdana" w:cs="”“Times New Roman”“"/>
      <w:sz w:val="24"/>
      <w:lang w:eastAsia="en-US"/>
    </w:rPr>
  </w:style>
  <w:style w:type="paragraph" w:customStyle="1" w:styleId="xl756">
    <w:name w:val="xl756"/>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Arial Unicode MS" w:hint="eastAsia"/>
      <w:sz w:val="24"/>
    </w:rPr>
  </w:style>
  <w:style w:type="paragraph" w:customStyle="1" w:styleId="afffffffffffffffffffffffffffff7">
    <w:name w:val="图目录"/>
    <w:basedOn w:val="affffffffffffffffffffff1"/>
    <w:qFormat/>
    <w:pPr>
      <w:spacing w:beforeLines="50" w:before="50"/>
      <w:outlineLvl w:val="5"/>
    </w:pPr>
    <w:rPr>
      <w:rFonts w:ascii="宋体"/>
    </w:rPr>
  </w:style>
  <w:style w:type="paragraph" w:customStyle="1" w:styleId="1ffffffff5">
    <w:name w:val="表内文字小1"/>
    <w:basedOn w:val="a2"/>
    <w:uiPriority w:val="99"/>
    <w:qFormat/>
    <w:pPr>
      <w:snapToGrid w:val="0"/>
      <w:jc w:val="center"/>
    </w:pPr>
    <w:rPr>
      <w:rFonts w:ascii="宋体" w:hAnsi="Times"/>
    </w:rPr>
  </w:style>
  <w:style w:type="paragraph" w:customStyle="1" w:styleId="P7">
    <w:name w:val="P7"/>
    <w:uiPriority w:val="99"/>
    <w:qFormat/>
    <w:pPr>
      <w:widowControl w:val="0"/>
      <w:tabs>
        <w:tab w:val="left" w:pos="576"/>
      </w:tabs>
      <w:adjustRightInd w:val="0"/>
      <w:spacing w:after="240" w:line="0" w:lineRule="atLeast"/>
      <w:ind w:left="1728" w:hanging="1728"/>
      <w:jc w:val="both"/>
      <w:textAlignment w:val="baseline"/>
    </w:pPr>
    <w:rPr>
      <w:rFonts w:ascii="Times New Roman" w:eastAsia="全真中明體" w:hAnsi="Times New Roman" w:cs="Times New Roman"/>
      <w:spacing w:val="20"/>
      <w:sz w:val="24"/>
      <w:lang w:val="en-GB" w:eastAsia="zh-TW"/>
    </w:rPr>
  </w:style>
  <w:style w:type="paragraph" w:customStyle="1" w:styleId="CharCharChar1CharChar3">
    <w:name w:val="Char Char Char1 Char Char3"/>
    <w:basedOn w:val="a2"/>
    <w:uiPriority w:val="99"/>
    <w:qFormat/>
    <w:pPr>
      <w:jc w:val="both"/>
    </w:pPr>
    <w:rPr>
      <w:color w:val="000000"/>
    </w:rPr>
  </w:style>
  <w:style w:type="paragraph" w:customStyle="1" w:styleId="146">
    <w:name w:val="字元14"/>
    <w:basedOn w:val="a2"/>
    <w:uiPriority w:val="99"/>
    <w:qFormat/>
    <w:pPr>
      <w:jc w:val="both"/>
    </w:pPr>
  </w:style>
  <w:style w:type="paragraph" w:customStyle="1" w:styleId="Char360">
    <w:name w:val="Char36"/>
    <w:basedOn w:val="a2"/>
    <w:rPr>
      <w:sz w:val="24"/>
    </w:rPr>
  </w:style>
  <w:style w:type="paragraph" w:customStyle="1" w:styleId="A40">
    <w:name w:val="A标题4"/>
    <w:next w:val="a2"/>
    <w:uiPriority w:val="99"/>
    <w:qFormat/>
    <w:pPr>
      <w:spacing w:beforeLines="50" w:before="156" w:afterLines="50" w:after="156" w:line="360" w:lineRule="auto"/>
      <w:outlineLvl w:val="3"/>
    </w:pPr>
    <w:rPr>
      <w:rFonts w:ascii="Arial" w:eastAsia="宋体" w:hAnsi="Arial" w:cs="宋体"/>
      <w:b/>
      <w:bCs/>
      <w:kern w:val="2"/>
      <w:sz w:val="28"/>
    </w:rPr>
  </w:style>
  <w:style w:type="paragraph" w:customStyle="1" w:styleId="Normal26">
    <w:name w:val="Normal_26"/>
    <w:qFormat/>
    <w:pPr>
      <w:spacing w:before="120" w:after="240"/>
      <w:jc w:val="both"/>
    </w:pPr>
    <w:rPr>
      <w:rFonts w:ascii="Times New Roman" w:eastAsia="Calibri" w:hAnsi="Times New Roman" w:cs="Times New Roman"/>
      <w:sz w:val="22"/>
      <w:szCs w:val="21"/>
      <w:lang w:val="ru-RU" w:eastAsia="en-US"/>
    </w:rPr>
  </w:style>
  <w:style w:type="paragraph" w:customStyle="1" w:styleId="afffffffffffffffffffffffffffff8">
    <w:name w:val="+列表编号"/>
    <w:basedOn w:val="ab"/>
    <w:uiPriority w:val="99"/>
    <w:qFormat/>
    <w:pPr>
      <w:tabs>
        <w:tab w:val="clear" w:pos="855"/>
        <w:tab w:val="center" w:pos="4320"/>
        <w:tab w:val="right" w:pos="8640"/>
      </w:tabs>
      <w:adjustRightInd/>
      <w:snapToGrid/>
      <w:spacing w:beforeLines="50" w:before="120" w:line="360" w:lineRule="auto"/>
      <w:ind w:left="0" w:firstLine="0"/>
      <w:jc w:val="center"/>
    </w:pPr>
    <w:rPr>
      <w:rFonts w:ascii="Times New Roman" w:eastAsia="宋体"/>
      <w:b/>
      <w:spacing w:val="8"/>
      <w:szCs w:val="28"/>
    </w:rPr>
  </w:style>
  <w:style w:type="paragraph" w:customStyle="1" w:styleId="237">
    <w:name w:val="23"/>
    <w:basedOn w:val="a2"/>
    <w:next w:val="af5"/>
    <w:qFormat/>
    <w:pPr>
      <w:spacing w:line="500" w:lineRule="exact"/>
      <w:ind w:firstLineChars="200" w:firstLine="560"/>
      <w:jc w:val="both"/>
    </w:pPr>
    <w:rPr>
      <w:rFonts w:ascii="仿宋_GB2312" w:eastAsia="仿宋_GB2312"/>
      <w:color w:val="FF0000"/>
    </w:rPr>
  </w:style>
  <w:style w:type="paragraph" w:customStyle="1" w:styleId="CharCharChar1CharCharCharCharCharCharCharChar4">
    <w:name w:val="Char Char Char1 Char Char Char Char Char Char Char Char4"/>
    <w:basedOn w:val="a2"/>
    <w:pPr>
      <w:jc w:val="both"/>
    </w:pPr>
  </w:style>
  <w:style w:type="paragraph" w:customStyle="1" w:styleId="xl60">
    <w:name w:val="xl60"/>
    <w:basedOn w:val="a2"/>
    <w:qFormat/>
    <w:pPr>
      <w:pBdr>
        <w:top w:val="single" w:sz="8" w:space="0" w:color="auto"/>
        <w:left w:val="single" w:sz="4" w:space="0" w:color="auto"/>
        <w:bottom w:val="single" w:sz="4" w:space="0" w:color="auto"/>
        <w:right w:val="single" w:sz="8" w:space="0" w:color="auto"/>
      </w:pBdr>
      <w:shd w:val="clear" w:color="auto" w:fill="FFFFFF"/>
      <w:spacing w:before="100" w:after="100"/>
      <w:jc w:val="center"/>
    </w:pPr>
    <w:rPr>
      <w:sz w:val="24"/>
    </w:rPr>
  </w:style>
  <w:style w:type="paragraph" w:customStyle="1" w:styleId="323">
    <w:name w:val="正文文本 32"/>
    <w:basedOn w:val="a2"/>
    <w:uiPriority w:val="99"/>
    <w:qFormat/>
    <w:pPr>
      <w:spacing w:line="360" w:lineRule="auto"/>
      <w:jc w:val="both"/>
      <w:textAlignment w:val="baseline"/>
    </w:pPr>
    <w:rPr>
      <w:rFonts w:ascii="宋体"/>
      <w:sz w:val="30"/>
    </w:rPr>
  </w:style>
  <w:style w:type="paragraph" w:customStyle="1" w:styleId="360">
    <w:name w:val="正文文本 36"/>
    <w:basedOn w:val="a2"/>
    <w:uiPriority w:val="99"/>
    <w:qFormat/>
    <w:pPr>
      <w:spacing w:line="360" w:lineRule="auto"/>
      <w:jc w:val="center"/>
    </w:pPr>
    <w:rPr>
      <w:rFonts w:ascii="宋体"/>
      <w:sz w:val="20"/>
    </w:rPr>
  </w:style>
  <w:style w:type="paragraph" w:customStyle="1" w:styleId="2025025025025">
    <w:name w:val="样式 样式 样式 样式 标题 2 + 段前: 0.25 行 段后: 0.25 行 + 段前: 0.25 行 段后: 0.25 行..."/>
    <w:basedOn w:val="a2"/>
    <w:uiPriority w:val="99"/>
    <w:qFormat/>
    <w:pPr>
      <w:keepNext/>
      <w:keepLines/>
      <w:tabs>
        <w:tab w:val="left" w:pos="1140"/>
      </w:tabs>
      <w:snapToGrid w:val="0"/>
      <w:spacing w:beforeLines="25" w:before="78" w:afterLines="25" w:after="78" w:line="360" w:lineRule="auto"/>
      <w:ind w:left="1320" w:hanging="420"/>
      <w:outlineLvl w:val="1"/>
    </w:pPr>
    <w:rPr>
      <w:rFonts w:cs="宋体"/>
      <w:b/>
      <w:bCs/>
      <w:sz w:val="24"/>
    </w:rPr>
  </w:style>
  <w:style w:type="paragraph" w:customStyle="1" w:styleId="afffffffffffffffffffffffffffff9">
    <w:name w:val="表格（第一行）"/>
    <w:basedOn w:val="a2"/>
    <w:uiPriority w:val="99"/>
    <w:qFormat/>
    <w:pPr>
      <w:spacing w:beforeLines="50" w:line="400" w:lineRule="exact"/>
      <w:jc w:val="center"/>
    </w:pPr>
    <w:rPr>
      <w:rFonts w:hAnsi="Arial"/>
      <w:b/>
    </w:rPr>
  </w:style>
  <w:style w:type="paragraph" w:customStyle="1" w:styleId="CharCharCharCharCharCharCharCharCharCharCharCharCharCharCharCharCharChar3">
    <w:name w:val="Char Char Char Char Char Char Char Char Char Char Char Char Char Char Char Char Char Char3"/>
    <w:basedOn w:val="a2"/>
    <w:qFormat/>
    <w:rPr>
      <w:sz w:val="24"/>
    </w:rPr>
  </w:style>
  <w:style w:type="paragraph" w:customStyle="1" w:styleId="head1">
    <w:name w:val="head1"/>
    <w:basedOn w:val="a2"/>
    <w:qFormat/>
    <w:rPr>
      <w:rFonts w:ascii="黑体" w:eastAsia="黑体"/>
      <w:b/>
      <w:bCs/>
      <w:sz w:val="36"/>
      <w:szCs w:val="36"/>
    </w:rPr>
  </w:style>
  <w:style w:type="paragraph" w:customStyle="1" w:styleId="Char340">
    <w:name w:val="Char34"/>
    <w:basedOn w:val="a2"/>
    <w:uiPriority w:val="99"/>
    <w:qFormat/>
    <w:rPr>
      <w:rFonts w:ascii="Times New Roman"/>
    </w:rPr>
  </w:style>
  <w:style w:type="paragraph" w:customStyle="1" w:styleId="CharCharCharChar14">
    <w:name w:val="Char Char Char Char14"/>
    <w:basedOn w:val="a2"/>
    <w:uiPriority w:val="99"/>
    <w:qFormat/>
  </w:style>
  <w:style w:type="paragraph" w:customStyle="1" w:styleId="afffffffffffffffffffffffffffffa">
    <w:name w:val="基准页脚样式"/>
    <w:basedOn w:val="af4"/>
    <w:uiPriority w:val="99"/>
    <w:qFormat/>
    <w:pPr>
      <w:spacing w:after="0" w:line="240" w:lineRule="exact"/>
      <w:jc w:val="center"/>
    </w:pPr>
    <w:rPr>
      <w:rFonts w:ascii="宋体" w:hAnsi="宋体"/>
      <w:color w:val="FF0000"/>
      <w:kern w:val="0"/>
      <w:szCs w:val="24"/>
    </w:rPr>
  </w:style>
  <w:style w:type="paragraph" w:customStyle="1" w:styleId="3002">
    <w:name w:val="样式 标题 3 + 五号 加粗 段前: 0 磅 段后: 0 磅 行距: 单倍行距"/>
    <w:basedOn w:val="32"/>
    <w:qFormat/>
    <w:pPr>
      <w:tabs>
        <w:tab w:val="left" w:pos="5040"/>
      </w:tabs>
      <w:spacing w:before="0" w:after="0" w:line="240" w:lineRule="auto"/>
      <w:ind w:leftChars="50" w:left="105" w:rightChars="50" w:right="105"/>
      <w:jc w:val="both"/>
    </w:pPr>
    <w:rPr>
      <w:rFonts w:ascii="黑体" w:eastAsia="宋体" w:cs="宋体"/>
      <w:b w:val="0"/>
      <w:bCs w:val="0"/>
      <w:sz w:val="28"/>
      <w:szCs w:val="21"/>
    </w:rPr>
  </w:style>
  <w:style w:type="paragraph" w:customStyle="1" w:styleId="GB2312252">
    <w:name w:val="样式 仿宋_GB2312 四号 行距: 固定值 25 磅"/>
    <w:basedOn w:val="a2"/>
    <w:uiPriority w:val="99"/>
    <w:qFormat/>
    <w:pPr>
      <w:spacing w:line="500" w:lineRule="exact"/>
      <w:ind w:firstLineChars="200" w:firstLine="560"/>
      <w:jc w:val="center"/>
    </w:pPr>
    <w:rPr>
      <w:rFonts w:ascii="仿宋_GB2312" w:eastAsia="仿宋_GB2312" w:hAnsi="仿宋_GB2312" w:cs="宋体"/>
    </w:rPr>
  </w:style>
  <w:style w:type="paragraph" w:customStyle="1" w:styleId="tt2">
    <w:name w:val="样式 tt + 首行缩进:  2 字符"/>
    <w:basedOn w:val="a2"/>
    <w:qFormat/>
    <w:pPr>
      <w:spacing w:line="460" w:lineRule="exact"/>
      <w:ind w:firstLineChars="200" w:firstLine="200"/>
      <w:jc w:val="both"/>
    </w:pPr>
    <w:rPr>
      <w:rFonts w:hAnsi="Arial"/>
      <w:sz w:val="24"/>
    </w:rPr>
  </w:style>
  <w:style w:type="paragraph" w:customStyle="1" w:styleId="11fc">
    <w:name w:val="无间隔11"/>
    <w:next w:val="a2"/>
    <w:uiPriority w:val="99"/>
    <w:qFormat/>
    <w:pPr>
      <w:widowControl w:val="0"/>
      <w:jc w:val="both"/>
    </w:pPr>
    <w:rPr>
      <w:rFonts w:ascii="Times New Roman" w:eastAsia="宋体" w:hAnsi="Times New Roman" w:cs="Times New Roman"/>
      <w:kern w:val="2"/>
      <w:sz w:val="21"/>
      <w:szCs w:val="21"/>
    </w:rPr>
  </w:style>
  <w:style w:type="paragraph" w:customStyle="1" w:styleId="A33">
    <w:name w:val="A标题3"/>
    <w:next w:val="a2"/>
    <w:uiPriority w:val="99"/>
    <w:qFormat/>
    <w:pPr>
      <w:spacing w:beforeLines="100" w:before="312" w:afterLines="100" w:after="312" w:line="360" w:lineRule="auto"/>
      <w:outlineLvl w:val="2"/>
    </w:pPr>
    <w:rPr>
      <w:rFonts w:ascii="Times New Roman" w:eastAsia="黑体" w:hAnsi="Times New Roman" w:cs="宋体"/>
      <w:b/>
      <w:color w:val="FF0000"/>
      <w:spacing w:val="20"/>
      <w:sz w:val="28"/>
    </w:rPr>
  </w:style>
  <w:style w:type="paragraph" w:customStyle="1" w:styleId="2fffffb">
    <w:name w:val="样式 黑体 居中2"/>
    <w:basedOn w:val="a2"/>
    <w:qFormat/>
    <w:pPr>
      <w:spacing w:line="520" w:lineRule="exact"/>
      <w:jc w:val="center"/>
      <w:textAlignment w:val="center"/>
    </w:pPr>
    <w:rPr>
      <w:rFonts w:ascii="黑体" w:eastAsia="黑体" w:hAnsi="华文楷体" w:cs="宋体"/>
      <w:color w:val="000000"/>
      <w:sz w:val="24"/>
    </w:rPr>
  </w:style>
  <w:style w:type="paragraph" w:customStyle="1" w:styleId="204">
    <w:name w:val="样式 正文缩进 + 行距: 固定值 20 磅"/>
    <w:basedOn w:val="a2"/>
    <w:qFormat/>
    <w:pPr>
      <w:spacing w:line="400" w:lineRule="exact"/>
      <w:ind w:firstLineChars="200" w:firstLine="200"/>
    </w:pPr>
    <w:rPr>
      <w:rFonts w:cs="宋体"/>
      <w:sz w:val="24"/>
    </w:rPr>
  </w:style>
  <w:style w:type="paragraph" w:customStyle="1" w:styleId="CharChar1CharCharCharChar4">
    <w:name w:val="Char Char1 Char Char Char Char4"/>
    <w:basedOn w:val="a2"/>
    <w:uiPriority w:val="99"/>
    <w:qFormat/>
    <w:pPr>
      <w:jc w:val="both"/>
    </w:pPr>
  </w:style>
  <w:style w:type="paragraph" w:customStyle="1" w:styleId="1717">
    <w:name w:val="样式 首行缩进:  1.71 字符7"/>
    <w:basedOn w:val="a2"/>
    <w:uiPriority w:val="99"/>
    <w:qFormat/>
    <w:pPr>
      <w:spacing w:line="360" w:lineRule="auto"/>
      <w:ind w:rightChars="100" w:right="210" w:firstLineChars="225" w:firstLine="540"/>
      <w:jc w:val="both"/>
    </w:pPr>
    <w:rPr>
      <w:rFonts w:ascii="宋体" w:hAnsi="宋体" w:cs="宋体"/>
      <w:sz w:val="24"/>
    </w:rPr>
  </w:style>
  <w:style w:type="paragraph" w:customStyle="1" w:styleId="little">
    <w:name w:val="little"/>
    <w:basedOn w:val="a2"/>
    <w:uiPriority w:val="99"/>
    <w:qFormat/>
    <w:pPr>
      <w:spacing w:before="100" w:beforeAutospacing="1" w:after="100" w:afterAutospacing="1"/>
    </w:pPr>
    <w:rPr>
      <w:rFonts w:ascii="宋体" w:hAnsi="宋体" w:cs="宋体"/>
      <w:sz w:val="24"/>
    </w:rPr>
  </w:style>
  <w:style w:type="paragraph" w:customStyle="1" w:styleId="12f8">
    <w:name w:val="1标题2级"/>
    <w:basedOn w:val="a2"/>
    <w:uiPriority w:val="99"/>
    <w:qFormat/>
    <w:pPr>
      <w:keepNext/>
      <w:snapToGrid w:val="0"/>
      <w:spacing w:line="420" w:lineRule="auto"/>
      <w:jc w:val="both"/>
    </w:pPr>
    <w:rPr>
      <w:rFonts w:eastAsia="黑体"/>
      <w:b/>
      <w:sz w:val="30"/>
    </w:rPr>
  </w:style>
  <w:style w:type="paragraph" w:customStyle="1" w:styleId="xl62">
    <w:name w:val="xl62"/>
    <w:basedOn w:val="a2"/>
    <w:qFormat/>
    <w:pPr>
      <w:pBdr>
        <w:left w:val="single" w:sz="4" w:space="0" w:color="auto"/>
        <w:bottom w:val="single" w:sz="4" w:space="0" w:color="auto"/>
      </w:pBdr>
      <w:spacing w:before="100" w:after="100"/>
      <w:jc w:val="center"/>
    </w:pPr>
    <w:rPr>
      <w:rFonts w:ascii="宋体" w:hAnsi="宋体"/>
      <w:sz w:val="24"/>
    </w:rPr>
  </w:style>
  <w:style w:type="paragraph" w:customStyle="1" w:styleId="CharCharChar16">
    <w:name w:val="Char Char Char16"/>
    <w:basedOn w:val="a2"/>
    <w:qFormat/>
    <w:pPr>
      <w:jc w:val="both"/>
    </w:pPr>
    <w:rPr>
      <w:sz w:val="24"/>
    </w:rPr>
  </w:style>
  <w:style w:type="paragraph" w:customStyle="1" w:styleId="px12s">
    <w:name w:val="px12s"/>
    <w:basedOn w:val="a2"/>
    <w:uiPriority w:val="99"/>
    <w:qFormat/>
    <w:pPr>
      <w:snapToGrid w:val="0"/>
      <w:spacing w:before="100" w:beforeAutospacing="1" w:after="100" w:afterAutospacing="1" w:line="360" w:lineRule="auto"/>
      <w:ind w:firstLineChars="200" w:firstLine="200"/>
    </w:pPr>
    <w:rPr>
      <w:rFonts w:ascii="宋体" w:hAnsi="宋体"/>
      <w:sz w:val="18"/>
      <w:szCs w:val="18"/>
    </w:rPr>
  </w:style>
  <w:style w:type="paragraph" w:customStyle="1" w:styleId="CharCharCharCharCharCharCharCharCharCharCharChar1CharCharChar1">
    <w:name w:val="Char Char Char Char Char Char Char Char Char Char Char Char1 Char Char Char1"/>
    <w:basedOn w:val="a2"/>
    <w:qFormat/>
    <w:pPr>
      <w:spacing w:after="160" w:line="240" w:lineRule="exact"/>
    </w:pPr>
    <w:rPr>
      <w:rFonts w:ascii="Verdana" w:hAnsi="Verdana"/>
      <w:sz w:val="20"/>
      <w:lang w:eastAsia="en-US"/>
    </w:rPr>
  </w:style>
  <w:style w:type="paragraph" w:customStyle="1" w:styleId="1050">
    <w:name w:val="表题前1后0.5行"/>
    <w:basedOn w:val="a2"/>
    <w:qFormat/>
    <w:pPr>
      <w:overflowPunct w:val="0"/>
      <w:topLinePunct/>
      <w:spacing w:before="30" w:after="30"/>
      <w:jc w:val="center"/>
    </w:pPr>
  </w:style>
  <w:style w:type="paragraph" w:customStyle="1" w:styleId="Char1CharCharCharCharCharCharCharCharCharCharCharCharCharCharChar4">
    <w:name w:val="Char1 Char Char Char Char Char Char Char Char Char Char Char Char Char Char Char4"/>
    <w:basedOn w:val="a2"/>
    <w:uiPriority w:val="99"/>
    <w:qFormat/>
    <w:pPr>
      <w:jc w:val="both"/>
    </w:pPr>
  </w:style>
  <w:style w:type="paragraph" w:customStyle="1" w:styleId="CharCharCharCharChar2CharCharCharCharCharChar">
    <w:name w:val="Char Char Char Char Char2 Char Char Char Char Char Char"/>
    <w:basedOn w:val="a2"/>
    <w:uiPriority w:val="99"/>
    <w:qFormat/>
    <w:pPr>
      <w:jc w:val="both"/>
    </w:pPr>
  </w:style>
  <w:style w:type="paragraph" w:customStyle="1" w:styleId="afffffffffffffffffffffffffffffb">
    <w:name w:val="表格（一）"/>
    <w:basedOn w:val="a2"/>
    <w:qFormat/>
    <w:pPr>
      <w:wordWrap w:val="0"/>
      <w:overflowPunct w:val="0"/>
      <w:snapToGrid w:val="0"/>
      <w:spacing w:beforeLines="15" w:before="15" w:afterLines="15" w:after="15" w:line="360" w:lineRule="auto"/>
      <w:ind w:firstLineChars="200" w:firstLine="200"/>
      <w:jc w:val="both"/>
    </w:pPr>
    <w:rPr>
      <w:snapToGrid w:val="0"/>
    </w:rPr>
  </w:style>
  <w:style w:type="paragraph" w:customStyle="1" w:styleId="5CharChar1">
    <w:name w:val="目录 5 Char Char"/>
    <w:basedOn w:val="a2"/>
    <w:next w:val="a2"/>
    <w:qFormat/>
    <w:pPr>
      <w:spacing w:line="351" w:lineRule="atLeast"/>
      <w:ind w:left="839" w:firstLine="419"/>
    </w:pPr>
    <w:rPr>
      <w:rFonts w:hAnsi="宋体"/>
    </w:rPr>
  </w:style>
  <w:style w:type="paragraph" w:customStyle="1" w:styleId="Char180">
    <w:name w:val="Char18"/>
    <w:basedOn w:val="a2"/>
    <w:qFormat/>
    <w:rPr>
      <w:sz w:val="24"/>
    </w:rPr>
  </w:style>
  <w:style w:type="paragraph" w:customStyle="1" w:styleId="xl740">
    <w:name w:val="xl740"/>
    <w:basedOn w:val="a2"/>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Courier New" w:eastAsia="Arial Unicode MS" w:hAnsi="Courier New"/>
      <w:sz w:val="24"/>
    </w:rPr>
  </w:style>
  <w:style w:type="paragraph" w:customStyle="1" w:styleId="Normal2">
    <w:name w:val="Normal2"/>
    <w:qFormat/>
    <w:pPr>
      <w:widowControl w:val="0"/>
      <w:adjustRightInd w:val="0"/>
      <w:spacing w:line="312" w:lineRule="atLeast"/>
      <w:jc w:val="both"/>
      <w:textAlignment w:val="baseline"/>
    </w:pPr>
    <w:rPr>
      <w:rFonts w:ascii="Arial" w:eastAsia="楷体_GB2312" w:hAnsi="Times New Roman" w:cs="Times New Roman"/>
      <w:spacing w:val="-6"/>
      <w:sz w:val="28"/>
    </w:rPr>
  </w:style>
  <w:style w:type="paragraph" w:customStyle="1" w:styleId="Char2CharChar1Char1">
    <w:name w:val="Char2 Char Char1 Char1"/>
    <w:basedOn w:val="a2"/>
    <w:uiPriority w:val="99"/>
    <w:qFormat/>
    <w:pPr>
      <w:jc w:val="both"/>
    </w:pPr>
    <w:rPr>
      <w:sz w:val="24"/>
    </w:rPr>
  </w:style>
  <w:style w:type="paragraph" w:customStyle="1" w:styleId="2fffffc">
    <w:name w:val="字元2"/>
    <w:basedOn w:val="a2"/>
    <w:uiPriority w:val="99"/>
    <w:qFormat/>
    <w:pPr>
      <w:jc w:val="both"/>
    </w:pPr>
    <w:rPr>
      <w:rFonts w:ascii="Times New Roman"/>
    </w:rPr>
  </w:style>
  <w:style w:type="paragraph" w:customStyle="1" w:styleId="CharChar1CharCharCharCharCharCharCharCharCharCharCharCharChar2">
    <w:name w:val="Char Char1 Char Char Char Char Char Char Char Char Char Char Char Char Char2"/>
    <w:basedOn w:val="a2"/>
    <w:uiPriority w:val="99"/>
    <w:qFormat/>
    <w:pPr>
      <w:spacing w:line="360" w:lineRule="auto"/>
      <w:ind w:firstLineChars="200" w:firstLine="200"/>
      <w:jc w:val="both"/>
    </w:pPr>
  </w:style>
  <w:style w:type="paragraph" w:customStyle="1" w:styleId="CharCharCharCharCharChar1CharCharCharCharCharCharCharCharCharChar">
    <w:name w:val="Char Char Char Char Char Char1 Char Char Char Char Char Char Char Char Char Char"/>
    <w:basedOn w:val="a2"/>
    <w:uiPriority w:val="99"/>
    <w:qFormat/>
    <w:pPr>
      <w:spacing w:after="160" w:line="240" w:lineRule="exact"/>
    </w:pPr>
  </w:style>
  <w:style w:type="paragraph" w:customStyle="1" w:styleId="nw">
    <w:name w:val="nw"/>
    <w:basedOn w:val="a2"/>
    <w:uiPriority w:val="99"/>
    <w:qFormat/>
    <w:pPr>
      <w:spacing w:before="100" w:after="100"/>
      <w:textAlignment w:val="baseline"/>
    </w:pPr>
    <w:rPr>
      <w:rFonts w:ascii="宋体" w:hAnsi="宋体"/>
      <w:color w:val="000000"/>
    </w:rPr>
  </w:style>
  <w:style w:type="paragraph" w:customStyle="1" w:styleId="CharCharCharCharCharCharCharCharChar1CharCharCharCharCharCharChar4">
    <w:name w:val="Char Char Char Char Char Char Char Char Char1 Char Char Char Char Char Char Char4"/>
    <w:basedOn w:val="a2"/>
    <w:uiPriority w:val="99"/>
    <w:qFormat/>
    <w:pPr>
      <w:snapToGrid w:val="0"/>
      <w:spacing w:line="360" w:lineRule="auto"/>
      <w:ind w:firstLineChars="200" w:firstLine="200"/>
      <w:jc w:val="both"/>
    </w:pPr>
    <w:rPr>
      <w:rFonts w:eastAsia="仿宋_GB2312"/>
      <w:sz w:val="24"/>
    </w:rPr>
  </w:style>
  <w:style w:type="paragraph" w:customStyle="1" w:styleId="21f4">
    <w:name w:val="正文首行缩进21"/>
    <w:basedOn w:val="a2"/>
    <w:uiPriority w:val="99"/>
    <w:qFormat/>
    <w:pPr>
      <w:spacing w:line="500" w:lineRule="atLeast"/>
      <w:ind w:firstLine="560"/>
      <w:jc w:val="both"/>
    </w:pPr>
    <w:rPr>
      <w:rFonts w:ascii="Times New Roman"/>
    </w:rPr>
  </w:style>
  <w:style w:type="paragraph" w:customStyle="1" w:styleId="21f5">
    <w:name w:val="样式 正文文本 + 首行缩进:  2 字符1"/>
    <w:basedOn w:val="af4"/>
    <w:uiPriority w:val="99"/>
    <w:qFormat/>
    <w:pPr>
      <w:spacing w:after="60" w:line="264" w:lineRule="auto"/>
      <w:ind w:firstLineChars="200" w:firstLine="480"/>
      <w:jc w:val="both"/>
      <w:textAlignment w:val="baseline"/>
    </w:pPr>
    <w:rPr>
      <w:rFonts w:eastAsia="仿宋_GB2312" w:cs="宋体"/>
      <w:kern w:val="0"/>
      <w:sz w:val="24"/>
    </w:rPr>
  </w:style>
  <w:style w:type="paragraph" w:customStyle="1" w:styleId="afffffffffffffffffffffffffffffc">
    <w:name w:val="小四表文左齐"/>
    <w:basedOn w:val="a2"/>
    <w:qFormat/>
    <w:pPr>
      <w:jc w:val="center"/>
    </w:pPr>
    <w:rPr>
      <w:rFonts w:ascii="仿宋_GB2312" w:eastAsia="仿宋_GB2312" w:hAnsi="宋体"/>
    </w:rPr>
  </w:style>
  <w:style w:type="paragraph" w:customStyle="1" w:styleId="031">
    <w:name w:val="表格03"/>
    <w:basedOn w:val="a2"/>
    <w:qFormat/>
    <w:pPr>
      <w:spacing w:line="400" w:lineRule="exact"/>
      <w:jc w:val="center"/>
    </w:pPr>
  </w:style>
  <w:style w:type="paragraph" w:customStyle="1" w:styleId="CharCharCharCharCharCharCharCharC1">
    <w:name w:val="样式 正文缩进文本条款文本条款 Char Char Char Char Char Char Char Char文本条款 C...1"/>
    <w:basedOn w:val="a3"/>
    <w:qFormat/>
    <w:pPr>
      <w:snapToGrid w:val="0"/>
      <w:spacing w:line="520" w:lineRule="atLeast"/>
      <w:ind w:firstLine="560"/>
      <w:jc w:val="both"/>
    </w:pPr>
    <w:rPr>
      <w:rFonts w:cs="宋体"/>
      <w:sz w:val="28"/>
      <w:szCs w:val="20"/>
    </w:rPr>
  </w:style>
  <w:style w:type="paragraph" w:customStyle="1" w:styleId="GB-11111">
    <w:name w:val="GB-1.1.1.1.1"/>
    <w:basedOn w:val="GB-1111"/>
    <w:pPr>
      <w:numPr>
        <w:ilvl w:val="4"/>
      </w:numPr>
      <w:outlineLvl w:val="4"/>
    </w:pPr>
    <w:rPr>
      <w:szCs w:val="21"/>
    </w:rPr>
  </w:style>
  <w:style w:type="paragraph" w:customStyle="1" w:styleId="3ffff1">
    <w:name w:val="无间隔3"/>
    <w:next w:val="a2"/>
    <w:uiPriority w:val="99"/>
    <w:qFormat/>
    <w:pPr>
      <w:widowControl w:val="0"/>
      <w:jc w:val="both"/>
    </w:pPr>
    <w:rPr>
      <w:rFonts w:ascii="Times New Roman" w:eastAsia="宋体" w:hAnsi="Times New Roman" w:cs="Times New Roman"/>
      <w:kern w:val="2"/>
      <w:sz w:val="21"/>
      <w:szCs w:val="21"/>
    </w:rPr>
  </w:style>
  <w:style w:type="paragraph" w:customStyle="1" w:styleId="3ffff2">
    <w:name w:val="标题 3 + 黑色"/>
    <w:basedOn w:val="22"/>
    <w:qFormat/>
    <w:pPr>
      <w:spacing w:line="360" w:lineRule="auto"/>
    </w:pPr>
    <w:rPr>
      <w:rFonts w:ascii="Arial" w:eastAsia="黑体" w:hAnsi="Arial" w:cs="Times New Roman"/>
      <w:bCs w:val="0"/>
      <w:color w:val="000000"/>
      <w:szCs w:val="20"/>
    </w:rPr>
  </w:style>
  <w:style w:type="paragraph" w:customStyle="1" w:styleId="style70">
    <w:name w:val="style7"/>
    <w:basedOn w:val="a2"/>
    <w:uiPriority w:val="99"/>
    <w:qFormat/>
    <w:pPr>
      <w:spacing w:before="100" w:beforeAutospacing="1" w:after="100" w:afterAutospacing="1" w:line="360" w:lineRule="auto"/>
    </w:pPr>
    <w:rPr>
      <w:rFonts w:ascii="宋体" w:hAnsi="宋体" w:cs="宋体"/>
      <w:color w:val="000099"/>
      <w:sz w:val="24"/>
    </w:rPr>
  </w:style>
  <w:style w:type="paragraph" w:customStyle="1" w:styleId="0011">
    <w:name w:val="样式 题注 + 左侧:  0.01 厘米"/>
    <w:basedOn w:val="ac"/>
    <w:uiPriority w:val="99"/>
    <w:qFormat/>
    <w:pPr>
      <w:spacing w:beforeLines="50" w:before="156" w:after="160" w:line="360" w:lineRule="auto"/>
      <w:ind w:left="7"/>
      <w:jc w:val="center"/>
    </w:pPr>
    <w:rPr>
      <w:rFonts w:ascii="Arial" w:eastAsia="宋体" w:hAnsi="Arial" w:cs="宋体"/>
      <w:sz w:val="24"/>
      <w:szCs w:val="20"/>
    </w:rPr>
  </w:style>
  <w:style w:type="paragraph" w:customStyle="1" w:styleId="afffffffffffffffffffffffffffffd">
    <w:name w:val="样式 样式 报告书表格 + 五号 + 宋体"/>
    <w:basedOn w:val="affffffffffff0"/>
    <w:uiPriority w:val="99"/>
    <w:qFormat/>
    <w:rPr>
      <w:rFonts w:ascii="宋体" w:eastAsia="Times New Roman" w:hAnsi="宋体"/>
    </w:rPr>
  </w:style>
  <w:style w:type="paragraph" w:customStyle="1" w:styleId="afffffffffffffffffffffffffffffe">
    <w:name w:val="正文修改样式"/>
    <w:basedOn w:val="39"/>
    <w:uiPriority w:val="99"/>
    <w:qFormat/>
    <w:pPr>
      <w:spacing w:beforeLines="50" w:before="156" w:afterLines="50" w:after="156" w:line="360" w:lineRule="auto"/>
      <w:ind w:firstLineChars="227" w:firstLine="545"/>
      <w:jc w:val="both"/>
    </w:pPr>
    <w:rPr>
      <w:rFonts w:ascii="宋体" w:hAnsi="宋体"/>
      <w:color w:val="000000"/>
      <w:sz w:val="24"/>
      <w:szCs w:val="21"/>
    </w:rPr>
  </w:style>
  <w:style w:type="paragraph" w:customStyle="1" w:styleId="AAAAAAAAAAAA">
    <w:name w:val="AAAAAAAAAAAA"/>
    <w:basedOn w:val="a2"/>
    <w:uiPriority w:val="99"/>
    <w:qFormat/>
    <w:pPr>
      <w:jc w:val="center"/>
    </w:pPr>
    <w:rPr>
      <w:rFonts w:hAnsi="宋体"/>
    </w:rPr>
  </w:style>
  <w:style w:type="paragraph" w:customStyle="1" w:styleId="CharCharChar1CharCharCharCharCharCharCharCharCharCharCharCharCharCharChar1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w:basedOn w:val="a2"/>
    <w:uiPriority w:val="99"/>
    <w:qFormat/>
    <w:pPr>
      <w:jc w:val="both"/>
    </w:pPr>
  </w:style>
  <w:style w:type="paragraph" w:customStyle="1" w:styleId="a1CharCharCharCharChar1CharCharChar">
    <w:name w:val="a1 Char Char Char Char Char1 Char Char Char"/>
    <w:basedOn w:val="a2"/>
    <w:semiHidden/>
    <w:pPr>
      <w:autoSpaceDE/>
      <w:autoSpaceDN/>
      <w:adjustRightInd/>
      <w:spacing w:line="360" w:lineRule="auto"/>
      <w:ind w:left="510" w:firstLineChars="200" w:firstLine="200"/>
      <w:jc w:val="both"/>
    </w:pPr>
    <w:rPr>
      <w:rFonts w:hAnsi="Arial" w:cs="Arial"/>
      <w:sz w:val="32"/>
      <w:szCs w:val="32"/>
    </w:rPr>
  </w:style>
  <w:style w:type="paragraph" w:customStyle="1" w:styleId="Char4CharCharCharCharChar">
    <w:name w:val="Char4 Char Char Char Char Char"/>
    <w:basedOn w:val="a2"/>
    <w:uiPriority w:val="99"/>
    <w:qFormat/>
    <w:pPr>
      <w:jc w:val="both"/>
    </w:pPr>
    <w:rPr>
      <w:sz w:val="24"/>
    </w:rPr>
  </w:style>
  <w:style w:type="paragraph" w:customStyle="1" w:styleId="ltext">
    <w:name w:val="l_text"/>
    <w:basedOn w:val="a2"/>
    <w:qFormat/>
    <w:pPr>
      <w:overflowPunct w:val="0"/>
      <w:spacing w:line="360" w:lineRule="auto"/>
      <w:ind w:firstLine="567"/>
      <w:jc w:val="both"/>
      <w:textAlignment w:val="baseline"/>
    </w:pPr>
    <w:rPr>
      <w:lang w:val="en-GB"/>
    </w:rPr>
  </w:style>
  <w:style w:type="paragraph" w:customStyle="1" w:styleId="1ffffffff6">
    <w:name w:val="注1"/>
    <w:basedOn w:val="a2"/>
    <w:uiPriority w:val="99"/>
    <w:qFormat/>
    <w:pPr>
      <w:overflowPunct w:val="0"/>
      <w:topLinePunct/>
      <w:jc w:val="center"/>
    </w:pPr>
    <w:rPr>
      <w:b/>
    </w:rPr>
  </w:style>
  <w:style w:type="paragraph" w:customStyle="1" w:styleId="11fd">
    <w:name w:val="(文字) (文字)11"/>
    <w:basedOn w:val="a2"/>
    <w:uiPriority w:val="99"/>
    <w:qFormat/>
    <w:pPr>
      <w:jc w:val="both"/>
    </w:pPr>
  </w:style>
  <w:style w:type="paragraph" w:customStyle="1" w:styleId="324">
    <w:name w:val="正文32"/>
    <w:uiPriority w:val="99"/>
    <w:qFormat/>
    <w:pPr>
      <w:widowControl w:val="0"/>
      <w:adjustRightInd w:val="0"/>
      <w:spacing w:beforeLines="50" w:before="50" w:afterLines="50" w:after="50" w:line="360" w:lineRule="atLeast"/>
      <w:ind w:firstLineChars="40" w:firstLine="40"/>
      <w:textAlignment w:val="baseline"/>
    </w:pPr>
    <w:rPr>
      <w:rFonts w:ascii="Times New Roman" w:eastAsia="宋体" w:hAnsi="Times New Roman" w:cs="Times New Roman"/>
      <w:sz w:val="34"/>
    </w:rPr>
  </w:style>
  <w:style w:type="paragraph" w:customStyle="1" w:styleId="205">
    <w:name w:val="样式 四号 加粗 行距: 最小值 20 磅"/>
    <w:basedOn w:val="a2"/>
    <w:qFormat/>
    <w:pPr>
      <w:spacing w:line="360" w:lineRule="auto"/>
      <w:ind w:firstLine="567"/>
      <w:textAlignment w:val="baseline"/>
    </w:pPr>
    <w:rPr>
      <w:rFonts w:cs="宋体"/>
      <w:b/>
      <w:bCs/>
    </w:rPr>
  </w:style>
  <w:style w:type="paragraph" w:customStyle="1" w:styleId="Normal8">
    <w:name w:val="Normal_8"/>
    <w:pPr>
      <w:spacing w:before="120" w:after="240"/>
      <w:jc w:val="both"/>
    </w:pPr>
    <w:rPr>
      <w:rFonts w:ascii="Times New Roman" w:eastAsia="Calibri" w:hAnsi="Times New Roman" w:cs="Times New Roman"/>
      <w:sz w:val="22"/>
      <w:szCs w:val="21"/>
      <w:lang w:val="ru-RU" w:eastAsia="en-US"/>
    </w:rPr>
  </w:style>
  <w:style w:type="paragraph" w:customStyle="1" w:styleId="affffffffffffffffffffffffffffff">
    <w:name w:val="纯文本表内文字"/>
    <w:basedOn w:val="af8"/>
    <w:qFormat/>
    <w:pPr>
      <w:snapToGrid w:val="0"/>
      <w:spacing w:line="320" w:lineRule="atLeast"/>
    </w:pPr>
    <w:rPr>
      <w:rFonts w:ascii="Arial" w:hAnsi="Arial"/>
      <w:spacing w:val="10"/>
      <w:kern w:val="0"/>
      <w:sz w:val="21"/>
      <w:szCs w:val="20"/>
    </w:rPr>
  </w:style>
  <w:style w:type="paragraph" w:customStyle="1" w:styleId="Char1CharCharCharCharCharCharCharCharChar3">
    <w:name w:val="Char1 Char Char Char Char Char Char Char Char Char3"/>
    <w:basedOn w:val="a2"/>
    <w:uiPriority w:val="99"/>
    <w:qFormat/>
    <w:pPr>
      <w:jc w:val="both"/>
    </w:pPr>
  </w:style>
  <w:style w:type="paragraph" w:customStyle="1" w:styleId="titel">
    <w:name w:val="titel"/>
    <w:uiPriority w:val="99"/>
    <w:qFormat/>
    <w:pPr>
      <w:pageBreakBefore/>
      <w:overflowPunct w:val="0"/>
      <w:autoSpaceDE w:val="0"/>
      <w:autoSpaceDN w:val="0"/>
      <w:adjustRightInd w:val="0"/>
      <w:jc w:val="center"/>
      <w:textAlignment w:val="baseline"/>
    </w:pPr>
    <w:rPr>
      <w:rFonts w:ascii="CorpoSLig" w:eastAsia="宋体" w:hAnsi="CorpoSLig" w:cs="Times New Roman"/>
      <w:b/>
      <w:caps/>
      <w:sz w:val="48"/>
      <w:lang w:val="de-DE"/>
    </w:rPr>
  </w:style>
  <w:style w:type="paragraph" w:customStyle="1" w:styleId="211305052">
    <w:name w:val="样式 样式 标题 2 + 首行缩进:  1.13 厘米 + 段前: 0.5 行 段后: 0.5 行2"/>
    <w:basedOn w:val="2113"/>
    <w:uiPriority w:val="99"/>
    <w:qFormat/>
    <w:pPr>
      <w:spacing w:beforeLines="100"/>
    </w:pPr>
  </w:style>
  <w:style w:type="paragraph" w:customStyle="1" w:styleId="affffffffffffffffffffffffffffff0">
    <w:name w:val="码头表"/>
    <w:basedOn w:val="a2"/>
    <w:uiPriority w:val="99"/>
    <w:qFormat/>
    <w:pPr>
      <w:jc w:val="center"/>
    </w:pPr>
    <w:rPr>
      <w:rFonts w:ascii="宋体" w:hAnsi="宋体"/>
      <w:color w:val="000000"/>
      <w:sz w:val="18"/>
    </w:rPr>
  </w:style>
  <w:style w:type="paragraph" w:customStyle="1" w:styleId="Char1CharCharCharCharCharCharCharChar3">
    <w:name w:val="Char1 Char Char Char Char Char Char Char Char3"/>
    <w:basedOn w:val="a2"/>
    <w:uiPriority w:val="99"/>
    <w:qFormat/>
    <w:pPr>
      <w:jc w:val="both"/>
    </w:pPr>
  </w:style>
  <w:style w:type="paragraph" w:customStyle="1" w:styleId="Title2">
    <w:name w:val="Title 2"/>
    <w:basedOn w:val="22"/>
    <w:next w:val="a2"/>
    <w:uiPriority w:val="99"/>
    <w:qFormat/>
    <w:pPr>
      <w:keepNext w:val="0"/>
      <w:keepLines w:val="0"/>
      <w:snapToGrid w:val="0"/>
      <w:spacing w:before="0" w:after="0" w:line="500" w:lineRule="exact"/>
    </w:pPr>
    <w:rPr>
      <w:rFonts w:ascii="Times New Roman" w:eastAsia="宋体" w:hAnsi="Times New Roman" w:cs="Times New Roman"/>
      <w:bCs w:val="0"/>
      <w:sz w:val="24"/>
      <w:szCs w:val="24"/>
    </w:rPr>
  </w:style>
  <w:style w:type="paragraph" w:customStyle="1" w:styleId="affffffffffffffffffffffffffffff1">
    <w:name w:val="小四表文居中"/>
    <w:uiPriority w:val="99"/>
    <w:qFormat/>
    <w:pPr>
      <w:widowControl w:val="0"/>
      <w:spacing w:line="400" w:lineRule="exact"/>
      <w:jc w:val="center"/>
    </w:pPr>
    <w:rPr>
      <w:rFonts w:ascii="仿宋_GB2312" w:eastAsia="仿宋_GB2312" w:hAnsi="Times New Roman" w:cs="Times New Roman"/>
      <w:kern w:val="2"/>
      <w:sz w:val="24"/>
      <w:szCs w:val="24"/>
    </w:rPr>
  </w:style>
  <w:style w:type="paragraph" w:customStyle="1" w:styleId="b20">
    <w:name w:val="b新标题2"/>
    <w:basedOn w:val="22"/>
    <w:uiPriority w:val="99"/>
    <w:qFormat/>
    <w:pPr>
      <w:spacing w:line="240" w:lineRule="exact"/>
    </w:pPr>
    <w:rPr>
      <w:rFonts w:ascii="Arial" w:eastAsia="黑体" w:hAnsi="Arial" w:cs="Times New Roman"/>
      <w:sz w:val="24"/>
    </w:rPr>
  </w:style>
  <w:style w:type="paragraph" w:customStyle="1" w:styleId="251">
    <w:name w:val="样式 宋体 四号 左 行距: 固定值 25 磅"/>
    <w:basedOn w:val="a2"/>
    <w:qFormat/>
    <w:pPr>
      <w:spacing w:line="500" w:lineRule="exact"/>
      <w:ind w:firstLineChars="200" w:firstLine="200"/>
    </w:pPr>
    <w:rPr>
      <w:rFonts w:cs="宋体"/>
    </w:rPr>
  </w:style>
  <w:style w:type="paragraph" w:customStyle="1" w:styleId="CharChar1CharCharCharCharCharCharCharCharCharCharCharCharChar3">
    <w:name w:val="Char Char1 Char Char Char Char Char Char Char Char Char Char Char Char Char3"/>
    <w:basedOn w:val="a2"/>
    <w:uiPriority w:val="99"/>
    <w:qFormat/>
    <w:pPr>
      <w:spacing w:line="360" w:lineRule="auto"/>
      <w:ind w:firstLineChars="200" w:firstLine="200"/>
      <w:jc w:val="both"/>
    </w:pPr>
  </w:style>
  <w:style w:type="paragraph" w:customStyle="1" w:styleId="Char1CharCharCharCharCharCharCharCharCharCharCharChar2">
    <w:name w:val="Char1 Char Char Char Char Char Char Char Char Char Char Char Char2"/>
    <w:basedOn w:val="a2"/>
    <w:uiPriority w:val="99"/>
    <w:qFormat/>
    <w:pPr>
      <w:jc w:val="both"/>
    </w:pPr>
    <w:rPr>
      <w:rFonts w:ascii="Times New Roman"/>
    </w:rPr>
  </w:style>
  <w:style w:type="paragraph" w:customStyle="1" w:styleId="4151">
    <w:name w:val="样式 标题 4 + 宋体 行距: 1.5 倍行距"/>
    <w:basedOn w:val="41"/>
    <w:uiPriority w:val="99"/>
    <w:qFormat/>
    <w:pPr>
      <w:tabs>
        <w:tab w:val="left" w:pos="4320"/>
      </w:tabs>
      <w:snapToGrid w:val="0"/>
      <w:spacing w:afterLines="50" w:after="156" w:line="480" w:lineRule="exact"/>
      <w:ind w:leftChars="0" w:left="0" w:rightChars="0" w:right="0"/>
      <w:jc w:val="both"/>
    </w:pPr>
    <w:rPr>
      <w:rFonts w:ascii="Times New Roman" w:eastAsia="宋体"/>
      <w:b/>
    </w:rPr>
  </w:style>
  <w:style w:type="paragraph" w:customStyle="1" w:styleId="bgt">
    <w:name w:val="bgt"/>
    <w:basedOn w:val="a2"/>
    <w:next w:val="a2"/>
    <w:uiPriority w:val="99"/>
    <w:qFormat/>
    <w:pPr>
      <w:spacing w:line="360" w:lineRule="auto"/>
      <w:ind w:right="480"/>
      <w:jc w:val="center"/>
    </w:pPr>
    <w:rPr>
      <w:rFonts w:ascii="宋体" w:hAnsi="宋体"/>
      <w:b/>
      <w:color w:val="000000"/>
      <w:sz w:val="24"/>
    </w:rPr>
  </w:style>
  <w:style w:type="paragraph" w:customStyle="1" w:styleId="GB231222">
    <w:name w:val="样式 正文文本缩进 + (中文) 楷体_GB2312 行距: 固定值 22 磅"/>
    <w:basedOn w:val="af5"/>
    <w:uiPriority w:val="99"/>
    <w:qFormat/>
    <w:pPr>
      <w:spacing w:after="0" w:line="440" w:lineRule="exact"/>
      <w:ind w:leftChars="0" w:left="0" w:firstLineChars="200" w:firstLine="560"/>
      <w:jc w:val="both"/>
    </w:pPr>
    <w:rPr>
      <w:rFonts w:eastAsia="楷体_GB2312"/>
      <w:sz w:val="28"/>
      <w:szCs w:val="20"/>
    </w:rPr>
  </w:style>
  <w:style w:type="paragraph" w:customStyle="1" w:styleId="2TimesNewRoman050">
    <w:name w:val="样式 样式 标题 2节 + (西文) Times New Roman (中文) 宋体 四号 段前: 0.5 行 段后: 0......"/>
    <w:basedOn w:val="a2"/>
    <w:qFormat/>
    <w:pPr>
      <w:keepNext/>
      <w:keepLines/>
      <w:numPr>
        <w:numId w:val="18"/>
      </w:numPr>
      <w:snapToGrid w:val="0"/>
      <w:outlineLvl w:val="1"/>
    </w:pPr>
    <w:rPr>
      <w:rFonts w:ascii="华文仿宋" w:eastAsia="华文仿宋" w:hAnsi="华文仿宋" w:cs="宋体"/>
      <w:b/>
      <w:bCs/>
      <w:szCs w:val="28"/>
    </w:rPr>
  </w:style>
  <w:style w:type="paragraph" w:customStyle="1" w:styleId="Titleu">
    <w:name w:val="Title_u"/>
    <w:basedOn w:val="a2"/>
    <w:uiPriority w:val="99"/>
    <w:qFormat/>
    <w:pPr>
      <w:overflowPunct w:val="0"/>
      <w:spacing w:before="120" w:after="120" w:line="360" w:lineRule="auto"/>
      <w:jc w:val="center"/>
      <w:textAlignment w:val="baseline"/>
    </w:pPr>
    <w:rPr>
      <w:rFonts w:ascii="黑体" w:eastAsia="黑体"/>
      <w:b/>
    </w:rPr>
  </w:style>
  <w:style w:type="paragraph" w:customStyle="1" w:styleId="affffffffffffffffffffffffffffff2">
    <w:name w:val="设样式三"/>
    <w:basedOn w:val="7"/>
    <w:uiPriority w:val="99"/>
    <w:qFormat/>
    <w:pPr>
      <w:tabs>
        <w:tab w:val="clear" w:pos="165"/>
      </w:tabs>
      <w:spacing w:before="0" w:after="0" w:line="360" w:lineRule="auto"/>
      <w:ind w:left="0" w:firstLine="0"/>
    </w:pPr>
    <w:rPr>
      <w:bCs/>
      <w:kern w:val="0"/>
      <w:szCs w:val="24"/>
    </w:rPr>
  </w:style>
  <w:style w:type="paragraph" w:customStyle="1" w:styleId="affffffffffffffffffffffffffffff3">
    <w:name w:val="三级无标题条"/>
    <w:basedOn w:val="a2"/>
    <w:qFormat/>
    <w:pPr>
      <w:tabs>
        <w:tab w:val="left" w:pos="2660"/>
      </w:tabs>
      <w:ind w:left="2660" w:hanging="420"/>
    </w:pPr>
    <w:rPr>
      <w:rFonts w:hAnsi="宋体"/>
    </w:rPr>
  </w:style>
  <w:style w:type="paragraph" w:customStyle="1" w:styleId="CharCharCharCharCharCharCharCharCharCharCharCharCharCharCharChar4">
    <w:name w:val="Char Char Char Char Char Char Char Char Char Char Char Char Char Char Char Char4"/>
    <w:basedOn w:val="a2"/>
    <w:uiPriority w:val="99"/>
    <w:qFormat/>
    <w:pPr>
      <w:jc w:val="both"/>
    </w:pPr>
  </w:style>
  <w:style w:type="paragraph" w:customStyle="1" w:styleId="3ffff3">
    <w:name w:val="样式标题3"/>
    <w:basedOn w:val="a2"/>
    <w:qFormat/>
    <w:pPr>
      <w:keepNext/>
      <w:keepLines/>
      <w:spacing w:line="336" w:lineRule="auto"/>
      <w:outlineLvl w:val="2"/>
    </w:pPr>
    <w:rPr>
      <w:rFonts w:cs="宋体"/>
      <w:bCs/>
      <w:sz w:val="30"/>
      <w:szCs w:val="30"/>
    </w:rPr>
  </w:style>
  <w:style w:type="paragraph" w:customStyle="1" w:styleId="Char1CharCharChar2">
    <w:name w:val="Char1 Char Char Char2"/>
    <w:basedOn w:val="a2"/>
    <w:uiPriority w:val="99"/>
    <w:qFormat/>
    <w:pPr>
      <w:jc w:val="both"/>
    </w:pPr>
  </w:style>
  <w:style w:type="paragraph" w:customStyle="1" w:styleId="3ffff4">
    <w:name w:val="表格3"/>
    <w:basedOn w:val="a2"/>
    <w:pPr>
      <w:widowControl/>
      <w:autoSpaceDE/>
      <w:autoSpaceDN/>
      <w:adjustRightInd/>
      <w:spacing w:line="276" w:lineRule="auto"/>
      <w:ind w:firstLineChars="200" w:firstLine="200"/>
      <w:jc w:val="center"/>
    </w:pPr>
    <w:rPr>
      <w:rFonts w:cs="黑体"/>
    </w:rPr>
  </w:style>
  <w:style w:type="paragraph" w:customStyle="1" w:styleId="OmniPage7">
    <w:name w:val="OmniPage #7"/>
    <w:basedOn w:val="a2"/>
    <w:uiPriority w:val="99"/>
    <w:qFormat/>
    <w:pPr>
      <w:spacing w:line="320" w:lineRule="exact"/>
    </w:pPr>
    <w:rPr>
      <w:sz w:val="20"/>
      <w:lang w:val="en-GB" w:eastAsia="en-US"/>
    </w:rPr>
  </w:style>
  <w:style w:type="paragraph" w:customStyle="1" w:styleId="jophy">
    <w:name w:val="表格头jophy"/>
    <w:basedOn w:val="a2"/>
    <w:uiPriority w:val="99"/>
    <w:qFormat/>
    <w:pPr>
      <w:snapToGrid w:val="0"/>
      <w:jc w:val="center"/>
      <w:textAlignment w:val="baseline"/>
    </w:pPr>
    <w:rPr>
      <w:b/>
      <w:bCs/>
      <w:spacing w:val="-10"/>
      <w:szCs w:val="28"/>
    </w:rPr>
  </w:style>
  <w:style w:type="paragraph" w:customStyle="1" w:styleId="section1">
    <w:name w:val="section1"/>
    <w:basedOn w:val="a2"/>
    <w:uiPriority w:val="99"/>
    <w:qFormat/>
    <w:pPr>
      <w:spacing w:before="100" w:after="100"/>
      <w:textAlignment w:val="baseline"/>
    </w:pPr>
    <w:rPr>
      <w:rFonts w:ascii="宋体" w:hAnsi="宋体"/>
      <w:sz w:val="24"/>
    </w:rPr>
  </w:style>
  <w:style w:type="paragraph" w:customStyle="1" w:styleId="affffffffffffffffffffffffffffff4">
    <w:name w:val="正文▲"/>
    <w:pPr>
      <w:spacing w:line="360" w:lineRule="auto"/>
      <w:ind w:firstLineChars="200" w:firstLine="200"/>
    </w:pPr>
    <w:rPr>
      <w:rFonts w:ascii="Times New Roman" w:eastAsia="宋体" w:hAnsi="Times New Roman" w:cs="Times New Roman"/>
      <w:color w:val="000000"/>
      <w:kern w:val="2"/>
      <w:sz w:val="24"/>
      <w:szCs w:val="24"/>
    </w:rPr>
  </w:style>
  <w:style w:type="paragraph" w:customStyle="1" w:styleId="Mytabletailer">
    <w:name w:val="My table tailer"/>
    <w:basedOn w:val="aff2"/>
    <w:uiPriority w:val="99"/>
    <w:qFormat/>
    <w:locked/>
    <w:pPr>
      <w:suppressAutoHyphens/>
      <w:spacing w:line="240" w:lineRule="auto"/>
    </w:pPr>
    <w:rPr>
      <w:rFonts w:ascii="宋体" w:eastAsia="宋体" w:hAnsi="宋体"/>
      <w:spacing w:val="-1"/>
      <w:kern w:val="0"/>
      <w:sz w:val="32"/>
      <w:szCs w:val="32"/>
    </w:rPr>
  </w:style>
  <w:style w:type="paragraph" w:customStyle="1" w:styleId="affffffffffffffffffffffffffffff5">
    <w:name w:val="大标题"/>
    <w:basedOn w:val="12"/>
    <w:uiPriority w:val="99"/>
    <w:qFormat/>
    <w:pPr>
      <w:tabs>
        <w:tab w:val="left" w:pos="8640"/>
      </w:tabs>
      <w:spacing w:before="340" w:afterLines="100" w:after="312" w:line="480" w:lineRule="auto"/>
      <w:ind w:firstLineChars="200" w:firstLine="200"/>
      <w:jc w:val="center"/>
      <w:textAlignment w:val="auto"/>
    </w:pPr>
    <w:rPr>
      <w:rFonts w:eastAsia="宋体"/>
      <w:b/>
      <w:color w:val="000000"/>
      <w:sz w:val="44"/>
      <w:szCs w:val="44"/>
    </w:rPr>
  </w:style>
  <w:style w:type="paragraph" w:customStyle="1" w:styleId="2420">
    <w:name w:val="样式 四号 行距: 固定值 24 磅 首行缩进:  2 字符"/>
    <w:basedOn w:val="a2"/>
    <w:qFormat/>
    <w:pPr>
      <w:spacing w:line="480" w:lineRule="exact"/>
      <w:ind w:firstLineChars="200" w:firstLine="200"/>
      <w:jc w:val="both"/>
    </w:pPr>
    <w:rPr>
      <w:rFonts w:cs="宋体"/>
    </w:rPr>
  </w:style>
  <w:style w:type="paragraph" w:customStyle="1" w:styleId="281">
    <w:name w:val="四号正文28"/>
    <w:basedOn w:val="a2"/>
    <w:uiPriority w:val="99"/>
    <w:qFormat/>
    <w:pPr>
      <w:spacing w:line="560" w:lineRule="exact"/>
      <w:ind w:leftChars="200" w:left="200"/>
      <w:jc w:val="both"/>
    </w:pPr>
    <w:rPr>
      <w:rFonts w:eastAsia="仿宋_GB2312"/>
      <w:bCs/>
      <w:szCs w:val="28"/>
    </w:rPr>
  </w:style>
  <w:style w:type="paragraph" w:customStyle="1" w:styleId="CharCharCharCharCharCharCharChar30">
    <w:name w:val="Char Char Char Char Char Char Char Char3"/>
    <w:basedOn w:val="a2"/>
    <w:uiPriority w:val="99"/>
    <w:qFormat/>
    <w:pPr>
      <w:jc w:val="both"/>
    </w:pPr>
    <w:rPr>
      <w:rFonts w:ascii="Times New Roman"/>
    </w:rPr>
  </w:style>
  <w:style w:type="paragraph" w:customStyle="1" w:styleId="417">
    <w:name w:val="小4黑居中行1"/>
    <w:uiPriority w:val="99"/>
    <w:qFormat/>
    <w:pPr>
      <w:widowControl w:val="0"/>
      <w:jc w:val="center"/>
    </w:pPr>
    <w:rPr>
      <w:rFonts w:ascii="Times New Roman" w:eastAsia="宋体" w:hAnsi="Times New Roman" w:cs="Times New Roman"/>
      <w:kern w:val="2"/>
      <w:sz w:val="24"/>
    </w:rPr>
  </w:style>
  <w:style w:type="paragraph" w:customStyle="1" w:styleId="1111111Charyjm1h11stlevelSection">
    <w:name w:val="样式 标题 1（安评1）章标题 1标题111标题 1 Char标题yjm1h11st levelSection ..."/>
    <w:basedOn w:val="12"/>
    <w:uiPriority w:val="99"/>
    <w:qFormat/>
    <w:pPr>
      <w:tabs>
        <w:tab w:val="left" w:pos="360"/>
        <w:tab w:val="left" w:pos="432"/>
      </w:tabs>
      <w:ind w:left="432" w:hanging="432"/>
      <w:jc w:val="both"/>
      <w:textAlignment w:val="auto"/>
    </w:pPr>
    <w:rPr>
      <w:rFonts w:eastAsia="宋体" w:cs="宋体"/>
      <w:b/>
      <w:bCs w:val="0"/>
      <w:sz w:val="44"/>
      <w:szCs w:val="44"/>
    </w:rPr>
  </w:style>
  <w:style w:type="paragraph" w:customStyle="1" w:styleId="2fffffd">
    <w:name w:val="样2"/>
    <w:basedOn w:val="a2"/>
    <w:next w:val="a2"/>
    <w:pPr>
      <w:autoSpaceDE/>
      <w:autoSpaceDN/>
      <w:spacing w:line="360" w:lineRule="auto"/>
      <w:ind w:firstLineChars="200" w:firstLine="200"/>
      <w:jc w:val="center"/>
      <w:textAlignment w:val="baseline"/>
    </w:pPr>
  </w:style>
  <w:style w:type="paragraph" w:customStyle="1" w:styleId="ParaCharCharCharCharCharCharChar">
    <w:name w:val="默认段落字体 Para Char Char Char Char Char Char Char"/>
    <w:basedOn w:val="a2"/>
    <w:qFormat/>
    <w:pPr>
      <w:spacing w:line="360" w:lineRule="auto"/>
    </w:pPr>
    <w:rPr>
      <w:sz w:val="24"/>
    </w:rPr>
  </w:style>
  <w:style w:type="paragraph" w:customStyle="1" w:styleId="333">
    <w:name w:val="正文33"/>
    <w:qFormat/>
    <w:pPr>
      <w:widowControl w:val="0"/>
      <w:adjustRightInd w:val="0"/>
      <w:spacing w:beforeLines="50" w:before="50" w:afterLines="50" w:after="50" w:line="360" w:lineRule="atLeast"/>
      <w:ind w:firstLineChars="40" w:firstLine="40"/>
      <w:textAlignment w:val="baseline"/>
    </w:pPr>
    <w:rPr>
      <w:rFonts w:ascii="Times New Roman" w:eastAsia="宋体" w:hAnsi="Times New Roman" w:cs="Times New Roman"/>
      <w:sz w:val="34"/>
    </w:rPr>
  </w:style>
  <w:style w:type="paragraph" w:customStyle="1" w:styleId="affffffffffffffffffffffffffffff6">
    <w:name w:val="表内式样"/>
    <w:uiPriority w:val="99"/>
    <w:qFormat/>
    <w:pPr>
      <w:widowControl w:val="0"/>
      <w:adjustRightInd w:val="0"/>
      <w:jc w:val="center"/>
      <w:textAlignment w:val="baseline"/>
    </w:pPr>
    <w:rPr>
      <w:rFonts w:ascii="Times New Roman" w:eastAsia="宋体" w:hAnsi="Times New Roman" w:cs="Times New Roman"/>
      <w:kern w:val="2"/>
      <w:sz w:val="21"/>
    </w:rPr>
  </w:style>
  <w:style w:type="paragraph" w:customStyle="1" w:styleId="p100">
    <w:name w:val="p10"/>
    <w:basedOn w:val="a2"/>
    <w:uiPriority w:val="99"/>
    <w:qFormat/>
    <w:pPr>
      <w:spacing w:before="100" w:beforeAutospacing="1" w:after="100" w:afterAutospacing="1"/>
    </w:pPr>
    <w:rPr>
      <w:rFonts w:ascii="Arial Unicode MS" w:hAnsi="Arial Unicode MS"/>
      <w:sz w:val="24"/>
    </w:rPr>
  </w:style>
  <w:style w:type="paragraph" w:customStyle="1" w:styleId="CharCharChar1CharCharCharCharCharCharCharCharCharCharCharCharChar1">
    <w:name w:val="Char Char Char1 Char Char Char Char Char Char Char Char Char Char Char Char Char1"/>
    <w:basedOn w:val="a2"/>
    <w:uiPriority w:val="99"/>
    <w:qFormat/>
    <w:pPr>
      <w:jc w:val="both"/>
    </w:pPr>
    <w:rPr>
      <w:sz w:val="24"/>
    </w:rPr>
  </w:style>
  <w:style w:type="paragraph" w:customStyle="1" w:styleId="CharCharCharCharCharCharChar70">
    <w:name w:val="Char Char Char Char Char Char Char7"/>
    <w:basedOn w:val="a2"/>
    <w:pPr>
      <w:spacing w:line="360" w:lineRule="auto"/>
      <w:ind w:firstLineChars="200" w:firstLine="200"/>
      <w:jc w:val="both"/>
    </w:pPr>
    <w:rPr>
      <w:rFonts w:ascii="宋体" w:hAnsi="宋体" w:cs="宋体"/>
      <w:sz w:val="24"/>
    </w:rPr>
  </w:style>
  <w:style w:type="paragraph" w:customStyle="1" w:styleId="147">
    <w:name w:val="14"/>
    <w:basedOn w:val="a2"/>
    <w:next w:val="af5"/>
    <w:qFormat/>
    <w:pPr>
      <w:spacing w:line="500" w:lineRule="exact"/>
      <w:ind w:firstLineChars="200" w:firstLine="560"/>
      <w:jc w:val="both"/>
    </w:pPr>
    <w:rPr>
      <w:rFonts w:ascii="仿宋_GB2312" w:eastAsia="仿宋_GB2312"/>
      <w:color w:val="FF0000"/>
    </w:rPr>
  </w:style>
  <w:style w:type="paragraph" w:customStyle="1" w:styleId="w">
    <w:name w:val="w"/>
    <w:basedOn w:val="a2"/>
    <w:uiPriority w:val="99"/>
    <w:qFormat/>
    <w:pPr>
      <w:spacing w:line="360" w:lineRule="auto"/>
      <w:ind w:firstLine="200"/>
      <w:jc w:val="both"/>
      <w:textAlignment w:val="baseline"/>
    </w:pPr>
    <w:rPr>
      <w:color w:val="000000"/>
      <w:sz w:val="30"/>
    </w:rPr>
  </w:style>
  <w:style w:type="paragraph" w:customStyle="1" w:styleId="p17">
    <w:name w:val="p17"/>
    <w:basedOn w:val="a2"/>
    <w:qFormat/>
    <w:pPr>
      <w:widowControl/>
      <w:snapToGrid w:val="0"/>
      <w:spacing w:line="500" w:lineRule="atLeast"/>
    </w:pPr>
    <w:rPr>
      <w:rFonts w:ascii="宋体" w:hAnsi="宋体" w:cs="宋体"/>
      <w:color w:val="FF0000"/>
      <w:szCs w:val="28"/>
    </w:rPr>
  </w:style>
  <w:style w:type="paragraph" w:customStyle="1" w:styleId="CharCharCharCharCharCharCharCharCharCharCharCharChar4">
    <w:name w:val="Char Char Char Char Char Char Char Char Char Char Char Char Char4"/>
    <w:basedOn w:val="a2"/>
    <w:uiPriority w:val="99"/>
    <w:qFormat/>
    <w:pPr>
      <w:jc w:val="both"/>
    </w:pPr>
    <w:rPr>
      <w:sz w:val="24"/>
    </w:rPr>
  </w:style>
  <w:style w:type="paragraph" w:customStyle="1" w:styleId="05782205">
    <w:name w:val="样式 样式 段前: 0.5 行 段后: 7.8 磅 首行缩进:  2 字符 + 首行缩进:  2 字符 段前: 0.5 行"/>
    <w:basedOn w:val="a2"/>
    <w:pPr>
      <w:autoSpaceDE/>
      <w:autoSpaceDN/>
      <w:adjustRightInd/>
      <w:spacing w:beforeLines="50" w:line="360" w:lineRule="auto"/>
      <w:ind w:firstLineChars="200" w:firstLine="200"/>
      <w:jc w:val="both"/>
    </w:pPr>
    <w:rPr>
      <w:rFonts w:cs="宋体"/>
    </w:rPr>
  </w:style>
  <w:style w:type="paragraph" w:customStyle="1" w:styleId="affffffffffffffffffffffffffffff7">
    <w:name w:val="框图字"/>
    <w:basedOn w:val="a2"/>
    <w:uiPriority w:val="99"/>
    <w:qFormat/>
    <w:pPr>
      <w:snapToGrid w:val="0"/>
      <w:jc w:val="both"/>
    </w:pPr>
    <w:rPr>
      <w:rFonts w:ascii="宋体" w:cs="宋体"/>
      <w:sz w:val="18"/>
      <w:szCs w:val="18"/>
    </w:rPr>
  </w:style>
  <w:style w:type="paragraph" w:customStyle="1" w:styleId="Char4CharCharChar4">
    <w:name w:val="Char4 Char Char Char4"/>
    <w:basedOn w:val="a2"/>
    <w:pPr>
      <w:jc w:val="both"/>
    </w:pPr>
    <w:rPr>
      <w:sz w:val="24"/>
    </w:rPr>
  </w:style>
  <w:style w:type="paragraph" w:customStyle="1" w:styleId="P20">
    <w:name w:val="P2"/>
    <w:uiPriority w:val="99"/>
    <w:qFormat/>
    <w:pPr>
      <w:widowControl w:val="0"/>
      <w:adjustRightInd w:val="0"/>
      <w:spacing w:after="240" w:line="0" w:lineRule="atLeast"/>
      <w:ind w:left="720"/>
      <w:jc w:val="both"/>
      <w:textAlignment w:val="baseline"/>
    </w:pPr>
    <w:rPr>
      <w:rFonts w:ascii="Times New Roman" w:eastAsia="宋体" w:hAnsi="Times New Roman" w:cs="Times New Roman"/>
      <w:spacing w:val="20"/>
      <w:sz w:val="24"/>
      <w:lang w:val="en-GB"/>
    </w:rPr>
  </w:style>
  <w:style w:type="paragraph" w:customStyle="1" w:styleId="4TimesNewRoman0">
    <w:name w:val="样式 样式 标题 4 + Times New Roman + 非加粗"/>
    <w:basedOn w:val="a2"/>
    <w:next w:val="a2"/>
    <w:uiPriority w:val="99"/>
    <w:qFormat/>
    <w:pPr>
      <w:keepNext/>
      <w:keepLines/>
      <w:tabs>
        <w:tab w:val="left" w:pos="1080"/>
      </w:tabs>
      <w:spacing w:before="280" w:after="290" w:line="376" w:lineRule="auto"/>
      <w:jc w:val="both"/>
      <w:outlineLvl w:val="3"/>
    </w:pPr>
    <w:rPr>
      <w:rFonts w:eastAsia="仿宋_GB2312"/>
      <w:szCs w:val="28"/>
    </w:rPr>
  </w:style>
  <w:style w:type="paragraph" w:customStyle="1" w:styleId="Normal33">
    <w:name w:val="Normal_33"/>
    <w:pPr>
      <w:spacing w:before="120" w:after="240"/>
      <w:jc w:val="both"/>
    </w:pPr>
    <w:rPr>
      <w:rFonts w:ascii="Times New Roman" w:eastAsia="Calibri" w:hAnsi="Times New Roman" w:cs="Times New Roman"/>
      <w:sz w:val="22"/>
      <w:szCs w:val="21"/>
      <w:lang w:val="ru-RU" w:eastAsia="en-US"/>
    </w:rPr>
  </w:style>
  <w:style w:type="paragraph" w:customStyle="1" w:styleId="1ffffffff7">
    <w:name w:val="无间隔1"/>
    <w:next w:val="a2"/>
    <w:qFormat/>
    <w:pPr>
      <w:widowControl w:val="0"/>
      <w:jc w:val="both"/>
    </w:pPr>
    <w:rPr>
      <w:rFonts w:ascii="Times New Roman" w:eastAsia="宋体" w:hAnsi="Times New Roman" w:cs="Times New Roman"/>
      <w:kern w:val="2"/>
      <w:sz w:val="21"/>
      <w:szCs w:val="21"/>
    </w:rPr>
  </w:style>
  <w:style w:type="paragraph" w:customStyle="1" w:styleId="CharCharCharCharCharCharCharCharCharChar1CharCharChar2">
    <w:name w:val="Char Char Char Char Char Char Char Char Char Char1 Char Char Char2"/>
    <w:basedOn w:val="a2"/>
    <w:uiPriority w:val="99"/>
    <w:qFormat/>
    <w:pPr>
      <w:spacing w:line="240" w:lineRule="exact"/>
      <w:ind w:firstLineChars="200" w:firstLine="200"/>
      <w:jc w:val="both"/>
    </w:pPr>
    <w:rPr>
      <w:rFonts w:ascii="Times New Roman"/>
      <w:szCs w:val="28"/>
    </w:rPr>
  </w:style>
  <w:style w:type="paragraph" w:customStyle="1" w:styleId="-02-02">
    <w:name w:val="样式 表 + 左侧:  -0.2 字符 右侧:  -0.2 字符"/>
    <w:basedOn w:val="9"/>
    <w:uiPriority w:val="99"/>
    <w:qFormat/>
    <w:pPr>
      <w:keepNext w:val="0"/>
      <w:keepLines w:val="0"/>
      <w:pBdr>
        <w:top w:val="single" w:sz="12" w:space="1" w:color="auto"/>
        <w:left w:val="single" w:sz="12" w:space="4" w:color="auto"/>
        <w:bottom w:val="single" w:sz="12" w:space="1" w:color="auto"/>
        <w:right w:val="single" w:sz="12" w:space="4" w:color="auto"/>
      </w:pBdr>
      <w:tabs>
        <w:tab w:val="clear" w:pos="165"/>
      </w:tabs>
      <w:spacing w:before="0" w:after="0" w:line="240" w:lineRule="auto"/>
      <w:ind w:leftChars="-20" w:left="-20" w:rightChars="-20" w:right="-20" w:firstLine="19"/>
      <w:jc w:val="center"/>
      <w:textAlignment w:val="baseline"/>
      <w:outlineLvl w:val="9"/>
    </w:pPr>
    <w:rPr>
      <w:rFonts w:eastAsia="仿宋_GB2312" w:cs="宋体"/>
      <w:snapToGrid w:val="0"/>
      <w:kern w:val="0"/>
    </w:rPr>
  </w:style>
  <w:style w:type="paragraph" w:customStyle="1" w:styleId="affffffffffffffffffffffffffffff8">
    <w:name w:val="表格_表头"/>
    <w:next w:val="a2"/>
    <w:uiPriority w:val="99"/>
    <w:qFormat/>
    <w:pPr>
      <w:adjustRightInd w:val="0"/>
      <w:spacing w:line="360" w:lineRule="auto"/>
      <w:jc w:val="center"/>
      <w:textAlignment w:val="baseline"/>
    </w:pPr>
    <w:rPr>
      <w:rFonts w:ascii="Times New Roman" w:eastAsia="宋体" w:hAnsi="Times New Roman" w:cs="Times New Roman"/>
      <w:sz w:val="24"/>
    </w:rPr>
  </w:style>
  <w:style w:type="paragraph" w:customStyle="1" w:styleId="2fffffe">
    <w:name w:val="样式 首行缩进 + 四号 首行缩进:  2 字符"/>
    <w:basedOn w:val="afffffffffffffffff2"/>
    <w:qFormat/>
    <w:pPr>
      <w:snapToGrid w:val="0"/>
      <w:ind w:firstLine="482"/>
    </w:pPr>
    <w:rPr>
      <w:rFonts w:ascii="宋体" w:hAnsi="宋体" w:cs="宋体"/>
      <w:b/>
      <w:lang w:val="en-GB"/>
    </w:rPr>
  </w:style>
  <w:style w:type="paragraph" w:customStyle="1" w:styleId="xl37">
    <w:name w:val="xl3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olor w:val="000000"/>
      <w:sz w:val="24"/>
    </w:rPr>
  </w:style>
  <w:style w:type="paragraph" w:customStyle="1" w:styleId="ParaChar">
    <w:name w:val="默认段落字体 Para Char"/>
    <w:basedOn w:val="a2"/>
    <w:qFormat/>
    <w:rPr>
      <w:sz w:val="24"/>
    </w:rPr>
  </w:style>
  <w:style w:type="paragraph" w:customStyle="1" w:styleId="affffffffffffffffffffffffffffff9">
    <w:name w:val="表中"/>
    <w:basedOn w:val="a2"/>
    <w:uiPriority w:val="99"/>
    <w:qFormat/>
    <w:pPr>
      <w:snapToGrid w:val="0"/>
      <w:jc w:val="center"/>
    </w:pPr>
    <w:rPr>
      <w:snapToGrid w:val="0"/>
    </w:rPr>
  </w:style>
  <w:style w:type="paragraph" w:customStyle="1" w:styleId="xl48">
    <w:name w:val="xl48"/>
    <w:basedOn w:val="a2"/>
    <w:qFormat/>
    <w:pPr>
      <w:widowControl/>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color w:val="000000"/>
      <w:sz w:val="24"/>
    </w:rPr>
  </w:style>
  <w:style w:type="paragraph" w:customStyle="1" w:styleId="tdbig">
    <w:name w:val="tdbig"/>
    <w:basedOn w:val="a2"/>
    <w:uiPriority w:val="99"/>
    <w:qFormat/>
    <w:pPr>
      <w:snapToGrid w:val="0"/>
      <w:spacing w:before="100" w:beforeAutospacing="1" w:after="100" w:afterAutospacing="1" w:line="270" w:lineRule="atLeast"/>
      <w:ind w:firstLineChars="200" w:firstLine="200"/>
    </w:pPr>
    <w:rPr>
      <w:rFonts w:ascii="Georgia" w:hAnsi="Georgia"/>
      <w:color w:val="2B4F91"/>
      <w:spacing w:val="15"/>
      <w:sz w:val="24"/>
    </w:rPr>
  </w:style>
  <w:style w:type="paragraph" w:customStyle="1" w:styleId="1ffffffff8">
    <w:name w:val="样式1.....表格"/>
    <w:basedOn w:val="a2"/>
    <w:next w:val="a2"/>
    <w:qFormat/>
    <w:pPr>
      <w:jc w:val="center"/>
    </w:pPr>
    <w:rPr>
      <w:sz w:val="24"/>
    </w:rPr>
  </w:style>
  <w:style w:type="paragraph" w:customStyle="1" w:styleId="CharChar1Char4">
    <w:name w:val="Char Char1 Char4"/>
    <w:basedOn w:val="a2"/>
    <w:qFormat/>
    <w:pPr>
      <w:jc w:val="both"/>
    </w:pPr>
  </w:style>
  <w:style w:type="paragraph" w:customStyle="1" w:styleId="253">
    <w:name w:val="样式 报告 + 行距: 固定值 25 磅"/>
    <w:basedOn w:val="a2"/>
    <w:uiPriority w:val="99"/>
    <w:qFormat/>
    <w:pPr>
      <w:spacing w:line="500" w:lineRule="exact"/>
      <w:ind w:firstLineChars="200" w:firstLine="560"/>
      <w:jc w:val="both"/>
      <w:textAlignment w:val="center"/>
    </w:pPr>
    <w:rPr>
      <w:rFonts w:ascii="TimesNewRoman" w:hAnsi="TimesNewRoman" w:cs="宋体"/>
      <w:szCs w:val="28"/>
    </w:rPr>
  </w:style>
  <w:style w:type="paragraph" w:customStyle="1" w:styleId="123-II">
    <w:name w:val="文本123-II"/>
    <w:basedOn w:val="41"/>
    <w:uiPriority w:val="99"/>
    <w:qFormat/>
    <w:pPr>
      <w:keepNext w:val="0"/>
      <w:keepLines w:val="0"/>
      <w:tabs>
        <w:tab w:val="left" w:pos="0"/>
      </w:tabs>
      <w:spacing w:beforeLines="0" w:before="50" w:line="240" w:lineRule="auto"/>
      <w:ind w:leftChars="0" w:left="0" w:rightChars="0" w:right="0"/>
      <w:jc w:val="both"/>
    </w:pPr>
    <w:rPr>
      <w:rFonts w:ascii="Times New Roman" w:eastAsia="宋体"/>
      <w:bCs w:val="0"/>
      <w:sz w:val="24"/>
      <w:szCs w:val="20"/>
    </w:rPr>
  </w:style>
  <w:style w:type="paragraph" w:customStyle="1" w:styleId="affffffffffffffffffffffffffffffa">
    <w:name w:val="宋体+小四"/>
    <w:basedOn w:val="a2"/>
    <w:pPr>
      <w:autoSpaceDE/>
      <w:autoSpaceDN/>
      <w:adjustRightInd/>
      <w:spacing w:line="360" w:lineRule="auto"/>
      <w:ind w:firstLineChars="200" w:firstLine="200"/>
      <w:jc w:val="both"/>
    </w:pPr>
    <w:rPr>
      <w:rFonts w:ascii="宋体" w:hAnsi="宋体"/>
    </w:rPr>
  </w:style>
  <w:style w:type="paragraph" w:customStyle="1" w:styleId="17132">
    <w:name w:val="样式 首行缩进:  1.71 字符32"/>
    <w:basedOn w:val="a2"/>
    <w:uiPriority w:val="99"/>
    <w:qFormat/>
    <w:pPr>
      <w:spacing w:line="360" w:lineRule="auto"/>
      <w:ind w:firstLineChars="200" w:firstLine="480"/>
      <w:jc w:val="both"/>
    </w:pPr>
    <w:rPr>
      <w:sz w:val="24"/>
    </w:rPr>
  </w:style>
  <w:style w:type="paragraph" w:customStyle="1" w:styleId="affffffffffffffffffffffffffffffb">
    <w:name w:val="表的正文"/>
    <w:basedOn w:val="a2"/>
    <w:uiPriority w:val="99"/>
    <w:qFormat/>
    <w:pPr>
      <w:spacing w:line="400" w:lineRule="atLeast"/>
      <w:ind w:leftChars="100" w:left="100" w:rightChars="100" w:right="100" w:firstLine="482"/>
      <w:jc w:val="both"/>
    </w:pPr>
    <w:rPr>
      <w:rFonts w:ascii="仿宋_GB2312" w:eastAsia="仿宋_GB2312" w:hAnsi="宋体" w:hint="eastAsia"/>
      <w:sz w:val="24"/>
    </w:rPr>
  </w:style>
  <w:style w:type="paragraph" w:customStyle="1" w:styleId="newscontl">
    <w:name w:val="newscontl"/>
    <w:basedOn w:val="a2"/>
    <w:uiPriority w:val="99"/>
    <w:qFormat/>
    <w:pPr>
      <w:spacing w:before="100" w:beforeAutospacing="1" w:after="100" w:afterAutospacing="1"/>
    </w:pPr>
    <w:rPr>
      <w:rFonts w:ascii="宋体" w:hAnsi="宋体" w:cs="宋体"/>
      <w:color w:val="000000"/>
      <w:sz w:val="24"/>
    </w:rPr>
  </w:style>
  <w:style w:type="paragraph" w:customStyle="1" w:styleId="affffffffffffffffffffffffffffffc">
    <w:name w:val="表前文字"/>
    <w:basedOn w:val="a2"/>
    <w:qFormat/>
    <w:pPr>
      <w:jc w:val="center"/>
    </w:pPr>
    <w:rPr>
      <w:rFonts w:ascii="宋体" w:hAnsi="宋体"/>
      <w:sz w:val="24"/>
    </w:rPr>
  </w:style>
  <w:style w:type="paragraph" w:customStyle="1" w:styleId="CharCharCharCharCharCharCharCharChar1CharCharCharCharCharChar5">
    <w:name w:val="Char Char Char Char Char Char Char Char Char1 Char Char Char Char Char Char5"/>
    <w:basedOn w:val="a2"/>
    <w:qFormat/>
    <w:rPr>
      <w:sz w:val="24"/>
    </w:rPr>
  </w:style>
  <w:style w:type="paragraph" w:customStyle="1" w:styleId="Char1CharChar2">
    <w:name w:val="Char1 Char Char2"/>
    <w:basedOn w:val="a2"/>
    <w:uiPriority w:val="99"/>
    <w:qFormat/>
    <w:pPr>
      <w:jc w:val="both"/>
    </w:pPr>
    <w:rPr>
      <w:rFonts w:ascii="Times New Roman"/>
    </w:rPr>
  </w:style>
  <w:style w:type="paragraph" w:customStyle="1" w:styleId="4fb">
    <w:name w:val="(文字) (文字)4"/>
    <w:basedOn w:val="a2"/>
    <w:uiPriority w:val="99"/>
    <w:qFormat/>
    <w:pPr>
      <w:jc w:val="both"/>
    </w:pPr>
    <w:rPr>
      <w:sz w:val="24"/>
    </w:rPr>
  </w:style>
  <w:style w:type="paragraph" w:customStyle="1" w:styleId="Char4CharCharCharCharChar3">
    <w:name w:val="Char4 Char Char Char Char Char3"/>
    <w:basedOn w:val="a2"/>
    <w:uiPriority w:val="99"/>
    <w:qFormat/>
    <w:pPr>
      <w:jc w:val="both"/>
    </w:pPr>
  </w:style>
  <w:style w:type="paragraph" w:customStyle="1" w:styleId="mytable">
    <w:name w:val="my table"/>
    <w:basedOn w:val="affffd"/>
    <w:uiPriority w:val="99"/>
    <w:qFormat/>
    <w:locked/>
    <w:pPr>
      <w:spacing w:line="240" w:lineRule="exact"/>
      <w:jc w:val="both"/>
      <w:textAlignment w:val="auto"/>
    </w:pPr>
    <w:rPr>
      <w:szCs w:val="20"/>
    </w:rPr>
  </w:style>
  <w:style w:type="paragraph" w:customStyle="1" w:styleId="228">
    <w:name w:val="样式 样式 样式 首行缩进:  2 字符 + 首行缩进:  2 字符 + 居中 行距: 单倍行距"/>
    <w:basedOn w:val="a2"/>
    <w:pPr>
      <w:autoSpaceDE/>
      <w:autoSpaceDN/>
      <w:adjustRightInd/>
      <w:snapToGrid w:val="0"/>
      <w:spacing w:line="360" w:lineRule="auto"/>
      <w:ind w:firstLineChars="200" w:firstLine="200"/>
      <w:jc w:val="center"/>
    </w:pPr>
    <w:rPr>
      <w:rFonts w:ascii="宋体" w:hAnsi="宋体" w:cs="宋体"/>
      <w:color w:val="000000"/>
    </w:rPr>
  </w:style>
  <w:style w:type="paragraph" w:customStyle="1" w:styleId="affffffffffffffffffffffffffffffd">
    <w:name w:val="封面标准文稿类别"/>
    <w:uiPriority w:val="99"/>
    <w:qFormat/>
    <w:pPr>
      <w:spacing w:before="440" w:line="400" w:lineRule="exact"/>
      <w:jc w:val="center"/>
    </w:pPr>
    <w:rPr>
      <w:rFonts w:ascii="Times New Roman" w:eastAsia="宋体" w:hAnsi="Times New Roman" w:cs="Times New Roman"/>
      <w:sz w:val="24"/>
    </w:rPr>
  </w:style>
  <w:style w:type="paragraph" w:customStyle="1" w:styleId="221121TimesNewRoman8">
    <w:name w:val="样式 标题 2标题 21标题 121 + Times New Roman 小三 非加粗 黑色 段前: 8 磅 段..."/>
    <w:basedOn w:val="22"/>
    <w:uiPriority w:val="99"/>
    <w:qFormat/>
    <w:pPr>
      <w:tabs>
        <w:tab w:val="left" w:pos="360"/>
      </w:tabs>
      <w:spacing w:before="160" w:after="160" w:line="240" w:lineRule="auto"/>
      <w:jc w:val="both"/>
    </w:pPr>
    <w:rPr>
      <w:rFonts w:ascii="黑体" w:eastAsia="黑体" w:hAnsi="Times New Roman" w:cs="Times New Roman"/>
      <w:b w:val="0"/>
      <w:color w:val="000000"/>
      <w:sz w:val="30"/>
      <w:szCs w:val="30"/>
    </w:rPr>
  </w:style>
  <w:style w:type="paragraph" w:customStyle="1" w:styleId="229">
    <w:name w:val="正文文本22"/>
    <w:basedOn w:val="a2"/>
    <w:uiPriority w:val="99"/>
    <w:qFormat/>
    <w:pPr>
      <w:spacing w:line="360" w:lineRule="auto"/>
      <w:ind w:firstLineChars="200" w:firstLine="480"/>
      <w:jc w:val="both"/>
    </w:pPr>
    <w:rPr>
      <w:rFonts w:ascii="宋体" w:cs="宋体"/>
      <w:sz w:val="24"/>
    </w:rPr>
  </w:style>
  <w:style w:type="paragraph" w:customStyle="1" w:styleId="CharCharCharCharChar1Char2">
    <w:name w:val="Char Char Char Char Char1 Char2"/>
    <w:basedOn w:val="a2"/>
    <w:uiPriority w:val="99"/>
    <w:qFormat/>
    <w:pPr>
      <w:jc w:val="both"/>
    </w:pPr>
    <w:rPr>
      <w:rFonts w:ascii="Times New Roman"/>
    </w:rPr>
  </w:style>
  <w:style w:type="paragraph" w:customStyle="1" w:styleId="CharChar5CharChar2">
    <w:name w:val="Char Char5 Char Char2"/>
    <w:basedOn w:val="a2"/>
    <w:pPr>
      <w:spacing w:line="360" w:lineRule="auto"/>
      <w:ind w:firstLineChars="200" w:firstLine="200"/>
      <w:jc w:val="both"/>
    </w:pPr>
    <w:rPr>
      <w:rFonts w:ascii="宋体" w:hAnsi="宋体" w:cs="宋体"/>
      <w:sz w:val="24"/>
    </w:rPr>
  </w:style>
  <w:style w:type="paragraph" w:customStyle="1" w:styleId="CharCharCharCharCharCharCharCharChar1CharCharCharCharCharChar10">
    <w:name w:val="Char Char Char Char Char Char Char Char Char1 Char Char Char Char Char Char10"/>
    <w:basedOn w:val="a2"/>
    <w:pPr>
      <w:jc w:val="both"/>
    </w:pPr>
  </w:style>
  <w:style w:type="paragraph" w:customStyle="1" w:styleId="12f9">
    <w:name w:val="批注框文本12"/>
    <w:basedOn w:val="a2"/>
    <w:qFormat/>
    <w:pPr>
      <w:spacing w:after="120" w:line="440" w:lineRule="exact"/>
      <w:jc w:val="both"/>
    </w:pPr>
    <w:rPr>
      <w:rFonts w:hAnsi="Arial" w:hint="eastAsia"/>
      <w:sz w:val="18"/>
    </w:rPr>
  </w:style>
  <w:style w:type="paragraph" w:customStyle="1" w:styleId="affffffffffffffffffffffffffffffe">
    <w:name w:val="注"/>
    <w:basedOn w:val="a2"/>
    <w:next w:val="a2"/>
    <w:qFormat/>
    <w:pPr>
      <w:spacing w:before="60" w:after="60" w:line="312" w:lineRule="auto"/>
      <w:jc w:val="both"/>
    </w:pPr>
    <w:rPr>
      <w:rFonts w:eastAsia="黑体"/>
    </w:rPr>
  </w:style>
  <w:style w:type="paragraph" w:customStyle="1" w:styleId="afffffffffffffffffffffffffffffff">
    <w:name w:val="标准正文"/>
    <w:basedOn w:val="a2"/>
    <w:uiPriority w:val="99"/>
    <w:qFormat/>
    <w:pPr>
      <w:tabs>
        <w:tab w:val="left" w:pos="5580"/>
      </w:tabs>
      <w:topLinePunct/>
      <w:spacing w:line="360" w:lineRule="auto"/>
      <w:ind w:firstLineChars="200" w:firstLine="560"/>
      <w:jc w:val="both"/>
    </w:pPr>
    <w:rPr>
      <w:rFonts w:ascii="宋体" w:hAnsi="宋体"/>
    </w:rPr>
  </w:style>
  <w:style w:type="paragraph" w:customStyle="1" w:styleId="afffffffffffffffffffffffffffffff0">
    <w:name w:val="英方字母"/>
    <w:basedOn w:val="a2"/>
    <w:uiPriority w:val="99"/>
    <w:qFormat/>
    <w:pPr>
      <w:tabs>
        <w:tab w:val="left" w:pos="360"/>
      </w:tabs>
      <w:spacing w:line="360" w:lineRule="auto"/>
      <w:jc w:val="both"/>
    </w:pPr>
    <w:rPr>
      <w:rFonts w:ascii="Bookman Old Style" w:hAnsi="Bookman Old Style" w:cs="Bookman Old Style"/>
      <w:sz w:val="24"/>
    </w:rPr>
  </w:style>
  <w:style w:type="paragraph" w:customStyle="1" w:styleId="1ffffffff9">
    <w:name w:val="1级标题"/>
    <w:basedOn w:val="12"/>
    <w:qFormat/>
    <w:pPr>
      <w:keepNext w:val="0"/>
      <w:keepLines w:val="0"/>
      <w:textAlignment w:val="auto"/>
    </w:pPr>
    <w:rPr>
      <w:rFonts w:ascii="黑体"/>
      <w:sz w:val="30"/>
      <w:szCs w:val="30"/>
    </w:rPr>
  </w:style>
  <w:style w:type="paragraph" w:customStyle="1" w:styleId="afffffffffffffffffffffffffffffff1">
    <w:name w:val="右侧"/>
    <w:uiPriority w:val="99"/>
    <w:semiHidden/>
    <w:qFormat/>
    <w:pPr>
      <w:spacing w:line="280" w:lineRule="exact"/>
      <w:jc w:val="right"/>
    </w:pPr>
    <w:rPr>
      <w:rFonts w:ascii="Batang" w:eastAsia="宋体" w:hAnsi="Batang" w:cs="Times New Roman"/>
      <w:color w:val="000000"/>
      <w:sz w:val="18"/>
    </w:rPr>
  </w:style>
  <w:style w:type="paragraph" w:customStyle="1" w:styleId="afffffffffffffffffffffffffffffff2">
    <w:name w:val="表格两端对齐"/>
    <w:basedOn w:val="afffffffffffffffffffff9"/>
    <w:qFormat/>
    <w:pPr>
      <w:spacing w:line="360" w:lineRule="auto"/>
    </w:pPr>
  </w:style>
  <w:style w:type="paragraph" w:customStyle="1" w:styleId="afffffffffffffffffffffffffffffff3">
    <w:name w:val="课题申报正文"/>
    <w:basedOn w:val="a2"/>
    <w:uiPriority w:val="99"/>
    <w:qFormat/>
    <w:pPr>
      <w:spacing w:line="400" w:lineRule="exact"/>
      <w:ind w:right="57" w:firstLineChars="200" w:firstLine="200"/>
      <w:jc w:val="both"/>
    </w:pPr>
    <w:rPr>
      <w:sz w:val="24"/>
    </w:rPr>
  </w:style>
  <w:style w:type="paragraph" w:customStyle="1" w:styleId="4717824">
    <w:name w:val="样式 宋体 四号 悬挂缩进: 4.71 字符 段前: 7.8 磅 行距: 固定值 24 磅"/>
    <w:basedOn w:val="a2"/>
    <w:uiPriority w:val="99"/>
    <w:qFormat/>
    <w:pPr>
      <w:spacing w:before="156" w:line="480" w:lineRule="exact"/>
      <w:ind w:leftChars="240" w:left="1823" w:hangingChars="471" w:hanging="1319"/>
      <w:jc w:val="both"/>
    </w:pPr>
    <w:rPr>
      <w:rFonts w:ascii="宋体" w:cs="宋体"/>
      <w:sz w:val="24"/>
    </w:rPr>
  </w:style>
  <w:style w:type="paragraph" w:customStyle="1" w:styleId="unnamed1">
    <w:name w:val="unnamed1"/>
    <w:basedOn w:val="a2"/>
    <w:uiPriority w:val="99"/>
    <w:qFormat/>
    <w:pPr>
      <w:snapToGrid w:val="0"/>
      <w:spacing w:before="100" w:beforeAutospacing="1" w:after="100" w:afterAutospacing="1" w:line="360" w:lineRule="auto"/>
      <w:ind w:firstLineChars="200" w:firstLine="200"/>
    </w:pPr>
    <w:rPr>
      <w:rFonts w:ascii="宋体" w:hAnsi="宋体"/>
      <w:sz w:val="18"/>
      <w:szCs w:val="18"/>
    </w:rPr>
  </w:style>
  <w:style w:type="paragraph" w:customStyle="1" w:styleId="book111">
    <w:name w:val="book1_1_1"/>
    <w:basedOn w:val="32"/>
    <w:qFormat/>
    <w:pPr>
      <w:keepNext w:val="0"/>
      <w:tabs>
        <w:tab w:val="left" w:pos="1050"/>
        <w:tab w:val="left" w:pos="1770"/>
      </w:tabs>
      <w:spacing w:beforeLines="50" w:before="156" w:after="50" w:line="400" w:lineRule="exact"/>
      <w:ind w:left="330"/>
      <w:jc w:val="both"/>
    </w:pPr>
    <w:rPr>
      <w:rFonts w:ascii="Times New Roman" w:eastAsia="宋体"/>
      <w:b w:val="0"/>
      <w:sz w:val="24"/>
    </w:rPr>
  </w:style>
  <w:style w:type="paragraph" w:customStyle="1" w:styleId="33CharChar111Section025025">
    <w:name w:val="样式 标题 3标题 3 Char Char条标题1.1.1Section + 段前: 0.25 行 段后: 0.25 行"/>
    <w:basedOn w:val="32"/>
    <w:next w:val="aff9"/>
    <w:uiPriority w:val="99"/>
    <w:qFormat/>
    <w:pPr>
      <w:keepNext w:val="0"/>
      <w:keepLines w:val="0"/>
      <w:tabs>
        <w:tab w:val="left" w:pos="1260"/>
      </w:tabs>
      <w:snapToGrid w:val="0"/>
      <w:spacing w:before="95" w:after="95" w:line="540" w:lineRule="atLeast"/>
      <w:ind w:left="1260" w:hanging="420"/>
      <w:jc w:val="both"/>
    </w:pPr>
    <w:rPr>
      <w:rFonts w:ascii="Times New Roman" w:eastAsia="宋体" w:cs="宋体"/>
      <w:sz w:val="28"/>
      <w:szCs w:val="20"/>
    </w:rPr>
  </w:style>
  <w:style w:type="paragraph" w:customStyle="1" w:styleId="figure1">
    <w:name w:val="figure1"/>
    <w:basedOn w:val="a2"/>
    <w:uiPriority w:val="99"/>
    <w:qFormat/>
    <w:pPr>
      <w:spacing w:line="320" w:lineRule="atLeast"/>
      <w:ind w:firstLineChars="200" w:firstLine="200"/>
    </w:pPr>
    <w:rPr>
      <w:snapToGrid w:val="0"/>
      <w:spacing w:val="-20"/>
      <w:sz w:val="24"/>
    </w:rPr>
  </w:style>
  <w:style w:type="paragraph" w:customStyle="1" w:styleId="CharCharChar1CharCharCharCharCharCharCharCharCharCharCharCharChar4">
    <w:name w:val="Char Char Char1 Char Char Char Char Char Char Char Char Char Char Char Char Char4"/>
    <w:basedOn w:val="a2"/>
    <w:uiPriority w:val="99"/>
    <w:qFormat/>
    <w:pPr>
      <w:jc w:val="both"/>
    </w:pPr>
    <w:rPr>
      <w:sz w:val="24"/>
    </w:rPr>
  </w:style>
  <w:style w:type="paragraph" w:customStyle="1" w:styleId="afffffffffffffffffffffffffffffff4">
    <w:name w:val="表、图名宋旭峰"/>
    <w:basedOn w:val="a2"/>
    <w:uiPriority w:val="99"/>
    <w:qFormat/>
    <w:pPr>
      <w:spacing w:beforeLines="50" w:before="156" w:line="360" w:lineRule="auto"/>
      <w:jc w:val="center"/>
    </w:pPr>
    <w:rPr>
      <w:rFonts w:ascii="宋体" w:hAnsi="宋体"/>
      <w:bCs/>
      <w:snapToGrid w:val="0"/>
      <w:spacing w:val="-12"/>
      <w:sz w:val="24"/>
    </w:rPr>
  </w:style>
  <w:style w:type="paragraph" w:customStyle="1" w:styleId="0991">
    <w:name w:val="样式 正文文字 + 首行缩进:  0.99 厘米"/>
    <w:basedOn w:val="af4"/>
    <w:uiPriority w:val="99"/>
    <w:qFormat/>
    <w:pPr>
      <w:spacing w:after="0" w:line="400" w:lineRule="exact"/>
      <w:jc w:val="both"/>
    </w:pPr>
    <w:rPr>
      <w:rFonts w:eastAsia="楷体_GB2312"/>
      <w:kern w:val="0"/>
      <w:szCs w:val="28"/>
    </w:rPr>
  </w:style>
  <w:style w:type="paragraph" w:customStyle="1" w:styleId="afffffffffffffffffffffffffffffff5">
    <w:name w:val="样式 正文文字 +"/>
    <w:basedOn w:val="af4"/>
    <w:uiPriority w:val="99"/>
    <w:qFormat/>
    <w:pPr>
      <w:spacing w:after="60" w:line="264" w:lineRule="auto"/>
      <w:ind w:firstLineChars="110" w:firstLine="110"/>
      <w:jc w:val="both"/>
      <w:textAlignment w:val="baseline"/>
    </w:pPr>
    <w:rPr>
      <w:kern w:val="0"/>
      <w:sz w:val="24"/>
    </w:rPr>
  </w:style>
  <w:style w:type="paragraph" w:customStyle="1" w:styleId="2ffffff">
    <w:name w:val="表头2"/>
    <w:basedOn w:val="afffffffffffffffff3"/>
  </w:style>
  <w:style w:type="paragraph" w:customStyle="1" w:styleId="CM65">
    <w:name w:val="CM65"/>
    <w:basedOn w:val="Default"/>
    <w:next w:val="Default"/>
    <w:pPr>
      <w:spacing w:beforeLines="0" w:before="0" w:afterLines="0" w:after="0" w:line="500" w:lineRule="atLeast"/>
      <w:ind w:firstLineChars="0" w:firstLine="0"/>
      <w:jc w:val="both"/>
    </w:pPr>
    <w:rPr>
      <w:rFonts w:ascii="黑体" w:eastAsia="黑体" w:cs="Times New Roman"/>
      <w:color w:val="auto"/>
    </w:rPr>
  </w:style>
  <w:style w:type="paragraph" w:customStyle="1" w:styleId="bt20">
    <w:name w:val="bt2"/>
    <w:next w:val="1ffffffc"/>
    <w:uiPriority w:val="99"/>
    <w:qFormat/>
    <w:pPr>
      <w:adjustRightInd w:val="0"/>
      <w:snapToGrid w:val="0"/>
      <w:spacing w:line="360" w:lineRule="auto"/>
    </w:pPr>
    <w:rPr>
      <w:rFonts w:ascii="Times New Roman" w:eastAsia="宋体" w:hAnsi="Times New Roman" w:cs="Times New Roman"/>
      <w:b/>
      <w:kern w:val="2"/>
      <w:sz w:val="32"/>
    </w:rPr>
  </w:style>
  <w:style w:type="paragraph" w:customStyle="1" w:styleId="afffffffffffffffffffffffffffffff6">
    <w:name w:val="表蕊左对齐"/>
    <w:qFormat/>
    <w:pPr>
      <w:widowControl w:val="0"/>
      <w:adjustRightInd w:val="0"/>
      <w:spacing w:beforeLines="50" w:before="50" w:afterLines="50" w:after="50" w:line="320" w:lineRule="exact"/>
      <w:ind w:firstLineChars="40" w:firstLine="40"/>
      <w:jc w:val="both"/>
      <w:textAlignment w:val="baseline"/>
    </w:pPr>
    <w:rPr>
      <w:rFonts w:ascii="Times New Roman" w:eastAsia="宋体" w:hAnsi="Times New Roman" w:cs="Times New Roman"/>
      <w:spacing w:val="8"/>
      <w:sz w:val="21"/>
      <w:szCs w:val="28"/>
    </w:rPr>
  </w:style>
  <w:style w:type="paragraph" w:customStyle="1" w:styleId="CharCharChar1CharCharCharChar1">
    <w:name w:val="Char Char Char1 Char Char Char Char1"/>
    <w:basedOn w:val="a2"/>
    <w:uiPriority w:val="99"/>
    <w:qFormat/>
    <w:pPr>
      <w:spacing w:line="360" w:lineRule="auto"/>
      <w:jc w:val="both"/>
    </w:pPr>
  </w:style>
  <w:style w:type="paragraph" w:customStyle="1" w:styleId="CM108">
    <w:name w:val="CM108"/>
    <w:basedOn w:val="a2"/>
    <w:next w:val="a2"/>
    <w:qFormat/>
    <w:pPr>
      <w:spacing w:after="55"/>
    </w:pPr>
    <w:rPr>
      <w:sz w:val="24"/>
    </w:rPr>
  </w:style>
  <w:style w:type="paragraph" w:customStyle="1" w:styleId="2ffffff0">
    <w:name w:val="图表2"/>
    <w:basedOn w:val="a2"/>
    <w:uiPriority w:val="99"/>
    <w:qFormat/>
    <w:pPr>
      <w:overflowPunct w:val="0"/>
      <w:spacing w:after="60"/>
      <w:jc w:val="center"/>
      <w:textAlignment w:val="baseline"/>
    </w:pPr>
    <w:rPr>
      <w:rFonts w:ascii="宋体"/>
      <w:kern w:val="28"/>
      <w:sz w:val="20"/>
    </w:rPr>
  </w:style>
  <w:style w:type="paragraph" w:customStyle="1" w:styleId="p18">
    <w:name w:val="p18"/>
    <w:basedOn w:val="a2"/>
    <w:qFormat/>
    <w:pPr>
      <w:widowControl/>
      <w:snapToGrid w:val="0"/>
      <w:spacing w:line="500" w:lineRule="atLeast"/>
    </w:pPr>
    <w:rPr>
      <w:rFonts w:ascii="宋体" w:hAnsi="宋体" w:cs="宋体"/>
      <w:color w:val="FF0000"/>
      <w:szCs w:val="28"/>
    </w:rPr>
  </w:style>
  <w:style w:type="paragraph" w:customStyle="1" w:styleId="22a">
    <w:name w:val="样式 小四 行距: 固定值 22 磅"/>
    <w:basedOn w:val="a2"/>
    <w:uiPriority w:val="99"/>
    <w:qFormat/>
    <w:pPr>
      <w:spacing w:line="440" w:lineRule="exact"/>
      <w:ind w:firstLineChars="200" w:firstLine="480"/>
      <w:jc w:val="both"/>
    </w:pPr>
    <w:rPr>
      <w:rFonts w:cs="宋体"/>
    </w:rPr>
  </w:style>
  <w:style w:type="paragraph" w:customStyle="1" w:styleId="CharCharCharCharCharCharCharCharChar1CharCharCharCharCharChar2">
    <w:name w:val="Char Char Char Char Char Char Char Char Char1 Char Char Char Char Char Char2"/>
    <w:basedOn w:val="a2"/>
    <w:qFormat/>
    <w:rPr>
      <w:sz w:val="24"/>
    </w:rPr>
  </w:style>
  <w:style w:type="paragraph" w:customStyle="1" w:styleId="1716">
    <w:name w:val="样式 首行缩进:  1.71 字符6"/>
    <w:basedOn w:val="a2"/>
    <w:uiPriority w:val="99"/>
    <w:qFormat/>
    <w:pPr>
      <w:spacing w:line="360" w:lineRule="auto"/>
      <w:ind w:rightChars="12" w:right="25" w:firstLineChars="225" w:firstLine="540"/>
      <w:jc w:val="both"/>
    </w:pPr>
    <w:rPr>
      <w:sz w:val="24"/>
    </w:rPr>
  </w:style>
  <w:style w:type="paragraph" w:customStyle="1" w:styleId="326">
    <w:name w:val="样式 标题 3 + 首行缩进:  2 字符"/>
    <w:basedOn w:val="32"/>
    <w:qFormat/>
    <w:pPr>
      <w:spacing w:before="30" w:after="30" w:line="500" w:lineRule="exact"/>
      <w:jc w:val="both"/>
    </w:pPr>
    <w:rPr>
      <w:rFonts w:ascii="Times New Roman" w:eastAsia="宋体" w:cs="宋体"/>
      <w:sz w:val="30"/>
      <w:szCs w:val="20"/>
    </w:rPr>
  </w:style>
  <w:style w:type="paragraph" w:customStyle="1" w:styleId="Char2CharChar4">
    <w:name w:val="Char2 Char Char4"/>
    <w:basedOn w:val="a2"/>
    <w:pPr>
      <w:jc w:val="both"/>
    </w:pPr>
    <w:rPr>
      <w:sz w:val="24"/>
    </w:rPr>
  </w:style>
  <w:style w:type="paragraph" w:customStyle="1" w:styleId="Style12">
    <w:name w:val="_Style 1"/>
    <w:basedOn w:val="a2"/>
    <w:next w:val="a3"/>
    <w:uiPriority w:val="99"/>
    <w:qFormat/>
    <w:pPr>
      <w:spacing w:line="288" w:lineRule="auto"/>
      <w:ind w:firstLine="480"/>
      <w:jc w:val="both"/>
      <w:textAlignment w:val="baseline"/>
    </w:pPr>
    <w:rPr>
      <w:rFonts w:ascii="宋体" w:hAnsi="宋体" w:hint="eastAsia"/>
      <w:sz w:val="24"/>
    </w:rPr>
  </w:style>
  <w:style w:type="paragraph" w:customStyle="1" w:styleId="Char2CharChar1CharCharCharChar3">
    <w:name w:val="Char2 Char Char1 Char Char Char Char3"/>
    <w:basedOn w:val="a2"/>
    <w:uiPriority w:val="99"/>
    <w:qFormat/>
    <w:pPr>
      <w:jc w:val="both"/>
    </w:pPr>
  </w:style>
  <w:style w:type="paragraph" w:customStyle="1" w:styleId="CharCharCharCharCharCharChar42">
    <w:name w:val="样式 样式 正文缩进正文（首行缩进两字） Char Char Char Char Char Char Char表格标题标题4文...."/>
    <w:basedOn w:val="CharCharCharCharCharCharChar40"/>
    <w:qFormat/>
  </w:style>
  <w:style w:type="paragraph" w:customStyle="1" w:styleId="2114">
    <w:name w:val="样式 标题 2 + 宋体 小四 非加粗 段前: 1 行 段后: 1 行"/>
    <w:basedOn w:val="22"/>
    <w:uiPriority w:val="99"/>
    <w:qFormat/>
    <w:pPr>
      <w:snapToGrid w:val="0"/>
      <w:spacing w:before="0" w:beforeAutospacing="1" w:after="0" w:line="336" w:lineRule="auto"/>
      <w:ind w:left="446"/>
      <w:jc w:val="both"/>
    </w:pPr>
    <w:rPr>
      <w:rFonts w:ascii="宋体" w:eastAsia="宋体" w:hAnsi="宋体" w:cs="Times New Roman"/>
      <w:b w:val="0"/>
      <w:bCs w:val="0"/>
      <w:sz w:val="24"/>
      <w:szCs w:val="24"/>
    </w:rPr>
  </w:style>
  <w:style w:type="paragraph" w:customStyle="1" w:styleId="CharCharCharCharCharCharCharChar1CharCharCharChar2">
    <w:name w:val="Char Char Char Char Char Char Char Char1 Char Char Char Char2"/>
    <w:basedOn w:val="a2"/>
    <w:pPr>
      <w:jc w:val="both"/>
    </w:pPr>
  </w:style>
  <w:style w:type="paragraph" w:customStyle="1" w:styleId="3121">
    <w:name w:val="正文文本缩进 312"/>
    <w:basedOn w:val="a2"/>
    <w:uiPriority w:val="99"/>
    <w:qFormat/>
    <w:pPr>
      <w:spacing w:line="360" w:lineRule="auto"/>
      <w:ind w:firstLine="480"/>
      <w:jc w:val="both"/>
    </w:pPr>
    <w:rPr>
      <w:rFonts w:ascii="华文仿宋" w:eastAsia="华文仿宋" w:hAnsi="华文仿宋"/>
      <w:color w:val="000000"/>
      <w:sz w:val="24"/>
    </w:rPr>
  </w:style>
  <w:style w:type="paragraph" w:customStyle="1" w:styleId="12fa">
    <w:name w:val="样式 表格1 + 首行缩进:  2 字符"/>
    <w:basedOn w:val="1ffd"/>
    <w:uiPriority w:val="99"/>
    <w:qFormat/>
    <w:pPr>
      <w:spacing w:line="240" w:lineRule="auto"/>
      <w:textAlignment w:val="center"/>
    </w:pPr>
    <w:rPr>
      <w:rFonts w:ascii="宋体" w:cs="宋体"/>
    </w:rPr>
  </w:style>
  <w:style w:type="paragraph" w:customStyle="1" w:styleId="-016">
    <w:name w:val="样式 左侧:  -0.16 厘米"/>
    <w:basedOn w:val="a2"/>
    <w:uiPriority w:val="99"/>
    <w:qFormat/>
    <w:pPr>
      <w:ind w:left="-90"/>
      <w:jc w:val="both"/>
    </w:pPr>
    <w:rPr>
      <w:rFonts w:ascii="宋体" w:hAnsi="宋体" w:cs="宋体"/>
      <w:snapToGrid w:val="0"/>
      <w:sz w:val="24"/>
    </w:rPr>
  </w:style>
  <w:style w:type="paragraph" w:customStyle="1" w:styleId="style8">
    <w:name w:val="style8"/>
    <w:basedOn w:val="a2"/>
    <w:uiPriority w:val="99"/>
    <w:qFormat/>
    <w:rPr>
      <w:rFonts w:ascii="宋体" w:hAnsi="宋体" w:cs="宋体"/>
      <w:sz w:val="24"/>
    </w:rPr>
  </w:style>
  <w:style w:type="paragraph" w:customStyle="1" w:styleId="Char1CharCharCharCharCharCharCharCharChar1CharCharCharCharCharChar3">
    <w:name w:val="Char1 Char Char Char Char Char Char Char Char Char1 Char Char Char Char Char Char3"/>
    <w:basedOn w:val="a2"/>
    <w:uiPriority w:val="99"/>
    <w:qFormat/>
    <w:pPr>
      <w:spacing w:before="100" w:beforeAutospacing="1" w:after="100" w:afterAutospacing="1"/>
      <w:ind w:firstLineChars="200" w:firstLine="200"/>
    </w:pPr>
    <w:rPr>
      <w:rFonts w:ascii="Verdana" w:eastAsia="仿宋_GB2312" w:hAnsi="Verdana"/>
      <w:sz w:val="20"/>
      <w:lang w:eastAsia="en-US"/>
    </w:rPr>
  </w:style>
  <w:style w:type="paragraph" w:customStyle="1" w:styleId="2ffffff1">
    <w:name w:val="样式 黑色 首行缩进:  2 字符"/>
    <w:basedOn w:val="a2"/>
    <w:uiPriority w:val="99"/>
    <w:qFormat/>
    <w:pPr>
      <w:spacing w:line="360" w:lineRule="exact"/>
      <w:ind w:firstLineChars="200" w:firstLine="200"/>
      <w:jc w:val="both"/>
    </w:pPr>
    <w:rPr>
      <w:rFonts w:cs="宋体"/>
      <w:snapToGrid w:val="0"/>
      <w:color w:val="000000"/>
      <w:sz w:val="24"/>
    </w:rPr>
  </w:style>
  <w:style w:type="paragraph" w:customStyle="1" w:styleId="afffffffffffffffffffffffffffffff7">
    <w:name w:val="我的正文首行缩进"/>
    <w:basedOn w:val="2a"/>
    <w:uiPriority w:val="99"/>
    <w:qFormat/>
    <w:pPr>
      <w:spacing w:line="360" w:lineRule="auto"/>
      <w:ind w:leftChars="0" w:left="0" w:firstLineChars="0" w:firstLine="0"/>
      <w:jc w:val="both"/>
    </w:pPr>
    <w:rPr>
      <w:b/>
      <w:sz w:val="24"/>
    </w:rPr>
  </w:style>
  <w:style w:type="paragraph" w:customStyle="1" w:styleId="Achievement">
    <w:name w:val="Achievement"/>
    <w:basedOn w:val="a2"/>
    <w:pPr>
      <w:numPr>
        <w:numId w:val="19"/>
      </w:numPr>
      <w:autoSpaceDE/>
      <w:autoSpaceDN/>
      <w:adjustRightInd/>
      <w:spacing w:line="440" w:lineRule="exact"/>
      <w:jc w:val="both"/>
    </w:pPr>
  </w:style>
  <w:style w:type="paragraph" w:customStyle="1" w:styleId="21122CharH2h2122">
    <w:name w:val="样式 标题 2节标题 1.1标题2标题 2 Char节标题H2h2第一层条1二级 标题 2标题 2（修改）..."/>
    <w:basedOn w:val="22"/>
    <w:uiPriority w:val="99"/>
    <w:qFormat/>
    <w:pPr>
      <w:tabs>
        <w:tab w:val="left" w:pos="575"/>
      </w:tabs>
      <w:spacing w:beforeLines="50" w:before="156" w:afterLines="50" w:after="156" w:line="312" w:lineRule="auto"/>
      <w:jc w:val="both"/>
    </w:pPr>
    <w:rPr>
      <w:rFonts w:ascii="Arial" w:eastAsia="仿宋_GB2312" w:hAnsi="Arial" w:cs="宋体"/>
      <w:sz w:val="24"/>
      <w:szCs w:val="30"/>
    </w:rPr>
  </w:style>
  <w:style w:type="paragraph" w:customStyle="1" w:styleId="afffffffffffffffffffffffffffffff8">
    <w:name w:val="框图"/>
    <w:basedOn w:val="a2"/>
    <w:qFormat/>
    <w:pPr>
      <w:snapToGrid w:val="0"/>
      <w:ind w:leftChars="-38" w:left="2" w:rightChars="-38" w:right="-106" w:hangingChars="54" w:hanging="108"/>
      <w:jc w:val="center"/>
    </w:pPr>
    <w:rPr>
      <w:rFonts w:ascii="宋体" w:hAnsi="宋体"/>
      <w:sz w:val="20"/>
    </w:rPr>
  </w:style>
  <w:style w:type="paragraph" w:customStyle="1" w:styleId="4fc">
    <w:name w:val="日期4"/>
    <w:basedOn w:val="a2"/>
    <w:next w:val="a2"/>
    <w:uiPriority w:val="99"/>
    <w:qFormat/>
    <w:pPr>
      <w:jc w:val="both"/>
      <w:textAlignment w:val="baseline"/>
    </w:pPr>
  </w:style>
  <w:style w:type="paragraph" w:customStyle="1" w:styleId="AZ">
    <w:name w:val="AZ"/>
    <w:basedOn w:val="a2"/>
    <w:uiPriority w:val="99"/>
    <w:qFormat/>
    <w:pPr>
      <w:tabs>
        <w:tab w:val="left" w:pos="851"/>
        <w:tab w:val="left" w:pos="900"/>
      </w:tabs>
      <w:spacing w:before="60" w:after="120"/>
      <w:ind w:left="900" w:hanging="420"/>
    </w:pPr>
    <w:rPr>
      <w:rFonts w:hAnsi="Arial"/>
      <w:color w:val="000000"/>
      <w:sz w:val="22"/>
      <w:szCs w:val="22"/>
      <w:lang w:val="de-DE" w:eastAsia="de-DE"/>
    </w:rPr>
  </w:style>
  <w:style w:type="paragraph" w:customStyle="1" w:styleId="11fe">
    <w:name w:val="列表11"/>
    <w:basedOn w:val="a2"/>
    <w:uiPriority w:val="99"/>
    <w:qFormat/>
    <w:pPr>
      <w:spacing w:line="360" w:lineRule="exact"/>
      <w:jc w:val="center"/>
    </w:pPr>
    <w:rPr>
      <w:rFonts w:eastAsia="仿宋_GB2312"/>
      <w:sz w:val="24"/>
    </w:rPr>
  </w:style>
  <w:style w:type="paragraph" w:customStyle="1" w:styleId="011">
    <w:name w:val="样式_图表_01"/>
    <w:uiPriority w:val="99"/>
    <w:qFormat/>
    <w:pPr>
      <w:keepNext/>
      <w:widowControl w:val="0"/>
      <w:spacing w:beforeLines="50" w:before="120" w:afterLines="100" w:after="240" w:line="240" w:lineRule="atLeast"/>
      <w:jc w:val="center"/>
    </w:pPr>
    <w:rPr>
      <w:rFonts w:ascii="Garamond" w:eastAsia="楷体_GB2312" w:hAnsi="Garamond" w:cs="Times New Roman"/>
      <w:sz w:val="24"/>
      <w:szCs w:val="24"/>
    </w:rPr>
  </w:style>
  <w:style w:type="paragraph" w:customStyle="1" w:styleId="afffffffffffffffffffffffffffffff9">
    <w:name w:val="样式 纯文本 + (符号) 宋体 居中"/>
    <w:basedOn w:val="af8"/>
    <w:uiPriority w:val="99"/>
    <w:qFormat/>
    <w:pPr>
      <w:jc w:val="center"/>
    </w:pPr>
    <w:rPr>
      <w:rFonts w:hAnsi="宋体" w:cs="宋体"/>
      <w:kern w:val="0"/>
      <w:sz w:val="21"/>
    </w:rPr>
  </w:style>
  <w:style w:type="paragraph" w:customStyle="1" w:styleId="CharCharChar1CharCharCharCharCharCharCharCharCharCharCharCharChar2">
    <w:name w:val="Char Char Char1 Char Char Char Char Char Char Char Char Char Char Char Char Char2"/>
    <w:basedOn w:val="a2"/>
    <w:uiPriority w:val="99"/>
    <w:qFormat/>
    <w:pPr>
      <w:jc w:val="both"/>
    </w:pPr>
    <w:rPr>
      <w:rFonts w:ascii="Times New Roman"/>
    </w:rPr>
  </w:style>
  <w:style w:type="paragraph" w:customStyle="1" w:styleId="5f8">
    <w:name w:val="表题5"/>
    <w:basedOn w:val="a2"/>
    <w:uiPriority w:val="99"/>
    <w:qFormat/>
    <w:pPr>
      <w:snapToGrid w:val="0"/>
      <w:spacing w:before="180" w:after="60"/>
      <w:jc w:val="center"/>
    </w:pPr>
    <w:rPr>
      <w:b/>
    </w:rPr>
  </w:style>
  <w:style w:type="paragraph" w:customStyle="1" w:styleId="3ffff5">
    <w:name w:val="图表3"/>
    <w:basedOn w:val="a2"/>
    <w:uiPriority w:val="99"/>
    <w:qFormat/>
    <w:pPr>
      <w:overflowPunct w:val="0"/>
      <w:jc w:val="center"/>
      <w:textAlignment w:val="baseline"/>
    </w:pPr>
    <w:rPr>
      <w:rFonts w:ascii="宋体"/>
      <w:kern w:val="28"/>
      <w:sz w:val="20"/>
    </w:rPr>
  </w:style>
  <w:style w:type="paragraph" w:customStyle="1" w:styleId="4CharCharChar1">
    <w:name w:val="字元4 Char Char Char 字元 字元 字元1"/>
    <w:basedOn w:val="a2"/>
    <w:uiPriority w:val="99"/>
    <w:qFormat/>
    <w:pPr>
      <w:spacing w:line="400" w:lineRule="exact"/>
      <w:ind w:firstLine="601"/>
      <w:jc w:val="both"/>
      <w:textAlignment w:val="baseline"/>
    </w:pPr>
    <w:rPr>
      <w:rFonts w:ascii="Times New Roman"/>
      <w:spacing w:val="8"/>
    </w:rPr>
  </w:style>
  <w:style w:type="paragraph" w:customStyle="1" w:styleId="c3">
    <w:name w:val="c新标题3"/>
    <w:basedOn w:val="32"/>
    <w:uiPriority w:val="99"/>
    <w:qFormat/>
    <w:pPr>
      <w:spacing w:line="240" w:lineRule="exact"/>
    </w:pPr>
    <w:rPr>
      <w:rFonts w:ascii="Times New Roman" w:eastAsia="宋体"/>
      <w:b w:val="0"/>
      <w:sz w:val="24"/>
    </w:rPr>
  </w:style>
  <w:style w:type="paragraph" w:customStyle="1" w:styleId="HTML40">
    <w:name w:val="HTML 预设格式4"/>
    <w:basedOn w:val="a2"/>
    <w:uiPriority w:val="99"/>
    <w:qFormat/>
    <w:pPr>
      <w:jc w:val="both"/>
    </w:pPr>
    <w:rPr>
      <w:rFonts w:ascii="Courier New" w:hAnsi="Courier New"/>
      <w:sz w:val="20"/>
    </w:rPr>
  </w:style>
  <w:style w:type="paragraph" w:customStyle="1" w:styleId="2221">
    <w:name w:val="正文文本 222"/>
    <w:basedOn w:val="a2"/>
    <w:uiPriority w:val="99"/>
    <w:qFormat/>
    <w:pPr>
      <w:spacing w:line="460" w:lineRule="exact"/>
      <w:ind w:firstLine="510"/>
      <w:textAlignment w:val="baseline"/>
    </w:pPr>
  </w:style>
  <w:style w:type="paragraph" w:customStyle="1" w:styleId="2015">
    <w:name w:val="样式 正文文本缩进 2 + 左侧:  0 厘米 行距: 1.5 倍行距"/>
    <w:basedOn w:val="25"/>
    <w:qFormat/>
    <w:pPr>
      <w:spacing w:after="0" w:line="500" w:lineRule="exact"/>
      <w:ind w:leftChars="0" w:left="0" w:firstLineChars="200" w:firstLine="560"/>
    </w:pPr>
    <w:rPr>
      <w:rFonts w:ascii="楷体_GB2312" w:eastAsia="楷体_GB2312" w:hAnsi="宋体" w:cs="宋体"/>
      <w:kern w:val="0"/>
      <w:sz w:val="28"/>
      <w:szCs w:val="28"/>
    </w:rPr>
  </w:style>
  <w:style w:type="paragraph" w:customStyle="1" w:styleId="afffffffffffffffffffffffffffffffa">
    <w:name w:val="引言"/>
    <w:basedOn w:val="a2"/>
    <w:next w:val="a2"/>
    <w:uiPriority w:val="99"/>
    <w:qFormat/>
    <w:pPr>
      <w:snapToGrid w:val="0"/>
      <w:jc w:val="center"/>
    </w:pPr>
    <w:rPr>
      <w:rFonts w:ascii="仿宋_GB2312" w:eastAsia="仿宋_GB2312"/>
      <w:color w:val="000000"/>
      <w:sz w:val="24"/>
    </w:rPr>
  </w:style>
  <w:style w:type="paragraph" w:customStyle="1" w:styleId="xl739">
    <w:name w:val="xl739"/>
    <w:basedOn w:val="a2"/>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Courier New" w:eastAsia="Arial Unicode MS" w:hAnsi="Courier New"/>
      <w:sz w:val="24"/>
    </w:rPr>
  </w:style>
  <w:style w:type="paragraph" w:customStyle="1" w:styleId="xl64">
    <w:name w:val="xl64"/>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4"/>
    </w:rPr>
  </w:style>
  <w:style w:type="paragraph" w:customStyle="1" w:styleId="22b">
    <w:name w:val="样式 样式 首行缩进:  2 字符 + 首行缩进:  2 字符"/>
    <w:basedOn w:val="a2"/>
    <w:uiPriority w:val="99"/>
    <w:qFormat/>
    <w:pPr>
      <w:spacing w:line="440" w:lineRule="exact"/>
      <w:ind w:firstLineChars="200" w:firstLine="560"/>
      <w:jc w:val="both"/>
    </w:pPr>
  </w:style>
  <w:style w:type="paragraph" w:customStyle="1" w:styleId="86">
    <w:name w:val="8"/>
    <w:basedOn w:val="a2"/>
    <w:next w:val="39"/>
    <w:qFormat/>
    <w:pPr>
      <w:spacing w:line="500" w:lineRule="exact"/>
      <w:ind w:firstLineChars="200" w:firstLine="560"/>
      <w:jc w:val="both"/>
    </w:pPr>
    <w:rPr>
      <w:rFonts w:ascii="仿宋_GB2312" w:eastAsia="仿宋_GB2312"/>
    </w:rPr>
  </w:style>
  <w:style w:type="paragraph" w:customStyle="1" w:styleId="2ffffff2">
    <w:name w:val="表格 2"/>
    <w:basedOn w:val="a2"/>
    <w:uiPriority w:val="99"/>
    <w:qFormat/>
    <w:pPr>
      <w:jc w:val="center"/>
      <w:textAlignment w:val="baseline"/>
    </w:pPr>
    <w:rPr>
      <w:sz w:val="24"/>
    </w:rPr>
  </w:style>
  <w:style w:type="paragraph" w:customStyle="1" w:styleId="2ffffff3">
    <w:name w:val="项目概要标题2"/>
    <w:basedOn w:val="a2"/>
    <w:uiPriority w:val="99"/>
    <w:qFormat/>
    <w:pPr>
      <w:tabs>
        <w:tab w:val="left" w:pos="360"/>
      </w:tabs>
      <w:spacing w:after="156" w:line="360" w:lineRule="atLeast"/>
      <w:jc w:val="both"/>
    </w:pPr>
    <w:rPr>
      <w:rFonts w:hAnsi="Arial"/>
      <w:sz w:val="24"/>
    </w:rPr>
  </w:style>
  <w:style w:type="paragraph" w:customStyle="1" w:styleId="Style200">
    <w:name w:val="_Style 20"/>
    <w:basedOn w:val="a2"/>
    <w:next w:val="af5"/>
    <w:uiPriority w:val="99"/>
    <w:qFormat/>
    <w:pPr>
      <w:ind w:firstLineChars="200" w:firstLine="200"/>
      <w:jc w:val="both"/>
    </w:pPr>
  </w:style>
  <w:style w:type="paragraph" w:customStyle="1" w:styleId="ParaCharCharChar1CharCharCharCharCharCharCharCharCharChar">
    <w:name w:val="默认段落字体 Para Char Char Char1 Char Char Char Char Char Char Char Char Char Char"/>
    <w:basedOn w:val="a2"/>
    <w:qFormat/>
    <w:rPr>
      <w:sz w:val="24"/>
    </w:rPr>
  </w:style>
  <w:style w:type="paragraph" w:customStyle="1" w:styleId="1CharCharCharCharCharCharCharCharCharCharCharCharCharCharCharCharCharChar1Char">
    <w:name w:val="1 Char Char Char Char Char Char Char Char Char Char Char Char Char Char Char Char Char Char1 Char"/>
    <w:basedOn w:val="a2"/>
    <w:qFormat/>
  </w:style>
  <w:style w:type="paragraph" w:customStyle="1" w:styleId="GB2312GB23120515">
    <w:name w:val="样式 样式 (西文) 仿宋_GB2312 (中文) 仿宋_GB2312 黑色 段前: 0.5 行 行距: 1.5 倍行距 首....."/>
    <w:basedOn w:val="a2"/>
    <w:uiPriority w:val="99"/>
    <w:qFormat/>
    <w:pPr>
      <w:snapToGrid w:val="0"/>
      <w:spacing w:afterLines="100" w:after="100" w:line="300" w:lineRule="auto"/>
      <w:ind w:firstLineChars="200" w:firstLine="200"/>
      <w:jc w:val="both"/>
    </w:pPr>
    <w:rPr>
      <w:rFonts w:eastAsia="仿宋_GB2312" w:cs="宋体"/>
      <w:color w:val="000000"/>
    </w:rPr>
  </w:style>
  <w:style w:type="paragraph" w:customStyle="1" w:styleId="2ffffff4">
    <w:name w:val="样式 题注 + 首行缩进:  2 字符"/>
    <w:basedOn w:val="ac"/>
    <w:uiPriority w:val="99"/>
    <w:qFormat/>
    <w:pPr>
      <w:spacing w:before="152" w:after="160" w:line="500" w:lineRule="exact"/>
      <w:ind w:firstLineChars="200" w:firstLine="400"/>
      <w:jc w:val="center"/>
    </w:pPr>
    <w:rPr>
      <w:rFonts w:ascii="Arial" w:eastAsia="宋体" w:hAnsi="Arial" w:cs="宋体"/>
      <w:b/>
      <w:sz w:val="24"/>
      <w:szCs w:val="24"/>
    </w:rPr>
  </w:style>
  <w:style w:type="paragraph" w:customStyle="1" w:styleId="2h2MVA27818">
    <w:name w:val="样式 标题 2h2MVA2 + 段前: 7.8 磅 段后: 1.8 磅"/>
    <w:basedOn w:val="22"/>
    <w:uiPriority w:val="99"/>
    <w:qFormat/>
    <w:pPr>
      <w:keepNext w:val="0"/>
      <w:keepLines w:val="0"/>
      <w:tabs>
        <w:tab w:val="left" w:pos="575"/>
      </w:tabs>
      <w:spacing w:before="156" w:after="36" w:line="240" w:lineRule="auto"/>
      <w:ind w:left="575" w:hanging="576"/>
      <w:textAlignment w:val="baseline"/>
    </w:pPr>
    <w:rPr>
      <w:rFonts w:ascii="Times New Roman" w:eastAsia="黑体" w:hAnsi="Times New Roman" w:cs="宋体"/>
      <w:b w:val="0"/>
      <w:sz w:val="24"/>
      <w:szCs w:val="30"/>
    </w:rPr>
  </w:style>
  <w:style w:type="paragraph" w:customStyle="1" w:styleId="012">
    <w:name w:val="正文01"/>
    <w:basedOn w:val="a2"/>
    <w:qFormat/>
    <w:pPr>
      <w:snapToGrid w:val="0"/>
      <w:spacing w:before="60" w:line="460" w:lineRule="exact"/>
      <w:ind w:firstLineChars="200" w:firstLine="200"/>
      <w:jc w:val="both"/>
    </w:pPr>
    <w:rPr>
      <w:sz w:val="24"/>
    </w:rPr>
  </w:style>
  <w:style w:type="paragraph" w:customStyle="1" w:styleId="chang0">
    <w:name w:val="chang"/>
    <w:basedOn w:val="a2"/>
    <w:qFormat/>
    <w:pPr>
      <w:spacing w:line="400" w:lineRule="exact"/>
      <w:ind w:firstLineChars="200" w:firstLine="200"/>
    </w:pPr>
    <w:rPr>
      <w:rFonts w:cs="宋体"/>
      <w:sz w:val="24"/>
    </w:rPr>
  </w:style>
  <w:style w:type="paragraph" w:customStyle="1" w:styleId="pic-info">
    <w:name w:val="pic-info"/>
    <w:basedOn w:val="a2"/>
    <w:pPr>
      <w:widowControl/>
      <w:autoSpaceDE/>
      <w:autoSpaceDN/>
      <w:adjustRightInd/>
      <w:spacing w:before="100" w:beforeAutospacing="1" w:after="100" w:afterAutospacing="1"/>
    </w:pPr>
    <w:rPr>
      <w:rFonts w:ascii="宋体" w:hAnsi="宋体" w:cs="宋体"/>
    </w:rPr>
  </w:style>
  <w:style w:type="paragraph" w:customStyle="1" w:styleId="Char4CharCharCharCharChar4">
    <w:name w:val="Char4 Char Char Char Char Char4"/>
    <w:basedOn w:val="a2"/>
    <w:pPr>
      <w:jc w:val="both"/>
    </w:pPr>
    <w:rPr>
      <w:sz w:val="24"/>
    </w:rPr>
  </w:style>
  <w:style w:type="paragraph" w:customStyle="1" w:styleId="1ffffffffa">
    <w:name w:val="表格内容1"/>
    <w:basedOn w:val="a2"/>
    <w:qFormat/>
    <w:pPr>
      <w:snapToGrid w:val="0"/>
      <w:spacing w:beforeLines="15" w:before="46" w:afterLines="15" w:after="46" w:line="240" w:lineRule="exact"/>
      <w:jc w:val="center"/>
    </w:pPr>
    <w:rPr>
      <w:rFonts w:ascii="宋体" w:hAnsi="宋体"/>
      <w:snapToGrid w:val="0"/>
    </w:rPr>
  </w:style>
  <w:style w:type="paragraph" w:customStyle="1" w:styleId="Char1CharCharCharCharCharCharCharCharChar1CharCharCharCharCharChar1">
    <w:name w:val="Char1 Char Char Char Char Char Char Char Char Char1 Char Char Char Char Char Char1"/>
    <w:basedOn w:val="a2"/>
    <w:uiPriority w:val="99"/>
    <w:qFormat/>
    <w:pPr>
      <w:spacing w:before="100" w:beforeAutospacing="1" w:after="100" w:afterAutospacing="1"/>
      <w:ind w:firstLineChars="200" w:firstLine="200"/>
    </w:pPr>
    <w:rPr>
      <w:rFonts w:ascii="Verdana" w:eastAsia="仿宋_GB2312" w:hAnsi="Verdana"/>
      <w:sz w:val="20"/>
      <w:lang w:eastAsia="en-US"/>
    </w:rPr>
  </w:style>
  <w:style w:type="paragraph" w:customStyle="1" w:styleId="book1111">
    <w:name w:val="book1_1_1_1"/>
    <w:basedOn w:val="41"/>
    <w:qFormat/>
    <w:pPr>
      <w:keepNext w:val="0"/>
      <w:numPr>
        <w:ilvl w:val="3"/>
        <w:numId w:val="13"/>
      </w:numPr>
      <w:tabs>
        <w:tab w:val="clear" w:pos="2115"/>
        <w:tab w:val="left" w:pos="1487"/>
      </w:tabs>
      <w:spacing w:after="156" w:line="400" w:lineRule="exact"/>
      <w:ind w:leftChars="0" w:left="536" w:rightChars="0" w:right="0" w:firstLine="0"/>
    </w:pPr>
    <w:rPr>
      <w:rFonts w:ascii="宋体" w:eastAsia="宋体" w:hAnsi="宋体" w:cs="Arial"/>
      <w:sz w:val="24"/>
    </w:rPr>
  </w:style>
  <w:style w:type="paragraph" w:customStyle="1" w:styleId="2ffffff5">
    <w:name w:val="可研标题2"/>
    <w:basedOn w:val="22"/>
    <w:uiPriority w:val="99"/>
    <w:qFormat/>
    <w:pPr>
      <w:keepLines w:val="0"/>
      <w:spacing w:before="0" w:after="0" w:line="240" w:lineRule="auto"/>
    </w:pPr>
    <w:rPr>
      <w:rFonts w:ascii="仿宋_GB2312" w:eastAsia="仿宋_GB2312" w:hAnsi="宋体" w:cs="Times New Roman"/>
      <w:bCs w:val="0"/>
    </w:rPr>
  </w:style>
  <w:style w:type="paragraph" w:customStyle="1" w:styleId="1ffffffffb">
    <w:name w:val="正文 1"/>
    <w:basedOn w:val="a2"/>
    <w:pPr>
      <w:spacing w:line="440" w:lineRule="exact"/>
      <w:ind w:firstLine="482"/>
      <w:jc w:val="both"/>
    </w:pPr>
    <w:rPr>
      <w:rFonts w:ascii="Times New Roman" w:eastAsia="幼圆"/>
    </w:rPr>
  </w:style>
  <w:style w:type="paragraph" w:customStyle="1" w:styleId="123021">
    <w:name w:val="样式 文本123 + 段前: 0.2 行1"/>
    <w:basedOn w:val="1231"/>
    <w:uiPriority w:val="99"/>
    <w:qFormat/>
    <w:pPr>
      <w:tabs>
        <w:tab w:val="clear" w:pos="360"/>
        <w:tab w:val="clear" w:pos="3360"/>
        <w:tab w:val="left" w:pos="420"/>
      </w:tabs>
      <w:ind w:left="420" w:firstLine="510"/>
    </w:pPr>
  </w:style>
  <w:style w:type="paragraph" w:customStyle="1" w:styleId="1ffffffffc">
    <w:name w:val="表内容1"/>
    <w:basedOn w:val="a2"/>
    <w:uiPriority w:val="99"/>
    <w:qFormat/>
    <w:pPr>
      <w:tabs>
        <w:tab w:val="left" w:pos="480"/>
      </w:tabs>
      <w:spacing w:after="200" w:line="264" w:lineRule="auto"/>
      <w:jc w:val="center"/>
      <w:textAlignment w:val="bottom"/>
    </w:pPr>
    <w:rPr>
      <w:rFonts w:ascii="宋体" w:hAnsi="Calibri"/>
      <w:sz w:val="24"/>
      <w:lang w:eastAsia="en-US"/>
    </w:rPr>
  </w:style>
  <w:style w:type="paragraph" w:customStyle="1" w:styleId="CharCharCharCharCharCharCharCharChar1Char4">
    <w:name w:val="Char Char Char Char Char Char Char Char Char1 Char4"/>
    <w:basedOn w:val="a2"/>
    <w:qFormat/>
    <w:pPr>
      <w:jc w:val="both"/>
    </w:pPr>
    <w:rPr>
      <w:sz w:val="24"/>
    </w:rPr>
  </w:style>
  <w:style w:type="paragraph" w:customStyle="1" w:styleId="Char1CharCharCharCharChar3">
    <w:name w:val="Char1 Char Char Char Char Char3"/>
    <w:basedOn w:val="a2"/>
    <w:next w:val="a2"/>
    <w:uiPriority w:val="99"/>
    <w:qFormat/>
    <w:pPr>
      <w:spacing w:line="360" w:lineRule="auto"/>
      <w:ind w:firstLineChars="200" w:firstLine="200"/>
      <w:jc w:val="center"/>
    </w:pPr>
    <w:rPr>
      <w:rFonts w:eastAsia="黑体"/>
    </w:rPr>
  </w:style>
  <w:style w:type="paragraph" w:customStyle="1" w:styleId="afffffffffffffffffffffffffffffffb">
    <w:name w:val="图的标题"/>
    <w:basedOn w:val="a2"/>
    <w:qFormat/>
    <w:pPr>
      <w:spacing w:line="360" w:lineRule="auto"/>
      <w:jc w:val="center"/>
    </w:pPr>
    <w:rPr>
      <w:rFonts w:ascii="宋体" w:hAnsi="宋体"/>
      <w:bCs/>
      <w:sz w:val="24"/>
    </w:rPr>
  </w:style>
  <w:style w:type="paragraph" w:customStyle="1" w:styleId="xl86">
    <w:name w:val="xl86"/>
    <w:basedOn w:val="a2"/>
    <w:qFormat/>
    <w:pPr>
      <w:pBdr>
        <w:bottom w:val="single" w:sz="12" w:space="0" w:color="auto"/>
      </w:pBdr>
      <w:spacing w:before="100" w:beforeAutospacing="1" w:after="100" w:afterAutospacing="1"/>
      <w:jc w:val="center"/>
    </w:pPr>
    <w:rPr>
      <w:rFonts w:ascii="宋体" w:hAnsi="宋体" w:cs="宋体"/>
      <w:sz w:val="18"/>
      <w:szCs w:val="18"/>
    </w:rPr>
  </w:style>
  <w:style w:type="paragraph" w:customStyle="1" w:styleId="Char51">
    <w:name w:val="Char5"/>
    <w:basedOn w:val="a2"/>
    <w:qFormat/>
    <w:pPr>
      <w:spacing w:line="240" w:lineRule="exact"/>
    </w:pPr>
    <w:rPr>
      <w:szCs w:val="28"/>
    </w:rPr>
  </w:style>
  <w:style w:type="paragraph" w:customStyle="1" w:styleId="xl24">
    <w:name w:val="xl24"/>
    <w:basedOn w:val="a2"/>
    <w:qFormat/>
    <w:pPr>
      <w:widowControl/>
      <w:spacing w:before="100" w:beforeAutospacing="1" w:after="100" w:afterAutospacing="1"/>
      <w:jc w:val="center"/>
    </w:pPr>
    <w:rPr>
      <w:rFonts w:ascii="Arial Unicode MS" w:eastAsia="Arial Unicode MS" w:hAnsi="Arial Unicode MS" w:cs="Arial Unicode MS"/>
      <w:sz w:val="20"/>
    </w:rPr>
  </w:style>
  <w:style w:type="paragraph" w:customStyle="1" w:styleId="CharCharCharCharCharCharCharCharChar1CharCharCharCharCharChar6">
    <w:name w:val="Char Char Char Char Char Char Char Char Char1 Char Char Char Char Char Char6"/>
    <w:basedOn w:val="a2"/>
    <w:qFormat/>
    <w:rPr>
      <w:sz w:val="24"/>
    </w:rPr>
  </w:style>
  <w:style w:type="paragraph" w:customStyle="1" w:styleId="3MHZ">
    <w:name w:val="标题3_MHZ"/>
    <w:basedOn w:val="a2"/>
    <w:next w:val="a2"/>
    <w:qFormat/>
    <w:pPr>
      <w:jc w:val="both"/>
    </w:pPr>
    <w:rPr>
      <w:b/>
    </w:rPr>
  </w:style>
  <w:style w:type="paragraph" w:customStyle="1" w:styleId="Formatvorlage2">
    <w:name w:val="Formatvorlage2"/>
    <w:basedOn w:val="32"/>
    <w:uiPriority w:val="99"/>
    <w:qFormat/>
    <w:pPr>
      <w:keepLines w:val="0"/>
      <w:tabs>
        <w:tab w:val="left" w:pos="1094"/>
      </w:tabs>
      <w:spacing w:before="240" w:after="60" w:line="360" w:lineRule="auto"/>
      <w:ind w:left="1094" w:hanging="569"/>
      <w:jc w:val="both"/>
      <w:textAlignment w:val="baseline"/>
      <w:outlineLvl w:val="9"/>
    </w:pPr>
    <w:rPr>
      <w:rFonts w:ascii="CorpoSLig" w:eastAsia="宋体" w:hAnsi="CorpoSLig"/>
      <w:bCs w:val="0"/>
      <w:i/>
      <w:sz w:val="24"/>
      <w:szCs w:val="20"/>
    </w:rPr>
  </w:style>
  <w:style w:type="paragraph" w:customStyle="1" w:styleId="13f">
    <w:name w:val="文本块13"/>
    <w:basedOn w:val="a2"/>
    <w:uiPriority w:val="99"/>
    <w:qFormat/>
    <w:pPr>
      <w:spacing w:before="100" w:after="100"/>
    </w:pPr>
    <w:rPr>
      <w:rFonts w:eastAsia="Times New Roman"/>
      <w:sz w:val="22"/>
      <w:lang w:eastAsia="en-US"/>
    </w:rPr>
  </w:style>
  <w:style w:type="paragraph" w:customStyle="1" w:styleId="5f9">
    <w:name w:val="标题5"/>
    <w:basedOn w:val="a2"/>
    <w:uiPriority w:val="99"/>
    <w:qFormat/>
    <w:pPr>
      <w:snapToGrid w:val="0"/>
      <w:spacing w:line="360" w:lineRule="auto"/>
      <w:jc w:val="both"/>
    </w:pPr>
    <w:rPr>
      <w:rFonts w:ascii="仿宋_GB2312" w:eastAsia="仿宋_GB2312" w:hint="eastAsia"/>
    </w:rPr>
  </w:style>
  <w:style w:type="paragraph" w:customStyle="1" w:styleId="12fb">
    <w:name w:val="(文字) (文字)12"/>
    <w:basedOn w:val="a2"/>
    <w:uiPriority w:val="99"/>
    <w:qFormat/>
    <w:pPr>
      <w:jc w:val="both"/>
    </w:pPr>
  </w:style>
  <w:style w:type="paragraph" w:customStyle="1" w:styleId="xl746">
    <w:name w:val="xl746"/>
    <w:basedOn w:val="a2"/>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sz w:val="24"/>
    </w:rPr>
  </w:style>
  <w:style w:type="paragraph" w:customStyle="1" w:styleId="CharCharCharCharCharCharCharCharCharChar1CharCharChar3">
    <w:name w:val="Char Char Char Char Char Char Char Char Char Char1 Char Char Char3"/>
    <w:basedOn w:val="a2"/>
    <w:uiPriority w:val="99"/>
    <w:qFormat/>
    <w:pPr>
      <w:spacing w:line="240" w:lineRule="exact"/>
      <w:ind w:firstLineChars="200" w:firstLine="200"/>
      <w:jc w:val="both"/>
    </w:pPr>
    <w:rPr>
      <w:szCs w:val="28"/>
    </w:rPr>
  </w:style>
  <w:style w:type="paragraph" w:customStyle="1" w:styleId="2ffffff6">
    <w:name w:val="样式 标题 2节 + 黑色"/>
    <w:basedOn w:val="22"/>
    <w:uiPriority w:val="99"/>
    <w:qFormat/>
    <w:pPr>
      <w:keepNext w:val="0"/>
      <w:keepLines w:val="0"/>
      <w:tabs>
        <w:tab w:val="left" w:pos="576"/>
      </w:tabs>
      <w:wordWrap w:val="0"/>
      <w:overflowPunct w:val="0"/>
      <w:spacing w:before="0" w:after="0" w:line="600" w:lineRule="exact"/>
      <w:ind w:left="576" w:hanging="576"/>
      <w:jc w:val="both"/>
    </w:pPr>
    <w:rPr>
      <w:rFonts w:ascii="Times New Roman" w:eastAsia="宋体" w:hAnsi="Times New Roman" w:cs="Times New Roman"/>
      <w:b w:val="0"/>
      <w:color w:val="000000"/>
      <w:sz w:val="28"/>
      <w:szCs w:val="28"/>
    </w:rPr>
  </w:style>
  <w:style w:type="paragraph" w:customStyle="1" w:styleId="032">
    <w:name w:val="样式 正文缩进 + 段前: 0.3 行"/>
    <w:basedOn w:val="a3"/>
    <w:qFormat/>
    <w:pPr>
      <w:suppressAutoHyphens/>
      <w:spacing w:beforeLines="30" w:before="72" w:afterLines="10" w:after="10" w:line="288" w:lineRule="auto"/>
      <w:ind w:firstLine="480"/>
      <w:jc w:val="both"/>
    </w:pPr>
    <w:rPr>
      <w:kern w:val="24"/>
      <w:sz w:val="24"/>
      <w:szCs w:val="20"/>
    </w:rPr>
  </w:style>
  <w:style w:type="paragraph" w:customStyle="1" w:styleId="GB2312093">
    <w:name w:val="样式 正文文字 + 楷体_GB2312 四号 首行缩进:  0.93 厘米"/>
    <w:basedOn w:val="af4"/>
    <w:qFormat/>
    <w:pPr>
      <w:snapToGrid w:val="0"/>
      <w:spacing w:after="0" w:line="500" w:lineRule="exact"/>
      <w:ind w:firstLineChars="200" w:firstLine="560"/>
      <w:jc w:val="both"/>
    </w:pPr>
    <w:rPr>
      <w:color w:val="000000"/>
      <w:sz w:val="28"/>
      <w:szCs w:val="28"/>
      <w:lang w:val="zh-CN"/>
    </w:rPr>
  </w:style>
  <w:style w:type="paragraph" w:customStyle="1" w:styleId="hhcwt20">
    <w:name w:val="hhcwt标题2"/>
    <w:basedOn w:val="a2"/>
    <w:qFormat/>
    <w:pPr>
      <w:keepNext/>
      <w:keepLines/>
      <w:spacing w:before="120" w:after="120" w:line="336" w:lineRule="auto"/>
      <w:outlineLvl w:val="1"/>
    </w:pPr>
    <w:rPr>
      <w:rFonts w:eastAsia="黑体" w:cs="宋体"/>
      <w:sz w:val="32"/>
    </w:rPr>
  </w:style>
  <w:style w:type="paragraph" w:customStyle="1" w:styleId="22422Char">
    <w:name w:val="样式 样式 样式 样式 正文文字缩进 2 + 行距: 固定值 24 磅 + 首行缩进:  2 字符 + 首行缩进:  2 字符 ... Char"/>
    <w:basedOn w:val="a2"/>
    <w:uiPriority w:val="99"/>
    <w:qFormat/>
    <w:pPr>
      <w:spacing w:line="480" w:lineRule="auto"/>
      <w:ind w:firstLineChars="200" w:firstLine="560"/>
      <w:jc w:val="both"/>
    </w:pPr>
    <w:rPr>
      <w:sz w:val="30"/>
      <w:szCs w:val="28"/>
    </w:rPr>
  </w:style>
  <w:style w:type="paragraph" w:customStyle="1" w:styleId="afffffffffffffffffffffffffffffffc">
    <w:name w:val="样式 样式 五号 居中 +"/>
    <w:basedOn w:val="afffffffffffffa"/>
    <w:uiPriority w:val="99"/>
    <w:qFormat/>
    <w:pPr>
      <w:spacing w:line="240" w:lineRule="auto"/>
      <w:ind w:left="0" w:firstLine="0"/>
    </w:pPr>
  </w:style>
  <w:style w:type="paragraph" w:customStyle="1" w:styleId="nr">
    <w:name w:val="nr"/>
    <w:basedOn w:val="a2"/>
    <w:uiPriority w:val="99"/>
    <w:qFormat/>
    <w:pPr>
      <w:spacing w:before="100" w:beforeAutospacing="1" w:after="100" w:afterAutospacing="1" w:line="320" w:lineRule="atLeast"/>
    </w:pPr>
    <w:rPr>
      <w:rFonts w:ascii="宋体" w:hAnsi="宋体" w:hint="eastAsia"/>
      <w:color w:val="000000"/>
      <w:sz w:val="22"/>
    </w:rPr>
  </w:style>
  <w:style w:type="paragraph" w:customStyle="1" w:styleId="afffffffffffffffffffffffffffffffd">
    <w:name w:val="附录"/>
    <w:next w:val="a2"/>
    <w:uiPriority w:val="99"/>
    <w:qFormat/>
    <w:pPr>
      <w:spacing w:line="360" w:lineRule="auto"/>
      <w:outlineLvl w:val="0"/>
    </w:pPr>
    <w:rPr>
      <w:rFonts w:ascii="Times New Roman" w:eastAsia="黑体" w:hAnsi="Times New Roman" w:cs="Times New Roman"/>
      <w:b/>
      <w:kern w:val="2"/>
      <w:sz w:val="36"/>
      <w:szCs w:val="36"/>
    </w:rPr>
  </w:style>
  <w:style w:type="paragraph" w:customStyle="1" w:styleId="11110">
    <w:name w:val="1.1.1.1  标题或文字"/>
    <w:basedOn w:val="a2"/>
    <w:uiPriority w:val="99"/>
    <w:qFormat/>
    <w:pPr>
      <w:spacing w:after="50" w:line="460" w:lineRule="exact"/>
      <w:jc w:val="both"/>
    </w:pPr>
    <w:rPr>
      <w:rFonts w:ascii="宋体" w:hAnsi="宋体"/>
      <w:sz w:val="24"/>
    </w:rPr>
  </w:style>
  <w:style w:type="paragraph" w:customStyle="1" w:styleId="xl25">
    <w:name w:val="xl2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4111">
    <w:name w:val="标题 4　1.1.1"/>
    <w:basedOn w:val="41"/>
    <w:uiPriority w:val="99"/>
    <w:qFormat/>
    <w:pPr>
      <w:spacing w:beforeLines="0" w:before="120" w:after="120" w:line="490" w:lineRule="exact"/>
      <w:ind w:leftChars="0" w:left="0" w:rightChars="0" w:right="0"/>
      <w:jc w:val="both"/>
    </w:pPr>
    <w:rPr>
      <w:rFonts w:ascii="Times New Roman" w:cs="宋体"/>
      <w:b/>
      <w:szCs w:val="20"/>
    </w:rPr>
  </w:style>
  <w:style w:type="paragraph" w:customStyle="1" w:styleId="3211">
    <w:name w:val="正文文本缩进 321"/>
    <w:basedOn w:val="a2"/>
    <w:uiPriority w:val="99"/>
    <w:qFormat/>
    <w:pPr>
      <w:spacing w:after="120" w:line="360" w:lineRule="auto"/>
      <w:ind w:firstLine="567"/>
      <w:jc w:val="both"/>
      <w:textAlignment w:val="baseline"/>
    </w:pPr>
    <w:rPr>
      <w:rFonts w:ascii="楷体_GB2312"/>
    </w:rPr>
  </w:style>
  <w:style w:type="paragraph" w:customStyle="1" w:styleId="CharCharChar1CharCharCharCharCharCharCharCharCharCharCharCharCharCharChar1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w:basedOn w:val="a2"/>
    <w:uiPriority w:val="99"/>
    <w:qFormat/>
    <w:pPr>
      <w:jc w:val="both"/>
    </w:pPr>
  </w:style>
  <w:style w:type="paragraph" w:customStyle="1" w:styleId="afffffffffffffffffffffffffffffffe">
    <w:name w:val="五级条标题"/>
    <w:basedOn w:val="affffffffffffffffffff8"/>
    <w:next w:val="a2"/>
    <w:qFormat/>
    <w:pPr>
      <w:tabs>
        <w:tab w:val="clear" w:pos="2520"/>
        <w:tab w:val="clear" w:pos="3080"/>
        <w:tab w:val="left" w:pos="2940"/>
        <w:tab w:val="left" w:pos="3500"/>
      </w:tabs>
      <w:ind w:left="3500"/>
      <w:outlineLvl w:val="6"/>
    </w:pPr>
  </w:style>
  <w:style w:type="paragraph" w:customStyle="1" w:styleId="affffffffffffffffffffffffffffffff">
    <w:name w:val="符号"/>
    <w:basedOn w:val="a2"/>
    <w:uiPriority w:val="99"/>
    <w:qFormat/>
    <w:pPr>
      <w:tabs>
        <w:tab w:val="left" w:pos="810"/>
        <w:tab w:val="left" w:pos="935"/>
      </w:tabs>
      <w:spacing w:line="460" w:lineRule="exact"/>
      <w:ind w:left="935" w:hanging="285"/>
      <w:textAlignment w:val="baseline"/>
    </w:pPr>
    <w:rPr>
      <w:sz w:val="24"/>
    </w:rPr>
  </w:style>
  <w:style w:type="paragraph" w:customStyle="1" w:styleId="TimesNewRoman3">
    <w:name w:val="样式 报告 + Times New Roman"/>
    <w:basedOn w:val="a2"/>
    <w:uiPriority w:val="99"/>
    <w:qFormat/>
    <w:pPr>
      <w:spacing w:line="520" w:lineRule="exact"/>
      <w:ind w:firstLine="505"/>
      <w:jc w:val="both"/>
    </w:pPr>
    <w:rPr>
      <w:rFonts w:ascii="宋体" w:hAnsi="宋体"/>
      <w:sz w:val="24"/>
    </w:rPr>
  </w:style>
  <w:style w:type="paragraph" w:customStyle="1" w:styleId="CharChar1CharCharCharCharCharCharCharCharCharChar1">
    <w:name w:val="Char Char1 Char Char Char Char Char Char Char Char Char Char1"/>
    <w:basedOn w:val="a2"/>
    <w:pPr>
      <w:autoSpaceDE/>
      <w:autoSpaceDN/>
      <w:spacing w:line="360" w:lineRule="atLeast"/>
      <w:jc w:val="both"/>
      <w:textAlignment w:val="baseline"/>
    </w:pPr>
  </w:style>
  <w:style w:type="paragraph" w:customStyle="1" w:styleId="1ffffffffd">
    <w:name w:val="样式 标题 1 + 小四"/>
    <w:basedOn w:val="12"/>
    <w:uiPriority w:val="99"/>
    <w:qFormat/>
    <w:pPr>
      <w:spacing w:before="120" w:after="240" w:line="0" w:lineRule="atLeast"/>
      <w:ind w:left="851" w:hanging="851"/>
      <w:jc w:val="center"/>
      <w:textAlignment w:val="auto"/>
    </w:pPr>
    <w:rPr>
      <w:rFonts w:eastAsia="宋体"/>
      <w:b/>
      <w:bCs w:val="0"/>
      <w:sz w:val="30"/>
      <w:szCs w:val="44"/>
    </w:rPr>
  </w:style>
  <w:style w:type="paragraph" w:customStyle="1" w:styleId="2ffffff7">
    <w:name w:val="样式标题2"/>
    <w:basedOn w:val="a2"/>
    <w:qFormat/>
    <w:pPr>
      <w:keepNext/>
      <w:keepLines/>
      <w:spacing w:before="120" w:after="120" w:line="336" w:lineRule="auto"/>
      <w:outlineLvl w:val="1"/>
    </w:pPr>
    <w:rPr>
      <w:rFonts w:eastAsia="黑体" w:cs="宋体"/>
      <w:sz w:val="32"/>
    </w:rPr>
  </w:style>
  <w:style w:type="paragraph" w:customStyle="1" w:styleId="22Heading2HiddenHeading2CCBSheading2H21">
    <w:name w:val="样式 标题 2节第一章 标题 2Heading 2 HiddenHeading 2 CCBSheading 2H2...1"/>
    <w:basedOn w:val="22"/>
    <w:uiPriority w:val="99"/>
    <w:qFormat/>
    <w:pPr>
      <w:spacing w:before="120" w:after="120" w:line="500" w:lineRule="exact"/>
      <w:jc w:val="both"/>
    </w:pPr>
    <w:rPr>
      <w:rFonts w:ascii="宋体" w:eastAsia="宋体" w:hAnsi="宋体" w:cs="Times New Roman"/>
      <w:b w:val="0"/>
      <w:bCs w:val="0"/>
      <w:sz w:val="28"/>
      <w:szCs w:val="28"/>
    </w:rPr>
  </w:style>
  <w:style w:type="paragraph" w:customStyle="1" w:styleId="0505">
    <w:name w:val="样式 表头 + 段前: 0.5 行 段后: 0.5 行"/>
    <w:basedOn w:val="a2"/>
    <w:uiPriority w:val="99"/>
    <w:qFormat/>
    <w:pPr>
      <w:spacing w:before="100" w:beforeAutospacing="1" w:after="100" w:afterAutospacing="1" w:line="480" w:lineRule="exact"/>
      <w:jc w:val="center"/>
    </w:pPr>
    <w:rPr>
      <w:b/>
      <w:sz w:val="24"/>
      <w:lang w:val="zh-CN"/>
    </w:rPr>
  </w:style>
  <w:style w:type="paragraph" w:customStyle="1" w:styleId="4chen">
    <w:name w:val="谏壁标题4(chen)"/>
    <w:basedOn w:val="a2"/>
    <w:qFormat/>
    <w:pPr>
      <w:snapToGrid w:val="0"/>
      <w:spacing w:beforeLines="50" w:before="156" w:line="360" w:lineRule="auto"/>
      <w:ind w:firstLineChars="200" w:firstLine="200"/>
    </w:pPr>
  </w:style>
  <w:style w:type="paragraph" w:customStyle="1" w:styleId="affffffffffffffffffffffffffffffff0">
    <w:name w:val="表后文"/>
    <w:qFormat/>
    <w:pPr>
      <w:spacing w:beforeLines="50" w:before="50" w:afterLines="50" w:after="50" w:line="360" w:lineRule="auto"/>
      <w:ind w:firstLineChars="40" w:firstLine="601"/>
    </w:pPr>
    <w:rPr>
      <w:rFonts w:ascii="Times New Roman" w:eastAsia="宋体" w:hAnsi="Times New Roman" w:cs="Times New Roman"/>
      <w:spacing w:val="8"/>
      <w:sz w:val="21"/>
      <w:szCs w:val="21"/>
    </w:rPr>
  </w:style>
  <w:style w:type="paragraph" w:customStyle="1" w:styleId="190">
    <w:name w:val="19"/>
    <w:basedOn w:val="a2"/>
    <w:next w:val="af5"/>
    <w:qFormat/>
    <w:pPr>
      <w:spacing w:line="500" w:lineRule="exact"/>
      <w:ind w:firstLineChars="200" w:firstLine="560"/>
      <w:jc w:val="both"/>
    </w:pPr>
    <w:rPr>
      <w:rFonts w:ascii="仿宋_GB2312" w:eastAsia="仿宋_GB2312"/>
      <w:color w:val="FF0000"/>
    </w:rPr>
  </w:style>
  <w:style w:type="paragraph" w:customStyle="1" w:styleId="CharChar5CharChar1">
    <w:name w:val="Char Char5 Char Char1"/>
    <w:basedOn w:val="a2"/>
    <w:uiPriority w:val="99"/>
    <w:qFormat/>
    <w:pPr>
      <w:spacing w:line="360" w:lineRule="auto"/>
      <w:ind w:firstLineChars="200" w:firstLine="200"/>
      <w:jc w:val="both"/>
    </w:pPr>
  </w:style>
  <w:style w:type="paragraph" w:customStyle="1" w:styleId="CharCharCharCharCharCharCharCharCharChar1CharCharChar4">
    <w:name w:val="Char Char Char Char Char Char Char Char Char Char1 Char Char Char4"/>
    <w:basedOn w:val="a2"/>
    <w:qFormat/>
    <w:pPr>
      <w:spacing w:line="240" w:lineRule="exact"/>
      <w:ind w:firstLineChars="200" w:firstLine="200"/>
      <w:jc w:val="both"/>
    </w:pPr>
    <w:rPr>
      <w:szCs w:val="28"/>
    </w:rPr>
  </w:style>
  <w:style w:type="paragraph" w:customStyle="1" w:styleId="GB231202">
    <w:name w:val="样式 (西文) 宋体 (中文) 仿宋_GB2312 五号 黑色 居中 首行缩进:  0 厘米 行距: 单倍行距2"/>
    <w:basedOn w:val="a2"/>
    <w:uiPriority w:val="99"/>
    <w:qFormat/>
    <w:pPr>
      <w:jc w:val="center"/>
    </w:pPr>
    <w:rPr>
      <w:rFonts w:ascii="宋体" w:hAnsi="宋体"/>
      <w:color w:val="000000"/>
      <w:spacing w:val="5"/>
    </w:rPr>
  </w:style>
  <w:style w:type="paragraph" w:customStyle="1" w:styleId="3ffff6">
    <w:name w:val="标题　3"/>
    <w:basedOn w:val="41"/>
    <w:uiPriority w:val="99"/>
    <w:qFormat/>
    <w:pPr>
      <w:ind w:leftChars="0" w:left="0" w:rightChars="0" w:right="0"/>
    </w:pPr>
    <w:rPr>
      <w:rFonts w:ascii="Times New Roman" w:eastAsia="宋体"/>
      <w:b/>
      <w:snapToGrid w:val="0"/>
      <w:sz w:val="24"/>
      <w:szCs w:val="20"/>
    </w:rPr>
  </w:style>
  <w:style w:type="paragraph" w:customStyle="1" w:styleId="21f6">
    <w:name w:val="注释标题21"/>
    <w:basedOn w:val="a2"/>
    <w:next w:val="a2"/>
    <w:uiPriority w:val="99"/>
    <w:qFormat/>
    <w:pPr>
      <w:jc w:val="center"/>
    </w:pPr>
    <w:rPr>
      <w:sz w:val="20"/>
    </w:rPr>
  </w:style>
  <w:style w:type="paragraph" w:customStyle="1" w:styleId="Chapter">
    <w:name w:val="Chapter"/>
    <w:basedOn w:val="12"/>
    <w:qFormat/>
    <w:pPr>
      <w:numPr>
        <w:numId w:val="13"/>
      </w:numPr>
      <w:tabs>
        <w:tab w:val="clear" w:pos="1155"/>
        <w:tab w:val="left" w:pos="926"/>
      </w:tabs>
      <w:spacing w:before="340" w:after="330" w:line="578" w:lineRule="auto"/>
      <w:ind w:left="-16" w:firstLine="0"/>
      <w:jc w:val="center"/>
      <w:textAlignment w:val="auto"/>
    </w:pPr>
    <w:rPr>
      <w:rFonts w:eastAsia="宋体"/>
      <w:b/>
      <w:sz w:val="36"/>
      <w:szCs w:val="36"/>
    </w:rPr>
  </w:style>
  <w:style w:type="paragraph" w:customStyle="1" w:styleId="222H2h22Char11Char2Cha1">
    <w:name w:val="样式 样式 标题 2标题2二级 标题 2H2h2第一层条标题 2 Char节标题节11 Char标题 2 Cha... +1"/>
    <w:basedOn w:val="222H2h22Char11Char2Cha"/>
    <w:uiPriority w:val="99"/>
    <w:qFormat/>
    <w:pPr>
      <w:spacing w:before="240"/>
      <w:jc w:val="left"/>
    </w:pPr>
    <w:rPr>
      <w:rFonts w:cs="宋体"/>
      <w:b/>
    </w:rPr>
  </w:style>
  <w:style w:type="paragraph" w:customStyle="1" w:styleId="222H2h22Char11Char2Cha">
    <w:name w:val="样式 标题 2标题2二级 标题 2H2h2第一层条标题 2 Char节标题节11 Char标题 2 Cha..."/>
    <w:basedOn w:val="22"/>
    <w:uiPriority w:val="99"/>
    <w:qFormat/>
    <w:pPr>
      <w:keepNext w:val="0"/>
      <w:keepLines w:val="0"/>
      <w:spacing w:before="160" w:after="160" w:line="312" w:lineRule="auto"/>
      <w:jc w:val="both"/>
      <w:textAlignment w:val="baseline"/>
    </w:pPr>
    <w:rPr>
      <w:rFonts w:ascii="Times New Roman" w:eastAsia="仿宋_GB2312" w:hAnsi="Times New Roman" w:cs="Times New Roman"/>
      <w:b w:val="0"/>
      <w:bCs w:val="0"/>
      <w:sz w:val="24"/>
      <w:szCs w:val="30"/>
    </w:rPr>
  </w:style>
  <w:style w:type="paragraph" w:customStyle="1" w:styleId="156">
    <w:name w:val="样式 小四 行距: 1.5 倍行距"/>
    <w:basedOn w:val="a2"/>
    <w:qFormat/>
    <w:pPr>
      <w:spacing w:line="360" w:lineRule="auto"/>
      <w:jc w:val="both"/>
    </w:pPr>
    <w:rPr>
      <w:rFonts w:cs="宋体"/>
      <w:sz w:val="24"/>
    </w:rPr>
  </w:style>
  <w:style w:type="paragraph" w:customStyle="1" w:styleId="Style38">
    <w:name w:val="_Style 38"/>
    <w:basedOn w:val="a2"/>
    <w:next w:val="a3"/>
    <w:uiPriority w:val="99"/>
    <w:qFormat/>
    <w:pPr>
      <w:ind w:firstLineChars="200" w:firstLine="200"/>
      <w:jc w:val="both"/>
    </w:pPr>
  </w:style>
  <w:style w:type="paragraph" w:customStyle="1" w:styleId="2ffffff8">
    <w:name w:val="样式 王向东正文 + 首行缩进:  2 字符"/>
    <w:basedOn w:val="a2"/>
    <w:uiPriority w:val="99"/>
    <w:qFormat/>
    <w:pPr>
      <w:spacing w:line="360" w:lineRule="auto"/>
      <w:ind w:firstLineChars="200" w:firstLine="560"/>
      <w:jc w:val="both"/>
    </w:pPr>
    <w:rPr>
      <w:rFonts w:eastAsia="仿宋_GB2312" w:cs="宋体"/>
    </w:rPr>
  </w:style>
  <w:style w:type="paragraph" w:customStyle="1" w:styleId="Char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 Char3"/>
    <w:basedOn w:val="a2"/>
    <w:uiPriority w:val="99"/>
    <w:qFormat/>
    <w:pPr>
      <w:jc w:val="both"/>
    </w:pPr>
    <w:rPr>
      <w:sz w:val="24"/>
    </w:rPr>
  </w:style>
  <w:style w:type="paragraph" w:customStyle="1" w:styleId="21Char0">
    <w:name w:val="标准文本 首行缩进:2 字符 行距1倍 Char"/>
    <w:basedOn w:val="a2"/>
    <w:qFormat/>
    <w:pPr>
      <w:snapToGrid w:val="0"/>
      <w:spacing w:line="360" w:lineRule="auto"/>
      <w:ind w:firstLineChars="200" w:firstLine="420"/>
      <w:jc w:val="center"/>
      <w:textAlignment w:val="center"/>
    </w:pPr>
    <w:rPr>
      <w:rFonts w:ascii="宋体" w:hAnsi="宋体"/>
      <w:b/>
    </w:rPr>
  </w:style>
  <w:style w:type="paragraph" w:customStyle="1" w:styleId="affffffffffffffffffffffffffffffff1">
    <w:name w:val="宋体"/>
    <w:basedOn w:val="a2"/>
    <w:pPr>
      <w:autoSpaceDE/>
      <w:autoSpaceDN/>
      <w:adjustRightInd/>
      <w:spacing w:line="360" w:lineRule="auto"/>
      <w:ind w:firstLineChars="200" w:firstLine="200"/>
      <w:jc w:val="both"/>
    </w:pPr>
    <w:rPr>
      <w:rFonts w:cs="黑体"/>
    </w:rPr>
  </w:style>
  <w:style w:type="paragraph" w:customStyle="1" w:styleId="33H3h33rdlevel">
    <w:name w:val="样式 标题 3标题3H3h33rd level第二层条头一 + 黑色"/>
    <w:basedOn w:val="32"/>
    <w:uiPriority w:val="99"/>
    <w:qFormat/>
    <w:pPr>
      <w:keepLines w:val="0"/>
      <w:tabs>
        <w:tab w:val="left" w:pos="709"/>
      </w:tabs>
      <w:spacing w:before="120" w:after="120" w:line="360" w:lineRule="exact"/>
      <w:ind w:left="709" w:hanging="709"/>
      <w:textAlignment w:val="baseline"/>
    </w:pPr>
    <w:rPr>
      <w:rFonts w:eastAsia="黑体" w:hAnsi="Arial"/>
      <w:b w:val="0"/>
      <w:bCs w:val="0"/>
      <w:sz w:val="24"/>
      <w:szCs w:val="20"/>
    </w:rPr>
  </w:style>
  <w:style w:type="paragraph" w:customStyle="1" w:styleId="2ffffff9">
    <w:name w:val="2"/>
    <w:basedOn w:val="a2"/>
    <w:next w:val="a3"/>
    <w:qFormat/>
    <w:pPr>
      <w:ind w:firstLine="420"/>
    </w:pPr>
  </w:style>
  <w:style w:type="paragraph" w:customStyle="1" w:styleId="CharCharChar1CharCharCharCharCharCharCharCharCharCharCharCharCharCharChar1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w:basedOn w:val="a2"/>
    <w:uiPriority w:val="99"/>
    <w:qFormat/>
    <w:pPr>
      <w:jc w:val="both"/>
    </w:pPr>
  </w:style>
  <w:style w:type="paragraph" w:customStyle="1" w:styleId="CharChar1CharCharCharCharCharCharCharCharCharCharCharCharChar1">
    <w:name w:val="Char Char1 Char Char Char Char Char Char Char Char Char Char Char Char Char1"/>
    <w:basedOn w:val="a2"/>
    <w:uiPriority w:val="99"/>
    <w:qFormat/>
    <w:pPr>
      <w:spacing w:line="360" w:lineRule="auto"/>
      <w:ind w:firstLineChars="200" w:firstLine="200"/>
      <w:jc w:val="both"/>
    </w:pPr>
    <w:rPr>
      <w:rFonts w:ascii="宋体" w:hAnsi="宋体" w:cs="宋体"/>
      <w:sz w:val="24"/>
    </w:rPr>
  </w:style>
  <w:style w:type="paragraph" w:customStyle="1" w:styleId="22c">
    <w:name w:val="样式 正文文本缩进 2 + 首行缩进:  2 字符"/>
    <w:basedOn w:val="25"/>
    <w:uiPriority w:val="99"/>
    <w:qFormat/>
    <w:pPr>
      <w:spacing w:after="0" w:line="480" w:lineRule="exact"/>
      <w:ind w:leftChars="0" w:left="0" w:firstLineChars="200" w:firstLine="560"/>
      <w:jc w:val="both"/>
    </w:pPr>
    <w:rPr>
      <w:rFonts w:cs="宋体"/>
      <w:kern w:val="10"/>
      <w:sz w:val="28"/>
      <w:szCs w:val="20"/>
    </w:rPr>
  </w:style>
  <w:style w:type="paragraph" w:customStyle="1" w:styleId="CharCharCharCharCharCharCharCharChar1CharCharCharCharCharChar4">
    <w:name w:val="Char Char Char Char Char Char Char Char Char1 Char Char Char Char Char Char4"/>
    <w:basedOn w:val="a2"/>
    <w:qFormat/>
    <w:rPr>
      <w:sz w:val="24"/>
    </w:rPr>
  </w:style>
  <w:style w:type="paragraph" w:customStyle="1" w:styleId="Char72">
    <w:name w:val="Char72"/>
    <w:basedOn w:val="a2"/>
    <w:uiPriority w:val="99"/>
    <w:qFormat/>
    <w:pPr>
      <w:tabs>
        <w:tab w:val="right" w:leader="middleDot" w:pos="600"/>
      </w:tabs>
      <w:jc w:val="both"/>
    </w:pPr>
    <w:rPr>
      <w:rFonts w:ascii="仿宋_GB2312" w:eastAsia="仿宋_GB2312"/>
      <w:sz w:val="30"/>
      <w:szCs w:val="30"/>
    </w:rPr>
  </w:style>
  <w:style w:type="paragraph" w:customStyle="1" w:styleId="CharCharCharCharCharCharCharCharChar1CharCharCharCharCharCharCharCharCharChar3">
    <w:name w:val="Char Char Char Char Char Char Char Char Char1 Char Char Char Char Char Char Char Char Char Char3"/>
    <w:basedOn w:val="a2"/>
    <w:uiPriority w:val="99"/>
    <w:qFormat/>
    <w:pPr>
      <w:jc w:val="both"/>
    </w:pPr>
  </w:style>
  <w:style w:type="paragraph" w:customStyle="1" w:styleId="affffffffffffffffffffffffffffffff2">
    <w:name w:val="图表名"/>
    <w:basedOn w:val="a2"/>
    <w:qFormat/>
    <w:pPr>
      <w:jc w:val="center"/>
    </w:pPr>
    <w:rPr>
      <w:rFonts w:eastAsia="黑体"/>
      <w:bCs/>
      <w:sz w:val="24"/>
    </w:rPr>
  </w:style>
  <w:style w:type="paragraph" w:customStyle="1" w:styleId="211305056">
    <w:name w:val="样式 样式 标题 2 + 首行缩进:  1.13 厘米 + 段前: 0.5 行 段后: 0.5 行6"/>
    <w:basedOn w:val="2113"/>
    <w:uiPriority w:val="99"/>
    <w:qFormat/>
    <w:pPr>
      <w:spacing w:before="156" w:afterLines="0"/>
    </w:p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2"/>
    <w:basedOn w:val="a2"/>
    <w:uiPriority w:val="99"/>
    <w:qFormat/>
    <w:pPr>
      <w:spacing w:after="160" w:line="240" w:lineRule="exact"/>
    </w:pPr>
    <w:rPr>
      <w:rFonts w:ascii="Verdana" w:hAnsi="Verdana"/>
      <w:sz w:val="20"/>
      <w:lang w:eastAsia="en-US"/>
    </w:rPr>
  </w:style>
  <w:style w:type="paragraph" w:customStyle="1" w:styleId="Char2CharCharChar1">
    <w:name w:val="Char2 Char Char Char1"/>
    <w:basedOn w:val="a2"/>
    <w:uiPriority w:val="99"/>
    <w:qFormat/>
    <w:pPr>
      <w:jc w:val="both"/>
    </w:pPr>
    <w:rPr>
      <w:sz w:val="24"/>
    </w:rPr>
  </w:style>
  <w:style w:type="paragraph" w:customStyle="1" w:styleId="23535131">
    <w:name w:val="样式 样式 公正文 + 首行缩进:  2 字符 段前: 3.5 磅 段后: 3.5 磅 行距: 多倍行距 1.3 字行 + 首行...1"/>
    <w:basedOn w:val="a2"/>
    <w:qFormat/>
    <w:pPr>
      <w:snapToGrid w:val="0"/>
      <w:spacing w:line="560" w:lineRule="exact"/>
      <w:ind w:firstLineChars="200" w:firstLine="200"/>
      <w:jc w:val="both"/>
    </w:pPr>
    <w:rPr>
      <w:rFonts w:ascii="宋体" w:eastAsia="仿宋_GB2312" w:hAnsi="宋体" w:cs="宋体"/>
      <w:snapToGrid w:val="0"/>
      <w:szCs w:val="28"/>
    </w:rPr>
  </w:style>
  <w:style w:type="paragraph" w:customStyle="1" w:styleId="2mystyle2style2173">
    <w:name w:val="样式 标题 2mystyle2style2 + 四号 非加粗 居中 行距: 多倍行距 1.73 字行"/>
    <w:basedOn w:val="22"/>
    <w:uiPriority w:val="99"/>
    <w:qFormat/>
    <w:pPr>
      <w:spacing w:line="413" w:lineRule="auto"/>
      <w:jc w:val="center"/>
    </w:pPr>
    <w:rPr>
      <w:rFonts w:ascii="Arial" w:eastAsia="黑体" w:hAnsi="Arial" w:cs="Century"/>
      <w:bCs w:val="0"/>
      <w:sz w:val="28"/>
      <w:szCs w:val="30"/>
    </w:rPr>
  </w:style>
  <w:style w:type="paragraph" w:customStyle="1" w:styleId="13f0">
    <w:name w:val="日期13"/>
    <w:basedOn w:val="a2"/>
    <w:next w:val="a2"/>
    <w:uiPriority w:val="99"/>
    <w:qFormat/>
    <w:pPr>
      <w:snapToGrid w:val="0"/>
      <w:spacing w:before="120" w:after="120" w:line="360" w:lineRule="auto"/>
      <w:ind w:firstLineChars="200" w:firstLine="200"/>
      <w:jc w:val="both"/>
      <w:textAlignment w:val="baseline"/>
    </w:pPr>
  </w:style>
  <w:style w:type="paragraph" w:customStyle="1" w:styleId="1114">
    <w:name w:val="样式 111"/>
    <w:basedOn w:val="a2"/>
    <w:uiPriority w:val="99"/>
    <w:qFormat/>
    <w:pPr>
      <w:jc w:val="center"/>
    </w:pPr>
    <w:rPr>
      <w:rFonts w:eastAsia="仿宋_GB2312"/>
      <w:color w:val="000000"/>
      <w:sz w:val="24"/>
    </w:rPr>
  </w:style>
  <w:style w:type="paragraph" w:customStyle="1" w:styleId="Char1CharCharChar14">
    <w:name w:val="Char1 Char Char Char14"/>
    <w:basedOn w:val="a2"/>
    <w:pPr>
      <w:jc w:val="both"/>
    </w:pPr>
    <w:rPr>
      <w:sz w:val="24"/>
    </w:rPr>
  </w:style>
  <w:style w:type="paragraph" w:customStyle="1" w:styleId="CharCharCharCharCharCharCharCharChar30">
    <w:name w:val="Char Char Char Char Char Char Char Char Char3"/>
    <w:basedOn w:val="a2"/>
    <w:uiPriority w:val="99"/>
    <w:qFormat/>
  </w:style>
  <w:style w:type="paragraph" w:customStyle="1" w:styleId="Char1CharCharCharCharCharCharCharChar1">
    <w:name w:val="Char1 Char Char Char Char Char Char Char Char1"/>
    <w:basedOn w:val="a2"/>
    <w:uiPriority w:val="99"/>
    <w:qFormat/>
    <w:pPr>
      <w:jc w:val="both"/>
    </w:pPr>
    <w:rPr>
      <w:sz w:val="24"/>
    </w:rPr>
  </w:style>
  <w:style w:type="paragraph" w:customStyle="1" w:styleId="Normal25">
    <w:name w:val="Normal_25"/>
    <w:qFormat/>
    <w:pPr>
      <w:spacing w:before="120" w:after="240"/>
      <w:jc w:val="both"/>
    </w:pPr>
    <w:rPr>
      <w:rFonts w:ascii="Times New Roman" w:eastAsia="Calibri" w:hAnsi="Times New Roman" w:cs="Times New Roman"/>
      <w:sz w:val="22"/>
      <w:szCs w:val="21"/>
      <w:lang w:val="ru-RU" w:eastAsia="en-US"/>
    </w:rPr>
  </w:style>
  <w:style w:type="paragraph" w:customStyle="1" w:styleId="211112b22CharTimesNewRoman">
    <w:name w:val="样式 标题 2节标题 1.11.1标题2b2标题 2 Char + Times New Roman"/>
    <w:basedOn w:val="22"/>
    <w:next w:val="a2"/>
    <w:uiPriority w:val="99"/>
    <w:qFormat/>
    <w:pPr>
      <w:keepNext w:val="0"/>
      <w:keepLines w:val="0"/>
      <w:tabs>
        <w:tab w:val="left" w:pos="720"/>
      </w:tabs>
      <w:snapToGrid w:val="0"/>
      <w:spacing w:beforeLines="50" w:before="160" w:afterLines="50" w:after="160" w:line="520" w:lineRule="exact"/>
      <w:jc w:val="both"/>
    </w:pPr>
    <w:rPr>
      <w:rFonts w:ascii="Times New Roman" w:eastAsia="黑体" w:hAnsi="宋体" w:cs="Times New Roman"/>
      <w:b w:val="0"/>
      <w:color w:val="000000"/>
      <w:sz w:val="30"/>
      <w:szCs w:val="30"/>
    </w:rPr>
  </w:style>
  <w:style w:type="paragraph" w:customStyle="1" w:styleId="CharCharCharCharCharCharCharCharCharCharCharChar4">
    <w:name w:val="Char Char Char Char Char Char Char Char Char Char Char Char4"/>
    <w:basedOn w:val="a2"/>
    <w:uiPriority w:val="99"/>
    <w:qFormat/>
    <w:pPr>
      <w:jc w:val="both"/>
    </w:pPr>
    <w:rPr>
      <w:sz w:val="24"/>
    </w:rPr>
  </w:style>
  <w:style w:type="paragraph" w:customStyle="1" w:styleId="0012">
    <w:name w:val="样式 正文001 + 首行缩进:  2 字符"/>
    <w:basedOn w:val="a2"/>
    <w:uiPriority w:val="99"/>
    <w:qFormat/>
    <w:pPr>
      <w:spacing w:line="500" w:lineRule="atLeast"/>
      <w:ind w:firstLineChars="200" w:firstLine="480"/>
      <w:jc w:val="both"/>
    </w:pPr>
    <w:rPr>
      <w:sz w:val="24"/>
    </w:rPr>
  </w:style>
  <w:style w:type="paragraph" w:customStyle="1" w:styleId="CharCharCharChar15">
    <w:name w:val="Char Char Char Char15"/>
    <w:basedOn w:val="a2"/>
    <w:qFormat/>
    <w:rPr>
      <w:sz w:val="24"/>
    </w:rPr>
  </w:style>
  <w:style w:type="paragraph" w:customStyle="1" w:styleId="3313Char1CharCharChar31CharCharChar1">
    <w:name w:val="样式 样式 样式 标题 3标题 31标题 3 Char1 Char Char Char标题 31 Char Char Char标...1"/>
    <w:basedOn w:val="a2"/>
    <w:uiPriority w:val="99"/>
    <w:qFormat/>
    <w:pPr>
      <w:keepNext/>
      <w:keepLines/>
      <w:spacing w:beforeLines="50" w:before="156" w:afterLines="50" w:after="156" w:line="520" w:lineRule="exact"/>
      <w:jc w:val="both"/>
      <w:outlineLvl w:val="2"/>
    </w:pPr>
    <w:rPr>
      <w:rFonts w:cs="宋体"/>
      <w:b/>
      <w:bCs/>
      <w:snapToGrid w:val="0"/>
      <w:sz w:val="24"/>
    </w:rPr>
  </w:style>
  <w:style w:type="paragraph" w:customStyle="1" w:styleId="xl42">
    <w:name w:val="xl42"/>
    <w:basedOn w:val="a2"/>
    <w:qFormat/>
    <w:pPr>
      <w:widowControl/>
      <w:pBdr>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wb">
    <w:name w:val="wb"/>
    <w:basedOn w:val="a2"/>
    <w:pPr>
      <w:autoSpaceDE/>
      <w:autoSpaceDN/>
      <w:snapToGrid w:val="0"/>
      <w:spacing w:line="360" w:lineRule="auto"/>
      <w:ind w:firstLineChars="200" w:firstLine="560"/>
      <w:jc w:val="both"/>
    </w:pPr>
    <w:rPr>
      <w:rFonts w:ascii="宋体" w:hAnsi="宋体" w:cs="宋体"/>
      <w:szCs w:val="28"/>
    </w:rPr>
  </w:style>
  <w:style w:type="paragraph" w:customStyle="1" w:styleId="CharCharCharCharChar1Char4">
    <w:name w:val="Char Char Char Char Char1 Char4"/>
    <w:basedOn w:val="a2"/>
    <w:pPr>
      <w:jc w:val="both"/>
    </w:pPr>
  </w:style>
  <w:style w:type="paragraph" w:customStyle="1" w:styleId="CharCharChar4CharCharCharCharCharChar1CharCharCharCharCharChar1CharCharCharCharCharCharCharCharCharCharCharCharCharCharChar1CharCharCharChar">
    <w:name w:val="Char Char Char4 Char Char Char Char Char Char1 Char Char Char Char Char Char1 Char Char Char Char Char Char Char Char Char Char Char Char Char Char Char1 Char Char Char Char"/>
    <w:basedOn w:val="a2"/>
    <w:pPr>
      <w:autoSpaceDE/>
      <w:autoSpaceDN/>
      <w:adjustRightInd/>
      <w:jc w:val="both"/>
    </w:pPr>
    <w:rPr>
      <w:rFonts w:eastAsia="黑体"/>
    </w:rPr>
  </w:style>
  <w:style w:type="paragraph" w:customStyle="1" w:styleId="2ffffffa">
    <w:name w:val="样式 正文▲ + 首行缩进:  2 字符"/>
    <w:basedOn w:val="affffffffffffffffffffffffffffff4"/>
    <w:pPr>
      <w:widowControl w:val="0"/>
      <w:ind w:firstLine="480"/>
    </w:pPr>
    <w:rPr>
      <w:rFonts w:cs="宋体"/>
      <w:bCs/>
      <w:szCs w:val="20"/>
    </w:rPr>
  </w:style>
  <w:style w:type="paragraph" w:customStyle="1" w:styleId="CharCharChar1CharCharCharCharCharCharCharCharCharCharCharCharCharCharCharCharCharCharCharCharCharCharCharCharCharCharChar1">
    <w:name w:val="Char Char Char1 Char Char Char Char Char Char Char Char Char Char Char Char Char Char Char Char Char Char Char Char Char Char Char Char Char Char Char1"/>
    <w:basedOn w:val="a2"/>
    <w:uiPriority w:val="99"/>
    <w:qFormat/>
    <w:pPr>
      <w:spacing w:line="360" w:lineRule="auto"/>
    </w:pPr>
    <w:rPr>
      <w:sz w:val="24"/>
    </w:rPr>
  </w:style>
  <w:style w:type="paragraph" w:customStyle="1" w:styleId="TableText0">
    <w:name w:val="TableText"/>
    <w:uiPriority w:val="99"/>
    <w:qFormat/>
    <w:pPr>
      <w:jc w:val="center"/>
    </w:pPr>
    <w:rPr>
      <w:rFonts w:ascii="Times New Roman" w:eastAsia="宋体" w:hAnsi="Times New Roman" w:cs="Times New Roman"/>
      <w:kern w:val="2"/>
      <w:sz w:val="21"/>
      <w:szCs w:val="24"/>
    </w:rPr>
  </w:style>
  <w:style w:type="paragraph" w:customStyle="1" w:styleId="12322Char">
    <w:name w:val="样式 样式 样式 样式 样式 样式 样式 123 + 自动设置 首行缩进:  2 字符 + 首行缩进:  2 字符 + 黑色 首... Char"/>
    <w:basedOn w:val="a2"/>
    <w:uiPriority w:val="99"/>
    <w:qFormat/>
    <w:pPr>
      <w:tabs>
        <w:tab w:val="left" w:pos="352"/>
      </w:tabs>
      <w:overflowPunct w:val="0"/>
      <w:snapToGrid w:val="0"/>
      <w:spacing w:line="460" w:lineRule="exact"/>
      <w:ind w:firstLineChars="200" w:firstLine="560"/>
      <w:jc w:val="both"/>
      <w:textAlignment w:val="bottom"/>
    </w:pPr>
    <w:rPr>
      <w:rFonts w:cs="宋体"/>
      <w:szCs w:val="28"/>
    </w:rPr>
  </w:style>
  <w:style w:type="paragraph" w:customStyle="1" w:styleId="2chen">
    <w:name w:val="谏壁标题2(chen）"/>
    <w:basedOn w:val="a2"/>
    <w:qFormat/>
    <w:pPr>
      <w:keepNext/>
      <w:keepLines/>
      <w:spacing w:after="120" w:line="360" w:lineRule="auto"/>
      <w:outlineLvl w:val="1"/>
    </w:pPr>
    <w:rPr>
      <w:rFonts w:eastAsia="黑体"/>
      <w:sz w:val="32"/>
      <w:szCs w:val="32"/>
    </w:rPr>
  </w:style>
  <w:style w:type="paragraph" w:customStyle="1" w:styleId="Print-FromToSubjectDate">
    <w:name w:val="Print- From: To: Subject: Date:"/>
    <w:basedOn w:val="a2"/>
    <w:uiPriority w:val="99"/>
    <w:qFormat/>
    <w:pPr>
      <w:pBdr>
        <w:left w:val="single" w:sz="18" w:space="1" w:color="auto"/>
      </w:pBdr>
      <w:spacing w:line="360" w:lineRule="atLeast"/>
      <w:textAlignment w:val="baseline"/>
    </w:pPr>
    <w:rPr>
      <w:rFonts w:eastAsia="PMingLiU"/>
      <w:sz w:val="24"/>
      <w:lang w:eastAsia="zh-TW"/>
    </w:rPr>
  </w:style>
  <w:style w:type="paragraph" w:customStyle="1" w:styleId="hh">
    <w:name w:val="hh"/>
    <w:basedOn w:val="a2"/>
    <w:uiPriority w:val="99"/>
    <w:qFormat/>
    <w:pPr>
      <w:ind w:firstLine="567"/>
      <w:jc w:val="both"/>
      <w:textAlignment w:val="baseline"/>
    </w:pPr>
    <w:rPr>
      <w:color w:val="000000"/>
    </w:rPr>
  </w:style>
  <w:style w:type="paragraph" w:customStyle="1" w:styleId="31113CharChar3CharCharCharChar">
    <w:name w:val="我的 标题 3条标题1.1.1标题 3 Char Char小标题头小节标题标题 3 Char Char Char标... Char"/>
    <w:basedOn w:val="32"/>
    <w:uiPriority w:val="99"/>
    <w:qFormat/>
    <w:pPr>
      <w:snapToGrid w:val="0"/>
      <w:spacing w:before="0" w:after="0" w:line="360" w:lineRule="auto"/>
      <w:jc w:val="both"/>
      <w:textAlignment w:val="baseline"/>
    </w:pPr>
    <w:rPr>
      <w:rFonts w:ascii="Times New Roman" w:eastAsia="黑体"/>
      <w:bCs w:val="0"/>
      <w:snapToGrid w:val="0"/>
      <w:sz w:val="28"/>
      <w:szCs w:val="20"/>
    </w:rPr>
  </w:style>
  <w:style w:type="paragraph" w:customStyle="1" w:styleId="334">
    <w:name w:val="正文文本缩进 33"/>
    <w:basedOn w:val="a2"/>
    <w:uiPriority w:val="99"/>
    <w:qFormat/>
    <w:pPr>
      <w:spacing w:line="360" w:lineRule="auto"/>
      <w:ind w:firstLine="480"/>
      <w:jc w:val="both"/>
    </w:pPr>
    <w:rPr>
      <w:rFonts w:ascii="华文仿宋" w:eastAsia="华文仿宋" w:hAnsi="华文仿宋"/>
      <w:color w:val="000000"/>
    </w:rPr>
  </w:style>
  <w:style w:type="paragraph" w:customStyle="1" w:styleId="Char73">
    <w:name w:val="Char73"/>
    <w:basedOn w:val="a2"/>
    <w:pPr>
      <w:tabs>
        <w:tab w:val="right" w:leader="middleDot" w:pos="600"/>
      </w:tabs>
      <w:jc w:val="both"/>
    </w:pPr>
    <w:rPr>
      <w:rFonts w:ascii="仿宋_GB2312" w:eastAsia="仿宋_GB2312"/>
      <w:sz w:val="30"/>
      <w:szCs w:val="30"/>
    </w:rPr>
  </w:style>
  <w:style w:type="paragraph" w:customStyle="1" w:styleId="4fd">
    <w:name w:val="字元 字元4"/>
    <w:basedOn w:val="a2"/>
    <w:qFormat/>
    <w:pPr>
      <w:jc w:val="both"/>
    </w:pPr>
    <w:rPr>
      <w:sz w:val="24"/>
    </w:rPr>
  </w:style>
  <w:style w:type="paragraph" w:customStyle="1" w:styleId="Normal28">
    <w:name w:val="Normal_28"/>
    <w:qFormat/>
    <w:pPr>
      <w:spacing w:before="120" w:after="240"/>
      <w:jc w:val="both"/>
    </w:pPr>
    <w:rPr>
      <w:rFonts w:ascii="Times New Roman" w:eastAsia="Calibri" w:hAnsi="Times New Roman" w:cs="Times New Roman"/>
      <w:sz w:val="22"/>
      <w:szCs w:val="21"/>
      <w:lang w:val="ru-RU" w:eastAsia="en-US"/>
    </w:rPr>
  </w:style>
  <w:style w:type="paragraph" w:customStyle="1" w:styleId="1ffffffffe">
    <w:name w:val="文字1"/>
    <w:basedOn w:val="a2"/>
    <w:uiPriority w:val="99"/>
    <w:qFormat/>
    <w:pPr>
      <w:snapToGrid w:val="0"/>
      <w:spacing w:before="120" w:after="120" w:line="360" w:lineRule="auto"/>
      <w:ind w:firstLineChars="200" w:firstLine="200"/>
      <w:jc w:val="both"/>
    </w:pPr>
    <w:rPr>
      <w:rFonts w:ascii="仿宋_GB2312" w:eastAsia="仿宋_GB2312" w:hAnsi="宋体"/>
      <w:sz w:val="24"/>
    </w:rPr>
  </w:style>
  <w:style w:type="paragraph" w:customStyle="1" w:styleId="affffffffffffffffffffffffffffffff3">
    <w:name w:val="图表内容"/>
    <w:basedOn w:val="a2"/>
    <w:uiPriority w:val="99"/>
    <w:qFormat/>
    <w:pPr>
      <w:jc w:val="center"/>
      <w:textAlignment w:val="baseline"/>
    </w:pPr>
    <w:rPr>
      <w:rFonts w:ascii="宋体"/>
    </w:rPr>
  </w:style>
  <w:style w:type="paragraph" w:customStyle="1" w:styleId="xl93">
    <w:name w:val="xl93"/>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Style15">
    <w:name w:val="_Style 15"/>
    <w:basedOn w:val="a2"/>
    <w:uiPriority w:val="99"/>
    <w:qFormat/>
    <w:pPr>
      <w:snapToGrid w:val="0"/>
      <w:spacing w:line="240" w:lineRule="exact"/>
      <w:ind w:firstLineChars="200" w:firstLine="200"/>
      <w:jc w:val="both"/>
    </w:pPr>
    <w:rPr>
      <w:rFonts w:ascii="仿宋_GB2312" w:eastAsia="仿宋_GB2312"/>
    </w:rPr>
  </w:style>
  <w:style w:type="paragraph" w:customStyle="1" w:styleId="12fc">
    <w:name w:val="无间隔12"/>
    <w:qFormat/>
    <w:pPr>
      <w:widowControl w:val="0"/>
      <w:adjustRightInd w:val="0"/>
      <w:spacing w:beforeLines="50" w:before="50" w:afterLines="50" w:after="50" w:line="360" w:lineRule="auto"/>
      <w:ind w:firstLineChars="40" w:firstLine="40"/>
      <w:jc w:val="center"/>
      <w:textAlignment w:val="baseline"/>
    </w:pPr>
    <w:rPr>
      <w:rFonts w:ascii="Times New Roman" w:eastAsia="宋体" w:hAnsi="Times New Roman" w:cs="Times New Roman"/>
      <w:b/>
      <w:sz w:val="21"/>
    </w:rPr>
  </w:style>
  <w:style w:type="paragraph" w:customStyle="1" w:styleId="CharCharCharCharCharCharCharCharChar1CharCharChar2">
    <w:name w:val="Char Char Char Char Char Char Char Char Char1 Char Char Char2"/>
    <w:basedOn w:val="a2"/>
    <w:uiPriority w:val="99"/>
    <w:qFormat/>
    <w:pPr>
      <w:jc w:val="both"/>
    </w:pPr>
    <w:rPr>
      <w:rFonts w:ascii="Times New Roman"/>
    </w:rPr>
  </w:style>
  <w:style w:type="paragraph" w:customStyle="1" w:styleId="Char1CharCharCharCharCharCharCharCharChar1CharCharCharCharCharChar4">
    <w:name w:val="Char1 Char Char Char Char Char Char Char Char Char1 Char Char Char Char Char Char4"/>
    <w:basedOn w:val="a2"/>
    <w:uiPriority w:val="99"/>
    <w:qFormat/>
    <w:pPr>
      <w:spacing w:before="100" w:beforeAutospacing="1" w:after="100" w:afterAutospacing="1"/>
      <w:ind w:firstLineChars="200" w:firstLine="200"/>
    </w:pPr>
    <w:rPr>
      <w:rFonts w:ascii="Verdana" w:eastAsia="仿宋_GB2312" w:hAnsi="Verdana"/>
      <w:sz w:val="20"/>
      <w:lang w:eastAsia="en-US"/>
    </w:rPr>
  </w:style>
  <w:style w:type="paragraph" w:customStyle="1" w:styleId="reader-word-layerreader-word-s1-9">
    <w:name w:val="reader-word-layer reader-word-s1-9"/>
    <w:basedOn w:val="a2"/>
    <w:qFormat/>
    <w:pPr>
      <w:spacing w:before="100" w:beforeAutospacing="1" w:after="100" w:afterAutospacing="1"/>
    </w:pPr>
    <w:rPr>
      <w:rFonts w:ascii="宋体" w:hAnsi="宋体" w:cs="宋体"/>
      <w:sz w:val="24"/>
    </w:rPr>
  </w:style>
  <w:style w:type="paragraph" w:customStyle="1" w:styleId="font11">
    <w:name w:val="font11"/>
    <w:basedOn w:val="a2"/>
    <w:qFormat/>
    <w:pPr>
      <w:spacing w:before="100" w:beforeAutospacing="1" w:after="100" w:afterAutospacing="1"/>
    </w:pPr>
    <w:rPr>
      <w:rFonts w:ascii="宋体" w:hAnsi="宋体" w:hint="eastAsia"/>
      <w:color w:val="000000"/>
      <w:sz w:val="18"/>
      <w:szCs w:val="18"/>
    </w:rPr>
  </w:style>
  <w:style w:type="paragraph" w:customStyle="1" w:styleId="affffffffffffffffffffffffffffffff4">
    <w:name w:val="表体宋旭峰"/>
    <w:basedOn w:val="a2"/>
    <w:uiPriority w:val="99"/>
    <w:qFormat/>
    <w:pPr>
      <w:overflowPunct w:val="0"/>
      <w:spacing w:line="360" w:lineRule="auto"/>
      <w:jc w:val="center"/>
      <w:textAlignment w:val="baseline"/>
    </w:pPr>
    <w:rPr>
      <w:rFonts w:ascii="宋体" w:hAnsi="宋体" w:cs="Courier New"/>
      <w:snapToGrid w:val="0"/>
      <w:spacing w:val="-20"/>
    </w:rPr>
  </w:style>
  <w:style w:type="paragraph" w:customStyle="1" w:styleId="affffffffffffffffffffffffffffffff5">
    <w:name w:val="单行表格样式(居中)"/>
    <w:uiPriority w:val="99"/>
    <w:qFormat/>
    <w:pPr>
      <w:jc w:val="center"/>
    </w:pPr>
    <w:rPr>
      <w:rFonts w:ascii="Times New Roman" w:eastAsia="宋体" w:hAnsi="Times New Roman" w:cs="Times New Roman"/>
      <w:kern w:val="2"/>
      <w:sz w:val="21"/>
      <w:szCs w:val="28"/>
    </w:rPr>
  </w:style>
  <w:style w:type="paragraph" w:customStyle="1" w:styleId="3ffff7">
    <w:name w:val="批注主题3"/>
    <w:basedOn w:val="af1"/>
    <w:next w:val="af1"/>
    <w:uiPriority w:val="99"/>
    <w:qFormat/>
    <w:pPr>
      <w:textAlignment w:val="baseline"/>
    </w:pPr>
    <w:rPr>
      <w:rFonts w:ascii="Calibri" w:eastAsia="宋体" w:hint="eastAsia"/>
      <w:b/>
    </w:rPr>
  </w:style>
  <w:style w:type="paragraph" w:customStyle="1" w:styleId="m3">
    <w:name w:val="m3"/>
    <w:basedOn w:val="a2"/>
    <w:uiPriority w:val="99"/>
    <w:qFormat/>
    <w:pPr>
      <w:overflowPunct w:val="0"/>
      <w:spacing w:before="120" w:line="312" w:lineRule="auto"/>
      <w:jc w:val="both"/>
      <w:textAlignment w:val="baseline"/>
    </w:pPr>
    <w:rPr>
      <w:rFonts w:ascii="仿宋体" w:eastAsia="仿宋体"/>
      <w:spacing w:val="-14"/>
    </w:rPr>
  </w:style>
  <w:style w:type="paragraph" w:customStyle="1" w:styleId="Char1CharCharCharCharCharChar12">
    <w:name w:val="Char1 Char Char Char Char Char Char12"/>
    <w:basedOn w:val="a2"/>
    <w:next w:val="a2"/>
    <w:uiPriority w:val="99"/>
    <w:qFormat/>
    <w:pPr>
      <w:spacing w:line="360" w:lineRule="auto"/>
      <w:ind w:firstLineChars="200" w:firstLine="200"/>
      <w:jc w:val="center"/>
    </w:pPr>
    <w:rPr>
      <w:rFonts w:ascii="Times New Roman" w:eastAsia="黑体"/>
    </w:rPr>
  </w:style>
  <w:style w:type="paragraph" w:customStyle="1" w:styleId="7CharChar">
    <w:name w:val="目录 7 Char Char"/>
    <w:basedOn w:val="a2"/>
    <w:next w:val="a2"/>
    <w:qFormat/>
    <w:pPr>
      <w:spacing w:line="351" w:lineRule="atLeast"/>
      <w:ind w:left="1258" w:firstLine="419"/>
    </w:pPr>
    <w:rPr>
      <w:rFonts w:hAnsi="宋体"/>
    </w:rPr>
  </w:style>
  <w:style w:type="paragraph" w:customStyle="1" w:styleId="085015015">
    <w:name w:val="样式 黑色 首行缩进:  0.85 厘米 段前: 0.15 行 段后: 0.15 行"/>
    <w:basedOn w:val="a2"/>
    <w:uiPriority w:val="99"/>
    <w:qFormat/>
    <w:pPr>
      <w:spacing w:line="360" w:lineRule="auto"/>
      <w:ind w:firstLine="482"/>
      <w:jc w:val="both"/>
    </w:pPr>
    <w:rPr>
      <w:rFonts w:ascii="宋体"/>
      <w:color w:val="000000"/>
      <w:sz w:val="24"/>
    </w:rPr>
  </w:style>
  <w:style w:type="paragraph" w:customStyle="1" w:styleId="0000">
    <w:name w:val="正文000"/>
    <w:basedOn w:val="af8"/>
    <w:pPr>
      <w:autoSpaceDE/>
      <w:autoSpaceDN/>
      <w:snapToGrid w:val="0"/>
      <w:spacing w:beforeLines="50" w:before="156" w:afterLines="50" w:after="156" w:line="360" w:lineRule="auto"/>
      <w:ind w:firstLineChars="200" w:firstLine="200"/>
      <w:jc w:val="both"/>
    </w:pPr>
    <w:rPr>
      <w:rFonts w:ascii="Times New Roman" w:hAnsi="Times New Roman"/>
      <w:color w:val="000000"/>
      <w:spacing w:val="14"/>
      <w:kern w:val="2"/>
      <w:sz w:val="21"/>
      <w:szCs w:val="20"/>
    </w:rPr>
  </w:style>
  <w:style w:type="paragraph" w:customStyle="1" w:styleId="Title3">
    <w:name w:val="Title 3"/>
    <w:basedOn w:val="32"/>
    <w:next w:val="a2"/>
    <w:uiPriority w:val="99"/>
    <w:qFormat/>
    <w:pPr>
      <w:keepNext w:val="0"/>
      <w:keepLines w:val="0"/>
      <w:snapToGrid w:val="0"/>
      <w:spacing w:before="0" w:after="0" w:line="500" w:lineRule="exact"/>
      <w:ind w:firstLineChars="200" w:firstLine="480"/>
    </w:pPr>
    <w:rPr>
      <w:rFonts w:ascii="Times New Roman" w:eastAsia="宋体"/>
      <w:b w:val="0"/>
      <w:bCs w:val="0"/>
      <w:color w:val="000000"/>
      <w:sz w:val="24"/>
      <w:szCs w:val="26"/>
      <w:lang w:eastAsia="ko-KR"/>
    </w:rPr>
  </w:style>
  <w:style w:type="paragraph" w:customStyle="1" w:styleId="CharCharCharCharCharCharCharCharChar1CharCharCharCharCharChar8">
    <w:name w:val="Char Char Char Char Char Char Char Char Char1 Char Char Char Char Char Char8"/>
    <w:basedOn w:val="a2"/>
    <w:uiPriority w:val="99"/>
    <w:qFormat/>
    <w:pPr>
      <w:jc w:val="both"/>
    </w:pPr>
    <w:rPr>
      <w:rFonts w:ascii="Times New Roman"/>
    </w:rPr>
  </w:style>
  <w:style w:type="paragraph" w:customStyle="1" w:styleId="xl38">
    <w:name w:val="xl3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rPr>
  </w:style>
  <w:style w:type="paragraph" w:customStyle="1" w:styleId="affffffffffffffffffffffffffffffff6">
    <w:name w:val="表格（大）"/>
    <w:basedOn w:val="a2"/>
    <w:qFormat/>
    <w:pPr>
      <w:jc w:val="center"/>
    </w:pPr>
    <w:rPr>
      <w:rFonts w:ascii="仿宋_GB2312" w:eastAsia="仿宋_GB2312"/>
      <w:color w:val="000000"/>
      <w:sz w:val="24"/>
    </w:rPr>
  </w:style>
  <w:style w:type="paragraph" w:customStyle="1" w:styleId="dandan6-13CharCharChar">
    <w:name w:val="dandan6-13正文 Char Char Char"/>
    <w:basedOn w:val="a2"/>
    <w:next w:val="a2"/>
    <w:uiPriority w:val="99"/>
    <w:qFormat/>
    <w:pPr>
      <w:keepNext/>
      <w:keepLines/>
      <w:tabs>
        <w:tab w:val="left" w:pos="0"/>
      </w:tabs>
      <w:spacing w:before="40" w:after="40" w:line="340" w:lineRule="exact"/>
      <w:ind w:firstLineChars="200" w:firstLine="200"/>
      <w:textAlignment w:val="baseline"/>
    </w:pPr>
    <w:rPr>
      <w:rFonts w:cs="宋体"/>
      <w:sz w:val="24"/>
      <w:szCs w:val="28"/>
    </w:rPr>
  </w:style>
  <w:style w:type="paragraph" w:customStyle="1" w:styleId="affffffffffffffffffffffffffffffff7">
    <w:name w:val="福建表格文字"/>
    <w:basedOn w:val="a2"/>
    <w:uiPriority w:val="99"/>
    <w:qFormat/>
    <w:pPr>
      <w:spacing w:line="300" w:lineRule="auto"/>
      <w:ind w:left="-28" w:right="-29" w:firstLineChars="13" w:firstLine="27"/>
      <w:jc w:val="center"/>
    </w:pPr>
    <w:rPr>
      <w:rFonts w:ascii="宋体" w:hAnsi="宋体"/>
    </w:rPr>
  </w:style>
  <w:style w:type="paragraph" w:customStyle="1" w:styleId="CharChar1CharCharCharChar5">
    <w:name w:val="Char Char1 Char Char Char Char5"/>
    <w:basedOn w:val="a2"/>
    <w:qFormat/>
  </w:style>
  <w:style w:type="paragraph" w:customStyle="1" w:styleId="affffffffffffffffffffffffffffffff8">
    <w:name w:val="一级无标题条"/>
    <w:basedOn w:val="a2"/>
    <w:qFormat/>
    <w:rPr>
      <w:rFonts w:hAnsi="宋体"/>
    </w:rPr>
  </w:style>
  <w:style w:type="paragraph" w:customStyle="1" w:styleId="CharCharCharCharCharCharCharCharCharCharCharCharChar2">
    <w:name w:val="Char Char Char Char Char Char Char Char Char Char Char Char Char2"/>
    <w:basedOn w:val="a2"/>
    <w:uiPriority w:val="99"/>
    <w:qFormat/>
    <w:pPr>
      <w:jc w:val="both"/>
    </w:pPr>
  </w:style>
  <w:style w:type="paragraph" w:customStyle="1" w:styleId="221121TimesNewRoman83">
    <w:name w:val="样式 标题 2标题 21标题 121 + Times New Roman 小三 非加粗 黑色 段前: 8 磅 段...3"/>
    <w:basedOn w:val="a2"/>
    <w:uiPriority w:val="99"/>
    <w:qFormat/>
    <w:pPr>
      <w:tabs>
        <w:tab w:val="left" w:pos="238"/>
      </w:tabs>
      <w:ind w:left="238"/>
      <w:jc w:val="both"/>
    </w:pPr>
  </w:style>
  <w:style w:type="paragraph" w:customStyle="1" w:styleId="affffffffffffffffffffffffffffffff9">
    <w:name w:val="陈正文"/>
    <w:basedOn w:val="a2"/>
    <w:next w:val="a2"/>
    <w:uiPriority w:val="99"/>
    <w:qFormat/>
    <w:pPr>
      <w:spacing w:line="288" w:lineRule="auto"/>
      <w:ind w:firstLineChars="171" w:firstLine="410"/>
      <w:jc w:val="both"/>
    </w:pPr>
    <w:rPr>
      <w:rFonts w:eastAsia="仿宋_GB2312"/>
      <w:sz w:val="24"/>
    </w:rPr>
  </w:style>
  <w:style w:type="paragraph" w:customStyle="1" w:styleId="4fe">
    <w:name w:val="标题正4"/>
    <w:basedOn w:val="a2"/>
    <w:qFormat/>
    <w:pPr>
      <w:spacing w:line="240" w:lineRule="exact"/>
      <w:jc w:val="center"/>
    </w:pPr>
  </w:style>
  <w:style w:type="paragraph" w:customStyle="1" w:styleId="22d">
    <w:name w:val="样式 正文 + 首行缩进:  2 字符 + 宋体 四号 首行缩进:  2 字符"/>
    <w:basedOn w:val="2ffff8"/>
    <w:uiPriority w:val="99"/>
    <w:qFormat/>
    <w:pPr>
      <w:spacing w:line="480" w:lineRule="exact"/>
      <w:ind w:firstLine="200"/>
    </w:pPr>
    <w:rPr>
      <w:rFonts w:ascii="宋体" w:hAnsi="宋体" w:cs="Times New Roman"/>
      <w:sz w:val="28"/>
    </w:rPr>
  </w:style>
  <w:style w:type="paragraph" w:customStyle="1" w:styleId="MyList-5">
    <w:name w:val="MyList-5"/>
    <w:basedOn w:val="MyList-4"/>
    <w:uiPriority w:val="99"/>
    <w:qFormat/>
    <w:pPr>
      <w:numPr>
        <w:ilvl w:val="4"/>
      </w:numPr>
      <w:tabs>
        <w:tab w:val="clear" w:pos="1191"/>
      </w:tabs>
    </w:pPr>
  </w:style>
  <w:style w:type="paragraph" w:customStyle="1" w:styleId="CharChar1CharCharCharChar12">
    <w:name w:val="Char Char1 Char Char Char Char12"/>
    <w:basedOn w:val="a2"/>
    <w:uiPriority w:val="99"/>
    <w:qFormat/>
    <w:pPr>
      <w:jc w:val="both"/>
    </w:pPr>
    <w:rPr>
      <w:rFonts w:ascii="Times New Roman"/>
    </w:rPr>
  </w:style>
  <w:style w:type="paragraph" w:customStyle="1" w:styleId="affffffffffffffffffffffffffffffffa">
    <w:name w:val="本文１"/>
    <w:basedOn w:val="a2"/>
    <w:qFormat/>
    <w:pPr>
      <w:jc w:val="both"/>
    </w:pPr>
    <w:rPr>
      <w:rFonts w:eastAsia="DFKai-SB"/>
      <w:lang w:eastAsia="zh-TW"/>
    </w:rPr>
  </w:style>
  <w:style w:type="paragraph" w:customStyle="1" w:styleId="085150">
    <w:name w:val="样式 宋体 小四 两端对齐 首行缩进:  0.85 厘米 行距: 1.5 倍行距"/>
    <w:basedOn w:val="a2"/>
    <w:uiPriority w:val="99"/>
    <w:qFormat/>
    <w:pPr>
      <w:spacing w:line="360" w:lineRule="auto"/>
      <w:ind w:firstLine="482"/>
      <w:jc w:val="both"/>
    </w:pPr>
    <w:rPr>
      <w:sz w:val="24"/>
    </w:rPr>
  </w:style>
  <w:style w:type="paragraph" w:customStyle="1" w:styleId="22e">
    <w:name w:val="22"/>
    <w:basedOn w:val="a2"/>
    <w:next w:val="af5"/>
    <w:qFormat/>
    <w:pPr>
      <w:spacing w:line="500" w:lineRule="exact"/>
      <w:ind w:firstLineChars="200" w:firstLine="560"/>
      <w:jc w:val="both"/>
    </w:pPr>
    <w:rPr>
      <w:rFonts w:ascii="仿宋_GB2312" w:eastAsia="仿宋_GB2312"/>
      <w:color w:val="FF0000"/>
    </w:rPr>
  </w:style>
  <w:style w:type="paragraph" w:customStyle="1" w:styleId="CharCharCharCharCharCharCharCharCharCharCharCharCharCharCharCharCharCharCharCharCharCharCharCharCharCharCharChar4">
    <w:name w:val="Char Char Char Char Char Char Char Char Char Char Char Char Char Char Char Char Char Char Char Char Char Char Char Char Char Char Char Char4"/>
    <w:basedOn w:val="a2"/>
    <w:qFormat/>
    <w:pPr>
      <w:widowControl/>
      <w:spacing w:after="160" w:line="240" w:lineRule="exact"/>
    </w:pPr>
    <w:rPr>
      <w:rFonts w:ascii="Verdana" w:hAnsi="Verdana"/>
      <w:sz w:val="20"/>
      <w:lang w:eastAsia="en-US"/>
    </w:rPr>
  </w:style>
  <w:style w:type="paragraph" w:customStyle="1" w:styleId="CharChar2CharCharCharChar2">
    <w:name w:val="Char Char2 Char Char Char Char2"/>
    <w:basedOn w:val="a2"/>
    <w:pPr>
      <w:keepNext/>
      <w:tabs>
        <w:tab w:val="left" w:pos="425"/>
      </w:tabs>
      <w:spacing w:before="80" w:after="80"/>
      <w:ind w:hanging="425"/>
      <w:jc w:val="both"/>
    </w:pPr>
    <w:rPr>
      <w:rFonts w:hAnsi="Arial" w:cs="Arial"/>
      <w:sz w:val="20"/>
    </w:rPr>
  </w:style>
  <w:style w:type="paragraph" w:customStyle="1" w:styleId="CharCharCharCharCharCharCharCharChar1CharCharCharCharCharChar3">
    <w:name w:val="Char Char Char Char Char Char Char Char Char1 Char Char Char Char Char Char3"/>
    <w:basedOn w:val="a2"/>
    <w:qFormat/>
    <w:rPr>
      <w:sz w:val="24"/>
    </w:rPr>
  </w:style>
  <w:style w:type="paragraph" w:customStyle="1" w:styleId="107">
    <w:name w:val="表题10"/>
    <w:basedOn w:val="a2"/>
    <w:uiPriority w:val="99"/>
    <w:qFormat/>
    <w:pPr>
      <w:snapToGrid w:val="0"/>
      <w:spacing w:before="180" w:after="60"/>
      <w:jc w:val="center"/>
    </w:pPr>
    <w:rPr>
      <w:b/>
    </w:rPr>
  </w:style>
  <w:style w:type="paragraph" w:customStyle="1" w:styleId="4ff">
    <w:name w:val="目录4"/>
    <w:basedOn w:val="a2"/>
    <w:next w:val="a2"/>
    <w:qFormat/>
    <w:pPr>
      <w:tabs>
        <w:tab w:val="left" w:leader="dot" w:pos="8503"/>
      </w:tabs>
      <w:spacing w:line="317" w:lineRule="atLeast"/>
      <w:ind w:left="419" w:firstLine="629"/>
    </w:pPr>
    <w:rPr>
      <w:rFonts w:hAnsi="宋体"/>
    </w:rPr>
  </w:style>
  <w:style w:type="paragraph" w:customStyle="1" w:styleId="zg1">
    <w:name w:val="zg1"/>
    <w:basedOn w:val="a2"/>
    <w:qFormat/>
    <w:pPr>
      <w:spacing w:line="500" w:lineRule="exact"/>
      <w:ind w:firstLineChars="200" w:firstLine="200"/>
      <w:jc w:val="both"/>
    </w:pPr>
    <w:rPr>
      <w:sz w:val="24"/>
    </w:rPr>
  </w:style>
  <w:style w:type="paragraph" w:customStyle="1" w:styleId="21f7">
    <w:name w:val="样式 正文标准格式 + 左侧:  2 字符1"/>
    <w:basedOn w:val="afffffffffffffffffffff4"/>
    <w:uiPriority w:val="99"/>
    <w:qFormat/>
    <w:pPr>
      <w:ind w:leftChars="0" w:left="0"/>
    </w:pPr>
  </w:style>
  <w:style w:type="paragraph" w:customStyle="1" w:styleId="affffffffffffffffffffffffffffffffb">
    <w:name w:val="齐鲁报告"/>
    <w:basedOn w:val="a2"/>
    <w:uiPriority w:val="99"/>
    <w:qFormat/>
    <w:pPr>
      <w:spacing w:line="520" w:lineRule="exact"/>
      <w:ind w:firstLineChars="200" w:firstLine="560"/>
    </w:pPr>
    <w:rPr>
      <w:rFonts w:ascii="宋体"/>
      <w:szCs w:val="28"/>
    </w:rPr>
  </w:style>
  <w:style w:type="paragraph" w:customStyle="1" w:styleId="affffffffffffffffffffffffffffffffc">
    <w:name w:val="一级标题上"/>
    <w:basedOn w:val="a2"/>
    <w:semiHidden/>
    <w:qFormat/>
    <w:pPr>
      <w:spacing w:beforeLines="50" w:before="50" w:afterLines="50" w:after="50"/>
      <w:jc w:val="both"/>
    </w:pPr>
    <w:rPr>
      <w:rFonts w:ascii="Times New Roman" w:eastAsia="黑体"/>
    </w:rPr>
  </w:style>
  <w:style w:type="paragraph" w:customStyle="1" w:styleId="2ffffffb">
    <w:name w:val="样式 标题 2 + 宋体 四号"/>
    <w:basedOn w:val="22"/>
    <w:uiPriority w:val="99"/>
    <w:qFormat/>
    <w:pPr>
      <w:spacing w:line="416" w:lineRule="atLeast"/>
      <w:textAlignment w:val="baseline"/>
    </w:pPr>
    <w:rPr>
      <w:rFonts w:ascii="宋体" w:eastAsia="宋体" w:hAnsi="宋体" w:cs="Times New Roman"/>
      <w:sz w:val="30"/>
      <w:szCs w:val="20"/>
    </w:rPr>
  </w:style>
  <w:style w:type="paragraph" w:customStyle="1" w:styleId="0b">
    <w:name w:val="样式 左  0 字符"/>
    <w:basedOn w:val="a2"/>
    <w:qFormat/>
    <w:pPr>
      <w:spacing w:line="460" w:lineRule="exact"/>
      <w:ind w:firstLineChars="200" w:firstLine="200"/>
      <w:jc w:val="both"/>
    </w:pPr>
    <w:rPr>
      <w:rFonts w:cs="宋体"/>
      <w:sz w:val="24"/>
    </w:rPr>
  </w:style>
  <w:style w:type="table" w:customStyle="1" w:styleId="1fffffffff">
    <w:name w:val="典雅型1"/>
    <w:basedOn w:val="a5"/>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ff">
    <w:name w:val="三线表11"/>
    <w:basedOn w:val="affa"/>
    <w:pPr>
      <w:adjustRightInd w:val="0"/>
      <w:snapToGrid w:val="0"/>
      <w:spacing w:line="312" w:lineRule="auto"/>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style>
  <w:style w:type="table" w:customStyle="1" w:styleId="11ff0">
    <w:name w:val="表格主题11"/>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网格型 511"/>
    <w:basedOn w:val="a5"/>
    <w:pPr>
      <w:widowControl w:val="0"/>
      <w:jc w:val="both"/>
    </w:pPr>
    <w:rPr>
      <w:rFonts w:ascii="Times New Roman" w:eastAsia="宋体"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f1">
    <w:name w:val="环评11"/>
    <w:basedOn w:val="affa"/>
    <w:rPr>
      <w:sz w:val="21"/>
    </w:rPr>
    <w:tblPr>
      <w:jc w:val="center"/>
      <w:tblInd w:w="0" w:type="dxa"/>
      <w:tblBorders>
        <w:top w:val="single" w:sz="12" w:space="0" w:color="auto"/>
        <w:bottom w:val="single" w:sz="12" w:space="0" w:color="auto"/>
      </w:tblBorders>
      <w:tblCellMar>
        <w:top w:w="0" w:type="dxa"/>
        <w:left w:w="108" w:type="dxa"/>
        <w:bottom w:w="0" w:type="dxa"/>
        <w:right w:w="108" w:type="dxa"/>
      </w:tblCellMar>
    </w:tblPr>
    <w:trPr>
      <w:jc w:val="center"/>
    </w:trPr>
    <w:tcPr>
      <w:vAlign w:val="center"/>
    </w:tcPr>
  </w:style>
  <w:style w:type="table" w:customStyle="1" w:styleId="21f8">
    <w:name w:val="三线式21"/>
    <w:basedOn w:val="a5"/>
    <w:pPr>
      <w:jc w:val="center"/>
    </w:pPr>
    <w:rPr>
      <w:rFonts w:ascii="Times New Roman" w:eastAsia="宋体" w:hAnsi="Times New Roman" w:cs="Times New Roman"/>
    </w:rPr>
    <w:tblP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cantSplit/>
      <w:tblHeader/>
    </w:trPr>
  </w:style>
  <w:style w:type="table" w:customStyle="1" w:styleId="711">
    <w:name w:val="网格型 711"/>
    <w:basedOn w:val="a5"/>
    <w:pPr>
      <w:widowControl w:val="0"/>
      <w:jc w:val="both"/>
    </w:pPr>
    <w:rPr>
      <w:rFonts w:ascii="Times New Roman" w:eastAsia="宋体"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0">
    <w:name w:val="简明型 121"/>
    <w:basedOn w:val="a5"/>
    <w:pPr>
      <w:widowControl w:val="0"/>
      <w:jc w:val="both"/>
    </w:pPr>
    <w:rPr>
      <w:rFonts w:ascii="Times New Roman" w:eastAsia="宋体"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ffff8">
    <w:name w:val="专业型3"/>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21">
    <w:name w:val="网格型 521"/>
    <w:basedOn w:val="a5"/>
    <w:pPr>
      <w:widowControl w:val="0"/>
      <w:jc w:val="both"/>
    </w:pPr>
    <w:rPr>
      <w:rFonts w:ascii="Times New Roman" w:eastAsia="宋体"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ffff9">
    <w:name w:val="环评3"/>
    <w:basedOn w:val="affa"/>
    <w:rPr>
      <w:sz w:val="21"/>
    </w:rPr>
    <w:tblPr>
      <w:jc w:val="center"/>
      <w:tblInd w:w="0" w:type="dxa"/>
      <w:tblBorders>
        <w:top w:val="single" w:sz="12" w:space="0" w:color="auto"/>
        <w:bottom w:val="single" w:sz="12" w:space="0" w:color="auto"/>
      </w:tblBorders>
      <w:tblCellMar>
        <w:top w:w="0" w:type="dxa"/>
        <w:left w:w="108" w:type="dxa"/>
        <w:bottom w:w="0" w:type="dxa"/>
        <w:right w:w="108" w:type="dxa"/>
      </w:tblCellMar>
    </w:tblPr>
    <w:trPr>
      <w:jc w:val="center"/>
    </w:trPr>
    <w:tcPr>
      <w:vAlign w:val="center"/>
    </w:tcPr>
  </w:style>
  <w:style w:type="table" w:customStyle="1" w:styleId="2ffffffc">
    <w:name w:val="三线式2"/>
    <w:basedOn w:val="a5"/>
    <w:pPr>
      <w:jc w:val="center"/>
    </w:pPr>
    <w:rPr>
      <w:rFonts w:ascii="Times New Roman" w:eastAsia="宋体" w:hAnsi="Times New Roman" w:cs="Times New Roman"/>
    </w:rPr>
    <w:tblP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cantSplit/>
      <w:tblHeader/>
    </w:trPr>
  </w:style>
  <w:style w:type="table" w:customStyle="1" w:styleId="11ff2">
    <w:name w:val="专业型11"/>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621">
    <w:name w:val="列表型 621"/>
    <w:basedOn w:val="a5"/>
    <w:pPr>
      <w:widowControl w:val="0"/>
      <w:spacing w:line="360" w:lineRule="auto"/>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b01">
    <w:name w:val="wb01"/>
    <w:basedOn w:val="a5"/>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1211">
    <w:name w:val="网格型 121"/>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ffffa">
    <w:name w:val="网格型3"/>
    <w:basedOn w:val="a5"/>
    <w:uiPriority w:val="59"/>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fd">
    <w:name w:val="网格型2"/>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b012">
    <w:name w:val="wb012"/>
    <w:basedOn w:val="a5"/>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21f9">
    <w:name w:val="专业型21"/>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wb011">
    <w:name w:val="wb011"/>
    <w:basedOn w:val="a5"/>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12fd">
    <w:name w:val="网格型 12"/>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2">
    <w:name w:val="Table Normal2"/>
    <w:basedOn w:val="a5"/>
    <w:pPr>
      <w:widowControl w:val="0"/>
    </w:pPr>
    <w:rPr>
      <w:rFonts w:ascii="Times New Roman" w:eastAsia="Times New Roman" w:hAnsi="Times New Roman" w:cs="Times New Roman"/>
      <w:sz w:val="22"/>
      <w:lang w:eastAsia="en-US"/>
    </w:rPr>
    <w:tblPr>
      <w:tblInd w:w="0" w:type="dxa"/>
      <w:tblCellMar>
        <w:top w:w="0" w:type="dxa"/>
        <w:left w:w="0" w:type="dxa"/>
        <w:bottom w:w="0" w:type="dxa"/>
        <w:right w:w="0" w:type="dxa"/>
      </w:tblCellMar>
    </w:tblPr>
  </w:style>
  <w:style w:type="table" w:customStyle="1" w:styleId="1fffffffff0">
    <w:name w:val="三线表1"/>
    <w:basedOn w:val="affa"/>
    <w:pPr>
      <w:adjustRightInd w:val="0"/>
      <w:snapToGrid w:val="0"/>
      <w:spacing w:line="312" w:lineRule="auto"/>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style>
  <w:style w:type="table" w:customStyle="1" w:styleId="3ffffb">
    <w:name w:val="环评报告书表格3"/>
    <w:basedOn w:val="a5"/>
    <w:pPr>
      <w:spacing w:line="360" w:lineRule="exact"/>
    </w:pPr>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418">
    <w:name w:val="网格型41"/>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网格型421"/>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f1">
    <w:name w:val="表格主题1"/>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列表型 31"/>
    <w:basedOn w:val="a5"/>
    <w:pPr>
      <w:widowControl w:val="0"/>
      <w:jc w:val="both"/>
    </w:pPr>
    <w:rPr>
      <w:rFonts w:ascii="Times New Roman" w:eastAsia="宋体" w:hAnsi="Times New Roman" w:cs="Times New Roman"/>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fffffffff2">
    <w:name w:val="流行型1"/>
    <w:basedOn w:val="a5"/>
    <w:pPr>
      <w:widowControl w:val="0"/>
      <w:jc w:val="both"/>
    </w:pPr>
    <w:rPr>
      <w:rFonts w:ascii="Times New Roman" w:eastAsia="宋体" w:hAnsi="Times New Roman" w:cs="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2ffffffe">
    <w:name w:val="典雅型2"/>
    <w:basedOn w:val="a5"/>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affffffffffffffffffffffffffffffffd">
    <w:name w:val="三线表"/>
    <w:basedOn w:val="affa"/>
    <w:pPr>
      <w:adjustRightInd w:val="0"/>
      <w:snapToGrid w:val="0"/>
      <w:spacing w:line="312" w:lineRule="auto"/>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style>
  <w:style w:type="table" w:customStyle="1" w:styleId="520">
    <w:name w:val="网格型 52"/>
    <w:basedOn w:val="a5"/>
    <w:pPr>
      <w:widowControl w:val="0"/>
      <w:jc w:val="both"/>
    </w:pPr>
    <w:rPr>
      <w:rFonts w:ascii="Times New Roman" w:eastAsia="宋体"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new11">
    <w:name w:val="new11"/>
    <w:basedOn w:val="a5"/>
    <w:rPr>
      <w:rFonts w:ascii="Times New Roman" w:eastAsia="宋体" w:hAnsi="Times New Roman" w:cs="Times New Roman"/>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style>
  <w:style w:type="table" w:customStyle="1" w:styleId="21fa">
    <w:name w:val="流行型21"/>
    <w:basedOn w:val="a5"/>
    <w:pPr>
      <w:widowControl w:val="0"/>
      <w:jc w:val="both"/>
    </w:pPr>
    <w:rPr>
      <w:rFonts w:ascii="Times New Roman" w:eastAsia="宋体" w:hAnsi="Times New Roman" w:cs="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811">
    <w:name w:val="网格型 811"/>
    <w:basedOn w:val="a5"/>
    <w:pPr>
      <w:widowControl w:val="0"/>
      <w:jc w:val="both"/>
    </w:pPr>
    <w:rPr>
      <w:rFonts w:ascii="Times New Roman" w:eastAsia="宋体"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610">
    <w:name w:val="列表型 61"/>
    <w:basedOn w:val="a5"/>
    <w:pPr>
      <w:widowControl w:val="0"/>
      <w:spacing w:line="360" w:lineRule="auto"/>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fb">
    <w:name w:val="环评21"/>
    <w:basedOn w:val="affa"/>
    <w:rPr>
      <w:sz w:val="21"/>
    </w:rPr>
    <w:tblPr>
      <w:jc w:val="center"/>
      <w:tblInd w:w="0" w:type="dxa"/>
      <w:tblBorders>
        <w:top w:val="single" w:sz="12" w:space="0" w:color="auto"/>
        <w:bottom w:val="single" w:sz="12" w:space="0" w:color="auto"/>
      </w:tblBorders>
      <w:tblCellMar>
        <w:top w:w="0" w:type="dxa"/>
        <w:left w:w="108" w:type="dxa"/>
        <w:bottom w:w="0" w:type="dxa"/>
        <w:right w:w="108" w:type="dxa"/>
      </w:tblCellMar>
    </w:tblPr>
    <w:trPr>
      <w:jc w:val="center"/>
    </w:trPr>
    <w:tcPr>
      <w:vAlign w:val="center"/>
    </w:tcPr>
  </w:style>
  <w:style w:type="table" w:customStyle="1" w:styleId="530">
    <w:name w:val="网格型 53"/>
    <w:basedOn w:val="a5"/>
    <w:pPr>
      <w:widowControl w:val="0"/>
      <w:jc w:val="both"/>
    </w:pPr>
    <w:rPr>
      <w:rFonts w:ascii="Times New Roman" w:eastAsia="宋体"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27">
    <w:name w:val="列表型 32"/>
    <w:basedOn w:val="a5"/>
    <w:pPr>
      <w:widowControl w:val="0"/>
      <w:jc w:val="both"/>
    </w:pPr>
    <w:rPr>
      <w:rFonts w:ascii="Times New Roman" w:eastAsia="宋体" w:hAnsi="Times New Roman" w:cs="Times New Roman"/>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721">
    <w:name w:val="网格型 721"/>
    <w:basedOn w:val="a5"/>
    <w:pPr>
      <w:widowControl w:val="0"/>
      <w:jc w:val="both"/>
    </w:pPr>
    <w:rPr>
      <w:rFonts w:ascii="Times New Roman" w:eastAsia="宋体"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fc">
    <w:name w:val="环评报告书表格21"/>
    <w:basedOn w:val="a5"/>
    <w:pPr>
      <w:spacing w:line="360" w:lineRule="exact"/>
    </w:pPr>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620">
    <w:name w:val="列表型 62"/>
    <w:basedOn w:val="a5"/>
    <w:pPr>
      <w:widowControl w:val="0"/>
      <w:spacing w:line="360" w:lineRule="auto"/>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ffff">
    <w:name w:val="环评报告书表格2"/>
    <w:basedOn w:val="a5"/>
    <w:pPr>
      <w:spacing w:line="360" w:lineRule="exact"/>
    </w:pPr>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710">
    <w:name w:val="网格型 71"/>
    <w:basedOn w:val="a5"/>
    <w:pPr>
      <w:widowControl w:val="0"/>
      <w:jc w:val="both"/>
    </w:pPr>
    <w:rPr>
      <w:rFonts w:ascii="Times New Roman" w:eastAsia="宋体"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10">
    <w:name w:val="网格型411"/>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列表型 321"/>
    <w:basedOn w:val="a5"/>
    <w:pPr>
      <w:widowControl w:val="0"/>
      <w:jc w:val="both"/>
    </w:pPr>
    <w:rPr>
      <w:rFonts w:ascii="Times New Roman" w:eastAsia="宋体" w:hAnsi="Times New Roman" w:cs="Times New Roman"/>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812">
    <w:name w:val="网格型 81"/>
    <w:basedOn w:val="a5"/>
    <w:pPr>
      <w:widowControl w:val="0"/>
      <w:jc w:val="both"/>
    </w:pPr>
    <w:rPr>
      <w:rFonts w:ascii="Times New Roman" w:eastAsia="宋体"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830">
    <w:name w:val="网格型 83"/>
    <w:basedOn w:val="a5"/>
    <w:pPr>
      <w:widowControl w:val="0"/>
      <w:jc w:val="both"/>
    </w:pPr>
    <w:rPr>
      <w:rFonts w:ascii="Times New Roman" w:eastAsia="宋体"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1fd">
    <w:name w:val="表格主题21"/>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1">
    <w:name w:val="简明型 13"/>
    <w:basedOn w:val="a5"/>
    <w:pPr>
      <w:widowControl w:val="0"/>
      <w:jc w:val="both"/>
    </w:pPr>
    <w:rPr>
      <w:rFonts w:ascii="Times New Roman" w:eastAsia="宋体"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2fe">
    <w:name w:val="古典型 12"/>
    <w:basedOn w:val="a5"/>
    <w:pPr>
      <w:widowControl w:val="0"/>
      <w:jc w:val="both"/>
    </w:pPr>
    <w:rPr>
      <w:rFonts w:ascii="Times New Roman" w:eastAsia="宋体"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ff3">
    <w:name w:val="古典型 11"/>
    <w:basedOn w:val="a5"/>
    <w:pPr>
      <w:widowControl w:val="0"/>
      <w:jc w:val="both"/>
    </w:pPr>
    <w:rPr>
      <w:rFonts w:ascii="Times New Roman" w:eastAsia="宋体"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e">
    <w:name w:val="三线表21"/>
    <w:basedOn w:val="affa"/>
    <w:pPr>
      <w:adjustRightInd w:val="0"/>
      <w:snapToGrid w:val="0"/>
      <w:spacing w:line="312" w:lineRule="auto"/>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style>
  <w:style w:type="table" w:customStyle="1" w:styleId="1fffffffff3">
    <w:name w:val="专业型1"/>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new3">
    <w:name w:val="new3"/>
    <w:basedOn w:val="a5"/>
    <w:rPr>
      <w:rFonts w:ascii="Times New Roman" w:eastAsia="宋体" w:hAnsi="Times New Roman" w:cs="Times New Roman"/>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style>
  <w:style w:type="table" w:customStyle="1" w:styleId="affffffffffffffffffffffffffffffffe">
    <w:name w:val="环评报告书表格"/>
    <w:basedOn w:val="a5"/>
    <w:pPr>
      <w:spacing w:line="360" w:lineRule="exact"/>
    </w:pPr>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12ff">
    <w:name w:val="简明型 12"/>
    <w:basedOn w:val="a5"/>
    <w:pPr>
      <w:widowControl w:val="0"/>
      <w:jc w:val="both"/>
    </w:pPr>
    <w:rPr>
      <w:rFonts w:ascii="Times New Roman" w:eastAsia="宋体"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new1">
    <w:name w:val="new1"/>
    <w:basedOn w:val="a5"/>
    <w:rPr>
      <w:rFonts w:ascii="Times New Roman" w:eastAsia="宋体" w:hAnsi="Times New Roman" w:cs="Times New Roman"/>
    </w:rPr>
    <w:tblP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0" w:type="dxa"/>
        <w:left w:w="108" w:type="dxa"/>
        <w:bottom w:w="0" w:type="dxa"/>
        <w:right w:w="108" w:type="dxa"/>
      </w:tblCellMar>
    </w:tblPr>
  </w:style>
  <w:style w:type="table" w:customStyle="1" w:styleId="720">
    <w:name w:val="网格型 72"/>
    <w:basedOn w:val="a5"/>
    <w:pPr>
      <w:widowControl w:val="0"/>
      <w:jc w:val="both"/>
    </w:pPr>
    <w:rPr>
      <w:rFonts w:ascii="Times New Roman" w:eastAsia="宋体"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afffffffffffffffffffffffffffffffff">
    <w:name w:val="环评"/>
    <w:basedOn w:val="affa"/>
    <w:rPr>
      <w:sz w:val="21"/>
    </w:rPr>
    <w:tblPr>
      <w:jc w:val="center"/>
      <w:tblInd w:w="0" w:type="dxa"/>
      <w:tblBorders>
        <w:top w:val="single" w:sz="12" w:space="0" w:color="auto"/>
        <w:bottom w:val="single" w:sz="12" w:space="0" w:color="auto"/>
      </w:tblBorders>
      <w:tblCellMar>
        <w:top w:w="0" w:type="dxa"/>
        <w:left w:w="108" w:type="dxa"/>
        <w:bottom w:w="0" w:type="dxa"/>
        <w:right w:w="108" w:type="dxa"/>
      </w:tblCellMar>
    </w:tblPr>
    <w:trPr>
      <w:jc w:val="center"/>
    </w:trPr>
    <w:tcPr>
      <w:vAlign w:val="center"/>
    </w:tcPr>
  </w:style>
  <w:style w:type="table" w:customStyle="1" w:styleId="3ffffc">
    <w:name w:val="三线表3"/>
    <w:basedOn w:val="affa"/>
    <w:pPr>
      <w:adjustRightInd w:val="0"/>
      <w:snapToGrid w:val="0"/>
      <w:spacing w:line="312" w:lineRule="auto"/>
      <w:jc w:val="center"/>
    </w:pPr>
    <w:rPr>
      <w:sz w:val="21"/>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vAlign w:val="center"/>
    </w:tcPr>
  </w:style>
  <w:style w:type="table" w:customStyle="1" w:styleId="1116">
    <w:name w:val="古典型 111"/>
    <w:basedOn w:val="a5"/>
    <w:pPr>
      <w:widowControl w:val="0"/>
      <w:jc w:val="both"/>
    </w:pPr>
    <w:rPr>
      <w:rFonts w:ascii="Times New Roman" w:eastAsia="宋体"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ffffd">
    <w:name w:val="典雅型3"/>
    <w:basedOn w:val="a5"/>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ff4">
    <w:name w:val="网格型 11"/>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35">
    <w:name w:val="列表型 33"/>
    <w:basedOn w:val="a5"/>
    <w:pPr>
      <w:widowControl w:val="0"/>
      <w:jc w:val="both"/>
    </w:pPr>
    <w:rPr>
      <w:rFonts w:ascii="Times New Roman" w:eastAsia="宋体" w:hAnsi="Times New Roman" w:cs="Times New Roman"/>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3f2">
    <w:name w:val="网格型 13"/>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7">
    <w:name w:val="网格型 111"/>
    <w:basedOn w:val="a5"/>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ffff4">
    <w:name w:val="环评1"/>
    <w:basedOn w:val="affa"/>
    <w:rPr>
      <w:sz w:val="21"/>
    </w:rPr>
    <w:tblPr>
      <w:jc w:val="center"/>
      <w:tblInd w:w="0" w:type="dxa"/>
      <w:tblBorders>
        <w:top w:val="single" w:sz="12" w:space="0" w:color="auto"/>
        <w:bottom w:val="single" w:sz="12" w:space="0" w:color="auto"/>
      </w:tblBorders>
      <w:tblCellMar>
        <w:top w:w="0" w:type="dxa"/>
        <w:left w:w="108" w:type="dxa"/>
        <w:bottom w:w="0" w:type="dxa"/>
        <w:right w:w="108" w:type="dxa"/>
      </w:tblCellMar>
    </w:tblPr>
    <w:trPr>
      <w:jc w:val="center"/>
    </w:trPr>
    <w:tcPr>
      <w:vAlign w:val="center"/>
    </w:tcPr>
  </w:style>
  <w:style w:type="table" w:customStyle="1" w:styleId="wb013">
    <w:name w:val="wb013"/>
    <w:basedOn w:val="a5"/>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820">
    <w:name w:val="网格型 82"/>
    <w:basedOn w:val="a5"/>
    <w:pPr>
      <w:widowControl w:val="0"/>
      <w:jc w:val="both"/>
    </w:pPr>
    <w:rPr>
      <w:rFonts w:ascii="Times New Roman" w:eastAsia="宋体"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fffffff0">
    <w:name w:val="表格主题2"/>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f5">
    <w:name w:val="环评报告书表格1"/>
    <w:basedOn w:val="a5"/>
    <w:pPr>
      <w:spacing w:line="360" w:lineRule="exact"/>
    </w:pPr>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1fffffffff6">
    <w:name w:val="网格型1"/>
    <w:basedOn w:val="a5"/>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网格型 51"/>
    <w:basedOn w:val="a5"/>
    <w:pPr>
      <w:widowControl w:val="0"/>
      <w:jc w:val="both"/>
    </w:pPr>
    <w:rPr>
      <w:rFonts w:ascii="Times New Roman" w:eastAsia="宋体"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ff0">
    <w:name w:val="网格型4"/>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fe">
    <w:name w:val="流行型3"/>
    <w:basedOn w:val="a5"/>
    <w:pPr>
      <w:widowControl w:val="0"/>
      <w:jc w:val="both"/>
    </w:pPr>
    <w:rPr>
      <w:rFonts w:ascii="Times New Roman" w:eastAsia="宋体" w:hAnsi="Times New Roman" w:cs="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ff5">
    <w:name w:val="网格型11"/>
    <w:basedOn w:val="a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6">
    <w:name w:val="环评报告书表格11"/>
    <w:basedOn w:val="a5"/>
    <w:pPr>
      <w:spacing w:line="360" w:lineRule="exact"/>
    </w:pPr>
    <w:rPr>
      <w:rFonts w:ascii="Times New Roman" w:eastAsia="宋体" w:hAnsi="Times New Roman" w:cs="Times New Roman"/>
    </w:r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11ff7">
    <w:name w:val="三线式11"/>
    <w:basedOn w:val="a5"/>
    <w:pPr>
      <w:jc w:val="center"/>
    </w:pPr>
    <w:rPr>
      <w:rFonts w:ascii="Times New Roman" w:eastAsia="宋体" w:hAnsi="Times New Roman" w:cs="Times New Roman"/>
    </w:rPr>
    <w:tblP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cantSplit/>
      <w:tblHeader/>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5.wmf"/><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oleObject" Target="embeddings/oleObject9.bin"/><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4.wmf"/><Relationship Id="rId45" Type="http://schemas.openxmlformats.org/officeDocument/2006/relationships/oleObject" Target="embeddings/oleObject6.bin"/><Relationship Id="rId53" Type="http://schemas.openxmlformats.org/officeDocument/2006/relationships/chart" Target="charts/chart1.xml"/><Relationship Id="rId58" Type="http://schemas.openxmlformats.org/officeDocument/2006/relationships/image" Target="media/image37.wmf"/><Relationship Id="rId66"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oleObject" Target="embeddings/oleObject8.bin"/><Relationship Id="rId19" Type="http://schemas.openxmlformats.org/officeDocument/2006/relationships/oleObject" Target="embeddings/oleObject1.bin"/><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oleObject" Target="embeddings/oleObject5.bin"/><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0.jpeg"/><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wmf"/><Relationship Id="rId46" Type="http://schemas.openxmlformats.org/officeDocument/2006/relationships/image" Target="media/image27.png"/><Relationship Id="rId59" Type="http://schemas.openxmlformats.org/officeDocument/2006/relationships/oleObject" Target="embeddings/oleObject7.bin"/><Relationship Id="rId67"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oleObject" Target="embeddings/oleObject4.bin"/><Relationship Id="rId54" Type="http://schemas.openxmlformats.org/officeDocument/2006/relationships/image" Target="media/image34.png"/><Relationship Id="rId62"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chart" Target="charts/chart2.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6.wmf"/><Relationship Id="rId52" Type="http://schemas.openxmlformats.org/officeDocument/2006/relationships/image" Target="media/image33.png"/><Relationship Id="rId60" Type="http://schemas.openxmlformats.org/officeDocument/2006/relationships/image" Target="media/image38.wmf"/><Relationship Id="rId65" Type="http://schemas.openxmlformats.org/officeDocument/2006/relationships/image" Target="media/image41.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nongzi100.com/forum-60-1.html" TargetMode="External"/><Relationship Id="rId18" Type="http://schemas.openxmlformats.org/officeDocument/2006/relationships/image" Target="media/image5.wmf"/><Relationship Id="rId39"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Desktop\&#21326;&#23425;&#21442;&#25968;-&#39044;&#27979;&#32467;&#26524;.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Desktop\&#21326;&#23425;&#21442;&#25968;-&#39044;&#27979;&#32467;&#26524;.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'[华宁参数-预测结果.xls]华宁预测-固定时间，不同距离'!#REF!</c:f>
              <c:strCache>
                <c:ptCount val="1"/>
              </c:strCache>
            </c:strRef>
          </c:tx>
          <c:spPr>
            <a:ln w="9525" cap="rnd" cmpd="sng" algn="ctr">
              <a:solidFill>
                <a:schemeClr val="accent1">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'[华宁参数-预测结果.xls]华宁预测-固定时间，不同距离'!#REF!</c:f>
              <c:numCache>
                <c:formatCode>General</c:formatCode>
                <c:ptCount val="1"/>
                <c:pt idx="0">
                  <c:v>1</c:v>
                </c:pt>
              </c:numCache>
            </c:numRef>
          </c:yVal>
          <c:smooth val="1"/>
        </c:ser>
        <c:ser>
          <c:idx val="1"/>
          <c:order val="1"/>
          <c:tx>
            <c:strRef>
              <c:f>'[华宁参数-预测结果.xls]华宁预测-固定时间，不同距离'!$B$6</c:f>
              <c:strCache>
                <c:ptCount val="1"/>
                <c:pt idx="0">
                  <c:v>100天</c:v>
                </c:pt>
              </c:strCache>
            </c:strRef>
          </c:tx>
          <c:spPr>
            <a:ln w="9525" cap="rnd" cmpd="sng" algn="ctr">
              <a:solidFill>
                <a:schemeClr val="accent2">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'[华宁参数-预测结果.xls]华宁预测-固定时间，不同距离'!$B$7:$B$27</c:f>
              <c:numCache>
                <c:formatCode>0.00000_ </c:formatCode>
                <c:ptCount val="21"/>
                <c:pt idx="0">
                  <c:v>5.101965E-2</c:v>
                </c:pt>
                <c:pt idx="1">
                  <c:v>3.5576030000000002E-2</c:v>
                </c:pt>
                <c:pt idx="2">
                  <c:v>5.4371379999999998E-6</c:v>
                </c:pt>
                <c:pt idx="3">
                  <c:v>7.5588200000000005E-13</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yVal>
          <c:smooth val="1"/>
        </c:ser>
        <c:ser>
          <c:idx val="2"/>
          <c:order val="2"/>
          <c:tx>
            <c:strRef>
              <c:f>'[华宁参数-预测结果.xls]华宁预测-固定时间，不同距离'!$C$6</c:f>
              <c:strCache>
                <c:ptCount val="1"/>
                <c:pt idx="0">
                  <c:v>500天</c:v>
                </c:pt>
              </c:strCache>
            </c:strRef>
          </c:tx>
          <c:spPr>
            <a:ln w="9525" cap="rnd" cmpd="sng" algn="ctr">
              <a:solidFill>
                <a:schemeClr val="accent3">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'[华宁参数-预测结果.xls]华宁预测-固定时间，不同距离'!$C$7:$C$27</c:f>
              <c:numCache>
                <c:formatCode>0.00000_ </c:formatCode>
                <c:ptCount val="21"/>
                <c:pt idx="0">
                  <c:v>1.8724459999999998E-2</c:v>
                </c:pt>
                <c:pt idx="1">
                  <c:v>5.7195559999999999E-2</c:v>
                </c:pt>
                <c:pt idx="2">
                  <c:v>2.7310270000000001E-2</c:v>
                </c:pt>
                <c:pt idx="3">
                  <c:v>2.8514159999999998E-3</c:v>
                </c:pt>
                <c:pt idx="4">
                  <c:v>7.0530829999999994E-5</c:v>
                </c:pt>
                <c:pt idx="5">
                  <c:v>4.2697740000000002E-7</c:v>
                </c:pt>
                <c:pt idx="6">
                  <c:v>6.4304170000000001E-10</c:v>
                </c:pt>
                <c:pt idx="7">
                  <c:v>2.614686E-13</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yVal>
          <c:smooth val="1"/>
        </c:ser>
        <c:ser>
          <c:idx val="3"/>
          <c:order val="3"/>
          <c:tx>
            <c:strRef>
              <c:f>'[华宁参数-预测结果.xls]华宁预测-固定时间，不同距离'!$D$6</c:f>
              <c:strCache>
                <c:ptCount val="1"/>
                <c:pt idx="0">
                  <c:v>1000天        </c:v>
                </c:pt>
              </c:strCache>
            </c:strRef>
          </c:tx>
          <c:spPr>
            <a:ln w="9525" cap="rnd" cmpd="sng" algn="ctr">
              <a:solidFill>
                <a:schemeClr val="accent4">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'[华宁参数-预测结果.xls]华宁预测-固定时间，不同距离'!$D$7:$D$27</c:f>
              <c:numCache>
                <c:formatCode>0.00000_ </c:formatCode>
                <c:ptCount val="21"/>
                <c:pt idx="0">
                  <c:v>1.0365050000000001E-2</c:v>
                </c:pt>
                <c:pt idx="1">
                  <c:v>3.0574799999999999E-2</c:v>
                </c:pt>
                <c:pt idx="2">
                  <c:v>3.625739E-2</c:v>
                </c:pt>
                <c:pt idx="3">
                  <c:v>1.9660690000000001E-2</c:v>
                </c:pt>
                <c:pt idx="4">
                  <c:v>5.0963470000000002E-3</c:v>
                </c:pt>
                <c:pt idx="5">
                  <c:v>6.4473030000000004E-4</c:v>
                </c:pt>
                <c:pt idx="6">
                  <c:v>4.0268739999999999E-5</c:v>
                </c:pt>
                <c:pt idx="7">
                  <c:v>1.250588E-6</c:v>
                </c:pt>
                <c:pt idx="8">
                  <c:v>1.940122E-8</c:v>
                </c:pt>
                <c:pt idx="9">
                  <c:v>1.508246E-10</c:v>
                </c:pt>
                <c:pt idx="10">
                  <c:v>6.3227869999999996E-13</c:v>
                </c:pt>
                <c:pt idx="11">
                  <c:v>0</c:v>
                </c:pt>
                <c:pt idx="12">
                  <c:v>0</c:v>
                </c:pt>
                <c:pt idx="13">
                  <c:v>0</c:v>
                </c:pt>
                <c:pt idx="14">
                  <c:v>0</c:v>
                </c:pt>
                <c:pt idx="15">
                  <c:v>0</c:v>
                </c:pt>
                <c:pt idx="16">
                  <c:v>0</c:v>
                </c:pt>
                <c:pt idx="17">
                  <c:v>0</c:v>
                </c:pt>
                <c:pt idx="18">
                  <c:v>0</c:v>
                </c:pt>
                <c:pt idx="19">
                  <c:v>0</c:v>
                </c:pt>
                <c:pt idx="20">
                  <c:v>0</c:v>
                </c:pt>
              </c:numCache>
            </c:numRef>
          </c:yVal>
          <c:smooth val="1"/>
        </c:ser>
        <c:ser>
          <c:idx val="4"/>
          <c:order val="4"/>
          <c:tx>
            <c:strRef>
              <c:f>'[华宁参数-预测结果.xls]华宁预测-固定时间，不同距离'!$E$6</c:f>
              <c:strCache>
                <c:ptCount val="1"/>
                <c:pt idx="0">
                  <c:v>2500天        </c:v>
                </c:pt>
              </c:strCache>
            </c:strRef>
          </c:tx>
          <c:spPr>
            <a:ln w="9525" cap="rnd" cmpd="sng" algn="ctr">
              <a:solidFill>
                <a:schemeClr val="accent5">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'[华宁参数-预测结果.xls]华宁预测-固定时间，不同距离'!$E$7:$E$27</c:f>
              <c:numCache>
                <c:formatCode>0.00000_ </c:formatCode>
                <c:ptCount val="21"/>
                <c:pt idx="0">
                  <c:v>3.1470109999999999E-3</c:v>
                </c:pt>
                <c:pt idx="1">
                  <c:v>8.277174E-3</c:v>
                </c:pt>
                <c:pt idx="2">
                  <c:v>1.555225E-2</c:v>
                </c:pt>
                <c:pt idx="3">
                  <c:v>2.1376349999999999E-2</c:v>
                </c:pt>
                <c:pt idx="4">
                  <c:v>2.1766790000000001E-2</c:v>
                </c:pt>
                <c:pt idx="5">
                  <c:v>1.654479E-2</c:v>
                </c:pt>
                <c:pt idx="6">
                  <c:v>9.4330560000000004E-3</c:v>
                </c:pt>
                <c:pt idx="7">
                  <c:v>4.0476740000000002E-3</c:v>
                </c:pt>
                <c:pt idx="8">
                  <c:v>1.3102439999999999E-3</c:v>
                </c:pt>
                <c:pt idx="9">
                  <c:v>3.20532E-4</c:v>
                </c:pt>
                <c:pt idx="10">
                  <c:v>5.934265E-5</c:v>
                </c:pt>
                <c:pt idx="11">
                  <c:v>8.3236620000000007E-6</c:v>
                </c:pt>
                <c:pt idx="12">
                  <c:v>8.8530100000000005E-7</c:v>
                </c:pt>
                <c:pt idx="13">
                  <c:v>7.1449259999999997E-8</c:v>
                </c:pt>
                <c:pt idx="14">
                  <c:v>4.3780120000000001E-9</c:v>
                </c:pt>
                <c:pt idx="15">
                  <c:v>2.0376489999999999E-10</c:v>
                </c:pt>
                <c:pt idx="16">
                  <c:v>7.207026E-12</c:v>
                </c:pt>
                <c:pt idx="17">
                  <c:v>2.0917490000000001E-13</c:v>
                </c:pt>
                <c:pt idx="18">
                  <c:v>4.7539750000000001E-15</c:v>
                </c:pt>
                <c:pt idx="19">
                  <c:v>0</c:v>
                </c:pt>
                <c:pt idx="20">
                  <c:v>0</c:v>
                </c:pt>
              </c:numCache>
            </c:numRef>
          </c:yVal>
          <c:smooth val="1"/>
        </c:ser>
        <c:ser>
          <c:idx val="5"/>
          <c:order val="5"/>
          <c:tx>
            <c:strRef>
              <c:f>'[华宁参数-预测结果.xls]华宁预测-固定时间，不同距离'!$F$6</c:f>
              <c:strCache>
                <c:ptCount val="1"/>
                <c:pt idx="0">
                  <c:v>5000天        </c:v>
                </c:pt>
              </c:strCache>
            </c:strRef>
          </c:tx>
          <c:spPr>
            <a:ln w="9525" cap="rnd" cmpd="sng" algn="ctr">
              <a:solidFill>
                <a:schemeClr val="accent6">
                  <a:shade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'[华宁参数-预测结果.xls]华宁预测-固定时间，不同距离'!$F$7:$F$27</c:f>
              <c:numCache>
                <c:formatCode>0.00000_ </c:formatCode>
                <c:ptCount val="21"/>
                <c:pt idx="0">
                  <c:v>6.5507580000000003E-4</c:v>
                </c:pt>
                <c:pt idx="1">
                  <c:v>1.6135609999999999E-3</c:v>
                </c:pt>
                <c:pt idx="2">
                  <c:v>3.39865E-3</c:v>
                </c:pt>
                <c:pt idx="3">
                  <c:v>6.1513770000000004E-3</c:v>
                </c:pt>
                <c:pt idx="4">
                  <c:v>9.5991110000000004E-3</c:v>
                </c:pt>
                <c:pt idx="5">
                  <c:v>1.294527E-2</c:v>
                </c:pt>
                <c:pt idx="6">
                  <c:v>1.511385E-2</c:v>
                </c:pt>
                <c:pt idx="7">
                  <c:v>1.5296590000000001E-2</c:v>
                </c:pt>
                <c:pt idx="8">
                  <c:v>1.34346E-2</c:v>
                </c:pt>
                <c:pt idx="9">
                  <c:v>1.0247549999999999E-2</c:v>
                </c:pt>
                <c:pt idx="10">
                  <c:v>6.7931220000000004E-3</c:v>
                </c:pt>
                <c:pt idx="11">
                  <c:v>3.9156520000000004E-3</c:v>
                </c:pt>
                <c:pt idx="12">
                  <c:v>1.9634359999999998E-3</c:v>
                </c:pt>
                <c:pt idx="13">
                  <c:v>8.567882E-4</c:v>
                </c:pt>
                <c:pt idx="14">
                  <c:v>3.25476E-4</c:v>
                </c:pt>
                <c:pt idx="15">
                  <c:v>1.076664E-4</c:v>
                </c:pt>
                <c:pt idx="16">
                  <c:v>3.1021849999999998E-5</c:v>
                </c:pt>
                <c:pt idx="17">
                  <c:v>7.7871530000000004E-6</c:v>
                </c:pt>
                <c:pt idx="18">
                  <c:v>1.7033240000000001E-6</c:v>
                </c:pt>
                <c:pt idx="19">
                  <c:v>3.2471040000000002E-7</c:v>
                </c:pt>
                <c:pt idx="20">
                  <c:v>5.3955950000000001E-8</c:v>
                </c:pt>
              </c:numCache>
            </c:numRef>
          </c:yVal>
          <c:smooth val="1"/>
        </c:ser>
        <c:ser>
          <c:idx val="6"/>
          <c:order val="6"/>
          <c:tx>
            <c:strRef>
              <c:f>'[华宁参数-预测结果.xls]华宁预测-固定时间，不同距离'!$G$6</c:f>
              <c:strCache>
                <c:ptCount val="1"/>
                <c:pt idx="0">
                  <c:v>7200天        </c:v>
                </c:pt>
              </c:strCache>
            </c:strRef>
          </c:tx>
          <c:spPr>
            <a:ln w="9525" cap="rnd" cmpd="sng" algn="ctr">
              <a:solidFill>
                <a:schemeClr val="accent1">
                  <a:tint val="76667"/>
                </a:schemeClr>
              </a:solidFill>
              <a:prstDash val="solid"/>
              <a:round/>
            </a:ln>
            <a:effectLst/>
          </c:spPr>
          <c:marker>
            <c:symbol val="none"/>
          </c:marker>
          <c:xVal>
            <c:numRef>
              <c:f>'[华宁参数-预测结果.xls]华宁预测-固定时间，不同距离'!$A$7:$A$27</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'[华宁参数-预测结果.xls]华宁预测-固定时间，不同距离'!$G$7:$G$27</c:f>
              <c:numCache>
                <c:formatCode>0.00000_ </c:formatCode>
                <c:ptCount val="21"/>
                <c:pt idx="0">
                  <c:v>1.861066E-4</c:v>
                </c:pt>
                <c:pt idx="1">
                  <c:v>4.4759409999999998E-4</c:v>
                </c:pt>
                <c:pt idx="2">
                  <c:v>9.6901120000000005E-4</c:v>
                </c:pt>
                <c:pt idx="3">
                  <c:v>1.892073E-3</c:v>
                </c:pt>
                <c:pt idx="4">
                  <c:v>3.3369279999999999E-3</c:v>
                </c:pt>
                <c:pt idx="5">
                  <c:v>5.3216690000000002E-3</c:v>
                </c:pt>
                <c:pt idx="6">
                  <c:v>7.6812039999999996E-3</c:v>
                </c:pt>
                <c:pt idx="7">
                  <c:v>1.004154E-2</c:v>
                </c:pt>
                <c:pt idx="8">
                  <c:v>1.1896220000000001E-2</c:v>
                </c:pt>
                <c:pt idx="9">
                  <c:v>1.277815E-2</c:v>
                </c:pt>
                <c:pt idx="10">
                  <c:v>1.2449440000000001E-2</c:v>
                </c:pt>
                <c:pt idx="11">
                  <c:v>1.100519E-2</c:v>
                </c:pt>
                <c:pt idx="12">
                  <c:v>8.8295379999999996E-3</c:v>
                </c:pt>
                <c:pt idx="13">
                  <c:v>6.4310060000000004E-3</c:v>
                </c:pt>
                <c:pt idx="14">
                  <c:v>4.2531540000000003E-3</c:v>
                </c:pt>
                <c:pt idx="15">
                  <c:v>2.5545419999999999E-3</c:v>
                </c:pt>
                <c:pt idx="16">
                  <c:v>1.393654E-3</c:v>
                </c:pt>
                <c:pt idx="17">
                  <c:v>6.9071819999999996E-4</c:v>
                </c:pt>
                <c:pt idx="18">
                  <c:v>3.1103560000000002E-4</c:v>
                </c:pt>
                <c:pt idx="19">
                  <c:v>1.2727300000000001E-4</c:v>
                </c:pt>
                <c:pt idx="20">
                  <c:v>4.7329210000000001E-5</c:v>
                </c:pt>
              </c:numCache>
            </c:numRef>
          </c:yVal>
          <c:smooth val="1"/>
        </c:ser>
        <c:dLbls>
          <c:showLegendKey val="0"/>
          <c:showVal val="0"/>
          <c:showCatName val="0"/>
          <c:showSerName val="0"/>
          <c:showPercent val="0"/>
          <c:showBubbleSize val="0"/>
        </c:dLbls>
        <c:axId val="303162496"/>
        <c:axId val="303163072"/>
      </c:scatterChart>
      <c:valAx>
        <c:axId val="303162496"/>
        <c:scaling>
          <c:orientation val="minMax"/>
          <c:max val="1000"/>
        </c:scaling>
        <c:delete val="0"/>
        <c:axPos val="b"/>
        <c:majorGridlines>
          <c:spPr>
            <a:ln w="9525"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6350" cap="flat" cmpd="sng" algn="ctr">
            <a:solidFill>
              <a:schemeClr val="tx2">
                <a:lumMod val="40000"/>
                <a:lumOff val="60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303163072"/>
        <c:crosses val="autoZero"/>
        <c:crossBetween val="midCat"/>
      </c:valAx>
      <c:valAx>
        <c:axId val="303163072"/>
        <c:scaling>
          <c:orientation val="minMax"/>
          <c:max val="7.0000000000000007E-2"/>
          <c:min val="0"/>
        </c:scaling>
        <c:delete val="0"/>
        <c:axPos val="l"/>
        <c:majorGridlines>
          <c:spPr>
            <a:ln w="9525" cap="flat" cmpd="sng" algn="ctr">
              <a:solidFill>
                <a:schemeClr val="tx2">
                  <a:lumMod val="15000"/>
                  <a:lumOff val="85000"/>
                </a:schemeClr>
              </a:solidFill>
              <a:prstDash val="solid"/>
              <a:round/>
            </a:ln>
            <a:effectLst/>
          </c:spPr>
        </c:majorGridlines>
        <c:numFmt formatCode="#,##0.00_);[Red]\(#,##0.00\)" sourceLinked="0"/>
        <c:majorTickMark val="none"/>
        <c:minorTickMark val="none"/>
        <c:tickLblPos val="nextTo"/>
        <c:spPr>
          <a:noFill/>
          <a:ln w="6350" cap="flat" cmpd="sng" algn="ctr">
            <a:solidFill>
              <a:schemeClr val="tx2">
                <a:lumMod val="40000"/>
                <a:lumOff val="60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303162496"/>
        <c:crosses val="autoZero"/>
        <c:crossBetween val="midCat"/>
      </c:valAx>
      <c:spPr>
        <a:noFill/>
        <a:ln>
          <a:noFill/>
        </a:ln>
        <a:effectLst/>
      </c:spPr>
    </c:plotArea>
    <c:legend>
      <c:legendPos val="b"/>
      <c:legendEntry>
        <c:idx val="0"/>
        <c:delete val="1"/>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wrap="square"/>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2878477658678E-2"/>
          <c:y val="4.0364836017853699E-2"/>
          <c:w val="0.75062025773816698"/>
          <c:h val="0.86345817970114502"/>
        </c:manualLayout>
      </c:layout>
      <c:scatterChart>
        <c:scatterStyle val="smoothMarker"/>
        <c:varyColors val="0"/>
        <c:ser>
          <c:idx val="1"/>
          <c:order val="0"/>
          <c:tx>
            <c:strRef>
              <c:f>'[华宁参数-预测结果.xls]华宁预测-固定距离，不同时间'!$C$6</c:f>
              <c:strCache>
                <c:ptCount val="1"/>
                <c:pt idx="0">
                  <c:v>50m        </c:v>
                </c:pt>
              </c:strCache>
            </c:strRef>
          </c:tx>
          <c:spPr>
            <a:ln w="19050" cap="rnd" cmpd="sng" algn="ctr">
              <a:solidFill>
                <a:schemeClr val="accent2"/>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'[华宁参数-预测结果.xls]华宁预测-固定距离，不同时间'!$C$7:$C$79</c:f>
              <c:numCache>
                <c:formatCode>0.00000_ </c:formatCode>
                <c:ptCount val="73"/>
                <c:pt idx="0">
                  <c:v>0</c:v>
                </c:pt>
                <c:pt idx="1">
                  <c:v>3.5576030000000002E-2</c:v>
                </c:pt>
                <c:pt idx="2">
                  <c:v>7.3134770000000002E-2</c:v>
                </c:pt>
                <c:pt idx="3">
                  <c:v>7.3320830000000004E-2</c:v>
                </c:pt>
                <c:pt idx="4">
                  <c:v>6.5514210000000003E-2</c:v>
                </c:pt>
                <c:pt idx="5">
                  <c:v>5.7195559999999999E-2</c:v>
                </c:pt>
                <c:pt idx="6">
                  <c:v>4.9879409999999999E-2</c:v>
                </c:pt>
                <c:pt idx="7">
                  <c:v>4.3717680000000002E-2</c:v>
                </c:pt>
                <c:pt idx="8">
                  <c:v>3.8565139999999998E-2</c:v>
                </c:pt>
                <c:pt idx="9">
                  <c:v>3.4237740000000003E-2</c:v>
                </c:pt>
                <c:pt idx="10">
                  <c:v>3.0574799999999999E-2</c:v>
                </c:pt>
                <c:pt idx="11">
                  <c:v>2.7447180000000002E-2</c:v>
                </c:pt>
                <c:pt idx="12">
                  <c:v>2.4753750000000001E-2</c:v>
                </c:pt>
                <c:pt idx="13">
                  <c:v>2.2415770000000002E-2</c:v>
                </c:pt>
                <c:pt idx="14">
                  <c:v>2.0371690000000001E-2</c:v>
                </c:pt>
                <c:pt idx="15">
                  <c:v>1.8572950000000001E-2</c:v>
                </c:pt>
                <c:pt idx="16">
                  <c:v>1.69809E-2</c:v>
                </c:pt>
                <c:pt idx="17">
                  <c:v>1.5564440000000001E-2</c:v>
                </c:pt>
                <c:pt idx="18">
                  <c:v>1.429832E-2</c:v>
                </c:pt>
                <c:pt idx="19">
                  <c:v>1.3161829999999999E-2</c:v>
                </c:pt>
                <c:pt idx="20">
                  <c:v>1.213786E-2</c:v>
                </c:pt>
                <c:pt idx="21">
                  <c:v>1.1212130000000001E-2</c:v>
                </c:pt>
                <c:pt idx="22">
                  <c:v>1.0372630000000001E-2</c:v>
                </c:pt>
                <c:pt idx="23">
                  <c:v>9.6092060000000003E-3</c:v>
                </c:pt>
                <c:pt idx="24">
                  <c:v>8.9131950000000005E-3</c:v>
                </c:pt>
                <c:pt idx="25">
                  <c:v>8.277174E-3</c:v>
                </c:pt>
                <c:pt idx="26">
                  <c:v>7.6947409999999997E-3</c:v>
                </c:pt>
                <c:pt idx="27">
                  <c:v>7.1603429999999996E-3</c:v>
                </c:pt>
                <c:pt idx="28">
                  <c:v>6.669141E-3</c:v>
                </c:pt>
                <c:pt idx="29">
                  <c:v>6.2169E-3</c:v>
                </c:pt>
                <c:pt idx="30">
                  <c:v>5.799897E-3</c:v>
                </c:pt>
                <c:pt idx="31">
                  <c:v>5.4148440000000003E-3</c:v>
                </c:pt>
                <c:pt idx="32">
                  <c:v>5.0588289999999999E-3</c:v>
                </c:pt>
                <c:pt idx="33">
                  <c:v>4.729263E-3</c:v>
                </c:pt>
                <c:pt idx="34">
                  <c:v>4.4238359999999996E-3</c:v>
                </c:pt>
                <c:pt idx="35">
                  <c:v>4.140482E-3</c:v>
                </c:pt>
                <c:pt idx="36">
                  <c:v>3.8773470000000002E-3</c:v>
                </c:pt>
                <c:pt idx="37">
                  <c:v>3.6327619999999999E-3</c:v>
                </c:pt>
                <c:pt idx="38">
                  <c:v>3.4052240000000001E-3</c:v>
                </c:pt>
                <c:pt idx="39">
                  <c:v>3.1933719999999999E-3</c:v>
                </c:pt>
                <c:pt idx="40">
                  <c:v>2.995976E-3</c:v>
                </c:pt>
                <c:pt idx="41">
                  <c:v>2.8119149999999999E-3</c:v>
                </c:pt>
                <c:pt idx="42">
                  <c:v>2.6401739999999999E-3</c:v>
                </c:pt>
                <c:pt idx="43">
                  <c:v>2.4798250000000002E-3</c:v>
                </c:pt>
                <c:pt idx="44">
                  <c:v>2.3300209999999998E-3</c:v>
                </c:pt>
                <c:pt idx="45">
                  <c:v>2.1899900000000002E-3</c:v>
                </c:pt>
                <c:pt idx="46">
                  <c:v>2.0590220000000002E-3</c:v>
                </c:pt>
                <c:pt idx="47">
                  <c:v>1.9364689999999999E-3</c:v>
                </c:pt>
                <c:pt idx="48">
                  <c:v>1.821732E-3</c:v>
                </c:pt>
                <c:pt idx="49">
                  <c:v>1.714265E-3</c:v>
                </c:pt>
                <c:pt idx="50">
                  <c:v>1.6135609999999999E-3</c:v>
                </c:pt>
                <c:pt idx="51">
                  <c:v>1.519156E-3</c:v>
                </c:pt>
                <c:pt idx="52">
                  <c:v>1.4306189999999999E-3</c:v>
                </c:pt>
                <c:pt idx="53">
                  <c:v>1.3475550000000001E-3</c:v>
                </c:pt>
                <c:pt idx="54">
                  <c:v>1.269596E-3</c:v>
                </c:pt>
                <c:pt idx="55">
                  <c:v>1.196403E-3</c:v>
                </c:pt>
                <c:pt idx="56">
                  <c:v>1.127662E-3</c:v>
                </c:pt>
                <c:pt idx="57">
                  <c:v>1.063081E-3</c:v>
                </c:pt>
                <c:pt idx="58">
                  <c:v>1.0023899999999999E-3</c:v>
                </c:pt>
                <c:pt idx="59">
                  <c:v>9.4533690000000005E-4</c:v>
                </c:pt>
                <c:pt idx="60">
                  <c:v>8.9168959999999997E-4</c:v>
                </c:pt>
                <c:pt idx="61">
                  <c:v>8.4123070000000002E-4</c:v>
                </c:pt>
                <c:pt idx="62">
                  <c:v>7.9375820000000005E-4</c:v>
                </c:pt>
                <c:pt idx="63">
                  <c:v>7.4908430000000001E-4</c:v>
                </c:pt>
                <c:pt idx="64">
                  <c:v>7.0703379999999998E-4</c:v>
                </c:pt>
                <c:pt idx="65">
                  <c:v>6.6744340000000001E-4</c:v>
                </c:pt>
                <c:pt idx="66">
                  <c:v>6.301608E-4</c:v>
                </c:pt>
                <c:pt idx="67">
                  <c:v>5.9504399999999998E-4</c:v>
                </c:pt>
                <c:pt idx="68">
                  <c:v>5.6196019999999998E-4</c:v>
                </c:pt>
                <c:pt idx="69">
                  <c:v>5.3078540000000001E-4</c:v>
                </c:pt>
                <c:pt idx="70">
                  <c:v>5.0140389999999996E-4</c:v>
                </c:pt>
                <c:pt idx="71">
                  <c:v>4.7370719999999998E-4</c:v>
                </c:pt>
                <c:pt idx="72">
                  <c:v>4.4759409999999998E-4</c:v>
                </c:pt>
              </c:numCache>
            </c:numRef>
          </c:yVal>
          <c:smooth val="1"/>
        </c:ser>
        <c:ser>
          <c:idx val="2"/>
          <c:order val="1"/>
          <c:tx>
            <c:strRef>
              <c:f>'[华宁参数-预测结果.xls]华宁预测-固定距离，不同时间'!$D$6</c:f>
              <c:strCache>
                <c:ptCount val="1"/>
                <c:pt idx="0">
                  <c:v>100m        </c:v>
                </c:pt>
              </c:strCache>
            </c:strRef>
          </c:tx>
          <c:spPr>
            <a:ln w="19050" cap="rnd" cmpd="sng" algn="ctr">
              <a:solidFill>
                <a:schemeClr val="accent3"/>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'[华宁参数-预测结果.xls]华宁预测-固定距离，不同时间'!$D$7:$D$79</c:f>
              <c:numCache>
                <c:formatCode>0.00000_ </c:formatCode>
                <c:ptCount val="73"/>
                <c:pt idx="0">
                  <c:v>0</c:v>
                </c:pt>
                <c:pt idx="1">
                  <c:v>5.4371379999999998E-6</c:v>
                </c:pt>
                <c:pt idx="2">
                  <c:v>1.80628E-3</c:v>
                </c:pt>
                <c:pt idx="3">
                  <c:v>9.5735839999999996E-3</c:v>
                </c:pt>
                <c:pt idx="4">
                  <c:v>1.935829E-2</c:v>
                </c:pt>
                <c:pt idx="5">
                  <c:v>2.7310270000000001E-2</c:v>
                </c:pt>
                <c:pt idx="6">
                  <c:v>3.2572759999999999E-2</c:v>
                </c:pt>
                <c:pt idx="7">
                  <c:v>3.5528610000000002E-2</c:v>
                </c:pt>
                <c:pt idx="8">
                  <c:v>3.679408E-2</c:v>
                </c:pt>
                <c:pt idx="9">
                  <c:v>3.6904180000000002E-2</c:v>
                </c:pt>
                <c:pt idx="10">
                  <c:v>3.625739E-2</c:v>
                </c:pt>
                <c:pt idx="11">
                  <c:v>3.513347E-2</c:v>
                </c:pt>
                <c:pt idx="12">
                  <c:v>3.3723719999999999E-2</c:v>
                </c:pt>
                <c:pt idx="13">
                  <c:v>3.2157169999999999E-2</c:v>
                </c:pt>
                <c:pt idx="14">
                  <c:v>3.052007E-2</c:v>
                </c:pt>
                <c:pt idx="15">
                  <c:v>2.886944E-2</c:v>
                </c:pt>
                <c:pt idx="16">
                  <c:v>2.7242519999999999E-2</c:v>
                </c:pt>
                <c:pt idx="17">
                  <c:v>2.5662830000000001E-2</c:v>
                </c:pt>
                <c:pt idx="18">
                  <c:v>2.4144720000000001E-2</c:v>
                </c:pt>
                <c:pt idx="19">
                  <c:v>2.269672E-2</c:v>
                </c:pt>
                <c:pt idx="20">
                  <c:v>2.1322810000000001E-2</c:v>
                </c:pt>
                <c:pt idx="21">
                  <c:v>2.0024150000000001E-2</c:v>
                </c:pt>
                <c:pt idx="22">
                  <c:v>1.8800049999999999E-2</c:v>
                </c:pt>
                <c:pt idx="23">
                  <c:v>1.7648569999999999E-2</c:v>
                </c:pt>
                <c:pt idx="24">
                  <c:v>1.6567019999999998E-2</c:v>
                </c:pt>
                <c:pt idx="25">
                  <c:v>1.555225E-2</c:v>
                </c:pt>
                <c:pt idx="26">
                  <c:v>1.460085E-2</c:v>
                </c:pt>
                <c:pt idx="27">
                  <c:v>1.370934E-2</c:v>
                </c:pt>
                <c:pt idx="28">
                  <c:v>1.2874210000000001E-2</c:v>
                </c:pt>
                <c:pt idx="29">
                  <c:v>1.209205E-2</c:v>
                </c:pt>
                <c:pt idx="30">
                  <c:v>1.1359569999999999E-2</c:v>
                </c:pt>
                <c:pt idx="31">
                  <c:v>1.06736E-2</c:v>
                </c:pt>
                <c:pt idx="32">
                  <c:v>1.0031139999999999E-2</c:v>
                </c:pt>
                <c:pt idx="33">
                  <c:v>9.4293620000000002E-3</c:v>
                </c:pt>
                <c:pt idx="34">
                  <c:v>8.865599E-3</c:v>
                </c:pt>
                <c:pt idx="35">
                  <c:v>8.3373479999999996E-3</c:v>
                </c:pt>
                <c:pt idx="36">
                  <c:v>7.842267E-3</c:v>
                </c:pt>
                <c:pt idx="37">
                  <c:v>7.3781669999999997E-3</c:v>
                </c:pt>
                <c:pt idx="38">
                  <c:v>6.9430029999999997E-3</c:v>
                </c:pt>
                <c:pt idx="39">
                  <c:v>6.5348719999999997E-3</c:v>
                </c:pt>
                <c:pt idx="40">
                  <c:v>6.1519950000000004E-3</c:v>
                </c:pt>
                <c:pt idx="41">
                  <c:v>5.7927179999999997E-3</c:v>
                </c:pt>
                <c:pt idx="42">
                  <c:v>5.4555000000000003E-3</c:v>
                </c:pt>
                <c:pt idx="43">
                  <c:v>5.1389039999999997E-3</c:v>
                </c:pt>
                <c:pt idx="44">
                  <c:v>4.8415940000000003E-3</c:v>
                </c:pt>
                <c:pt idx="45">
                  <c:v>4.5623249999999999E-3</c:v>
                </c:pt>
                <c:pt idx="46">
                  <c:v>4.2999359999999999E-3</c:v>
                </c:pt>
                <c:pt idx="47">
                  <c:v>4.053348E-3</c:v>
                </c:pt>
                <c:pt idx="48">
                  <c:v>3.8215530000000001E-3</c:v>
                </c:pt>
                <c:pt idx="49">
                  <c:v>3.603612E-3</c:v>
                </c:pt>
                <c:pt idx="50">
                  <c:v>3.39865E-3</c:v>
                </c:pt>
                <c:pt idx="51">
                  <c:v>3.205851E-3</c:v>
                </c:pt>
                <c:pt idx="52">
                  <c:v>3.0244540000000002E-3</c:v>
                </c:pt>
                <c:pt idx="53">
                  <c:v>2.8537459999999999E-3</c:v>
                </c:pt>
                <c:pt idx="54">
                  <c:v>2.6930650000000001E-3</c:v>
                </c:pt>
                <c:pt idx="55">
                  <c:v>2.5417920000000002E-3</c:v>
                </c:pt>
                <c:pt idx="56">
                  <c:v>2.3993460000000001E-3</c:v>
                </c:pt>
                <c:pt idx="57">
                  <c:v>2.2651870000000001E-3</c:v>
                </c:pt>
                <c:pt idx="58">
                  <c:v>2.1388090000000002E-3</c:v>
                </c:pt>
                <c:pt idx="59">
                  <c:v>2.019739E-3</c:v>
                </c:pt>
                <c:pt idx="60">
                  <c:v>1.907534E-3</c:v>
                </c:pt>
                <c:pt idx="61">
                  <c:v>1.80178E-3</c:v>
                </c:pt>
                <c:pt idx="62">
                  <c:v>1.7020889999999999E-3</c:v>
                </c:pt>
                <c:pt idx="63">
                  <c:v>1.6080980000000001E-3</c:v>
                </c:pt>
                <c:pt idx="64">
                  <c:v>1.519467E-3</c:v>
                </c:pt>
                <c:pt idx="65">
                  <c:v>1.4358769999999999E-3</c:v>
                </c:pt>
                <c:pt idx="66">
                  <c:v>1.35703E-3</c:v>
                </c:pt>
                <c:pt idx="67">
                  <c:v>1.2826459999999999E-3</c:v>
                </c:pt>
                <c:pt idx="68">
                  <c:v>1.2124600000000001E-3</c:v>
                </c:pt>
                <c:pt idx="69">
                  <c:v>1.1462289999999999E-3</c:v>
                </c:pt>
                <c:pt idx="70">
                  <c:v>1.0837189999999999E-3</c:v>
                </c:pt>
                <c:pt idx="71">
                  <c:v>1.0247139999999999E-3</c:v>
                </c:pt>
                <c:pt idx="72">
                  <c:v>9.6901120000000005E-4</c:v>
                </c:pt>
              </c:numCache>
            </c:numRef>
          </c:yVal>
          <c:smooth val="1"/>
        </c:ser>
        <c:ser>
          <c:idx val="3"/>
          <c:order val="2"/>
          <c:tx>
            <c:strRef>
              <c:f>'[华宁参数-预测结果.xls]华宁预测-固定距离，不同时间'!$E$6</c:f>
              <c:strCache>
                <c:ptCount val="1"/>
                <c:pt idx="0">
                  <c:v>250m        </c:v>
                </c:pt>
              </c:strCache>
            </c:strRef>
          </c:tx>
          <c:spPr>
            <a:ln w="19050" cap="rnd" cmpd="sng" algn="ctr">
              <a:solidFill>
                <a:schemeClr val="accent4"/>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'[华宁参数-预测结果.xls]华宁预测-固定距离，不同时间'!$E$7:$E$79</c:f>
              <c:numCache>
                <c:formatCode>0.00000_ </c:formatCode>
                <c:ptCount val="73"/>
                <c:pt idx="0">
                  <c:v>0</c:v>
                </c:pt>
                <c:pt idx="1">
                  <c:v>0</c:v>
                </c:pt>
                <c:pt idx="2">
                  <c:v>0</c:v>
                </c:pt>
                <c:pt idx="3">
                  <c:v>1.1447569999999999E-11</c:v>
                </c:pt>
                <c:pt idx="4">
                  <c:v>8.7153670000000001E-9</c:v>
                </c:pt>
                <c:pt idx="5">
                  <c:v>4.2697740000000002E-7</c:v>
                </c:pt>
                <c:pt idx="6">
                  <c:v>5.3794760000000001E-6</c:v>
                </c:pt>
                <c:pt idx="7">
                  <c:v>3.142639E-5</c:v>
                </c:pt>
                <c:pt idx="8">
                  <c:v>1.140774E-4</c:v>
                </c:pt>
                <c:pt idx="9">
                  <c:v>3.0242579999999999E-4</c:v>
                </c:pt>
                <c:pt idx="10">
                  <c:v>6.4473030000000004E-4</c:v>
                </c:pt>
                <c:pt idx="11">
                  <c:v>1.1746910000000001E-3</c:v>
                </c:pt>
                <c:pt idx="12">
                  <c:v>1.904476E-3</c:v>
                </c:pt>
                <c:pt idx="13">
                  <c:v>2.8247849999999998E-3</c:v>
                </c:pt>
                <c:pt idx="14">
                  <c:v>3.9093840000000001E-3</c:v>
                </c:pt>
                <c:pt idx="15">
                  <c:v>5.1212829999999999E-3</c:v>
                </c:pt>
                <c:pt idx="16">
                  <c:v>6.4186419999999996E-3</c:v>
                </c:pt>
                <c:pt idx="17">
                  <c:v>7.7594750000000001E-3</c:v>
                </c:pt>
                <c:pt idx="18">
                  <c:v>9.1049110000000003E-3</c:v>
                </c:pt>
                <c:pt idx="19">
                  <c:v>1.0421120000000001E-2</c:v>
                </c:pt>
                <c:pt idx="20">
                  <c:v>1.168021E-2</c:v>
                </c:pt>
                <c:pt idx="21">
                  <c:v>1.2860389999999999E-2</c:v>
                </c:pt>
                <c:pt idx="22">
                  <c:v>1.3945630000000001E-2</c:v>
                </c:pt>
                <c:pt idx="23">
                  <c:v>1.492509E-2</c:v>
                </c:pt>
                <c:pt idx="24">
                  <c:v>1.579237E-2</c:v>
                </c:pt>
                <c:pt idx="25">
                  <c:v>1.654479E-2</c:v>
                </c:pt>
                <c:pt idx="26">
                  <c:v>1.7182659999999999E-2</c:v>
                </c:pt>
                <c:pt idx="27">
                  <c:v>1.770859E-2</c:v>
                </c:pt>
                <c:pt idx="28">
                  <c:v>1.8126989999999999E-2</c:v>
                </c:pt>
                <c:pt idx="29">
                  <c:v>1.844351E-2</c:v>
                </c:pt>
                <c:pt idx="30">
                  <c:v>1.8664670000000001E-2</c:v>
                </c:pt>
                <c:pt idx="31">
                  <c:v>1.879753E-2</c:v>
                </c:pt>
                <c:pt idx="32">
                  <c:v>1.8849399999999999E-2</c:v>
                </c:pt>
                <c:pt idx="33">
                  <c:v>1.8827679999999999E-2</c:v>
                </c:pt>
                <c:pt idx="34">
                  <c:v>1.8739639999999998E-2</c:v>
                </c:pt>
                <c:pt idx="35">
                  <c:v>1.8592359999999999E-2</c:v>
                </c:pt>
                <c:pt idx="36">
                  <c:v>1.839261E-2</c:v>
                </c:pt>
                <c:pt idx="37">
                  <c:v>1.8146809999999999E-2</c:v>
                </c:pt>
                <c:pt idx="38">
                  <c:v>1.7860999999999998E-2</c:v>
                </c:pt>
                <c:pt idx="39">
                  <c:v>1.7540770000000001E-2</c:v>
                </c:pt>
                <c:pt idx="40">
                  <c:v>1.719132E-2</c:v>
                </c:pt>
                <c:pt idx="41">
                  <c:v>1.6817410000000001E-2</c:v>
                </c:pt>
                <c:pt idx="42">
                  <c:v>1.6423340000000002E-2</c:v>
                </c:pt>
                <c:pt idx="43">
                  <c:v>1.601298E-2</c:v>
                </c:pt>
                <c:pt idx="44">
                  <c:v>1.5590039999999999E-2</c:v>
                </c:pt>
                <c:pt idx="45">
                  <c:v>1.515772E-2</c:v>
                </c:pt>
                <c:pt idx="46">
                  <c:v>1.471887E-2</c:v>
                </c:pt>
                <c:pt idx="47">
                  <c:v>1.427607E-2</c:v>
                </c:pt>
                <c:pt idx="48">
                  <c:v>1.383157E-2</c:v>
                </c:pt>
                <c:pt idx="49">
                  <c:v>1.3387380000000001E-2</c:v>
                </c:pt>
                <c:pt idx="50">
                  <c:v>1.294527E-2</c:v>
                </c:pt>
                <c:pt idx="51">
                  <c:v>1.250676E-2</c:v>
                </c:pt>
                <c:pt idx="52">
                  <c:v>1.2073189999999999E-2</c:v>
                </c:pt>
                <c:pt idx="53">
                  <c:v>1.164571E-2</c:v>
                </c:pt>
                <c:pt idx="54">
                  <c:v>1.1225290000000001E-2</c:v>
                </c:pt>
                <c:pt idx="55">
                  <c:v>1.0812749999999999E-2</c:v>
                </c:pt>
                <c:pt idx="56">
                  <c:v>1.0408789999999999E-2</c:v>
                </c:pt>
                <c:pt idx="57">
                  <c:v>1.0013970000000001E-2</c:v>
                </c:pt>
                <c:pt idx="58">
                  <c:v>9.6287490000000007E-3</c:v>
                </c:pt>
                <c:pt idx="59">
                  <c:v>9.2534799999999997E-3</c:v>
                </c:pt>
                <c:pt idx="60">
                  <c:v>8.8884359999999996E-3</c:v>
                </c:pt>
                <c:pt idx="61">
                  <c:v>8.5338089999999998E-3</c:v>
                </c:pt>
                <c:pt idx="62">
                  <c:v>8.1897250000000001E-3</c:v>
                </c:pt>
                <c:pt idx="63">
                  <c:v>7.8562479999999997E-3</c:v>
                </c:pt>
                <c:pt idx="64">
                  <c:v>7.5333910000000004E-3</c:v>
                </c:pt>
                <c:pt idx="65">
                  <c:v>7.2211189999999998E-3</c:v>
                </c:pt>
                <c:pt idx="66">
                  <c:v>6.9193579999999996E-3</c:v>
                </c:pt>
                <c:pt idx="67">
                  <c:v>6.628002E-3</c:v>
                </c:pt>
                <c:pt idx="68">
                  <c:v>6.346913E-3</c:v>
                </c:pt>
                <c:pt idx="69">
                  <c:v>6.0759270000000001E-3</c:v>
                </c:pt>
                <c:pt idx="70">
                  <c:v>5.8148610000000002E-3</c:v>
                </c:pt>
                <c:pt idx="71">
                  <c:v>5.5635140000000003E-3</c:v>
                </c:pt>
                <c:pt idx="72">
                  <c:v>5.3216690000000002E-3</c:v>
                </c:pt>
              </c:numCache>
            </c:numRef>
          </c:yVal>
          <c:smooth val="1"/>
        </c:ser>
        <c:ser>
          <c:idx val="4"/>
          <c:order val="3"/>
          <c:tx>
            <c:strRef>
              <c:f>'[华宁参数-预测结果.xls]华宁预测-固定距离，不同时间'!$F$6</c:f>
              <c:strCache>
                <c:ptCount val="1"/>
                <c:pt idx="0">
                  <c:v>500m        </c:v>
                </c:pt>
              </c:strCache>
            </c:strRef>
          </c:tx>
          <c:spPr>
            <a:ln w="19050" cap="rnd" cmpd="sng" algn="ctr">
              <a:solidFill>
                <a:schemeClr val="accent5"/>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'[华宁参数-预测结果.xls]华宁预测-固定距离，不同时间'!$F$7:$F$79</c:f>
              <c:numCache>
                <c:formatCode>0.00000_ </c:formatCode>
                <c:ptCount val="73"/>
                <c:pt idx="0">
                  <c:v>0</c:v>
                </c:pt>
                <c:pt idx="1">
                  <c:v>0</c:v>
                </c:pt>
                <c:pt idx="2">
                  <c:v>0</c:v>
                </c:pt>
                <c:pt idx="3">
                  <c:v>0</c:v>
                </c:pt>
                <c:pt idx="4">
                  <c:v>0</c:v>
                </c:pt>
                <c:pt idx="5">
                  <c:v>0</c:v>
                </c:pt>
                <c:pt idx="6">
                  <c:v>0</c:v>
                </c:pt>
                <c:pt idx="7">
                  <c:v>0</c:v>
                </c:pt>
                <c:pt idx="8">
                  <c:v>0</c:v>
                </c:pt>
                <c:pt idx="9">
                  <c:v>1.90159E-14</c:v>
                </c:pt>
                <c:pt idx="10">
                  <c:v>6.3227869999999996E-13</c:v>
                </c:pt>
                <c:pt idx="11">
                  <c:v>1.0791519999999999E-11</c:v>
                </c:pt>
                <c:pt idx="12">
                  <c:v>1.195862E-10</c:v>
                </c:pt>
                <c:pt idx="13">
                  <c:v>9.0119679999999996E-10</c:v>
                </c:pt>
                <c:pt idx="14">
                  <c:v>5.0188000000000001E-9</c:v>
                </c:pt>
                <c:pt idx="15">
                  <c:v>2.1955510000000001E-8</c:v>
                </c:pt>
                <c:pt idx="16">
                  <c:v>7.8976590000000001E-8</c:v>
                </c:pt>
                <c:pt idx="17">
                  <c:v>2.4189050000000002E-7</c:v>
                </c:pt>
                <c:pt idx="18">
                  <c:v>6.4814590000000005E-7</c:v>
                </c:pt>
                <c:pt idx="19">
                  <c:v>1.5521590000000001E-6</c:v>
                </c:pt>
                <c:pt idx="20">
                  <c:v>3.3792370000000002E-6</c:v>
                </c:pt>
                <c:pt idx="21">
                  <c:v>6.7812289999999997E-6</c:v>
                </c:pt>
                <c:pt idx="22">
                  <c:v>1.268522E-5</c:v>
                </c:pt>
                <c:pt idx="23">
                  <c:v>2.2326610000000001E-5</c:v>
                </c:pt>
                <c:pt idx="24">
                  <c:v>3.7259789999999998E-5</c:v>
                </c:pt>
                <c:pt idx="25">
                  <c:v>5.934265E-5</c:v>
                </c:pt>
                <c:pt idx="26">
                  <c:v>9.0694670000000002E-5</c:v>
                </c:pt>
                <c:pt idx="27">
                  <c:v>1.336315E-4</c:v>
                </c:pt>
                <c:pt idx="28">
                  <c:v>1.905811E-4</c:v>
                </c:pt>
                <c:pt idx="29">
                  <c:v>2.6398920000000002E-4</c:v>
                </c:pt>
                <c:pt idx="30">
                  <c:v>3.562196E-4</c:v>
                </c:pt>
                <c:pt idx="31">
                  <c:v>4.6945819999999998E-4</c:v>
                </c:pt>
                <c:pt idx="32">
                  <c:v>6.0562530000000004E-4</c:v>
                </c:pt>
                <c:pt idx="33">
                  <c:v>7.6630090000000001E-4</c:v>
                </c:pt>
                <c:pt idx="34">
                  <c:v>9.5266630000000001E-4</c:v>
                </c:pt>
                <c:pt idx="35">
                  <c:v>1.165464E-3</c:v>
                </c:pt>
                <c:pt idx="36">
                  <c:v>1.404974E-3</c:v>
                </c:pt>
                <c:pt idx="37">
                  <c:v>1.6710119999999999E-3</c:v>
                </c:pt>
                <c:pt idx="38">
                  <c:v>1.9629339999999999E-3</c:v>
                </c:pt>
                <c:pt idx="39">
                  <c:v>2.2796650000000002E-3</c:v>
                </c:pt>
                <c:pt idx="40">
                  <c:v>2.6197320000000001E-3</c:v>
                </c:pt>
                <c:pt idx="41">
                  <c:v>2.9813090000000001E-3</c:v>
                </c:pt>
                <c:pt idx="42">
                  <c:v>3.3622629999999999E-3</c:v>
                </c:pt>
                <c:pt idx="43">
                  <c:v>3.7602099999999999E-3</c:v>
                </c:pt>
                <c:pt idx="44">
                  <c:v>4.1725709999999999E-3</c:v>
                </c:pt>
                <c:pt idx="45">
                  <c:v>4.5966180000000002E-3</c:v>
                </c:pt>
                <c:pt idx="46">
                  <c:v>5.0295380000000001E-3</c:v>
                </c:pt>
                <c:pt idx="47">
                  <c:v>5.4684750000000004E-3</c:v>
                </c:pt>
                <c:pt idx="48">
                  <c:v>5.9105750000000004E-3</c:v>
                </c:pt>
                <c:pt idx="49">
                  <c:v>6.3530330000000001E-3</c:v>
                </c:pt>
                <c:pt idx="50">
                  <c:v>6.7931220000000004E-3</c:v>
                </c:pt>
                <c:pt idx="51">
                  <c:v>7.2282309999999999E-3</c:v>
                </c:pt>
                <c:pt idx="52">
                  <c:v>7.6558859999999998E-3</c:v>
                </c:pt>
                <c:pt idx="53">
                  <c:v>8.0737710000000004E-3</c:v>
                </c:pt>
                <c:pt idx="54">
                  <c:v>8.4797510000000006E-3</c:v>
                </c:pt>
                <c:pt idx="55">
                  <c:v>8.8718740000000001E-3</c:v>
                </c:pt>
                <c:pt idx="56">
                  <c:v>9.2483870000000003E-3</c:v>
                </c:pt>
                <c:pt idx="57">
                  <c:v>9.6077379999999993E-3</c:v>
                </c:pt>
                <c:pt idx="58">
                  <c:v>9.9485730000000005E-3</c:v>
                </c:pt>
                <c:pt idx="59">
                  <c:v>1.0269739999999999E-2</c:v>
                </c:pt>
                <c:pt idx="60">
                  <c:v>1.057028E-2</c:v>
                </c:pt>
                <c:pt idx="61">
                  <c:v>1.084943E-2</c:v>
                </c:pt>
                <c:pt idx="62">
                  <c:v>1.1106609999999999E-2</c:v>
                </c:pt>
                <c:pt idx="63">
                  <c:v>1.134138E-2</c:v>
                </c:pt>
                <c:pt idx="64">
                  <c:v>1.1553519999999999E-2</c:v>
                </c:pt>
                <c:pt idx="65">
                  <c:v>1.1742900000000001E-2</c:v>
                </c:pt>
                <c:pt idx="66">
                  <c:v>1.190957E-2</c:v>
                </c:pt>
                <c:pt idx="67">
                  <c:v>1.2053700000000001E-2</c:v>
                </c:pt>
                <c:pt idx="68">
                  <c:v>1.217557E-2</c:v>
                </c:pt>
                <c:pt idx="69">
                  <c:v>1.227555E-2</c:v>
                </c:pt>
                <c:pt idx="70">
                  <c:v>1.235414E-2</c:v>
                </c:pt>
                <c:pt idx="71">
                  <c:v>1.24119E-2</c:v>
                </c:pt>
                <c:pt idx="72">
                  <c:v>1.2449440000000001E-2</c:v>
                </c:pt>
              </c:numCache>
            </c:numRef>
          </c:yVal>
          <c:smooth val="1"/>
        </c:ser>
        <c:ser>
          <c:idx val="5"/>
          <c:order val="4"/>
          <c:tx>
            <c:strRef>
              <c:f>'[华宁参数-预测结果.xls]华宁预测-固定距离，不同时间'!#REF!</c:f>
              <c:strCache>
                <c:ptCount val="1"/>
              </c:strCache>
            </c:strRef>
          </c:tx>
          <c:spPr>
            <a:ln w="19050" cap="rnd" cmpd="sng" algn="ctr">
              <a:solidFill>
                <a:schemeClr val="accent6"/>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'[华宁参数-预测结果.xls]华宁预测-固定距离，不同时间'!#REF!</c:f>
              <c:numCache>
                <c:formatCode>General</c:formatCode>
                <c:ptCount val="1"/>
                <c:pt idx="0">
                  <c:v>1</c:v>
                </c:pt>
              </c:numCache>
            </c:numRef>
          </c:yVal>
          <c:smooth val="1"/>
        </c:ser>
        <c:ser>
          <c:idx val="6"/>
          <c:order val="5"/>
          <c:tx>
            <c:strRef>
              <c:f>'[华宁参数-预测结果.xls]华宁预测-固定距离，不同时间'!$G$6</c:f>
              <c:strCache>
                <c:ptCount val="1"/>
                <c:pt idx="0">
                  <c:v>1000m        </c:v>
                </c:pt>
              </c:strCache>
            </c:strRef>
          </c:tx>
          <c:spPr>
            <a:ln w="19050" cap="rnd" cmpd="sng" algn="ctr">
              <a:solidFill>
                <a:schemeClr val="accent1">
                  <a:lumMod val="60000"/>
                </a:schemeClr>
              </a:solidFill>
              <a:prstDash val="solid"/>
              <a:round/>
            </a:ln>
            <a:effectLst/>
          </c:spPr>
          <c:marker>
            <c:symbol val="none"/>
          </c:marker>
          <c:xVal>
            <c:numRef>
              <c:f>'[华宁参数-预测结果.xls]华宁预测-固定距离，不同时间'!$A$7:$A$79</c:f>
              <c:numCache>
                <c:formatCode>General</c:formatCode>
                <c:ptCount val="73"/>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numCache>
            </c:numRef>
          </c:xVal>
          <c:yVal>
            <c:numRef>
              <c:f>'[华宁参数-预测结果.xls]华宁预测-固定距离，不同时间'!$G$7:$G$79</c:f>
              <c:numCache>
                <c:formatCode>0.00000_ </c:formatCode>
                <c:ptCount val="7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4.7539750000000001E-15</c:v>
                </c:pt>
                <c:pt idx="31">
                  <c:v>1.4261919999999999E-14</c:v>
                </c:pt>
                <c:pt idx="32">
                  <c:v>5.7047700000000004E-14</c:v>
                </c:pt>
                <c:pt idx="33">
                  <c:v>1.90159E-13</c:v>
                </c:pt>
                <c:pt idx="34">
                  <c:v>5.894929E-13</c:v>
                </c:pt>
                <c:pt idx="35">
                  <c:v>1.568812E-12</c:v>
                </c:pt>
                <c:pt idx="36">
                  <c:v>4.2215299999999997E-12</c:v>
                </c:pt>
                <c:pt idx="37">
                  <c:v>1.075824E-11</c:v>
                </c:pt>
                <c:pt idx="38">
                  <c:v>2.5985230000000002E-11</c:v>
                </c:pt>
                <c:pt idx="39">
                  <c:v>5.9800250000000005E-11</c:v>
                </c:pt>
                <c:pt idx="40">
                  <c:v>1.3160899999999999E-10</c:v>
                </c:pt>
                <c:pt idx="41">
                  <c:v>2.778556E-10</c:v>
                </c:pt>
                <c:pt idx="42">
                  <c:v>5.6438709999999996E-10</c:v>
                </c:pt>
                <c:pt idx="43">
                  <c:v>1.1060310000000001E-9</c:v>
                </c:pt>
                <c:pt idx="44">
                  <c:v>2.0962980000000001E-9</c:v>
                </c:pt>
                <c:pt idx="45">
                  <c:v>3.8513049999999997E-9</c:v>
                </c:pt>
                <c:pt idx="46">
                  <c:v>6.8725940000000002E-9</c:v>
                </c:pt>
                <c:pt idx="47">
                  <c:v>1.193453E-8</c:v>
                </c:pt>
                <c:pt idx="48">
                  <c:v>2.0202560000000001E-8</c:v>
                </c:pt>
                <c:pt idx="49">
                  <c:v>3.3389359999999998E-8</c:v>
                </c:pt>
                <c:pt idx="50">
                  <c:v>5.3955950000000001E-8</c:v>
                </c:pt>
                <c:pt idx="51">
                  <c:v>8.5364950000000001E-8</c:v>
                </c:pt>
                <c:pt idx="52">
                  <c:v>1.3239259999999999E-7</c:v>
                </c:pt>
                <c:pt idx="53">
                  <c:v>2.0150479999999999E-7</c:v>
                </c:pt>
                <c:pt idx="54">
                  <c:v>3.0130249999999999E-7</c:v>
                </c:pt>
                <c:pt idx="55">
                  <c:v>4.4303610000000002E-7</c:v>
                </c:pt>
                <c:pt idx="56">
                  <c:v>6.4119219999999997E-7</c:v>
                </c:pt>
                <c:pt idx="57">
                  <c:v>9.1414669999999996E-7</c:v>
                </c:pt>
                <c:pt idx="58">
                  <c:v>1.2848800000000001E-6</c:v>
                </c:pt>
                <c:pt idx="59">
                  <c:v>1.781744E-6</c:v>
                </c:pt>
                <c:pt idx="60">
                  <c:v>2.4392720000000002E-6</c:v>
                </c:pt>
                <c:pt idx="61">
                  <c:v>3.2990110000000002E-6</c:v>
                </c:pt>
                <c:pt idx="62">
                  <c:v>4.410364E-6</c:v>
                </c:pt>
                <c:pt idx="63">
                  <c:v>5.8314190000000001E-6</c:v>
                </c:pt>
                <c:pt idx="64">
                  <c:v>7.629746E-6</c:v>
                </c:pt>
                <c:pt idx="65">
                  <c:v>9.8831319999999995E-6</c:v>
                </c:pt>
                <c:pt idx="66">
                  <c:v>1.2680249999999999E-5</c:v>
                </c:pt>
                <c:pt idx="67">
                  <c:v>1.612119E-5</c:v>
                </c:pt>
                <c:pt idx="68">
                  <c:v>2.031794E-5</c:v>
                </c:pt>
                <c:pt idx="69">
                  <c:v>2.539462E-5</c:v>
                </c:pt>
                <c:pt idx="70">
                  <c:v>3.1487640000000003E-5</c:v>
                </c:pt>
                <c:pt idx="71">
                  <c:v>3.8745619999999999E-5</c:v>
                </c:pt>
                <c:pt idx="72">
                  <c:v>4.7329210000000001E-5</c:v>
                </c:pt>
              </c:numCache>
            </c:numRef>
          </c:yVal>
          <c:smooth val="1"/>
        </c:ser>
        <c:dLbls>
          <c:showLegendKey val="0"/>
          <c:showVal val="0"/>
          <c:showCatName val="0"/>
          <c:showSerName val="0"/>
          <c:showPercent val="0"/>
          <c:showBubbleSize val="0"/>
        </c:dLbls>
        <c:axId val="303161344"/>
        <c:axId val="303165376"/>
      </c:scatterChart>
      <c:valAx>
        <c:axId val="303161344"/>
        <c:scaling>
          <c:orientation val="minMax"/>
          <c:max val="7200"/>
          <c:min val="0"/>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03165376"/>
        <c:crosses val="autoZero"/>
        <c:crossBetween val="midCat"/>
      </c:valAx>
      <c:valAx>
        <c:axId val="303165376"/>
        <c:scaling>
          <c:orientation val="minMax"/>
          <c:max val="0.09"/>
          <c:min val="0"/>
        </c:scaling>
        <c:delete val="0"/>
        <c:axPos val="l"/>
        <c:majorGridlines>
          <c:spPr>
            <a:ln w="9525" cap="flat" cmpd="sng" algn="ctr">
              <a:solidFill>
                <a:schemeClr val="tx1">
                  <a:lumMod val="15000"/>
                  <a:lumOff val="85000"/>
                </a:schemeClr>
              </a:solidFill>
              <a:prstDash val="solid"/>
              <a:round/>
            </a:ln>
            <a:effectLst/>
          </c:spPr>
        </c:majorGridlines>
        <c:numFmt formatCode="#,##0.00_);[Red]\(#,##0.00\)"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03161344"/>
        <c:crosses val="autoZero"/>
        <c:crossBetween val="midCat"/>
      </c:valAx>
      <c:spPr>
        <a:noFill/>
        <a:ln>
          <a:noFill/>
        </a:ln>
        <a:effectLst/>
      </c:spPr>
    </c:plotArea>
    <c:legend>
      <c:legendPos val="r"/>
      <c:legendEntry>
        <c:idx val="4"/>
        <c:delete val="1"/>
      </c:legendEntry>
      <c:layout>
        <c:manualLayout>
          <c:xMode val="edge"/>
          <c:yMode val="edge"/>
          <c:x val="5.7096890516213201E-2"/>
          <c:y val="5.6397452319954501E-2"/>
          <c:w val="0.85109983079526197"/>
          <c:h val="4.4723969252271102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BA90F0-CB8F-4BD2-85C1-E0C0AAF43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25443</Words>
  <Characters>145031</Characters>
  <Application>Microsoft Office Word</Application>
  <DocSecurity>0</DocSecurity>
  <Lines>1208</Lines>
  <Paragraphs>340</Paragraphs>
  <ScaleCrop>false</ScaleCrop>
  <Company>P R C</Company>
  <LinksUpToDate>false</LinksUpToDate>
  <CharactersWithSpaces>170134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 红灿</dc:creator>
  <cp:lastModifiedBy>Windows User</cp:lastModifiedBy>
  <cp:revision>2</cp:revision>
  <cp:lastPrinted>2019-04-22T02:09:00Z</cp:lastPrinted>
  <dcterms:created xsi:type="dcterms:W3CDTF">2019-05-10T02:17:00Z</dcterms:created>
  <dcterms:modified xsi:type="dcterms:W3CDTF">2019-05-10T02:17:00Z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